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85" w:rsidRDefault="00774585" w:rsidP="00774585">
      <w:pPr>
        <w:tabs>
          <w:tab w:val="right" w:pos="9072"/>
        </w:tabs>
        <w:spacing w:before="0" w:line="240" w:lineRule="exact"/>
        <w:ind w:right="91"/>
        <w:rPr>
          <w:b/>
        </w:rPr>
      </w:pPr>
    </w:p>
    <w:p w:rsidR="00774585" w:rsidRDefault="00774585" w:rsidP="00774585">
      <w:pPr>
        <w:tabs>
          <w:tab w:val="right" w:pos="9072"/>
        </w:tabs>
        <w:spacing w:before="0" w:line="240" w:lineRule="exact"/>
        <w:ind w:right="91"/>
        <w:rPr>
          <w:b/>
        </w:rPr>
      </w:pPr>
    </w:p>
    <w:p w:rsidR="004A0B0B" w:rsidRDefault="004A0B0B" w:rsidP="00774585">
      <w:pPr>
        <w:spacing w:before="0"/>
        <w:ind w:right="91"/>
        <w:jc w:val="center"/>
        <w:rPr>
          <w:b/>
          <w:u w:val="single"/>
        </w:rPr>
      </w:pPr>
    </w:p>
    <w:p w:rsidR="00774585" w:rsidRDefault="00774585" w:rsidP="00774585">
      <w:pPr>
        <w:spacing w:before="0"/>
        <w:ind w:right="91"/>
        <w:jc w:val="center"/>
      </w:pPr>
      <w:r>
        <w:rPr>
          <w:b/>
          <w:u w:val="single"/>
        </w:rPr>
        <w:t xml:space="preserve">EXPLANATORY </w:t>
      </w:r>
      <w:r w:rsidR="00A915F3">
        <w:rPr>
          <w:b/>
          <w:u w:val="single"/>
        </w:rPr>
        <w:t>STATEMENT</w:t>
      </w:r>
    </w:p>
    <w:p w:rsidR="00774585" w:rsidRDefault="00774585" w:rsidP="00774585">
      <w:pPr>
        <w:spacing w:before="0"/>
        <w:ind w:right="91"/>
        <w:jc w:val="center"/>
      </w:pPr>
    </w:p>
    <w:p w:rsidR="00A915F3" w:rsidRPr="00FA0DEB" w:rsidRDefault="00A915F3" w:rsidP="00A915F3">
      <w:pPr>
        <w:pStyle w:val="Heading6"/>
        <w:spacing w:before="0"/>
        <w:jc w:val="center"/>
        <w:rPr>
          <w:b/>
        </w:rPr>
      </w:pPr>
      <w:r w:rsidRPr="00FA0DEB">
        <w:rPr>
          <w:b/>
        </w:rPr>
        <w:t xml:space="preserve">Select Legislative Instrument 2012 No. </w:t>
      </w:r>
      <w:r w:rsidR="004A2769">
        <w:rPr>
          <w:b/>
        </w:rPr>
        <w:t>280</w:t>
      </w:r>
    </w:p>
    <w:p w:rsidR="00A915F3" w:rsidRDefault="00A915F3" w:rsidP="00A915F3">
      <w:pPr>
        <w:spacing w:before="0"/>
        <w:ind w:right="91"/>
      </w:pPr>
    </w:p>
    <w:p w:rsidR="00A915F3" w:rsidRPr="00FA0DEB" w:rsidRDefault="00A915F3" w:rsidP="00A915F3">
      <w:pPr>
        <w:ind w:right="91"/>
        <w:jc w:val="center"/>
        <w:rPr>
          <w:u w:val="single"/>
        </w:rPr>
      </w:pPr>
      <w:r w:rsidRPr="00FA0DEB">
        <w:rPr>
          <w:u w:val="single"/>
        </w:rPr>
        <w:t>Issued by Authority of the Attorney-General</w:t>
      </w:r>
    </w:p>
    <w:p w:rsidR="00A915F3" w:rsidRDefault="00A915F3" w:rsidP="00A915F3">
      <w:pPr>
        <w:spacing w:before="0"/>
        <w:ind w:right="91"/>
      </w:pPr>
    </w:p>
    <w:p w:rsidR="00774585" w:rsidRDefault="00774585" w:rsidP="00774585">
      <w:pPr>
        <w:spacing w:before="0"/>
        <w:ind w:right="91"/>
      </w:pPr>
    </w:p>
    <w:p w:rsidR="00774585" w:rsidRDefault="00566B94" w:rsidP="00A915F3">
      <w:pPr>
        <w:spacing w:before="0"/>
        <w:ind w:right="91"/>
        <w:jc w:val="center"/>
        <w:rPr>
          <w:i/>
        </w:rPr>
      </w:pPr>
      <w:r>
        <w:rPr>
          <w:i/>
        </w:rPr>
        <w:t>Federal Court of Australia Act 1976</w:t>
      </w:r>
    </w:p>
    <w:p w:rsidR="00566B94" w:rsidRDefault="00566B94" w:rsidP="00A915F3">
      <w:pPr>
        <w:spacing w:before="0"/>
        <w:ind w:right="91"/>
        <w:jc w:val="center"/>
        <w:rPr>
          <w:i/>
        </w:rPr>
      </w:pPr>
    </w:p>
    <w:p w:rsidR="00566B94" w:rsidRDefault="00566B94" w:rsidP="00A915F3">
      <w:pPr>
        <w:spacing w:before="0"/>
        <w:ind w:right="91"/>
        <w:jc w:val="center"/>
        <w:rPr>
          <w:i/>
        </w:rPr>
      </w:pPr>
      <w:r>
        <w:rPr>
          <w:i/>
        </w:rPr>
        <w:t>Federal Magistrates Act 1999</w:t>
      </w:r>
    </w:p>
    <w:p w:rsidR="00774585" w:rsidRDefault="00774585" w:rsidP="00A915F3">
      <w:pPr>
        <w:spacing w:before="0"/>
        <w:ind w:right="91"/>
        <w:jc w:val="center"/>
      </w:pPr>
    </w:p>
    <w:p w:rsidR="00774585" w:rsidRPr="00547901" w:rsidRDefault="00566B94" w:rsidP="00A915F3">
      <w:pPr>
        <w:spacing w:before="120"/>
        <w:ind w:right="91"/>
        <w:jc w:val="center"/>
        <w:rPr>
          <w:i/>
        </w:rPr>
      </w:pPr>
      <w:r>
        <w:rPr>
          <w:i/>
        </w:rPr>
        <w:t xml:space="preserve">Federal Court and </w:t>
      </w:r>
      <w:r w:rsidR="00774585">
        <w:rPr>
          <w:i/>
        </w:rPr>
        <w:t xml:space="preserve">Federal Magistrates </w:t>
      </w:r>
      <w:r>
        <w:rPr>
          <w:i/>
        </w:rPr>
        <w:t xml:space="preserve">Court </w:t>
      </w:r>
      <w:r w:rsidR="00774585" w:rsidRPr="00547901">
        <w:rPr>
          <w:i/>
        </w:rPr>
        <w:t xml:space="preserve">Regulation </w:t>
      </w:r>
      <w:r w:rsidR="00CC5EDA">
        <w:rPr>
          <w:i/>
        </w:rPr>
        <w:t>2012</w:t>
      </w:r>
    </w:p>
    <w:p w:rsidR="00774585" w:rsidRDefault="00774585" w:rsidP="00774585">
      <w:pPr>
        <w:spacing w:before="0"/>
        <w:ind w:right="91"/>
      </w:pPr>
    </w:p>
    <w:p w:rsidR="00366FCE" w:rsidRDefault="00366FCE" w:rsidP="004A0B0B">
      <w:pPr>
        <w:spacing w:before="300" w:after="120"/>
        <w:ind w:right="91"/>
      </w:pPr>
      <w:r>
        <w:t xml:space="preserve">Subsection 60(1) of the </w:t>
      </w:r>
      <w:r w:rsidR="00D927C4" w:rsidRPr="003965BF">
        <w:rPr>
          <w:i/>
        </w:rPr>
        <w:t>Federal Court of Australia Act 1976</w:t>
      </w:r>
      <w:r w:rsidR="00D927C4" w:rsidRPr="003965BF">
        <w:t xml:space="preserve"> </w:t>
      </w:r>
      <w:r w:rsidR="00D927C4">
        <w:t xml:space="preserve">(the Federal Court Act) </w:t>
      </w:r>
      <w:r>
        <w:t>provides that the Governor-General may make regulations prescribing matters required or permitted by the Federal Court Act to be prescribed or necessary or convenient to be prescribed for carrying o</w:t>
      </w:r>
      <w:r w:rsidR="00071357">
        <w:t xml:space="preserve">ut or giving effect to that Act, and in particular, </w:t>
      </w:r>
      <w:r>
        <w:t xml:space="preserve">prescribing the fees to be paid in respect of proceedings in the </w:t>
      </w:r>
      <w:r w:rsidR="00B465C8">
        <w:t xml:space="preserve">Federal </w:t>
      </w:r>
      <w:r>
        <w:t>Court or the service or execution of process o</w:t>
      </w:r>
      <w:r w:rsidR="007E2289">
        <w:t>f the court by officers of the c</w:t>
      </w:r>
      <w:r>
        <w:t>ourt.</w:t>
      </w:r>
    </w:p>
    <w:p w:rsidR="00096331" w:rsidRDefault="00096331" w:rsidP="004A0B0B">
      <w:pPr>
        <w:pStyle w:val="Paragraph"/>
        <w:spacing w:before="300"/>
      </w:pPr>
      <w:r>
        <w:t xml:space="preserve">The power under subsection 60(1) of the Federal Court Act also extends to making provision for remuneration and allowances payable to jurors in criminal proceedings in the Federal Court.  The power also extends to prescribing </w:t>
      </w:r>
      <w:r w:rsidR="00A25B42">
        <w:t xml:space="preserve">a </w:t>
      </w:r>
      <w:r>
        <w:t xml:space="preserve">monetary limit for contracts able to be made by the Chief Justice of the Federal Court </w:t>
      </w:r>
      <w:r w:rsidR="00FF2EBF">
        <w:t xml:space="preserve">providing </w:t>
      </w:r>
      <w:r>
        <w:t xml:space="preserve">for payments to be made or received by the Commonwealth. </w:t>
      </w:r>
    </w:p>
    <w:p w:rsidR="0011328D" w:rsidRDefault="00774585" w:rsidP="004A0B0B">
      <w:pPr>
        <w:spacing w:before="300" w:after="120"/>
        <w:ind w:right="91"/>
      </w:pPr>
      <w:r>
        <w:t xml:space="preserve">Subsection 120(1) of the </w:t>
      </w:r>
      <w:r w:rsidR="00D927C4" w:rsidRPr="003965BF">
        <w:rPr>
          <w:i/>
        </w:rPr>
        <w:t>Federal Magistrates Act 1999</w:t>
      </w:r>
      <w:r w:rsidR="00D927C4">
        <w:t xml:space="preserve"> </w:t>
      </w:r>
      <w:r>
        <w:t>provides that the</w:t>
      </w:r>
      <w:r w:rsidR="00D927C4">
        <w:t> </w:t>
      </w:r>
      <w:proofErr w:type="spellStart"/>
      <w:r>
        <w:t>Governor</w:t>
      </w:r>
      <w:r w:rsidR="00D927C4">
        <w:noBreakHyphen/>
      </w:r>
      <w:r>
        <w:t>General</w:t>
      </w:r>
      <w:proofErr w:type="spellEnd"/>
      <w:r>
        <w:t xml:space="preserve"> may make regulations prescribing matters required or permitted by the </w:t>
      </w:r>
      <w:r w:rsidR="00366FCE">
        <w:t xml:space="preserve">Federal Magistrates </w:t>
      </w:r>
      <w:r>
        <w:t xml:space="preserve">Act to be prescribed or necessary or convenient to be prescribed for carrying </w:t>
      </w:r>
      <w:r w:rsidR="00222F32">
        <w:t>ou</w:t>
      </w:r>
      <w:r w:rsidR="0011328D">
        <w:t xml:space="preserve">t or giving effect to </w:t>
      </w:r>
      <w:r w:rsidR="00B306A0">
        <w:t>that</w:t>
      </w:r>
      <w:r w:rsidR="00071357">
        <w:t xml:space="preserve"> Act and</w:t>
      </w:r>
      <w:r w:rsidR="00D927C4">
        <w:t>,</w:t>
      </w:r>
      <w:r w:rsidR="00071357">
        <w:t xml:space="preserve"> i</w:t>
      </w:r>
      <w:r w:rsidR="0011328D">
        <w:t>n particular, s</w:t>
      </w:r>
      <w:r w:rsidR="0011328D" w:rsidRPr="00222F32">
        <w:t>ub</w:t>
      </w:r>
      <w:r w:rsidR="00071357">
        <w:t>section</w:t>
      </w:r>
      <w:r w:rsidR="0011328D" w:rsidRPr="00222F32">
        <w:t xml:space="preserve"> 120(</w:t>
      </w:r>
      <w:r w:rsidR="00566B94">
        <w:t>3</w:t>
      </w:r>
      <w:r w:rsidR="0011328D" w:rsidRPr="00222F32">
        <w:t xml:space="preserve">) </w:t>
      </w:r>
      <w:r w:rsidR="00473C60">
        <w:t xml:space="preserve">provides for the prescribing of fees to be paid in respect of proceedings in the </w:t>
      </w:r>
      <w:r w:rsidR="00D927C4">
        <w:t xml:space="preserve">Federal Magistrates Court (the </w:t>
      </w:r>
      <w:r w:rsidR="00B465C8">
        <w:t>FMC</w:t>
      </w:r>
      <w:r w:rsidR="00D927C4">
        <w:t>)</w:t>
      </w:r>
      <w:r w:rsidR="008C6E81">
        <w:t xml:space="preserve">, including </w:t>
      </w:r>
      <w:r w:rsidR="00566B94">
        <w:t>fee waivers, exemptions and refunds</w:t>
      </w:r>
      <w:r w:rsidR="00366FCE">
        <w:t>.</w:t>
      </w:r>
    </w:p>
    <w:p w:rsidR="00B140B3" w:rsidRDefault="00B140B3" w:rsidP="004A0B0B">
      <w:pPr>
        <w:spacing w:before="300" w:after="120"/>
        <w:ind w:right="91"/>
      </w:pPr>
      <w:r>
        <w:t xml:space="preserve">Pursuant to subsection 60(1) of the Federal Court Act and subsection 120(1) of the Federal Magistrates Act, the Governor-General made the </w:t>
      </w:r>
      <w:r w:rsidRPr="00B140B3">
        <w:rPr>
          <w:i/>
        </w:rPr>
        <w:t xml:space="preserve">Federal Court of Australia Regulations </w:t>
      </w:r>
      <w:r>
        <w:rPr>
          <w:i/>
        </w:rPr>
        <w:t>2004</w:t>
      </w:r>
      <w:r>
        <w:t xml:space="preserve"> (the </w:t>
      </w:r>
      <w:r w:rsidR="00C73075">
        <w:t>Federal Court</w:t>
      </w:r>
      <w:r>
        <w:t xml:space="preserve"> Regulations) and the </w:t>
      </w:r>
      <w:r>
        <w:rPr>
          <w:i/>
        </w:rPr>
        <w:t>Federal Magistrates Regulations 2000</w:t>
      </w:r>
      <w:r w:rsidR="001F620B">
        <w:t>, prescribing the</w:t>
      </w:r>
      <w:r>
        <w:t xml:space="preserve"> fees </w:t>
      </w:r>
      <w:r w:rsidR="001F620B">
        <w:t xml:space="preserve">to be paid in respect of proceedings in the </w:t>
      </w:r>
      <w:r>
        <w:t>F</w:t>
      </w:r>
      <w:r w:rsidR="001F620B">
        <w:t>ederal Court and FMC</w:t>
      </w:r>
      <w:r>
        <w:t xml:space="preserve"> res</w:t>
      </w:r>
      <w:r w:rsidR="001F620B">
        <w:t>pectively, and making provision</w:t>
      </w:r>
      <w:r>
        <w:t xml:space="preserve"> in relation to payment of those fees.</w:t>
      </w:r>
    </w:p>
    <w:p w:rsidR="00BA77B3" w:rsidRDefault="00096331" w:rsidP="00BA77B3">
      <w:pPr>
        <w:spacing w:before="300" w:after="120"/>
        <w:ind w:right="91"/>
      </w:pPr>
      <w:r>
        <w:rPr>
          <w:szCs w:val="24"/>
        </w:rPr>
        <w:t>The Fe</w:t>
      </w:r>
      <w:r w:rsidR="001F620B">
        <w:rPr>
          <w:szCs w:val="24"/>
        </w:rPr>
        <w:t>deral Court Regulations also mad</w:t>
      </w:r>
      <w:r>
        <w:rPr>
          <w:szCs w:val="24"/>
        </w:rPr>
        <w:t>e provision for remuneration and allowances payable to jurors in criminal proceedings in the Federal Court, and prescribe</w:t>
      </w:r>
      <w:r w:rsidR="001F620B">
        <w:rPr>
          <w:szCs w:val="24"/>
        </w:rPr>
        <w:t>d</w:t>
      </w:r>
      <w:r>
        <w:rPr>
          <w:szCs w:val="24"/>
        </w:rPr>
        <w:t xml:space="preserve"> an upper limit of $1,000,000 </w:t>
      </w:r>
      <w:r w:rsidR="00FF2EBF">
        <w:rPr>
          <w:szCs w:val="24"/>
        </w:rPr>
        <w:t>for</w:t>
      </w:r>
      <w:r>
        <w:rPr>
          <w:szCs w:val="24"/>
        </w:rPr>
        <w:t xml:space="preserve"> contracts able to be made by the Chief Justice of the Federal Court</w:t>
      </w:r>
      <w:r w:rsidR="00D271EB">
        <w:rPr>
          <w:szCs w:val="24"/>
        </w:rPr>
        <w:t xml:space="preserve"> </w:t>
      </w:r>
      <w:r w:rsidR="00FF2EBF">
        <w:rPr>
          <w:szCs w:val="24"/>
        </w:rPr>
        <w:t xml:space="preserve">providing </w:t>
      </w:r>
      <w:r w:rsidR="00D271EB">
        <w:rPr>
          <w:szCs w:val="24"/>
        </w:rPr>
        <w:t xml:space="preserve">for </w:t>
      </w:r>
      <w:r w:rsidR="00D271EB">
        <w:t>payments to be made or received by the Commonwealth</w:t>
      </w:r>
      <w:r w:rsidR="00E50606">
        <w:rPr>
          <w:szCs w:val="24"/>
        </w:rPr>
        <w:t>.</w:t>
      </w:r>
    </w:p>
    <w:p w:rsidR="003C116F" w:rsidRDefault="00924A45" w:rsidP="00BA77B3">
      <w:pPr>
        <w:spacing w:before="300" w:after="120"/>
        <w:ind w:right="91"/>
      </w:pPr>
      <w:r w:rsidRPr="00893B48">
        <w:lastRenderedPageBreak/>
        <w:t xml:space="preserve">The </w:t>
      </w:r>
      <w:r w:rsidR="008F7EEE">
        <w:t xml:space="preserve">purpose of the </w:t>
      </w:r>
      <w:r w:rsidR="00B140B3">
        <w:rPr>
          <w:i/>
        </w:rPr>
        <w:t xml:space="preserve">Federal Court and Federal Magistrates Court </w:t>
      </w:r>
      <w:r w:rsidR="00B140B3" w:rsidRPr="00547901">
        <w:rPr>
          <w:i/>
        </w:rPr>
        <w:t xml:space="preserve">Regulation </w:t>
      </w:r>
      <w:r w:rsidR="00B140B3">
        <w:rPr>
          <w:i/>
        </w:rPr>
        <w:t xml:space="preserve">2012 </w:t>
      </w:r>
      <w:r w:rsidR="008F7EEE">
        <w:t>(</w:t>
      </w:r>
      <w:r w:rsidR="004E5790">
        <w:t>the</w:t>
      </w:r>
      <w:r w:rsidR="008F7EEE">
        <w:t> </w:t>
      </w:r>
      <w:r w:rsidR="00B140B3">
        <w:t xml:space="preserve">Regulation) </w:t>
      </w:r>
      <w:r w:rsidR="008F7EEE">
        <w:t xml:space="preserve">is to </w:t>
      </w:r>
      <w:r w:rsidR="004C7F32">
        <w:t xml:space="preserve">repeal and </w:t>
      </w:r>
      <w:r w:rsidR="008F7EEE">
        <w:t>replace</w:t>
      </w:r>
      <w:r w:rsidR="00B140B3">
        <w:t xml:space="preserve"> the </w:t>
      </w:r>
      <w:r w:rsidR="00C73075">
        <w:t xml:space="preserve">Federal Court Regulations </w:t>
      </w:r>
      <w:r w:rsidR="00B140B3">
        <w:t xml:space="preserve">and </w:t>
      </w:r>
      <w:r w:rsidR="00C805D2">
        <w:t>the F</w:t>
      </w:r>
      <w:r w:rsidR="004E5790">
        <w:t xml:space="preserve">ederal </w:t>
      </w:r>
      <w:r w:rsidR="00C805D2">
        <w:t>M</w:t>
      </w:r>
      <w:r w:rsidR="004E5790">
        <w:t>agistrates</w:t>
      </w:r>
      <w:r w:rsidR="00C805D2">
        <w:t> </w:t>
      </w:r>
      <w:r w:rsidR="00B140B3">
        <w:t xml:space="preserve">Regulations with a </w:t>
      </w:r>
      <w:r w:rsidR="00EF6AF0">
        <w:t xml:space="preserve">consolidated </w:t>
      </w:r>
      <w:r w:rsidR="00B140B3">
        <w:t xml:space="preserve">regulation about fees for proceedings in the Federal Court and </w:t>
      </w:r>
      <w:r w:rsidR="001F620B">
        <w:t xml:space="preserve">the </w:t>
      </w:r>
      <w:r w:rsidR="00B140B3">
        <w:t xml:space="preserve">FMC (other than </w:t>
      </w:r>
      <w:r w:rsidR="008F7EEE">
        <w:t xml:space="preserve">in </w:t>
      </w:r>
      <w:r w:rsidR="00B140B3">
        <w:t xml:space="preserve">family law) </w:t>
      </w:r>
      <w:r w:rsidR="008F7EEE">
        <w:t xml:space="preserve">and </w:t>
      </w:r>
      <w:r w:rsidR="001F620B">
        <w:t xml:space="preserve">also </w:t>
      </w:r>
      <w:r w:rsidR="008F7EEE">
        <w:t>to</w:t>
      </w:r>
      <w:r w:rsidR="00B140B3">
        <w:t xml:space="preserve"> </w:t>
      </w:r>
      <w:r w:rsidR="00BD134A">
        <w:t xml:space="preserve">implement </w:t>
      </w:r>
      <w:r w:rsidR="00B465C8">
        <w:t xml:space="preserve">a range of </w:t>
      </w:r>
      <w:r w:rsidR="00BD134A">
        <w:t xml:space="preserve">reforms </w:t>
      </w:r>
      <w:r w:rsidR="00B306A0">
        <w:t>to court fees</w:t>
      </w:r>
      <w:r w:rsidR="003C116F">
        <w:t>,</w:t>
      </w:r>
      <w:r w:rsidR="00B306A0">
        <w:t xml:space="preserve"> </w:t>
      </w:r>
      <w:r w:rsidR="003C116F">
        <w:t>including:</w:t>
      </w:r>
    </w:p>
    <w:p w:rsidR="003C116F" w:rsidRDefault="00D271EB" w:rsidP="003C116F">
      <w:pPr>
        <w:numPr>
          <w:ilvl w:val="0"/>
          <w:numId w:val="10"/>
        </w:numPr>
        <w:spacing w:after="120"/>
        <w:ind w:right="91"/>
      </w:pPr>
      <w:r>
        <w:t xml:space="preserve">increasing </w:t>
      </w:r>
      <w:r w:rsidR="003C116F">
        <w:t>existing fees by 15</w:t>
      </w:r>
      <w:r>
        <w:t xml:space="preserve"> percent, </w:t>
      </w:r>
      <w:r w:rsidR="003C116F">
        <w:t>increas</w:t>
      </w:r>
      <w:r>
        <w:t>ing</w:t>
      </w:r>
      <w:r w:rsidR="00356827">
        <w:t xml:space="preserve"> fees payable by corporations </w:t>
      </w:r>
      <w:r>
        <w:t xml:space="preserve">by </w:t>
      </w:r>
      <w:r w:rsidR="003C116F">
        <w:t>around 40</w:t>
      </w:r>
      <w:r>
        <w:t xml:space="preserve"> percent, </w:t>
      </w:r>
      <w:r w:rsidR="003C116F">
        <w:t xml:space="preserve">and </w:t>
      </w:r>
      <w:r w:rsidR="00B67DF7">
        <w:t>introducing</w:t>
      </w:r>
      <w:r>
        <w:t xml:space="preserve"> </w:t>
      </w:r>
      <w:r w:rsidR="003C116F" w:rsidRPr="0070617C">
        <w:t xml:space="preserve">a </w:t>
      </w:r>
      <w:r w:rsidR="007144EA" w:rsidRPr="0070617C">
        <w:t xml:space="preserve">separate higher fee for </w:t>
      </w:r>
      <w:r w:rsidR="007144EA">
        <w:t xml:space="preserve">a corporation that is a </w:t>
      </w:r>
      <w:r w:rsidR="007144EA" w:rsidRPr="0070617C">
        <w:t>publicly listed compan</w:t>
      </w:r>
      <w:r w:rsidR="007144EA">
        <w:t>y</w:t>
      </w:r>
    </w:p>
    <w:p w:rsidR="003C116F" w:rsidRPr="0070617C" w:rsidRDefault="007144EA" w:rsidP="003C116F">
      <w:pPr>
        <w:numPr>
          <w:ilvl w:val="0"/>
          <w:numId w:val="10"/>
        </w:numPr>
        <w:spacing w:after="120"/>
        <w:ind w:right="91"/>
      </w:pPr>
      <w:r>
        <w:t>removing the reduced fee of $100 now payable by legal aid recipients and people on Commonwealth income support, and providing that those persons need not pay court fees</w:t>
      </w:r>
      <w:r w:rsidRPr="0070617C">
        <w:t xml:space="preserve"> (oth</w:t>
      </w:r>
      <w:r>
        <w:t>er than some photocopying fees</w:t>
      </w:r>
      <w:r w:rsidR="003C116F">
        <w:t>)</w:t>
      </w:r>
      <w:r w:rsidR="00D271EB">
        <w:t>, and</w:t>
      </w:r>
    </w:p>
    <w:p w:rsidR="003C116F" w:rsidRPr="0070617C" w:rsidRDefault="001F620B" w:rsidP="003C116F">
      <w:pPr>
        <w:numPr>
          <w:ilvl w:val="0"/>
          <w:numId w:val="10"/>
        </w:numPr>
        <w:spacing w:after="120"/>
        <w:ind w:right="91"/>
      </w:pPr>
      <w:r>
        <w:t>introducing new fees</w:t>
      </w:r>
      <w:r w:rsidR="003C116F">
        <w:t xml:space="preserve"> target</w:t>
      </w:r>
      <w:r>
        <w:t>ing</w:t>
      </w:r>
      <w:r w:rsidR="003C116F">
        <w:t xml:space="preserve"> resource intensive processes</w:t>
      </w:r>
      <w:r w:rsidR="00D271EB" w:rsidRPr="00D271EB">
        <w:t xml:space="preserve"> </w:t>
      </w:r>
      <w:r w:rsidR="00D271EB">
        <w:t>to encourage court users to utilise alternative dispute</w:t>
      </w:r>
      <w:r w:rsidR="00B67DF7">
        <w:t xml:space="preserve"> resolution</w:t>
      </w:r>
      <w:r w:rsidR="00D271EB">
        <w:t xml:space="preserve"> processes.</w:t>
      </w:r>
    </w:p>
    <w:p w:rsidR="00422851" w:rsidRPr="00422851" w:rsidRDefault="00B306A0" w:rsidP="004A0B0B">
      <w:pPr>
        <w:spacing w:before="300" w:after="120"/>
        <w:ind w:right="91"/>
      </w:pPr>
      <w:r>
        <w:t>These measures are part of wider reforms announced in the 2012</w:t>
      </w:r>
      <w:r>
        <w:noBreakHyphen/>
        <w:t>13 Budget</w:t>
      </w:r>
      <w:r w:rsidR="003C116F">
        <w:t xml:space="preserve"> which also include </w:t>
      </w:r>
      <w:r w:rsidR="00D271EB">
        <w:t xml:space="preserve">similar </w:t>
      </w:r>
      <w:r w:rsidR="003C116F">
        <w:t xml:space="preserve">reforms for the High Court of Australia, the Family Court of Australia and family law proceedings in the FMC.  </w:t>
      </w:r>
    </w:p>
    <w:p w:rsidR="0070617C" w:rsidRPr="00BF32D5" w:rsidRDefault="00FD5CFF" w:rsidP="004A0B0B">
      <w:pPr>
        <w:spacing w:before="300" w:after="120"/>
        <w:ind w:right="91"/>
      </w:pPr>
      <w:r w:rsidRPr="00BF32D5">
        <w:rPr>
          <w:szCs w:val="24"/>
        </w:rPr>
        <w:t xml:space="preserve">The Regulation </w:t>
      </w:r>
      <w:r w:rsidR="00BF32D5">
        <w:rPr>
          <w:szCs w:val="24"/>
        </w:rPr>
        <w:t xml:space="preserve">also </w:t>
      </w:r>
      <w:r w:rsidR="00C71F87" w:rsidRPr="00BF32D5">
        <w:rPr>
          <w:szCs w:val="24"/>
        </w:rPr>
        <w:t>retain</w:t>
      </w:r>
      <w:r w:rsidR="00D927C4">
        <w:rPr>
          <w:szCs w:val="24"/>
        </w:rPr>
        <w:t>s</w:t>
      </w:r>
      <w:r w:rsidR="00C71F87" w:rsidRPr="00BF32D5">
        <w:rPr>
          <w:szCs w:val="24"/>
        </w:rPr>
        <w:t xml:space="preserve"> </w:t>
      </w:r>
      <w:r w:rsidR="00BF32D5">
        <w:rPr>
          <w:szCs w:val="24"/>
        </w:rPr>
        <w:t xml:space="preserve">provisions in the </w:t>
      </w:r>
      <w:r w:rsidR="00C73075">
        <w:rPr>
          <w:szCs w:val="24"/>
        </w:rPr>
        <w:t xml:space="preserve">Federal Court Regulations and the </w:t>
      </w:r>
      <w:r w:rsidR="004E5790">
        <w:t>Federal Magistrates</w:t>
      </w:r>
      <w:r w:rsidR="00C73075">
        <w:rPr>
          <w:szCs w:val="24"/>
        </w:rPr>
        <w:t xml:space="preserve"> Regulations </w:t>
      </w:r>
      <w:r w:rsidR="00BF32D5">
        <w:rPr>
          <w:szCs w:val="24"/>
        </w:rPr>
        <w:t>that do not relate to the administration of fees</w:t>
      </w:r>
      <w:r w:rsidR="00C71F87" w:rsidRPr="00BF32D5">
        <w:rPr>
          <w:i/>
          <w:szCs w:val="24"/>
        </w:rPr>
        <w:t>.</w:t>
      </w:r>
      <w:r w:rsidRPr="00BF32D5">
        <w:rPr>
          <w:i/>
          <w:szCs w:val="24"/>
        </w:rPr>
        <w:t xml:space="preserve"> </w:t>
      </w:r>
      <w:r w:rsidR="00BF32D5">
        <w:rPr>
          <w:szCs w:val="24"/>
        </w:rPr>
        <w:t xml:space="preserve"> </w:t>
      </w:r>
    </w:p>
    <w:p w:rsidR="00A915F3" w:rsidRDefault="00A915F3" w:rsidP="004A0B0B">
      <w:pPr>
        <w:tabs>
          <w:tab w:val="left" w:pos="6521"/>
        </w:tabs>
        <w:spacing w:before="300"/>
        <w:ind w:right="91"/>
      </w:pPr>
      <w:r>
        <w:t xml:space="preserve">The Federal Court of Australia and the Federal Magistrates Court of Australia were consulted on the content of the Regulation.  The consultation involved exchange of correspondence and discussions. </w:t>
      </w:r>
    </w:p>
    <w:p w:rsidR="00A915F3" w:rsidRDefault="00A915F3" w:rsidP="004A0B0B">
      <w:pPr>
        <w:tabs>
          <w:tab w:val="left" w:pos="6521"/>
        </w:tabs>
        <w:spacing w:before="300"/>
        <w:ind w:right="91"/>
      </w:pPr>
      <w:r>
        <w:t xml:space="preserve">The Office of Best Practice Regulation was consulted on the </w:t>
      </w:r>
      <w:r w:rsidR="004C7F32">
        <w:t>measures announced in the 2012</w:t>
      </w:r>
      <w:r w:rsidR="004C7F32">
        <w:noBreakHyphen/>
        <w:t>13 Budget</w:t>
      </w:r>
      <w:r>
        <w:t xml:space="preserve"> and advised that no Regulation Impact Statement was required.</w:t>
      </w:r>
    </w:p>
    <w:p w:rsidR="00A915F3" w:rsidRDefault="00A915F3" w:rsidP="004A0B0B">
      <w:pPr>
        <w:tabs>
          <w:tab w:val="left" w:pos="6521"/>
        </w:tabs>
        <w:spacing w:before="300"/>
        <w:ind w:right="91"/>
      </w:pPr>
      <w:r>
        <w:t xml:space="preserve">The Regulation is a legislative instrument for the purposes of the </w:t>
      </w:r>
      <w:r w:rsidR="006C7533">
        <w:rPr>
          <w:i/>
        </w:rPr>
        <w:t>Legislative </w:t>
      </w:r>
      <w:r w:rsidRPr="00B63B3C">
        <w:rPr>
          <w:i/>
        </w:rPr>
        <w:t>Instruments Act 2003</w:t>
      </w:r>
      <w:r>
        <w:t>.</w:t>
      </w:r>
    </w:p>
    <w:p w:rsidR="00A915F3" w:rsidRDefault="00A915F3" w:rsidP="004A0B0B">
      <w:pPr>
        <w:tabs>
          <w:tab w:val="left" w:pos="6521"/>
        </w:tabs>
        <w:spacing w:before="300"/>
        <w:ind w:right="91"/>
      </w:pPr>
      <w:r>
        <w:t>The Regulation commence</w:t>
      </w:r>
      <w:r w:rsidR="004C7F32">
        <w:t>s</w:t>
      </w:r>
      <w:r>
        <w:t xml:space="preserve"> on 1 January 2013.</w:t>
      </w:r>
    </w:p>
    <w:p w:rsidR="00A915F3" w:rsidRPr="009C7A63" w:rsidRDefault="00A915F3" w:rsidP="004A0B0B">
      <w:pPr>
        <w:tabs>
          <w:tab w:val="left" w:pos="6521"/>
        </w:tabs>
        <w:spacing w:before="300"/>
        <w:ind w:right="91"/>
        <w:rPr>
          <w:b/>
          <w:u w:val="single"/>
        </w:rPr>
      </w:pPr>
      <w:r>
        <w:t>Details of the Regulation are as follows:</w:t>
      </w:r>
    </w:p>
    <w:p w:rsidR="00642ECB" w:rsidRDefault="00642ECB" w:rsidP="00642ECB">
      <w:pPr>
        <w:spacing w:before="0"/>
        <w:ind w:right="91"/>
      </w:pPr>
    </w:p>
    <w:p w:rsidR="009A77A3" w:rsidRPr="004E5790" w:rsidRDefault="009A77A3" w:rsidP="004A0B0B">
      <w:pPr>
        <w:spacing w:before="80"/>
        <w:ind w:right="91"/>
        <w:rPr>
          <w:u w:val="single"/>
        </w:rPr>
      </w:pPr>
      <w:r w:rsidRPr="004E5790">
        <w:rPr>
          <w:u w:val="single"/>
        </w:rPr>
        <w:t>Part 1</w:t>
      </w:r>
      <w:r w:rsidR="00B67DF7">
        <w:rPr>
          <w:u w:val="single"/>
        </w:rPr>
        <w:t xml:space="preserve"> </w:t>
      </w:r>
      <w:r w:rsidR="004E5790" w:rsidRPr="004E5790">
        <w:rPr>
          <w:b/>
          <w:u w:val="single"/>
        </w:rPr>
        <w:t>–</w:t>
      </w:r>
      <w:r w:rsidRPr="004E5790">
        <w:rPr>
          <w:u w:val="single"/>
        </w:rPr>
        <w:t xml:space="preserve"> Preliminary</w:t>
      </w:r>
    </w:p>
    <w:p w:rsidR="009A77A3" w:rsidRDefault="009A77A3" w:rsidP="004A0B0B">
      <w:pPr>
        <w:spacing w:before="80"/>
        <w:ind w:right="91"/>
        <w:rPr>
          <w:u w:val="single"/>
        </w:rPr>
      </w:pPr>
    </w:p>
    <w:p w:rsidR="00642ECB" w:rsidRPr="009A77A3" w:rsidRDefault="00686F39" w:rsidP="004A0B0B">
      <w:pPr>
        <w:spacing w:before="80"/>
        <w:ind w:right="91"/>
        <w:rPr>
          <w:b/>
        </w:rPr>
      </w:pPr>
      <w:r>
        <w:rPr>
          <w:b/>
        </w:rPr>
        <w:t>Section 1.01 – Name of r</w:t>
      </w:r>
      <w:r w:rsidR="009A77A3" w:rsidRPr="009A77A3">
        <w:rPr>
          <w:b/>
        </w:rPr>
        <w:t>egulation</w:t>
      </w:r>
    </w:p>
    <w:p w:rsidR="00642ECB" w:rsidRDefault="00642ECB" w:rsidP="00642ECB">
      <w:pPr>
        <w:spacing w:before="0"/>
        <w:ind w:right="91"/>
      </w:pPr>
    </w:p>
    <w:p w:rsidR="00642ECB" w:rsidRDefault="00642ECB" w:rsidP="00642ECB">
      <w:pPr>
        <w:spacing w:before="0"/>
        <w:ind w:right="91"/>
      </w:pPr>
      <w:r>
        <w:t xml:space="preserve">This </w:t>
      </w:r>
      <w:r w:rsidR="009A77A3">
        <w:t xml:space="preserve">section </w:t>
      </w:r>
      <w:r>
        <w:t>provide</w:t>
      </w:r>
      <w:r w:rsidR="00D927C4">
        <w:t>s</w:t>
      </w:r>
      <w:r>
        <w:t xml:space="preserve"> that the title of the Regulation </w:t>
      </w:r>
      <w:r w:rsidR="00D927C4">
        <w:t>is</w:t>
      </w:r>
      <w:r>
        <w:t xml:space="preserve"> the</w:t>
      </w:r>
      <w:r w:rsidR="009A77A3">
        <w:rPr>
          <w:i/>
        </w:rPr>
        <w:t xml:space="preserve"> </w:t>
      </w:r>
      <w:r w:rsidR="009A77A3" w:rsidRPr="009A77A3">
        <w:rPr>
          <w:i/>
        </w:rPr>
        <w:t>Federal Court and Federal Magistrates Court Regulation 2012</w:t>
      </w:r>
      <w:r w:rsidR="009A77A3">
        <w:t>.</w:t>
      </w:r>
    </w:p>
    <w:p w:rsidR="009A77A3" w:rsidRDefault="009A77A3" w:rsidP="00642ECB">
      <w:pPr>
        <w:spacing w:before="0"/>
        <w:ind w:right="91"/>
      </w:pPr>
    </w:p>
    <w:p w:rsidR="009A77A3" w:rsidRPr="009A77A3" w:rsidRDefault="00DC32D6" w:rsidP="004A0B0B">
      <w:pPr>
        <w:spacing w:before="80"/>
        <w:ind w:right="91"/>
        <w:rPr>
          <w:b/>
        </w:rPr>
      </w:pPr>
      <w:r>
        <w:rPr>
          <w:b/>
        </w:rPr>
        <w:t>Section 1.02</w:t>
      </w:r>
      <w:r w:rsidR="009A77A3" w:rsidRPr="009A77A3">
        <w:rPr>
          <w:b/>
        </w:rPr>
        <w:t xml:space="preserve"> – </w:t>
      </w:r>
      <w:r w:rsidR="009A77A3">
        <w:rPr>
          <w:b/>
        </w:rPr>
        <w:t>Commencement</w:t>
      </w:r>
    </w:p>
    <w:p w:rsidR="009A77A3" w:rsidRDefault="009A77A3" w:rsidP="009A77A3">
      <w:pPr>
        <w:spacing w:before="0"/>
        <w:ind w:right="91"/>
      </w:pPr>
    </w:p>
    <w:p w:rsidR="009A77A3" w:rsidRDefault="009A77A3" w:rsidP="009A77A3">
      <w:pPr>
        <w:spacing w:before="0"/>
        <w:ind w:right="91"/>
      </w:pPr>
      <w:r>
        <w:t xml:space="preserve">This section </w:t>
      </w:r>
      <w:r w:rsidR="00076650">
        <w:t>provide</w:t>
      </w:r>
      <w:r w:rsidR="00D927C4">
        <w:t>s</w:t>
      </w:r>
      <w:r>
        <w:t xml:space="preserve"> that the Regulation</w:t>
      </w:r>
      <w:r w:rsidR="003046FD">
        <w:t xml:space="preserve"> commence</w:t>
      </w:r>
      <w:r w:rsidR="00D927C4">
        <w:t>s</w:t>
      </w:r>
      <w:r w:rsidR="00466804">
        <w:t xml:space="preserve"> on 1 </w:t>
      </w:r>
      <w:r>
        <w:t>January 2013.</w:t>
      </w:r>
    </w:p>
    <w:p w:rsidR="009A77A3" w:rsidRDefault="009A77A3" w:rsidP="009A77A3">
      <w:pPr>
        <w:spacing w:before="0"/>
        <w:ind w:right="91"/>
      </w:pPr>
    </w:p>
    <w:p w:rsidR="009A77A3" w:rsidRDefault="009A77A3" w:rsidP="004A0B0B">
      <w:pPr>
        <w:spacing w:before="80"/>
        <w:ind w:right="91"/>
        <w:rPr>
          <w:b/>
        </w:rPr>
      </w:pPr>
      <w:r w:rsidRPr="009A77A3">
        <w:rPr>
          <w:b/>
        </w:rPr>
        <w:t>Section 1</w:t>
      </w:r>
      <w:r>
        <w:rPr>
          <w:b/>
        </w:rPr>
        <w:t>.03</w:t>
      </w:r>
      <w:r w:rsidRPr="009A77A3">
        <w:rPr>
          <w:b/>
        </w:rPr>
        <w:t xml:space="preserve"> – </w:t>
      </w:r>
      <w:r>
        <w:rPr>
          <w:b/>
        </w:rPr>
        <w:t>Definitions</w:t>
      </w:r>
    </w:p>
    <w:p w:rsidR="00BE52BD" w:rsidRDefault="00BE52BD" w:rsidP="009A77A3">
      <w:pPr>
        <w:spacing w:before="0"/>
        <w:ind w:right="91"/>
        <w:rPr>
          <w:b/>
        </w:rPr>
      </w:pPr>
    </w:p>
    <w:p w:rsidR="00023ADE" w:rsidRPr="00023ADE" w:rsidRDefault="00023ADE" w:rsidP="00023ADE">
      <w:pPr>
        <w:spacing w:before="0"/>
        <w:ind w:right="91"/>
      </w:pPr>
      <w:r w:rsidRPr="00023ADE">
        <w:t>This section provide</w:t>
      </w:r>
      <w:r w:rsidR="00D927C4">
        <w:t>s</w:t>
      </w:r>
      <w:r w:rsidRPr="00023ADE">
        <w:t xml:space="preserve"> for definitions of terms used in </w:t>
      </w:r>
      <w:r w:rsidR="00D927C4">
        <w:t>the</w:t>
      </w:r>
      <w:r w:rsidR="00466804">
        <w:t xml:space="preserve"> </w:t>
      </w:r>
      <w:r w:rsidRPr="00023ADE">
        <w:t>Regulation. Significant new or amended definitions are explained below.</w:t>
      </w:r>
    </w:p>
    <w:p w:rsidR="00023ADE" w:rsidRPr="00023ADE" w:rsidRDefault="00023ADE" w:rsidP="00023ADE">
      <w:pPr>
        <w:spacing w:before="0"/>
        <w:ind w:right="91"/>
        <w:rPr>
          <w:i/>
        </w:rPr>
      </w:pPr>
    </w:p>
    <w:p w:rsidR="00023ADE" w:rsidRPr="00023ADE" w:rsidRDefault="00023ADE" w:rsidP="00023ADE">
      <w:pPr>
        <w:spacing w:before="0"/>
        <w:ind w:right="91"/>
        <w:rPr>
          <w:i/>
        </w:rPr>
      </w:pPr>
      <w:r w:rsidRPr="00023ADE">
        <w:rPr>
          <w:i/>
        </w:rPr>
        <w:t>‘general federal law proceeding’</w:t>
      </w:r>
    </w:p>
    <w:p w:rsidR="00023ADE" w:rsidRPr="00023ADE" w:rsidRDefault="00023ADE" w:rsidP="00023ADE">
      <w:pPr>
        <w:spacing w:before="0"/>
        <w:ind w:right="91"/>
        <w:rPr>
          <w:i/>
        </w:rPr>
      </w:pPr>
    </w:p>
    <w:p w:rsidR="00023ADE" w:rsidRPr="00F2573A" w:rsidRDefault="00023ADE" w:rsidP="00023ADE">
      <w:pPr>
        <w:spacing w:before="0"/>
        <w:ind w:right="91"/>
      </w:pPr>
      <w:r w:rsidRPr="00F2573A">
        <w:t xml:space="preserve">The term is defined to mean a proceeding in the Federal Court, and a proceeding in the </w:t>
      </w:r>
      <w:r w:rsidR="00F2573A">
        <w:t xml:space="preserve">FMC </w:t>
      </w:r>
      <w:r w:rsidRPr="00F2573A">
        <w:t xml:space="preserve">that is not a proceeding under the </w:t>
      </w:r>
      <w:r w:rsidRPr="00F2573A">
        <w:rPr>
          <w:i/>
        </w:rPr>
        <w:t>Family Law Act 1975</w:t>
      </w:r>
      <w:r w:rsidR="00F2573A">
        <w:t xml:space="preserve">.  </w:t>
      </w:r>
      <w:r w:rsidRPr="00F2573A">
        <w:t xml:space="preserve">Section 1.05 applies Parts 1 and 2 of the Regulation to documents filed or services requested in relation to a general federal law proceeding.  The </w:t>
      </w:r>
      <w:r w:rsidRPr="00F2573A">
        <w:rPr>
          <w:i/>
        </w:rPr>
        <w:t>Family Law (Fees) Regulation 2012</w:t>
      </w:r>
      <w:r w:rsidRPr="00F2573A">
        <w:t xml:space="preserve"> appl</w:t>
      </w:r>
      <w:r w:rsidR="00D927C4">
        <w:t>ies</w:t>
      </w:r>
      <w:r w:rsidRPr="00F2573A">
        <w:t xml:space="preserve"> to the documents filed or services requested in a Family Law Act proceeding, including such a proceeding in the </w:t>
      </w:r>
      <w:r w:rsidR="00F2573A">
        <w:t>FMC</w:t>
      </w:r>
      <w:r w:rsidRPr="00F2573A">
        <w:t xml:space="preserve">.  </w:t>
      </w:r>
    </w:p>
    <w:p w:rsidR="00023ADE" w:rsidRPr="00023ADE" w:rsidRDefault="00023ADE" w:rsidP="00023ADE">
      <w:pPr>
        <w:spacing w:before="0"/>
        <w:ind w:right="91"/>
        <w:rPr>
          <w:i/>
        </w:rPr>
      </w:pPr>
    </w:p>
    <w:p w:rsidR="00023ADE" w:rsidRPr="00023ADE" w:rsidRDefault="00023ADE" w:rsidP="00023ADE">
      <w:pPr>
        <w:spacing w:before="0"/>
        <w:ind w:right="91"/>
        <w:rPr>
          <w:i/>
        </w:rPr>
      </w:pPr>
      <w:r w:rsidRPr="00023ADE">
        <w:rPr>
          <w:i/>
        </w:rPr>
        <w:t>‘interlocutory application’</w:t>
      </w:r>
    </w:p>
    <w:p w:rsidR="00023ADE" w:rsidRPr="00023ADE" w:rsidRDefault="00023ADE" w:rsidP="00023ADE">
      <w:pPr>
        <w:spacing w:before="0"/>
        <w:ind w:right="91"/>
        <w:rPr>
          <w:i/>
        </w:rPr>
      </w:pPr>
    </w:p>
    <w:p w:rsidR="00023ADE" w:rsidRDefault="00023ADE" w:rsidP="00023ADE">
      <w:pPr>
        <w:spacing w:before="0"/>
        <w:ind w:right="91"/>
      </w:pPr>
      <w:r w:rsidRPr="00F2573A">
        <w:t xml:space="preserve">The term is defined to mean an application, other than a cross-claim, in a proceeding that has already commenced.  </w:t>
      </w:r>
      <w:r w:rsidR="00D927C4">
        <w:t>Item</w:t>
      </w:r>
      <w:r w:rsidRPr="00F2573A">
        <w:t xml:space="preserve"> 111 of Schedule 1 </w:t>
      </w:r>
      <w:r w:rsidR="00F2573A">
        <w:t>provide</w:t>
      </w:r>
      <w:r w:rsidR="00D927C4">
        <w:t>s</w:t>
      </w:r>
      <w:r w:rsidRPr="00F2573A">
        <w:t xml:space="preserve"> for a fee for filing an interlocutory application in the Federal Court.</w:t>
      </w:r>
    </w:p>
    <w:p w:rsidR="00BF1313" w:rsidRPr="00023ADE" w:rsidRDefault="00BF1313" w:rsidP="00023ADE">
      <w:pPr>
        <w:spacing w:before="0"/>
        <w:ind w:right="91"/>
        <w:rPr>
          <w:i/>
        </w:rPr>
      </w:pPr>
    </w:p>
    <w:p w:rsidR="00023ADE" w:rsidRPr="00023ADE" w:rsidRDefault="00023ADE" w:rsidP="00023ADE">
      <w:pPr>
        <w:spacing w:before="0"/>
        <w:ind w:right="91"/>
        <w:rPr>
          <w:i/>
        </w:rPr>
      </w:pPr>
      <w:r w:rsidRPr="00023ADE">
        <w:rPr>
          <w:i/>
        </w:rPr>
        <w:t>‘publicly listed company’</w:t>
      </w:r>
    </w:p>
    <w:p w:rsidR="00023ADE" w:rsidRPr="00023ADE" w:rsidRDefault="00023ADE" w:rsidP="00023ADE">
      <w:pPr>
        <w:spacing w:before="0"/>
        <w:ind w:right="91"/>
        <w:rPr>
          <w:i/>
        </w:rPr>
      </w:pPr>
    </w:p>
    <w:p w:rsidR="00023ADE" w:rsidRPr="00F2573A" w:rsidRDefault="00023ADE" w:rsidP="00023ADE">
      <w:pPr>
        <w:spacing w:before="0"/>
        <w:ind w:right="91"/>
      </w:pPr>
      <w:r w:rsidRPr="00F2573A">
        <w:t xml:space="preserve">The term is defined to mean a company that is listed on a stock exchange or financial market in any country.  Filing, setting down, hearing, subpoena and summons fees in Schedule 1 </w:t>
      </w:r>
      <w:r w:rsidR="00D927C4">
        <w:t>are</w:t>
      </w:r>
      <w:r w:rsidR="00EF6522">
        <w:t xml:space="preserve"> </w:t>
      </w:r>
      <w:r w:rsidRPr="00F2573A">
        <w:t>set at higher levels for a publicly listed company.</w:t>
      </w:r>
    </w:p>
    <w:p w:rsidR="00023ADE" w:rsidRPr="00023ADE" w:rsidRDefault="00023ADE" w:rsidP="00023ADE">
      <w:pPr>
        <w:spacing w:before="0"/>
        <w:ind w:right="91"/>
        <w:rPr>
          <w:i/>
        </w:rPr>
      </w:pPr>
    </w:p>
    <w:p w:rsidR="00023ADE" w:rsidRPr="00023ADE" w:rsidRDefault="00023ADE" w:rsidP="00023ADE">
      <w:pPr>
        <w:spacing w:before="0"/>
        <w:ind w:right="91"/>
        <w:rPr>
          <w:i/>
        </w:rPr>
      </w:pPr>
      <w:r w:rsidRPr="00023ADE">
        <w:rPr>
          <w:i/>
        </w:rPr>
        <w:t>‘small claims proceeding’</w:t>
      </w:r>
    </w:p>
    <w:p w:rsidR="00023ADE" w:rsidRPr="00023ADE" w:rsidRDefault="00023ADE" w:rsidP="00023ADE">
      <w:pPr>
        <w:spacing w:before="0"/>
        <w:ind w:right="91"/>
        <w:rPr>
          <w:i/>
        </w:rPr>
      </w:pPr>
    </w:p>
    <w:p w:rsidR="009A77A3" w:rsidRPr="00F2573A" w:rsidRDefault="00023ADE" w:rsidP="00023ADE">
      <w:pPr>
        <w:spacing w:before="0"/>
        <w:ind w:right="91"/>
      </w:pPr>
      <w:r w:rsidRPr="00F2573A">
        <w:t xml:space="preserve">The term is defined to mean a proceeding for which the applicant wants the small claims procedure in section 548 of the </w:t>
      </w:r>
      <w:r w:rsidRPr="00F2573A">
        <w:rPr>
          <w:i/>
        </w:rPr>
        <w:t>Fair Work Act 2009</w:t>
      </w:r>
      <w:r w:rsidRPr="00F2573A">
        <w:t xml:space="preserve">, or section 199 of the </w:t>
      </w:r>
      <w:r w:rsidRPr="00F2573A">
        <w:rPr>
          <w:i/>
        </w:rPr>
        <w:t>National Consumer Credit Protection Act 2009</w:t>
      </w:r>
      <w:r w:rsidRPr="00F2573A">
        <w:t xml:space="preserve">, to apply.   </w:t>
      </w:r>
      <w:r w:rsidR="00D927C4">
        <w:t>I</w:t>
      </w:r>
      <w:r w:rsidRPr="00F2573A">
        <w:t xml:space="preserve">tems 211 to 214 of Schedule 1 and subsection 2.10(4) </w:t>
      </w:r>
      <w:r w:rsidR="00F2573A">
        <w:t>limit</w:t>
      </w:r>
      <w:r w:rsidRPr="00F2573A">
        <w:t xml:space="preserve"> fees in small claims proceedings to a single lower filing fee.</w:t>
      </w:r>
    </w:p>
    <w:p w:rsidR="00D95738" w:rsidRDefault="00D95738" w:rsidP="009A77A3">
      <w:pPr>
        <w:spacing w:before="0"/>
        <w:ind w:right="91"/>
        <w:rPr>
          <w:b/>
        </w:rPr>
      </w:pPr>
    </w:p>
    <w:p w:rsidR="009A77A3" w:rsidRDefault="009A77A3" w:rsidP="004A0B0B">
      <w:pPr>
        <w:spacing w:before="80"/>
        <w:ind w:right="91"/>
        <w:rPr>
          <w:b/>
          <w:i/>
        </w:rPr>
      </w:pPr>
      <w:r w:rsidRPr="009A77A3">
        <w:rPr>
          <w:b/>
        </w:rPr>
        <w:t>Section 1</w:t>
      </w:r>
      <w:r>
        <w:rPr>
          <w:b/>
        </w:rPr>
        <w:t>.04</w:t>
      </w:r>
      <w:r w:rsidRPr="009A77A3">
        <w:rPr>
          <w:b/>
        </w:rPr>
        <w:t xml:space="preserve"> – </w:t>
      </w:r>
      <w:r>
        <w:rPr>
          <w:b/>
        </w:rPr>
        <w:t xml:space="preserve">Meaning of </w:t>
      </w:r>
      <w:r>
        <w:rPr>
          <w:b/>
          <w:i/>
        </w:rPr>
        <w:t>corporation</w:t>
      </w:r>
    </w:p>
    <w:p w:rsidR="00BA57C1" w:rsidRDefault="00BA57C1" w:rsidP="00BA57C1">
      <w:pPr>
        <w:spacing w:before="0"/>
        <w:ind w:right="91"/>
      </w:pPr>
    </w:p>
    <w:p w:rsidR="00BA57C1" w:rsidRDefault="00BA57C1" w:rsidP="00BA57C1">
      <w:pPr>
        <w:spacing w:before="0"/>
        <w:ind w:right="91"/>
      </w:pPr>
      <w:r>
        <w:t>This section provide</w:t>
      </w:r>
      <w:r w:rsidR="00D927C4">
        <w:t>s</w:t>
      </w:r>
      <w:r>
        <w:t xml:space="preserve"> that the term ‘corporation’, where it is used in the Regulation, includes the bodies mentioned in subsection 1.04(1), with the exceptions set out in subsection 1.04(2).  </w:t>
      </w:r>
    </w:p>
    <w:p w:rsidR="00BA57C1" w:rsidRDefault="00BA57C1" w:rsidP="00BA57C1">
      <w:pPr>
        <w:spacing w:before="0"/>
        <w:ind w:right="91"/>
      </w:pPr>
    </w:p>
    <w:p w:rsidR="009E2630" w:rsidRDefault="00B67DF7" w:rsidP="00BA57C1">
      <w:pPr>
        <w:spacing w:before="0"/>
        <w:ind w:right="91"/>
      </w:pPr>
      <w:r>
        <w:t>Paragraphs</w:t>
      </w:r>
      <w:r w:rsidR="00BA57C1">
        <w:t xml:space="preserve"> 1.04(1)(a) to (c), and (e), and the exception in </w:t>
      </w:r>
      <w:r>
        <w:t>paragraph</w:t>
      </w:r>
      <w:r w:rsidR="00BA57C1">
        <w:t xml:space="preserve"> 1.04(2)(a) in relation to corporation sole that is not a public authority, reflect the meaning of ‘corporation’ under section 57A of the </w:t>
      </w:r>
      <w:r w:rsidR="00BA57C1" w:rsidRPr="00BA57C1">
        <w:rPr>
          <w:i/>
        </w:rPr>
        <w:t>Corporations Act 2001</w:t>
      </w:r>
      <w:r w:rsidR="00BA57C1">
        <w:t>.  While the term</w:t>
      </w:r>
      <w:r w:rsidR="00096331">
        <w:t xml:space="preserve"> ‘corporation’ had been defined</w:t>
      </w:r>
      <w:r w:rsidR="00BA57C1">
        <w:t xml:space="preserve"> under the</w:t>
      </w:r>
      <w:r w:rsidR="00096331">
        <w:t xml:space="preserve"> Federal Court Regulations</w:t>
      </w:r>
      <w:r w:rsidR="00BA57C1">
        <w:t xml:space="preserve"> to mean a corporation within the meaning of the Corporations Act, some strata corporations which satisfy that definition are excluded by State laws from the Corporations Act.  Additionally, some incorporated trade unions sought to pay court fees under the </w:t>
      </w:r>
    </w:p>
    <w:p w:rsidR="009E2630" w:rsidRDefault="009E2630" w:rsidP="00BA57C1">
      <w:pPr>
        <w:spacing w:before="0"/>
        <w:ind w:right="91"/>
      </w:pPr>
    </w:p>
    <w:p w:rsidR="00BA57C1" w:rsidRDefault="00BA57C1" w:rsidP="00BA57C1">
      <w:pPr>
        <w:spacing w:before="0"/>
        <w:ind w:right="91"/>
      </w:pPr>
      <w:r>
        <w:lastRenderedPageBreak/>
        <w:t xml:space="preserve">Federal Court Regulations at the non-corporate rate on the basis that a trade union cannot be registered under the Corporations Act.  </w:t>
      </w:r>
    </w:p>
    <w:p w:rsidR="00BA57C1" w:rsidRDefault="00BA57C1" w:rsidP="00BA57C1">
      <w:pPr>
        <w:spacing w:before="0"/>
        <w:ind w:right="91"/>
      </w:pPr>
    </w:p>
    <w:p w:rsidR="00BA57C1" w:rsidRDefault="00B67DF7" w:rsidP="00BA57C1">
      <w:pPr>
        <w:spacing w:before="0"/>
        <w:ind w:right="91"/>
      </w:pPr>
      <w:r>
        <w:t>Paragraph</w:t>
      </w:r>
      <w:r w:rsidR="00BA57C1">
        <w:t xml:space="preserve"> 1.04(1)(d) also include</w:t>
      </w:r>
      <w:r w:rsidR="00D927C4">
        <w:t>s</w:t>
      </w:r>
      <w:r w:rsidR="00BA57C1">
        <w:t xml:space="preserve"> a public authority, defined as a body or authority of the Commonwealth or of a State or Territory, within the meaning of the term ‘corporation’, so that government agencies will pay fees under </w:t>
      </w:r>
      <w:r w:rsidR="00D927C4">
        <w:t>the</w:t>
      </w:r>
      <w:r w:rsidR="00466804">
        <w:t xml:space="preserve"> </w:t>
      </w:r>
      <w:r w:rsidR="00BA57C1">
        <w:t xml:space="preserve">Regulation at the corporation rate.  </w:t>
      </w:r>
    </w:p>
    <w:p w:rsidR="00BA57C1" w:rsidRDefault="00BA57C1" w:rsidP="00BA57C1">
      <w:pPr>
        <w:spacing w:before="0"/>
        <w:ind w:right="91"/>
      </w:pPr>
    </w:p>
    <w:p w:rsidR="00573AAB" w:rsidRDefault="00B67DF7" w:rsidP="00BA57C1">
      <w:pPr>
        <w:spacing w:before="0"/>
        <w:ind w:right="91"/>
      </w:pPr>
      <w:r>
        <w:t>Paragraphs</w:t>
      </w:r>
      <w:r w:rsidR="00BA57C1">
        <w:t xml:space="preserve"> 1.04(2)(b) and (c) provide that a small business and an unincorporated not-for-profit association is not a corporation for the purpose of court fees.  A small business </w:t>
      </w:r>
      <w:r w:rsidR="00D927C4">
        <w:t>is</w:t>
      </w:r>
      <w:r w:rsidR="00BA57C1">
        <w:t xml:space="preserve"> defined </w:t>
      </w:r>
      <w:r w:rsidR="0076057B">
        <w:t xml:space="preserve">as </w:t>
      </w:r>
      <w:r w:rsidR="00096331">
        <w:t>a business with no more than 19 </w:t>
      </w:r>
      <w:r w:rsidR="00BA57C1">
        <w:t xml:space="preserve">employees, and a total turnover of less than $2 million each </w:t>
      </w:r>
      <w:r w:rsidR="007144EA">
        <w:t xml:space="preserve">financial </w:t>
      </w:r>
      <w:r w:rsidR="00BA57C1">
        <w:t xml:space="preserve">year.  A not-for-profit association </w:t>
      </w:r>
      <w:r w:rsidR="00D927C4">
        <w:t>is</w:t>
      </w:r>
      <w:r w:rsidR="00BA57C1">
        <w:t xml:space="preserve"> defined as a society, club, association or body that is not formed for the purpose of trading or securing pecuniary profit from its transactions for its members.  A corporation that is a small busine</w:t>
      </w:r>
      <w:r w:rsidR="0076057B">
        <w:t xml:space="preserve">ss or an unincorporated </w:t>
      </w:r>
      <w:proofErr w:type="spellStart"/>
      <w:r w:rsidR="0076057B">
        <w:t>not</w:t>
      </w:r>
      <w:r w:rsidR="0076057B">
        <w:noBreakHyphen/>
        <w:t>for</w:t>
      </w:r>
      <w:r w:rsidR="0076057B">
        <w:noBreakHyphen/>
      </w:r>
      <w:r w:rsidR="00BA57C1">
        <w:t>profit</w:t>
      </w:r>
      <w:proofErr w:type="spellEnd"/>
      <w:r w:rsidR="00BA57C1">
        <w:t xml:space="preserve"> association pay fees under the Regulation at the non-corporate rate.</w:t>
      </w:r>
    </w:p>
    <w:p w:rsidR="009A77A3" w:rsidRDefault="009A77A3" w:rsidP="009A77A3">
      <w:pPr>
        <w:spacing w:before="0"/>
        <w:ind w:right="91"/>
        <w:rPr>
          <w:b/>
        </w:rPr>
      </w:pPr>
    </w:p>
    <w:p w:rsidR="00DC32D6" w:rsidRDefault="00DC32D6" w:rsidP="004A0B0B">
      <w:pPr>
        <w:spacing w:before="80"/>
        <w:ind w:right="91"/>
        <w:rPr>
          <w:b/>
        </w:rPr>
      </w:pPr>
      <w:r>
        <w:rPr>
          <w:b/>
        </w:rPr>
        <w:t xml:space="preserve">Section </w:t>
      </w:r>
      <w:r w:rsidRPr="00DC32D6">
        <w:rPr>
          <w:b/>
        </w:rPr>
        <w:t xml:space="preserve">1.05 </w:t>
      </w:r>
      <w:r>
        <w:rPr>
          <w:b/>
        </w:rPr>
        <w:t xml:space="preserve">– </w:t>
      </w:r>
      <w:r w:rsidRPr="00DC32D6">
        <w:rPr>
          <w:b/>
        </w:rPr>
        <w:t>Application</w:t>
      </w:r>
      <w:r w:rsidR="002D2F56">
        <w:rPr>
          <w:b/>
        </w:rPr>
        <w:t>—Parts 1 and 2</w:t>
      </w:r>
      <w:r>
        <w:rPr>
          <w:b/>
        </w:rPr>
        <w:t xml:space="preserve"> </w:t>
      </w:r>
    </w:p>
    <w:p w:rsidR="00D02715" w:rsidRDefault="00D02715" w:rsidP="00DC32D6">
      <w:pPr>
        <w:spacing w:before="0"/>
        <w:ind w:right="91"/>
        <w:rPr>
          <w:b/>
        </w:rPr>
      </w:pPr>
    </w:p>
    <w:p w:rsidR="00020B8B" w:rsidRPr="0076057B" w:rsidRDefault="00020B8B" w:rsidP="00DC32D6">
      <w:pPr>
        <w:spacing w:before="0"/>
        <w:ind w:right="91"/>
      </w:pPr>
      <w:r>
        <w:t>Subsection 1.05(1) provide</w:t>
      </w:r>
      <w:r w:rsidR="00D927C4">
        <w:t>s</w:t>
      </w:r>
      <w:r>
        <w:t xml:space="preserve"> for the application of the court fee provisions in Parts 1 and 2 of the Regulation.  Those Parts apply to a fee for a service requested or a fee for the filing of a document lodged </w:t>
      </w:r>
      <w:r w:rsidR="001E0B83">
        <w:t xml:space="preserve">in relation to a general federal law proceeding </w:t>
      </w:r>
      <w:r>
        <w:t>on or after 1</w:t>
      </w:r>
      <w:r w:rsidR="0076057B">
        <w:t xml:space="preserve"> </w:t>
      </w:r>
      <w:r>
        <w:t>January 2013.</w:t>
      </w:r>
      <w:r w:rsidR="001E0B83">
        <w:t xml:space="preserve">  The term ‘general federal </w:t>
      </w:r>
      <w:r w:rsidR="0076057B">
        <w:t xml:space="preserve">law proceeding’ is defined in section </w:t>
      </w:r>
      <w:r w:rsidR="001E0B83">
        <w:t xml:space="preserve">1.03 to mean </w:t>
      </w:r>
      <w:r w:rsidR="001E0B83" w:rsidRPr="00F2573A">
        <w:t xml:space="preserve">a proceeding in the Federal Court, and a proceeding in the </w:t>
      </w:r>
      <w:r w:rsidR="001E0B83">
        <w:t xml:space="preserve">FMC </w:t>
      </w:r>
      <w:r w:rsidR="001E0B83" w:rsidRPr="00F2573A">
        <w:t xml:space="preserve">that is not a proceeding under the </w:t>
      </w:r>
      <w:r w:rsidR="001E0B83" w:rsidRPr="0076057B">
        <w:t>Family Law Act.</w:t>
      </w:r>
    </w:p>
    <w:p w:rsidR="00020B8B" w:rsidRDefault="00020B8B" w:rsidP="00DC32D6">
      <w:pPr>
        <w:spacing w:before="0"/>
        <w:ind w:right="91"/>
      </w:pPr>
    </w:p>
    <w:p w:rsidR="00326DCB" w:rsidRDefault="00020B8B" w:rsidP="00DC32D6">
      <w:pPr>
        <w:spacing w:before="0"/>
        <w:ind w:right="91"/>
      </w:pPr>
      <w:r>
        <w:t>Subsection 1.05(2)</w:t>
      </w:r>
      <w:r w:rsidR="00270FED">
        <w:t xml:space="preserve"> provide</w:t>
      </w:r>
      <w:r w:rsidR="00D927C4">
        <w:t>s</w:t>
      </w:r>
      <w:r w:rsidR="00270FED">
        <w:t xml:space="preserve"> for the application of particular provisions of Parts 1 and</w:t>
      </w:r>
      <w:r w:rsidR="00D927C4">
        <w:t> </w:t>
      </w:r>
      <w:r w:rsidR="00270FED">
        <w:t>2 of the Regulation to some services requested b</w:t>
      </w:r>
      <w:r w:rsidR="009C3A30">
        <w:t>efore 1 January </w:t>
      </w:r>
      <w:r w:rsidR="00270FED">
        <w:t>2013.</w:t>
      </w:r>
      <w:r>
        <w:t xml:space="preserve"> </w:t>
      </w:r>
    </w:p>
    <w:p w:rsidR="00326DCB" w:rsidRDefault="00326DCB" w:rsidP="00DC32D6">
      <w:pPr>
        <w:spacing w:before="0"/>
        <w:ind w:right="91"/>
      </w:pPr>
    </w:p>
    <w:p w:rsidR="00326DCB" w:rsidRDefault="00270FED" w:rsidP="00DC32D6">
      <w:pPr>
        <w:spacing w:before="0"/>
        <w:ind w:right="91"/>
      </w:pPr>
      <w:r>
        <w:t>In the case of a service requested before 1 January 2013, subsection 1.05(2)(a) permit</w:t>
      </w:r>
      <w:r w:rsidR="00D927C4">
        <w:t>s</w:t>
      </w:r>
      <w:r>
        <w:t xml:space="preserve"> payment of the fee for the service t</w:t>
      </w:r>
      <w:r w:rsidR="009934AF">
        <w:t>o be deferred under section 2.15</w:t>
      </w:r>
      <w:r>
        <w:t xml:space="preserve"> (for example, payment of the fee would, </w:t>
      </w:r>
      <w:r w:rsidR="0076057B">
        <w:t>becaus</w:t>
      </w:r>
      <w:r w:rsidR="009934AF">
        <w:t>e of subsection 2.15</w:t>
      </w:r>
      <w:r w:rsidR="0076057B">
        <w:t xml:space="preserve">(4), </w:t>
      </w:r>
      <w:r>
        <w:t xml:space="preserve">be able to be deferred, after 1 January 2013, for a second time).  </w:t>
      </w:r>
    </w:p>
    <w:p w:rsidR="00326DCB" w:rsidRDefault="00326DCB" w:rsidP="00DC32D6">
      <w:pPr>
        <w:spacing w:before="0"/>
        <w:ind w:right="91"/>
      </w:pPr>
    </w:p>
    <w:p w:rsidR="00D02715" w:rsidRDefault="00270FED" w:rsidP="00DC32D6">
      <w:pPr>
        <w:spacing w:before="0"/>
        <w:ind w:right="91"/>
      </w:pPr>
      <w:r>
        <w:t xml:space="preserve">In the </w:t>
      </w:r>
      <w:r w:rsidR="00D927C4">
        <w:t>hearing days scheduled in 2012 to be heard on or after 1 January 2013</w:t>
      </w:r>
      <w:r w:rsidR="00326DCB">
        <w:t xml:space="preserve">, </w:t>
      </w:r>
      <w:r w:rsidR="00B67DF7">
        <w:t>paragraph</w:t>
      </w:r>
      <w:r w:rsidR="00326DCB">
        <w:t xml:space="preserve"> 1.05(2)(b), where the hearing of the proceeding commences, entitle</w:t>
      </w:r>
      <w:r w:rsidR="00CA5BD1">
        <w:t>s</w:t>
      </w:r>
      <w:r w:rsidR="00326DCB">
        <w:t xml:space="preserve"> a person to a refund of fees paid for any unused hearing days in 2013 if the proceeding settles or is discontinued or, for some other reason, the hearing day does not proceed.</w:t>
      </w:r>
    </w:p>
    <w:p w:rsidR="00326DCB" w:rsidRDefault="00326DCB" w:rsidP="00DC32D6">
      <w:pPr>
        <w:spacing w:before="0"/>
        <w:ind w:right="91"/>
      </w:pPr>
    </w:p>
    <w:p w:rsidR="00326DCB" w:rsidRPr="00020B8B" w:rsidRDefault="00326DCB" w:rsidP="00DC32D6">
      <w:pPr>
        <w:spacing w:before="0"/>
        <w:ind w:right="91"/>
      </w:pPr>
      <w:r>
        <w:t xml:space="preserve">In the case of a mediation requested before 1 January 2013 but scheduled after that date, </w:t>
      </w:r>
      <w:r w:rsidR="00B67DF7">
        <w:t xml:space="preserve">paragraph </w:t>
      </w:r>
      <w:r>
        <w:t>1.05(2)(c)</w:t>
      </w:r>
      <w:r w:rsidR="00BF1313">
        <w:t>, where the mediation does not proceed, entitle</w:t>
      </w:r>
      <w:r w:rsidR="00CA5BD1">
        <w:t>s</w:t>
      </w:r>
      <w:r w:rsidR="00BF1313">
        <w:t xml:space="preserve"> a person to a refund of the fee for that mediation ordered by a court</w:t>
      </w:r>
      <w:r w:rsidR="00466804">
        <w:t>, judge, federal magistrate or r</w:t>
      </w:r>
      <w:r w:rsidR="00BF1313">
        <w:t>egistrar.</w:t>
      </w:r>
    </w:p>
    <w:p w:rsidR="00BA77B3" w:rsidRDefault="00BA77B3" w:rsidP="004A0B0B">
      <w:pPr>
        <w:spacing w:before="80"/>
        <w:ind w:right="91"/>
        <w:rPr>
          <w:u w:val="single"/>
        </w:rPr>
      </w:pPr>
    </w:p>
    <w:p w:rsidR="009A77A3" w:rsidRDefault="009A77A3" w:rsidP="004A0B0B">
      <w:pPr>
        <w:spacing w:before="80"/>
        <w:ind w:right="91"/>
        <w:rPr>
          <w:u w:val="single"/>
        </w:rPr>
      </w:pPr>
      <w:r w:rsidRPr="00096331">
        <w:rPr>
          <w:u w:val="single"/>
        </w:rPr>
        <w:t>Part 2</w:t>
      </w:r>
      <w:r w:rsidR="00E87B5A">
        <w:rPr>
          <w:u w:val="single"/>
        </w:rPr>
        <w:t xml:space="preserve"> </w:t>
      </w:r>
      <w:r w:rsidR="00096331" w:rsidRPr="00096331">
        <w:rPr>
          <w:u w:val="single"/>
        </w:rPr>
        <w:t>–</w:t>
      </w:r>
      <w:r w:rsidRPr="00096331">
        <w:rPr>
          <w:u w:val="single"/>
        </w:rPr>
        <w:t xml:space="preserve"> Fees</w:t>
      </w:r>
    </w:p>
    <w:p w:rsidR="00E87B5A" w:rsidRDefault="00E87B5A" w:rsidP="004A0B0B">
      <w:pPr>
        <w:spacing w:before="0"/>
        <w:ind w:right="91"/>
        <w:rPr>
          <w:u w:val="single"/>
        </w:rPr>
      </w:pPr>
    </w:p>
    <w:p w:rsidR="00E87B5A" w:rsidRPr="00096331" w:rsidRDefault="00E87B5A" w:rsidP="004A0B0B">
      <w:pPr>
        <w:spacing w:before="80"/>
        <w:ind w:right="91"/>
        <w:rPr>
          <w:u w:val="single"/>
        </w:rPr>
      </w:pPr>
      <w:r>
        <w:rPr>
          <w:u w:val="single"/>
        </w:rPr>
        <w:t>Division 2</w:t>
      </w:r>
      <w:r w:rsidRPr="00E87B5A">
        <w:rPr>
          <w:u w:val="single"/>
        </w:rPr>
        <w:t>.1 – Fees—general</w:t>
      </w:r>
    </w:p>
    <w:p w:rsidR="009A77A3" w:rsidRDefault="009A77A3" w:rsidP="0019627C">
      <w:pPr>
        <w:spacing w:before="0"/>
        <w:ind w:right="91"/>
        <w:rPr>
          <w:u w:val="single"/>
        </w:rPr>
      </w:pPr>
    </w:p>
    <w:p w:rsidR="009A77A3" w:rsidRPr="009A77A3" w:rsidRDefault="009A77A3" w:rsidP="004A0B0B">
      <w:pPr>
        <w:spacing w:before="80"/>
        <w:ind w:right="91"/>
        <w:rPr>
          <w:b/>
        </w:rPr>
      </w:pPr>
      <w:r w:rsidRPr="009A77A3">
        <w:rPr>
          <w:b/>
        </w:rPr>
        <w:t xml:space="preserve">Section </w:t>
      </w:r>
      <w:r>
        <w:rPr>
          <w:b/>
        </w:rPr>
        <w:t>2</w:t>
      </w:r>
      <w:r w:rsidRPr="009A77A3">
        <w:rPr>
          <w:b/>
        </w:rPr>
        <w:t xml:space="preserve">.01 – </w:t>
      </w:r>
      <w:r>
        <w:rPr>
          <w:b/>
        </w:rPr>
        <w:t>Purpose of Part</w:t>
      </w:r>
    </w:p>
    <w:p w:rsidR="009A77A3" w:rsidRDefault="009A77A3" w:rsidP="009A77A3">
      <w:pPr>
        <w:spacing w:before="0"/>
        <w:ind w:right="91"/>
      </w:pPr>
    </w:p>
    <w:p w:rsidR="002946A6" w:rsidRPr="002946A6" w:rsidRDefault="002946A6" w:rsidP="009A77A3">
      <w:pPr>
        <w:spacing w:before="0"/>
        <w:ind w:right="91"/>
      </w:pPr>
      <w:r>
        <w:t>This section provide</w:t>
      </w:r>
      <w:r w:rsidR="00CA5BD1">
        <w:t>s</w:t>
      </w:r>
      <w:r>
        <w:t xml:space="preserve"> that </w:t>
      </w:r>
      <w:r w:rsidR="001F620B">
        <w:t>Part 2</w:t>
      </w:r>
      <w:r w:rsidR="001E0B83">
        <w:t xml:space="preserve"> of the Regulation</w:t>
      </w:r>
      <w:r>
        <w:t xml:space="preserve"> set</w:t>
      </w:r>
      <w:r w:rsidR="001E0B83">
        <w:t>s</w:t>
      </w:r>
      <w:r>
        <w:t xml:space="preserve"> out matters relating to fees</w:t>
      </w:r>
      <w:r w:rsidR="000C4B33">
        <w:t xml:space="preserve"> in the Federal Court and in a proceeding in the FMC that is not a proceeding under the Family Law Act</w:t>
      </w:r>
      <w:r>
        <w:t>.</w:t>
      </w:r>
    </w:p>
    <w:p w:rsidR="002946A6" w:rsidRDefault="002946A6" w:rsidP="009A77A3">
      <w:pPr>
        <w:spacing w:before="0"/>
        <w:ind w:right="91"/>
      </w:pPr>
    </w:p>
    <w:p w:rsidR="009A77A3" w:rsidRDefault="009A77A3" w:rsidP="004A0B0B">
      <w:pPr>
        <w:spacing w:before="80"/>
        <w:ind w:right="91"/>
        <w:rPr>
          <w:b/>
        </w:rPr>
      </w:pPr>
      <w:r w:rsidRPr="009A77A3">
        <w:rPr>
          <w:b/>
        </w:rPr>
        <w:t xml:space="preserve">Section </w:t>
      </w:r>
      <w:r>
        <w:rPr>
          <w:b/>
        </w:rPr>
        <w:t>2.02</w:t>
      </w:r>
      <w:r w:rsidRPr="009A77A3">
        <w:rPr>
          <w:b/>
        </w:rPr>
        <w:t xml:space="preserve"> – </w:t>
      </w:r>
      <w:r>
        <w:rPr>
          <w:b/>
        </w:rPr>
        <w:t>Fees</w:t>
      </w:r>
    </w:p>
    <w:p w:rsidR="002946A6" w:rsidRDefault="002946A6" w:rsidP="009A77A3">
      <w:pPr>
        <w:spacing w:before="0"/>
        <w:ind w:right="91"/>
        <w:rPr>
          <w:b/>
        </w:rPr>
      </w:pPr>
    </w:p>
    <w:p w:rsidR="001E0B83" w:rsidRDefault="000C4B33" w:rsidP="009A77A3">
      <w:pPr>
        <w:spacing w:before="0"/>
        <w:ind w:right="91"/>
      </w:pPr>
      <w:r>
        <w:t xml:space="preserve">Subsection 2.02(1) </w:t>
      </w:r>
      <w:r w:rsidR="001E0B83">
        <w:t>provide</w:t>
      </w:r>
      <w:r w:rsidR="00CA5BD1">
        <w:t>s</w:t>
      </w:r>
      <w:r w:rsidR="001E0B83">
        <w:t xml:space="preserve"> for Schedule 1 to the Regulation to set out court fees payable </w:t>
      </w:r>
      <w:r w:rsidR="0033379A" w:rsidRPr="00F2573A">
        <w:t xml:space="preserve">in the Federal Court, and </w:t>
      </w:r>
      <w:r>
        <w:t xml:space="preserve">in </w:t>
      </w:r>
      <w:r w:rsidR="0033379A" w:rsidRPr="00F2573A">
        <w:t xml:space="preserve">a proceeding in the </w:t>
      </w:r>
      <w:r w:rsidR="0033379A">
        <w:t xml:space="preserve">FMC </w:t>
      </w:r>
      <w:r w:rsidR="0033379A" w:rsidRPr="00F2573A">
        <w:t xml:space="preserve">that is not a proceeding under the </w:t>
      </w:r>
      <w:r>
        <w:t>Family Law Act</w:t>
      </w:r>
      <w:r w:rsidR="001E0B83" w:rsidRPr="008C497A">
        <w:t>.</w:t>
      </w:r>
    </w:p>
    <w:p w:rsidR="002946A6" w:rsidRDefault="002946A6" w:rsidP="009A77A3">
      <w:pPr>
        <w:spacing w:before="0"/>
        <w:ind w:right="91"/>
      </w:pPr>
    </w:p>
    <w:p w:rsidR="002946A6" w:rsidRDefault="00AD56BE" w:rsidP="009A77A3">
      <w:pPr>
        <w:spacing w:before="0"/>
        <w:ind w:right="91"/>
      </w:pPr>
      <w:r>
        <w:t xml:space="preserve">Subsection 2.02(2) </w:t>
      </w:r>
      <w:r w:rsidR="002946A6">
        <w:t>provide</w:t>
      </w:r>
      <w:r w:rsidR="00CA5BD1">
        <w:t>s</w:t>
      </w:r>
      <w:r w:rsidR="002946A6">
        <w:t xml:space="preserve"> that the rate of </w:t>
      </w:r>
      <w:r w:rsidR="00826B4C">
        <w:t xml:space="preserve">the </w:t>
      </w:r>
      <w:r w:rsidR="002946A6">
        <w:t>fee charged depend</w:t>
      </w:r>
      <w:r w:rsidR="004C7F32">
        <w:t>s</w:t>
      </w:r>
      <w:r w:rsidR="002946A6">
        <w:t xml:space="preserve"> on whether the person being charged is a publicly listed company, a </w:t>
      </w:r>
      <w:r w:rsidR="00826B4C">
        <w:t>corporation</w:t>
      </w:r>
      <w:r w:rsidR="002946A6">
        <w:t xml:space="preserve"> or </w:t>
      </w:r>
      <w:r w:rsidR="007144EA">
        <w:t>an individual</w:t>
      </w:r>
      <w:r w:rsidR="002946A6">
        <w:t xml:space="preserve">.  </w:t>
      </w:r>
      <w:r w:rsidR="006A226A">
        <w:t>Some fee</w:t>
      </w:r>
      <w:r w:rsidR="00826B4C">
        <w:t xml:space="preserve"> items do not have separate rates for publicly listed companies and corporations and the fee rate </w:t>
      </w:r>
      <w:r w:rsidR="00CA5BD1">
        <w:t>is</w:t>
      </w:r>
      <w:r w:rsidR="00826B4C">
        <w:t xml:space="preserve"> </w:t>
      </w:r>
      <w:r w:rsidR="006A226A">
        <w:t>the rate specified</w:t>
      </w:r>
      <w:r w:rsidR="00826B4C">
        <w:t>.</w:t>
      </w:r>
    </w:p>
    <w:p w:rsidR="00826B4C" w:rsidRDefault="00826B4C" w:rsidP="009A77A3">
      <w:pPr>
        <w:spacing w:before="0"/>
        <w:ind w:right="91"/>
      </w:pPr>
    </w:p>
    <w:p w:rsidR="002946A6" w:rsidRDefault="00AD56BE" w:rsidP="009A77A3">
      <w:pPr>
        <w:spacing w:before="0"/>
        <w:ind w:right="91"/>
      </w:pPr>
      <w:r>
        <w:t>Sub</w:t>
      </w:r>
      <w:r w:rsidR="00826B4C">
        <w:t xml:space="preserve">section </w:t>
      </w:r>
      <w:r>
        <w:t xml:space="preserve">2.02(3) </w:t>
      </w:r>
      <w:r w:rsidR="00826B4C">
        <w:t>provide</w:t>
      </w:r>
      <w:r w:rsidR="00CA5BD1">
        <w:t>s</w:t>
      </w:r>
      <w:r w:rsidR="00826B4C">
        <w:t xml:space="preserve"> that where multiple persons are liable to pay the fee, then the fee rate charged </w:t>
      </w:r>
      <w:r w:rsidR="00CA5BD1">
        <w:t>is</w:t>
      </w:r>
      <w:r w:rsidR="00826B4C">
        <w:t xml:space="preserve"> the highest rate.  For example, if a document is filed by two applicants – a co</w:t>
      </w:r>
      <w:r w:rsidR="001E0B83">
        <w:t>rporation</w:t>
      </w:r>
      <w:r w:rsidR="00826B4C">
        <w:t xml:space="preserve"> and a natural person – the fee charged is the rate for a corporation.  </w:t>
      </w:r>
    </w:p>
    <w:p w:rsidR="001E0B83" w:rsidRDefault="001E0B83" w:rsidP="009A77A3">
      <w:pPr>
        <w:spacing w:before="0"/>
        <w:ind w:right="91"/>
        <w:rPr>
          <w:b/>
        </w:rPr>
      </w:pPr>
    </w:p>
    <w:p w:rsidR="0019003C" w:rsidRPr="0019003C" w:rsidRDefault="0019003C" w:rsidP="0019627C">
      <w:pPr>
        <w:spacing w:before="80"/>
        <w:ind w:right="91"/>
        <w:rPr>
          <w:u w:val="single"/>
        </w:rPr>
      </w:pPr>
      <w:r>
        <w:rPr>
          <w:u w:val="single"/>
        </w:rPr>
        <w:t>Division 2.2 – Liability to pay fee</w:t>
      </w:r>
    </w:p>
    <w:p w:rsidR="0019003C" w:rsidRDefault="0019003C" w:rsidP="009A77A3">
      <w:pPr>
        <w:spacing w:before="0"/>
        <w:ind w:right="91"/>
        <w:rPr>
          <w:b/>
        </w:rPr>
      </w:pPr>
    </w:p>
    <w:p w:rsidR="009A77A3" w:rsidRDefault="009A77A3" w:rsidP="0019627C">
      <w:pPr>
        <w:spacing w:before="80"/>
        <w:ind w:right="91"/>
        <w:rPr>
          <w:b/>
        </w:rPr>
      </w:pPr>
      <w:r w:rsidRPr="009A77A3">
        <w:rPr>
          <w:b/>
        </w:rPr>
        <w:t xml:space="preserve">Section </w:t>
      </w:r>
      <w:r>
        <w:rPr>
          <w:b/>
        </w:rPr>
        <w:t>2.03</w:t>
      </w:r>
      <w:r w:rsidRPr="009A77A3">
        <w:rPr>
          <w:b/>
        </w:rPr>
        <w:t xml:space="preserve"> – </w:t>
      </w:r>
      <w:r>
        <w:rPr>
          <w:b/>
        </w:rPr>
        <w:t>Persons liable to pay fee</w:t>
      </w:r>
    </w:p>
    <w:p w:rsidR="00826B4C" w:rsidRDefault="00826B4C" w:rsidP="009A77A3">
      <w:pPr>
        <w:spacing w:before="0"/>
        <w:ind w:right="91"/>
        <w:rPr>
          <w:b/>
        </w:rPr>
      </w:pPr>
    </w:p>
    <w:p w:rsidR="00AD56BE" w:rsidRDefault="000C4B33" w:rsidP="009A77A3">
      <w:pPr>
        <w:spacing w:before="0"/>
        <w:ind w:right="91"/>
      </w:pPr>
      <w:r>
        <w:t xml:space="preserve">This section </w:t>
      </w:r>
      <w:r w:rsidR="00826B4C">
        <w:t>specif</w:t>
      </w:r>
      <w:r w:rsidR="00CA5BD1">
        <w:t>ies</w:t>
      </w:r>
      <w:r w:rsidR="00826B4C">
        <w:t xml:space="preserve"> the persons </w:t>
      </w:r>
      <w:r w:rsidR="0033379A">
        <w:t>who</w:t>
      </w:r>
      <w:r w:rsidR="006A226A">
        <w:t xml:space="preserve"> are </w:t>
      </w:r>
      <w:r w:rsidR="00826B4C">
        <w:t xml:space="preserve">liable to pay </w:t>
      </w:r>
      <w:r w:rsidR="0033379A">
        <w:t xml:space="preserve">a fee set out in Schedule 1 to the </w:t>
      </w:r>
      <w:r w:rsidR="00466804">
        <w:t>Regulation, unless a court, judge, federal m</w:t>
      </w:r>
      <w:r w:rsidR="0033379A">
        <w:t>agistrate or</w:t>
      </w:r>
      <w:r w:rsidR="00466804">
        <w:t xml:space="preserve"> r</w:t>
      </w:r>
      <w:r w:rsidR="0033379A">
        <w:t>egistrar orders otherwise.</w:t>
      </w:r>
    </w:p>
    <w:p w:rsidR="0033379A" w:rsidRDefault="0033379A" w:rsidP="009A77A3">
      <w:pPr>
        <w:spacing w:before="0"/>
        <w:ind w:right="91"/>
      </w:pPr>
    </w:p>
    <w:p w:rsidR="0033379A" w:rsidRDefault="000C4B33" w:rsidP="009A77A3">
      <w:pPr>
        <w:spacing w:before="0"/>
        <w:ind w:right="91"/>
      </w:pPr>
      <w:r>
        <w:t>Subsection 2.03</w:t>
      </w:r>
      <w:r w:rsidR="0033379A">
        <w:t>(2) provide</w:t>
      </w:r>
      <w:r w:rsidR="00CA5BD1">
        <w:t>s</w:t>
      </w:r>
      <w:r w:rsidR="0033379A">
        <w:t xml:space="preserve"> that a filing fee is payable by the person for whom a document is filed.  </w:t>
      </w:r>
    </w:p>
    <w:p w:rsidR="0040474F" w:rsidRDefault="0040474F" w:rsidP="00AD56BE">
      <w:pPr>
        <w:spacing w:before="0"/>
        <w:ind w:right="91"/>
      </w:pPr>
    </w:p>
    <w:p w:rsidR="0040474F" w:rsidRDefault="0040474F" w:rsidP="0040474F">
      <w:pPr>
        <w:spacing w:before="0"/>
        <w:ind w:right="91"/>
      </w:pPr>
      <w:r>
        <w:t>Subsection 2.03(3) provide</w:t>
      </w:r>
      <w:r w:rsidR="00CA5BD1">
        <w:t>s</w:t>
      </w:r>
      <w:r>
        <w:t xml:space="preserve"> </w:t>
      </w:r>
      <w:r w:rsidR="007B46A3">
        <w:t>that</w:t>
      </w:r>
      <w:r>
        <w:t xml:space="preserve"> </w:t>
      </w:r>
      <w:r w:rsidR="007B46A3">
        <w:t xml:space="preserve">a hearing fee or a setting down fee, except for a hearing </w:t>
      </w:r>
      <w:r w:rsidR="00EE1DEB">
        <w:t xml:space="preserve">for </w:t>
      </w:r>
      <w:r w:rsidR="007B46A3">
        <w:t>a cross-claim or cross-appeal</w:t>
      </w:r>
      <w:r w:rsidR="00EE1DEB">
        <w:t xml:space="preserve"> only</w:t>
      </w:r>
      <w:r w:rsidR="007B46A3">
        <w:t xml:space="preserve">, is payable by the person who has commenced a proceeding.  The cross-claimant </w:t>
      </w:r>
      <w:r w:rsidR="00CA5BD1">
        <w:t>is</w:t>
      </w:r>
      <w:r w:rsidR="007B46A3">
        <w:t xml:space="preserve"> liable to pay </w:t>
      </w:r>
      <w:r w:rsidR="00EE1DEB">
        <w:t>these fees for a cross-</w:t>
      </w:r>
      <w:r w:rsidR="007B46A3">
        <w:t>claim</w:t>
      </w:r>
      <w:r w:rsidR="00EE1DEB">
        <w:t xml:space="preserve">, and the cross-appellant </w:t>
      </w:r>
      <w:r w:rsidR="00CA5BD1">
        <w:t>is</w:t>
      </w:r>
      <w:r w:rsidR="00EE1DEB">
        <w:t xml:space="preserve"> liable to pay them for a cross-appeal.  A new rule </w:t>
      </w:r>
      <w:r w:rsidR="00CA5BD1">
        <w:t>is</w:t>
      </w:r>
      <w:r w:rsidR="00EE1DEB">
        <w:t xml:space="preserve"> introduced for an interlocutory application, with </w:t>
      </w:r>
      <w:r>
        <w:t xml:space="preserve">the person who made the interlocutory application </w:t>
      </w:r>
      <w:r w:rsidR="00EE1DEB">
        <w:t>being</w:t>
      </w:r>
      <w:r>
        <w:t xml:space="preserve"> liable to pay the fee</w:t>
      </w:r>
      <w:r w:rsidR="00EE1DEB">
        <w:t>s</w:t>
      </w:r>
      <w:r>
        <w:t xml:space="preserve"> for the hearing</w:t>
      </w:r>
      <w:r w:rsidR="00EE1DEB">
        <w:t xml:space="preserve"> of such an application</w:t>
      </w:r>
      <w:r>
        <w:t xml:space="preserve">.  </w:t>
      </w:r>
    </w:p>
    <w:p w:rsidR="0040474F" w:rsidRDefault="0040474F" w:rsidP="0040474F">
      <w:pPr>
        <w:spacing w:before="0"/>
        <w:ind w:right="91"/>
      </w:pPr>
    </w:p>
    <w:p w:rsidR="008E0FFC" w:rsidRPr="008E0FFC" w:rsidRDefault="0040474F" w:rsidP="0040474F">
      <w:pPr>
        <w:spacing w:before="0"/>
        <w:ind w:right="91"/>
        <w:rPr>
          <w:b/>
        </w:rPr>
      </w:pPr>
      <w:r>
        <w:t>Subsection 2.03(4) provide</w:t>
      </w:r>
      <w:r w:rsidR="00CA5BD1">
        <w:t>s</w:t>
      </w:r>
      <w:r>
        <w:t xml:space="preserve"> for only one setting down or hearing fee</w:t>
      </w:r>
      <w:r w:rsidR="001E284C">
        <w:t xml:space="preserve"> to be payable for two</w:t>
      </w:r>
      <w:r w:rsidR="00EE1DEB">
        <w:t xml:space="preserve"> or more proceedings set down for hearing together where the hearings are not consolidated.  The amount of each fee </w:t>
      </w:r>
      <w:r w:rsidR="00CA5BD1">
        <w:t>is</w:t>
      </w:r>
      <w:r w:rsidR="00EE1DEB">
        <w:t xml:space="preserve"> </w:t>
      </w:r>
      <w:r>
        <w:t xml:space="preserve">apportioned equally between the </w:t>
      </w:r>
      <w:r w:rsidR="00522301">
        <w:t>persons required to pay the fee</w:t>
      </w:r>
      <w:r>
        <w:t>.</w:t>
      </w:r>
      <w:r w:rsidR="00EE1DEB">
        <w:t xml:space="preserve">  </w:t>
      </w:r>
    </w:p>
    <w:p w:rsidR="0040474F" w:rsidRDefault="0040474F" w:rsidP="00AD56BE">
      <w:pPr>
        <w:spacing w:before="0"/>
        <w:ind w:right="91"/>
      </w:pPr>
    </w:p>
    <w:p w:rsidR="008E0FFC" w:rsidRDefault="008E0FFC" w:rsidP="00AD56BE">
      <w:pPr>
        <w:spacing w:before="0"/>
        <w:ind w:right="91"/>
      </w:pPr>
      <w:r>
        <w:t>Subsection 2.03(5) provide</w:t>
      </w:r>
      <w:r w:rsidR="00CA5BD1">
        <w:t>s</w:t>
      </w:r>
      <w:r>
        <w:t xml:space="preserve"> that a mediation fee is payable by the applicant in the </w:t>
      </w:r>
      <w:r w:rsidR="0076057B">
        <w:t>proceeding to which the mediation relates</w:t>
      </w:r>
      <w:r>
        <w:t>.</w:t>
      </w:r>
    </w:p>
    <w:p w:rsidR="008E0FFC" w:rsidRDefault="008E0FFC" w:rsidP="00AD56BE">
      <w:pPr>
        <w:spacing w:before="0"/>
        <w:ind w:right="91"/>
      </w:pPr>
    </w:p>
    <w:p w:rsidR="00AD56BE" w:rsidRDefault="0040474F" w:rsidP="00AD56BE">
      <w:pPr>
        <w:spacing w:before="0"/>
        <w:ind w:right="91"/>
      </w:pPr>
      <w:r>
        <w:t>Subsection</w:t>
      </w:r>
      <w:r w:rsidR="008E0FFC">
        <w:t>s</w:t>
      </w:r>
      <w:r>
        <w:t xml:space="preserve"> 2.03(6</w:t>
      </w:r>
      <w:r w:rsidR="008E0FFC">
        <w:t>)</w:t>
      </w:r>
      <w:r w:rsidR="00AD56BE">
        <w:t xml:space="preserve"> </w:t>
      </w:r>
      <w:r w:rsidR="008E0FFC">
        <w:t xml:space="preserve"> and (7) </w:t>
      </w:r>
      <w:r>
        <w:t xml:space="preserve">provide that </w:t>
      </w:r>
      <w:r w:rsidR="008E0FFC">
        <w:t>the fee for taxation of a bill of costs by the Federal Court is payable by the p</w:t>
      </w:r>
      <w:r w:rsidR="00AD56BE">
        <w:t xml:space="preserve">erson </w:t>
      </w:r>
      <w:r w:rsidR="008E0FFC">
        <w:t xml:space="preserve">or persons </w:t>
      </w:r>
      <w:r w:rsidR="00AD56BE">
        <w:t xml:space="preserve">who </w:t>
      </w:r>
      <w:r w:rsidR="008E0FFC">
        <w:t>object to</w:t>
      </w:r>
      <w:r w:rsidR="00AD56BE">
        <w:t xml:space="preserve"> </w:t>
      </w:r>
      <w:r w:rsidR="008E0FFC">
        <w:t>an</w:t>
      </w:r>
      <w:r w:rsidR="00AD56BE">
        <w:t xml:space="preserve"> estimate or </w:t>
      </w:r>
      <w:r w:rsidR="00AD56BE">
        <w:lastRenderedPageBreak/>
        <w:t>requir</w:t>
      </w:r>
      <w:r w:rsidR="008E0FFC">
        <w:t>e</w:t>
      </w:r>
      <w:r w:rsidR="00AD56BE">
        <w:t xml:space="preserve"> </w:t>
      </w:r>
      <w:r w:rsidR="008E0FFC">
        <w:t xml:space="preserve">a </w:t>
      </w:r>
      <w:r w:rsidR="00AD56BE">
        <w:t xml:space="preserve">full taxation </w:t>
      </w:r>
      <w:r w:rsidR="008E0FFC">
        <w:t xml:space="preserve">of the bill in accordance with the </w:t>
      </w:r>
      <w:r w:rsidR="008E0FFC" w:rsidRPr="008E0FFC">
        <w:rPr>
          <w:i/>
        </w:rPr>
        <w:t>Federal Court Rules 2011</w:t>
      </w:r>
      <w:r w:rsidR="008E0FFC">
        <w:t xml:space="preserve">, apportioned if necessary </w:t>
      </w:r>
      <w:r w:rsidR="00B52602">
        <w:t>by the registrar of the c</w:t>
      </w:r>
      <w:r w:rsidR="00830E1B">
        <w:t>ourt</w:t>
      </w:r>
      <w:r w:rsidR="00AD56BE">
        <w:t xml:space="preserve">.  </w:t>
      </w:r>
    </w:p>
    <w:p w:rsidR="00AD56BE" w:rsidRDefault="00AD56BE" w:rsidP="009A77A3">
      <w:pPr>
        <w:spacing w:before="0"/>
        <w:ind w:right="91"/>
      </w:pPr>
    </w:p>
    <w:p w:rsidR="0040474F" w:rsidRDefault="00CA5BD1" w:rsidP="0040474F">
      <w:pPr>
        <w:spacing w:before="0"/>
        <w:ind w:right="91"/>
      </w:pPr>
      <w:r>
        <w:t>Subsection 2.03(8)</w:t>
      </w:r>
      <w:r w:rsidR="0040474F">
        <w:t xml:space="preserve"> provide</w:t>
      </w:r>
      <w:r>
        <w:t>s</w:t>
      </w:r>
      <w:r w:rsidR="0040474F">
        <w:t xml:space="preserve"> that</w:t>
      </w:r>
      <w:r w:rsidR="00830E1B">
        <w:t>,</w:t>
      </w:r>
      <w:r w:rsidR="0040474F">
        <w:t xml:space="preserve"> </w:t>
      </w:r>
      <w:r w:rsidR="00830E1B">
        <w:t xml:space="preserve">for other services for which a fee is payable under Schedule 1, </w:t>
      </w:r>
      <w:r w:rsidR="0040474F">
        <w:t xml:space="preserve">the person for whom the service is provided </w:t>
      </w:r>
      <w:r>
        <w:t>pays</w:t>
      </w:r>
      <w:r w:rsidR="0040474F">
        <w:t xml:space="preserve"> the fee.  </w:t>
      </w:r>
    </w:p>
    <w:p w:rsidR="00A4492A" w:rsidRDefault="00A4492A" w:rsidP="00DE108F">
      <w:pPr>
        <w:spacing w:before="0"/>
        <w:ind w:right="91"/>
      </w:pPr>
    </w:p>
    <w:p w:rsidR="00DC32D6" w:rsidRPr="00DC32D6" w:rsidRDefault="00DC32D6" w:rsidP="0019627C">
      <w:pPr>
        <w:spacing w:before="80"/>
        <w:ind w:right="91"/>
        <w:rPr>
          <w:b/>
        </w:rPr>
      </w:pPr>
      <w:r w:rsidRPr="00DC32D6">
        <w:rPr>
          <w:b/>
        </w:rPr>
        <w:t>Section 2.04 – Fee for producing file and copying document</w:t>
      </w:r>
    </w:p>
    <w:p w:rsidR="00DC32D6" w:rsidRDefault="00DC32D6" w:rsidP="00DC32D6">
      <w:pPr>
        <w:spacing w:before="0"/>
        <w:ind w:right="91"/>
      </w:pPr>
    </w:p>
    <w:p w:rsidR="006A226A" w:rsidRDefault="00FE6E57" w:rsidP="00DC32D6">
      <w:pPr>
        <w:spacing w:before="0"/>
        <w:ind w:right="91"/>
      </w:pPr>
      <w:r>
        <w:t>This section provide</w:t>
      </w:r>
      <w:r w:rsidR="00CA5BD1">
        <w:t>s</w:t>
      </w:r>
      <w:r>
        <w:t xml:space="preserve"> that the fee for photocopying </w:t>
      </w:r>
      <w:r w:rsidR="00C05216">
        <w:t xml:space="preserve">and production of a file is payable in all proceedings.  This includes </w:t>
      </w:r>
      <w:r>
        <w:t>where a party is</w:t>
      </w:r>
      <w:r w:rsidR="00C05216">
        <w:t xml:space="preserve"> exempt from other court fees.</w:t>
      </w:r>
    </w:p>
    <w:p w:rsidR="006A226A" w:rsidRDefault="006A226A" w:rsidP="00DC32D6">
      <w:pPr>
        <w:spacing w:before="0"/>
        <w:ind w:right="91"/>
      </w:pPr>
    </w:p>
    <w:p w:rsidR="00FE6E57" w:rsidRDefault="00FE6E57" w:rsidP="00DC32D6">
      <w:pPr>
        <w:spacing w:before="0"/>
        <w:ind w:right="91"/>
      </w:pPr>
      <w:r>
        <w:t xml:space="preserve">The only circumstance where the fee for the production </w:t>
      </w:r>
      <w:r w:rsidR="006A226A">
        <w:t>of a file and photocopying can be</w:t>
      </w:r>
      <w:r>
        <w:t xml:space="preserve"> exempt is where</w:t>
      </w:r>
      <w:r w:rsidR="006A226A">
        <w:t xml:space="preserve"> both conditions below are met</w:t>
      </w:r>
      <w:r>
        <w:t>:</w:t>
      </w:r>
    </w:p>
    <w:p w:rsidR="00FE6E57" w:rsidRDefault="00FE6E57" w:rsidP="0047062F">
      <w:pPr>
        <w:numPr>
          <w:ilvl w:val="0"/>
          <w:numId w:val="16"/>
        </w:numPr>
        <w:ind w:left="714" w:right="91" w:hanging="357"/>
      </w:pPr>
      <w:r>
        <w:t xml:space="preserve">the person is exempt from payment of court fees under section 2.05 </w:t>
      </w:r>
      <w:r w:rsidR="006A226A">
        <w:t xml:space="preserve">(they fall into specific categories of persons) </w:t>
      </w:r>
      <w:r>
        <w:t xml:space="preserve">or </w:t>
      </w:r>
      <w:r w:rsidR="00C05216">
        <w:t xml:space="preserve">section </w:t>
      </w:r>
      <w:r>
        <w:t>2.06</w:t>
      </w:r>
      <w:r w:rsidR="006A226A">
        <w:t xml:space="preserve"> (payment of fees would cause financial hardship)</w:t>
      </w:r>
      <w:r>
        <w:t>, and</w:t>
      </w:r>
    </w:p>
    <w:p w:rsidR="00FE6E57" w:rsidRDefault="00FE6E57" w:rsidP="0047062F">
      <w:pPr>
        <w:numPr>
          <w:ilvl w:val="0"/>
          <w:numId w:val="16"/>
        </w:numPr>
        <w:ind w:left="714" w:right="91" w:hanging="357"/>
      </w:pPr>
      <w:r>
        <w:t xml:space="preserve">the document is a first copy requested </w:t>
      </w:r>
      <w:r w:rsidR="006A226A">
        <w:t xml:space="preserve">by that person </w:t>
      </w:r>
      <w:r>
        <w:t>or is required for preparing appeal papers.</w:t>
      </w:r>
    </w:p>
    <w:p w:rsidR="00E63F4A" w:rsidRDefault="00E63F4A" w:rsidP="00DC32D6">
      <w:pPr>
        <w:spacing w:before="0"/>
        <w:ind w:right="91"/>
      </w:pPr>
    </w:p>
    <w:p w:rsidR="0019003C" w:rsidRPr="0019003C" w:rsidRDefault="0019003C" w:rsidP="0019627C">
      <w:pPr>
        <w:spacing w:before="80"/>
        <w:ind w:right="91"/>
        <w:rPr>
          <w:u w:val="single"/>
        </w:rPr>
      </w:pPr>
      <w:r>
        <w:rPr>
          <w:u w:val="single"/>
        </w:rPr>
        <w:t>Division 2.3 – Exemptions from liability to pay fee</w:t>
      </w:r>
    </w:p>
    <w:p w:rsidR="0019003C" w:rsidRDefault="0019003C" w:rsidP="00DC32D6">
      <w:pPr>
        <w:spacing w:before="0"/>
        <w:ind w:right="91"/>
        <w:rPr>
          <w:b/>
        </w:rPr>
      </w:pPr>
    </w:p>
    <w:p w:rsidR="00DC32D6" w:rsidRPr="00DC32D6" w:rsidRDefault="00DC32D6" w:rsidP="0019627C">
      <w:pPr>
        <w:spacing w:before="80"/>
        <w:ind w:right="91"/>
        <w:rPr>
          <w:b/>
        </w:rPr>
      </w:pPr>
      <w:r w:rsidRPr="00DC32D6">
        <w:rPr>
          <w:b/>
        </w:rPr>
        <w:t>Section 2.05 – Persons exempt from paying fee—general</w:t>
      </w:r>
    </w:p>
    <w:p w:rsidR="00225118" w:rsidRDefault="00225118" w:rsidP="00DC32D6">
      <w:pPr>
        <w:spacing w:before="0"/>
        <w:ind w:right="91"/>
      </w:pPr>
    </w:p>
    <w:p w:rsidR="00801E30" w:rsidRDefault="00830E1B" w:rsidP="00801E30">
      <w:pPr>
        <w:spacing w:before="0"/>
        <w:ind w:right="91"/>
      </w:pPr>
      <w:r>
        <w:t>This section</w:t>
      </w:r>
      <w:r w:rsidR="004176B2">
        <w:t xml:space="preserve"> </w:t>
      </w:r>
      <w:r w:rsidR="00E63F4A">
        <w:t>provide</w:t>
      </w:r>
      <w:r w:rsidR="00CA5BD1">
        <w:t>s</w:t>
      </w:r>
      <w:r w:rsidR="00E63F4A">
        <w:t xml:space="preserve"> a fee exemption for the same categories of </w:t>
      </w:r>
      <w:r w:rsidR="00A96B09">
        <w:t xml:space="preserve">persons who </w:t>
      </w:r>
      <w:r w:rsidR="00E63F4A">
        <w:t>pa</w:t>
      </w:r>
      <w:r w:rsidR="00CA5BD1">
        <w:t>id</w:t>
      </w:r>
      <w:r w:rsidR="00E63F4A">
        <w:t xml:space="preserve"> the reduced fee under</w:t>
      </w:r>
      <w:r w:rsidR="009D041D">
        <w:t xml:space="preserve"> regulation</w:t>
      </w:r>
      <w:r w:rsidR="00E63F4A">
        <w:t xml:space="preserve"> 11A of the Federal Court Regulations and reg</w:t>
      </w:r>
      <w:r w:rsidR="009D041D">
        <w:t>ulation</w:t>
      </w:r>
      <w:r w:rsidR="00B52602">
        <w:t xml:space="preserve"> 8D of the Federal Magistrates</w:t>
      </w:r>
      <w:r w:rsidR="00E63F4A">
        <w:t xml:space="preserve"> Regulations.  </w:t>
      </w:r>
      <w:r w:rsidR="00801E30">
        <w:t xml:space="preserve">These categories </w:t>
      </w:r>
      <w:r w:rsidR="00E63F4A">
        <w:t xml:space="preserve">of persons </w:t>
      </w:r>
      <w:r w:rsidR="00801E30">
        <w:t>are:</w:t>
      </w:r>
    </w:p>
    <w:p w:rsidR="00801E30" w:rsidRDefault="00801E30" w:rsidP="0047062F">
      <w:pPr>
        <w:numPr>
          <w:ilvl w:val="0"/>
          <w:numId w:val="16"/>
        </w:numPr>
        <w:ind w:left="714" w:right="91" w:hanging="357"/>
      </w:pPr>
      <w:r>
        <w:t xml:space="preserve">recipients of legal aid </w:t>
      </w:r>
      <w:r w:rsidR="00830E1B">
        <w:t>under a scheme or</w:t>
      </w:r>
      <w:r>
        <w:t xml:space="preserve"> service approved by the </w:t>
      </w:r>
      <w:proofErr w:type="spellStart"/>
      <w:r>
        <w:t>Attorney</w:t>
      </w:r>
      <w:r w:rsidR="00830E1B">
        <w:noBreakHyphen/>
      </w:r>
      <w:r>
        <w:t>General</w:t>
      </w:r>
      <w:proofErr w:type="spellEnd"/>
      <w:r>
        <w:t xml:space="preserve"> </w:t>
      </w:r>
    </w:p>
    <w:p w:rsidR="00A96B09" w:rsidRDefault="00A96B09" w:rsidP="0047062F">
      <w:pPr>
        <w:numPr>
          <w:ilvl w:val="0"/>
          <w:numId w:val="16"/>
        </w:numPr>
        <w:ind w:left="714" w:right="91" w:hanging="357"/>
      </w:pPr>
      <w:r>
        <w:t xml:space="preserve">persons holding certain concession cards </w:t>
      </w:r>
    </w:p>
    <w:p w:rsidR="00A96B09" w:rsidRDefault="00A96B09" w:rsidP="0047062F">
      <w:pPr>
        <w:numPr>
          <w:ilvl w:val="0"/>
          <w:numId w:val="16"/>
        </w:numPr>
        <w:ind w:left="714" w:right="91" w:hanging="357"/>
      </w:pPr>
      <w:r>
        <w:t>persons serving a term of im</w:t>
      </w:r>
      <w:r w:rsidR="000C4B33">
        <w:t>prisonment or otherwise</w:t>
      </w:r>
      <w:r>
        <w:t xml:space="preserve"> detained</w:t>
      </w:r>
      <w:r w:rsidR="000C4B33">
        <w:t xml:space="preserve"> in a public institution</w:t>
      </w:r>
    </w:p>
    <w:p w:rsidR="00A96B09" w:rsidRDefault="00A96B09" w:rsidP="0047062F">
      <w:pPr>
        <w:numPr>
          <w:ilvl w:val="0"/>
          <w:numId w:val="16"/>
        </w:numPr>
        <w:ind w:left="714" w:right="91" w:hanging="357"/>
      </w:pPr>
      <w:r>
        <w:t>persons aged less than 18 years</w:t>
      </w:r>
    </w:p>
    <w:p w:rsidR="009E2630" w:rsidRDefault="00A96B09" w:rsidP="0047062F">
      <w:pPr>
        <w:numPr>
          <w:ilvl w:val="0"/>
          <w:numId w:val="16"/>
        </w:numPr>
        <w:ind w:left="714" w:right="91" w:hanging="357"/>
      </w:pPr>
      <w:r>
        <w:t xml:space="preserve">persons receiving youth allowance, </w:t>
      </w:r>
      <w:proofErr w:type="spellStart"/>
      <w:r>
        <w:t>Austudy</w:t>
      </w:r>
      <w:proofErr w:type="spellEnd"/>
      <w:r>
        <w:t xml:space="preserve"> payments </w:t>
      </w:r>
      <w:r w:rsidR="0079121E">
        <w:t>or</w:t>
      </w:r>
      <w:r>
        <w:t xml:space="preserve"> benefits under</w:t>
      </w:r>
      <w:r w:rsidR="00D902FE">
        <w:t xml:space="preserve"> the ABSTUDY scheme</w:t>
      </w:r>
      <w:r w:rsidR="0079121E">
        <w:t>, and</w:t>
      </w:r>
    </w:p>
    <w:p w:rsidR="00801E30" w:rsidRDefault="00801E30" w:rsidP="0047062F">
      <w:pPr>
        <w:numPr>
          <w:ilvl w:val="0"/>
          <w:numId w:val="16"/>
        </w:numPr>
        <w:ind w:left="714" w:right="91" w:hanging="357"/>
      </w:pPr>
      <w:r>
        <w:t xml:space="preserve">persons who have been granted assistance under Part 11 of the </w:t>
      </w:r>
      <w:r w:rsidRPr="009E2630">
        <w:rPr>
          <w:i/>
        </w:rPr>
        <w:t>Native Title Act 1993</w:t>
      </w:r>
      <w:r w:rsidR="0079121E">
        <w:t>.</w:t>
      </w:r>
    </w:p>
    <w:p w:rsidR="00A96B09" w:rsidRDefault="00A96B09" w:rsidP="00801E30">
      <w:pPr>
        <w:spacing w:before="0"/>
        <w:ind w:right="91"/>
      </w:pPr>
    </w:p>
    <w:p w:rsidR="00F61972" w:rsidRDefault="00C4623E" w:rsidP="00C84FBF">
      <w:pPr>
        <w:spacing w:before="0"/>
        <w:ind w:right="91"/>
      </w:pPr>
      <w:r>
        <w:t xml:space="preserve">The </w:t>
      </w:r>
      <w:r w:rsidR="0079121E" w:rsidRPr="0079121E">
        <w:rPr>
          <w:i/>
        </w:rPr>
        <w:t>Federal Court of Australia Amendment Regulations 2010 (No</w:t>
      </w:r>
      <w:r w:rsidR="00B53AB6">
        <w:rPr>
          <w:i/>
        </w:rPr>
        <w:t>. </w:t>
      </w:r>
      <w:r w:rsidR="0079121E" w:rsidRPr="0079121E">
        <w:rPr>
          <w:i/>
        </w:rPr>
        <w:t>2)</w:t>
      </w:r>
      <w:r w:rsidR="00C84FBF">
        <w:rPr>
          <w:i/>
        </w:rPr>
        <w:t xml:space="preserve"> </w:t>
      </w:r>
      <w:r w:rsidR="00830E1B">
        <w:t xml:space="preserve">and the </w:t>
      </w:r>
      <w:r w:rsidR="00C84FBF" w:rsidRPr="00830E1B">
        <w:rPr>
          <w:i/>
        </w:rPr>
        <w:t xml:space="preserve">Federal Magistrates </w:t>
      </w:r>
      <w:r w:rsidR="00830E1B" w:rsidRPr="00830E1B">
        <w:rPr>
          <w:i/>
        </w:rPr>
        <w:t xml:space="preserve">Amendment </w:t>
      </w:r>
      <w:r w:rsidR="00C84FBF" w:rsidRPr="00830E1B">
        <w:rPr>
          <w:i/>
        </w:rPr>
        <w:t>Regulations</w:t>
      </w:r>
      <w:r w:rsidR="00830E1B" w:rsidRPr="00830E1B">
        <w:rPr>
          <w:i/>
        </w:rPr>
        <w:t xml:space="preserve"> 2010 (No</w:t>
      </w:r>
      <w:r w:rsidR="00B53AB6">
        <w:rPr>
          <w:i/>
        </w:rPr>
        <w:t>. </w:t>
      </w:r>
      <w:r w:rsidR="00830E1B" w:rsidRPr="00830E1B">
        <w:rPr>
          <w:i/>
        </w:rPr>
        <w:t>2)</w:t>
      </w:r>
      <w:r w:rsidR="00C82068">
        <w:t xml:space="preserve">, </w:t>
      </w:r>
      <w:r w:rsidR="00A62DE9">
        <w:t>commencing on 1 November </w:t>
      </w:r>
      <w:r w:rsidR="00E63F4A">
        <w:t xml:space="preserve">2010, </w:t>
      </w:r>
      <w:r w:rsidR="0079121E">
        <w:t xml:space="preserve">introduced a reduced fee of $100 for persons in </w:t>
      </w:r>
      <w:r w:rsidR="00C84FBF">
        <w:t xml:space="preserve">the above </w:t>
      </w:r>
      <w:r w:rsidR="0079121E">
        <w:lastRenderedPageBreak/>
        <w:t xml:space="preserve">categories.  </w:t>
      </w:r>
      <w:r w:rsidR="00E63F4A">
        <w:t xml:space="preserve">Prior to </w:t>
      </w:r>
      <w:r w:rsidR="00C35BC1">
        <w:t>1 </w:t>
      </w:r>
      <w:r w:rsidR="00E63F4A">
        <w:t xml:space="preserve">November 2010, persons in those categories </w:t>
      </w:r>
      <w:r w:rsidR="00BD0D69">
        <w:t xml:space="preserve">did not </w:t>
      </w:r>
      <w:r w:rsidR="00E63F4A">
        <w:t xml:space="preserve">pay </w:t>
      </w:r>
      <w:r w:rsidR="00BD0D69">
        <w:t xml:space="preserve">court </w:t>
      </w:r>
      <w:r w:rsidR="00E63F4A">
        <w:t xml:space="preserve">fees (other than </w:t>
      </w:r>
      <w:r w:rsidR="00A62DE9">
        <w:t xml:space="preserve">for </w:t>
      </w:r>
      <w:r w:rsidR="00E63F4A">
        <w:t xml:space="preserve">photocopying).  </w:t>
      </w:r>
      <w:r>
        <w:t xml:space="preserve">This section </w:t>
      </w:r>
      <w:r w:rsidR="00E63F4A">
        <w:t xml:space="preserve">effectively </w:t>
      </w:r>
      <w:r>
        <w:t>revert</w:t>
      </w:r>
      <w:r w:rsidR="00CA5BD1">
        <w:t>s</w:t>
      </w:r>
      <w:r>
        <w:t xml:space="preserve"> </w:t>
      </w:r>
      <w:r w:rsidR="00BD0D69">
        <w:t xml:space="preserve">to </w:t>
      </w:r>
      <w:r w:rsidR="00801E30">
        <w:t>the a</w:t>
      </w:r>
      <w:r w:rsidR="00E63F4A">
        <w:t>rrangements existing prior to introduction of the reduced fee</w:t>
      </w:r>
      <w:r w:rsidR="00801E30">
        <w:t xml:space="preserve">.  </w:t>
      </w:r>
    </w:p>
    <w:p w:rsidR="00801E30" w:rsidRDefault="00801E30" w:rsidP="00DC32D6">
      <w:pPr>
        <w:spacing w:before="0"/>
        <w:ind w:right="91"/>
      </w:pPr>
    </w:p>
    <w:p w:rsidR="00DC32D6" w:rsidRPr="00DC32D6" w:rsidRDefault="00DC32D6" w:rsidP="0019627C">
      <w:pPr>
        <w:spacing w:before="80"/>
        <w:ind w:right="91"/>
        <w:rPr>
          <w:b/>
        </w:rPr>
      </w:pPr>
      <w:r w:rsidRPr="00DC32D6">
        <w:rPr>
          <w:b/>
        </w:rPr>
        <w:t>Section 2.06 – Persons exempt from paying fee—financial hardship</w:t>
      </w:r>
    </w:p>
    <w:p w:rsidR="00DC32D6" w:rsidRDefault="00DC32D6" w:rsidP="00DC32D6">
      <w:pPr>
        <w:spacing w:before="0"/>
        <w:ind w:right="91"/>
      </w:pPr>
    </w:p>
    <w:p w:rsidR="005E0F84" w:rsidRDefault="00830E1B" w:rsidP="00DC32D6">
      <w:pPr>
        <w:spacing w:before="0"/>
        <w:ind w:right="91"/>
      </w:pPr>
      <w:r>
        <w:t>This section</w:t>
      </w:r>
      <w:r w:rsidR="005E0F84">
        <w:t xml:space="preserve"> pro</w:t>
      </w:r>
      <w:r w:rsidR="008028B3">
        <w:t>vide</w:t>
      </w:r>
      <w:r w:rsidR="00CA5BD1">
        <w:t>s</w:t>
      </w:r>
      <w:r w:rsidR="008028B3">
        <w:t xml:space="preserve"> a fee exemption where the r</w:t>
      </w:r>
      <w:r w:rsidR="005E0F84">
        <w:t xml:space="preserve">egistrar or authorised officer is of the opinion that payment of the fee would cause financial hardship to </w:t>
      </w:r>
      <w:r w:rsidR="0058325D">
        <w:t>an individual</w:t>
      </w:r>
      <w:r w:rsidR="005E0F84">
        <w:t xml:space="preserve">.  </w:t>
      </w:r>
      <w:r w:rsidR="0058325D">
        <w:t>In considering whether payment of a f</w:t>
      </w:r>
      <w:r w:rsidR="0076057B">
        <w:t xml:space="preserve">ee would have that effect, the </w:t>
      </w:r>
      <w:r w:rsidR="008028B3">
        <w:t>r</w:t>
      </w:r>
      <w:r w:rsidR="0058325D" w:rsidRPr="009D041D">
        <w:t xml:space="preserve">egistrar or </w:t>
      </w:r>
      <w:r w:rsidR="009D041D" w:rsidRPr="009D041D">
        <w:t xml:space="preserve">authorised </w:t>
      </w:r>
      <w:r w:rsidR="0058325D" w:rsidRPr="009D041D">
        <w:t xml:space="preserve">officer </w:t>
      </w:r>
      <w:r w:rsidR="00CA5BD1">
        <w:t>is</w:t>
      </w:r>
      <w:r w:rsidR="0058325D" w:rsidRPr="009D041D">
        <w:t xml:space="preserve"> required to consider</w:t>
      </w:r>
      <w:r w:rsidR="0058325D">
        <w:t xml:space="preserve"> the individual’s income, day-to-day living expenses, liabilities and assets.  </w:t>
      </w:r>
      <w:r w:rsidR="005E0F84">
        <w:t>The</w:t>
      </w:r>
      <w:r w:rsidR="0058325D">
        <w:t>se</w:t>
      </w:r>
      <w:r w:rsidR="005E0F84">
        <w:t xml:space="preserve"> considerations </w:t>
      </w:r>
      <w:r w:rsidR="0058325D">
        <w:t xml:space="preserve">are </w:t>
      </w:r>
      <w:r w:rsidR="005E0F84">
        <w:t>the same as those considered in exercising the power under reg</w:t>
      </w:r>
      <w:r w:rsidR="0076057B">
        <w:t>ulation</w:t>
      </w:r>
      <w:r w:rsidR="005E0F84">
        <w:t> 11B of the Federal Court Regulations and reg</w:t>
      </w:r>
      <w:r w:rsidR="0076057B">
        <w:t>ulation</w:t>
      </w:r>
      <w:r w:rsidR="008028B3">
        <w:t> 9 of the Federal Magistrates</w:t>
      </w:r>
      <w:r w:rsidR="0001757A">
        <w:t> </w:t>
      </w:r>
      <w:r w:rsidR="005E0F84">
        <w:t>Regulations to reduce court fees on the basis of hardship.</w:t>
      </w:r>
    </w:p>
    <w:p w:rsidR="00801E30" w:rsidRDefault="00801E30" w:rsidP="00DC32D6">
      <w:pPr>
        <w:spacing w:before="0"/>
        <w:ind w:right="91"/>
      </w:pPr>
    </w:p>
    <w:p w:rsidR="0019003C" w:rsidRPr="0019003C" w:rsidRDefault="0019003C" w:rsidP="0019627C">
      <w:pPr>
        <w:spacing w:before="80"/>
        <w:ind w:right="91"/>
        <w:rPr>
          <w:u w:val="single"/>
        </w:rPr>
      </w:pPr>
      <w:r>
        <w:rPr>
          <w:u w:val="single"/>
        </w:rPr>
        <w:t>Division 2.4 – When fee is not payable</w:t>
      </w:r>
    </w:p>
    <w:p w:rsidR="0019003C" w:rsidRDefault="0019003C" w:rsidP="00DC32D6">
      <w:pPr>
        <w:spacing w:before="0"/>
        <w:ind w:right="91"/>
        <w:rPr>
          <w:b/>
        </w:rPr>
      </w:pPr>
    </w:p>
    <w:p w:rsidR="00DC32D6" w:rsidRPr="00DC32D6" w:rsidRDefault="00A65847" w:rsidP="0019627C">
      <w:pPr>
        <w:spacing w:before="80"/>
        <w:ind w:right="91"/>
        <w:rPr>
          <w:b/>
        </w:rPr>
      </w:pPr>
      <w:r>
        <w:rPr>
          <w:b/>
        </w:rPr>
        <w:t>Section 2.07</w:t>
      </w:r>
      <w:r w:rsidR="00DC32D6" w:rsidRPr="00DC32D6">
        <w:rPr>
          <w:b/>
        </w:rPr>
        <w:t xml:space="preserve"> – Fee not payable by liable person if already paid</w:t>
      </w:r>
    </w:p>
    <w:p w:rsidR="00DC32D6" w:rsidRDefault="00DC32D6" w:rsidP="00DC32D6">
      <w:pPr>
        <w:spacing w:before="0"/>
        <w:ind w:right="91"/>
      </w:pPr>
    </w:p>
    <w:p w:rsidR="001D5B79" w:rsidRDefault="0058325D" w:rsidP="00DC32D6">
      <w:pPr>
        <w:spacing w:before="0"/>
        <w:ind w:right="91"/>
      </w:pPr>
      <w:r>
        <w:t>This section</w:t>
      </w:r>
      <w:r w:rsidR="004176B2">
        <w:t xml:space="preserve"> </w:t>
      </w:r>
      <w:r w:rsidR="00A65847">
        <w:t>provide</w:t>
      </w:r>
      <w:r w:rsidR="00CA5BD1">
        <w:t>s</w:t>
      </w:r>
      <w:r w:rsidR="00801E30">
        <w:t xml:space="preserve"> that a person who is liable to pay the fee does not have to pay the fee if another p</w:t>
      </w:r>
      <w:r w:rsidR="00C05216">
        <w:t>erson has paid the fee.  T</w:t>
      </w:r>
      <w:r w:rsidR="00801E30">
        <w:t>his can include another party to the proceedings or a per</w:t>
      </w:r>
      <w:r w:rsidR="00C05216">
        <w:t>son unrelated to the proceeding</w:t>
      </w:r>
      <w:r w:rsidR="00801E30">
        <w:t xml:space="preserve">.  </w:t>
      </w:r>
      <w:r w:rsidR="001D5B79">
        <w:t xml:space="preserve">For example, </w:t>
      </w:r>
      <w:r w:rsidR="00801E30">
        <w:t xml:space="preserve">the applicant </w:t>
      </w:r>
      <w:r w:rsidR="00CA5BD1">
        <w:t>does</w:t>
      </w:r>
      <w:r w:rsidR="00A65847">
        <w:t xml:space="preserve"> </w:t>
      </w:r>
      <w:r w:rsidR="00801E30">
        <w:t xml:space="preserve">not </w:t>
      </w:r>
      <w:r w:rsidR="00A65847">
        <w:t xml:space="preserve">have </w:t>
      </w:r>
      <w:r w:rsidR="00801E30">
        <w:t>to pay the fee where a respondent pays a mediation fee to ensure the matter proceeds.</w:t>
      </w:r>
    </w:p>
    <w:p w:rsidR="001D5B79" w:rsidRDefault="001D5B79" w:rsidP="00DC32D6">
      <w:pPr>
        <w:spacing w:before="0"/>
        <w:ind w:right="91"/>
      </w:pPr>
    </w:p>
    <w:p w:rsidR="00DC32D6" w:rsidRPr="00DC32D6" w:rsidRDefault="00A65847" w:rsidP="0019627C">
      <w:pPr>
        <w:spacing w:before="80"/>
        <w:ind w:right="91"/>
        <w:rPr>
          <w:b/>
        </w:rPr>
      </w:pPr>
      <w:r>
        <w:rPr>
          <w:b/>
        </w:rPr>
        <w:t>Section 2.08</w:t>
      </w:r>
      <w:r w:rsidR="00DC32D6" w:rsidRPr="00DC32D6">
        <w:rPr>
          <w:b/>
        </w:rPr>
        <w:t xml:space="preserve"> – Fee not payable in Federal Court proceeding</w:t>
      </w:r>
    </w:p>
    <w:p w:rsidR="005F37F8" w:rsidRDefault="005F37F8" w:rsidP="001D5B79">
      <w:pPr>
        <w:spacing w:before="0"/>
        <w:ind w:right="91"/>
        <w:rPr>
          <w:szCs w:val="24"/>
        </w:rPr>
      </w:pPr>
    </w:p>
    <w:p w:rsidR="001D5B79" w:rsidRDefault="0058325D" w:rsidP="001D5B79">
      <w:pPr>
        <w:spacing w:before="0"/>
        <w:ind w:right="91"/>
        <w:rPr>
          <w:szCs w:val="24"/>
        </w:rPr>
      </w:pPr>
      <w:r>
        <w:rPr>
          <w:szCs w:val="24"/>
        </w:rPr>
        <w:t>This section</w:t>
      </w:r>
      <w:r w:rsidR="004176B2">
        <w:rPr>
          <w:szCs w:val="24"/>
        </w:rPr>
        <w:t xml:space="preserve"> </w:t>
      </w:r>
      <w:r w:rsidR="00C05216">
        <w:rPr>
          <w:szCs w:val="24"/>
        </w:rPr>
        <w:t>provide</w:t>
      </w:r>
      <w:r w:rsidR="00CA5BD1">
        <w:rPr>
          <w:szCs w:val="24"/>
        </w:rPr>
        <w:t>s</w:t>
      </w:r>
      <w:r w:rsidR="00C05216">
        <w:rPr>
          <w:szCs w:val="24"/>
        </w:rPr>
        <w:t xml:space="preserve"> that </w:t>
      </w:r>
      <w:r>
        <w:rPr>
          <w:szCs w:val="24"/>
        </w:rPr>
        <w:t xml:space="preserve">no fees </w:t>
      </w:r>
      <w:r w:rsidR="00CA5BD1">
        <w:rPr>
          <w:szCs w:val="24"/>
        </w:rPr>
        <w:t>are</w:t>
      </w:r>
      <w:r>
        <w:rPr>
          <w:szCs w:val="24"/>
        </w:rPr>
        <w:t xml:space="preserve"> payable for particular proceedings </w:t>
      </w:r>
      <w:r w:rsidR="00C05216">
        <w:rPr>
          <w:szCs w:val="24"/>
        </w:rPr>
        <w:t>in the Federal Court.</w:t>
      </w:r>
      <w:r w:rsidR="00AB3EA0">
        <w:rPr>
          <w:szCs w:val="24"/>
        </w:rPr>
        <w:t xml:space="preserve">  </w:t>
      </w:r>
      <w:r>
        <w:rPr>
          <w:szCs w:val="24"/>
        </w:rPr>
        <w:t xml:space="preserve">It </w:t>
      </w:r>
      <w:r w:rsidR="0085665B">
        <w:rPr>
          <w:szCs w:val="24"/>
        </w:rPr>
        <w:t>enlarge</w:t>
      </w:r>
      <w:r w:rsidR="00CA5BD1">
        <w:rPr>
          <w:szCs w:val="24"/>
        </w:rPr>
        <w:t>s</w:t>
      </w:r>
      <w:r>
        <w:rPr>
          <w:szCs w:val="24"/>
        </w:rPr>
        <w:t xml:space="preserve"> the range of proceedings exempt from fees under clause 1 of Schedule 3 to the </w:t>
      </w:r>
      <w:r w:rsidR="00C05216">
        <w:rPr>
          <w:szCs w:val="24"/>
        </w:rPr>
        <w:t>Federal Court Regulations</w:t>
      </w:r>
      <w:r>
        <w:rPr>
          <w:szCs w:val="24"/>
        </w:rPr>
        <w:t xml:space="preserve"> to include</w:t>
      </w:r>
      <w:r w:rsidR="001D5B79">
        <w:rPr>
          <w:szCs w:val="24"/>
        </w:rPr>
        <w:t>:</w:t>
      </w:r>
    </w:p>
    <w:p w:rsidR="001D5B79" w:rsidRPr="00826FCF" w:rsidRDefault="001D5B79" w:rsidP="0058325D">
      <w:pPr>
        <w:numPr>
          <w:ilvl w:val="0"/>
          <w:numId w:val="15"/>
        </w:numPr>
        <w:ind w:left="714" w:right="91" w:hanging="357"/>
        <w:rPr>
          <w:szCs w:val="24"/>
        </w:rPr>
      </w:pPr>
      <w:r>
        <w:rPr>
          <w:szCs w:val="24"/>
        </w:rPr>
        <w:t>proceedings relating to a</w:t>
      </w:r>
      <w:r w:rsidRPr="00826FCF">
        <w:rPr>
          <w:szCs w:val="24"/>
        </w:rPr>
        <w:t xml:space="preserve">n election petition under the </w:t>
      </w:r>
      <w:r w:rsidRPr="001D5B79">
        <w:rPr>
          <w:i/>
          <w:szCs w:val="24"/>
        </w:rPr>
        <w:t>Aboriginal and Torres Strait Island</w:t>
      </w:r>
      <w:r w:rsidR="00E50606">
        <w:rPr>
          <w:i/>
          <w:szCs w:val="24"/>
        </w:rPr>
        <w:t>er</w:t>
      </w:r>
      <w:r w:rsidRPr="001D5B79">
        <w:rPr>
          <w:i/>
          <w:szCs w:val="24"/>
        </w:rPr>
        <w:t xml:space="preserve"> Act 2005</w:t>
      </w:r>
    </w:p>
    <w:p w:rsidR="001D5B79" w:rsidRDefault="001D5B79" w:rsidP="0058325D">
      <w:pPr>
        <w:numPr>
          <w:ilvl w:val="0"/>
          <w:numId w:val="15"/>
        </w:numPr>
        <w:ind w:left="714" w:right="91" w:hanging="357"/>
        <w:rPr>
          <w:szCs w:val="24"/>
        </w:rPr>
      </w:pPr>
      <w:r>
        <w:rPr>
          <w:szCs w:val="24"/>
        </w:rPr>
        <w:t>appeals from a</w:t>
      </w:r>
      <w:r w:rsidRPr="00826FCF">
        <w:rPr>
          <w:szCs w:val="24"/>
        </w:rPr>
        <w:t xml:space="preserve">n application under section 539 of the </w:t>
      </w:r>
      <w:r w:rsidRPr="001D5B79">
        <w:rPr>
          <w:i/>
          <w:szCs w:val="24"/>
        </w:rPr>
        <w:t>Fair Work Act 2009</w:t>
      </w:r>
      <w:r w:rsidRPr="00826FCF">
        <w:rPr>
          <w:szCs w:val="24"/>
        </w:rPr>
        <w:t xml:space="preserve"> if the applicant has been dismissed from employment in alleged contravent</w:t>
      </w:r>
      <w:r>
        <w:rPr>
          <w:szCs w:val="24"/>
        </w:rPr>
        <w:t xml:space="preserve">ion of section 772 of that Act </w:t>
      </w:r>
    </w:p>
    <w:p w:rsidR="001D5B79" w:rsidRDefault="001D5B79" w:rsidP="0058325D">
      <w:pPr>
        <w:numPr>
          <w:ilvl w:val="0"/>
          <w:numId w:val="15"/>
        </w:numPr>
        <w:ind w:left="714" w:right="91" w:hanging="357"/>
        <w:rPr>
          <w:szCs w:val="24"/>
        </w:rPr>
      </w:pPr>
      <w:r w:rsidRPr="001D5B79">
        <w:rPr>
          <w:szCs w:val="24"/>
        </w:rPr>
        <w:t>an application to set aside a subpoena</w:t>
      </w:r>
      <w:r w:rsidR="00DB66FC">
        <w:rPr>
          <w:szCs w:val="24"/>
        </w:rPr>
        <w:t xml:space="preserve"> by a </w:t>
      </w:r>
      <w:r>
        <w:rPr>
          <w:szCs w:val="24"/>
        </w:rPr>
        <w:t>part</w:t>
      </w:r>
      <w:r w:rsidR="00DB66FC">
        <w:rPr>
          <w:szCs w:val="24"/>
        </w:rPr>
        <w:t xml:space="preserve">y </w:t>
      </w:r>
      <w:r>
        <w:rPr>
          <w:szCs w:val="24"/>
        </w:rPr>
        <w:t>to the proceeding</w:t>
      </w:r>
      <w:r w:rsidR="00DB66FC">
        <w:rPr>
          <w:szCs w:val="24"/>
        </w:rPr>
        <w:t xml:space="preserve"> in which the subpoena was issued</w:t>
      </w:r>
    </w:p>
    <w:p w:rsidR="00DB66FC" w:rsidRDefault="0058325D" w:rsidP="0058325D">
      <w:pPr>
        <w:numPr>
          <w:ilvl w:val="0"/>
          <w:numId w:val="15"/>
        </w:numPr>
        <w:ind w:left="714" w:right="91" w:hanging="357"/>
        <w:rPr>
          <w:szCs w:val="24"/>
        </w:rPr>
      </w:pPr>
      <w:r>
        <w:rPr>
          <w:szCs w:val="24"/>
        </w:rPr>
        <w:t xml:space="preserve">proceedings under the </w:t>
      </w:r>
      <w:r w:rsidRPr="0058325D">
        <w:rPr>
          <w:i/>
          <w:szCs w:val="24"/>
        </w:rPr>
        <w:t>Child Support (Registration and Collection) Act 1988</w:t>
      </w:r>
      <w:r w:rsidR="00DB66FC">
        <w:rPr>
          <w:szCs w:val="24"/>
        </w:rPr>
        <w:t xml:space="preserve">, and </w:t>
      </w:r>
    </w:p>
    <w:p w:rsidR="007D4CB3" w:rsidRDefault="00DB66FC" w:rsidP="0058325D">
      <w:pPr>
        <w:numPr>
          <w:ilvl w:val="0"/>
          <w:numId w:val="15"/>
        </w:numPr>
        <w:ind w:left="714" w:right="91" w:hanging="357"/>
        <w:rPr>
          <w:szCs w:val="24"/>
        </w:rPr>
      </w:pPr>
      <w:r>
        <w:rPr>
          <w:szCs w:val="24"/>
        </w:rPr>
        <w:t>proceedings for which an international convention to which Australia is party provides that no fee is payable</w:t>
      </w:r>
      <w:r w:rsidR="0058325D">
        <w:rPr>
          <w:szCs w:val="24"/>
        </w:rPr>
        <w:t>.</w:t>
      </w:r>
    </w:p>
    <w:p w:rsidR="001D5B79" w:rsidRPr="001D5B79" w:rsidRDefault="001D5B79" w:rsidP="001D5B79">
      <w:pPr>
        <w:spacing w:before="0"/>
        <w:ind w:left="720" w:right="91"/>
        <w:rPr>
          <w:szCs w:val="24"/>
        </w:rPr>
      </w:pPr>
      <w:r w:rsidRPr="001D5B79">
        <w:rPr>
          <w:szCs w:val="24"/>
        </w:rPr>
        <w:t xml:space="preserve"> </w:t>
      </w:r>
    </w:p>
    <w:p w:rsidR="00DC32D6" w:rsidRDefault="00EC4464" w:rsidP="0019627C">
      <w:pPr>
        <w:spacing w:before="80"/>
        <w:ind w:right="91"/>
        <w:rPr>
          <w:b/>
        </w:rPr>
      </w:pPr>
      <w:r>
        <w:rPr>
          <w:b/>
        </w:rPr>
        <w:t>Section 2.</w:t>
      </w:r>
      <w:r w:rsidR="0001757A">
        <w:rPr>
          <w:b/>
        </w:rPr>
        <w:t>0</w:t>
      </w:r>
      <w:r>
        <w:rPr>
          <w:b/>
        </w:rPr>
        <w:t>9</w:t>
      </w:r>
      <w:r w:rsidR="00DC32D6" w:rsidRPr="00DC32D6">
        <w:rPr>
          <w:b/>
        </w:rPr>
        <w:t xml:space="preserve"> – Fee not payable in Federal Magistrates Court proceeding</w:t>
      </w:r>
    </w:p>
    <w:p w:rsidR="009F0D5D" w:rsidRDefault="009F0D5D" w:rsidP="00DC32D6">
      <w:pPr>
        <w:spacing w:before="0"/>
        <w:ind w:right="91"/>
      </w:pPr>
    </w:p>
    <w:p w:rsidR="007C78BD" w:rsidRDefault="00421668" w:rsidP="00F57C5A">
      <w:pPr>
        <w:spacing w:before="0"/>
        <w:ind w:right="91"/>
      </w:pPr>
      <w:r>
        <w:rPr>
          <w:szCs w:val="24"/>
        </w:rPr>
        <w:lastRenderedPageBreak/>
        <w:t>This section provide</w:t>
      </w:r>
      <w:r w:rsidR="00CA5BD1">
        <w:rPr>
          <w:szCs w:val="24"/>
        </w:rPr>
        <w:t>s</w:t>
      </w:r>
      <w:r>
        <w:rPr>
          <w:szCs w:val="24"/>
        </w:rPr>
        <w:t xml:space="preserve"> that no fees </w:t>
      </w:r>
      <w:r w:rsidR="00CA5BD1">
        <w:rPr>
          <w:szCs w:val="24"/>
        </w:rPr>
        <w:t>are</w:t>
      </w:r>
      <w:r>
        <w:rPr>
          <w:szCs w:val="24"/>
        </w:rPr>
        <w:t xml:space="preserve"> payable for particular proceedings or matters in the FMC.  It </w:t>
      </w:r>
      <w:r w:rsidR="0085665B">
        <w:rPr>
          <w:szCs w:val="24"/>
        </w:rPr>
        <w:t>enlarge</w:t>
      </w:r>
      <w:r w:rsidR="00CA5BD1">
        <w:rPr>
          <w:szCs w:val="24"/>
        </w:rPr>
        <w:t>s</w:t>
      </w:r>
      <w:r>
        <w:rPr>
          <w:szCs w:val="24"/>
        </w:rPr>
        <w:t xml:space="preserve"> the range of proceedings and matters exempt from fees under </w:t>
      </w:r>
      <w:r w:rsidR="00F57C5A">
        <w:rPr>
          <w:szCs w:val="24"/>
        </w:rPr>
        <w:t>reg</w:t>
      </w:r>
      <w:r w:rsidR="008028B3">
        <w:rPr>
          <w:szCs w:val="24"/>
        </w:rPr>
        <w:t>ulation 7(2) of the Federal Magistrates</w:t>
      </w:r>
      <w:r>
        <w:rPr>
          <w:szCs w:val="24"/>
        </w:rPr>
        <w:t xml:space="preserve"> Regulations to include</w:t>
      </w:r>
      <w:r w:rsidR="00315644">
        <w:t>:</w:t>
      </w:r>
      <w:r w:rsidR="007C78BD">
        <w:t xml:space="preserve">  </w:t>
      </w:r>
    </w:p>
    <w:p w:rsidR="00F57C5A" w:rsidRDefault="00F57C5A" w:rsidP="00F57C5A">
      <w:pPr>
        <w:numPr>
          <w:ilvl w:val="0"/>
          <w:numId w:val="15"/>
        </w:numPr>
        <w:ind w:left="714" w:right="91" w:hanging="357"/>
        <w:rPr>
          <w:szCs w:val="24"/>
        </w:rPr>
      </w:pPr>
      <w:r w:rsidRPr="001D5B79">
        <w:rPr>
          <w:szCs w:val="24"/>
        </w:rPr>
        <w:t>an application to set aside a subpoena</w:t>
      </w:r>
      <w:r>
        <w:rPr>
          <w:szCs w:val="24"/>
        </w:rPr>
        <w:t xml:space="preserve">, and </w:t>
      </w:r>
    </w:p>
    <w:p w:rsidR="00F57C5A" w:rsidRDefault="00F57C5A" w:rsidP="00F57C5A">
      <w:pPr>
        <w:numPr>
          <w:ilvl w:val="0"/>
          <w:numId w:val="15"/>
        </w:numPr>
        <w:ind w:left="714" w:right="91" w:hanging="357"/>
        <w:rPr>
          <w:szCs w:val="24"/>
        </w:rPr>
      </w:pPr>
      <w:r>
        <w:rPr>
          <w:szCs w:val="24"/>
        </w:rPr>
        <w:t>objections to a subpoenaed document being inspected or copied.</w:t>
      </w:r>
    </w:p>
    <w:p w:rsidR="00887673" w:rsidRDefault="00887673" w:rsidP="00887673">
      <w:pPr>
        <w:spacing w:before="0"/>
        <w:ind w:right="91"/>
      </w:pPr>
    </w:p>
    <w:p w:rsidR="00DC32D6" w:rsidRPr="00DC32D6" w:rsidRDefault="0001757A" w:rsidP="0019627C">
      <w:pPr>
        <w:spacing w:before="80"/>
        <w:ind w:right="91"/>
        <w:rPr>
          <w:b/>
        </w:rPr>
      </w:pPr>
      <w:r>
        <w:rPr>
          <w:b/>
        </w:rPr>
        <w:t>Section 2.10</w:t>
      </w:r>
      <w:r w:rsidR="00DC32D6" w:rsidRPr="00DC32D6">
        <w:rPr>
          <w:b/>
        </w:rPr>
        <w:t xml:space="preserve"> – When only filing fee is payable</w:t>
      </w:r>
    </w:p>
    <w:p w:rsidR="00DC32D6" w:rsidRDefault="00DC32D6" w:rsidP="00DC32D6">
      <w:pPr>
        <w:spacing w:before="0"/>
        <w:ind w:right="91"/>
      </w:pPr>
    </w:p>
    <w:p w:rsidR="008673E8" w:rsidRDefault="008673E8" w:rsidP="008673E8">
      <w:pPr>
        <w:spacing w:before="0"/>
        <w:ind w:right="91"/>
      </w:pPr>
      <w:r>
        <w:t>This section provide</w:t>
      </w:r>
      <w:r w:rsidR="00CA5BD1">
        <w:t>s</w:t>
      </w:r>
      <w:r>
        <w:t xml:space="preserve"> that only the initiating filing fee is payable in relation to </w:t>
      </w:r>
      <w:r w:rsidR="00F57C5A">
        <w:t xml:space="preserve">particular proceedings.  </w:t>
      </w:r>
      <w:r w:rsidR="00F57C5A">
        <w:rPr>
          <w:szCs w:val="24"/>
        </w:rPr>
        <w:t>It enlarge</w:t>
      </w:r>
      <w:r w:rsidR="00CA5BD1">
        <w:rPr>
          <w:szCs w:val="24"/>
        </w:rPr>
        <w:t>s</w:t>
      </w:r>
      <w:r w:rsidR="00F57C5A">
        <w:rPr>
          <w:szCs w:val="24"/>
        </w:rPr>
        <w:t xml:space="preserve"> the range of proceedings for which only such a fee is</w:t>
      </w:r>
      <w:r w:rsidR="009D041D">
        <w:rPr>
          <w:szCs w:val="24"/>
        </w:rPr>
        <w:t xml:space="preserve"> </w:t>
      </w:r>
      <w:r w:rsidR="00F57C5A">
        <w:rPr>
          <w:szCs w:val="24"/>
        </w:rPr>
        <w:t>currently payable to include</w:t>
      </w:r>
      <w:r w:rsidR="00F57C5A">
        <w:t xml:space="preserve"> a </w:t>
      </w:r>
      <w:r w:rsidR="009D35E8">
        <w:t>s</w:t>
      </w:r>
      <w:r w:rsidR="00F57C5A">
        <w:t>mall claims proceeding</w:t>
      </w:r>
      <w:r w:rsidR="0085665B">
        <w:t xml:space="preserve">, brought in relation to fair work and consumer credit </w:t>
      </w:r>
      <w:r w:rsidR="00E247AF">
        <w:t>claims</w:t>
      </w:r>
      <w:r w:rsidR="0085665B">
        <w:t>,</w:t>
      </w:r>
      <w:r>
        <w:t xml:space="preserve"> </w:t>
      </w:r>
      <w:r w:rsidR="00F57C5A">
        <w:t xml:space="preserve">in the FMC.  </w:t>
      </w:r>
      <w:r>
        <w:t xml:space="preserve">This </w:t>
      </w:r>
      <w:r w:rsidR="00CA5BD1">
        <w:t>is</w:t>
      </w:r>
      <w:r w:rsidR="002579DB">
        <w:t xml:space="preserve"> consistent with the small claims procedure</w:t>
      </w:r>
      <w:r>
        <w:t xml:space="preserve"> </w:t>
      </w:r>
      <w:r w:rsidR="002579DB">
        <w:t>being a streamlined process where costs are kept to a minimum.</w:t>
      </w:r>
    </w:p>
    <w:p w:rsidR="008673E8" w:rsidRDefault="008673E8" w:rsidP="00DC32D6">
      <w:pPr>
        <w:spacing w:before="0"/>
        <w:ind w:right="91"/>
      </w:pPr>
    </w:p>
    <w:p w:rsidR="00DC32D6" w:rsidRDefault="0001757A" w:rsidP="0019627C">
      <w:pPr>
        <w:spacing w:before="80"/>
        <w:ind w:right="91"/>
        <w:rPr>
          <w:b/>
        </w:rPr>
      </w:pPr>
      <w:r>
        <w:rPr>
          <w:b/>
        </w:rPr>
        <w:t>Section 2.11</w:t>
      </w:r>
      <w:r w:rsidR="00DC32D6" w:rsidRPr="00DC32D6">
        <w:rPr>
          <w:b/>
        </w:rPr>
        <w:t xml:space="preserve"> – When filing fee is not payable </w:t>
      </w:r>
    </w:p>
    <w:p w:rsidR="00225118" w:rsidRDefault="00225118" w:rsidP="00DC32D6">
      <w:pPr>
        <w:spacing w:before="0"/>
        <w:ind w:right="91"/>
        <w:rPr>
          <w:b/>
        </w:rPr>
      </w:pPr>
    </w:p>
    <w:p w:rsidR="00E247AF" w:rsidRDefault="00E247AF" w:rsidP="00E247AF">
      <w:pPr>
        <w:spacing w:before="0"/>
        <w:ind w:right="91"/>
      </w:pPr>
      <w:r>
        <w:t>This section</w:t>
      </w:r>
      <w:r w:rsidR="004176B2">
        <w:t xml:space="preserve"> </w:t>
      </w:r>
      <w:r w:rsidR="002E400E">
        <w:t>provide</w:t>
      </w:r>
      <w:r w:rsidR="00CA5BD1">
        <w:t>s</w:t>
      </w:r>
      <w:r w:rsidR="002E400E">
        <w:t xml:space="preserve"> that a filing fee is not payable</w:t>
      </w:r>
      <w:r w:rsidR="008673E8">
        <w:t xml:space="preserve"> for </w:t>
      </w:r>
      <w:r>
        <w:t>particular proceedings in the Federal Court and the FMC</w:t>
      </w:r>
      <w:r w:rsidR="008673E8">
        <w:t xml:space="preserve">.  </w:t>
      </w:r>
      <w:r>
        <w:t xml:space="preserve">The range of proceedings for which a filing fee is not payable reflects the proceedings exempt from payment of filing fees under </w:t>
      </w:r>
    </w:p>
    <w:p w:rsidR="008673E8" w:rsidRPr="00225118" w:rsidRDefault="008673E8" w:rsidP="008673E8">
      <w:pPr>
        <w:spacing w:before="0"/>
        <w:ind w:right="91"/>
      </w:pPr>
      <w:r>
        <w:t>cl</w:t>
      </w:r>
      <w:r w:rsidR="00E247AF">
        <w:t>ause</w:t>
      </w:r>
      <w:r>
        <w:t xml:space="preserve"> 2 of Schedule 3</w:t>
      </w:r>
      <w:r w:rsidRPr="00225118">
        <w:t xml:space="preserve"> </w:t>
      </w:r>
      <w:r w:rsidR="00B53AB6">
        <w:t>to</w:t>
      </w:r>
      <w:r w:rsidRPr="00225118">
        <w:t xml:space="preserve"> the Federal Court Regulations and reg</w:t>
      </w:r>
      <w:r w:rsidR="009D041D">
        <w:t>ulation</w:t>
      </w:r>
      <w:r w:rsidRPr="00225118">
        <w:t xml:space="preserve"> 8A of the </w:t>
      </w:r>
      <w:r w:rsidR="001A31BB">
        <w:t>Federal Magistrates</w:t>
      </w:r>
      <w:r>
        <w:t> </w:t>
      </w:r>
      <w:r w:rsidRPr="00225118">
        <w:t xml:space="preserve">Regulations.  </w:t>
      </w:r>
    </w:p>
    <w:p w:rsidR="00DC32D6" w:rsidRDefault="00DC32D6" w:rsidP="00DC32D6">
      <w:pPr>
        <w:spacing w:before="0"/>
        <w:ind w:right="91"/>
      </w:pPr>
    </w:p>
    <w:p w:rsidR="00DC32D6" w:rsidRDefault="00AB3EA0" w:rsidP="0019627C">
      <w:pPr>
        <w:spacing w:before="80"/>
        <w:ind w:right="91"/>
        <w:rPr>
          <w:b/>
        </w:rPr>
      </w:pPr>
      <w:r>
        <w:rPr>
          <w:b/>
        </w:rPr>
        <w:t>Section 2.12</w:t>
      </w:r>
      <w:r w:rsidR="00DC32D6" w:rsidRPr="00DC32D6">
        <w:rPr>
          <w:b/>
        </w:rPr>
        <w:t xml:space="preserve"> – When setting down fee is not payable</w:t>
      </w:r>
    </w:p>
    <w:p w:rsidR="00225118" w:rsidRDefault="00225118" w:rsidP="00225118">
      <w:pPr>
        <w:spacing w:before="0"/>
        <w:ind w:right="91"/>
      </w:pPr>
    </w:p>
    <w:p w:rsidR="00225118" w:rsidRDefault="00E247AF" w:rsidP="00225118">
      <w:pPr>
        <w:spacing w:before="0"/>
        <w:ind w:right="91"/>
      </w:pPr>
      <w:r>
        <w:t>This section provide</w:t>
      </w:r>
      <w:r w:rsidR="00CA5BD1">
        <w:t>s</w:t>
      </w:r>
      <w:r>
        <w:t xml:space="preserve"> that a setting down fee is not payable for particular proceedings in the Federal Court and the FMC.  The range of proceedings for which a setting down fee is not payable reflects the proceedings exempt from payment of setting down fees under clause 3 of Schedule 3</w:t>
      </w:r>
      <w:r w:rsidRPr="00225118">
        <w:t xml:space="preserve"> </w:t>
      </w:r>
      <w:r w:rsidR="00B53AB6">
        <w:t>to</w:t>
      </w:r>
      <w:r w:rsidRPr="00225118">
        <w:t xml:space="preserve"> the Federal Court Regulations and reg</w:t>
      </w:r>
      <w:r w:rsidR="009D041D">
        <w:t>ulation</w:t>
      </w:r>
      <w:r w:rsidRPr="00225118">
        <w:t xml:space="preserve"> 8</w:t>
      </w:r>
      <w:r>
        <w:t>B</w:t>
      </w:r>
      <w:r w:rsidRPr="00225118">
        <w:t xml:space="preserve"> of the </w:t>
      </w:r>
      <w:r w:rsidR="001A31BB">
        <w:t>Federal Magistrates</w:t>
      </w:r>
      <w:r>
        <w:t> </w:t>
      </w:r>
      <w:r w:rsidRPr="00225118">
        <w:t xml:space="preserve">Regulations.  </w:t>
      </w:r>
    </w:p>
    <w:p w:rsidR="00E247AF" w:rsidRPr="009F0D5D" w:rsidRDefault="00E247AF" w:rsidP="00225118">
      <w:pPr>
        <w:spacing w:before="0"/>
        <w:ind w:right="91"/>
      </w:pPr>
    </w:p>
    <w:p w:rsidR="00E247AF" w:rsidRDefault="00E247AF" w:rsidP="0019627C">
      <w:pPr>
        <w:spacing w:before="80"/>
        <w:ind w:right="91"/>
        <w:rPr>
          <w:b/>
        </w:rPr>
      </w:pPr>
      <w:r>
        <w:rPr>
          <w:b/>
        </w:rPr>
        <w:t>Section 2.13</w:t>
      </w:r>
      <w:r w:rsidRPr="00DC32D6">
        <w:rPr>
          <w:b/>
        </w:rPr>
        <w:t xml:space="preserve"> – When </w:t>
      </w:r>
      <w:r>
        <w:rPr>
          <w:b/>
        </w:rPr>
        <w:t>hearing</w:t>
      </w:r>
      <w:r w:rsidRPr="00DC32D6">
        <w:rPr>
          <w:b/>
        </w:rPr>
        <w:t xml:space="preserve"> fee is not payable</w:t>
      </w:r>
    </w:p>
    <w:p w:rsidR="00E247AF" w:rsidRDefault="00E247AF" w:rsidP="00E247AF">
      <w:pPr>
        <w:spacing w:before="0"/>
        <w:ind w:right="91"/>
      </w:pPr>
    </w:p>
    <w:p w:rsidR="00E247AF" w:rsidRDefault="00E247AF" w:rsidP="00E247AF">
      <w:pPr>
        <w:spacing w:before="0"/>
        <w:ind w:right="91"/>
      </w:pPr>
      <w:r>
        <w:t xml:space="preserve">This section </w:t>
      </w:r>
      <w:r w:rsidR="00CA5BD1">
        <w:t>p</w:t>
      </w:r>
      <w:r>
        <w:t>rovide</w:t>
      </w:r>
      <w:r w:rsidR="00CA5BD1">
        <w:t>s</w:t>
      </w:r>
      <w:r>
        <w:t xml:space="preserve"> that a hearing fee is not payable for particular proceedings in the Federal Court and the FMC.  The range of proceedings for which a hearing fee is not payable reflects the proceedings exempt from payment of setting down fees under clause 4 of Schedule 3</w:t>
      </w:r>
      <w:r w:rsidRPr="00225118">
        <w:t xml:space="preserve"> </w:t>
      </w:r>
      <w:r w:rsidR="00B53AB6">
        <w:t>to</w:t>
      </w:r>
      <w:r w:rsidRPr="00225118">
        <w:t xml:space="preserve"> the Federal Court Regulations and reg</w:t>
      </w:r>
      <w:r w:rsidR="009D041D">
        <w:t>ulation</w:t>
      </w:r>
      <w:r w:rsidRPr="00225118">
        <w:t xml:space="preserve"> 8</w:t>
      </w:r>
      <w:r>
        <w:t>C</w:t>
      </w:r>
      <w:r w:rsidRPr="00225118">
        <w:t xml:space="preserve"> of the </w:t>
      </w:r>
      <w:r w:rsidR="00A91428">
        <w:t>Federal Magistrates</w:t>
      </w:r>
      <w:r>
        <w:t> </w:t>
      </w:r>
      <w:r w:rsidRPr="00225118">
        <w:t xml:space="preserve">Regulations.  </w:t>
      </w:r>
    </w:p>
    <w:p w:rsidR="004A4957" w:rsidRDefault="004A4957" w:rsidP="0019627C">
      <w:pPr>
        <w:keepNext/>
        <w:spacing w:before="80"/>
        <w:ind w:right="91"/>
        <w:rPr>
          <w:u w:val="single"/>
        </w:rPr>
      </w:pPr>
    </w:p>
    <w:p w:rsidR="00766D93" w:rsidRPr="00766D93" w:rsidRDefault="00766D93" w:rsidP="0019627C">
      <w:pPr>
        <w:keepNext/>
        <w:spacing w:before="80"/>
        <w:ind w:right="91"/>
        <w:rPr>
          <w:u w:val="single"/>
        </w:rPr>
      </w:pPr>
      <w:r>
        <w:rPr>
          <w:u w:val="single"/>
        </w:rPr>
        <w:t>Division 2.5 – Payment of fees</w:t>
      </w:r>
    </w:p>
    <w:p w:rsidR="00766D93" w:rsidRDefault="00766D93" w:rsidP="00B01902">
      <w:pPr>
        <w:keepNext/>
        <w:spacing w:before="0"/>
        <w:ind w:right="91"/>
        <w:rPr>
          <w:b/>
        </w:rPr>
      </w:pPr>
    </w:p>
    <w:p w:rsidR="00DC32D6" w:rsidRPr="00DC32D6" w:rsidRDefault="00AB3EA0" w:rsidP="0019627C">
      <w:pPr>
        <w:keepNext/>
        <w:spacing w:before="80"/>
        <w:ind w:right="91"/>
        <w:rPr>
          <w:b/>
        </w:rPr>
      </w:pPr>
      <w:r>
        <w:rPr>
          <w:b/>
        </w:rPr>
        <w:t>Section 2.1</w:t>
      </w:r>
      <w:r w:rsidR="004B2654">
        <w:rPr>
          <w:b/>
        </w:rPr>
        <w:t>4</w:t>
      </w:r>
      <w:r w:rsidR="00DC32D6" w:rsidRPr="00DC32D6">
        <w:rPr>
          <w:b/>
        </w:rPr>
        <w:t xml:space="preserve"> – When fee must be paid</w:t>
      </w:r>
    </w:p>
    <w:p w:rsidR="00DC32D6" w:rsidRDefault="00DC32D6" w:rsidP="00B01902">
      <w:pPr>
        <w:keepNext/>
        <w:spacing w:before="0"/>
        <w:ind w:right="91"/>
      </w:pPr>
    </w:p>
    <w:p w:rsidR="00564D55" w:rsidRPr="00564D55" w:rsidRDefault="00564D55" w:rsidP="00B01902">
      <w:pPr>
        <w:keepNext/>
        <w:spacing w:before="0"/>
        <w:ind w:right="91"/>
        <w:rPr>
          <w:i/>
        </w:rPr>
      </w:pPr>
      <w:r w:rsidRPr="00564D55">
        <w:rPr>
          <w:i/>
        </w:rPr>
        <w:t>Filing fee</w:t>
      </w:r>
    </w:p>
    <w:p w:rsidR="00564D55" w:rsidRDefault="00564D55" w:rsidP="00564D55">
      <w:pPr>
        <w:spacing w:before="0"/>
        <w:ind w:right="91"/>
      </w:pPr>
    </w:p>
    <w:p w:rsidR="00564D55" w:rsidRDefault="00564D55" w:rsidP="00564D55">
      <w:pPr>
        <w:spacing w:before="0"/>
        <w:ind w:right="91"/>
      </w:pPr>
      <w:r>
        <w:t>Subsection 2.1</w:t>
      </w:r>
      <w:r w:rsidR="009D041D">
        <w:t>4</w:t>
      </w:r>
      <w:r>
        <w:t>(1) provide</w:t>
      </w:r>
      <w:r w:rsidR="00CA5BD1">
        <w:t>s</w:t>
      </w:r>
      <w:r>
        <w:t xml:space="preserve"> that the fee for filing a document must be paid before the document is filed.  </w:t>
      </w:r>
    </w:p>
    <w:p w:rsidR="00564D55" w:rsidRDefault="00564D55" w:rsidP="00564D55">
      <w:pPr>
        <w:spacing w:before="0"/>
        <w:ind w:right="91"/>
      </w:pPr>
    </w:p>
    <w:p w:rsidR="00564D55" w:rsidRPr="00564D55" w:rsidRDefault="00564D55" w:rsidP="00564D55">
      <w:pPr>
        <w:spacing w:before="0"/>
        <w:ind w:right="91"/>
        <w:rPr>
          <w:i/>
        </w:rPr>
      </w:pPr>
      <w:r w:rsidRPr="00564D55">
        <w:rPr>
          <w:i/>
        </w:rPr>
        <w:t>Setting down fee</w:t>
      </w:r>
    </w:p>
    <w:p w:rsidR="00564D55" w:rsidRDefault="00564D55" w:rsidP="00564D55">
      <w:pPr>
        <w:spacing w:before="0"/>
        <w:ind w:right="91"/>
      </w:pPr>
    </w:p>
    <w:p w:rsidR="00564D55" w:rsidRDefault="00564D55" w:rsidP="00564D55">
      <w:pPr>
        <w:spacing w:before="0"/>
        <w:ind w:right="91"/>
      </w:pPr>
      <w:r>
        <w:t>Subsection 2.1</w:t>
      </w:r>
      <w:r w:rsidR="009D041D">
        <w:t>4</w:t>
      </w:r>
      <w:r>
        <w:t>(2) provide</w:t>
      </w:r>
      <w:r w:rsidR="00CA5BD1">
        <w:t>s</w:t>
      </w:r>
      <w:r>
        <w:t xml:space="preserve"> that the fee for setting down a proceeding for a hearing must be paid no later than 28 days before the hearing day or, for a proceeding set down for hearing within 28 days, within the period o</w:t>
      </w:r>
      <w:r w:rsidR="00622887">
        <w:t>r at the time approv</w:t>
      </w:r>
      <w:r w:rsidR="00183B7C">
        <w:t>ed by the r</w:t>
      </w:r>
      <w:r>
        <w:t>egistrar or authorised officer of the court.</w:t>
      </w:r>
    </w:p>
    <w:p w:rsidR="00564D55" w:rsidRDefault="00564D55" w:rsidP="00564D55">
      <w:pPr>
        <w:spacing w:before="0"/>
        <w:ind w:right="91"/>
      </w:pPr>
    </w:p>
    <w:p w:rsidR="00564D55" w:rsidRPr="00564D55" w:rsidRDefault="00564D55" w:rsidP="00564D55">
      <w:pPr>
        <w:spacing w:before="0"/>
        <w:ind w:right="91"/>
        <w:rPr>
          <w:i/>
        </w:rPr>
      </w:pPr>
      <w:r w:rsidRPr="00564D55">
        <w:rPr>
          <w:i/>
        </w:rPr>
        <w:t xml:space="preserve">Hearing fee </w:t>
      </w:r>
    </w:p>
    <w:p w:rsidR="00564D55" w:rsidRDefault="00564D55" w:rsidP="00564D55">
      <w:pPr>
        <w:spacing w:before="0"/>
        <w:ind w:right="91"/>
      </w:pPr>
    </w:p>
    <w:p w:rsidR="00564D55" w:rsidRDefault="00564D55" w:rsidP="00564D55">
      <w:pPr>
        <w:spacing w:before="0"/>
        <w:ind w:right="91"/>
      </w:pPr>
      <w:r>
        <w:t>Subsection 2.1</w:t>
      </w:r>
      <w:r w:rsidR="009D041D">
        <w:t>4</w:t>
      </w:r>
      <w:r>
        <w:t>(3) provide</w:t>
      </w:r>
      <w:r w:rsidR="00CA5BD1">
        <w:t>s</w:t>
      </w:r>
      <w:r>
        <w:t xml:space="preserve"> that the fee for a hearing of a proceeding must be paid no later than close </w:t>
      </w:r>
      <w:r w:rsidR="00E50606">
        <w:t>of business on the day that is two</w:t>
      </w:r>
      <w:r>
        <w:t xml:space="preserve"> business days before the hearing day </w:t>
      </w:r>
      <w:r w:rsidR="00E50606">
        <w:t>or, for a hearing fixed within two</w:t>
      </w:r>
      <w:r>
        <w:t xml:space="preserve"> business days, no later than 9.30am on the hearing day.</w:t>
      </w:r>
    </w:p>
    <w:p w:rsidR="00564D55" w:rsidRDefault="00564D55" w:rsidP="00564D55">
      <w:pPr>
        <w:spacing w:before="0"/>
        <w:ind w:right="91"/>
      </w:pPr>
    </w:p>
    <w:p w:rsidR="00564D55" w:rsidRPr="00564D55" w:rsidRDefault="00564D55" w:rsidP="00564D55">
      <w:pPr>
        <w:spacing w:before="0"/>
        <w:ind w:right="91"/>
        <w:rPr>
          <w:i/>
        </w:rPr>
      </w:pPr>
      <w:r w:rsidRPr="00564D55">
        <w:rPr>
          <w:i/>
        </w:rPr>
        <w:t>Fee for service or execution of process, or seizure and sale of goods</w:t>
      </w:r>
    </w:p>
    <w:p w:rsidR="00564D55" w:rsidRDefault="00564D55" w:rsidP="00564D55">
      <w:pPr>
        <w:spacing w:before="0"/>
        <w:ind w:right="91"/>
      </w:pPr>
    </w:p>
    <w:p w:rsidR="00564D55" w:rsidRDefault="00564D55" w:rsidP="00564D55">
      <w:pPr>
        <w:spacing w:before="0"/>
        <w:ind w:right="91"/>
      </w:pPr>
      <w:r>
        <w:t>Subsection 2.1</w:t>
      </w:r>
      <w:r w:rsidR="009D041D">
        <w:t>4</w:t>
      </w:r>
      <w:r>
        <w:t>(4) provide</w:t>
      </w:r>
      <w:r w:rsidR="00CA5BD1">
        <w:t>s</w:t>
      </w:r>
      <w:r>
        <w:t xml:space="preserve"> that fees for the service or execution (or attempted service or execution) of a process, or the seizure and sale</w:t>
      </w:r>
      <w:r w:rsidR="00EB394F">
        <w:t xml:space="preserve"> of goods by an officer of the c</w:t>
      </w:r>
      <w:r>
        <w:t xml:space="preserve">ourt, </w:t>
      </w:r>
      <w:r w:rsidR="00CA5BD1">
        <w:t>must</w:t>
      </w:r>
      <w:r>
        <w:t xml:space="preserve"> be paid wi</w:t>
      </w:r>
      <w:r w:rsidR="00622887">
        <w:t>thin the time approv</w:t>
      </w:r>
      <w:r w:rsidR="00EB394F">
        <w:t>ed by the r</w:t>
      </w:r>
      <w:r>
        <w:t>egistrar or a</w:t>
      </w:r>
      <w:r w:rsidR="009D041D">
        <w:t xml:space="preserve">uthorised </w:t>
      </w:r>
      <w:r>
        <w:t xml:space="preserve">officer of the court.  </w:t>
      </w:r>
    </w:p>
    <w:p w:rsidR="00564D55" w:rsidRDefault="00564D55" w:rsidP="00564D55">
      <w:pPr>
        <w:spacing w:before="0"/>
        <w:ind w:right="91"/>
      </w:pPr>
    </w:p>
    <w:p w:rsidR="00564D55" w:rsidRPr="00564D55" w:rsidRDefault="00564D55" w:rsidP="00564D55">
      <w:pPr>
        <w:spacing w:before="0"/>
        <w:ind w:right="91"/>
        <w:rPr>
          <w:i/>
        </w:rPr>
      </w:pPr>
      <w:r w:rsidRPr="00564D55">
        <w:rPr>
          <w:i/>
        </w:rPr>
        <w:t>Fee for other service</w:t>
      </w:r>
    </w:p>
    <w:p w:rsidR="00564D55" w:rsidRDefault="00564D55" w:rsidP="00564D55">
      <w:pPr>
        <w:spacing w:before="0"/>
        <w:ind w:right="91"/>
      </w:pPr>
    </w:p>
    <w:p w:rsidR="00C73075" w:rsidRPr="005F37F8" w:rsidRDefault="00564D55" w:rsidP="00564D55">
      <w:pPr>
        <w:spacing w:before="0"/>
        <w:ind w:right="91"/>
      </w:pPr>
      <w:r>
        <w:t>Subsection 2.1</w:t>
      </w:r>
      <w:r w:rsidR="009D041D">
        <w:t>4</w:t>
      </w:r>
      <w:r>
        <w:t>(5) provide</w:t>
      </w:r>
      <w:r w:rsidR="00CA5BD1">
        <w:t>s</w:t>
      </w:r>
      <w:r>
        <w:t xml:space="preserve"> that fees for other services must be paid before the service is provided.</w:t>
      </w:r>
      <w:r w:rsidR="00645E76">
        <w:t xml:space="preserve">  </w:t>
      </w:r>
    </w:p>
    <w:p w:rsidR="00E44C18" w:rsidRDefault="00E44C18" w:rsidP="00DC32D6">
      <w:pPr>
        <w:spacing w:before="0"/>
        <w:ind w:right="91"/>
      </w:pPr>
    </w:p>
    <w:p w:rsidR="00DC32D6" w:rsidRPr="00DC32D6" w:rsidRDefault="00AB3EA0" w:rsidP="0019627C">
      <w:pPr>
        <w:spacing w:before="80"/>
        <w:ind w:right="91"/>
        <w:rPr>
          <w:b/>
        </w:rPr>
      </w:pPr>
      <w:r>
        <w:rPr>
          <w:b/>
        </w:rPr>
        <w:t>Section 2.1</w:t>
      </w:r>
      <w:r w:rsidR="00E7531D">
        <w:rPr>
          <w:b/>
        </w:rPr>
        <w:t>5</w:t>
      </w:r>
      <w:r w:rsidR="00DC32D6" w:rsidRPr="00DC32D6">
        <w:rPr>
          <w:b/>
        </w:rPr>
        <w:t xml:space="preserve"> – Deferral of payment of fees</w:t>
      </w:r>
    </w:p>
    <w:p w:rsidR="008F7EEE" w:rsidRDefault="008F7EEE" w:rsidP="00DC32D6">
      <w:pPr>
        <w:spacing w:before="0"/>
        <w:ind w:right="91"/>
        <w:rPr>
          <w:b/>
        </w:rPr>
      </w:pPr>
    </w:p>
    <w:p w:rsidR="00932D21" w:rsidRDefault="00E7531D" w:rsidP="00E44C18">
      <w:pPr>
        <w:spacing w:before="0"/>
        <w:ind w:right="91"/>
      </w:pPr>
      <w:r>
        <w:t>This section</w:t>
      </w:r>
      <w:r w:rsidR="009B0F12">
        <w:t xml:space="preserve"> </w:t>
      </w:r>
      <w:r w:rsidR="00E44C18">
        <w:t>allow</w:t>
      </w:r>
      <w:r w:rsidR="00AE5444">
        <w:t>s</w:t>
      </w:r>
      <w:r w:rsidR="002867DD">
        <w:t xml:space="preserve"> </w:t>
      </w:r>
      <w:r w:rsidR="002163AA">
        <w:t>a r</w:t>
      </w:r>
      <w:r w:rsidR="00E44C18">
        <w:t>egistrar or an authorised officer to defer t</w:t>
      </w:r>
      <w:r w:rsidR="009B0F12">
        <w:t xml:space="preserve">he time </w:t>
      </w:r>
      <w:r>
        <w:t>for payment of</w:t>
      </w:r>
      <w:r w:rsidR="009B0F12">
        <w:t xml:space="preserve"> a fee</w:t>
      </w:r>
      <w:r w:rsidR="00932D21">
        <w:t>, other than photocopying and service and execution of process fees.</w:t>
      </w:r>
    </w:p>
    <w:p w:rsidR="00932D21" w:rsidRDefault="00932D21" w:rsidP="00E44C18">
      <w:pPr>
        <w:spacing w:before="0"/>
        <w:ind w:right="91"/>
      </w:pPr>
    </w:p>
    <w:p w:rsidR="003B5FB3" w:rsidRDefault="00932D21" w:rsidP="00E44C18">
      <w:pPr>
        <w:spacing w:before="0"/>
        <w:ind w:right="91"/>
      </w:pPr>
      <w:r>
        <w:t>Subsection 2.15(2) allow</w:t>
      </w:r>
      <w:r w:rsidR="00AE5444">
        <w:t>s</w:t>
      </w:r>
      <w:r>
        <w:t xml:space="preserve"> the time for payment o</w:t>
      </w:r>
      <w:r w:rsidR="002163AA">
        <w:t>f a fee to be deferred where a r</w:t>
      </w:r>
      <w:r>
        <w:t>egistrar or authorised officer is of the opinion that</w:t>
      </w:r>
      <w:r w:rsidR="003B5FB3">
        <w:t>:</w:t>
      </w:r>
    </w:p>
    <w:p w:rsidR="003B5FB3" w:rsidRDefault="003B5FB3" w:rsidP="00E44C18">
      <w:pPr>
        <w:spacing w:before="0"/>
        <w:ind w:right="91"/>
      </w:pPr>
    </w:p>
    <w:p w:rsidR="003B5FB3" w:rsidRDefault="003B5FB3" w:rsidP="003B5FB3">
      <w:pPr>
        <w:numPr>
          <w:ilvl w:val="0"/>
          <w:numId w:val="24"/>
        </w:numPr>
        <w:spacing w:before="0"/>
        <w:ind w:right="91"/>
      </w:pPr>
      <w:r>
        <w:t>it would be oppressive or otherwise unreasonable, having regard to the financial circumstances of</w:t>
      </w:r>
      <w:r w:rsidR="009D041D">
        <w:t xml:space="preserve"> the</w:t>
      </w:r>
      <w:r>
        <w:t xml:space="preserve"> person required to pay the fee, to require payment of the fee at the time required under section 2.14, or</w:t>
      </w:r>
    </w:p>
    <w:p w:rsidR="003B5FB3" w:rsidRDefault="003B5FB3" w:rsidP="003B5FB3">
      <w:pPr>
        <w:spacing w:before="0"/>
        <w:ind w:left="720" w:right="91"/>
      </w:pPr>
    </w:p>
    <w:p w:rsidR="003B5FB3" w:rsidRDefault="003B5FB3" w:rsidP="003B5FB3">
      <w:pPr>
        <w:numPr>
          <w:ilvl w:val="0"/>
          <w:numId w:val="24"/>
        </w:numPr>
        <w:spacing w:before="0"/>
        <w:ind w:right="91"/>
      </w:pPr>
      <w:r>
        <w:t xml:space="preserve">in the case of a fee for the filing of a document, </w:t>
      </w:r>
      <w:r w:rsidR="00932D21">
        <w:t xml:space="preserve">the need to file the document is so urgent that it overrides the requirement to pay the fee before the document is filed.  </w:t>
      </w:r>
    </w:p>
    <w:p w:rsidR="003B5FB3" w:rsidRDefault="003B5FB3" w:rsidP="003B5FB3">
      <w:pPr>
        <w:spacing w:before="0"/>
        <w:ind w:left="720" w:right="91"/>
      </w:pPr>
    </w:p>
    <w:p w:rsidR="003B5FB3" w:rsidRDefault="003B5FB3" w:rsidP="003B5FB3">
      <w:pPr>
        <w:spacing w:before="0"/>
        <w:ind w:right="91"/>
      </w:pPr>
      <w:r>
        <w:t xml:space="preserve">Subsection 2.15(2) </w:t>
      </w:r>
      <w:r w:rsidR="00AE5444">
        <w:t>a</w:t>
      </w:r>
      <w:r>
        <w:t>lso allow</w:t>
      </w:r>
      <w:r w:rsidR="00AE5444">
        <w:t>s</w:t>
      </w:r>
      <w:r w:rsidR="00932D21">
        <w:t xml:space="preserve"> the time for payment of a fee to be deferred where</w:t>
      </w:r>
      <w:r>
        <w:t xml:space="preserve"> the person required to pay the fee in relation to the proceeding is represented by a lawyer who is not charging the person a fee in relation to that proceeding. </w:t>
      </w:r>
      <w:r w:rsidR="00932D21">
        <w:t xml:space="preserve">     </w:t>
      </w:r>
    </w:p>
    <w:p w:rsidR="003B5FB3" w:rsidRDefault="003B5FB3" w:rsidP="00E44C18">
      <w:pPr>
        <w:spacing w:before="0"/>
        <w:ind w:right="91"/>
      </w:pPr>
    </w:p>
    <w:p w:rsidR="003B5FB3" w:rsidRDefault="00AE5444" w:rsidP="00E44C18">
      <w:pPr>
        <w:spacing w:before="0"/>
        <w:ind w:right="91"/>
      </w:pPr>
      <w:r>
        <w:t>Subsection 2.15(3)</w:t>
      </w:r>
      <w:r w:rsidR="003B5FB3">
        <w:t xml:space="preserve"> require</w:t>
      </w:r>
      <w:r>
        <w:t>s</w:t>
      </w:r>
      <w:r w:rsidR="003B5FB3">
        <w:t xml:space="preserve">, where the time for payment of a fee has been deferred, the fee to be paid within 28 days after the day payment is deferred, or within another </w:t>
      </w:r>
      <w:r w:rsidR="003B5FB3">
        <w:lastRenderedPageBreak/>
        <w:t>p</w:t>
      </w:r>
      <w:r w:rsidR="00596C28">
        <w:t>eriod approved in writing by a r</w:t>
      </w:r>
      <w:r w:rsidR="003B5FB3">
        <w:t>egistrar or authorised officer.</w:t>
      </w:r>
      <w:r w:rsidR="005A3161">
        <w:t xml:space="preserve"> These time periods apply instead of the time for payment of the fee under section 2.14.</w:t>
      </w:r>
    </w:p>
    <w:p w:rsidR="003B5FB3" w:rsidRDefault="003B5FB3" w:rsidP="00E44C18">
      <w:pPr>
        <w:spacing w:before="0"/>
        <w:ind w:right="91"/>
      </w:pPr>
    </w:p>
    <w:p w:rsidR="005A3161" w:rsidRDefault="003B5FB3" w:rsidP="00E44C18">
      <w:pPr>
        <w:spacing w:before="0"/>
        <w:ind w:right="91"/>
      </w:pPr>
      <w:r>
        <w:t xml:space="preserve">Subsection </w:t>
      </w:r>
      <w:r w:rsidR="005A3161">
        <w:t>2.15(4) clarif</w:t>
      </w:r>
      <w:r w:rsidR="00AE5444">
        <w:t>ies</w:t>
      </w:r>
      <w:r w:rsidR="005A3161">
        <w:t xml:space="preserve"> that the time for payment of a fee may be deferred more than once.</w:t>
      </w:r>
    </w:p>
    <w:p w:rsidR="005A3161" w:rsidRDefault="005A3161" w:rsidP="00E44C18">
      <w:pPr>
        <w:spacing w:before="0"/>
        <w:ind w:right="91"/>
      </w:pPr>
    </w:p>
    <w:p w:rsidR="003B5FB3" w:rsidRDefault="005A3161" w:rsidP="00E44C18">
      <w:pPr>
        <w:spacing w:before="0"/>
        <w:ind w:right="91"/>
      </w:pPr>
      <w:r>
        <w:t>Subsection 2.1</w:t>
      </w:r>
      <w:r w:rsidR="00E306AD">
        <w:t>5</w:t>
      </w:r>
      <w:r w:rsidR="00596C28">
        <w:t>(5) permit</w:t>
      </w:r>
      <w:r w:rsidR="00AE5444">
        <w:t>s</w:t>
      </w:r>
      <w:r w:rsidR="00596C28">
        <w:t xml:space="preserve"> a r</w:t>
      </w:r>
      <w:r>
        <w:t>egistrar or authorise</w:t>
      </w:r>
      <w:r w:rsidR="009D041D">
        <w:t>d</w:t>
      </w:r>
      <w:r>
        <w:t xml:space="preserve"> officer to impose conditions on the deferral of the time for payment of a fee.</w:t>
      </w:r>
      <w:r w:rsidR="003B5FB3">
        <w:t xml:space="preserve"> </w:t>
      </w:r>
    </w:p>
    <w:p w:rsidR="00E44C18" w:rsidRDefault="00E44C18" w:rsidP="00DC32D6">
      <w:pPr>
        <w:spacing w:before="0"/>
        <w:ind w:right="91"/>
        <w:rPr>
          <w:b/>
        </w:rPr>
      </w:pPr>
    </w:p>
    <w:p w:rsidR="00DC32D6" w:rsidRDefault="00DC32D6" w:rsidP="0019627C">
      <w:pPr>
        <w:spacing w:before="80"/>
        <w:ind w:right="91"/>
        <w:rPr>
          <w:b/>
        </w:rPr>
      </w:pPr>
      <w:r w:rsidRPr="00DC32D6">
        <w:rPr>
          <w:b/>
        </w:rPr>
        <w:t>Section 2.1</w:t>
      </w:r>
      <w:r w:rsidR="00E306AD">
        <w:rPr>
          <w:b/>
        </w:rPr>
        <w:t>6</w:t>
      </w:r>
      <w:r w:rsidRPr="00DC32D6">
        <w:rPr>
          <w:b/>
        </w:rPr>
        <w:t xml:space="preserve"> – Payment of fee on invoice </w:t>
      </w:r>
    </w:p>
    <w:p w:rsidR="006D1928" w:rsidRDefault="006D1928" w:rsidP="00DC32D6">
      <w:pPr>
        <w:spacing w:before="0"/>
        <w:ind w:right="91"/>
        <w:rPr>
          <w:b/>
        </w:rPr>
      </w:pPr>
    </w:p>
    <w:p w:rsidR="00CF7B73" w:rsidRDefault="006D1928" w:rsidP="00DC32D6">
      <w:pPr>
        <w:spacing w:before="0"/>
        <w:ind w:right="91"/>
      </w:pPr>
      <w:r>
        <w:t xml:space="preserve">This section </w:t>
      </w:r>
      <w:r w:rsidR="00D31B46">
        <w:t>allow</w:t>
      </w:r>
      <w:r w:rsidR="00AE5444">
        <w:t>s</w:t>
      </w:r>
      <w:r>
        <w:t xml:space="preserve"> </w:t>
      </w:r>
      <w:r w:rsidRPr="006D1928">
        <w:t xml:space="preserve">fees </w:t>
      </w:r>
      <w:r w:rsidR="005A3161">
        <w:t xml:space="preserve">in relation to a proceeding in a court </w:t>
      </w:r>
      <w:r>
        <w:t xml:space="preserve">to be </w:t>
      </w:r>
      <w:r w:rsidRPr="006D1928">
        <w:t xml:space="preserve">paid </w:t>
      </w:r>
      <w:r w:rsidR="005A3161">
        <w:t>on</w:t>
      </w:r>
      <w:r w:rsidRPr="006D1928">
        <w:t xml:space="preserve"> invoice</w:t>
      </w:r>
      <w:r w:rsidR="005A3161">
        <w:t xml:space="preserve"> by a person or lawyer approved, under subsection 2.1</w:t>
      </w:r>
      <w:r w:rsidR="00E306AD">
        <w:t>6</w:t>
      </w:r>
      <w:r w:rsidR="008E00F7">
        <w:t>(5), by a r</w:t>
      </w:r>
      <w:r w:rsidR="005A3161">
        <w:t>egistrar of that court as an approved user of court services</w:t>
      </w:r>
      <w:r w:rsidR="00942D7D">
        <w:t xml:space="preserve">.  </w:t>
      </w:r>
    </w:p>
    <w:p w:rsidR="005A3161" w:rsidRDefault="005A3161" w:rsidP="00DC32D6">
      <w:pPr>
        <w:spacing w:before="0"/>
        <w:ind w:right="91"/>
      </w:pPr>
    </w:p>
    <w:p w:rsidR="005A3161" w:rsidRDefault="005A3161" w:rsidP="00DC32D6">
      <w:pPr>
        <w:spacing w:before="0"/>
        <w:ind w:right="91"/>
      </w:pPr>
      <w:r>
        <w:t>When invoiced, subsection 2.1</w:t>
      </w:r>
      <w:r w:rsidR="00E306AD">
        <w:t>6</w:t>
      </w:r>
      <w:r>
        <w:t>(3) give</w:t>
      </w:r>
      <w:r w:rsidR="00AE5444">
        <w:t>s</w:t>
      </w:r>
      <w:r>
        <w:t xml:space="preserve"> the approved user of </w:t>
      </w:r>
      <w:r w:rsidR="008E00F7">
        <w:t>court services 30 </w:t>
      </w:r>
      <w:r>
        <w:t>days to pay the fee.</w:t>
      </w:r>
    </w:p>
    <w:p w:rsidR="00CF7B73" w:rsidRDefault="00CF7B73" w:rsidP="00DC32D6">
      <w:pPr>
        <w:spacing w:before="0"/>
        <w:ind w:right="91"/>
      </w:pPr>
    </w:p>
    <w:p w:rsidR="00DC32D6" w:rsidRDefault="005A3161" w:rsidP="00DC32D6">
      <w:pPr>
        <w:spacing w:before="0"/>
        <w:ind w:right="91"/>
      </w:pPr>
      <w:r>
        <w:t>Subsection 2.1</w:t>
      </w:r>
      <w:r w:rsidR="00E306AD">
        <w:t>6</w:t>
      </w:r>
      <w:r>
        <w:t>(6</w:t>
      </w:r>
      <w:r w:rsidR="008E00F7">
        <w:t>) set</w:t>
      </w:r>
      <w:r w:rsidR="00AE5444">
        <w:t>s</w:t>
      </w:r>
      <w:r w:rsidR="008E00F7">
        <w:t xml:space="preserve"> out matters that a r</w:t>
      </w:r>
      <w:r>
        <w:t>egistrar must consider in deciding whether to approve a person or lawyer as an approved user of court services, including the frequency of the person’s or lawyer’s dealings with the court.</w:t>
      </w:r>
    </w:p>
    <w:p w:rsidR="005A3161" w:rsidRDefault="005A3161" w:rsidP="00DC32D6">
      <w:pPr>
        <w:spacing w:before="0"/>
        <w:ind w:right="91"/>
      </w:pPr>
    </w:p>
    <w:p w:rsidR="005A3161" w:rsidRDefault="005A3161" w:rsidP="00DC32D6">
      <w:pPr>
        <w:spacing w:before="0"/>
        <w:ind w:right="91"/>
      </w:pPr>
      <w:r>
        <w:t>Subsection 2.1</w:t>
      </w:r>
      <w:r w:rsidR="00E306AD">
        <w:t>6</w:t>
      </w:r>
      <w:r w:rsidR="00AE5444">
        <w:t>(7)</w:t>
      </w:r>
      <w:r w:rsidR="008E00F7">
        <w:t xml:space="preserve"> permit</w:t>
      </w:r>
      <w:r w:rsidR="00AE5444">
        <w:t>s</w:t>
      </w:r>
      <w:r w:rsidR="008E00F7">
        <w:t xml:space="preserve"> a r</w:t>
      </w:r>
      <w:r>
        <w:t>egistrar to impose conditions on the approval of a person or lawyer.</w:t>
      </w:r>
    </w:p>
    <w:p w:rsidR="005A3161" w:rsidRDefault="005A3161" w:rsidP="00DC32D6">
      <w:pPr>
        <w:spacing w:before="0"/>
        <w:ind w:right="91"/>
      </w:pPr>
    </w:p>
    <w:p w:rsidR="00DC32D6" w:rsidRPr="00DC32D6" w:rsidRDefault="00DC32D6" w:rsidP="0019627C">
      <w:pPr>
        <w:spacing w:before="80"/>
        <w:ind w:right="91"/>
        <w:rPr>
          <w:b/>
        </w:rPr>
      </w:pPr>
      <w:r w:rsidRPr="00DC32D6">
        <w:rPr>
          <w:b/>
        </w:rPr>
        <w:t>Sec</w:t>
      </w:r>
      <w:r w:rsidR="0081028F">
        <w:rPr>
          <w:b/>
        </w:rPr>
        <w:t>tion 2.1</w:t>
      </w:r>
      <w:r w:rsidR="008E00F7">
        <w:rPr>
          <w:b/>
        </w:rPr>
        <w:t>7</w:t>
      </w:r>
      <w:r w:rsidRPr="00DC32D6">
        <w:rPr>
          <w:b/>
        </w:rPr>
        <w:t xml:space="preserve"> – Payment of fee in advance </w:t>
      </w:r>
    </w:p>
    <w:p w:rsidR="00DC32D6" w:rsidRDefault="00DC32D6" w:rsidP="00DC32D6">
      <w:pPr>
        <w:spacing w:before="0"/>
        <w:ind w:right="91"/>
      </w:pPr>
    </w:p>
    <w:p w:rsidR="00CF7B73" w:rsidRDefault="00CC24CC" w:rsidP="0081028F">
      <w:pPr>
        <w:spacing w:before="0"/>
        <w:ind w:right="91"/>
      </w:pPr>
      <w:r>
        <w:t xml:space="preserve">This section </w:t>
      </w:r>
      <w:r w:rsidR="00DE4531">
        <w:t>allow</w:t>
      </w:r>
      <w:r w:rsidR="00AE5444">
        <w:t>s</w:t>
      </w:r>
      <w:r>
        <w:t xml:space="preserve"> </w:t>
      </w:r>
      <w:r w:rsidR="00E306AD">
        <w:t>a person approved under subsection 2.16(5) as an approved user of court services for a cour</w:t>
      </w:r>
      <w:r w:rsidR="008E00F7">
        <w:t>t, with the authorisation of a r</w:t>
      </w:r>
      <w:r w:rsidR="00E306AD">
        <w:t xml:space="preserve">egistrar, </w:t>
      </w:r>
      <w:r>
        <w:t xml:space="preserve">to pay </w:t>
      </w:r>
      <w:r w:rsidR="00E306AD">
        <w:t>a fee in relation to a proceeding</w:t>
      </w:r>
      <w:r>
        <w:t xml:space="preserve"> in </w:t>
      </w:r>
      <w:r w:rsidR="00E306AD">
        <w:t>the court in advance of the time</w:t>
      </w:r>
      <w:r>
        <w:t xml:space="preserve"> liability for the fee arises.  </w:t>
      </w:r>
    </w:p>
    <w:p w:rsidR="00CC24CC" w:rsidRDefault="00CC24CC" w:rsidP="00DC32D6">
      <w:pPr>
        <w:spacing w:before="0"/>
        <w:ind w:right="91"/>
      </w:pPr>
    </w:p>
    <w:p w:rsidR="00DC32D6" w:rsidRDefault="008E00F7" w:rsidP="0019627C">
      <w:pPr>
        <w:spacing w:before="80"/>
        <w:ind w:right="91"/>
        <w:rPr>
          <w:b/>
        </w:rPr>
      </w:pPr>
      <w:r>
        <w:rPr>
          <w:b/>
        </w:rPr>
        <w:t>Section 2.18</w:t>
      </w:r>
      <w:r w:rsidR="00DC32D6" w:rsidRPr="00DC32D6">
        <w:rPr>
          <w:b/>
        </w:rPr>
        <w:t xml:space="preserve"> – What happens if fee is not paid</w:t>
      </w:r>
    </w:p>
    <w:p w:rsidR="008F7EEE" w:rsidRDefault="008F7EEE" w:rsidP="00DC32D6">
      <w:pPr>
        <w:spacing w:before="0"/>
        <w:ind w:right="91"/>
        <w:rPr>
          <w:b/>
        </w:rPr>
      </w:pPr>
    </w:p>
    <w:p w:rsidR="00942D7D" w:rsidRDefault="00942D7D" w:rsidP="005A0DB1">
      <w:pPr>
        <w:spacing w:before="0"/>
        <w:ind w:right="91"/>
      </w:pPr>
      <w:r>
        <w:t>This section set</w:t>
      </w:r>
      <w:r w:rsidR="00CD1B65">
        <w:t>s</w:t>
      </w:r>
      <w:r>
        <w:t xml:space="preserve"> out what happens if a fee is not paid and it is not deferred under section 2.1</w:t>
      </w:r>
      <w:r w:rsidR="00087B41">
        <w:t>5</w:t>
      </w:r>
      <w:r>
        <w:t xml:space="preserve"> or invoiced under section 2.1</w:t>
      </w:r>
      <w:r w:rsidR="00087B41">
        <w:t>6</w:t>
      </w:r>
      <w:r w:rsidR="00CF7B73">
        <w:t>.</w:t>
      </w:r>
    </w:p>
    <w:p w:rsidR="00CF7B73" w:rsidRDefault="00CF7B73" w:rsidP="005A0DB1">
      <w:pPr>
        <w:spacing w:before="0"/>
        <w:ind w:right="91"/>
      </w:pPr>
    </w:p>
    <w:p w:rsidR="00087B41" w:rsidRDefault="00087B41" w:rsidP="00CF7B73">
      <w:pPr>
        <w:spacing w:before="0"/>
        <w:ind w:right="91"/>
      </w:pPr>
      <w:r>
        <w:t>Subsection 2.18(2) provid</w:t>
      </w:r>
      <w:r w:rsidR="0076057B">
        <w:t>e</w:t>
      </w:r>
      <w:r w:rsidR="00CD1B65">
        <w:t>s</w:t>
      </w:r>
      <w:r w:rsidR="0076057B">
        <w:t xml:space="preserve"> that if the fee must be paid </w:t>
      </w:r>
      <w:r>
        <w:t>before or at the time of the filing of a document or the provision of the service for which the fee is payable, the document must not be filed or the service provided until the whole fee is paid.</w:t>
      </w:r>
    </w:p>
    <w:p w:rsidR="0047062F" w:rsidRDefault="0047062F" w:rsidP="00CF7B73">
      <w:pPr>
        <w:spacing w:before="0"/>
        <w:ind w:right="91"/>
      </w:pPr>
    </w:p>
    <w:p w:rsidR="00087B41" w:rsidRDefault="00087B41" w:rsidP="00CF7B73">
      <w:pPr>
        <w:spacing w:before="0"/>
        <w:ind w:right="91"/>
      </w:pPr>
      <w:r>
        <w:t>Subsection 2.18(3) permit</w:t>
      </w:r>
      <w:r w:rsidR="00CD1B65">
        <w:t>s</w:t>
      </w:r>
      <w:r>
        <w:t xml:space="preserve"> the court </w:t>
      </w:r>
      <w:r w:rsidR="008E00F7">
        <w:t>for the relevant proceeding, a judge, federal magistrate or a r</w:t>
      </w:r>
      <w:r>
        <w:t>egistrar of that court</w:t>
      </w:r>
      <w:r w:rsidR="008E00F7">
        <w:t>,</w:t>
      </w:r>
      <w:r>
        <w:t xml:space="preserve"> to allow the document to be filed or the service to be provided even though the fee, or part of the fee, has not been paid.</w:t>
      </w:r>
    </w:p>
    <w:p w:rsidR="00087B41" w:rsidRDefault="00087B41" w:rsidP="00CF7B73">
      <w:pPr>
        <w:spacing w:before="0"/>
        <w:ind w:right="91"/>
      </w:pPr>
    </w:p>
    <w:p w:rsidR="00087B41" w:rsidRDefault="004159DB" w:rsidP="00CF7B73">
      <w:pPr>
        <w:spacing w:before="0"/>
        <w:ind w:right="91"/>
      </w:pPr>
      <w:r>
        <w:t>Subsection 2.18(4) provide</w:t>
      </w:r>
      <w:r w:rsidR="00CD1B65">
        <w:t>s</w:t>
      </w:r>
      <w:r>
        <w:t xml:space="preserve"> that, i</w:t>
      </w:r>
      <w:r w:rsidR="00087B41">
        <w:t>n the case of an unpaid (or partially unpaid) setting</w:t>
      </w:r>
      <w:r w:rsidR="00622887">
        <w:t xml:space="preserve"> down fee or </w:t>
      </w:r>
      <w:r w:rsidR="00087B41">
        <w:t>hearing fee</w:t>
      </w:r>
      <w:r>
        <w:t xml:space="preserve"> for a hearing </w:t>
      </w:r>
      <w:r w:rsidR="00087B41">
        <w:t>in relation to a proceeding:</w:t>
      </w:r>
    </w:p>
    <w:p w:rsidR="00087B41" w:rsidRDefault="00087B41" w:rsidP="00CF7B73">
      <w:pPr>
        <w:spacing w:before="0"/>
        <w:ind w:right="91"/>
      </w:pPr>
    </w:p>
    <w:p w:rsidR="00087B41" w:rsidRDefault="00087B41" w:rsidP="004159DB">
      <w:pPr>
        <w:numPr>
          <w:ilvl w:val="0"/>
          <w:numId w:val="25"/>
        </w:numPr>
        <w:spacing w:before="0"/>
        <w:ind w:right="91"/>
      </w:pPr>
      <w:r>
        <w:lastRenderedPageBreak/>
        <w:t xml:space="preserve">the relevant court, a </w:t>
      </w:r>
      <w:r w:rsidR="008E00F7">
        <w:t>judge, federal magistrate or a r</w:t>
      </w:r>
      <w:r>
        <w:t xml:space="preserve">egistrar of that court </w:t>
      </w:r>
      <w:r w:rsidR="004159DB">
        <w:t>may</w:t>
      </w:r>
      <w:r>
        <w:t xml:space="preserve"> order that no proceeding, or no proceeding other than a specified proceeding, is to take place </w:t>
      </w:r>
      <w:r w:rsidR="007144EA">
        <w:t>without permission</w:t>
      </w:r>
    </w:p>
    <w:p w:rsidR="00087B41" w:rsidRDefault="00087B41" w:rsidP="00CF7B73">
      <w:pPr>
        <w:spacing w:before="0"/>
        <w:ind w:right="91"/>
      </w:pPr>
    </w:p>
    <w:p w:rsidR="00087B41" w:rsidRDefault="00087B41" w:rsidP="004159DB">
      <w:pPr>
        <w:numPr>
          <w:ilvl w:val="0"/>
          <w:numId w:val="25"/>
        </w:numPr>
        <w:spacing w:before="0"/>
        <w:ind w:right="91"/>
      </w:pPr>
      <w:r>
        <w:t>a person, other than the person required to pay the fee, may pay the fee</w:t>
      </w:r>
      <w:r w:rsidR="004159DB">
        <w:t xml:space="preserve"> (without affecting any power for the making of an order for costs for the fee)</w:t>
      </w:r>
      <w:r>
        <w:t xml:space="preserve">, and   </w:t>
      </w:r>
    </w:p>
    <w:p w:rsidR="00087B41" w:rsidRDefault="00087B41" w:rsidP="00CF7B73">
      <w:pPr>
        <w:spacing w:before="0"/>
        <w:ind w:right="91"/>
      </w:pPr>
    </w:p>
    <w:p w:rsidR="00087B41" w:rsidRDefault="004159DB" w:rsidP="004159DB">
      <w:pPr>
        <w:numPr>
          <w:ilvl w:val="0"/>
          <w:numId w:val="25"/>
        </w:numPr>
        <w:spacing w:before="0"/>
        <w:ind w:right="91"/>
      </w:pPr>
      <w:r>
        <w:t xml:space="preserve">the relevant court, a </w:t>
      </w:r>
      <w:r w:rsidR="008E00F7">
        <w:t>judge, federal magistrate or a r</w:t>
      </w:r>
      <w:r>
        <w:t xml:space="preserve">egistrar of that court may </w:t>
      </w:r>
      <w:r w:rsidR="00CD1B65">
        <w:t>vacate</w:t>
      </w:r>
      <w:r>
        <w:t xml:space="preserve"> the hearing day.</w:t>
      </w:r>
    </w:p>
    <w:p w:rsidR="00DC32D6" w:rsidRDefault="00DC32D6" w:rsidP="00DC32D6">
      <w:pPr>
        <w:spacing w:before="0"/>
        <w:ind w:right="91"/>
      </w:pPr>
    </w:p>
    <w:p w:rsidR="008E00F7" w:rsidRPr="008E00F7" w:rsidRDefault="008E00F7" w:rsidP="0019627C">
      <w:pPr>
        <w:spacing w:before="80"/>
        <w:ind w:right="91"/>
        <w:rPr>
          <w:u w:val="single"/>
        </w:rPr>
      </w:pPr>
      <w:r>
        <w:rPr>
          <w:u w:val="single"/>
        </w:rPr>
        <w:t>Division 2.6 - Miscellaneous</w:t>
      </w:r>
    </w:p>
    <w:p w:rsidR="008E00F7" w:rsidRDefault="008E00F7" w:rsidP="00DC32D6">
      <w:pPr>
        <w:spacing w:before="0"/>
        <w:ind w:right="91"/>
        <w:rPr>
          <w:b/>
        </w:rPr>
      </w:pPr>
    </w:p>
    <w:p w:rsidR="00DC32D6" w:rsidRDefault="00CF7B73" w:rsidP="0019627C">
      <w:pPr>
        <w:spacing w:before="80"/>
        <w:ind w:right="91"/>
        <w:rPr>
          <w:b/>
        </w:rPr>
      </w:pPr>
      <w:r>
        <w:rPr>
          <w:b/>
        </w:rPr>
        <w:t>Section 2.1</w:t>
      </w:r>
      <w:r w:rsidR="004159DB">
        <w:rPr>
          <w:b/>
        </w:rPr>
        <w:t>9</w:t>
      </w:r>
      <w:r w:rsidR="00DC32D6" w:rsidRPr="00DC32D6">
        <w:rPr>
          <w:b/>
        </w:rPr>
        <w:t xml:space="preserve"> – Refund of fees</w:t>
      </w:r>
    </w:p>
    <w:p w:rsidR="00F2749E" w:rsidRPr="00F2749E" w:rsidRDefault="00F2749E" w:rsidP="00F2749E">
      <w:pPr>
        <w:spacing w:before="0"/>
        <w:ind w:right="91"/>
      </w:pPr>
    </w:p>
    <w:p w:rsidR="009E3B88" w:rsidRDefault="005F00A2" w:rsidP="00F2749E">
      <w:pPr>
        <w:spacing w:before="0"/>
        <w:ind w:right="91"/>
      </w:pPr>
      <w:r>
        <w:t>This section set</w:t>
      </w:r>
      <w:r w:rsidR="00CD1B65">
        <w:t>s</w:t>
      </w:r>
      <w:r>
        <w:t xml:space="preserve"> out the circumstances when a fee can be refunded.</w:t>
      </w:r>
    </w:p>
    <w:p w:rsidR="009E3B88" w:rsidRDefault="009E3B88" w:rsidP="00F2749E">
      <w:pPr>
        <w:spacing w:before="0"/>
        <w:ind w:right="91"/>
      </w:pPr>
    </w:p>
    <w:p w:rsidR="00E65F9B" w:rsidRDefault="00E65F9B" w:rsidP="00F2749E">
      <w:pPr>
        <w:spacing w:before="0"/>
        <w:ind w:right="91"/>
        <w:rPr>
          <w:i/>
        </w:rPr>
      </w:pPr>
      <w:r>
        <w:rPr>
          <w:i/>
        </w:rPr>
        <w:t xml:space="preserve">General </w:t>
      </w:r>
    </w:p>
    <w:p w:rsidR="00E65F9B" w:rsidRPr="00E65F9B" w:rsidRDefault="00E65F9B" w:rsidP="00F2749E">
      <w:pPr>
        <w:spacing w:before="0"/>
        <w:ind w:right="91"/>
        <w:rPr>
          <w:i/>
        </w:rPr>
      </w:pPr>
    </w:p>
    <w:p w:rsidR="004159DB" w:rsidRDefault="00654077" w:rsidP="00F2749E">
      <w:pPr>
        <w:spacing w:before="0"/>
        <w:ind w:right="91"/>
      </w:pPr>
      <w:r>
        <w:t>Subsection</w:t>
      </w:r>
      <w:r w:rsidR="00622887">
        <w:t>s</w:t>
      </w:r>
      <w:r>
        <w:t xml:space="preserve"> 2.19(1) </w:t>
      </w:r>
      <w:r w:rsidR="00622887">
        <w:t xml:space="preserve">and (2) </w:t>
      </w:r>
      <w:r w:rsidR="004159DB">
        <w:t xml:space="preserve">provide an entitlement to a </w:t>
      </w:r>
      <w:r>
        <w:t>refund</w:t>
      </w:r>
      <w:r w:rsidR="004159DB">
        <w:t xml:space="preserve"> of an amount in relation to the payment of a fee if </w:t>
      </w:r>
      <w:r>
        <w:t xml:space="preserve">a </w:t>
      </w:r>
      <w:r w:rsidR="00F2749E" w:rsidRPr="00F2749E">
        <w:t xml:space="preserve">person </w:t>
      </w:r>
      <w:r>
        <w:t xml:space="preserve">pays more than </w:t>
      </w:r>
      <w:r w:rsidR="004159DB">
        <w:t>he or she is</w:t>
      </w:r>
      <w:r>
        <w:t xml:space="preserve"> </w:t>
      </w:r>
      <w:r w:rsidR="00F2749E" w:rsidRPr="00F2749E">
        <w:t xml:space="preserve">required to pay for the </w:t>
      </w:r>
      <w:r w:rsidR="008E00F7">
        <w:t>fee under the R</w:t>
      </w:r>
      <w:r w:rsidR="00F2749E" w:rsidRPr="00F2749E">
        <w:t>egulation</w:t>
      </w:r>
      <w:r w:rsidR="008E00F7">
        <w:t xml:space="preserve">.  </w:t>
      </w:r>
      <w:r w:rsidR="00622887">
        <w:t>T</w:t>
      </w:r>
      <w:r w:rsidR="004159DB">
        <w:t xml:space="preserve">he amount to be refunded, under that entitlement, </w:t>
      </w:r>
      <w:r w:rsidR="00CD1B65">
        <w:t>is</w:t>
      </w:r>
      <w:r w:rsidR="004159DB">
        <w:t xml:space="preserve"> the difference between the amount paid by the person and the amount the person is required to pay for the fee.</w:t>
      </w:r>
    </w:p>
    <w:p w:rsidR="004159DB" w:rsidRDefault="004159DB" w:rsidP="00F2749E">
      <w:pPr>
        <w:spacing w:before="0"/>
        <w:ind w:right="91"/>
      </w:pPr>
    </w:p>
    <w:p w:rsidR="00CA0730" w:rsidRDefault="004159DB" w:rsidP="00F2749E">
      <w:pPr>
        <w:spacing w:before="0"/>
        <w:ind w:right="91"/>
      </w:pPr>
      <w:r>
        <w:t>Subsection 2.19(3) provide</w:t>
      </w:r>
      <w:r w:rsidR="00CD1B65">
        <w:t>s</w:t>
      </w:r>
      <w:r>
        <w:t xml:space="preserve"> an entitlement to a refund of the amount paid by a person as a fee where</w:t>
      </w:r>
      <w:r w:rsidR="005F00A2">
        <w:t xml:space="preserve"> another person has paid the fee, or where the fee is not payable under the Regulation</w:t>
      </w:r>
      <w:r w:rsidR="00F2749E" w:rsidRPr="00F2749E">
        <w:t xml:space="preserve">.  </w:t>
      </w:r>
    </w:p>
    <w:p w:rsidR="00CA0730" w:rsidRDefault="00CA0730" w:rsidP="00F2749E">
      <w:pPr>
        <w:spacing w:before="0"/>
        <w:ind w:right="91"/>
      </w:pPr>
    </w:p>
    <w:p w:rsidR="00F2749E" w:rsidRDefault="00F2749E" w:rsidP="00F2749E">
      <w:pPr>
        <w:spacing w:before="0"/>
        <w:ind w:right="91"/>
        <w:rPr>
          <w:i/>
        </w:rPr>
      </w:pPr>
      <w:r>
        <w:rPr>
          <w:i/>
        </w:rPr>
        <w:t>Setting down fee</w:t>
      </w:r>
    </w:p>
    <w:p w:rsidR="00F2749E" w:rsidRDefault="00F2749E" w:rsidP="00F2749E">
      <w:pPr>
        <w:spacing w:before="0"/>
        <w:ind w:right="91"/>
        <w:rPr>
          <w:i/>
        </w:rPr>
      </w:pPr>
    </w:p>
    <w:p w:rsidR="00654077" w:rsidRDefault="005F00A2" w:rsidP="00F2749E">
      <w:pPr>
        <w:spacing w:before="0"/>
        <w:ind w:right="91"/>
        <w:rPr>
          <w:rFonts w:cs="Calibri"/>
        </w:rPr>
      </w:pPr>
      <w:r>
        <w:rPr>
          <w:rFonts w:cs="Calibri"/>
        </w:rPr>
        <w:t>Subsection 2.1</w:t>
      </w:r>
      <w:r w:rsidR="0099445F">
        <w:rPr>
          <w:rFonts w:cs="Calibri"/>
        </w:rPr>
        <w:t>9</w:t>
      </w:r>
      <w:r>
        <w:rPr>
          <w:rFonts w:cs="Calibri"/>
        </w:rPr>
        <w:t>(4) provide</w:t>
      </w:r>
      <w:r w:rsidR="00CD1B65">
        <w:rPr>
          <w:rFonts w:cs="Calibri"/>
        </w:rPr>
        <w:t>s</w:t>
      </w:r>
      <w:r>
        <w:rPr>
          <w:rFonts w:cs="Calibri"/>
        </w:rPr>
        <w:t xml:space="preserve"> that </w:t>
      </w:r>
      <w:r w:rsidR="0099445F">
        <w:rPr>
          <w:rFonts w:cs="Calibri"/>
        </w:rPr>
        <w:t xml:space="preserve">a </w:t>
      </w:r>
      <w:r>
        <w:rPr>
          <w:rFonts w:cs="Calibri"/>
        </w:rPr>
        <w:t>s</w:t>
      </w:r>
      <w:r w:rsidR="00F2749E" w:rsidRPr="007214DE">
        <w:rPr>
          <w:rFonts w:cs="Calibri"/>
        </w:rPr>
        <w:t>e</w:t>
      </w:r>
      <w:r w:rsidR="0099445F">
        <w:rPr>
          <w:rFonts w:cs="Calibri"/>
        </w:rPr>
        <w:t>tting down fee is</w:t>
      </w:r>
      <w:r w:rsidR="00F2749E" w:rsidRPr="007214DE">
        <w:rPr>
          <w:rFonts w:cs="Calibri"/>
        </w:rPr>
        <w:t xml:space="preserve"> not refundable </w:t>
      </w:r>
      <w:r w:rsidR="00673712">
        <w:rPr>
          <w:rFonts w:cs="Calibri"/>
        </w:rPr>
        <w:t xml:space="preserve">if </w:t>
      </w:r>
      <w:bookmarkStart w:id="0" w:name="_GoBack"/>
      <w:bookmarkEnd w:id="0"/>
      <w:r>
        <w:rPr>
          <w:rFonts w:cs="Calibri"/>
        </w:rPr>
        <w:t xml:space="preserve">the first hearing </w:t>
      </w:r>
      <w:r w:rsidR="008E00F7">
        <w:rPr>
          <w:rFonts w:cs="Calibri"/>
        </w:rPr>
        <w:t xml:space="preserve">day </w:t>
      </w:r>
      <w:r>
        <w:rPr>
          <w:rFonts w:cs="Calibri"/>
        </w:rPr>
        <w:t>fixed by the setting down, or a hearing day scheduled in </w:t>
      </w:r>
      <w:r w:rsidR="0099445F">
        <w:rPr>
          <w:rFonts w:cs="Calibri"/>
        </w:rPr>
        <w:t>place</w:t>
      </w:r>
      <w:r>
        <w:rPr>
          <w:rFonts w:cs="Calibri"/>
        </w:rPr>
        <w:t xml:space="preserve"> of that first hearing date, does not occur.</w:t>
      </w:r>
    </w:p>
    <w:p w:rsidR="006951D9" w:rsidRDefault="006951D9" w:rsidP="00F2749E">
      <w:pPr>
        <w:spacing w:before="0"/>
        <w:ind w:right="91"/>
        <w:rPr>
          <w:rFonts w:cs="Calibri"/>
        </w:rPr>
      </w:pPr>
    </w:p>
    <w:p w:rsidR="006951D9" w:rsidRDefault="006951D9" w:rsidP="00F2749E">
      <w:pPr>
        <w:spacing w:before="0"/>
        <w:ind w:right="91"/>
        <w:rPr>
          <w:rFonts w:cs="Calibri"/>
        </w:rPr>
      </w:pPr>
      <w:r w:rsidRPr="006951D9">
        <w:rPr>
          <w:rFonts w:cs="Calibri"/>
        </w:rPr>
        <w:t xml:space="preserve">Refunds </w:t>
      </w:r>
      <w:r w:rsidR="00CD1B65">
        <w:rPr>
          <w:rFonts w:cs="Calibri"/>
        </w:rPr>
        <w:t>are still</w:t>
      </w:r>
      <w:r w:rsidRPr="006951D9">
        <w:rPr>
          <w:rFonts w:cs="Calibri"/>
        </w:rPr>
        <w:t xml:space="preserve"> available for secon</w:t>
      </w:r>
      <w:r w:rsidR="008642D9">
        <w:rPr>
          <w:rFonts w:cs="Calibri"/>
        </w:rPr>
        <w:t>d and subsequent hearing days, in accordance with the Regulation.</w:t>
      </w:r>
    </w:p>
    <w:p w:rsidR="0047062F" w:rsidRDefault="0047062F" w:rsidP="00F2749E">
      <w:pPr>
        <w:spacing w:before="0"/>
        <w:ind w:right="91"/>
        <w:rPr>
          <w:i/>
        </w:rPr>
      </w:pPr>
    </w:p>
    <w:p w:rsidR="00F2749E" w:rsidRDefault="00F2749E" w:rsidP="00F2749E">
      <w:pPr>
        <w:spacing w:before="0"/>
        <w:ind w:right="91"/>
        <w:rPr>
          <w:i/>
        </w:rPr>
      </w:pPr>
      <w:r>
        <w:rPr>
          <w:i/>
        </w:rPr>
        <w:t>Hearing fees – hearing not commenced</w:t>
      </w:r>
    </w:p>
    <w:p w:rsidR="00E65F9B" w:rsidRDefault="00E65F9B" w:rsidP="00F2749E">
      <w:pPr>
        <w:spacing w:before="0"/>
        <w:ind w:right="91"/>
      </w:pPr>
    </w:p>
    <w:p w:rsidR="0099445F" w:rsidRDefault="002A3333" w:rsidP="00F2749E">
      <w:pPr>
        <w:spacing w:before="0"/>
        <w:ind w:right="91"/>
      </w:pPr>
      <w:r>
        <w:t>Subsection 2.1</w:t>
      </w:r>
      <w:r w:rsidR="0099445F">
        <w:t>9</w:t>
      </w:r>
      <w:r>
        <w:t xml:space="preserve">(5) </w:t>
      </w:r>
      <w:r w:rsidR="00824C78">
        <w:t>provide</w:t>
      </w:r>
      <w:r w:rsidR="00427F1C">
        <w:t>s</w:t>
      </w:r>
      <w:r>
        <w:t xml:space="preserve"> </w:t>
      </w:r>
      <w:r w:rsidR="0099445F">
        <w:t>an entitlement to a refund of a hearing fee paid by a person for a hearing that has not commenced in relation to a proce</w:t>
      </w:r>
      <w:r w:rsidR="0076057B">
        <w:t xml:space="preserve">eding if the person notifies </w:t>
      </w:r>
      <w:r w:rsidR="0080593E">
        <w:t xml:space="preserve">the </w:t>
      </w:r>
      <w:r w:rsidR="008E00F7">
        <w:t>r</w:t>
      </w:r>
      <w:r w:rsidR="0099445F">
        <w:t xml:space="preserve">egistrar </w:t>
      </w:r>
      <w:r w:rsidR="0080593E">
        <w:t xml:space="preserve">or authorised officer </w:t>
      </w:r>
      <w:r w:rsidR="0099445F">
        <w:t xml:space="preserve">in writing at least 10 business days before the hearing day that the hearing will not occur, or </w:t>
      </w:r>
      <w:r w:rsidR="00CF52A8">
        <w:t xml:space="preserve">will </w:t>
      </w:r>
      <w:r w:rsidR="0099445F">
        <w:t>occur only for the making of formal orders.  In the case of any hearing day fixed less than 10 business days before the hearing day, the person mu</w:t>
      </w:r>
      <w:r w:rsidR="0076057B">
        <w:t xml:space="preserve">st have notified </w:t>
      </w:r>
      <w:r w:rsidR="0080593E">
        <w:t xml:space="preserve">the </w:t>
      </w:r>
      <w:r w:rsidR="008E00F7">
        <w:t>r</w:t>
      </w:r>
      <w:r w:rsidR="0099445F">
        <w:t xml:space="preserve">egistrar </w:t>
      </w:r>
      <w:r w:rsidR="0080593E">
        <w:t xml:space="preserve">or authorised officer </w:t>
      </w:r>
      <w:r w:rsidR="008E00F7">
        <w:t>in writing at least two</w:t>
      </w:r>
      <w:r w:rsidR="0099445F">
        <w:t xml:space="preserve"> business days before the hearing day.  </w:t>
      </w:r>
    </w:p>
    <w:p w:rsidR="0099445F" w:rsidRDefault="0099445F" w:rsidP="00F2749E">
      <w:pPr>
        <w:spacing w:before="0"/>
        <w:ind w:right="91"/>
      </w:pPr>
    </w:p>
    <w:p w:rsidR="00CF52A8" w:rsidRDefault="008E00F7" w:rsidP="00F2749E">
      <w:pPr>
        <w:spacing w:before="0"/>
        <w:ind w:right="91"/>
      </w:pPr>
      <w:r>
        <w:lastRenderedPageBreak/>
        <w:t>A r</w:t>
      </w:r>
      <w:r w:rsidR="0099445F">
        <w:t xml:space="preserve">egistrar </w:t>
      </w:r>
      <w:r w:rsidR="0080593E">
        <w:t xml:space="preserve">or authorised officer </w:t>
      </w:r>
      <w:r w:rsidR="00427F1C">
        <w:t>has</w:t>
      </w:r>
      <w:r w:rsidR="0099445F">
        <w:t xml:space="preserve">, under subsection 2.19(7), a discretion to refund a hearing fee for a hearing that has not commenced in relation to a proceeding if </w:t>
      </w:r>
      <w:r w:rsidR="008806B0">
        <w:t>the person, through no fault on</w:t>
      </w:r>
      <w:r w:rsidR="00CF52A8">
        <w:t xml:space="preserve"> his or her part,</w:t>
      </w:r>
      <w:r>
        <w:t xml:space="preserve"> has not notified the r</w:t>
      </w:r>
      <w:r w:rsidR="0099445F">
        <w:t xml:space="preserve">egistrar </w:t>
      </w:r>
      <w:r w:rsidR="0080593E">
        <w:t xml:space="preserve">or authorised officer </w:t>
      </w:r>
      <w:r w:rsidR="0099445F">
        <w:t>in writing</w:t>
      </w:r>
      <w:r w:rsidR="00CF52A8">
        <w:t>, within the relevant time limit,</w:t>
      </w:r>
      <w:r w:rsidR="0099445F">
        <w:t xml:space="preserve"> that the hearing will not occur (or </w:t>
      </w:r>
      <w:r w:rsidR="00CF52A8">
        <w:t xml:space="preserve">will </w:t>
      </w:r>
      <w:r w:rsidR="0099445F">
        <w:t>occur only for the making of formal orders</w:t>
      </w:r>
      <w:r w:rsidR="00CF52A8">
        <w:t xml:space="preserve">).   </w:t>
      </w:r>
    </w:p>
    <w:p w:rsidR="009D041D" w:rsidRDefault="009D041D" w:rsidP="00F2749E">
      <w:pPr>
        <w:spacing w:before="0"/>
        <w:ind w:right="91"/>
      </w:pPr>
    </w:p>
    <w:p w:rsidR="009D041D" w:rsidRDefault="009D041D" w:rsidP="00F2749E">
      <w:pPr>
        <w:spacing w:before="0"/>
        <w:ind w:right="91"/>
      </w:pPr>
      <w:r>
        <w:t xml:space="preserve">Subsection 2.19(8) </w:t>
      </w:r>
      <w:r w:rsidR="00197769">
        <w:t>define</w:t>
      </w:r>
      <w:r w:rsidR="00427F1C">
        <w:t>s</w:t>
      </w:r>
      <w:r>
        <w:t xml:space="preserve"> ‘formal orders’ </w:t>
      </w:r>
      <w:r w:rsidR="00776E41">
        <w:t>for the purposes of subsections </w:t>
      </w:r>
      <w:r>
        <w:t>2.19(5) and 2.19(7) as orders finalising the proceedings that were to be the subject of the hearing.</w:t>
      </w:r>
    </w:p>
    <w:p w:rsidR="005F37F8" w:rsidRDefault="005F37F8" w:rsidP="00F2749E">
      <w:pPr>
        <w:spacing w:before="0"/>
        <w:ind w:right="91"/>
        <w:rPr>
          <w:i/>
        </w:rPr>
      </w:pPr>
    </w:p>
    <w:p w:rsidR="00F2749E" w:rsidRDefault="00F2749E" w:rsidP="00F2749E">
      <w:pPr>
        <w:spacing w:before="0"/>
        <w:ind w:right="91"/>
        <w:rPr>
          <w:i/>
        </w:rPr>
      </w:pPr>
      <w:r>
        <w:rPr>
          <w:i/>
        </w:rPr>
        <w:t>Hearing fees – hearing commenced</w:t>
      </w:r>
    </w:p>
    <w:p w:rsidR="003C636D" w:rsidRDefault="003C636D" w:rsidP="003C636D">
      <w:pPr>
        <w:spacing w:before="0"/>
        <w:ind w:right="91"/>
      </w:pPr>
    </w:p>
    <w:p w:rsidR="00F2749E" w:rsidRDefault="00824C78" w:rsidP="00F2749E">
      <w:pPr>
        <w:spacing w:before="0"/>
        <w:ind w:right="91"/>
      </w:pPr>
      <w:r>
        <w:t>Subsection 2.1</w:t>
      </w:r>
      <w:r w:rsidR="009D041D">
        <w:t>9</w:t>
      </w:r>
      <w:r>
        <w:t>(9) provide</w:t>
      </w:r>
      <w:r w:rsidR="00427F1C">
        <w:t>s</w:t>
      </w:r>
      <w:r>
        <w:t xml:space="preserve"> </w:t>
      </w:r>
      <w:r w:rsidR="00CF52A8">
        <w:t xml:space="preserve">an entitlement to a </w:t>
      </w:r>
      <w:r>
        <w:t>refund</w:t>
      </w:r>
      <w:r w:rsidR="003C636D">
        <w:t xml:space="preserve"> </w:t>
      </w:r>
      <w:r w:rsidR="00CF52A8">
        <w:t xml:space="preserve">of a hearing fee for any </w:t>
      </w:r>
      <w:r w:rsidR="00427FE0">
        <w:t xml:space="preserve">unused </w:t>
      </w:r>
      <w:r w:rsidR="003C636D">
        <w:t xml:space="preserve">hearing days </w:t>
      </w:r>
      <w:r w:rsidR="00427FE0">
        <w:t xml:space="preserve">where the </w:t>
      </w:r>
      <w:r w:rsidR="008642D9">
        <w:t>hearing</w:t>
      </w:r>
      <w:r w:rsidR="00427FE0">
        <w:t xml:space="preserve"> has commenced.  For example, if a person </w:t>
      </w:r>
      <w:r w:rsidR="00CF52A8">
        <w:t>were to pay</w:t>
      </w:r>
      <w:r w:rsidR="00427FE0">
        <w:t xml:space="preserve"> hearing fees for 20 hearing days in advance, but the proceeding </w:t>
      </w:r>
      <w:r w:rsidR="00CF52A8">
        <w:t xml:space="preserve">settles or discontinues </w:t>
      </w:r>
      <w:r w:rsidR="00427FE0">
        <w:t>after 10 hearing days</w:t>
      </w:r>
      <w:r w:rsidR="00CF52A8">
        <w:t xml:space="preserve"> (or if the proceedings are fully heard within those 10 hearing days)</w:t>
      </w:r>
      <w:r w:rsidR="00427FE0">
        <w:t xml:space="preserve">, </w:t>
      </w:r>
      <w:r w:rsidR="00CF52A8">
        <w:t>the</w:t>
      </w:r>
      <w:r w:rsidR="00427FE0">
        <w:t xml:space="preserve"> person </w:t>
      </w:r>
      <w:r w:rsidR="00CF52A8">
        <w:t>would be</w:t>
      </w:r>
      <w:r w:rsidR="00427FE0">
        <w:t xml:space="preserve"> entitled to a refund of the hearing fees paid for unused hearing days.  As it is anticipated </w:t>
      </w:r>
      <w:r w:rsidR="00CF52A8">
        <w:t>that the entitlement would usually arise</w:t>
      </w:r>
      <w:r w:rsidR="00427FE0">
        <w:t xml:space="preserve"> whe</w:t>
      </w:r>
      <w:r w:rsidR="00CF52A8">
        <w:t>n</w:t>
      </w:r>
      <w:r w:rsidR="00427FE0">
        <w:t xml:space="preserve"> a multi</w:t>
      </w:r>
      <w:r w:rsidR="00CF52A8">
        <w:noBreakHyphen/>
      </w:r>
      <w:r w:rsidR="00427FE0">
        <w:t>day hearing finishes</w:t>
      </w:r>
      <w:r w:rsidR="00CF52A8">
        <w:t xml:space="preserve"> early, no advance written notification</w:t>
      </w:r>
      <w:r w:rsidR="00427FE0">
        <w:t xml:space="preserve"> to the </w:t>
      </w:r>
      <w:r w:rsidR="00A87F51">
        <w:t>r</w:t>
      </w:r>
      <w:r w:rsidR="00427FE0">
        <w:t xml:space="preserve">egistrar </w:t>
      </w:r>
      <w:r w:rsidR="00427F1C">
        <w:t>is</w:t>
      </w:r>
      <w:r w:rsidR="00427FE0">
        <w:t xml:space="preserve"> required.  </w:t>
      </w:r>
      <w:r w:rsidR="006951D9">
        <w:t>Th</w:t>
      </w:r>
      <w:r w:rsidR="00CF52A8">
        <w:t>e</w:t>
      </w:r>
      <w:r w:rsidR="00700FB5">
        <w:t xml:space="preserve"> </w:t>
      </w:r>
      <w:r>
        <w:t xml:space="preserve">provision </w:t>
      </w:r>
      <w:r w:rsidR="00700FB5">
        <w:t>enable</w:t>
      </w:r>
      <w:r w:rsidR="00427F1C">
        <w:t>s</w:t>
      </w:r>
      <w:r w:rsidR="006951D9">
        <w:t xml:space="preserve"> litigants to be able to prepay </w:t>
      </w:r>
      <w:r w:rsidR="00427FE0">
        <w:t xml:space="preserve">all </w:t>
      </w:r>
      <w:r w:rsidR="006951D9">
        <w:t>their hearing fees</w:t>
      </w:r>
      <w:r w:rsidR="00427FE0">
        <w:t xml:space="preserve"> in one transaction</w:t>
      </w:r>
      <w:r w:rsidR="006951D9">
        <w:t xml:space="preserve"> rather than paying individually each day</w:t>
      </w:r>
      <w:r>
        <w:t xml:space="preserve">, and be assured that </w:t>
      </w:r>
      <w:r w:rsidR="008D5C7D">
        <w:t xml:space="preserve">the hearing fees paid for </w:t>
      </w:r>
      <w:r>
        <w:t xml:space="preserve">any unused hearing days </w:t>
      </w:r>
      <w:r w:rsidR="00427F1C">
        <w:t>is</w:t>
      </w:r>
      <w:r>
        <w:t xml:space="preserve"> refundable</w:t>
      </w:r>
      <w:r w:rsidR="006951D9">
        <w:t>.</w:t>
      </w:r>
      <w:r>
        <w:t xml:space="preserve"> </w:t>
      </w:r>
      <w:r w:rsidR="00427FE0">
        <w:t xml:space="preserve">  </w:t>
      </w:r>
    </w:p>
    <w:p w:rsidR="00CF52A8" w:rsidRDefault="00CF52A8" w:rsidP="00F2749E">
      <w:pPr>
        <w:spacing w:before="0"/>
        <w:ind w:right="91"/>
        <w:rPr>
          <w:i/>
        </w:rPr>
      </w:pPr>
    </w:p>
    <w:p w:rsidR="00F2749E" w:rsidRDefault="00F2749E" w:rsidP="00F2749E">
      <w:pPr>
        <w:spacing w:before="0"/>
        <w:ind w:right="91"/>
        <w:rPr>
          <w:i/>
        </w:rPr>
      </w:pPr>
      <w:r>
        <w:rPr>
          <w:i/>
        </w:rPr>
        <w:t>Mediation fee</w:t>
      </w:r>
    </w:p>
    <w:p w:rsidR="00824C78" w:rsidRDefault="00824C78" w:rsidP="00F2749E">
      <w:pPr>
        <w:spacing w:before="0"/>
        <w:ind w:right="91"/>
        <w:rPr>
          <w:i/>
        </w:rPr>
      </w:pPr>
    </w:p>
    <w:p w:rsidR="006951D9" w:rsidRPr="00F2749E" w:rsidRDefault="00824C78" w:rsidP="00F2749E">
      <w:pPr>
        <w:spacing w:before="0"/>
        <w:ind w:right="91"/>
      </w:pPr>
      <w:r>
        <w:t>Subsection 2.1</w:t>
      </w:r>
      <w:r w:rsidR="00AC4B7D">
        <w:t>9</w:t>
      </w:r>
      <w:r>
        <w:t>(1</w:t>
      </w:r>
      <w:r w:rsidR="00AC4B7D">
        <w:t>0</w:t>
      </w:r>
      <w:r>
        <w:t>) provide</w:t>
      </w:r>
      <w:r w:rsidR="00427F1C">
        <w:t>s</w:t>
      </w:r>
      <w:r>
        <w:t xml:space="preserve"> </w:t>
      </w:r>
      <w:r w:rsidR="008D5C7D">
        <w:t xml:space="preserve">an entitlement to a refund of a mediation fee </w:t>
      </w:r>
      <w:r>
        <w:t>w</w:t>
      </w:r>
      <w:r w:rsidR="006951D9">
        <w:t xml:space="preserve">here </w:t>
      </w:r>
      <w:r w:rsidR="008D5C7D">
        <w:t xml:space="preserve">the </w:t>
      </w:r>
      <w:r w:rsidR="006951D9">
        <w:t>mediation</w:t>
      </w:r>
      <w:r w:rsidR="000E629F">
        <w:t xml:space="preserve"> </w:t>
      </w:r>
      <w:r w:rsidR="006951D9">
        <w:t>does not proceed</w:t>
      </w:r>
      <w:r w:rsidR="008D5C7D">
        <w:t xml:space="preserve"> on the occasion for which the fee was pai</w:t>
      </w:r>
      <w:r w:rsidR="00A87F51">
        <w:t>d, and the relevant court or a judge, a federal magistrate or a r</w:t>
      </w:r>
      <w:r w:rsidR="008D5C7D">
        <w:t>egistrar of that court, order</w:t>
      </w:r>
      <w:r w:rsidR="008806B0">
        <w:t>s</w:t>
      </w:r>
      <w:r w:rsidR="008D5C7D">
        <w:t xml:space="preserve"> the refund of the fee. </w:t>
      </w:r>
    </w:p>
    <w:p w:rsidR="00DC32D6" w:rsidRDefault="00DC32D6" w:rsidP="00DC32D6">
      <w:pPr>
        <w:spacing w:before="0"/>
        <w:ind w:right="91"/>
      </w:pPr>
    </w:p>
    <w:p w:rsidR="00DC32D6" w:rsidRDefault="00C35C89" w:rsidP="0019627C">
      <w:pPr>
        <w:spacing w:before="80"/>
        <w:ind w:right="91"/>
        <w:rPr>
          <w:b/>
        </w:rPr>
      </w:pPr>
      <w:r>
        <w:rPr>
          <w:b/>
        </w:rPr>
        <w:t>Section 2.</w:t>
      </w:r>
      <w:r w:rsidR="00AC4B7D">
        <w:rPr>
          <w:b/>
        </w:rPr>
        <w:t>20</w:t>
      </w:r>
      <w:r w:rsidR="00DC32D6" w:rsidRPr="00DC32D6">
        <w:rPr>
          <w:b/>
        </w:rPr>
        <w:t>– Biennial increase in fees</w:t>
      </w:r>
    </w:p>
    <w:p w:rsidR="00F45D76" w:rsidRDefault="00F45D76" w:rsidP="00DC32D6">
      <w:pPr>
        <w:spacing w:before="0"/>
        <w:ind w:right="91"/>
        <w:rPr>
          <w:b/>
        </w:rPr>
      </w:pPr>
    </w:p>
    <w:p w:rsidR="00125841" w:rsidRDefault="008D5C7D" w:rsidP="0041206C">
      <w:pPr>
        <w:spacing w:before="0"/>
        <w:ind w:right="91"/>
      </w:pPr>
      <w:r>
        <w:t>This section provide</w:t>
      </w:r>
      <w:r w:rsidR="00427F1C">
        <w:t xml:space="preserve">s </w:t>
      </w:r>
      <w:r w:rsidR="00F45D76">
        <w:t xml:space="preserve">for the automatic biennial increase </w:t>
      </w:r>
      <w:r w:rsidR="00966FF8">
        <w:t>of</w:t>
      </w:r>
      <w:r w:rsidR="00F45D76">
        <w:t xml:space="preserve"> </w:t>
      </w:r>
      <w:r>
        <w:t xml:space="preserve">the court fees set out in Schedule 1 to the Regulation, </w:t>
      </w:r>
      <w:r w:rsidR="00F45D76">
        <w:t>commencing from 1 July 2014</w:t>
      </w:r>
      <w:r>
        <w:t xml:space="preserve">.  </w:t>
      </w:r>
      <w:r w:rsidR="00F45D76">
        <w:t xml:space="preserve"> </w:t>
      </w:r>
      <w:r>
        <w:t xml:space="preserve">The fees </w:t>
      </w:r>
      <w:r w:rsidR="004C7F32">
        <w:t>will</w:t>
      </w:r>
      <w:r>
        <w:t xml:space="preserve"> be increased biennially in accordance with upwards movement in the All Groups Consumer Price Index published</w:t>
      </w:r>
      <w:r w:rsidR="0041206C">
        <w:t xml:space="preserve"> </w:t>
      </w:r>
      <w:r>
        <w:t>by the Australian Statistician</w:t>
      </w:r>
      <w:r w:rsidR="0041206C">
        <w:t>.</w:t>
      </w:r>
      <w:r>
        <w:t xml:space="preserve"> </w:t>
      </w:r>
      <w:r w:rsidR="0041206C">
        <w:t xml:space="preserve">  </w:t>
      </w:r>
    </w:p>
    <w:p w:rsidR="00DC32D6" w:rsidRDefault="00DC32D6" w:rsidP="00DC32D6">
      <w:pPr>
        <w:spacing w:before="0"/>
        <w:ind w:right="91"/>
      </w:pPr>
    </w:p>
    <w:p w:rsidR="00DC32D6" w:rsidRDefault="0054517F" w:rsidP="0019627C">
      <w:pPr>
        <w:spacing w:before="80"/>
        <w:ind w:right="91"/>
        <w:rPr>
          <w:b/>
        </w:rPr>
      </w:pPr>
      <w:r>
        <w:rPr>
          <w:b/>
        </w:rPr>
        <w:t>Section 2.2</w:t>
      </w:r>
      <w:r w:rsidR="00AC4B7D">
        <w:rPr>
          <w:b/>
        </w:rPr>
        <w:t>1</w:t>
      </w:r>
      <w:r w:rsidR="00DC32D6" w:rsidRPr="00DC32D6">
        <w:rPr>
          <w:b/>
        </w:rPr>
        <w:t xml:space="preserve"> – Notice of decision and AAT review</w:t>
      </w:r>
    </w:p>
    <w:p w:rsidR="009A17EE" w:rsidRDefault="009A17EE" w:rsidP="00DC32D6">
      <w:pPr>
        <w:spacing w:before="0"/>
        <w:ind w:right="91"/>
        <w:rPr>
          <w:b/>
        </w:rPr>
      </w:pPr>
    </w:p>
    <w:p w:rsidR="00123B35" w:rsidRDefault="0041206C" w:rsidP="00F936D0">
      <w:pPr>
        <w:spacing w:before="0"/>
        <w:ind w:right="91"/>
      </w:pPr>
      <w:r>
        <w:t>This section</w:t>
      </w:r>
      <w:r w:rsidR="0054517F">
        <w:t xml:space="preserve"> </w:t>
      </w:r>
      <w:r w:rsidR="00F936D0">
        <w:t>(subsections 2.2</w:t>
      </w:r>
      <w:r w:rsidR="00AC4B7D">
        <w:t>1</w:t>
      </w:r>
      <w:r w:rsidR="009934AF">
        <w:t>(1) and (5</w:t>
      </w:r>
      <w:r w:rsidR="00F936D0">
        <w:t>)) provide</w:t>
      </w:r>
      <w:r w:rsidR="00427F1C">
        <w:t>s</w:t>
      </w:r>
      <w:r w:rsidR="00F936D0">
        <w:t xml:space="preserve"> for </w:t>
      </w:r>
      <w:r w:rsidR="00F93B5A">
        <w:t xml:space="preserve">rights of appeal to the Administrative Appeals Tribunal </w:t>
      </w:r>
      <w:r w:rsidR="005365EA">
        <w:t xml:space="preserve">(AAT) </w:t>
      </w:r>
      <w:r w:rsidR="00F93B5A">
        <w:t xml:space="preserve">from </w:t>
      </w:r>
      <w:r w:rsidR="00F936D0">
        <w:t>a decision</w:t>
      </w:r>
      <w:r w:rsidR="00AE15B1">
        <w:t xml:space="preserve"> of a r</w:t>
      </w:r>
      <w:r w:rsidR="00F93B5A">
        <w:t xml:space="preserve">egistrar or authorised officer </w:t>
      </w:r>
      <w:r w:rsidR="009B47DB">
        <w:t>about the payment of a fee under</w:t>
      </w:r>
      <w:r w:rsidR="00123B35">
        <w:t>:</w:t>
      </w:r>
    </w:p>
    <w:p w:rsidR="00123B35" w:rsidRDefault="00123B35" w:rsidP="00F936D0">
      <w:pPr>
        <w:spacing w:before="0"/>
        <w:ind w:right="91"/>
      </w:pPr>
    </w:p>
    <w:p w:rsidR="00123B35" w:rsidRDefault="009B47DB" w:rsidP="00123B35">
      <w:pPr>
        <w:numPr>
          <w:ilvl w:val="0"/>
          <w:numId w:val="27"/>
        </w:numPr>
        <w:spacing w:before="0"/>
        <w:ind w:right="91"/>
      </w:pPr>
      <w:r>
        <w:t>sections 2.06 (exemption from payment on the</w:t>
      </w:r>
      <w:r w:rsidR="00123B35">
        <w:t xml:space="preserve"> ground of financial hardship)</w:t>
      </w:r>
    </w:p>
    <w:p w:rsidR="00123B35" w:rsidRDefault="00123B35" w:rsidP="00F936D0">
      <w:pPr>
        <w:spacing w:before="0"/>
        <w:ind w:right="91"/>
      </w:pPr>
    </w:p>
    <w:p w:rsidR="00123B35" w:rsidRDefault="00123B35" w:rsidP="00123B35">
      <w:pPr>
        <w:numPr>
          <w:ilvl w:val="0"/>
          <w:numId w:val="27"/>
        </w:numPr>
        <w:spacing w:before="0"/>
        <w:ind w:right="91"/>
      </w:pPr>
      <w:r>
        <w:t xml:space="preserve">section </w:t>
      </w:r>
      <w:r w:rsidR="009B47DB">
        <w:t>2.15 (</w:t>
      </w:r>
      <w:r w:rsidR="00F93B5A">
        <w:t xml:space="preserve">deferral of the time for payment </w:t>
      </w:r>
      <w:r w:rsidR="009B47DB">
        <w:t>of a fee</w:t>
      </w:r>
      <w:r>
        <w:t>)</w:t>
      </w:r>
      <w:r w:rsidR="00F936D0">
        <w:t xml:space="preserve"> </w:t>
      </w:r>
    </w:p>
    <w:p w:rsidR="00123B35" w:rsidRDefault="00123B35" w:rsidP="00F936D0">
      <w:pPr>
        <w:spacing w:before="0"/>
        <w:ind w:right="91"/>
      </w:pPr>
    </w:p>
    <w:p w:rsidR="00123B35" w:rsidRDefault="00123B35" w:rsidP="00123B35">
      <w:pPr>
        <w:numPr>
          <w:ilvl w:val="0"/>
          <w:numId w:val="27"/>
        </w:numPr>
        <w:spacing w:before="0"/>
        <w:ind w:right="91"/>
      </w:pPr>
      <w:r>
        <w:t xml:space="preserve">subsection </w:t>
      </w:r>
      <w:r w:rsidR="00F936D0">
        <w:t>2.08(4) (exemptions for certain related tax appeals)</w:t>
      </w:r>
      <w:r>
        <w:t>,</w:t>
      </w:r>
      <w:r w:rsidR="00F936D0">
        <w:t xml:space="preserve"> and </w:t>
      </w:r>
    </w:p>
    <w:p w:rsidR="00123B35" w:rsidRDefault="00123B35" w:rsidP="00F936D0">
      <w:pPr>
        <w:spacing w:before="0"/>
        <w:ind w:right="91"/>
      </w:pPr>
    </w:p>
    <w:p w:rsidR="009B47DB" w:rsidRDefault="00123B35" w:rsidP="00123B35">
      <w:pPr>
        <w:numPr>
          <w:ilvl w:val="0"/>
          <w:numId w:val="27"/>
        </w:numPr>
        <w:spacing w:before="0"/>
        <w:ind w:right="91"/>
      </w:pPr>
      <w:r>
        <w:lastRenderedPageBreak/>
        <w:t xml:space="preserve">subsection </w:t>
      </w:r>
      <w:r w:rsidR="00F936D0">
        <w:t>2.19(7) (</w:t>
      </w:r>
      <w:r w:rsidR="00F93B5A">
        <w:t xml:space="preserve">refund of a hearing fee </w:t>
      </w:r>
      <w:r w:rsidR="00F936D0">
        <w:t>where notification within required time limit has not occurred).</w:t>
      </w:r>
    </w:p>
    <w:p w:rsidR="00F936D0" w:rsidRDefault="00F936D0" w:rsidP="00F936D0">
      <w:pPr>
        <w:spacing w:before="0"/>
        <w:ind w:right="91"/>
      </w:pPr>
    </w:p>
    <w:p w:rsidR="00F936D0" w:rsidRDefault="005365EA" w:rsidP="00123B35">
      <w:pPr>
        <w:spacing w:before="0"/>
        <w:ind w:right="91"/>
      </w:pPr>
      <w:r>
        <w:t>The section</w:t>
      </w:r>
      <w:r w:rsidR="00F936D0">
        <w:t xml:space="preserve"> require</w:t>
      </w:r>
      <w:r w:rsidR="00427F1C">
        <w:t>s</w:t>
      </w:r>
      <w:r w:rsidR="00AE15B1">
        <w:t xml:space="preserve"> a r</w:t>
      </w:r>
      <w:r w:rsidR="00123B35">
        <w:t xml:space="preserve">egistrar or authorised officer to </w:t>
      </w:r>
      <w:r w:rsidR="00F936D0">
        <w:t xml:space="preserve">give a notice </w:t>
      </w:r>
      <w:r>
        <w:t xml:space="preserve">of the decision </w:t>
      </w:r>
      <w:r w:rsidR="00F936D0">
        <w:t>to the person required to pay the fee</w:t>
      </w:r>
      <w:r w:rsidR="00123B35">
        <w:t xml:space="preserve"> (subsection 2.2</w:t>
      </w:r>
      <w:r w:rsidR="00AC4B7D">
        <w:t>1</w:t>
      </w:r>
      <w:r w:rsidR="00123B35">
        <w:t>(1))</w:t>
      </w:r>
      <w:r>
        <w:t xml:space="preserve"> </w:t>
      </w:r>
      <w:r w:rsidR="00123B35">
        <w:t>within 28 days after making the decision (subsection 2.2</w:t>
      </w:r>
      <w:r w:rsidR="00AC4B7D">
        <w:t>1</w:t>
      </w:r>
      <w:r w:rsidR="00123B35">
        <w:t xml:space="preserve">(2)) </w:t>
      </w:r>
      <w:r>
        <w:t>setting out the decision</w:t>
      </w:r>
      <w:r w:rsidR="00A273B3">
        <w:t xml:space="preserve"> and, for particular decisions,</w:t>
      </w:r>
      <w:r>
        <w:t xml:space="preserve"> a statement that the person may apply to the </w:t>
      </w:r>
      <w:r w:rsidR="00123B35">
        <w:t>AAT</w:t>
      </w:r>
      <w:r w:rsidR="00A273B3">
        <w:t xml:space="preserve"> for review of the decision and</w:t>
      </w:r>
      <w:r w:rsidR="00123B35">
        <w:t xml:space="preserve"> the reasons for the decision (subsection</w:t>
      </w:r>
      <w:r w:rsidR="00A273B3">
        <w:t>s</w:t>
      </w:r>
      <w:r w:rsidR="00123B35">
        <w:t xml:space="preserve"> 2.2</w:t>
      </w:r>
      <w:r w:rsidR="00AC4B7D">
        <w:t>1</w:t>
      </w:r>
      <w:r w:rsidR="00123B35">
        <w:t>(3)</w:t>
      </w:r>
      <w:r w:rsidR="00A273B3">
        <w:t xml:space="preserve"> and (4)</w:t>
      </w:r>
      <w:r w:rsidR="00123B35">
        <w:t>).</w:t>
      </w:r>
    </w:p>
    <w:p w:rsidR="00123B35" w:rsidRDefault="00123B35" w:rsidP="00123B35">
      <w:pPr>
        <w:spacing w:before="0"/>
        <w:ind w:right="91"/>
      </w:pPr>
    </w:p>
    <w:p w:rsidR="00123B35" w:rsidRDefault="00123B35" w:rsidP="00123B35">
      <w:pPr>
        <w:spacing w:before="0"/>
        <w:ind w:right="91"/>
      </w:pPr>
      <w:r>
        <w:t>Subsection 2.2</w:t>
      </w:r>
      <w:r w:rsidR="00AC4B7D">
        <w:t>1</w:t>
      </w:r>
      <w:r>
        <w:t>(</w:t>
      </w:r>
      <w:r w:rsidR="00A273B3">
        <w:t>6</w:t>
      </w:r>
      <w:r>
        <w:t>) provide</w:t>
      </w:r>
      <w:r w:rsidR="00427F1C">
        <w:t>s</w:t>
      </w:r>
      <w:r>
        <w:t xml:space="preserve"> that failure to advise of rights of appeal to the AAT does not affect the validi</w:t>
      </w:r>
      <w:r w:rsidR="00AE15B1">
        <w:t>ty of the decision made by the r</w:t>
      </w:r>
      <w:r>
        <w:t>egistrar or authorised officer.</w:t>
      </w:r>
    </w:p>
    <w:p w:rsidR="009B47DB" w:rsidRDefault="009B47DB" w:rsidP="00DC32D6">
      <w:pPr>
        <w:spacing w:before="0"/>
        <w:ind w:right="91"/>
      </w:pPr>
    </w:p>
    <w:p w:rsidR="00DC32D6" w:rsidRDefault="000B47F1" w:rsidP="0019627C">
      <w:pPr>
        <w:spacing w:before="80"/>
        <w:ind w:right="91"/>
        <w:rPr>
          <w:b/>
        </w:rPr>
      </w:pPr>
      <w:r>
        <w:rPr>
          <w:b/>
        </w:rPr>
        <w:t>Section 2.2</w:t>
      </w:r>
      <w:r w:rsidR="00AC4B7D">
        <w:rPr>
          <w:b/>
        </w:rPr>
        <w:t>2</w:t>
      </w:r>
      <w:r w:rsidR="00DC32D6" w:rsidRPr="00DC32D6">
        <w:rPr>
          <w:b/>
        </w:rPr>
        <w:t xml:space="preserve"> – Debt due to Commonwealth</w:t>
      </w:r>
    </w:p>
    <w:p w:rsidR="00622C4A" w:rsidRDefault="00622C4A" w:rsidP="00DC32D6">
      <w:pPr>
        <w:spacing w:before="0"/>
        <w:ind w:right="91"/>
        <w:rPr>
          <w:b/>
        </w:rPr>
      </w:pPr>
    </w:p>
    <w:p w:rsidR="00622C4A" w:rsidRPr="00622C4A" w:rsidRDefault="00857F7F" w:rsidP="00DC32D6">
      <w:pPr>
        <w:spacing w:before="0"/>
        <w:ind w:right="91"/>
      </w:pPr>
      <w:r>
        <w:t>This section</w:t>
      </w:r>
      <w:r w:rsidR="00342030">
        <w:t xml:space="preserve"> </w:t>
      </w:r>
      <w:r w:rsidR="00427F1C">
        <w:t>p</w:t>
      </w:r>
      <w:r w:rsidR="00342030">
        <w:t>rovide</w:t>
      </w:r>
      <w:r w:rsidR="00427F1C">
        <w:t>s</w:t>
      </w:r>
      <w:r w:rsidR="00342030">
        <w:t xml:space="preserve"> that i</w:t>
      </w:r>
      <w:r w:rsidR="00622C4A">
        <w:t xml:space="preserve">f a fee is not paid in accordance with the Regulation, then it immediately becomes a debt due to the Commonwealth.  This </w:t>
      </w:r>
      <w:r w:rsidR="00427F1C">
        <w:t xml:space="preserve">would </w:t>
      </w:r>
      <w:r>
        <w:t>include</w:t>
      </w:r>
      <w:r w:rsidR="00622C4A">
        <w:t xml:space="preserve"> </w:t>
      </w:r>
      <w:r w:rsidR="001234C9">
        <w:t xml:space="preserve">where a fee is not paid </w:t>
      </w:r>
      <w:r w:rsidR="00B76FEE">
        <w:t>at the end of an</w:t>
      </w:r>
      <w:r w:rsidR="001234C9">
        <w:t xml:space="preserve"> invoice period or deferral period (and no further deferral is granted).</w:t>
      </w:r>
    </w:p>
    <w:p w:rsidR="00DC32D6" w:rsidRDefault="00DC32D6" w:rsidP="00DC32D6">
      <w:pPr>
        <w:spacing w:before="0"/>
        <w:ind w:right="91"/>
      </w:pPr>
    </w:p>
    <w:p w:rsidR="00DC32D6" w:rsidRPr="00776E41" w:rsidRDefault="00DC32D6" w:rsidP="0019627C">
      <w:pPr>
        <w:spacing w:before="80"/>
        <w:ind w:right="91"/>
        <w:rPr>
          <w:u w:val="single"/>
        </w:rPr>
      </w:pPr>
      <w:r w:rsidRPr="00776E41">
        <w:rPr>
          <w:u w:val="single"/>
        </w:rPr>
        <w:t xml:space="preserve">Part 3 </w:t>
      </w:r>
      <w:r w:rsidR="00776E41" w:rsidRPr="00776E41">
        <w:rPr>
          <w:u w:val="single"/>
        </w:rPr>
        <w:t xml:space="preserve">– </w:t>
      </w:r>
      <w:r w:rsidRPr="00776E41">
        <w:rPr>
          <w:u w:val="single"/>
        </w:rPr>
        <w:t>Remuneration and allowances for jurors and potential jurors—Federal Court</w:t>
      </w:r>
    </w:p>
    <w:p w:rsidR="00DC32D6" w:rsidRDefault="00DC32D6" w:rsidP="00DC32D6">
      <w:pPr>
        <w:spacing w:before="0"/>
        <w:ind w:right="91"/>
      </w:pPr>
    </w:p>
    <w:p w:rsidR="00D01682" w:rsidRDefault="00985346" w:rsidP="00DC32D6">
      <w:pPr>
        <w:spacing w:before="0"/>
        <w:ind w:right="91"/>
      </w:pPr>
      <w:r>
        <w:t xml:space="preserve">Part 3 </w:t>
      </w:r>
      <w:r w:rsidR="00D74043">
        <w:t>provide</w:t>
      </w:r>
      <w:r w:rsidR="00427F1C">
        <w:t>s</w:t>
      </w:r>
      <w:r w:rsidR="00FF0C51">
        <w:t xml:space="preserve"> for remuneration </w:t>
      </w:r>
      <w:r w:rsidR="00851250">
        <w:t xml:space="preserve">and allowances for </w:t>
      </w:r>
      <w:r w:rsidR="00FF0C51">
        <w:t xml:space="preserve">jurors and potential jurors.  </w:t>
      </w:r>
    </w:p>
    <w:p w:rsidR="00D01682" w:rsidRDefault="00D01682" w:rsidP="00DC32D6">
      <w:pPr>
        <w:spacing w:before="0"/>
        <w:ind w:right="91"/>
      </w:pPr>
    </w:p>
    <w:p w:rsidR="00D01682" w:rsidRDefault="00D01682" w:rsidP="0019627C">
      <w:pPr>
        <w:spacing w:before="80"/>
        <w:ind w:right="91"/>
        <w:rPr>
          <w:b/>
        </w:rPr>
      </w:pPr>
      <w:r>
        <w:rPr>
          <w:b/>
        </w:rPr>
        <w:t>Section 3.01</w:t>
      </w:r>
      <w:r w:rsidRPr="00DC32D6">
        <w:rPr>
          <w:b/>
        </w:rPr>
        <w:t xml:space="preserve"> – </w:t>
      </w:r>
      <w:r>
        <w:rPr>
          <w:b/>
        </w:rPr>
        <w:t>Purpose of Part</w:t>
      </w:r>
    </w:p>
    <w:p w:rsidR="00D01682" w:rsidRDefault="00D01682" w:rsidP="00D01682">
      <w:pPr>
        <w:spacing w:before="0"/>
        <w:ind w:right="91"/>
        <w:rPr>
          <w:b/>
        </w:rPr>
      </w:pPr>
    </w:p>
    <w:p w:rsidR="007E16A8" w:rsidRPr="002946A6" w:rsidRDefault="007E16A8" w:rsidP="007E16A8">
      <w:pPr>
        <w:spacing w:before="0"/>
        <w:ind w:right="91"/>
      </w:pPr>
      <w:r>
        <w:t>Part 3 provide</w:t>
      </w:r>
      <w:r w:rsidR="00427F1C">
        <w:t>s</w:t>
      </w:r>
      <w:r>
        <w:t xml:space="preserve"> for the remuneration and allowances payable to jurors and potential jurors in relation to proceedings in the Federal Court.</w:t>
      </w:r>
    </w:p>
    <w:p w:rsidR="00D01682" w:rsidRDefault="00D01682" w:rsidP="00D01682">
      <w:pPr>
        <w:spacing w:before="0"/>
        <w:ind w:right="91"/>
      </w:pPr>
    </w:p>
    <w:p w:rsidR="00D01682" w:rsidRDefault="00D01682" w:rsidP="0019627C">
      <w:pPr>
        <w:spacing w:before="80"/>
        <w:ind w:right="91"/>
        <w:rPr>
          <w:b/>
        </w:rPr>
      </w:pPr>
      <w:r>
        <w:rPr>
          <w:b/>
        </w:rPr>
        <w:t>Section 3.02</w:t>
      </w:r>
      <w:r w:rsidRPr="00DC32D6">
        <w:rPr>
          <w:b/>
        </w:rPr>
        <w:t xml:space="preserve"> – </w:t>
      </w:r>
      <w:r>
        <w:rPr>
          <w:b/>
        </w:rPr>
        <w:t>Remuneration</w:t>
      </w:r>
    </w:p>
    <w:p w:rsidR="007E16A8" w:rsidRDefault="007E16A8" w:rsidP="00D01682">
      <w:pPr>
        <w:spacing w:before="0"/>
        <w:ind w:right="91"/>
        <w:rPr>
          <w:b/>
        </w:rPr>
      </w:pPr>
    </w:p>
    <w:p w:rsidR="007E16A8" w:rsidRDefault="007E16A8" w:rsidP="007E16A8">
      <w:pPr>
        <w:spacing w:before="0"/>
        <w:ind w:right="91"/>
        <w:rPr>
          <w:szCs w:val="24"/>
        </w:rPr>
      </w:pPr>
      <w:r>
        <w:t>This section provide</w:t>
      </w:r>
      <w:r w:rsidR="00427F1C">
        <w:t>s</w:t>
      </w:r>
      <w:r>
        <w:t xml:space="preserve"> for Schedule </w:t>
      </w:r>
      <w:r w:rsidR="00F44B2D">
        <w:t>2</w:t>
      </w:r>
      <w:r>
        <w:t xml:space="preserve"> to the Regulation to set out</w:t>
      </w:r>
      <w:r>
        <w:rPr>
          <w:szCs w:val="24"/>
        </w:rPr>
        <w:t xml:space="preserve"> the remuneration payable to jurors and potential jurors.</w:t>
      </w:r>
      <w:r w:rsidR="00F44B2D">
        <w:rPr>
          <w:szCs w:val="24"/>
        </w:rPr>
        <w:t xml:space="preserve">   T</w:t>
      </w:r>
      <w:r w:rsidR="008E6D0F">
        <w:rPr>
          <w:szCs w:val="24"/>
        </w:rPr>
        <w:t>he amounts set out in Schedule 2</w:t>
      </w:r>
      <w:r w:rsidR="00F44B2D">
        <w:rPr>
          <w:szCs w:val="24"/>
        </w:rPr>
        <w:t xml:space="preserve"> include travel and refreshment allowances (subsection 3.03(1)). </w:t>
      </w:r>
    </w:p>
    <w:p w:rsidR="00D01682" w:rsidRPr="00622C4A" w:rsidRDefault="007E16A8" w:rsidP="007E16A8">
      <w:pPr>
        <w:autoSpaceDE w:val="0"/>
        <w:autoSpaceDN w:val="0"/>
        <w:adjustRightInd w:val="0"/>
      </w:pPr>
      <w:r>
        <w:rPr>
          <w:szCs w:val="24"/>
        </w:rPr>
        <w:t>Subsection 3.02(2) provide</w:t>
      </w:r>
      <w:r w:rsidR="00427F1C">
        <w:rPr>
          <w:szCs w:val="24"/>
        </w:rPr>
        <w:t>s</w:t>
      </w:r>
      <w:r>
        <w:rPr>
          <w:szCs w:val="24"/>
        </w:rPr>
        <w:t xml:space="preserve"> for </w:t>
      </w:r>
      <w:r w:rsidR="00F44B2D">
        <w:rPr>
          <w:szCs w:val="24"/>
        </w:rPr>
        <w:t xml:space="preserve">the amounts set out in Schedule 2 </w:t>
      </w:r>
      <w:r>
        <w:rPr>
          <w:szCs w:val="24"/>
        </w:rPr>
        <w:t xml:space="preserve">to be payable for each day that a juror or potential juror attends court and for each day, up to a maximum of five days, that a juror or potential jurors is not required to attend court. </w:t>
      </w:r>
    </w:p>
    <w:p w:rsidR="00D01682" w:rsidRDefault="00D01682" w:rsidP="00D01682">
      <w:pPr>
        <w:spacing w:before="0"/>
        <w:ind w:right="91"/>
      </w:pPr>
    </w:p>
    <w:p w:rsidR="00D01682" w:rsidRDefault="00D01682" w:rsidP="0019627C">
      <w:pPr>
        <w:spacing w:before="80"/>
        <w:ind w:right="91"/>
        <w:rPr>
          <w:b/>
        </w:rPr>
      </w:pPr>
      <w:r>
        <w:rPr>
          <w:b/>
        </w:rPr>
        <w:t>Section 3.03</w:t>
      </w:r>
      <w:r w:rsidRPr="00DC32D6">
        <w:rPr>
          <w:b/>
        </w:rPr>
        <w:t xml:space="preserve"> – </w:t>
      </w:r>
      <w:r>
        <w:rPr>
          <w:b/>
        </w:rPr>
        <w:t>Allowances</w:t>
      </w:r>
    </w:p>
    <w:p w:rsidR="007E16A8" w:rsidRDefault="007E16A8" w:rsidP="00D01682">
      <w:pPr>
        <w:spacing w:before="0"/>
        <w:ind w:right="91"/>
        <w:rPr>
          <w:b/>
        </w:rPr>
      </w:pPr>
    </w:p>
    <w:p w:rsidR="00F44B2D" w:rsidRDefault="007E16A8" w:rsidP="007E16A8">
      <w:pPr>
        <w:spacing w:before="0"/>
        <w:ind w:right="91"/>
        <w:rPr>
          <w:szCs w:val="24"/>
        </w:rPr>
      </w:pPr>
      <w:r>
        <w:t xml:space="preserve">This section </w:t>
      </w:r>
      <w:r>
        <w:rPr>
          <w:szCs w:val="24"/>
        </w:rPr>
        <w:t>provide</w:t>
      </w:r>
      <w:r w:rsidR="00427F1C">
        <w:rPr>
          <w:szCs w:val="24"/>
        </w:rPr>
        <w:t>s</w:t>
      </w:r>
      <w:r>
        <w:rPr>
          <w:szCs w:val="24"/>
        </w:rPr>
        <w:t xml:space="preserve"> </w:t>
      </w:r>
      <w:r w:rsidR="00F44B2D">
        <w:rPr>
          <w:szCs w:val="24"/>
        </w:rPr>
        <w:t xml:space="preserve">for reimbursement of travel costs for a juror or potential juror who </w:t>
      </w:r>
      <w:r>
        <w:rPr>
          <w:szCs w:val="24"/>
        </w:rPr>
        <w:t>is required to travel more than 30 kilometres to attend court</w:t>
      </w:r>
      <w:r w:rsidR="00F44B2D">
        <w:rPr>
          <w:szCs w:val="24"/>
        </w:rPr>
        <w:t xml:space="preserve">.  </w:t>
      </w:r>
    </w:p>
    <w:p w:rsidR="00F44B2D" w:rsidRDefault="00F44B2D" w:rsidP="007E16A8">
      <w:pPr>
        <w:spacing w:before="0"/>
        <w:ind w:right="91"/>
        <w:rPr>
          <w:szCs w:val="24"/>
        </w:rPr>
      </w:pPr>
    </w:p>
    <w:p w:rsidR="007E16A8" w:rsidRPr="00D01682" w:rsidRDefault="00F44B2D" w:rsidP="007E16A8">
      <w:pPr>
        <w:spacing w:before="0"/>
        <w:ind w:right="91"/>
      </w:pPr>
      <w:r>
        <w:rPr>
          <w:szCs w:val="24"/>
        </w:rPr>
        <w:t>Subsection 3.03(2) allow</w:t>
      </w:r>
      <w:r w:rsidR="00427F1C">
        <w:rPr>
          <w:szCs w:val="24"/>
        </w:rPr>
        <w:t>s</w:t>
      </w:r>
      <w:r>
        <w:rPr>
          <w:szCs w:val="24"/>
        </w:rPr>
        <w:t xml:space="preserve"> t</w:t>
      </w:r>
      <w:r w:rsidR="007E16A8">
        <w:rPr>
          <w:szCs w:val="24"/>
        </w:rPr>
        <w:t>he juror or p</w:t>
      </w:r>
      <w:r w:rsidR="00AE15B1">
        <w:rPr>
          <w:szCs w:val="24"/>
        </w:rPr>
        <w:t>otential juror to apply to the s</w:t>
      </w:r>
      <w:r w:rsidR="007E16A8">
        <w:rPr>
          <w:szCs w:val="24"/>
        </w:rPr>
        <w:t xml:space="preserve">heriff </w:t>
      </w:r>
      <w:r>
        <w:rPr>
          <w:szCs w:val="24"/>
        </w:rPr>
        <w:t xml:space="preserve">of the Federal Court </w:t>
      </w:r>
      <w:r w:rsidR="007E16A8">
        <w:rPr>
          <w:szCs w:val="24"/>
        </w:rPr>
        <w:t xml:space="preserve">for reimbursement of reasonable travel costs. </w:t>
      </w:r>
    </w:p>
    <w:p w:rsidR="00F44B2D" w:rsidRDefault="00F44B2D" w:rsidP="007E16A8">
      <w:pPr>
        <w:autoSpaceDE w:val="0"/>
        <w:autoSpaceDN w:val="0"/>
        <w:adjustRightInd w:val="0"/>
        <w:rPr>
          <w:szCs w:val="24"/>
        </w:rPr>
      </w:pPr>
      <w:r>
        <w:rPr>
          <w:szCs w:val="24"/>
        </w:rPr>
        <w:t>Under subsection 3.03(3), t</w:t>
      </w:r>
      <w:r w:rsidR="00AE15B1">
        <w:rPr>
          <w:szCs w:val="24"/>
        </w:rPr>
        <w:t>he s</w:t>
      </w:r>
      <w:r w:rsidR="007E16A8">
        <w:rPr>
          <w:szCs w:val="24"/>
        </w:rPr>
        <w:t xml:space="preserve">heriff </w:t>
      </w:r>
      <w:r w:rsidR="00427F1C">
        <w:rPr>
          <w:szCs w:val="24"/>
        </w:rPr>
        <w:t>has</w:t>
      </w:r>
      <w:r w:rsidR="007E16A8">
        <w:rPr>
          <w:szCs w:val="24"/>
        </w:rPr>
        <w:t xml:space="preserve"> power to </w:t>
      </w:r>
      <w:r>
        <w:rPr>
          <w:szCs w:val="24"/>
        </w:rPr>
        <w:t>approve when</w:t>
      </w:r>
      <w:r w:rsidR="007E16A8">
        <w:rPr>
          <w:szCs w:val="24"/>
        </w:rPr>
        <w:t xml:space="preserve"> a claim for reimbursement of travel costs may be submitted, the form in which it must be submitted and the supporting material that must be </w:t>
      </w:r>
      <w:r>
        <w:rPr>
          <w:szCs w:val="24"/>
        </w:rPr>
        <w:t>submitted with the claim</w:t>
      </w:r>
      <w:r w:rsidR="007E16A8">
        <w:rPr>
          <w:szCs w:val="24"/>
        </w:rPr>
        <w:t xml:space="preserve">. </w:t>
      </w:r>
    </w:p>
    <w:p w:rsidR="007E16A8" w:rsidRPr="00AE15B1" w:rsidRDefault="00F44B2D" w:rsidP="00AE15B1">
      <w:pPr>
        <w:autoSpaceDE w:val="0"/>
        <w:autoSpaceDN w:val="0"/>
        <w:adjustRightInd w:val="0"/>
        <w:rPr>
          <w:szCs w:val="24"/>
        </w:rPr>
      </w:pPr>
      <w:r>
        <w:rPr>
          <w:szCs w:val="24"/>
        </w:rPr>
        <w:lastRenderedPageBreak/>
        <w:t>If</w:t>
      </w:r>
      <w:r w:rsidR="00AE15B1">
        <w:rPr>
          <w:szCs w:val="24"/>
        </w:rPr>
        <w:t xml:space="preserve"> the s</w:t>
      </w:r>
      <w:r w:rsidR="007E16A8">
        <w:rPr>
          <w:szCs w:val="24"/>
        </w:rPr>
        <w:t xml:space="preserve">heriff does not </w:t>
      </w:r>
      <w:r>
        <w:rPr>
          <w:szCs w:val="24"/>
        </w:rPr>
        <w:t>approve when a claim may be submitted</w:t>
      </w:r>
      <w:r w:rsidR="007E16A8">
        <w:rPr>
          <w:szCs w:val="24"/>
        </w:rPr>
        <w:t xml:space="preserve">, </w:t>
      </w:r>
      <w:r>
        <w:rPr>
          <w:szCs w:val="24"/>
        </w:rPr>
        <w:t>subsection 3.03(4)</w:t>
      </w:r>
      <w:r w:rsidR="007E16A8">
        <w:rPr>
          <w:szCs w:val="24"/>
        </w:rPr>
        <w:t xml:space="preserve"> provide</w:t>
      </w:r>
      <w:r w:rsidR="00427F1C">
        <w:rPr>
          <w:szCs w:val="24"/>
        </w:rPr>
        <w:t>s</w:t>
      </w:r>
      <w:r w:rsidR="007E16A8">
        <w:rPr>
          <w:szCs w:val="24"/>
        </w:rPr>
        <w:t xml:space="preserve"> that a claim for reimbursement of travel costs </w:t>
      </w:r>
      <w:r w:rsidR="00427F1C">
        <w:rPr>
          <w:szCs w:val="24"/>
        </w:rPr>
        <w:t>is</w:t>
      </w:r>
      <w:r>
        <w:rPr>
          <w:szCs w:val="24"/>
        </w:rPr>
        <w:t xml:space="preserve"> able to </w:t>
      </w:r>
      <w:r w:rsidR="007E16A8">
        <w:rPr>
          <w:szCs w:val="24"/>
        </w:rPr>
        <w:t>be submitted within five days of the juror or potential juror incurring the travel costs.</w:t>
      </w:r>
    </w:p>
    <w:p w:rsidR="00D01682" w:rsidRDefault="00D01682" w:rsidP="00D01682">
      <w:pPr>
        <w:spacing w:before="0"/>
        <w:ind w:right="91"/>
      </w:pPr>
    </w:p>
    <w:p w:rsidR="00D01682" w:rsidRPr="00D01682" w:rsidRDefault="00D01682" w:rsidP="0019627C">
      <w:pPr>
        <w:spacing w:before="80"/>
        <w:ind w:right="91"/>
        <w:rPr>
          <w:b/>
        </w:rPr>
      </w:pPr>
      <w:r>
        <w:rPr>
          <w:b/>
        </w:rPr>
        <w:t>Section 3.04</w:t>
      </w:r>
      <w:r w:rsidRPr="00D01682">
        <w:rPr>
          <w:b/>
        </w:rPr>
        <w:t xml:space="preserve"> </w:t>
      </w:r>
      <w:r w:rsidRPr="00DC32D6">
        <w:rPr>
          <w:b/>
        </w:rPr>
        <w:t xml:space="preserve">– </w:t>
      </w:r>
      <w:r w:rsidRPr="00D01682">
        <w:rPr>
          <w:b/>
        </w:rPr>
        <w:t>Biennial increase in juror’s remuneration.</w:t>
      </w:r>
    </w:p>
    <w:p w:rsidR="00D01682" w:rsidRPr="00622C4A" w:rsidRDefault="00D01682" w:rsidP="00D01682">
      <w:pPr>
        <w:spacing w:before="0"/>
        <w:ind w:right="91"/>
      </w:pPr>
    </w:p>
    <w:p w:rsidR="00F44B2D" w:rsidRPr="00D01682" w:rsidRDefault="00F44B2D" w:rsidP="007E16A8">
      <w:pPr>
        <w:spacing w:before="0"/>
        <w:ind w:right="91"/>
      </w:pPr>
      <w:r>
        <w:t>This section provide</w:t>
      </w:r>
      <w:r w:rsidR="00427F1C">
        <w:t>s</w:t>
      </w:r>
      <w:r>
        <w:t xml:space="preserve"> for the automatic biennial increase of the remuneration set out in Schedule 2 to the Regulation, commencing from 1 July 2014.   The </w:t>
      </w:r>
      <w:r w:rsidR="00227DB4">
        <w:t xml:space="preserve">remuneration </w:t>
      </w:r>
      <w:r>
        <w:t>w</w:t>
      </w:r>
      <w:r w:rsidR="004C7F32">
        <w:t>ill</w:t>
      </w:r>
      <w:r>
        <w:t xml:space="preserve"> be increased biennially in accordance with upwards movement in the All Groups Consumer Price Index published by the Australian Statistician.   </w:t>
      </w:r>
    </w:p>
    <w:p w:rsidR="00DC32D6" w:rsidRDefault="00DC32D6" w:rsidP="00DC32D6">
      <w:pPr>
        <w:spacing w:before="0"/>
        <w:ind w:right="91"/>
      </w:pPr>
    </w:p>
    <w:p w:rsidR="00DC32D6" w:rsidRPr="00776E41" w:rsidRDefault="00DC32D6" w:rsidP="0019627C">
      <w:pPr>
        <w:spacing w:before="80"/>
        <w:ind w:right="91"/>
        <w:rPr>
          <w:u w:val="single"/>
        </w:rPr>
      </w:pPr>
      <w:r w:rsidRPr="00776E41">
        <w:rPr>
          <w:u w:val="single"/>
        </w:rPr>
        <w:t xml:space="preserve">Part 4 </w:t>
      </w:r>
      <w:r w:rsidR="00776E41" w:rsidRPr="00776E41">
        <w:rPr>
          <w:u w:val="single"/>
        </w:rPr>
        <w:t xml:space="preserve">– </w:t>
      </w:r>
      <w:r w:rsidRPr="00776E41">
        <w:rPr>
          <w:u w:val="single"/>
        </w:rPr>
        <w:t>Miscellaneous</w:t>
      </w:r>
    </w:p>
    <w:p w:rsidR="00DC32D6" w:rsidRDefault="00DC32D6" w:rsidP="00DC32D6">
      <w:pPr>
        <w:spacing w:before="0"/>
        <w:ind w:right="91"/>
      </w:pPr>
    </w:p>
    <w:p w:rsidR="00DC32D6" w:rsidRPr="00DC32D6" w:rsidRDefault="00DC32D6" w:rsidP="0019627C">
      <w:pPr>
        <w:spacing w:before="80"/>
        <w:ind w:right="91"/>
        <w:rPr>
          <w:b/>
        </w:rPr>
      </w:pPr>
      <w:r w:rsidRPr="00DC32D6">
        <w:rPr>
          <w:b/>
        </w:rPr>
        <w:t xml:space="preserve">Section 4.01 – Prescribed contract limit—Federal Court </w:t>
      </w:r>
    </w:p>
    <w:p w:rsidR="00DC32D6" w:rsidRDefault="00DC32D6" w:rsidP="00DC32D6">
      <w:pPr>
        <w:spacing w:before="0"/>
        <w:ind w:right="91"/>
      </w:pPr>
    </w:p>
    <w:p w:rsidR="00AA0AF5" w:rsidRDefault="00985346" w:rsidP="00DC32D6">
      <w:pPr>
        <w:spacing w:before="0"/>
        <w:ind w:right="91"/>
      </w:pPr>
      <w:r>
        <w:t xml:space="preserve">Section 4.01 </w:t>
      </w:r>
      <w:r w:rsidR="00D74043">
        <w:t>specif</w:t>
      </w:r>
      <w:r w:rsidR="00427F1C">
        <w:t>ies</w:t>
      </w:r>
      <w:r w:rsidR="00D74043">
        <w:t xml:space="preserve"> the amount of the prescribe</w:t>
      </w:r>
      <w:r w:rsidR="00DC04F5">
        <w:t>d contract limit for subsection </w:t>
      </w:r>
      <w:r w:rsidR="00D74043">
        <w:t>18A(4) of the Federal Court Act.  This section has the same operation as reg</w:t>
      </w:r>
      <w:r w:rsidR="003F3CCE">
        <w:t>ulation</w:t>
      </w:r>
      <w:r w:rsidR="00D74043">
        <w:t xml:space="preserve"> 17 of the Federal Court Regulations.</w:t>
      </w:r>
    </w:p>
    <w:p w:rsidR="00AA0AF5" w:rsidRDefault="00AA0AF5" w:rsidP="00DC32D6">
      <w:pPr>
        <w:spacing w:before="0"/>
        <w:ind w:right="91"/>
      </w:pPr>
    </w:p>
    <w:p w:rsidR="00DC32D6" w:rsidRDefault="00DC32D6" w:rsidP="0019627C">
      <w:pPr>
        <w:spacing w:before="80"/>
        <w:ind w:right="91"/>
        <w:rPr>
          <w:b/>
        </w:rPr>
      </w:pPr>
      <w:r w:rsidRPr="00DC32D6">
        <w:rPr>
          <w:b/>
        </w:rPr>
        <w:t xml:space="preserve">Section 4.02 – Modification of </w:t>
      </w:r>
      <w:r w:rsidRPr="00E810BF">
        <w:rPr>
          <w:b/>
          <w:i/>
        </w:rPr>
        <w:t>Legislative Instruments Act 2003</w:t>
      </w:r>
      <w:r w:rsidRPr="00DC32D6">
        <w:rPr>
          <w:b/>
        </w:rPr>
        <w:t>—Federal Magistrates Court</w:t>
      </w:r>
    </w:p>
    <w:p w:rsidR="00AA0AF5" w:rsidRDefault="00AA0AF5" w:rsidP="00DC32D6">
      <w:pPr>
        <w:spacing w:before="0"/>
        <w:ind w:right="91"/>
        <w:rPr>
          <w:b/>
        </w:rPr>
      </w:pPr>
    </w:p>
    <w:p w:rsidR="00AA0AF5" w:rsidRDefault="00985346" w:rsidP="00AA0AF5">
      <w:pPr>
        <w:spacing w:before="0"/>
        <w:ind w:right="91"/>
      </w:pPr>
      <w:r>
        <w:t>Section 4.02</w:t>
      </w:r>
      <w:r w:rsidR="00AA0AF5">
        <w:t xml:space="preserve"> </w:t>
      </w:r>
      <w:r w:rsidR="00427F1C">
        <w:t>has</w:t>
      </w:r>
      <w:r w:rsidR="00D74043">
        <w:t xml:space="preserve"> the same operation as, and amalgamate</w:t>
      </w:r>
      <w:r w:rsidR="00427F1C">
        <w:t>s</w:t>
      </w:r>
      <w:r w:rsidR="00D74043">
        <w:t xml:space="preserve">, </w:t>
      </w:r>
      <w:r w:rsidR="00AA0AF5">
        <w:t>reg</w:t>
      </w:r>
      <w:r w:rsidR="001F44FE">
        <w:t>ulation</w:t>
      </w:r>
      <w:r w:rsidR="00AA0AF5">
        <w:t xml:space="preserve"> 16 and Schedule 2 </w:t>
      </w:r>
      <w:r w:rsidR="00E810BF">
        <w:t>to</w:t>
      </w:r>
      <w:r w:rsidR="00AA0AF5">
        <w:t xml:space="preserve"> the </w:t>
      </w:r>
      <w:r w:rsidR="00DC04F5">
        <w:t>Federal Magistrates</w:t>
      </w:r>
      <w:r w:rsidR="00D74043">
        <w:t xml:space="preserve"> Regulations</w:t>
      </w:r>
      <w:r w:rsidR="00AA0AF5">
        <w:t xml:space="preserve">.  This modification to the </w:t>
      </w:r>
      <w:r w:rsidR="00AA0AF5" w:rsidRPr="00AA0AF5">
        <w:rPr>
          <w:i/>
        </w:rPr>
        <w:t>Legislative Instruments Act 2003</w:t>
      </w:r>
      <w:r w:rsidR="00AA0AF5">
        <w:t xml:space="preserve"> as it applies to the FMC applies to all proceedings in the FMC, including in family law.  </w:t>
      </w:r>
    </w:p>
    <w:p w:rsidR="00DC32D6" w:rsidRDefault="00DC32D6" w:rsidP="0019627C">
      <w:pPr>
        <w:spacing w:before="80"/>
        <w:ind w:right="91"/>
      </w:pPr>
    </w:p>
    <w:p w:rsidR="00DC32D6" w:rsidRPr="00DC32D6" w:rsidRDefault="00DC32D6" w:rsidP="0019627C">
      <w:pPr>
        <w:spacing w:before="80"/>
        <w:ind w:right="91"/>
        <w:rPr>
          <w:u w:val="single"/>
        </w:rPr>
      </w:pPr>
      <w:r w:rsidRPr="00DC32D6">
        <w:rPr>
          <w:u w:val="single"/>
        </w:rPr>
        <w:t xml:space="preserve">Part 5 </w:t>
      </w:r>
      <w:r w:rsidR="00E810BF">
        <w:rPr>
          <w:u w:val="single"/>
        </w:rPr>
        <w:t xml:space="preserve">– </w:t>
      </w:r>
      <w:r w:rsidRPr="00DC32D6">
        <w:rPr>
          <w:u w:val="single"/>
        </w:rPr>
        <w:t>Repeal</w:t>
      </w:r>
      <w:r w:rsidR="00E810BF">
        <w:rPr>
          <w:u w:val="single"/>
        </w:rPr>
        <w:t xml:space="preserve"> </w:t>
      </w:r>
      <w:r w:rsidRPr="00DC32D6">
        <w:rPr>
          <w:u w:val="single"/>
        </w:rPr>
        <w:t>and</w:t>
      </w:r>
      <w:r w:rsidR="0008450D">
        <w:rPr>
          <w:u w:val="single"/>
        </w:rPr>
        <w:t xml:space="preserve"> </w:t>
      </w:r>
      <w:r w:rsidRPr="00DC32D6">
        <w:rPr>
          <w:u w:val="single"/>
        </w:rPr>
        <w:t>transitional</w:t>
      </w:r>
    </w:p>
    <w:p w:rsidR="00DC32D6" w:rsidRDefault="00DC32D6" w:rsidP="00DC32D6">
      <w:pPr>
        <w:spacing w:before="0"/>
        <w:ind w:right="91"/>
      </w:pPr>
    </w:p>
    <w:p w:rsidR="00DC32D6" w:rsidRDefault="00DC32D6" w:rsidP="0019627C">
      <w:pPr>
        <w:spacing w:before="80"/>
        <w:ind w:right="91"/>
        <w:rPr>
          <w:b/>
        </w:rPr>
      </w:pPr>
      <w:r w:rsidRPr="00DC32D6">
        <w:rPr>
          <w:b/>
        </w:rPr>
        <w:t xml:space="preserve">Section 5.01 – </w:t>
      </w:r>
      <w:r w:rsidRPr="00F27705">
        <w:rPr>
          <w:b/>
          <w:i/>
        </w:rPr>
        <w:t>Federal Court of Australia Regulations 2004</w:t>
      </w:r>
      <w:r w:rsidRPr="00DC32D6">
        <w:rPr>
          <w:b/>
        </w:rPr>
        <w:t xml:space="preserve"> </w:t>
      </w:r>
    </w:p>
    <w:p w:rsidR="00985346" w:rsidRDefault="00985346" w:rsidP="00DC32D6">
      <w:pPr>
        <w:spacing w:before="0"/>
        <w:ind w:right="91"/>
        <w:rPr>
          <w:b/>
        </w:rPr>
      </w:pPr>
    </w:p>
    <w:p w:rsidR="00FE66E2" w:rsidRDefault="005C6A79" w:rsidP="00DC32D6">
      <w:pPr>
        <w:spacing w:before="0"/>
        <w:ind w:right="91"/>
      </w:pPr>
      <w:r>
        <w:t>Subs</w:t>
      </w:r>
      <w:r w:rsidR="00985346" w:rsidRPr="006E51E4">
        <w:t>ection 5.01</w:t>
      </w:r>
      <w:r>
        <w:t>(1)</w:t>
      </w:r>
      <w:r w:rsidR="00985346" w:rsidRPr="006E51E4">
        <w:t xml:space="preserve"> repeal</w:t>
      </w:r>
      <w:r w:rsidR="00427F1C">
        <w:t>s</w:t>
      </w:r>
      <w:r w:rsidR="00985346" w:rsidRPr="006E51E4">
        <w:t xml:space="preserve"> the Federal Court Regulations.  </w:t>
      </w:r>
    </w:p>
    <w:p w:rsidR="00FE66E2" w:rsidRDefault="00FE66E2" w:rsidP="00DC32D6">
      <w:pPr>
        <w:spacing w:before="0"/>
        <w:ind w:right="91"/>
      </w:pPr>
    </w:p>
    <w:p w:rsidR="00DC32D6" w:rsidRPr="006E51E4" w:rsidRDefault="00985346" w:rsidP="00DC32D6">
      <w:pPr>
        <w:spacing w:before="0"/>
        <w:ind w:right="91"/>
      </w:pPr>
      <w:r w:rsidRPr="006E51E4">
        <w:t>Subsection 5.01(2) provid</w:t>
      </w:r>
      <w:r w:rsidR="00427F1C">
        <w:t>es</w:t>
      </w:r>
      <w:r w:rsidRPr="006E51E4">
        <w:t xml:space="preserve"> that the Federal Court Regulations continue to apply to a fee or a service requ</w:t>
      </w:r>
      <w:r w:rsidR="0008450D">
        <w:t xml:space="preserve">ested prior to 1 January 2013.  A refund of a setting down fee under those continued provisions </w:t>
      </w:r>
      <w:r w:rsidR="00427F1C">
        <w:t>is only</w:t>
      </w:r>
      <w:r w:rsidR="0008450D">
        <w:t xml:space="preserve"> available if the fee was paid before 1</w:t>
      </w:r>
      <w:r w:rsidR="004C7F32">
        <w:t> </w:t>
      </w:r>
      <w:r w:rsidR="0008450D">
        <w:t>January 2013.</w:t>
      </w:r>
    </w:p>
    <w:p w:rsidR="00985346" w:rsidRPr="006E51E4" w:rsidRDefault="00985346" w:rsidP="00DC32D6">
      <w:pPr>
        <w:spacing w:before="0"/>
        <w:ind w:right="91"/>
      </w:pPr>
    </w:p>
    <w:p w:rsidR="00DC32D6" w:rsidRPr="00F27705" w:rsidRDefault="00DC32D6" w:rsidP="0019627C">
      <w:pPr>
        <w:spacing w:before="80"/>
        <w:ind w:right="91"/>
        <w:rPr>
          <w:b/>
          <w:i/>
        </w:rPr>
      </w:pPr>
      <w:r w:rsidRPr="006E51E4">
        <w:rPr>
          <w:b/>
        </w:rPr>
        <w:t xml:space="preserve">Section 5.02 – </w:t>
      </w:r>
      <w:r w:rsidRPr="00F27705">
        <w:rPr>
          <w:b/>
          <w:i/>
        </w:rPr>
        <w:t xml:space="preserve">Federal Magistrates Regulations 2000 </w:t>
      </w:r>
    </w:p>
    <w:p w:rsidR="00DC32D6" w:rsidRPr="006E51E4" w:rsidRDefault="00DC32D6" w:rsidP="00DC32D6">
      <w:pPr>
        <w:spacing w:before="0"/>
        <w:ind w:right="91"/>
      </w:pPr>
    </w:p>
    <w:p w:rsidR="00FE66E2" w:rsidRDefault="005C6A79" w:rsidP="00985346">
      <w:pPr>
        <w:spacing w:before="0"/>
        <w:ind w:right="91"/>
      </w:pPr>
      <w:r>
        <w:t>Subs</w:t>
      </w:r>
      <w:r w:rsidR="00F27705">
        <w:t>ection 5.02</w:t>
      </w:r>
      <w:r>
        <w:t>(1)</w:t>
      </w:r>
      <w:r w:rsidR="00427F1C">
        <w:t xml:space="preserve"> </w:t>
      </w:r>
      <w:r w:rsidR="00F27705">
        <w:t>repeal</w:t>
      </w:r>
      <w:r w:rsidR="00427F1C">
        <w:t>s</w:t>
      </w:r>
      <w:r w:rsidR="00F27705">
        <w:t xml:space="preserve"> the Federal Magistrates</w:t>
      </w:r>
      <w:r w:rsidR="00985346" w:rsidRPr="006E51E4">
        <w:t xml:space="preserve"> Regulations.  </w:t>
      </w:r>
    </w:p>
    <w:p w:rsidR="00FE66E2" w:rsidRDefault="00FE66E2" w:rsidP="00985346">
      <w:pPr>
        <w:spacing w:before="0"/>
        <w:ind w:right="91"/>
      </w:pPr>
    </w:p>
    <w:p w:rsidR="00985346" w:rsidRDefault="00985346" w:rsidP="00985346">
      <w:pPr>
        <w:spacing w:before="0"/>
        <w:ind w:right="91"/>
      </w:pPr>
      <w:r w:rsidRPr="006E51E4">
        <w:t>Subsection 5</w:t>
      </w:r>
      <w:r w:rsidR="00724BD2">
        <w:t>.02(2) provide</w:t>
      </w:r>
      <w:r w:rsidR="00427F1C">
        <w:t>s</w:t>
      </w:r>
      <w:r w:rsidR="00724BD2">
        <w:t xml:space="preserve"> that the Federal Magistrates</w:t>
      </w:r>
      <w:r w:rsidRPr="006E51E4">
        <w:t xml:space="preserve"> Regulations continue to apply to a fee or a service requested prior to 1 January 2013, and that </w:t>
      </w:r>
      <w:r w:rsidR="00FE66E2">
        <w:t>reg</w:t>
      </w:r>
      <w:r w:rsidR="001F44FE">
        <w:t>ulation</w:t>
      </w:r>
      <w:r w:rsidR="00FE66E2">
        <w:t> </w:t>
      </w:r>
      <w:r w:rsidRPr="006E51E4">
        <w:t xml:space="preserve">8 </w:t>
      </w:r>
      <w:r w:rsidR="00351FC2">
        <w:t xml:space="preserve">of the Federal Magistrates Regulations </w:t>
      </w:r>
      <w:r w:rsidRPr="006E51E4">
        <w:t xml:space="preserve">providing for fee exemptions for </w:t>
      </w:r>
      <w:r w:rsidR="00FE66E2">
        <w:t xml:space="preserve">certain </w:t>
      </w:r>
      <w:r w:rsidRPr="006E51E4">
        <w:t>categories of persons</w:t>
      </w:r>
      <w:r w:rsidR="00351FC2">
        <w:t xml:space="preserve"> specified in the Federal Magistrates</w:t>
      </w:r>
      <w:r w:rsidR="00FE66E2">
        <w:t xml:space="preserve"> Regulations</w:t>
      </w:r>
      <w:r w:rsidRPr="006E51E4">
        <w:t>, continue</w:t>
      </w:r>
      <w:r w:rsidR="00427F1C">
        <w:t>s</w:t>
      </w:r>
      <w:r w:rsidRPr="006E51E4">
        <w:t xml:space="preserve"> to apply for</w:t>
      </w:r>
      <w:r w:rsidR="001F44FE">
        <w:t xml:space="preserve"> proceedings commenced before 1 </w:t>
      </w:r>
      <w:r w:rsidRPr="006E51E4">
        <w:t>November 2010.</w:t>
      </w:r>
      <w:r w:rsidR="0008450D">
        <w:t xml:space="preserve">  A refund of a setting </w:t>
      </w:r>
      <w:r w:rsidR="0008450D">
        <w:lastRenderedPageBreak/>
        <w:t xml:space="preserve">down fee under those continued provisions of the Federal Magistrates Regulations </w:t>
      </w:r>
      <w:r w:rsidR="00427F1C">
        <w:t>is only</w:t>
      </w:r>
      <w:r w:rsidR="0008450D">
        <w:t xml:space="preserve"> available if the fee was paid before 1 January 2013.</w:t>
      </w:r>
    </w:p>
    <w:p w:rsidR="002D2F56" w:rsidRDefault="002D2F56" w:rsidP="00DC32D6">
      <w:pPr>
        <w:spacing w:before="0"/>
        <w:ind w:right="91"/>
        <w:rPr>
          <w:u w:val="single"/>
        </w:rPr>
      </w:pPr>
    </w:p>
    <w:p w:rsidR="00DC32D6" w:rsidRDefault="00DC32D6" w:rsidP="0019627C">
      <w:pPr>
        <w:spacing w:before="80"/>
        <w:ind w:right="91"/>
        <w:rPr>
          <w:u w:val="single"/>
        </w:rPr>
      </w:pPr>
      <w:r w:rsidRPr="00DC32D6">
        <w:rPr>
          <w:u w:val="single"/>
        </w:rPr>
        <w:t xml:space="preserve">Schedule 1 </w:t>
      </w:r>
      <w:r w:rsidR="002D2F56" w:rsidRPr="00776E41">
        <w:rPr>
          <w:u w:val="single"/>
        </w:rPr>
        <w:t xml:space="preserve">– </w:t>
      </w:r>
      <w:r w:rsidRPr="00DC32D6">
        <w:rPr>
          <w:u w:val="single"/>
        </w:rPr>
        <w:t>Fees</w:t>
      </w:r>
    </w:p>
    <w:p w:rsidR="002D2F56" w:rsidRDefault="002D2F56" w:rsidP="00DC32D6">
      <w:pPr>
        <w:spacing w:before="0"/>
        <w:ind w:right="91"/>
        <w:rPr>
          <w:u w:val="single"/>
        </w:rPr>
      </w:pPr>
    </w:p>
    <w:p w:rsidR="002D2F56" w:rsidRPr="00DC32D6" w:rsidRDefault="002D2F56" w:rsidP="0019627C">
      <w:pPr>
        <w:spacing w:before="80"/>
        <w:ind w:right="91"/>
        <w:rPr>
          <w:u w:val="single"/>
        </w:rPr>
      </w:pPr>
      <w:r>
        <w:rPr>
          <w:u w:val="single"/>
        </w:rPr>
        <w:t xml:space="preserve">Part 1 </w:t>
      </w:r>
      <w:r w:rsidRPr="00776E41">
        <w:rPr>
          <w:u w:val="single"/>
        </w:rPr>
        <w:t>–</w:t>
      </w:r>
      <w:r>
        <w:rPr>
          <w:u w:val="single"/>
        </w:rPr>
        <w:t xml:space="preserve"> Fees for proceedings in Federal Court</w:t>
      </w:r>
    </w:p>
    <w:p w:rsidR="00DC32D6" w:rsidRDefault="00DC32D6" w:rsidP="00DC32D6">
      <w:pPr>
        <w:spacing w:before="0"/>
        <w:ind w:right="91"/>
      </w:pPr>
    </w:p>
    <w:p w:rsidR="00FF0C51" w:rsidRDefault="00FF0C51" w:rsidP="00DC32D6">
      <w:pPr>
        <w:spacing w:before="0"/>
        <w:ind w:right="91"/>
        <w:rPr>
          <w:szCs w:val="24"/>
        </w:rPr>
      </w:pPr>
      <w:r w:rsidRPr="00FF0C51">
        <w:rPr>
          <w:szCs w:val="24"/>
        </w:rPr>
        <w:t xml:space="preserve">Schedule 1 </w:t>
      </w:r>
      <w:r w:rsidR="00FE66E2">
        <w:rPr>
          <w:szCs w:val="24"/>
        </w:rPr>
        <w:t>list</w:t>
      </w:r>
      <w:r w:rsidR="00427F1C">
        <w:rPr>
          <w:szCs w:val="24"/>
        </w:rPr>
        <w:t>s</w:t>
      </w:r>
      <w:r w:rsidRPr="00FF0C51">
        <w:rPr>
          <w:szCs w:val="24"/>
        </w:rPr>
        <w:t xml:space="preserve"> the fees payable for the filing of documents o</w:t>
      </w:r>
      <w:r w:rsidR="001F44FE">
        <w:rPr>
          <w:szCs w:val="24"/>
        </w:rPr>
        <w:t xml:space="preserve">r provision </w:t>
      </w:r>
      <w:r w:rsidRPr="00FF0C51">
        <w:rPr>
          <w:szCs w:val="24"/>
        </w:rPr>
        <w:t xml:space="preserve">of a service by the </w:t>
      </w:r>
      <w:r w:rsidR="0008450D">
        <w:rPr>
          <w:szCs w:val="24"/>
        </w:rPr>
        <w:t xml:space="preserve">Federal </w:t>
      </w:r>
      <w:r w:rsidRPr="00FF0C51">
        <w:rPr>
          <w:szCs w:val="24"/>
        </w:rPr>
        <w:t>Court</w:t>
      </w:r>
      <w:r w:rsidR="0008450D">
        <w:rPr>
          <w:szCs w:val="24"/>
        </w:rPr>
        <w:t xml:space="preserve"> or the FMC</w:t>
      </w:r>
      <w:r w:rsidRPr="00FF0C51">
        <w:rPr>
          <w:szCs w:val="24"/>
        </w:rPr>
        <w:t xml:space="preserve">. </w:t>
      </w:r>
      <w:r w:rsidR="00F45D76">
        <w:rPr>
          <w:szCs w:val="24"/>
        </w:rPr>
        <w:t xml:space="preserve"> </w:t>
      </w:r>
      <w:r w:rsidR="00427F1C">
        <w:rPr>
          <w:szCs w:val="24"/>
        </w:rPr>
        <w:t>The fees</w:t>
      </w:r>
      <w:r w:rsidR="004949EC">
        <w:rPr>
          <w:szCs w:val="24"/>
        </w:rPr>
        <w:t xml:space="preserve"> </w:t>
      </w:r>
      <w:r w:rsidRPr="00FF0C51">
        <w:rPr>
          <w:szCs w:val="24"/>
        </w:rPr>
        <w:t xml:space="preserve">listed </w:t>
      </w:r>
      <w:r w:rsidR="004949EC">
        <w:rPr>
          <w:szCs w:val="24"/>
        </w:rPr>
        <w:t xml:space="preserve">are </w:t>
      </w:r>
      <w:r w:rsidRPr="00FF0C51">
        <w:rPr>
          <w:szCs w:val="24"/>
        </w:rPr>
        <w:t xml:space="preserve">the fees prescribed under the </w:t>
      </w:r>
      <w:r w:rsidR="00C73075">
        <w:rPr>
          <w:szCs w:val="24"/>
        </w:rPr>
        <w:t xml:space="preserve">Federal Court </w:t>
      </w:r>
      <w:r w:rsidRPr="00FF0C51">
        <w:rPr>
          <w:szCs w:val="24"/>
        </w:rPr>
        <w:t>Regulations</w:t>
      </w:r>
      <w:r w:rsidR="009B5BF4">
        <w:rPr>
          <w:szCs w:val="24"/>
        </w:rPr>
        <w:t xml:space="preserve"> and the Federal Magistrates</w:t>
      </w:r>
      <w:r w:rsidR="00C73075">
        <w:rPr>
          <w:szCs w:val="24"/>
        </w:rPr>
        <w:t xml:space="preserve"> Regulations</w:t>
      </w:r>
      <w:r w:rsidRPr="00FF0C51">
        <w:rPr>
          <w:szCs w:val="24"/>
        </w:rPr>
        <w:t>, as increase</w:t>
      </w:r>
      <w:r w:rsidR="00F45D76">
        <w:rPr>
          <w:szCs w:val="24"/>
        </w:rPr>
        <w:t>d every two years in accordance</w:t>
      </w:r>
      <w:r w:rsidR="00FE66E2">
        <w:rPr>
          <w:szCs w:val="24"/>
        </w:rPr>
        <w:t xml:space="preserve"> with </w:t>
      </w:r>
      <w:r w:rsidR="001F44FE">
        <w:rPr>
          <w:szCs w:val="24"/>
        </w:rPr>
        <w:t xml:space="preserve">regulation </w:t>
      </w:r>
      <w:r w:rsidR="0008450D">
        <w:rPr>
          <w:szCs w:val="24"/>
        </w:rPr>
        <w:t>8</w:t>
      </w:r>
      <w:r w:rsidR="00FE66E2">
        <w:rPr>
          <w:szCs w:val="24"/>
        </w:rPr>
        <w:t xml:space="preserve"> of the Federal Court Regulations and </w:t>
      </w:r>
      <w:r w:rsidR="001F44FE">
        <w:rPr>
          <w:szCs w:val="24"/>
        </w:rPr>
        <w:t xml:space="preserve">regulation </w:t>
      </w:r>
      <w:r w:rsidR="00FE66E2">
        <w:rPr>
          <w:szCs w:val="24"/>
        </w:rPr>
        <w:t xml:space="preserve">14 of </w:t>
      </w:r>
      <w:r w:rsidR="009B5BF4">
        <w:rPr>
          <w:szCs w:val="24"/>
        </w:rPr>
        <w:t>the Federal Magistrates</w:t>
      </w:r>
      <w:r w:rsidR="00FE66E2">
        <w:rPr>
          <w:szCs w:val="24"/>
        </w:rPr>
        <w:t xml:space="preserve"> Regulations, with the following changes:</w:t>
      </w:r>
    </w:p>
    <w:p w:rsidR="00A8420D" w:rsidRDefault="00A8420D" w:rsidP="00DC32D6">
      <w:pPr>
        <w:spacing w:before="0"/>
        <w:ind w:right="91"/>
        <w:rPr>
          <w:szCs w:val="24"/>
        </w:rPr>
      </w:pPr>
    </w:p>
    <w:p w:rsidR="00FE66E2" w:rsidRDefault="00FE66E2" w:rsidP="00724396">
      <w:pPr>
        <w:numPr>
          <w:ilvl w:val="0"/>
          <w:numId w:val="27"/>
        </w:numPr>
        <w:spacing w:before="0"/>
        <w:ind w:right="91"/>
      </w:pPr>
      <w:r w:rsidRPr="00724396">
        <w:t xml:space="preserve">fee amounts </w:t>
      </w:r>
      <w:r w:rsidR="00427F1C">
        <w:t>are</w:t>
      </w:r>
      <w:r w:rsidR="004949EC" w:rsidRPr="00724396">
        <w:t xml:space="preserve"> </w:t>
      </w:r>
      <w:r w:rsidRPr="00724396">
        <w:t>updated to reflect fee i</w:t>
      </w:r>
      <w:r w:rsidR="006567FC">
        <w:t>ncreases as part of the 2012</w:t>
      </w:r>
      <w:r w:rsidR="006567FC">
        <w:noBreakHyphen/>
        <w:t>13 </w:t>
      </w:r>
      <w:r w:rsidRPr="00724396">
        <w:t xml:space="preserve">Budget, with fees generally increased </w:t>
      </w:r>
      <w:r w:rsidR="006567FC">
        <w:t>by 15 percent</w:t>
      </w:r>
      <w:r w:rsidR="004949EC" w:rsidRPr="00724396">
        <w:t xml:space="preserve"> and </w:t>
      </w:r>
      <w:r w:rsidR="007144EA">
        <w:t xml:space="preserve">by </w:t>
      </w:r>
      <w:r w:rsidR="006567FC">
        <w:t>40 percent</w:t>
      </w:r>
      <w:r w:rsidR="007144EA">
        <w:t xml:space="preserve"> for corporations</w:t>
      </w:r>
      <w:r w:rsidR="004949EC" w:rsidRPr="00724396">
        <w:t>.  T</w:t>
      </w:r>
      <w:r w:rsidRPr="00724396">
        <w:t xml:space="preserve">hese increases </w:t>
      </w:r>
      <w:r w:rsidR="00427F1C">
        <w:t>apply</w:t>
      </w:r>
      <w:r w:rsidRPr="00724396">
        <w:t xml:space="preserve"> </w:t>
      </w:r>
      <w:r w:rsidR="004949EC" w:rsidRPr="00724396">
        <w:t xml:space="preserve">to </w:t>
      </w:r>
      <w:r w:rsidRPr="00724396">
        <w:t xml:space="preserve">fee amounts listed in the </w:t>
      </w:r>
      <w:r w:rsidRPr="00724396">
        <w:rPr>
          <w:i/>
        </w:rPr>
        <w:t>Australian Government Notices Gazette</w:t>
      </w:r>
      <w:r w:rsidRPr="00724396">
        <w:t>, No. GN 22, 6 June 2012</w:t>
      </w:r>
    </w:p>
    <w:p w:rsidR="00724396" w:rsidRPr="00724396" w:rsidRDefault="00724396" w:rsidP="00724396">
      <w:pPr>
        <w:spacing w:before="0"/>
        <w:ind w:right="91"/>
      </w:pPr>
    </w:p>
    <w:p w:rsidR="008C6E81" w:rsidRDefault="004949EC" w:rsidP="00724396">
      <w:pPr>
        <w:numPr>
          <w:ilvl w:val="0"/>
          <w:numId w:val="27"/>
        </w:numPr>
        <w:spacing w:before="0"/>
        <w:ind w:right="91"/>
      </w:pPr>
      <w:r w:rsidRPr="00724396">
        <w:t>i</w:t>
      </w:r>
      <w:r w:rsidR="008C6E81" w:rsidRPr="00724396">
        <w:t>ntroduction of a separate fee category for public</w:t>
      </w:r>
      <w:r w:rsidR="006567FC">
        <w:t>ly listed companies, set at 150 percent</w:t>
      </w:r>
      <w:r w:rsidR="008C6E81" w:rsidRPr="00724396">
        <w:t xml:space="preserve"> of t</w:t>
      </w:r>
      <w:r w:rsidR="00FE66E2" w:rsidRPr="00724396">
        <w:t xml:space="preserve">he fee </w:t>
      </w:r>
      <w:r w:rsidRPr="00724396">
        <w:t xml:space="preserve">for a </w:t>
      </w:r>
      <w:r w:rsidR="00FE66E2" w:rsidRPr="00724396">
        <w:t>corporation</w:t>
      </w:r>
    </w:p>
    <w:p w:rsidR="00724396" w:rsidRPr="00724396" w:rsidRDefault="00724396" w:rsidP="00724396">
      <w:pPr>
        <w:spacing w:before="0"/>
        <w:ind w:right="91"/>
      </w:pPr>
    </w:p>
    <w:p w:rsidR="0008343B" w:rsidRDefault="0008343B" w:rsidP="00724396">
      <w:pPr>
        <w:numPr>
          <w:ilvl w:val="0"/>
          <w:numId w:val="27"/>
        </w:numPr>
        <w:spacing w:before="0"/>
        <w:ind w:right="91"/>
      </w:pPr>
      <w:r w:rsidRPr="00724396">
        <w:t>introduction of new fee items as part of the 2012-13 Budget</w:t>
      </w:r>
    </w:p>
    <w:p w:rsidR="00724396" w:rsidRPr="00724396" w:rsidRDefault="00724396" w:rsidP="00724396">
      <w:pPr>
        <w:spacing w:before="0"/>
        <w:ind w:right="91"/>
      </w:pPr>
    </w:p>
    <w:p w:rsidR="00FE66E2" w:rsidRDefault="004949EC" w:rsidP="00724396">
      <w:pPr>
        <w:numPr>
          <w:ilvl w:val="0"/>
          <w:numId w:val="27"/>
        </w:numPr>
        <w:spacing w:before="0"/>
        <w:ind w:right="91"/>
      </w:pPr>
      <w:r w:rsidRPr="00724396">
        <w:t xml:space="preserve">removal of </w:t>
      </w:r>
      <w:r w:rsidR="00FE66E2" w:rsidRPr="00724396">
        <w:t xml:space="preserve">item 5 of Schedule 1 </w:t>
      </w:r>
      <w:r w:rsidR="00E810BF">
        <w:t>to</w:t>
      </w:r>
      <w:r w:rsidR="00FE66E2" w:rsidRPr="00724396">
        <w:t xml:space="preserve"> the Federal Court Regulation</w:t>
      </w:r>
      <w:r w:rsidRPr="00724396">
        <w:t>s</w:t>
      </w:r>
      <w:r w:rsidR="00FE66E2" w:rsidRPr="00724396">
        <w:t xml:space="preserve"> which specifies a fee for filing an election petition under Schedule 4 to the </w:t>
      </w:r>
      <w:r w:rsidR="00FE66E2" w:rsidRPr="00724396">
        <w:rPr>
          <w:i/>
        </w:rPr>
        <w:t>Aboriginal and Torres Strait Islander Act 2005</w:t>
      </w:r>
      <w:r w:rsidRPr="00724396">
        <w:t>;</w:t>
      </w:r>
      <w:r w:rsidR="00C955F6" w:rsidRPr="00724396">
        <w:t xml:space="preserve"> </w:t>
      </w:r>
      <w:r w:rsidR="00FE66E2" w:rsidRPr="00724396">
        <w:t>no fee</w:t>
      </w:r>
      <w:r w:rsidR="00047D47" w:rsidRPr="00724396">
        <w:t>s are payable for these matters, and</w:t>
      </w:r>
    </w:p>
    <w:p w:rsidR="00724396" w:rsidRPr="00724396" w:rsidRDefault="00724396" w:rsidP="00724396">
      <w:pPr>
        <w:spacing w:before="0"/>
        <w:ind w:right="91"/>
      </w:pPr>
    </w:p>
    <w:p w:rsidR="0008343B" w:rsidRPr="00724396" w:rsidRDefault="0008343B" w:rsidP="00724396">
      <w:pPr>
        <w:numPr>
          <w:ilvl w:val="0"/>
          <w:numId w:val="27"/>
        </w:numPr>
        <w:spacing w:before="0"/>
        <w:ind w:right="91"/>
      </w:pPr>
      <w:r w:rsidRPr="00724396">
        <w:t>removal of the reduced fee.</w:t>
      </w:r>
    </w:p>
    <w:p w:rsidR="00FE66E2" w:rsidRDefault="00FE66E2" w:rsidP="00DC32D6">
      <w:pPr>
        <w:spacing w:before="0"/>
        <w:ind w:right="91"/>
      </w:pPr>
    </w:p>
    <w:p w:rsidR="00FE66E2" w:rsidRDefault="00E952D1" w:rsidP="00DC32D6">
      <w:pPr>
        <w:spacing w:before="0"/>
        <w:ind w:right="91"/>
      </w:pPr>
      <w:r>
        <w:t>S</w:t>
      </w:r>
      <w:r w:rsidR="00FE66E2">
        <w:t xml:space="preserve">pecific changes </w:t>
      </w:r>
      <w:r w:rsidR="00047D47">
        <w:t xml:space="preserve">to fee items </w:t>
      </w:r>
      <w:r w:rsidR="00564D55">
        <w:t xml:space="preserve">and new fee items </w:t>
      </w:r>
      <w:r w:rsidR="00FE66E2">
        <w:t>are set out below.</w:t>
      </w:r>
    </w:p>
    <w:p w:rsidR="00250FB8" w:rsidRDefault="00250FB8" w:rsidP="00FF0C51">
      <w:pPr>
        <w:spacing w:before="0"/>
        <w:ind w:right="91"/>
        <w:rPr>
          <w:szCs w:val="24"/>
        </w:rPr>
      </w:pPr>
    </w:p>
    <w:p w:rsidR="00047D47" w:rsidRDefault="00047D47" w:rsidP="00047D47">
      <w:pPr>
        <w:spacing w:before="0"/>
        <w:ind w:right="91"/>
        <w:rPr>
          <w:i/>
          <w:szCs w:val="24"/>
        </w:rPr>
      </w:pPr>
      <w:r w:rsidRPr="00FF0C51">
        <w:rPr>
          <w:i/>
          <w:szCs w:val="24"/>
        </w:rPr>
        <w:t xml:space="preserve">Item </w:t>
      </w:r>
      <w:r w:rsidR="00770215">
        <w:rPr>
          <w:i/>
          <w:szCs w:val="24"/>
        </w:rPr>
        <w:t>105 – F</w:t>
      </w:r>
      <w:r>
        <w:rPr>
          <w:i/>
          <w:szCs w:val="24"/>
        </w:rPr>
        <w:t>iling of a bill of costs</w:t>
      </w:r>
    </w:p>
    <w:p w:rsidR="00047D47" w:rsidRDefault="00047D47" w:rsidP="00047D47">
      <w:pPr>
        <w:spacing w:before="0"/>
        <w:ind w:right="91"/>
        <w:rPr>
          <w:i/>
          <w:szCs w:val="24"/>
        </w:rPr>
      </w:pPr>
    </w:p>
    <w:p w:rsidR="00047D47" w:rsidRPr="00335BC5" w:rsidRDefault="00047D47" w:rsidP="00047D47">
      <w:pPr>
        <w:spacing w:before="0"/>
        <w:ind w:right="91"/>
        <w:rPr>
          <w:szCs w:val="24"/>
        </w:rPr>
      </w:pPr>
      <w:r>
        <w:rPr>
          <w:szCs w:val="24"/>
        </w:rPr>
        <w:t xml:space="preserve">This item </w:t>
      </w:r>
      <w:r w:rsidRPr="00335BC5">
        <w:rPr>
          <w:szCs w:val="24"/>
        </w:rPr>
        <w:t>introduce</w:t>
      </w:r>
      <w:r w:rsidR="00E952D1">
        <w:rPr>
          <w:szCs w:val="24"/>
        </w:rPr>
        <w:t>s</w:t>
      </w:r>
      <w:r w:rsidRPr="00335BC5">
        <w:rPr>
          <w:szCs w:val="24"/>
        </w:rPr>
        <w:t xml:space="preserve"> a fee for the filing o</w:t>
      </w:r>
      <w:r w:rsidR="0008450D">
        <w:rPr>
          <w:szCs w:val="24"/>
        </w:rPr>
        <w:t>f a bill of costs</w:t>
      </w:r>
      <w:r w:rsidRPr="00335BC5">
        <w:rPr>
          <w:szCs w:val="24"/>
        </w:rPr>
        <w:t xml:space="preserve">.  </w:t>
      </w:r>
      <w:r>
        <w:rPr>
          <w:szCs w:val="24"/>
        </w:rPr>
        <w:t xml:space="preserve">There is no separate fee for </w:t>
      </w:r>
      <w:r w:rsidRPr="00335BC5">
        <w:rPr>
          <w:szCs w:val="24"/>
        </w:rPr>
        <w:t>corporations</w:t>
      </w:r>
      <w:r>
        <w:rPr>
          <w:szCs w:val="24"/>
        </w:rPr>
        <w:t xml:space="preserve"> or publicly listed companies</w:t>
      </w:r>
      <w:r w:rsidRPr="00335BC5">
        <w:rPr>
          <w:szCs w:val="24"/>
        </w:rPr>
        <w:t>.</w:t>
      </w:r>
    </w:p>
    <w:p w:rsidR="00047D47" w:rsidRDefault="00047D47" w:rsidP="00AF7B5B">
      <w:pPr>
        <w:spacing w:before="0"/>
        <w:ind w:right="91"/>
        <w:rPr>
          <w:i/>
          <w:szCs w:val="24"/>
        </w:rPr>
      </w:pPr>
    </w:p>
    <w:p w:rsidR="00AF7B5B" w:rsidRPr="008275B2" w:rsidRDefault="00AF7B5B" w:rsidP="00AF7B5B">
      <w:pPr>
        <w:spacing w:before="0"/>
        <w:ind w:right="91"/>
        <w:rPr>
          <w:i/>
          <w:szCs w:val="24"/>
        </w:rPr>
      </w:pPr>
      <w:r w:rsidRPr="008275B2">
        <w:rPr>
          <w:i/>
          <w:szCs w:val="24"/>
        </w:rPr>
        <w:t>Item 115 –</w:t>
      </w:r>
      <w:r w:rsidR="00047D47">
        <w:rPr>
          <w:i/>
          <w:szCs w:val="24"/>
        </w:rPr>
        <w:t xml:space="preserve"> </w:t>
      </w:r>
      <w:r w:rsidR="00770215">
        <w:rPr>
          <w:i/>
          <w:szCs w:val="24"/>
        </w:rPr>
        <w:t>U</w:t>
      </w:r>
      <w:r w:rsidRPr="008275B2">
        <w:rPr>
          <w:i/>
          <w:szCs w:val="24"/>
        </w:rPr>
        <w:t xml:space="preserve">rgent </w:t>
      </w:r>
      <w:r w:rsidR="00047D47">
        <w:rPr>
          <w:i/>
          <w:szCs w:val="24"/>
        </w:rPr>
        <w:t>applications without notice</w:t>
      </w:r>
    </w:p>
    <w:p w:rsidR="004800BB" w:rsidRDefault="004800BB" w:rsidP="00AF7B5B">
      <w:pPr>
        <w:spacing w:before="0"/>
        <w:ind w:right="91"/>
        <w:rPr>
          <w:szCs w:val="24"/>
        </w:rPr>
      </w:pPr>
    </w:p>
    <w:p w:rsidR="004800BB" w:rsidRDefault="004800BB" w:rsidP="004800BB">
      <w:pPr>
        <w:spacing w:before="0"/>
        <w:ind w:right="91"/>
        <w:rPr>
          <w:szCs w:val="24"/>
        </w:rPr>
      </w:pPr>
      <w:r w:rsidRPr="00047D47">
        <w:rPr>
          <w:szCs w:val="24"/>
        </w:rPr>
        <w:t xml:space="preserve">This item </w:t>
      </w:r>
      <w:r w:rsidR="00047D47">
        <w:rPr>
          <w:szCs w:val="24"/>
        </w:rPr>
        <w:t>introduce</w:t>
      </w:r>
      <w:r w:rsidR="00E952D1">
        <w:rPr>
          <w:szCs w:val="24"/>
        </w:rPr>
        <w:t>s</w:t>
      </w:r>
      <w:r w:rsidRPr="00047D47">
        <w:rPr>
          <w:szCs w:val="24"/>
        </w:rPr>
        <w:t xml:space="preserve"> a fee for urgent pre-filing injunctions namely:</w:t>
      </w:r>
    </w:p>
    <w:p w:rsidR="00A8420D" w:rsidRPr="00047D47" w:rsidRDefault="00A8420D" w:rsidP="004800BB">
      <w:pPr>
        <w:spacing w:before="0"/>
        <w:ind w:right="91"/>
        <w:rPr>
          <w:szCs w:val="24"/>
        </w:rPr>
      </w:pPr>
    </w:p>
    <w:p w:rsidR="004800BB" w:rsidRDefault="004800BB" w:rsidP="00047D47">
      <w:pPr>
        <w:numPr>
          <w:ilvl w:val="0"/>
          <w:numId w:val="23"/>
        </w:numPr>
        <w:spacing w:before="0"/>
        <w:ind w:right="91"/>
        <w:rPr>
          <w:szCs w:val="24"/>
        </w:rPr>
      </w:pPr>
      <w:r w:rsidRPr="00047D47">
        <w:rPr>
          <w:szCs w:val="24"/>
        </w:rPr>
        <w:t>for the detention, custody, preservation or inspection of property</w:t>
      </w:r>
    </w:p>
    <w:p w:rsidR="00A8420D" w:rsidRPr="00047D47" w:rsidRDefault="00A8420D" w:rsidP="00A8420D">
      <w:pPr>
        <w:spacing w:before="0"/>
        <w:ind w:left="1080" w:right="91"/>
        <w:rPr>
          <w:szCs w:val="24"/>
        </w:rPr>
      </w:pPr>
    </w:p>
    <w:p w:rsidR="004800BB" w:rsidRDefault="004800BB" w:rsidP="00047D47">
      <w:pPr>
        <w:numPr>
          <w:ilvl w:val="0"/>
          <w:numId w:val="23"/>
        </w:numPr>
        <w:spacing w:before="0"/>
        <w:ind w:right="91"/>
        <w:rPr>
          <w:szCs w:val="24"/>
        </w:rPr>
      </w:pPr>
      <w:r w:rsidRPr="00047D47">
        <w:rPr>
          <w:szCs w:val="24"/>
        </w:rPr>
        <w:t>to authorise any person to enter any land, or do any other act or thing, for the purpose of giving effect to the order, or</w:t>
      </w:r>
    </w:p>
    <w:p w:rsidR="00A8420D" w:rsidRPr="00047D47" w:rsidRDefault="00A8420D" w:rsidP="00A8420D">
      <w:pPr>
        <w:spacing w:before="0"/>
        <w:ind w:right="91"/>
        <w:rPr>
          <w:szCs w:val="24"/>
        </w:rPr>
      </w:pPr>
    </w:p>
    <w:p w:rsidR="004800BB" w:rsidRPr="00047D47" w:rsidRDefault="004800BB" w:rsidP="00047D47">
      <w:pPr>
        <w:numPr>
          <w:ilvl w:val="0"/>
          <w:numId w:val="23"/>
        </w:numPr>
        <w:spacing w:before="0"/>
        <w:ind w:right="91"/>
        <w:rPr>
          <w:szCs w:val="24"/>
        </w:rPr>
      </w:pPr>
      <w:r w:rsidRPr="00047D47">
        <w:rPr>
          <w:szCs w:val="24"/>
        </w:rPr>
        <w:t xml:space="preserve">if the matter relates to the right of a prospective applicant to an amount in a fund </w:t>
      </w:r>
      <w:r w:rsidR="00047D47">
        <w:rPr>
          <w:szCs w:val="24"/>
        </w:rPr>
        <w:t xml:space="preserve">- </w:t>
      </w:r>
      <w:r w:rsidRPr="00047D47">
        <w:rPr>
          <w:szCs w:val="24"/>
        </w:rPr>
        <w:t>that the amount in the fund</w:t>
      </w:r>
      <w:r w:rsidR="00E810BF">
        <w:rPr>
          <w:szCs w:val="24"/>
        </w:rPr>
        <w:t xml:space="preserve"> be paid into c</w:t>
      </w:r>
      <w:r w:rsidRPr="00047D47">
        <w:rPr>
          <w:szCs w:val="24"/>
        </w:rPr>
        <w:t>ourt or otherwise secured.</w:t>
      </w:r>
    </w:p>
    <w:p w:rsidR="004800BB" w:rsidRDefault="004800BB" w:rsidP="00AF7B5B">
      <w:pPr>
        <w:spacing w:before="0"/>
        <w:ind w:right="91"/>
        <w:rPr>
          <w:szCs w:val="24"/>
        </w:rPr>
      </w:pPr>
    </w:p>
    <w:p w:rsidR="0008450D" w:rsidRPr="002D2F56" w:rsidRDefault="00047D47" w:rsidP="004800BB">
      <w:pPr>
        <w:spacing w:before="0"/>
        <w:ind w:right="91"/>
        <w:rPr>
          <w:szCs w:val="24"/>
        </w:rPr>
      </w:pPr>
      <w:r>
        <w:rPr>
          <w:szCs w:val="24"/>
        </w:rPr>
        <w:t xml:space="preserve">These orders reflect the orders that can be sought </w:t>
      </w:r>
      <w:r w:rsidRPr="00047D47">
        <w:rPr>
          <w:szCs w:val="24"/>
        </w:rPr>
        <w:t xml:space="preserve">under </w:t>
      </w:r>
      <w:r w:rsidR="00786220">
        <w:rPr>
          <w:szCs w:val="24"/>
        </w:rPr>
        <w:t>sub-</w:t>
      </w:r>
      <w:r w:rsidRPr="00047D47">
        <w:rPr>
          <w:szCs w:val="24"/>
        </w:rPr>
        <w:t>r</w:t>
      </w:r>
      <w:r w:rsidR="00C955F6">
        <w:rPr>
          <w:szCs w:val="24"/>
        </w:rPr>
        <w:t>ules</w:t>
      </w:r>
      <w:r w:rsidRPr="00047D47">
        <w:rPr>
          <w:szCs w:val="24"/>
        </w:rPr>
        <w:t xml:space="preserve"> 7.01(b) and (c) of the </w:t>
      </w:r>
      <w:r w:rsidRPr="00047D47">
        <w:rPr>
          <w:i/>
          <w:szCs w:val="24"/>
        </w:rPr>
        <w:t>Federal Court Rules 2011</w:t>
      </w:r>
      <w:r w:rsidR="007943D9">
        <w:rPr>
          <w:i/>
          <w:szCs w:val="24"/>
        </w:rPr>
        <w:t xml:space="preserve"> </w:t>
      </w:r>
      <w:r w:rsidR="007943D9">
        <w:rPr>
          <w:szCs w:val="24"/>
        </w:rPr>
        <w:t>(the Federal Court Rules)</w:t>
      </w:r>
      <w:r>
        <w:rPr>
          <w:szCs w:val="24"/>
        </w:rPr>
        <w:t>.</w:t>
      </w:r>
    </w:p>
    <w:p w:rsidR="0008450D" w:rsidRDefault="0008450D" w:rsidP="004800BB">
      <w:pPr>
        <w:spacing w:before="0"/>
        <w:ind w:right="91"/>
        <w:rPr>
          <w:i/>
          <w:szCs w:val="24"/>
        </w:rPr>
      </w:pPr>
    </w:p>
    <w:p w:rsidR="004800BB" w:rsidRPr="00047D47" w:rsidRDefault="00047D47" w:rsidP="004800BB">
      <w:pPr>
        <w:spacing w:before="0"/>
        <w:ind w:right="91"/>
        <w:rPr>
          <w:i/>
          <w:szCs w:val="24"/>
        </w:rPr>
      </w:pPr>
      <w:r>
        <w:rPr>
          <w:i/>
          <w:szCs w:val="24"/>
        </w:rPr>
        <w:t>Item 115A</w:t>
      </w:r>
      <w:r w:rsidR="004800BB" w:rsidRPr="00047D47">
        <w:rPr>
          <w:i/>
          <w:szCs w:val="24"/>
        </w:rPr>
        <w:t xml:space="preserve"> </w:t>
      </w:r>
      <w:r w:rsidR="00770215">
        <w:rPr>
          <w:i/>
          <w:szCs w:val="24"/>
        </w:rPr>
        <w:t>- O</w:t>
      </w:r>
      <w:r>
        <w:rPr>
          <w:i/>
          <w:szCs w:val="24"/>
        </w:rPr>
        <w:t>rders restraining or preventing a person from dealing with property</w:t>
      </w:r>
    </w:p>
    <w:p w:rsidR="004800BB" w:rsidRPr="00047D47" w:rsidRDefault="004800BB" w:rsidP="00AF7B5B">
      <w:pPr>
        <w:spacing w:before="0"/>
        <w:ind w:right="91"/>
        <w:rPr>
          <w:szCs w:val="24"/>
        </w:rPr>
      </w:pPr>
    </w:p>
    <w:p w:rsidR="00AA1378" w:rsidRDefault="004800BB" w:rsidP="00AF7B5B">
      <w:pPr>
        <w:spacing w:before="0"/>
        <w:ind w:right="91"/>
        <w:rPr>
          <w:szCs w:val="24"/>
        </w:rPr>
      </w:pPr>
      <w:r w:rsidRPr="00047D47">
        <w:rPr>
          <w:szCs w:val="24"/>
        </w:rPr>
        <w:t xml:space="preserve">This item </w:t>
      </w:r>
      <w:r w:rsidR="00047D47">
        <w:rPr>
          <w:szCs w:val="24"/>
        </w:rPr>
        <w:t>introduce</w:t>
      </w:r>
      <w:r w:rsidR="00E952D1">
        <w:rPr>
          <w:szCs w:val="24"/>
        </w:rPr>
        <w:t>s</w:t>
      </w:r>
      <w:r w:rsidRPr="00047D47">
        <w:rPr>
          <w:szCs w:val="24"/>
        </w:rPr>
        <w:t xml:space="preserve"> a fee for an </w:t>
      </w:r>
      <w:r w:rsidR="00125841" w:rsidRPr="00047D47">
        <w:rPr>
          <w:szCs w:val="24"/>
        </w:rPr>
        <w:t xml:space="preserve">application for an </w:t>
      </w:r>
      <w:r w:rsidRPr="00047D47">
        <w:rPr>
          <w:szCs w:val="24"/>
        </w:rPr>
        <w:t xml:space="preserve">order </w:t>
      </w:r>
      <w:r w:rsidR="00047D47">
        <w:rPr>
          <w:szCs w:val="24"/>
        </w:rPr>
        <w:t>to restrain a person from dealing with assets.</w:t>
      </w:r>
      <w:r w:rsidR="00AA1378">
        <w:rPr>
          <w:szCs w:val="24"/>
        </w:rPr>
        <w:t xml:space="preserve">  This item also </w:t>
      </w:r>
      <w:r w:rsidR="00E952D1">
        <w:rPr>
          <w:szCs w:val="24"/>
        </w:rPr>
        <w:t>introduces</w:t>
      </w:r>
      <w:r w:rsidR="00AA1378">
        <w:rPr>
          <w:szCs w:val="24"/>
        </w:rPr>
        <w:t xml:space="preserve"> a fee for an applicati</w:t>
      </w:r>
      <w:r w:rsidR="00E810BF">
        <w:rPr>
          <w:szCs w:val="24"/>
        </w:rPr>
        <w:t>on for an order to prevent the c</w:t>
      </w:r>
      <w:r w:rsidR="00AA1378">
        <w:rPr>
          <w:szCs w:val="24"/>
        </w:rPr>
        <w:t>ourt</w:t>
      </w:r>
      <w:r w:rsidR="00FF4A62">
        <w:rPr>
          <w:szCs w:val="24"/>
        </w:rPr>
        <w:t xml:space="preserve">’s </w:t>
      </w:r>
      <w:r w:rsidR="009F6AE0">
        <w:rPr>
          <w:szCs w:val="24"/>
        </w:rPr>
        <w:t>process being</w:t>
      </w:r>
      <w:r w:rsidR="006B5551">
        <w:rPr>
          <w:szCs w:val="24"/>
        </w:rPr>
        <w:t xml:space="preserve"> frustrated or inhibited by</w:t>
      </w:r>
      <w:r w:rsidR="009F6AE0">
        <w:rPr>
          <w:szCs w:val="24"/>
        </w:rPr>
        <w:t xml:space="preserve"> a judgement or prospective judgement of</w:t>
      </w:r>
      <w:r w:rsidR="006B5551">
        <w:rPr>
          <w:szCs w:val="24"/>
        </w:rPr>
        <w:t xml:space="preserve"> the </w:t>
      </w:r>
      <w:r w:rsidR="00E810BF">
        <w:rPr>
          <w:szCs w:val="24"/>
        </w:rPr>
        <w:t>c</w:t>
      </w:r>
      <w:r w:rsidR="006B5551">
        <w:rPr>
          <w:szCs w:val="24"/>
        </w:rPr>
        <w:t>ourt</w:t>
      </w:r>
      <w:r w:rsidR="009F6AE0">
        <w:rPr>
          <w:szCs w:val="24"/>
        </w:rPr>
        <w:t xml:space="preserve"> be</w:t>
      </w:r>
      <w:r w:rsidR="006B5551">
        <w:rPr>
          <w:szCs w:val="24"/>
        </w:rPr>
        <w:t>ing</w:t>
      </w:r>
      <w:r w:rsidR="009F6AE0">
        <w:rPr>
          <w:szCs w:val="24"/>
        </w:rPr>
        <w:t xml:space="preserve"> wholly or partly unsatisfied.</w:t>
      </w:r>
      <w:r w:rsidR="00047D47">
        <w:rPr>
          <w:szCs w:val="24"/>
        </w:rPr>
        <w:t xml:space="preserve">  </w:t>
      </w:r>
    </w:p>
    <w:p w:rsidR="00AA1378" w:rsidRDefault="00AA1378" w:rsidP="00AF7B5B">
      <w:pPr>
        <w:spacing w:before="0"/>
        <w:ind w:right="91"/>
        <w:rPr>
          <w:szCs w:val="24"/>
        </w:rPr>
      </w:pPr>
    </w:p>
    <w:p w:rsidR="00125841" w:rsidRDefault="00125841" w:rsidP="00AF7B5B">
      <w:pPr>
        <w:spacing w:before="0"/>
        <w:ind w:right="91"/>
        <w:rPr>
          <w:szCs w:val="24"/>
        </w:rPr>
      </w:pPr>
      <w:r w:rsidRPr="00047D47">
        <w:rPr>
          <w:szCs w:val="24"/>
        </w:rPr>
        <w:t xml:space="preserve">This </w:t>
      </w:r>
      <w:r w:rsidR="00047D47">
        <w:rPr>
          <w:szCs w:val="24"/>
        </w:rPr>
        <w:t xml:space="preserve">fee item would be </w:t>
      </w:r>
      <w:r w:rsidRPr="00047D47">
        <w:rPr>
          <w:szCs w:val="24"/>
        </w:rPr>
        <w:t>charged for such application</w:t>
      </w:r>
      <w:r w:rsidR="009F6AE0">
        <w:rPr>
          <w:szCs w:val="24"/>
        </w:rPr>
        <w:t>s</w:t>
      </w:r>
      <w:r w:rsidRPr="00047D47">
        <w:rPr>
          <w:szCs w:val="24"/>
        </w:rPr>
        <w:t xml:space="preserve"> in any proceeding or in anticip</w:t>
      </w:r>
      <w:r w:rsidR="00770215">
        <w:rPr>
          <w:szCs w:val="24"/>
        </w:rPr>
        <w:t>ation of any proceeding in the c</w:t>
      </w:r>
      <w:r w:rsidRPr="00047D47">
        <w:rPr>
          <w:szCs w:val="24"/>
        </w:rPr>
        <w:t>ourt, with or without notice.</w:t>
      </w:r>
    </w:p>
    <w:p w:rsidR="00047D47" w:rsidRDefault="00047D47" w:rsidP="00AF7B5B">
      <w:pPr>
        <w:spacing w:before="0"/>
        <w:ind w:right="91"/>
        <w:rPr>
          <w:szCs w:val="24"/>
        </w:rPr>
      </w:pPr>
    </w:p>
    <w:p w:rsidR="00047D47" w:rsidRDefault="00047D47" w:rsidP="00047D47">
      <w:pPr>
        <w:spacing w:before="0"/>
        <w:ind w:right="91"/>
        <w:rPr>
          <w:szCs w:val="24"/>
        </w:rPr>
      </w:pPr>
      <w:r>
        <w:rPr>
          <w:szCs w:val="24"/>
        </w:rPr>
        <w:t>These orders reflect freezing orders that can be sought under r</w:t>
      </w:r>
      <w:r w:rsidR="00786220">
        <w:rPr>
          <w:szCs w:val="24"/>
        </w:rPr>
        <w:t>ule</w:t>
      </w:r>
      <w:r>
        <w:rPr>
          <w:szCs w:val="24"/>
        </w:rPr>
        <w:t xml:space="preserve"> 7.32 of the </w:t>
      </w:r>
      <w:r w:rsidRPr="00770215">
        <w:rPr>
          <w:szCs w:val="24"/>
        </w:rPr>
        <w:t>Federal Court Rules</w:t>
      </w:r>
      <w:r>
        <w:rPr>
          <w:szCs w:val="24"/>
        </w:rPr>
        <w:t>.</w:t>
      </w:r>
    </w:p>
    <w:p w:rsidR="004800BB" w:rsidRDefault="004800BB" w:rsidP="00AF7B5B">
      <w:pPr>
        <w:spacing w:before="0"/>
        <w:ind w:right="91"/>
        <w:rPr>
          <w:szCs w:val="24"/>
        </w:rPr>
      </w:pPr>
    </w:p>
    <w:p w:rsidR="00047D47" w:rsidRDefault="00047D47" w:rsidP="00770215">
      <w:pPr>
        <w:keepNext/>
        <w:spacing w:before="0"/>
        <w:ind w:right="91"/>
        <w:rPr>
          <w:i/>
          <w:szCs w:val="24"/>
        </w:rPr>
      </w:pPr>
      <w:r>
        <w:rPr>
          <w:i/>
          <w:szCs w:val="24"/>
        </w:rPr>
        <w:t>Item 115B</w:t>
      </w:r>
      <w:r w:rsidRPr="00047D47">
        <w:rPr>
          <w:i/>
          <w:szCs w:val="24"/>
        </w:rPr>
        <w:t xml:space="preserve"> </w:t>
      </w:r>
      <w:r w:rsidR="00770215">
        <w:rPr>
          <w:i/>
          <w:szCs w:val="24"/>
        </w:rPr>
        <w:t>- O</w:t>
      </w:r>
      <w:r>
        <w:rPr>
          <w:i/>
          <w:szCs w:val="24"/>
        </w:rPr>
        <w:t>rders securing or preserving evidence</w:t>
      </w:r>
    </w:p>
    <w:p w:rsidR="00047D47" w:rsidRDefault="00047D47" w:rsidP="00047D47">
      <w:pPr>
        <w:spacing w:before="0"/>
        <w:ind w:right="91"/>
        <w:rPr>
          <w:i/>
          <w:szCs w:val="24"/>
        </w:rPr>
      </w:pPr>
    </w:p>
    <w:p w:rsidR="00047D47" w:rsidRDefault="00047D47" w:rsidP="00047D47">
      <w:pPr>
        <w:spacing w:before="0"/>
        <w:ind w:right="91"/>
        <w:rPr>
          <w:szCs w:val="24"/>
        </w:rPr>
      </w:pPr>
      <w:r w:rsidRPr="00047D47">
        <w:rPr>
          <w:szCs w:val="24"/>
        </w:rPr>
        <w:t xml:space="preserve">This item </w:t>
      </w:r>
      <w:r w:rsidR="00E952D1">
        <w:rPr>
          <w:szCs w:val="24"/>
        </w:rPr>
        <w:t xml:space="preserve">introduces </w:t>
      </w:r>
      <w:r w:rsidRPr="00047D47">
        <w:rPr>
          <w:szCs w:val="24"/>
        </w:rPr>
        <w:t>a fee for an application</w:t>
      </w:r>
      <w:r w:rsidR="00786220">
        <w:rPr>
          <w:szCs w:val="24"/>
        </w:rPr>
        <w:t xml:space="preserve"> </w:t>
      </w:r>
      <w:r w:rsidRPr="00047D47">
        <w:rPr>
          <w:szCs w:val="24"/>
        </w:rPr>
        <w:t xml:space="preserve">for an order </w:t>
      </w:r>
      <w:r>
        <w:rPr>
          <w:szCs w:val="24"/>
        </w:rPr>
        <w:t xml:space="preserve">to secure </w:t>
      </w:r>
      <w:r w:rsidRPr="00047D47">
        <w:rPr>
          <w:szCs w:val="24"/>
        </w:rPr>
        <w:t xml:space="preserve">or </w:t>
      </w:r>
      <w:r>
        <w:rPr>
          <w:szCs w:val="24"/>
        </w:rPr>
        <w:t xml:space="preserve">preserve evidence.  </w:t>
      </w:r>
      <w:r w:rsidRPr="00047D47">
        <w:rPr>
          <w:szCs w:val="24"/>
        </w:rPr>
        <w:t xml:space="preserve">This </w:t>
      </w:r>
      <w:r>
        <w:rPr>
          <w:szCs w:val="24"/>
        </w:rPr>
        <w:t xml:space="preserve">fee item would be </w:t>
      </w:r>
      <w:r w:rsidRPr="00047D47">
        <w:rPr>
          <w:szCs w:val="24"/>
        </w:rPr>
        <w:t>charged for such application in any proceeding or in anticip</w:t>
      </w:r>
      <w:r w:rsidR="00770215">
        <w:rPr>
          <w:szCs w:val="24"/>
        </w:rPr>
        <w:t>ation of any proceeding in the c</w:t>
      </w:r>
      <w:r w:rsidRPr="00047D47">
        <w:rPr>
          <w:szCs w:val="24"/>
        </w:rPr>
        <w:t>ourt, with or without notice.</w:t>
      </w:r>
    </w:p>
    <w:p w:rsidR="00047D47" w:rsidRDefault="00047D47" w:rsidP="00047D47">
      <w:pPr>
        <w:spacing w:before="0"/>
        <w:ind w:right="91"/>
        <w:rPr>
          <w:i/>
          <w:szCs w:val="24"/>
        </w:rPr>
      </w:pPr>
    </w:p>
    <w:p w:rsidR="00047D47" w:rsidRDefault="00047D47" w:rsidP="00047D47">
      <w:pPr>
        <w:spacing w:before="0"/>
        <w:ind w:right="91"/>
        <w:rPr>
          <w:szCs w:val="24"/>
        </w:rPr>
      </w:pPr>
      <w:r>
        <w:rPr>
          <w:szCs w:val="24"/>
        </w:rPr>
        <w:t xml:space="preserve">These orders reflect search orders that can be sought </w:t>
      </w:r>
      <w:r w:rsidRPr="00047D47">
        <w:rPr>
          <w:szCs w:val="24"/>
        </w:rPr>
        <w:t>under r</w:t>
      </w:r>
      <w:r w:rsidR="00786220">
        <w:rPr>
          <w:szCs w:val="24"/>
        </w:rPr>
        <w:t>ule</w:t>
      </w:r>
      <w:r w:rsidRPr="00047D47">
        <w:rPr>
          <w:szCs w:val="24"/>
        </w:rPr>
        <w:t> 7.</w:t>
      </w:r>
      <w:r>
        <w:rPr>
          <w:szCs w:val="24"/>
        </w:rPr>
        <w:t xml:space="preserve">42 </w:t>
      </w:r>
      <w:r w:rsidRPr="00047D47">
        <w:rPr>
          <w:szCs w:val="24"/>
        </w:rPr>
        <w:t xml:space="preserve">of the </w:t>
      </w:r>
      <w:r w:rsidRPr="00770215">
        <w:rPr>
          <w:szCs w:val="24"/>
        </w:rPr>
        <w:t>Federal Court Rules</w:t>
      </w:r>
      <w:r>
        <w:rPr>
          <w:szCs w:val="24"/>
        </w:rPr>
        <w:t>.</w:t>
      </w:r>
    </w:p>
    <w:p w:rsidR="00047D47" w:rsidRDefault="00047D47" w:rsidP="00AF7B5B">
      <w:pPr>
        <w:spacing w:before="0"/>
        <w:ind w:right="91"/>
        <w:rPr>
          <w:szCs w:val="24"/>
        </w:rPr>
      </w:pPr>
    </w:p>
    <w:p w:rsidR="00AF7B5B" w:rsidRDefault="00AF7B5B" w:rsidP="00AF7B5B">
      <w:pPr>
        <w:spacing w:before="0"/>
        <w:ind w:right="91"/>
        <w:rPr>
          <w:i/>
          <w:szCs w:val="24"/>
        </w:rPr>
      </w:pPr>
      <w:r>
        <w:rPr>
          <w:i/>
          <w:szCs w:val="24"/>
        </w:rPr>
        <w:t>Item 117 – For the hearing of an application under subsection 35A(5) of the Federal Court Act</w:t>
      </w:r>
    </w:p>
    <w:p w:rsidR="00AF7B5B" w:rsidRDefault="00AF7B5B" w:rsidP="00AF7B5B">
      <w:pPr>
        <w:spacing w:before="0"/>
        <w:ind w:right="91"/>
        <w:rPr>
          <w:i/>
          <w:szCs w:val="24"/>
        </w:rPr>
      </w:pPr>
    </w:p>
    <w:p w:rsidR="00AF7B5B" w:rsidRDefault="00AF7B5B" w:rsidP="00AF7B5B">
      <w:pPr>
        <w:spacing w:before="0"/>
        <w:ind w:right="91"/>
        <w:rPr>
          <w:szCs w:val="24"/>
        </w:rPr>
      </w:pPr>
      <w:r>
        <w:rPr>
          <w:szCs w:val="24"/>
        </w:rPr>
        <w:t xml:space="preserve">This item </w:t>
      </w:r>
      <w:r w:rsidR="00E952D1">
        <w:rPr>
          <w:szCs w:val="24"/>
        </w:rPr>
        <w:t>u</w:t>
      </w:r>
      <w:r w:rsidR="00047D47">
        <w:rPr>
          <w:szCs w:val="24"/>
        </w:rPr>
        <w:t>pdate</w:t>
      </w:r>
      <w:r w:rsidR="00E952D1">
        <w:rPr>
          <w:szCs w:val="24"/>
        </w:rPr>
        <w:t>s</w:t>
      </w:r>
      <w:r>
        <w:rPr>
          <w:szCs w:val="24"/>
        </w:rPr>
        <w:t xml:space="preserve"> fee item 16 of Schedule 1 </w:t>
      </w:r>
      <w:r w:rsidR="00E810BF">
        <w:rPr>
          <w:szCs w:val="24"/>
        </w:rPr>
        <w:t>to</w:t>
      </w:r>
      <w:r>
        <w:rPr>
          <w:szCs w:val="24"/>
        </w:rPr>
        <w:t xml:space="preserve"> the </w:t>
      </w:r>
      <w:r w:rsidR="00C73075">
        <w:rPr>
          <w:szCs w:val="24"/>
        </w:rPr>
        <w:t>Federal Court Regulations</w:t>
      </w:r>
      <w:r>
        <w:rPr>
          <w:szCs w:val="24"/>
        </w:rPr>
        <w:t xml:space="preserve"> by providing for a daily fee, rather than a half day fee.</w:t>
      </w:r>
    </w:p>
    <w:p w:rsidR="00AF7B5B" w:rsidRDefault="00AF7B5B" w:rsidP="00FF0C51">
      <w:pPr>
        <w:spacing w:before="0"/>
        <w:ind w:right="91"/>
        <w:rPr>
          <w:szCs w:val="24"/>
        </w:rPr>
      </w:pPr>
    </w:p>
    <w:p w:rsidR="00AF7B5B" w:rsidRPr="008275B2" w:rsidRDefault="00770215" w:rsidP="00AF7B5B">
      <w:pPr>
        <w:spacing w:before="0"/>
        <w:ind w:right="91"/>
        <w:rPr>
          <w:i/>
          <w:szCs w:val="24"/>
        </w:rPr>
      </w:pPr>
      <w:r>
        <w:rPr>
          <w:i/>
          <w:szCs w:val="24"/>
        </w:rPr>
        <w:t>Item 120 – H</w:t>
      </w:r>
      <w:r w:rsidR="00AF7B5B" w:rsidRPr="008275B2">
        <w:rPr>
          <w:i/>
          <w:szCs w:val="24"/>
        </w:rPr>
        <w:t xml:space="preserve">earing days 10 to 14 </w:t>
      </w:r>
    </w:p>
    <w:p w:rsidR="00AF7B5B" w:rsidRDefault="00AF7B5B" w:rsidP="00AF7B5B">
      <w:pPr>
        <w:spacing w:before="0"/>
        <w:ind w:right="91"/>
        <w:rPr>
          <w:szCs w:val="24"/>
        </w:rPr>
      </w:pPr>
    </w:p>
    <w:p w:rsidR="00AF7B5B" w:rsidRDefault="00AF7B5B" w:rsidP="00AF7B5B">
      <w:pPr>
        <w:spacing w:before="0"/>
        <w:ind w:right="91"/>
        <w:rPr>
          <w:szCs w:val="24"/>
        </w:rPr>
      </w:pPr>
      <w:r>
        <w:rPr>
          <w:szCs w:val="24"/>
        </w:rPr>
        <w:t xml:space="preserve">This item </w:t>
      </w:r>
      <w:r w:rsidR="00047D47">
        <w:rPr>
          <w:szCs w:val="24"/>
        </w:rPr>
        <w:t>only appl</w:t>
      </w:r>
      <w:r w:rsidR="00E952D1">
        <w:rPr>
          <w:szCs w:val="24"/>
        </w:rPr>
        <w:t>ies</w:t>
      </w:r>
      <w:r>
        <w:rPr>
          <w:szCs w:val="24"/>
        </w:rPr>
        <w:t xml:space="preserve"> to hearing days that are the 10</w:t>
      </w:r>
      <w:r w:rsidRPr="008275B2">
        <w:rPr>
          <w:szCs w:val="24"/>
          <w:vertAlign w:val="superscript"/>
        </w:rPr>
        <w:t>th</w:t>
      </w:r>
      <w:r>
        <w:rPr>
          <w:szCs w:val="24"/>
        </w:rPr>
        <w:t xml:space="preserve"> to 14</w:t>
      </w:r>
      <w:r w:rsidRPr="008275B2">
        <w:rPr>
          <w:szCs w:val="24"/>
          <w:vertAlign w:val="superscript"/>
        </w:rPr>
        <w:t>th</w:t>
      </w:r>
      <w:r>
        <w:rPr>
          <w:szCs w:val="24"/>
        </w:rPr>
        <w:t xml:space="preserve"> hearing day.  There is a separate higher fee for the 15</w:t>
      </w:r>
      <w:r w:rsidRPr="008275B2">
        <w:rPr>
          <w:szCs w:val="24"/>
          <w:vertAlign w:val="superscript"/>
        </w:rPr>
        <w:t>th</w:t>
      </w:r>
      <w:r>
        <w:rPr>
          <w:szCs w:val="24"/>
        </w:rPr>
        <w:t xml:space="preserve"> and subsequent days.</w:t>
      </w:r>
    </w:p>
    <w:p w:rsidR="00AF7B5B" w:rsidRDefault="00AF7B5B" w:rsidP="00AF7B5B">
      <w:pPr>
        <w:spacing w:before="0"/>
        <w:ind w:right="91"/>
        <w:rPr>
          <w:szCs w:val="24"/>
        </w:rPr>
      </w:pPr>
    </w:p>
    <w:p w:rsidR="00AF7B5B" w:rsidRPr="008275B2" w:rsidRDefault="00770215" w:rsidP="00AF7B5B">
      <w:pPr>
        <w:spacing w:before="0"/>
        <w:ind w:right="91"/>
        <w:rPr>
          <w:i/>
          <w:szCs w:val="24"/>
        </w:rPr>
      </w:pPr>
      <w:r>
        <w:rPr>
          <w:i/>
          <w:szCs w:val="24"/>
        </w:rPr>
        <w:t>Item 121 – H</w:t>
      </w:r>
      <w:r w:rsidR="00AF7B5B" w:rsidRPr="008275B2">
        <w:rPr>
          <w:i/>
          <w:szCs w:val="24"/>
        </w:rPr>
        <w:t>earing days 15 and subsequent</w:t>
      </w:r>
    </w:p>
    <w:p w:rsidR="00AF7B5B" w:rsidRDefault="00AF7B5B" w:rsidP="00AF7B5B">
      <w:pPr>
        <w:spacing w:before="0"/>
        <w:ind w:right="91"/>
        <w:rPr>
          <w:szCs w:val="24"/>
        </w:rPr>
      </w:pPr>
    </w:p>
    <w:p w:rsidR="00AF7B5B" w:rsidRPr="0092167A" w:rsidRDefault="00AF7B5B" w:rsidP="00AF7B5B">
      <w:pPr>
        <w:spacing w:before="0"/>
        <w:ind w:right="91"/>
        <w:rPr>
          <w:szCs w:val="24"/>
        </w:rPr>
      </w:pPr>
      <w:r>
        <w:rPr>
          <w:szCs w:val="24"/>
        </w:rPr>
        <w:t xml:space="preserve">This item </w:t>
      </w:r>
      <w:r w:rsidR="00E952D1">
        <w:rPr>
          <w:szCs w:val="24"/>
        </w:rPr>
        <w:t>introduces</w:t>
      </w:r>
      <w:r w:rsidR="00E952D1" w:rsidRPr="00047D47">
        <w:rPr>
          <w:szCs w:val="24"/>
        </w:rPr>
        <w:t xml:space="preserve"> </w:t>
      </w:r>
      <w:r w:rsidRPr="0092167A">
        <w:rPr>
          <w:szCs w:val="24"/>
        </w:rPr>
        <w:t xml:space="preserve">a higher </w:t>
      </w:r>
      <w:r>
        <w:rPr>
          <w:szCs w:val="24"/>
        </w:rPr>
        <w:t xml:space="preserve">daily </w:t>
      </w:r>
      <w:r w:rsidRPr="0092167A">
        <w:rPr>
          <w:szCs w:val="24"/>
        </w:rPr>
        <w:t>fee fo</w:t>
      </w:r>
      <w:r w:rsidR="00C30EC1">
        <w:rPr>
          <w:szCs w:val="24"/>
        </w:rPr>
        <w:t>r hearing days that are the 15</w:t>
      </w:r>
      <w:r w:rsidR="00C30EC1" w:rsidRPr="00C30EC1">
        <w:rPr>
          <w:szCs w:val="24"/>
          <w:vertAlign w:val="superscript"/>
        </w:rPr>
        <w:t>th</w:t>
      </w:r>
      <w:r w:rsidR="00C30EC1">
        <w:rPr>
          <w:szCs w:val="24"/>
        </w:rPr>
        <w:t xml:space="preserve"> </w:t>
      </w:r>
      <w:r>
        <w:rPr>
          <w:szCs w:val="24"/>
        </w:rPr>
        <w:t>hearing</w:t>
      </w:r>
      <w:r w:rsidR="00C30EC1">
        <w:rPr>
          <w:szCs w:val="24"/>
        </w:rPr>
        <w:t xml:space="preserve"> </w:t>
      </w:r>
      <w:r w:rsidRPr="0092167A">
        <w:rPr>
          <w:szCs w:val="24"/>
        </w:rPr>
        <w:t xml:space="preserve">day </w:t>
      </w:r>
      <w:r>
        <w:rPr>
          <w:szCs w:val="24"/>
        </w:rPr>
        <w:t>or more</w:t>
      </w:r>
      <w:r w:rsidRPr="0092167A">
        <w:rPr>
          <w:szCs w:val="24"/>
        </w:rPr>
        <w:t xml:space="preserve">. </w:t>
      </w:r>
    </w:p>
    <w:p w:rsidR="00AF7B5B" w:rsidRDefault="00AF7B5B" w:rsidP="00FF0C51">
      <w:pPr>
        <w:spacing w:before="0"/>
        <w:ind w:right="91"/>
        <w:rPr>
          <w:szCs w:val="24"/>
        </w:rPr>
      </w:pPr>
    </w:p>
    <w:p w:rsidR="00113863" w:rsidRPr="00113863" w:rsidRDefault="00113863" w:rsidP="00250FB8">
      <w:pPr>
        <w:spacing w:before="0"/>
        <w:ind w:right="91"/>
        <w:rPr>
          <w:i/>
          <w:szCs w:val="24"/>
        </w:rPr>
      </w:pPr>
      <w:r w:rsidRPr="00113863">
        <w:rPr>
          <w:i/>
          <w:szCs w:val="24"/>
        </w:rPr>
        <w:t>Item 122 – Examinations in bankruptcy and winding up</w:t>
      </w:r>
    </w:p>
    <w:p w:rsidR="00113863" w:rsidRDefault="00113863" w:rsidP="00250FB8">
      <w:pPr>
        <w:spacing w:before="0"/>
        <w:ind w:right="91"/>
        <w:rPr>
          <w:szCs w:val="24"/>
        </w:rPr>
      </w:pPr>
    </w:p>
    <w:p w:rsidR="00250FB8" w:rsidRPr="00113863" w:rsidRDefault="00113863" w:rsidP="00250FB8">
      <w:pPr>
        <w:spacing w:before="0"/>
        <w:ind w:right="91"/>
        <w:rPr>
          <w:szCs w:val="24"/>
        </w:rPr>
      </w:pPr>
      <w:r>
        <w:rPr>
          <w:szCs w:val="24"/>
        </w:rPr>
        <w:t xml:space="preserve">This item </w:t>
      </w:r>
      <w:r w:rsidR="00E952D1">
        <w:rPr>
          <w:szCs w:val="24"/>
        </w:rPr>
        <w:t>introduces</w:t>
      </w:r>
      <w:r w:rsidR="00E952D1" w:rsidRPr="00047D47">
        <w:rPr>
          <w:szCs w:val="24"/>
        </w:rPr>
        <w:t xml:space="preserve"> </w:t>
      </w:r>
      <w:r w:rsidR="00250FB8" w:rsidRPr="00113863">
        <w:rPr>
          <w:szCs w:val="24"/>
        </w:rPr>
        <w:t>a daily hearing fee for</w:t>
      </w:r>
      <w:r w:rsidR="00770215">
        <w:rPr>
          <w:szCs w:val="24"/>
        </w:rPr>
        <w:t xml:space="preserve"> examinations by a r</w:t>
      </w:r>
      <w:r w:rsidR="007E6363">
        <w:rPr>
          <w:szCs w:val="24"/>
        </w:rPr>
        <w:t xml:space="preserve">egistrar in </w:t>
      </w:r>
      <w:r w:rsidR="00250FB8" w:rsidRPr="00113863">
        <w:rPr>
          <w:szCs w:val="24"/>
        </w:rPr>
        <w:t>corporations (winding up) and bankruptcy matters</w:t>
      </w:r>
      <w:r>
        <w:rPr>
          <w:szCs w:val="24"/>
        </w:rPr>
        <w:t>.</w:t>
      </w:r>
    </w:p>
    <w:p w:rsidR="0092167A" w:rsidRDefault="0092167A" w:rsidP="0092167A">
      <w:pPr>
        <w:spacing w:before="0"/>
        <w:ind w:right="91"/>
        <w:rPr>
          <w:szCs w:val="24"/>
        </w:rPr>
      </w:pPr>
    </w:p>
    <w:p w:rsidR="0092167A" w:rsidRPr="008275B2" w:rsidRDefault="00CE4F96" w:rsidP="0092167A">
      <w:pPr>
        <w:spacing w:before="0"/>
        <w:ind w:right="91"/>
        <w:rPr>
          <w:i/>
          <w:szCs w:val="24"/>
        </w:rPr>
      </w:pPr>
      <w:r>
        <w:rPr>
          <w:i/>
          <w:szCs w:val="24"/>
        </w:rPr>
        <w:t xml:space="preserve">Item 123 – </w:t>
      </w:r>
      <w:r w:rsidR="0092167A" w:rsidRPr="008275B2">
        <w:rPr>
          <w:i/>
          <w:szCs w:val="24"/>
        </w:rPr>
        <w:t>Photocopying</w:t>
      </w:r>
      <w:r>
        <w:rPr>
          <w:i/>
          <w:szCs w:val="24"/>
        </w:rPr>
        <w:t xml:space="preserve"> </w:t>
      </w:r>
      <w:r w:rsidR="0092167A" w:rsidRPr="008275B2">
        <w:rPr>
          <w:i/>
          <w:szCs w:val="24"/>
        </w:rPr>
        <w:t>and production of files</w:t>
      </w:r>
      <w:r w:rsidR="0092167A" w:rsidRPr="008275B2">
        <w:rPr>
          <w:i/>
          <w:szCs w:val="24"/>
        </w:rPr>
        <w:tab/>
      </w:r>
    </w:p>
    <w:p w:rsidR="0092167A" w:rsidRDefault="0092167A" w:rsidP="0092167A">
      <w:pPr>
        <w:spacing w:before="0"/>
        <w:ind w:right="91"/>
        <w:rPr>
          <w:szCs w:val="24"/>
        </w:rPr>
      </w:pPr>
    </w:p>
    <w:p w:rsidR="00CE4F96" w:rsidRPr="0092167A" w:rsidRDefault="00CE4F96" w:rsidP="00CE4F96">
      <w:pPr>
        <w:spacing w:before="0"/>
        <w:ind w:right="91"/>
        <w:rPr>
          <w:szCs w:val="24"/>
        </w:rPr>
      </w:pPr>
      <w:r>
        <w:rPr>
          <w:szCs w:val="24"/>
        </w:rPr>
        <w:lastRenderedPageBreak/>
        <w:t xml:space="preserve">The </w:t>
      </w:r>
      <w:r w:rsidR="00C73075">
        <w:rPr>
          <w:szCs w:val="24"/>
        </w:rPr>
        <w:t>Federal Court Regulations</w:t>
      </w:r>
      <w:r>
        <w:rPr>
          <w:szCs w:val="24"/>
        </w:rPr>
        <w:t xml:space="preserve"> prescribed separate fees for the production of a file and the request for photocopying.  This fee item </w:t>
      </w:r>
      <w:r w:rsidR="00E31A26">
        <w:rPr>
          <w:szCs w:val="24"/>
        </w:rPr>
        <w:t>amalgamate</w:t>
      </w:r>
      <w:r w:rsidR="00E952D1">
        <w:rPr>
          <w:szCs w:val="24"/>
        </w:rPr>
        <w:t>s</w:t>
      </w:r>
      <w:r>
        <w:rPr>
          <w:szCs w:val="24"/>
        </w:rPr>
        <w:t xml:space="preserve"> </w:t>
      </w:r>
      <w:r w:rsidRPr="0092167A">
        <w:rPr>
          <w:szCs w:val="24"/>
        </w:rPr>
        <w:t xml:space="preserve">the </w:t>
      </w:r>
      <w:r>
        <w:rPr>
          <w:szCs w:val="24"/>
        </w:rPr>
        <w:t xml:space="preserve">previous </w:t>
      </w:r>
      <w:r w:rsidRPr="0092167A">
        <w:rPr>
          <w:szCs w:val="24"/>
        </w:rPr>
        <w:t>request for photocopying</w:t>
      </w:r>
      <w:r>
        <w:rPr>
          <w:szCs w:val="24"/>
        </w:rPr>
        <w:t xml:space="preserve"> fee</w:t>
      </w:r>
      <w:r w:rsidRPr="0092167A">
        <w:rPr>
          <w:szCs w:val="24"/>
        </w:rPr>
        <w:t xml:space="preserve"> with the fee for the pro</w:t>
      </w:r>
      <w:r w:rsidR="00FC292A">
        <w:rPr>
          <w:szCs w:val="24"/>
        </w:rPr>
        <w:t>duction of files of the court. Each</w:t>
      </w:r>
      <w:r w:rsidRPr="0092167A">
        <w:rPr>
          <w:szCs w:val="24"/>
        </w:rPr>
        <w:t xml:space="preserve"> time a person seeks</w:t>
      </w:r>
      <w:r w:rsidR="00FC292A">
        <w:rPr>
          <w:szCs w:val="24"/>
        </w:rPr>
        <w:t xml:space="preserve"> production of the file to photocopy documents in</w:t>
      </w:r>
      <w:r w:rsidRPr="0092167A">
        <w:rPr>
          <w:szCs w:val="24"/>
        </w:rPr>
        <w:t xml:space="preserve"> the file they </w:t>
      </w:r>
      <w:r w:rsidR="00E952D1">
        <w:rPr>
          <w:szCs w:val="24"/>
        </w:rPr>
        <w:t xml:space="preserve">will </w:t>
      </w:r>
      <w:r w:rsidR="00FC292A">
        <w:rPr>
          <w:szCs w:val="24"/>
        </w:rPr>
        <w:t>pay a single fee to cover the</w:t>
      </w:r>
      <w:r w:rsidRPr="0092167A">
        <w:rPr>
          <w:szCs w:val="24"/>
        </w:rPr>
        <w:t xml:space="preserve"> request for photocopyin</w:t>
      </w:r>
      <w:r w:rsidR="00FC292A">
        <w:rPr>
          <w:szCs w:val="24"/>
        </w:rPr>
        <w:t xml:space="preserve">g and production of the file </w:t>
      </w:r>
      <w:r w:rsidRPr="0092167A">
        <w:rPr>
          <w:szCs w:val="24"/>
        </w:rPr>
        <w:t xml:space="preserve">and then </w:t>
      </w:r>
      <w:r>
        <w:rPr>
          <w:szCs w:val="24"/>
        </w:rPr>
        <w:t xml:space="preserve">a fee </w:t>
      </w:r>
      <w:r w:rsidRPr="0092167A">
        <w:rPr>
          <w:szCs w:val="24"/>
        </w:rPr>
        <w:t>for each page</w:t>
      </w:r>
      <w:r>
        <w:rPr>
          <w:szCs w:val="24"/>
        </w:rPr>
        <w:t xml:space="preserve"> photocopied</w:t>
      </w:r>
      <w:r w:rsidRPr="0092167A">
        <w:rPr>
          <w:szCs w:val="24"/>
        </w:rPr>
        <w:t>.</w:t>
      </w:r>
    </w:p>
    <w:p w:rsidR="00CE4F96" w:rsidRDefault="00CE4F96" w:rsidP="0092167A">
      <w:pPr>
        <w:spacing w:before="0"/>
        <w:ind w:right="91"/>
        <w:rPr>
          <w:szCs w:val="24"/>
        </w:rPr>
      </w:pPr>
    </w:p>
    <w:p w:rsidR="008275B2" w:rsidRPr="008275B2" w:rsidRDefault="008275B2" w:rsidP="0092167A">
      <w:pPr>
        <w:spacing w:before="0"/>
        <w:ind w:right="91"/>
        <w:rPr>
          <w:i/>
          <w:szCs w:val="24"/>
        </w:rPr>
      </w:pPr>
      <w:r w:rsidRPr="008275B2">
        <w:rPr>
          <w:i/>
          <w:szCs w:val="24"/>
        </w:rPr>
        <w:t>Item 12</w:t>
      </w:r>
      <w:r w:rsidR="00770215">
        <w:rPr>
          <w:i/>
          <w:szCs w:val="24"/>
        </w:rPr>
        <w:t>6 – I</w:t>
      </w:r>
      <w:r w:rsidRPr="008275B2">
        <w:rPr>
          <w:i/>
          <w:szCs w:val="24"/>
        </w:rPr>
        <w:t>ssuing a subpoena</w:t>
      </w:r>
    </w:p>
    <w:p w:rsidR="008275B2" w:rsidRDefault="008275B2" w:rsidP="0092167A">
      <w:pPr>
        <w:spacing w:before="0"/>
        <w:ind w:right="91"/>
        <w:rPr>
          <w:szCs w:val="24"/>
        </w:rPr>
      </w:pPr>
    </w:p>
    <w:p w:rsidR="0092167A" w:rsidRDefault="008275B2" w:rsidP="0092167A">
      <w:pPr>
        <w:spacing w:before="0"/>
        <w:ind w:right="91"/>
        <w:rPr>
          <w:szCs w:val="24"/>
        </w:rPr>
      </w:pPr>
      <w:r>
        <w:rPr>
          <w:szCs w:val="24"/>
        </w:rPr>
        <w:t xml:space="preserve">The </w:t>
      </w:r>
      <w:r w:rsidR="00C73075">
        <w:rPr>
          <w:szCs w:val="24"/>
        </w:rPr>
        <w:t>Federal Court Regulations</w:t>
      </w:r>
      <w:r>
        <w:rPr>
          <w:szCs w:val="24"/>
        </w:rPr>
        <w:t xml:space="preserve"> s</w:t>
      </w:r>
      <w:r w:rsidR="00330CC2">
        <w:rPr>
          <w:szCs w:val="24"/>
        </w:rPr>
        <w:t>pecif</w:t>
      </w:r>
      <w:r w:rsidR="00E952D1">
        <w:rPr>
          <w:szCs w:val="24"/>
        </w:rPr>
        <w:t>ie</w:t>
      </w:r>
      <w:r w:rsidR="00E810BF">
        <w:rPr>
          <w:szCs w:val="24"/>
        </w:rPr>
        <w:t>d</w:t>
      </w:r>
      <w:r>
        <w:rPr>
          <w:szCs w:val="24"/>
        </w:rPr>
        <w:t xml:space="preserve"> </w:t>
      </w:r>
      <w:r w:rsidR="0092167A" w:rsidRPr="0092167A">
        <w:rPr>
          <w:szCs w:val="24"/>
        </w:rPr>
        <w:t xml:space="preserve">the same </w:t>
      </w:r>
      <w:r>
        <w:rPr>
          <w:szCs w:val="24"/>
        </w:rPr>
        <w:t>fee rate for both corporations and other litigants</w:t>
      </w:r>
      <w:r w:rsidR="0092167A" w:rsidRPr="0092167A">
        <w:rPr>
          <w:szCs w:val="24"/>
        </w:rPr>
        <w:t xml:space="preserve">.  </w:t>
      </w:r>
      <w:r w:rsidR="00E31A26">
        <w:rPr>
          <w:szCs w:val="24"/>
        </w:rPr>
        <w:t xml:space="preserve">This fee </w:t>
      </w:r>
      <w:r>
        <w:rPr>
          <w:szCs w:val="24"/>
        </w:rPr>
        <w:t xml:space="preserve">item </w:t>
      </w:r>
      <w:r w:rsidR="00E952D1">
        <w:rPr>
          <w:szCs w:val="24"/>
        </w:rPr>
        <w:t>introduces</w:t>
      </w:r>
      <w:r w:rsidR="00E952D1" w:rsidRPr="00047D47">
        <w:rPr>
          <w:szCs w:val="24"/>
        </w:rPr>
        <w:t xml:space="preserve"> </w:t>
      </w:r>
      <w:r w:rsidR="0092167A" w:rsidRPr="0092167A">
        <w:rPr>
          <w:szCs w:val="24"/>
        </w:rPr>
        <w:t xml:space="preserve">a higher fee </w:t>
      </w:r>
      <w:r>
        <w:rPr>
          <w:szCs w:val="24"/>
        </w:rPr>
        <w:t xml:space="preserve">rate </w:t>
      </w:r>
      <w:r w:rsidR="0092167A" w:rsidRPr="0092167A">
        <w:rPr>
          <w:szCs w:val="24"/>
        </w:rPr>
        <w:t xml:space="preserve">for subpoenas issued at the request of a corporation.  </w:t>
      </w:r>
    </w:p>
    <w:p w:rsidR="00330CC2" w:rsidRDefault="00330CC2" w:rsidP="0092167A">
      <w:pPr>
        <w:spacing w:before="0"/>
        <w:ind w:right="91"/>
        <w:rPr>
          <w:szCs w:val="24"/>
        </w:rPr>
      </w:pPr>
    </w:p>
    <w:p w:rsidR="00330CC2" w:rsidRDefault="00330CC2" w:rsidP="00330CC2">
      <w:pPr>
        <w:spacing w:before="0"/>
        <w:ind w:right="91"/>
      </w:pPr>
      <w:r>
        <w:t xml:space="preserve">The description of this fee </w:t>
      </w:r>
      <w:r w:rsidR="00E952D1">
        <w:t>is</w:t>
      </w:r>
      <w:r w:rsidR="00E31A26">
        <w:t xml:space="preserve"> </w:t>
      </w:r>
      <w:r>
        <w:t>changed to ensure that all types of subpoenas (subpoena to produce; subpoena to give evidence; a</w:t>
      </w:r>
      <w:r w:rsidR="00317BB9">
        <w:t>nd subpoena to produce and give</w:t>
      </w:r>
      <w:r>
        <w:t xml:space="preserve"> evidence) are covered by the fee. </w:t>
      </w:r>
    </w:p>
    <w:p w:rsidR="0092167A" w:rsidRDefault="0092167A" w:rsidP="0092167A">
      <w:pPr>
        <w:spacing w:before="0"/>
        <w:ind w:right="91"/>
        <w:rPr>
          <w:szCs w:val="24"/>
        </w:rPr>
      </w:pPr>
    </w:p>
    <w:p w:rsidR="00AF7B5B" w:rsidRPr="007E6363" w:rsidRDefault="00AF7B5B" w:rsidP="00AF7B5B">
      <w:pPr>
        <w:spacing w:before="0"/>
        <w:ind w:right="91"/>
        <w:rPr>
          <w:i/>
          <w:szCs w:val="24"/>
        </w:rPr>
      </w:pPr>
      <w:r w:rsidRPr="007E6363">
        <w:rPr>
          <w:i/>
          <w:szCs w:val="24"/>
        </w:rPr>
        <w:t>Item 127</w:t>
      </w:r>
      <w:r>
        <w:rPr>
          <w:i/>
          <w:szCs w:val="24"/>
        </w:rPr>
        <w:t xml:space="preserve"> – Bankruptcy summons</w:t>
      </w:r>
    </w:p>
    <w:p w:rsidR="00AF7B5B" w:rsidRDefault="00AF7B5B" w:rsidP="00AF7B5B">
      <w:pPr>
        <w:spacing w:before="0"/>
        <w:ind w:right="91"/>
        <w:rPr>
          <w:szCs w:val="24"/>
        </w:rPr>
      </w:pPr>
    </w:p>
    <w:p w:rsidR="00AF7B5B" w:rsidRDefault="00AF7B5B" w:rsidP="00AF7B5B">
      <w:pPr>
        <w:spacing w:before="0"/>
        <w:ind w:right="91"/>
        <w:rPr>
          <w:szCs w:val="24"/>
        </w:rPr>
      </w:pPr>
      <w:r>
        <w:rPr>
          <w:szCs w:val="24"/>
        </w:rPr>
        <w:t xml:space="preserve">This item </w:t>
      </w:r>
      <w:r w:rsidR="00E952D1">
        <w:rPr>
          <w:szCs w:val="24"/>
        </w:rPr>
        <w:t>introduces</w:t>
      </w:r>
      <w:r w:rsidR="00E952D1" w:rsidRPr="00047D47">
        <w:rPr>
          <w:szCs w:val="24"/>
        </w:rPr>
        <w:t xml:space="preserve"> </w:t>
      </w:r>
      <w:r w:rsidRPr="007E6363">
        <w:rPr>
          <w:szCs w:val="24"/>
        </w:rPr>
        <w:t>a fee for issuing a summons to a p</w:t>
      </w:r>
      <w:r>
        <w:rPr>
          <w:szCs w:val="24"/>
        </w:rPr>
        <w:t xml:space="preserve">erson to attend for examination about </w:t>
      </w:r>
      <w:r w:rsidRPr="007E6363">
        <w:rPr>
          <w:szCs w:val="24"/>
        </w:rPr>
        <w:t xml:space="preserve">a debtor's examinable affairs.  </w:t>
      </w:r>
    </w:p>
    <w:p w:rsidR="00AF7B5B" w:rsidRDefault="00AF7B5B" w:rsidP="0092167A">
      <w:pPr>
        <w:spacing w:before="0"/>
        <w:ind w:right="91"/>
        <w:rPr>
          <w:szCs w:val="24"/>
        </w:rPr>
      </w:pPr>
    </w:p>
    <w:p w:rsidR="0092167A" w:rsidRPr="008275B2" w:rsidRDefault="008275B2" w:rsidP="00B01902">
      <w:pPr>
        <w:keepNext/>
        <w:spacing w:before="0"/>
        <w:ind w:right="91"/>
        <w:rPr>
          <w:i/>
          <w:szCs w:val="24"/>
        </w:rPr>
      </w:pPr>
      <w:r>
        <w:rPr>
          <w:i/>
          <w:szCs w:val="24"/>
        </w:rPr>
        <w:t>I</w:t>
      </w:r>
      <w:r w:rsidRPr="008275B2">
        <w:rPr>
          <w:i/>
          <w:szCs w:val="24"/>
        </w:rPr>
        <w:t xml:space="preserve">tems </w:t>
      </w:r>
      <w:r>
        <w:rPr>
          <w:i/>
          <w:szCs w:val="24"/>
        </w:rPr>
        <w:t xml:space="preserve">128, </w:t>
      </w:r>
      <w:r w:rsidRPr="008275B2">
        <w:rPr>
          <w:i/>
          <w:szCs w:val="24"/>
        </w:rPr>
        <w:t>129, 130 and 131</w:t>
      </w:r>
      <w:r w:rsidR="00B22F1F">
        <w:rPr>
          <w:i/>
          <w:szCs w:val="24"/>
        </w:rPr>
        <w:t xml:space="preserve"> </w:t>
      </w:r>
      <w:r w:rsidR="00770215">
        <w:rPr>
          <w:i/>
          <w:szCs w:val="24"/>
        </w:rPr>
        <w:t>– H</w:t>
      </w:r>
      <w:r w:rsidR="0092167A" w:rsidRPr="008275B2">
        <w:rPr>
          <w:i/>
          <w:szCs w:val="24"/>
        </w:rPr>
        <w:t>igh</w:t>
      </w:r>
      <w:r w:rsidRPr="008275B2">
        <w:rPr>
          <w:i/>
          <w:szCs w:val="24"/>
        </w:rPr>
        <w:t xml:space="preserve"> </w:t>
      </w:r>
      <w:r w:rsidR="0092167A" w:rsidRPr="008275B2">
        <w:rPr>
          <w:i/>
          <w:szCs w:val="24"/>
        </w:rPr>
        <w:t>value bill</w:t>
      </w:r>
      <w:r w:rsidRPr="008275B2">
        <w:rPr>
          <w:i/>
          <w:szCs w:val="24"/>
        </w:rPr>
        <w:t>s</w:t>
      </w:r>
      <w:r w:rsidR="00B01902">
        <w:rPr>
          <w:i/>
          <w:szCs w:val="24"/>
        </w:rPr>
        <w:t xml:space="preserve"> of costs</w:t>
      </w:r>
    </w:p>
    <w:p w:rsidR="0092167A" w:rsidRDefault="0092167A" w:rsidP="00B01902">
      <w:pPr>
        <w:keepNext/>
        <w:spacing w:before="0"/>
        <w:ind w:right="91"/>
        <w:rPr>
          <w:szCs w:val="24"/>
        </w:rPr>
      </w:pPr>
    </w:p>
    <w:p w:rsidR="0092167A" w:rsidRDefault="0092167A" w:rsidP="0092167A">
      <w:pPr>
        <w:spacing w:before="0"/>
        <w:ind w:right="91"/>
        <w:rPr>
          <w:szCs w:val="24"/>
        </w:rPr>
      </w:pPr>
      <w:r>
        <w:rPr>
          <w:szCs w:val="24"/>
        </w:rPr>
        <w:t xml:space="preserve">The </w:t>
      </w:r>
      <w:r w:rsidR="00C73075">
        <w:rPr>
          <w:szCs w:val="24"/>
        </w:rPr>
        <w:t xml:space="preserve">Federal Court Regulations </w:t>
      </w:r>
      <w:r>
        <w:rPr>
          <w:szCs w:val="24"/>
        </w:rPr>
        <w:t>charge</w:t>
      </w:r>
      <w:r w:rsidR="00E810BF">
        <w:rPr>
          <w:szCs w:val="24"/>
        </w:rPr>
        <w:t>d</w:t>
      </w:r>
      <w:r>
        <w:rPr>
          <w:szCs w:val="24"/>
        </w:rPr>
        <w:t xml:space="preserve"> fees </w:t>
      </w:r>
      <w:r w:rsidR="00770215">
        <w:rPr>
          <w:szCs w:val="24"/>
        </w:rPr>
        <w:t>for bills of c</w:t>
      </w:r>
      <w:r w:rsidRPr="0092167A">
        <w:rPr>
          <w:szCs w:val="24"/>
        </w:rPr>
        <w:t xml:space="preserve">osts below $10,000 and above $10,000.  </w:t>
      </w:r>
    </w:p>
    <w:p w:rsidR="0092167A" w:rsidRDefault="0092167A" w:rsidP="0092167A">
      <w:pPr>
        <w:spacing w:before="0"/>
        <w:ind w:right="91"/>
        <w:rPr>
          <w:szCs w:val="24"/>
        </w:rPr>
      </w:pPr>
    </w:p>
    <w:p w:rsidR="0092167A" w:rsidRDefault="008275B2" w:rsidP="0092167A">
      <w:pPr>
        <w:spacing w:before="0"/>
        <w:ind w:right="91"/>
        <w:rPr>
          <w:szCs w:val="24"/>
        </w:rPr>
      </w:pPr>
      <w:r>
        <w:rPr>
          <w:szCs w:val="24"/>
        </w:rPr>
        <w:t xml:space="preserve">Item 128 </w:t>
      </w:r>
      <w:r w:rsidR="00E952D1">
        <w:rPr>
          <w:szCs w:val="24"/>
        </w:rPr>
        <w:t>r</w:t>
      </w:r>
      <w:r w:rsidR="00770215">
        <w:rPr>
          <w:szCs w:val="24"/>
        </w:rPr>
        <w:t>etain</w:t>
      </w:r>
      <w:r w:rsidR="00E952D1">
        <w:rPr>
          <w:szCs w:val="24"/>
        </w:rPr>
        <w:t>s</w:t>
      </w:r>
      <w:r w:rsidR="00770215">
        <w:rPr>
          <w:szCs w:val="24"/>
        </w:rPr>
        <w:t xml:space="preserve"> the fee category for b</w:t>
      </w:r>
      <w:r w:rsidR="0092167A">
        <w:rPr>
          <w:szCs w:val="24"/>
        </w:rPr>
        <w:t xml:space="preserve">ills up to $10,000 and </w:t>
      </w:r>
      <w:r>
        <w:rPr>
          <w:szCs w:val="24"/>
        </w:rPr>
        <w:t xml:space="preserve">items 129, 130 and 131 </w:t>
      </w:r>
      <w:r w:rsidR="00E952D1">
        <w:rPr>
          <w:szCs w:val="24"/>
        </w:rPr>
        <w:t>introduces</w:t>
      </w:r>
      <w:r w:rsidR="00E952D1" w:rsidRPr="00047D47">
        <w:rPr>
          <w:szCs w:val="24"/>
        </w:rPr>
        <w:t xml:space="preserve"> </w:t>
      </w:r>
      <w:r>
        <w:rPr>
          <w:szCs w:val="24"/>
        </w:rPr>
        <w:t xml:space="preserve">three </w:t>
      </w:r>
      <w:r w:rsidR="0092167A" w:rsidRPr="0092167A">
        <w:rPr>
          <w:szCs w:val="24"/>
        </w:rPr>
        <w:t>new categ</w:t>
      </w:r>
      <w:r w:rsidR="00770215">
        <w:rPr>
          <w:szCs w:val="24"/>
        </w:rPr>
        <w:t>ories of fees for b</w:t>
      </w:r>
      <w:r w:rsidR="0092167A">
        <w:rPr>
          <w:szCs w:val="24"/>
        </w:rPr>
        <w:t>ills above $1</w:t>
      </w:r>
      <w:r>
        <w:rPr>
          <w:szCs w:val="24"/>
        </w:rPr>
        <w:t>0,000.</w:t>
      </w:r>
    </w:p>
    <w:p w:rsidR="00AF7B5B" w:rsidRDefault="00AF7B5B" w:rsidP="00AF7B5B">
      <w:pPr>
        <w:spacing w:before="0"/>
        <w:ind w:right="91"/>
        <w:rPr>
          <w:szCs w:val="24"/>
        </w:rPr>
      </w:pPr>
    </w:p>
    <w:p w:rsidR="00AF7B5B" w:rsidRPr="00330CC2" w:rsidRDefault="00B22F1F" w:rsidP="00AF7B5B">
      <w:pPr>
        <w:spacing w:before="0"/>
        <w:ind w:right="91"/>
        <w:rPr>
          <w:i/>
          <w:szCs w:val="24"/>
        </w:rPr>
      </w:pPr>
      <w:r>
        <w:rPr>
          <w:i/>
          <w:szCs w:val="24"/>
        </w:rPr>
        <w:t>Item 132</w:t>
      </w:r>
      <w:r w:rsidR="00AF7B5B" w:rsidRPr="00330CC2">
        <w:rPr>
          <w:i/>
          <w:szCs w:val="24"/>
        </w:rPr>
        <w:t xml:space="preserve"> –</w:t>
      </w:r>
      <w:r w:rsidR="00AF7B5B">
        <w:rPr>
          <w:i/>
          <w:szCs w:val="24"/>
        </w:rPr>
        <w:t xml:space="preserve"> M</w:t>
      </w:r>
      <w:r w:rsidR="00AF7B5B" w:rsidRPr="00330CC2">
        <w:rPr>
          <w:i/>
          <w:szCs w:val="24"/>
        </w:rPr>
        <w:t>ediation</w:t>
      </w:r>
    </w:p>
    <w:p w:rsidR="00AF7B5B" w:rsidRDefault="00AF7B5B" w:rsidP="00AF7B5B">
      <w:pPr>
        <w:spacing w:before="0"/>
        <w:ind w:right="91"/>
        <w:rPr>
          <w:szCs w:val="24"/>
        </w:rPr>
      </w:pPr>
    </w:p>
    <w:p w:rsidR="008C6E81" w:rsidRDefault="00AF7B5B" w:rsidP="00AF7B5B">
      <w:pPr>
        <w:spacing w:before="0"/>
        <w:ind w:right="91"/>
        <w:rPr>
          <w:szCs w:val="24"/>
        </w:rPr>
      </w:pPr>
      <w:r>
        <w:rPr>
          <w:szCs w:val="24"/>
        </w:rPr>
        <w:t xml:space="preserve">This item </w:t>
      </w:r>
      <w:r w:rsidR="00B22F1F">
        <w:rPr>
          <w:szCs w:val="24"/>
        </w:rPr>
        <w:t>update</w:t>
      </w:r>
      <w:r w:rsidR="00E952D1">
        <w:rPr>
          <w:szCs w:val="24"/>
        </w:rPr>
        <w:t>s</w:t>
      </w:r>
      <w:r>
        <w:rPr>
          <w:szCs w:val="24"/>
        </w:rPr>
        <w:t xml:space="preserve"> the </w:t>
      </w:r>
      <w:r w:rsidRPr="00330CC2">
        <w:rPr>
          <w:szCs w:val="24"/>
        </w:rPr>
        <w:t xml:space="preserve">mediation fee </w:t>
      </w:r>
      <w:r>
        <w:rPr>
          <w:szCs w:val="24"/>
        </w:rPr>
        <w:t xml:space="preserve">in </w:t>
      </w:r>
      <w:r w:rsidR="009F6AE0">
        <w:rPr>
          <w:szCs w:val="24"/>
        </w:rPr>
        <w:t xml:space="preserve">item </w:t>
      </w:r>
      <w:r w:rsidR="00FF4A62">
        <w:rPr>
          <w:szCs w:val="24"/>
        </w:rPr>
        <w:t xml:space="preserve">26 of </w:t>
      </w:r>
      <w:r>
        <w:rPr>
          <w:szCs w:val="24"/>
        </w:rPr>
        <w:t xml:space="preserve">Schedule 1 </w:t>
      </w:r>
      <w:r w:rsidR="00853A35">
        <w:rPr>
          <w:szCs w:val="24"/>
        </w:rPr>
        <w:t>to</w:t>
      </w:r>
      <w:r>
        <w:rPr>
          <w:szCs w:val="24"/>
        </w:rPr>
        <w:t xml:space="preserve"> the </w:t>
      </w:r>
      <w:r w:rsidR="007943D9">
        <w:rPr>
          <w:szCs w:val="24"/>
        </w:rPr>
        <w:t>Federal </w:t>
      </w:r>
      <w:r w:rsidR="00C73075">
        <w:rPr>
          <w:szCs w:val="24"/>
        </w:rPr>
        <w:t>Court Regulations</w:t>
      </w:r>
      <w:r>
        <w:rPr>
          <w:szCs w:val="24"/>
        </w:rPr>
        <w:t xml:space="preserve"> </w:t>
      </w:r>
      <w:r w:rsidRPr="00330CC2">
        <w:rPr>
          <w:szCs w:val="24"/>
        </w:rPr>
        <w:t xml:space="preserve">so that </w:t>
      </w:r>
      <w:r>
        <w:rPr>
          <w:szCs w:val="24"/>
        </w:rPr>
        <w:t xml:space="preserve">the fee </w:t>
      </w:r>
      <w:r w:rsidRPr="00330CC2">
        <w:rPr>
          <w:szCs w:val="24"/>
        </w:rPr>
        <w:t xml:space="preserve">charged </w:t>
      </w:r>
      <w:r>
        <w:rPr>
          <w:szCs w:val="24"/>
        </w:rPr>
        <w:t xml:space="preserve">is for each </w:t>
      </w:r>
      <w:r w:rsidRPr="00330CC2">
        <w:rPr>
          <w:szCs w:val="24"/>
        </w:rPr>
        <w:t xml:space="preserve">attendance rather than </w:t>
      </w:r>
      <w:r>
        <w:rPr>
          <w:szCs w:val="24"/>
        </w:rPr>
        <w:t xml:space="preserve">for </w:t>
      </w:r>
      <w:r w:rsidRPr="00330CC2">
        <w:rPr>
          <w:szCs w:val="24"/>
        </w:rPr>
        <w:t xml:space="preserve">just </w:t>
      </w:r>
      <w:r>
        <w:rPr>
          <w:szCs w:val="24"/>
        </w:rPr>
        <w:t xml:space="preserve">the </w:t>
      </w:r>
      <w:r w:rsidRPr="00330CC2">
        <w:rPr>
          <w:szCs w:val="24"/>
        </w:rPr>
        <w:t xml:space="preserve">first attendance.  </w:t>
      </w:r>
    </w:p>
    <w:p w:rsidR="00DC32D6" w:rsidRDefault="00DC32D6" w:rsidP="00DC32D6">
      <w:pPr>
        <w:spacing w:before="0"/>
        <w:ind w:right="91"/>
      </w:pPr>
    </w:p>
    <w:p w:rsidR="00DC32D6" w:rsidRPr="00776E41" w:rsidRDefault="00DC32D6" w:rsidP="00DC32D6">
      <w:pPr>
        <w:spacing w:before="0"/>
        <w:ind w:right="91"/>
        <w:rPr>
          <w:u w:val="single"/>
        </w:rPr>
      </w:pPr>
      <w:r w:rsidRPr="00776E41">
        <w:rPr>
          <w:u w:val="single"/>
        </w:rPr>
        <w:t xml:space="preserve">Part 2 </w:t>
      </w:r>
      <w:r w:rsidR="00776E41" w:rsidRPr="00776E41">
        <w:rPr>
          <w:u w:val="single"/>
        </w:rPr>
        <w:t xml:space="preserve">– </w:t>
      </w:r>
      <w:r w:rsidRPr="00776E41">
        <w:rPr>
          <w:u w:val="single"/>
        </w:rPr>
        <w:t>Fees for proceedings in Federal Magistrates Court</w:t>
      </w:r>
    </w:p>
    <w:p w:rsidR="00FF0C51" w:rsidRDefault="00FF0C51" w:rsidP="00DC32D6">
      <w:pPr>
        <w:spacing w:before="0"/>
        <w:ind w:right="91"/>
        <w:rPr>
          <w:b/>
        </w:rPr>
      </w:pPr>
    </w:p>
    <w:p w:rsidR="00F45D76" w:rsidRDefault="00F45D76" w:rsidP="00F45D76">
      <w:pPr>
        <w:spacing w:before="0"/>
        <w:ind w:right="91"/>
        <w:rPr>
          <w:szCs w:val="24"/>
        </w:rPr>
      </w:pPr>
      <w:r>
        <w:rPr>
          <w:szCs w:val="24"/>
        </w:rPr>
        <w:t xml:space="preserve">The fee amounts </w:t>
      </w:r>
      <w:r w:rsidR="00E952D1">
        <w:rPr>
          <w:szCs w:val="24"/>
        </w:rPr>
        <w:t>are</w:t>
      </w:r>
      <w:r>
        <w:rPr>
          <w:szCs w:val="24"/>
        </w:rPr>
        <w:t xml:space="preserve"> updated to reflect fee i</w:t>
      </w:r>
      <w:r w:rsidR="00853A35">
        <w:rPr>
          <w:szCs w:val="24"/>
        </w:rPr>
        <w:t>ncreases as part of the 2012</w:t>
      </w:r>
      <w:r w:rsidR="00853A35">
        <w:rPr>
          <w:szCs w:val="24"/>
        </w:rPr>
        <w:noBreakHyphen/>
        <w:t>13 </w:t>
      </w:r>
      <w:r>
        <w:rPr>
          <w:szCs w:val="24"/>
        </w:rPr>
        <w:t xml:space="preserve">Budget.  </w:t>
      </w:r>
      <w:r w:rsidRPr="00FF0C51">
        <w:rPr>
          <w:szCs w:val="24"/>
        </w:rPr>
        <w:t xml:space="preserve">The fees prescribed do not differ from those in the </w:t>
      </w:r>
      <w:r w:rsidR="00770215">
        <w:rPr>
          <w:szCs w:val="24"/>
        </w:rPr>
        <w:t>Federal Magistrates</w:t>
      </w:r>
      <w:r w:rsidR="00C73075">
        <w:rPr>
          <w:szCs w:val="24"/>
        </w:rPr>
        <w:t xml:space="preserve"> Regulations</w:t>
      </w:r>
      <w:r>
        <w:rPr>
          <w:szCs w:val="24"/>
        </w:rPr>
        <w:t xml:space="preserve"> except for the following</w:t>
      </w:r>
      <w:r w:rsidRPr="00FF0C51">
        <w:rPr>
          <w:szCs w:val="24"/>
        </w:rPr>
        <w:t>:</w:t>
      </w:r>
    </w:p>
    <w:p w:rsidR="0057660E" w:rsidRDefault="0057660E" w:rsidP="0057660E">
      <w:pPr>
        <w:spacing w:before="0"/>
        <w:ind w:right="91"/>
      </w:pPr>
    </w:p>
    <w:p w:rsidR="00AF7B5B" w:rsidRDefault="00AF7B5B" w:rsidP="00AF7B5B">
      <w:pPr>
        <w:spacing w:before="0"/>
        <w:ind w:right="91"/>
        <w:rPr>
          <w:i/>
          <w:szCs w:val="24"/>
        </w:rPr>
      </w:pPr>
      <w:r w:rsidRPr="00FF0C51">
        <w:rPr>
          <w:i/>
          <w:szCs w:val="24"/>
        </w:rPr>
        <w:t xml:space="preserve">Item </w:t>
      </w:r>
      <w:r w:rsidR="00736342">
        <w:rPr>
          <w:i/>
          <w:szCs w:val="24"/>
        </w:rPr>
        <w:t>203</w:t>
      </w:r>
      <w:r w:rsidR="00770215">
        <w:rPr>
          <w:i/>
          <w:szCs w:val="24"/>
        </w:rPr>
        <w:t xml:space="preserve"> – F</w:t>
      </w:r>
      <w:r>
        <w:rPr>
          <w:i/>
          <w:szCs w:val="24"/>
        </w:rPr>
        <w:t>iling of a bill of costs</w:t>
      </w:r>
    </w:p>
    <w:p w:rsidR="00AF7B5B" w:rsidRDefault="00AF7B5B" w:rsidP="00AF7B5B">
      <w:pPr>
        <w:spacing w:before="0"/>
        <w:ind w:right="91"/>
        <w:rPr>
          <w:i/>
          <w:szCs w:val="24"/>
        </w:rPr>
      </w:pPr>
    </w:p>
    <w:p w:rsidR="00AF7B5B" w:rsidRPr="00335BC5" w:rsidRDefault="00AF7B5B" w:rsidP="00AF7B5B">
      <w:pPr>
        <w:spacing w:before="0"/>
        <w:ind w:right="91"/>
        <w:rPr>
          <w:szCs w:val="24"/>
        </w:rPr>
      </w:pPr>
      <w:r>
        <w:rPr>
          <w:szCs w:val="24"/>
        </w:rPr>
        <w:t xml:space="preserve">This item </w:t>
      </w:r>
      <w:r w:rsidR="00E952D1">
        <w:rPr>
          <w:szCs w:val="24"/>
        </w:rPr>
        <w:t>introduces</w:t>
      </w:r>
      <w:r w:rsidR="00E952D1" w:rsidRPr="00047D47">
        <w:rPr>
          <w:szCs w:val="24"/>
        </w:rPr>
        <w:t xml:space="preserve"> </w:t>
      </w:r>
      <w:r w:rsidRPr="00335BC5">
        <w:rPr>
          <w:szCs w:val="24"/>
        </w:rPr>
        <w:t>a fee for the filing o</w:t>
      </w:r>
      <w:r w:rsidR="009F6AE0">
        <w:rPr>
          <w:szCs w:val="24"/>
        </w:rPr>
        <w:t>f a bill of costs</w:t>
      </w:r>
      <w:r w:rsidRPr="00335BC5">
        <w:rPr>
          <w:szCs w:val="24"/>
        </w:rPr>
        <w:t xml:space="preserve">.  </w:t>
      </w:r>
      <w:r>
        <w:rPr>
          <w:szCs w:val="24"/>
        </w:rPr>
        <w:t xml:space="preserve">There </w:t>
      </w:r>
      <w:r w:rsidR="00E952D1">
        <w:rPr>
          <w:szCs w:val="24"/>
        </w:rPr>
        <w:t>is</w:t>
      </w:r>
      <w:r w:rsidR="00736342">
        <w:rPr>
          <w:szCs w:val="24"/>
        </w:rPr>
        <w:t xml:space="preserve"> </w:t>
      </w:r>
      <w:r>
        <w:rPr>
          <w:szCs w:val="24"/>
        </w:rPr>
        <w:t xml:space="preserve">no separate fee for </w:t>
      </w:r>
      <w:r w:rsidRPr="00335BC5">
        <w:rPr>
          <w:szCs w:val="24"/>
        </w:rPr>
        <w:t>corporations</w:t>
      </w:r>
      <w:r>
        <w:rPr>
          <w:szCs w:val="24"/>
        </w:rPr>
        <w:t xml:space="preserve"> or publicly listed companies</w:t>
      </w:r>
      <w:r w:rsidRPr="00335BC5">
        <w:rPr>
          <w:szCs w:val="24"/>
        </w:rPr>
        <w:t>.</w:t>
      </w:r>
    </w:p>
    <w:p w:rsidR="00AF7B5B" w:rsidRDefault="00AF7B5B" w:rsidP="0057660E">
      <w:pPr>
        <w:spacing w:before="0"/>
        <w:ind w:right="91"/>
        <w:rPr>
          <w:i/>
        </w:rPr>
      </w:pPr>
    </w:p>
    <w:p w:rsidR="0057660E" w:rsidRDefault="00FA05DE" w:rsidP="0057660E">
      <w:pPr>
        <w:spacing w:before="0"/>
        <w:ind w:right="91"/>
      </w:pPr>
      <w:r>
        <w:rPr>
          <w:i/>
        </w:rPr>
        <w:t>I</w:t>
      </w:r>
      <w:r w:rsidR="00F45D76">
        <w:rPr>
          <w:i/>
        </w:rPr>
        <w:t xml:space="preserve">tem 213 – </w:t>
      </w:r>
      <w:r w:rsidR="0057660E" w:rsidRPr="0057660E">
        <w:rPr>
          <w:i/>
        </w:rPr>
        <w:t>Consumer</w:t>
      </w:r>
      <w:r w:rsidR="00F45D76">
        <w:rPr>
          <w:i/>
        </w:rPr>
        <w:t xml:space="preserve"> </w:t>
      </w:r>
      <w:r w:rsidR="0057660E" w:rsidRPr="0057660E">
        <w:rPr>
          <w:i/>
        </w:rPr>
        <w:t>credit small claims proceedings</w:t>
      </w:r>
      <w:r w:rsidR="0057660E" w:rsidRPr="0057660E">
        <w:rPr>
          <w:i/>
        </w:rPr>
        <w:tab/>
      </w:r>
    </w:p>
    <w:p w:rsidR="00F45D76" w:rsidRDefault="00F45D76" w:rsidP="0057660E">
      <w:pPr>
        <w:spacing w:before="0"/>
        <w:ind w:right="91"/>
      </w:pPr>
    </w:p>
    <w:p w:rsidR="002D2F56" w:rsidRPr="00AF17F3" w:rsidRDefault="00FA05DE" w:rsidP="001942BF">
      <w:pPr>
        <w:spacing w:before="0"/>
        <w:ind w:right="91"/>
      </w:pPr>
      <w:r>
        <w:lastRenderedPageBreak/>
        <w:t xml:space="preserve">This item </w:t>
      </w:r>
      <w:r w:rsidR="00E952D1">
        <w:rPr>
          <w:szCs w:val="24"/>
        </w:rPr>
        <w:t>introduces</w:t>
      </w:r>
      <w:r w:rsidR="00E952D1" w:rsidRPr="00047D47">
        <w:rPr>
          <w:szCs w:val="24"/>
        </w:rPr>
        <w:t xml:space="preserve"> </w:t>
      </w:r>
      <w:r w:rsidR="0057660E">
        <w:t xml:space="preserve">a </w:t>
      </w:r>
      <w:r>
        <w:t xml:space="preserve">lower fee for </w:t>
      </w:r>
      <w:r w:rsidR="0057660E">
        <w:t xml:space="preserve">consumer credit matters </w:t>
      </w:r>
      <w:r>
        <w:t>utilising the small claims procedure</w:t>
      </w:r>
      <w:r w:rsidR="009E34B7">
        <w:t xml:space="preserve">, with the fee amount set at the same </w:t>
      </w:r>
      <w:r>
        <w:t xml:space="preserve">rate </w:t>
      </w:r>
      <w:r w:rsidR="0057660E">
        <w:t xml:space="preserve">as </w:t>
      </w:r>
      <w:r>
        <w:t xml:space="preserve">fee items 211 and 212 for applications under the </w:t>
      </w:r>
      <w:r>
        <w:rPr>
          <w:i/>
        </w:rPr>
        <w:t>Fair Work Act 2009</w:t>
      </w:r>
      <w:r w:rsidR="0057660E">
        <w:t>.</w:t>
      </w:r>
      <w:r>
        <w:t xml:space="preserve">  </w:t>
      </w:r>
    </w:p>
    <w:p w:rsidR="002D2F56" w:rsidRDefault="002D2F56" w:rsidP="001942BF">
      <w:pPr>
        <w:spacing w:before="0"/>
        <w:ind w:right="91"/>
        <w:rPr>
          <w:i/>
          <w:szCs w:val="24"/>
        </w:rPr>
      </w:pPr>
    </w:p>
    <w:p w:rsidR="001942BF" w:rsidRPr="00113863" w:rsidRDefault="001942BF" w:rsidP="001942BF">
      <w:pPr>
        <w:spacing w:before="0"/>
        <w:ind w:right="91"/>
        <w:rPr>
          <w:i/>
          <w:szCs w:val="24"/>
        </w:rPr>
      </w:pPr>
      <w:r w:rsidRPr="00113863">
        <w:rPr>
          <w:i/>
          <w:szCs w:val="24"/>
        </w:rPr>
        <w:t xml:space="preserve">Item </w:t>
      </w:r>
      <w:r>
        <w:rPr>
          <w:i/>
          <w:szCs w:val="24"/>
        </w:rPr>
        <w:t>217</w:t>
      </w:r>
      <w:r w:rsidRPr="00113863">
        <w:rPr>
          <w:i/>
          <w:szCs w:val="24"/>
        </w:rPr>
        <w:t xml:space="preserve"> – Examinations in bankruptcy and winding up</w:t>
      </w:r>
    </w:p>
    <w:p w:rsidR="001942BF" w:rsidRDefault="001942BF" w:rsidP="001942BF">
      <w:pPr>
        <w:spacing w:before="0"/>
        <w:ind w:right="91"/>
        <w:rPr>
          <w:szCs w:val="24"/>
        </w:rPr>
      </w:pPr>
    </w:p>
    <w:p w:rsidR="001942BF" w:rsidRDefault="001942BF" w:rsidP="001942BF">
      <w:pPr>
        <w:spacing w:before="0"/>
        <w:ind w:right="91"/>
        <w:rPr>
          <w:szCs w:val="24"/>
        </w:rPr>
      </w:pPr>
      <w:r>
        <w:rPr>
          <w:szCs w:val="24"/>
        </w:rPr>
        <w:t xml:space="preserve">This item </w:t>
      </w:r>
      <w:r w:rsidR="00E952D1">
        <w:rPr>
          <w:szCs w:val="24"/>
        </w:rPr>
        <w:t>introduces</w:t>
      </w:r>
      <w:r w:rsidR="00E952D1" w:rsidRPr="00047D47">
        <w:rPr>
          <w:szCs w:val="24"/>
        </w:rPr>
        <w:t xml:space="preserve"> </w:t>
      </w:r>
      <w:r w:rsidRPr="00113863">
        <w:rPr>
          <w:szCs w:val="24"/>
        </w:rPr>
        <w:t>a daily hearing fee for</w:t>
      </w:r>
      <w:r w:rsidR="00770215">
        <w:rPr>
          <w:szCs w:val="24"/>
        </w:rPr>
        <w:t xml:space="preserve"> examinations by a r</w:t>
      </w:r>
      <w:r>
        <w:rPr>
          <w:szCs w:val="24"/>
        </w:rPr>
        <w:t xml:space="preserve">egistrar in </w:t>
      </w:r>
      <w:r w:rsidRPr="00113863">
        <w:rPr>
          <w:szCs w:val="24"/>
        </w:rPr>
        <w:t>corporations (winding up) and bankruptcy matters</w:t>
      </w:r>
      <w:r>
        <w:rPr>
          <w:szCs w:val="24"/>
        </w:rPr>
        <w:t>.</w:t>
      </w:r>
    </w:p>
    <w:p w:rsidR="00AF7B5B" w:rsidRDefault="00AF7B5B" w:rsidP="001942BF">
      <w:pPr>
        <w:spacing w:before="0"/>
        <w:ind w:right="91"/>
        <w:rPr>
          <w:szCs w:val="24"/>
        </w:rPr>
      </w:pPr>
    </w:p>
    <w:p w:rsidR="00AF7B5B" w:rsidRDefault="00AF7B5B" w:rsidP="00AF7B5B">
      <w:pPr>
        <w:spacing w:before="0"/>
        <w:ind w:right="91"/>
        <w:rPr>
          <w:i/>
          <w:szCs w:val="24"/>
        </w:rPr>
      </w:pPr>
      <w:r>
        <w:rPr>
          <w:i/>
          <w:szCs w:val="24"/>
        </w:rPr>
        <w:t>Item 218 – For the hearing of an application under subsection 104(3) of the Federal Magistrates Act</w:t>
      </w:r>
    </w:p>
    <w:p w:rsidR="00AF7B5B" w:rsidRDefault="00AF7B5B" w:rsidP="00AF7B5B">
      <w:pPr>
        <w:spacing w:before="0"/>
        <w:ind w:right="91"/>
        <w:rPr>
          <w:i/>
          <w:szCs w:val="24"/>
        </w:rPr>
      </w:pPr>
    </w:p>
    <w:p w:rsidR="00AF7B5B" w:rsidRDefault="00AF7B5B" w:rsidP="00AF7B5B">
      <w:pPr>
        <w:spacing w:before="0"/>
        <w:ind w:right="91"/>
        <w:rPr>
          <w:szCs w:val="24"/>
        </w:rPr>
      </w:pPr>
      <w:r>
        <w:rPr>
          <w:szCs w:val="24"/>
        </w:rPr>
        <w:t xml:space="preserve">This item </w:t>
      </w:r>
      <w:r w:rsidR="00E952D1">
        <w:rPr>
          <w:szCs w:val="24"/>
        </w:rPr>
        <w:t>introduces</w:t>
      </w:r>
      <w:r w:rsidR="00E952D1" w:rsidRPr="00047D47">
        <w:rPr>
          <w:szCs w:val="24"/>
        </w:rPr>
        <w:t xml:space="preserve"> </w:t>
      </w:r>
      <w:r>
        <w:rPr>
          <w:szCs w:val="24"/>
        </w:rPr>
        <w:t>a daily hearing fee for a review under subsection 104(3) of the Federal Magistrates Act.  Hearing fees</w:t>
      </w:r>
      <w:r w:rsidR="00770215">
        <w:rPr>
          <w:szCs w:val="24"/>
        </w:rPr>
        <w:t xml:space="preserve"> for reviewing a decision of a r</w:t>
      </w:r>
      <w:r>
        <w:rPr>
          <w:szCs w:val="24"/>
        </w:rPr>
        <w:t xml:space="preserve">egistrar </w:t>
      </w:r>
      <w:r w:rsidR="00C90929" w:rsidRPr="00634159">
        <w:rPr>
          <w:szCs w:val="24"/>
        </w:rPr>
        <w:t>are</w:t>
      </w:r>
      <w:r w:rsidRPr="00634159">
        <w:rPr>
          <w:szCs w:val="24"/>
        </w:rPr>
        <w:t xml:space="preserve"> charged</w:t>
      </w:r>
      <w:r>
        <w:rPr>
          <w:szCs w:val="24"/>
        </w:rPr>
        <w:t xml:space="preserve"> in the Federal Court.</w:t>
      </w:r>
    </w:p>
    <w:p w:rsidR="0057660E" w:rsidRDefault="0057660E" w:rsidP="0057660E">
      <w:pPr>
        <w:spacing w:before="0"/>
        <w:ind w:right="91"/>
      </w:pPr>
    </w:p>
    <w:p w:rsidR="0057660E" w:rsidRDefault="00FA05DE" w:rsidP="00B01902">
      <w:pPr>
        <w:keepNext/>
        <w:spacing w:before="0"/>
        <w:ind w:right="91"/>
      </w:pPr>
      <w:r>
        <w:rPr>
          <w:i/>
        </w:rPr>
        <w:t>Item 219 – Production of file and photocopying</w:t>
      </w:r>
      <w:r w:rsidR="0057660E">
        <w:tab/>
      </w:r>
    </w:p>
    <w:p w:rsidR="0057660E" w:rsidRDefault="0057660E" w:rsidP="00B01902">
      <w:pPr>
        <w:keepNext/>
        <w:spacing w:before="0"/>
        <w:ind w:right="91"/>
      </w:pPr>
    </w:p>
    <w:p w:rsidR="00FA05DE" w:rsidRDefault="00FA05DE" w:rsidP="0057660E">
      <w:pPr>
        <w:spacing w:before="0"/>
        <w:ind w:right="91"/>
      </w:pPr>
      <w:r>
        <w:t xml:space="preserve">This item </w:t>
      </w:r>
      <w:r w:rsidR="00736342">
        <w:t>clarif</w:t>
      </w:r>
      <w:r w:rsidR="00E952D1">
        <w:t>ies</w:t>
      </w:r>
      <w:r>
        <w:t xml:space="preserve"> that there is a fee for </w:t>
      </w:r>
      <w:r w:rsidR="0057660E">
        <w:t xml:space="preserve">photocopying </w:t>
      </w:r>
      <w:r>
        <w:t xml:space="preserve">in the </w:t>
      </w:r>
      <w:r w:rsidR="0057660E">
        <w:t>FMC</w:t>
      </w:r>
      <w:r>
        <w:t xml:space="preserve">.  This fee </w:t>
      </w:r>
      <w:r w:rsidR="00E952D1">
        <w:t xml:space="preserve">is </w:t>
      </w:r>
      <w:r>
        <w:t xml:space="preserve">at the same rate as the Federal Court fee and </w:t>
      </w:r>
      <w:r w:rsidR="00E952D1">
        <w:t>is</w:t>
      </w:r>
      <w:r w:rsidR="00736342">
        <w:t xml:space="preserve"> </w:t>
      </w:r>
      <w:r>
        <w:t>structured consistently with how it is charged in the Federal Court where the fee for each page is ch</w:t>
      </w:r>
      <w:r w:rsidR="00FC292A">
        <w:t>arged in addition to the fee which covers</w:t>
      </w:r>
      <w:r>
        <w:t xml:space="preserve"> the production of the file</w:t>
      </w:r>
      <w:r w:rsidR="00CE4F96">
        <w:t xml:space="preserve"> and request for </w:t>
      </w:r>
      <w:r w:rsidR="00845B1F">
        <w:t>photocopying</w:t>
      </w:r>
      <w:r>
        <w:t>.</w:t>
      </w:r>
    </w:p>
    <w:p w:rsidR="0057660E" w:rsidRDefault="0057660E" w:rsidP="0057660E">
      <w:pPr>
        <w:spacing w:before="0"/>
        <w:ind w:right="91"/>
      </w:pPr>
    </w:p>
    <w:p w:rsidR="0057660E" w:rsidRPr="00FA05DE" w:rsidRDefault="00770215" w:rsidP="00B01902">
      <w:pPr>
        <w:keepNext/>
        <w:spacing w:before="0"/>
        <w:ind w:right="91"/>
        <w:rPr>
          <w:i/>
        </w:rPr>
      </w:pPr>
      <w:r>
        <w:rPr>
          <w:i/>
        </w:rPr>
        <w:t>Item 222 – F</w:t>
      </w:r>
      <w:r w:rsidR="00FA05DE" w:rsidRPr="00FA05DE">
        <w:rPr>
          <w:i/>
        </w:rPr>
        <w:t>ee for issuing a s</w:t>
      </w:r>
      <w:r w:rsidR="0057660E" w:rsidRPr="00FA05DE">
        <w:rPr>
          <w:i/>
        </w:rPr>
        <w:t>ubpoena</w:t>
      </w:r>
      <w:r w:rsidR="0057660E" w:rsidRPr="00FA05DE">
        <w:rPr>
          <w:i/>
        </w:rPr>
        <w:tab/>
      </w:r>
    </w:p>
    <w:p w:rsidR="0057660E" w:rsidRDefault="0057660E" w:rsidP="0057660E">
      <w:pPr>
        <w:spacing w:before="0"/>
        <w:ind w:right="91"/>
      </w:pPr>
    </w:p>
    <w:p w:rsidR="00FA05DE" w:rsidRDefault="00FA05DE" w:rsidP="00FA05DE">
      <w:pPr>
        <w:spacing w:before="0"/>
        <w:ind w:right="91"/>
      </w:pPr>
      <w:r>
        <w:t xml:space="preserve">This item </w:t>
      </w:r>
      <w:r w:rsidR="00E952D1">
        <w:rPr>
          <w:szCs w:val="24"/>
        </w:rPr>
        <w:t>introduces</w:t>
      </w:r>
      <w:r w:rsidR="00E952D1" w:rsidRPr="00047D47">
        <w:rPr>
          <w:szCs w:val="24"/>
        </w:rPr>
        <w:t xml:space="preserve"> </w:t>
      </w:r>
      <w:r>
        <w:t xml:space="preserve">a specific fee for issuing a </w:t>
      </w:r>
      <w:r w:rsidR="0057660E">
        <w:t xml:space="preserve">subpoena </w:t>
      </w:r>
      <w:r>
        <w:t xml:space="preserve">in the FMC.  This </w:t>
      </w:r>
      <w:r w:rsidR="00E952D1">
        <w:t xml:space="preserve">is </w:t>
      </w:r>
      <w:r>
        <w:t>consistent with the Federal Court where a fee is charged for issuing a subpoena.</w:t>
      </w:r>
    </w:p>
    <w:p w:rsidR="00BA77B3" w:rsidRDefault="00BA77B3" w:rsidP="001942BF">
      <w:pPr>
        <w:spacing w:before="0"/>
        <w:ind w:right="91"/>
        <w:rPr>
          <w:i/>
        </w:rPr>
      </w:pPr>
    </w:p>
    <w:p w:rsidR="001942BF" w:rsidRPr="001942BF" w:rsidRDefault="00FA05DE" w:rsidP="001942BF">
      <w:pPr>
        <w:spacing w:before="0"/>
        <w:ind w:right="91"/>
        <w:rPr>
          <w:i/>
        </w:rPr>
      </w:pPr>
      <w:r>
        <w:rPr>
          <w:i/>
        </w:rPr>
        <w:t>Item 2</w:t>
      </w:r>
      <w:r w:rsidRPr="00FA05DE">
        <w:rPr>
          <w:i/>
        </w:rPr>
        <w:t>2</w:t>
      </w:r>
      <w:r>
        <w:rPr>
          <w:i/>
        </w:rPr>
        <w:t>3</w:t>
      </w:r>
      <w:r w:rsidRPr="00FA05DE">
        <w:rPr>
          <w:i/>
        </w:rPr>
        <w:t xml:space="preserve"> </w:t>
      </w:r>
      <w:r w:rsidR="001942BF">
        <w:rPr>
          <w:i/>
          <w:szCs w:val="24"/>
        </w:rPr>
        <w:t>– Bankruptcy summons</w:t>
      </w:r>
    </w:p>
    <w:p w:rsidR="001942BF" w:rsidRDefault="001942BF" w:rsidP="001942BF">
      <w:pPr>
        <w:spacing w:before="0"/>
        <w:ind w:right="91"/>
        <w:rPr>
          <w:szCs w:val="24"/>
        </w:rPr>
      </w:pPr>
    </w:p>
    <w:p w:rsidR="001942BF" w:rsidRDefault="001942BF" w:rsidP="001942BF">
      <w:pPr>
        <w:spacing w:before="0"/>
        <w:ind w:right="91"/>
        <w:rPr>
          <w:szCs w:val="24"/>
        </w:rPr>
      </w:pPr>
      <w:r>
        <w:rPr>
          <w:szCs w:val="24"/>
        </w:rPr>
        <w:t xml:space="preserve">This item </w:t>
      </w:r>
      <w:r w:rsidR="00E952D1">
        <w:rPr>
          <w:szCs w:val="24"/>
        </w:rPr>
        <w:t>introduces</w:t>
      </w:r>
      <w:r w:rsidR="00E952D1" w:rsidRPr="00047D47">
        <w:rPr>
          <w:szCs w:val="24"/>
        </w:rPr>
        <w:t xml:space="preserve"> </w:t>
      </w:r>
      <w:r w:rsidRPr="007E6363">
        <w:rPr>
          <w:szCs w:val="24"/>
        </w:rPr>
        <w:t>a fee for issuing a summons to a p</w:t>
      </w:r>
      <w:r>
        <w:rPr>
          <w:szCs w:val="24"/>
        </w:rPr>
        <w:t xml:space="preserve">erson to attend for examination about </w:t>
      </w:r>
      <w:r w:rsidRPr="007E6363">
        <w:rPr>
          <w:szCs w:val="24"/>
        </w:rPr>
        <w:t xml:space="preserve">a debtor's examinable affairs.  </w:t>
      </w:r>
    </w:p>
    <w:p w:rsidR="001942BF" w:rsidRPr="00FF0C51" w:rsidRDefault="001942BF" w:rsidP="00FA05DE">
      <w:pPr>
        <w:spacing w:before="0"/>
        <w:ind w:right="91"/>
      </w:pPr>
    </w:p>
    <w:p w:rsidR="001942BF" w:rsidRPr="00330CC2" w:rsidRDefault="001942BF" w:rsidP="001942BF">
      <w:pPr>
        <w:spacing w:before="0"/>
        <w:ind w:right="91"/>
        <w:rPr>
          <w:i/>
          <w:szCs w:val="24"/>
        </w:rPr>
      </w:pPr>
      <w:r w:rsidRPr="00330CC2">
        <w:rPr>
          <w:i/>
          <w:szCs w:val="24"/>
        </w:rPr>
        <w:t xml:space="preserve">Item </w:t>
      </w:r>
      <w:r>
        <w:rPr>
          <w:i/>
          <w:szCs w:val="24"/>
        </w:rPr>
        <w:t>224</w:t>
      </w:r>
      <w:r w:rsidRPr="00330CC2">
        <w:rPr>
          <w:i/>
          <w:szCs w:val="24"/>
        </w:rPr>
        <w:t xml:space="preserve"> –</w:t>
      </w:r>
      <w:r>
        <w:rPr>
          <w:i/>
          <w:szCs w:val="24"/>
        </w:rPr>
        <w:t xml:space="preserve"> M</w:t>
      </w:r>
      <w:r w:rsidRPr="00330CC2">
        <w:rPr>
          <w:i/>
          <w:szCs w:val="24"/>
        </w:rPr>
        <w:t>ediation</w:t>
      </w:r>
    </w:p>
    <w:p w:rsidR="001942BF" w:rsidRDefault="001942BF" w:rsidP="001942BF">
      <w:pPr>
        <w:spacing w:before="0"/>
        <w:ind w:right="91"/>
        <w:rPr>
          <w:szCs w:val="24"/>
        </w:rPr>
      </w:pPr>
    </w:p>
    <w:p w:rsidR="001942BF" w:rsidRDefault="001942BF" w:rsidP="001942BF">
      <w:pPr>
        <w:spacing w:before="0"/>
        <w:ind w:right="91"/>
        <w:rPr>
          <w:szCs w:val="24"/>
        </w:rPr>
      </w:pPr>
      <w:r>
        <w:rPr>
          <w:szCs w:val="24"/>
        </w:rPr>
        <w:t xml:space="preserve">This item </w:t>
      </w:r>
      <w:r w:rsidR="00736342">
        <w:rPr>
          <w:szCs w:val="24"/>
        </w:rPr>
        <w:t>update</w:t>
      </w:r>
      <w:r w:rsidR="00E952D1">
        <w:rPr>
          <w:szCs w:val="24"/>
        </w:rPr>
        <w:t>s</w:t>
      </w:r>
      <w:r>
        <w:rPr>
          <w:szCs w:val="24"/>
        </w:rPr>
        <w:t xml:space="preserve"> the </w:t>
      </w:r>
      <w:r w:rsidRPr="00330CC2">
        <w:rPr>
          <w:szCs w:val="24"/>
        </w:rPr>
        <w:t xml:space="preserve">mediation fee </w:t>
      </w:r>
      <w:r>
        <w:rPr>
          <w:szCs w:val="24"/>
        </w:rPr>
        <w:t xml:space="preserve">in item 14 of Schedule 1 </w:t>
      </w:r>
      <w:r w:rsidR="007943D9">
        <w:rPr>
          <w:szCs w:val="24"/>
        </w:rPr>
        <w:t>to</w:t>
      </w:r>
      <w:r>
        <w:rPr>
          <w:szCs w:val="24"/>
        </w:rPr>
        <w:t xml:space="preserve"> the </w:t>
      </w:r>
      <w:r w:rsidR="007943D9">
        <w:rPr>
          <w:szCs w:val="24"/>
        </w:rPr>
        <w:t>Federal </w:t>
      </w:r>
      <w:r w:rsidR="00770215">
        <w:rPr>
          <w:szCs w:val="24"/>
        </w:rPr>
        <w:t>Magistrates</w:t>
      </w:r>
      <w:r w:rsidR="00736342">
        <w:rPr>
          <w:szCs w:val="24"/>
        </w:rPr>
        <w:t> </w:t>
      </w:r>
      <w:r w:rsidR="00C73075">
        <w:rPr>
          <w:szCs w:val="24"/>
        </w:rPr>
        <w:t>Regulations</w:t>
      </w:r>
      <w:r>
        <w:rPr>
          <w:szCs w:val="24"/>
        </w:rPr>
        <w:t xml:space="preserve"> </w:t>
      </w:r>
      <w:r w:rsidRPr="00330CC2">
        <w:rPr>
          <w:szCs w:val="24"/>
        </w:rPr>
        <w:t xml:space="preserve">so that </w:t>
      </w:r>
      <w:r>
        <w:rPr>
          <w:szCs w:val="24"/>
        </w:rPr>
        <w:t xml:space="preserve">the fee </w:t>
      </w:r>
      <w:r w:rsidRPr="00330CC2">
        <w:rPr>
          <w:szCs w:val="24"/>
        </w:rPr>
        <w:t xml:space="preserve">charged </w:t>
      </w:r>
      <w:r>
        <w:rPr>
          <w:szCs w:val="24"/>
        </w:rPr>
        <w:t xml:space="preserve">is for each </w:t>
      </w:r>
      <w:r w:rsidRPr="00330CC2">
        <w:rPr>
          <w:szCs w:val="24"/>
        </w:rPr>
        <w:t xml:space="preserve">attendance rather than </w:t>
      </w:r>
      <w:r>
        <w:rPr>
          <w:szCs w:val="24"/>
        </w:rPr>
        <w:t xml:space="preserve">for </w:t>
      </w:r>
      <w:r w:rsidRPr="00330CC2">
        <w:rPr>
          <w:szCs w:val="24"/>
        </w:rPr>
        <w:t xml:space="preserve">just </w:t>
      </w:r>
      <w:r>
        <w:rPr>
          <w:szCs w:val="24"/>
        </w:rPr>
        <w:t xml:space="preserve">the </w:t>
      </w:r>
      <w:r w:rsidRPr="00330CC2">
        <w:rPr>
          <w:szCs w:val="24"/>
        </w:rPr>
        <w:t xml:space="preserve">first attendance.  </w:t>
      </w:r>
    </w:p>
    <w:p w:rsidR="00DC32D6" w:rsidRDefault="00DC32D6" w:rsidP="00DC32D6">
      <w:pPr>
        <w:spacing w:before="0"/>
        <w:ind w:right="91"/>
      </w:pPr>
    </w:p>
    <w:p w:rsidR="00DC32D6" w:rsidRPr="008F05E9" w:rsidRDefault="00DC32D6" w:rsidP="0019627C">
      <w:pPr>
        <w:spacing w:before="80"/>
        <w:ind w:right="91"/>
        <w:rPr>
          <w:u w:val="single"/>
        </w:rPr>
      </w:pPr>
      <w:r w:rsidRPr="008F05E9">
        <w:rPr>
          <w:u w:val="single"/>
        </w:rPr>
        <w:t>Schedule 2</w:t>
      </w:r>
      <w:r>
        <w:rPr>
          <w:u w:val="single"/>
        </w:rPr>
        <w:t xml:space="preserve"> </w:t>
      </w:r>
      <w:r w:rsidR="00776E41">
        <w:rPr>
          <w:u w:val="single"/>
        </w:rPr>
        <w:t xml:space="preserve">– </w:t>
      </w:r>
      <w:r>
        <w:rPr>
          <w:u w:val="single"/>
        </w:rPr>
        <w:t>Remuneration and allowances</w:t>
      </w:r>
    </w:p>
    <w:p w:rsidR="00DC32D6" w:rsidRDefault="00DC32D6" w:rsidP="00DC32D6">
      <w:pPr>
        <w:spacing w:after="120"/>
        <w:ind w:right="91"/>
      </w:pPr>
      <w:r>
        <w:t xml:space="preserve">Part 3 of the Regulation </w:t>
      </w:r>
      <w:r w:rsidR="00736342">
        <w:t>prescribe</w:t>
      </w:r>
      <w:r w:rsidR="00E952D1">
        <w:t>s</w:t>
      </w:r>
      <w:r>
        <w:t xml:space="preserve"> that remuneration and allowances are payable for jurors and potential jurors, as set out in Schedule 2.  </w:t>
      </w:r>
    </w:p>
    <w:p w:rsidR="00DC32D6" w:rsidRDefault="00DC32D6" w:rsidP="00DC32D6">
      <w:pPr>
        <w:spacing w:after="120"/>
        <w:ind w:right="91"/>
      </w:pPr>
      <w:r>
        <w:t xml:space="preserve">Schedule </w:t>
      </w:r>
      <w:r w:rsidR="007943D9">
        <w:t xml:space="preserve">2 </w:t>
      </w:r>
      <w:r>
        <w:t>update</w:t>
      </w:r>
      <w:r w:rsidR="00E952D1">
        <w:t>s</w:t>
      </w:r>
      <w:r>
        <w:t xml:space="preserve"> the amounts payable for</w:t>
      </w:r>
      <w:r w:rsidRPr="002847AF">
        <w:t xml:space="preserve"> </w:t>
      </w:r>
      <w:r>
        <w:t xml:space="preserve">jurors’ remuneration and allowances as provided in Schedule 4 </w:t>
      </w:r>
      <w:r w:rsidR="00E810BF">
        <w:t>to</w:t>
      </w:r>
      <w:r>
        <w:t xml:space="preserve"> the </w:t>
      </w:r>
      <w:r w:rsidR="008C6E81">
        <w:t xml:space="preserve">Federal Court Regulations </w:t>
      </w:r>
      <w:r>
        <w:rPr>
          <w:szCs w:val="24"/>
        </w:rPr>
        <w:t xml:space="preserve">to reflect the </w:t>
      </w:r>
      <w:r w:rsidR="00736342">
        <w:rPr>
          <w:szCs w:val="24"/>
        </w:rPr>
        <w:t xml:space="preserve">biennial increase on 1 July 2012, in accordance with </w:t>
      </w:r>
      <w:r w:rsidR="00736342">
        <w:t>reg</w:t>
      </w:r>
      <w:r w:rsidR="00C90929">
        <w:t>ulation</w:t>
      </w:r>
      <w:r w:rsidR="00736342">
        <w:t> </w:t>
      </w:r>
      <w:r>
        <w:t>15B of</w:t>
      </w:r>
      <w:r w:rsidR="00EE0672">
        <w:t xml:space="preserve"> the</w:t>
      </w:r>
      <w:r>
        <w:t xml:space="preserve"> </w:t>
      </w:r>
      <w:r w:rsidR="00736342">
        <w:t xml:space="preserve">Federal Court Regulations. </w:t>
      </w:r>
    </w:p>
    <w:p w:rsidR="00DC32D6" w:rsidRDefault="00DC32D6" w:rsidP="00DC32D6">
      <w:pPr>
        <w:spacing w:before="0"/>
        <w:ind w:right="91"/>
      </w:pPr>
    </w:p>
    <w:sectPr w:rsidR="00DC32D6" w:rsidSect="00D95738">
      <w:footerReference w:type="default" r:id="rId8"/>
      <w:type w:val="continuous"/>
      <w:pgSz w:w="11907" w:h="16840" w:code="9"/>
      <w:pgMar w:top="1134" w:right="1797" w:bottom="1134" w:left="179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444" w:rsidRDefault="00AE5444" w:rsidP="000E25AD">
      <w:pPr>
        <w:spacing w:before="0"/>
      </w:pPr>
      <w:r>
        <w:separator/>
      </w:r>
    </w:p>
  </w:endnote>
  <w:endnote w:type="continuationSeparator" w:id="0">
    <w:p w:rsidR="00AE5444" w:rsidRDefault="00AE5444" w:rsidP="000E25A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B88" w:rsidRDefault="0073175F">
    <w:pPr>
      <w:pStyle w:val="Footer"/>
      <w:jc w:val="center"/>
    </w:pPr>
    <w:r>
      <w:fldChar w:fldCharType="begin"/>
    </w:r>
    <w:r w:rsidR="009E3B88">
      <w:instrText xml:space="preserve"> PAGE   \* MERGEFORMAT </w:instrText>
    </w:r>
    <w:r>
      <w:fldChar w:fldCharType="separate"/>
    </w:r>
    <w:r w:rsidR="004A2769">
      <w:rPr>
        <w:noProof/>
      </w:rPr>
      <w:t>4</w:t>
    </w:r>
    <w:r>
      <w:rPr>
        <w:noProof/>
      </w:rPr>
      <w:fldChar w:fldCharType="end"/>
    </w:r>
  </w:p>
  <w:p w:rsidR="009E3B88" w:rsidRDefault="009E3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444" w:rsidRDefault="00AE5444" w:rsidP="000E25AD">
      <w:pPr>
        <w:spacing w:before="0"/>
      </w:pPr>
      <w:r>
        <w:separator/>
      </w:r>
    </w:p>
  </w:footnote>
  <w:footnote w:type="continuationSeparator" w:id="0">
    <w:p w:rsidR="00AE5444" w:rsidRDefault="00AE5444" w:rsidP="000E25A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9C4"/>
    <w:multiLevelType w:val="hybridMultilevel"/>
    <w:tmpl w:val="86C23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2A3589"/>
    <w:multiLevelType w:val="hybridMultilevel"/>
    <w:tmpl w:val="05001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9A5955"/>
    <w:multiLevelType w:val="hybridMultilevel"/>
    <w:tmpl w:val="14FA399A"/>
    <w:lvl w:ilvl="0" w:tplc="0980B56A">
      <w:numFmt w:val="bullet"/>
      <w:lvlText w:val=""/>
      <w:lvlJc w:val="left"/>
      <w:pPr>
        <w:ind w:left="795" w:hanging="405"/>
      </w:pPr>
      <w:rPr>
        <w:rFonts w:ascii="Symbol" w:eastAsia="Calibri" w:hAnsi="Symbol" w:cs="Times New Roman"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
    <w:nsid w:val="1AAC0153"/>
    <w:multiLevelType w:val="hybridMultilevel"/>
    <w:tmpl w:val="86EA4832"/>
    <w:lvl w:ilvl="0" w:tplc="03CE6C7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E74874"/>
    <w:multiLevelType w:val="hybridMultilevel"/>
    <w:tmpl w:val="A1AA7FA4"/>
    <w:lvl w:ilvl="0" w:tplc="EC64390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B631D3"/>
    <w:multiLevelType w:val="hybridMultilevel"/>
    <w:tmpl w:val="F126CEE4"/>
    <w:lvl w:ilvl="0" w:tplc="8EF48C38">
      <w:start w:val="1"/>
      <w:numFmt w:val="decimal"/>
      <w:pStyle w:val="ItemX"/>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104971"/>
    <w:multiLevelType w:val="hybridMultilevel"/>
    <w:tmpl w:val="C1F8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9">
    <w:nsid w:val="3A9C2CDD"/>
    <w:multiLevelType w:val="hybridMultilevel"/>
    <w:tmpl w:val="F7F64F6A"/>
    <w:lvl w:ilvl="0" w:tplc="EC64390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58479E"/>
    <w:multiLevelType w:val="hybridMultilevel"/>
    <w:tmpl w:val="EFD07F4C"/>
    <w:lvl w:ilvl="0" w:tplc="EC64390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5F7680"/>
    <w:multiLevelType w:val="hybridMultilevel"/>
    <w:tmpl w:val="81DA16C6"/>
    <w:lvl w:ilvl="0" w:tplc="A7A02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FD4A52"/>
    <w:multiLevelType w:val="hybridMultilevel"/>
    <w:tmpl w:val="F7E4AC8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2E0478"/>
    <w:multiLevelType w:val="singleLevel"/>
    <w:tmpl w:val="8408B4BE"/>
    <w:lvl w:ilvl="0">
      <w:start w:val="2"/>
      <w:numFmt w:val="decimal"/>
      <w:pStyle w:val="Paragraphnumbered"/>
      <w:lvlText w:val="%1."/>
      <w:legacy w:legacy="1" w:legacySpace="0" w:legacyIndent="567"/>
      <w:lvlJc w:val="left"/>
      <w:pPr>
        <w:ind w:left="567" w:hanging="567"/>
      </w:pPr>
    </w:lvl>
  </w:abstractNum>
  <w:abstractNum w:abstractNumId="14">
    <w:nsid w:val="521B1533"/>
    <w:multiLevelType w:val="hybridMultilevel"/>
    <w:tmpl w:val="54163C82"/>
    <w:lvl w:ilvl="0" w:tplc="F21A6BA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031BF7"/>
    <w:multiLevelType w:val="hybridMultilevel"/>
    <w:tmpl w:val="F43405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CA67C2"/>
    <w:multiLevelType w:val="hybridMultilevel"/>
    <w:tmpl w:val="769A956A"/>
    <w:lvl w:ilvl="0" w:tplc="A364C80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E9587D"/>
    <w:multiLevelType w:val="hybridMultilevel"/>
    <w:tmpl w:val="CA14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EB2F66"/>
    <w:multiLevelType w:val="hybridMultilevel"/>
    <w:tmpl w:val="0BA4D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2C167D"/>
    <w:multiLevelType w:val="hybridMultilevel"/>
    <w:tmpl w:val="7018E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1F21FF6"/>
    <w:multiLevelType w:val="hybridMultilevel"/>
    <w:tmpl w:val="8C48483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6157AC"/>
    <w:multiLevelType w:val="hybridMultilevel"/>
    <w:tmpl w:val="45FE8F2E"/>
    <w:lvl w:ilvl="0" w:tplc="A364C80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896CF5"/>
    <w:multiLevelType w:val="hybridMultilevel"/>
    <w:tmpl w:val="D0FE490E"/>
    <w:lvl w:ilvl="0" w:tplc="269CB13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7F1210"/>
    <w:multiLevelType w:val="hybridMultilevel"/>
    <w:tmpl w:val="36A8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F704954"/>
    <w:multiLevelType w:val="hybridMultilevel"/>
    <w:tmpl w:val="A5E84EA2"/>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num w:numId="1">
    <w:abstractNumId w:val="8"/>
  </w:num>
  <w:num w:numId="2">
    <w:abstractNumId w:val="13"/>
  </w:num>
  <w:num w:numId="3">
    <w:abstractNumId w:val="5"/>
  </w:num>
  <w:num w:numId="4">
    <w:abstractNumId w:val="20"/>
  </w:num>
  <w:num w:numId="5">
    <w:abstractNumId w:val="11"/>
  </w:num>
  <w:num w:numId="6">
    <w:abstractNumId w:val="25"/>
  </w:num>
  <w:num w:numId="7">
    <w:abstractNumId w:val="26"/>
  </w:num>
  <w:num w:numId="8">
    <w:abstractNumId w:val="2"/>
  </w:num>
  <w:num w:numId="9">
    <w:abstractNumId w:val="21"/>
  </w:num>
  <w:num w:numId="10">
    <w:abstractNumId w:val="1"/>
  </w:num>
  <w:num w:numId="11">
    <w:abstractNumId w:val="3"/>
  </w:num>
  <w:num w:numId="12">
    <w:abstractNumId w:val="14"/>
  </w:num>
  <w:num w:numId="13">
    <w:abstractNumId w:val="22"/>
  </w:num>
  <w:num w:numId="14">
    <w:abstractNumId w:val="17"/>
  </w:num>
  <w:num w:numId="15">
    <w:abstractNumId w:val="12"/>
  </w:num>
  <w:num w:numId="16">
    <w:abstractNumId w:val="16"/>
  </w:num>
  <w:num w:numId="17">
    <w:abstractNumId w:val="23"/>
  </w:num>
  <w:num w:numId="18">
    <w:abstractNumId w:val="9"/>
  </w:num>
  <w:num w:numId="19">
    <w:abstractNumId w:val="4"/>
  </w:num>
  <w:num w:numId="20">
    <w:abstractNumId w:val="7"/>
  </w:num>
  <w:num w:numId="21">
    <w:abstractNumId w:val="10"/>
  </w:num>
  <w:num w:numId="22">
    <w:abstractNumId w:val="19"/>
  </w:num>
  <w:num w:numId="23">
    <w:abstractNumId w:val="15"/>
  </w:num>
  <w:num w:numId="24">
    <w:abstractNumId w:val="18"/>
  </w:num>
  <w:num w:numId="25">
    <w:abstractNumId w:val="6"/>
  </w:num>
  <w:num w:numId="26">
    <w:abstractNumId w:val="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7B80"/>
    <w:rsid w:val="0001082D"/>
    <w:rsid w:val="000126EB"/>
    <w:rsid w:val="00016AB5"/>
    <w:rsid w:val="0001757A"/>
    <w:rsid w:val="00020B8B"/>
    <w:rsid w:val="00023ADE"/>
    <w:rsid w:val="00034312"/>
    <w:rsid w:val="00047D47"/>
    <w:rsid w:val="00053940"/>
    <w:rsid w:val="0005457C"/>
    <w:rsid w:val="00071357"/>
    <w:rsid w:val="000738E2"/>
    <w:rsid w:val="00074BB2"/>
    <w:rsid w:val="00076650"/>
    <w:rsid w:val="00076BFC"/>
    <w:rsid w:val="0008343B"/>
    <w:rsid w:val="0008450D"/>
    <w:rsid w:val="000854EA"/>
    <w:rsid w:val="000854F6"/>
    <w:rsid w:val="00087B41"/>
    <w:rsid w:val="00096331"/>
    <w:rsid w:val="000977F4"/>
    <w:rsid w:val="00097949"/>
    <w:rsid w:val="000A0361"/>
    <w:rsid w:val="000A49E1"/>
    <w:rsid w:val="000A615E"/>
    <w:rsid w:val="000B47F1"/>
    <w:rsid w:val="000B5163"/>
    <w:rsid w:val="000B5733"/>
    <w:rsid w:val="000C42D3"/>
    <w:rsid w:val="000C4B33"/>
    <w:rsid w:val="000D340B"/>
    <w:rsid w:val="000D77E0"/>
    <w:rsid w:val="000E0A50"/>
    <w:rsid w:val="000E25AD"/>
    <w:rsid w:val="000E491C"/>
    <w:rsid w:val="000E629F"/>
    <w:rsid w:val="000F1288"/>
    <w:rsid w:val="00101B43"/>
    <w:rsid w:val="0011328D"/>
    <w:rsid w:val="00113863"/>
    <w:rsid w:val="001154AC"/>
    <w:rsid w:val="00116BC2"/>
    <w:rsid w:val="001234C9"/>
    <w:rsid w:val="00123B35"/>
    <w:rsid w:val="00125841"/>
    <w:rsid w:val="001353EE"/>
    <w:rsid w:val="00155B10"/>
    <w:rsid w:val="0016612D"/>
    <w:rsid w:val="00167614"/>
    <w:rsid w:val="00170874"/>
    <w:rsid w:val="001813A8"/>
    <w:rsid w:val="00183B7C"/>
    <w:rsid w:val="001846CE"/>
    <w:rsid w:val="0019003C"/>
    <w:rsid w:val="001942BF"/>
    <w:rsid w:val="0019438A"/>
    <w:rsid w:val="0019627C"/>
    <w:rsid w:val="00197769"/>
    <w:rsid w:val="001A1AA7"/>
    <w:rsid w:val="001A31BB"/>
    <w:rsid w:val="001A3536"/>
    <w:rsid w:val="001B0384"/>
    <w:rsid w:val="001B0D39"/>
    <w:rsid w:val="001B3B1E"/>
    <w:rsid w:val="001C25F2"/>
    <w:rsid w:val="001D0A4C"/>
    <w:rsid w:val="001D24A7"/>
    <w:rsid w:val="001D4872"/>
    <w:rsid w:val="001D5B79"/>
    <w:rsid w:val="001E0B83"/>
    <w:rsid w:val="001E284C"/>
    <w:rsid w:val="001E5504"/>
    <w:rsid w:val="001E6D68"/>
    <w:rsid w:val="001F44FE"/>
    <w:rsid w:val="001F620B"/>
    <w:rsid w:val="002163AA"/>
    <w:rsid w:val="00217C0D"/>
    <w:rsid w:val="00220876"/>
    <w:rsid w:val="00222F32"/>
    <w:rsid w:val="00225118"/>
    <w:rsid w:val="00225C15"/>
    <w:rsid w:val="00227DB4"/>
    <w:rsid w:val="00235A99"/>
    <w:rsid w:val="00241AB5"/>
    <w:rsid w:val="00241D6F"/>
    <w:rsid w:val="00247B80"/>
    <w:rsid w:val="002503D1"/>
    <w:rsid w:val="00250FB8"/>
    <w:rsid w:val="002577C1"/>
    <w:rsid w:val="002579DB"/>
    <w:rsid w:val="00266505"/>
    <w:rsid w:val="00270FED"/>
    <w:rsid w:val="00273077"/>
    <w:rsid w:val="002815C0"/>
    <w:rsid w:val="002847AF"/>
    <w:rsid w:val="002867DD"/>
    <w:rsid w:val="00286AC6"/>
    <w:rsid w:val="00290FA8"/>
    <w:rsid w:val="002946A6"/>
    <w:rsid w:val="0029701D"/>
    <w:rsid w:val="002A01B6"/>
    <w:rsid w:val="002A2D3E"/>
    <w:rsid w:val="002A3333"/>
    <w:rsid w:val="002A78CD"/>
    <w:rsid w:val="002B0181"/>
    <w:rsid w:val="002B7584"/>
    <w:rsid w:val="002C7411"/>
    <w:rsid w:val="002D2F56"/>
    <w:rsid w:val="002E134F"/>
    <w:rsid w:val="002E1E42"/>
    <w:rsid w:val="002E400E"/>
    <w:rsid w:val="002E69B2"/>
    <w:rsid w:val="002F1ECF"/>
    <w:rsid w:val="003046FD"/>
    <w:rsid w:val="00315644"/>
    <w:rsid w:val="00317BB9"/>
    <w:rsid w:val="00326DCB"/>
    <w:rsid w:val="00330CC2"/>
    <w:rsid w:val="0033379A"/>
    <w:rsid w:val="0033390E"/>
    <w:rsid w:val="00335BC5"/>
    <w:rsid w:val="00342030"/>
    <w:rsid w:val="00344B73"/>
    <w:rsid w:val="00351FC2"/>
    <w:rsid w:val="00353BE3"/>
    <w:rsid w:val="00355878"/>
    <w:rsid w:val="00356827"/>
    <w:rsid w:val="00366185"/>
    <w:rsid w:val="00366FCE"/>
    <w:rsid w:val="00367144"/>
    <w:rsid w:val="0039516C"/>
    <w:rsid w:val="00396134"/>
    <w:rsid w:val="003965BF"/>
    <w:rsid w:val="003A2F77"/>
    <w:rsid w:val="003A327C"/>
    <w:rsid w:val="003A5116"/>
    <w:rsid w:val="003B0AE9"/>
    <w:rsid w:val="003B5FB3"/>
    <w:rsid w:val="003C116F"/>
    <w:rsid w:val="003C636D"/>
    <w:rsid w:val="003D3DD7"/>
    <w:rsid w:val="003D5A3C"/>
    <w:rsid w:val="003D63A1"/>
    <w:rsid w:val="003D7A3C"/>
    <w:rsid w:val="003E2EA7"/>
    <w:rsid w:val="003E50EB"/>
    <w:rsid w:val="003F3CCE"/>
    <w:rsid w:val="00401C8D"/>
    <w:rsid w:val="0040407B"/>
    <w:rsid w:val="0040474F"/>
    <w:rsid w:val="00405F02"/>
    <w:rsid w:val="0041206C"/>
    <w:rsid w:val="004159DB"/>
    <w:rsid w:val="004176B2"/>
    <w:rsid w:val="00421668"/>
    <w:rsid w:val="00422851"/>
    <w:rsid w:val="00426B96"/>
    <w:rsid w:val="00427F1C"/>
    <w:rsid w:val="00427FE0"/>
    <w:rsid w:val="0043786C"/>
    <w:rsid w:val="00457D5B"/>
    <w:rsid w:val="0046045A"/>
    <w:rsid w:val="00462767"/>
    <w:rsid w:val="00466804"/>
    <w:rsid w:val="0047062F"/>
    <w:rsid w:val="00473062"/>
    <w:rsid w:val="00473C60"/>
    <w:rsid w:val="00474371"/>
    <w:rsid w:val="00474B9C"/>
    <w:rsid w:val="004800BB"/>
    <w:rsid w:val="00482F76"/>
    <w:rsid w:val="004916DF"/>
    <w:rsid w:val="004949EC"/>
    <w:rsid w:val="00495417"/>
    <w:rsid w:val="00497911"/>
    <w:rsid w:val="004A0B0B"/>
    <w:rsid w:val="004A2769"/>
    <w:rsid w:val="004A4957"/>
    <w:rsid w:val="004B2654"/>
    <w:rsid w:val="004C7F32"/>
    <w:rsid w:val="004D3115"/>
    <w:rsid w:val="004E5790"/>
    <w:rsid w:val="004F7045"/>
    <w:rsid w:val="005005A1"/>
    <w:rsid w:val="00517626"/>
    <w:rsid w:val="00522301"/>
    <w:rsid w:val="00525CA2"/>
    <w:rsid w:val="00526B34"/>
    <w:rsid w:val="005365EA"/>
    <w:rsid w:val="0054517F"/>
    <w:rsid w:val="005541CF"/>
    <w:rsid w:val="00555E38"/>
    <w:rsid w:val="00563D64"/>
    <w:rsid w:val="00564D55"/>
    <w:rsid w:val="00566B94"/>
    <w:rsid w:val="00573AAB"/>
    <w:rsid w:val="0057660E"/>
    <w:rsid w:val="005804E5"/>
    <w:rsid w:val="00580970"/>
    <w:rsid w:val="0058325D"/>
    <w:rsid w:val="00583426"/>
    <w:rsid w:val="00583B0D"/>
    <w:rsid w:val="005858E1"/>
    <w:rsid w:val="00596C28"/>
    <w:rsid w:val="005A0DB1"/>
    <w:rsid w:val="005A3161"/>
    <w:rsid w:val="005A32C7"/>
    <w:rsid w:val="005B191C"/>
    <w:rsid w:val="005B35B6"/>
    <w:rsid w:val="005C48A3"/>
    <w:rsid w:val="005C6A79"/>
    <w:rsid w:val="005D11D5"/>
    <w:rsid w:val="005D5730"/>
    <w:rsid w:val="005D67EC"/>
    <w:rsid w:val="005E0F84"/>
    <w:rsid w:val="005E2AFE"/>
    <w:rsid w:val="005F00A2"/>
    <w:rsid w:val="005F17CD"/>
    <w:rsid w:val="005F28E2"/>
    <w:rsid w:val="005F37F8"/>
    <w:rsid w:val="005F4B9E"/>
    <w:rsid w:val="0060210E"/>
    <w:rsid w:val="00602A49"/>
    <w:rsid w:val="00606A76"/>
    <w:rsid w:val="006074CA"/>
    <w:rsid w:val="00622887"/>
    <w:rsid w:val="00622C4A"/>
    <w:rsid w:val="00634159"/>
    <w:rsid w:val="00642ECB"/>
    <w:rsid w:val="00645E76"/>
    <w:rsid w:val="00654077"/>
    <w:rsid w:val="006567FC"/>
    <w:rsid w:val="00660821"/>
    <w:rsid w:val="0066529B"/>
    <w:rsid w:val="00673712"/>
    <w:rsid w:val="0067704E"/>
    <w:rsid w:val="006822A2"/>
    <w:rsid w:val="0068681B"/>
    <w:rsid w:val="00686F39"/>
    <w:rsid w:val="006951D9"/>
    <w:rsid w:val="00697D30"/>
    <w:rsid w:val="006A226A"/>
    <w:rsid w:val="006B4FE4"/>
    <w:rsid w:val="006B5551"/>
    <w:rsid w:val="006C055E"/>
    <w:rsid w:val="006C47BF"/>
    <w:rsid w:val="006C7533"/>
    <w:rsid w:val="006D1928"/>
    <w:rsid w:val="006D6F5C"/>
    <w:rsid w:val="006E51E4"/>
    <w:rsid w:val="006E77E5"/>
    <w:rsid w:val="006F138A"/>
    <w:rsid w:val="006F18B5"/>
    <w:rsid w:val="00700FB5"/>
    <w:rsid w:val="0070617C"/>
    <w:rsid w:val="007109AE"/>
    <w:rsid w:val="00712658"/>
    <w:rsid w:val="007144EA"/>
    <w:rsid w:val="00720656"/>
    <w:rsid w:val="00721FE5"/>
    <w:rsid w:val="00724396"/>
    <w:rsid w:val="00724BD2"/>
    <w:rsid w:val="0073175F"/>
    <w:rsid w:val="00736342"/>
    <w:rsid w:val="0076057B"/>
    <w:rsid w:val="00766D93"/>
    <w:rsid w:val="00770215"/>
    <w:rsid w:val="00774585"/>
    <w:rsid w:val="00776E41"/>
    <w:rsid w:val="00784997"/>
    <w:rsid w:val="00786220"/>
    <w:rsid w:val="0079121E"/>
    <w:rsid w:val="007943D9"/>
    <w:rsid w:val="00795409"/>
    <w:rsid w:val="007A5541"/>
    <w:rsid w:val="007B46A3"/>
    <w:rsid w:val="007B7AE9"/>
    <w:rsid w:val="007C3326"/>
    <w:rsid w:val="007C532A"/>
    <w:rsid w:val="007C78BD"/>
    <w:rsid w:val="007D386E"/>
    <w:rsid w:val="007D4CB3"/>
    <w:rsid w:val="007E16A8"/>
    <w:rsid w:val="007E1976"/>
    <w:rsid w:val="007E2289"/>
    <w:rsid w:val="007E6363"/>
    <w:rsid w:val="007E7A84"/>
    <w:rsid w:val="007F22BE"/>
    <w:rsid w:val="007F5B0C"/>
    <w:rsid w:val="007F7297"/>
    <w:rsid w:val="00801E30"/>
    <w:rsid w:val="008028B3"/>
    <w:rsid w:val="00803000"/>
    <w:rsid w:val="0080378D"/>
    <w:rsid w:val="0080593E"/>
    <w:rsid w:val="00807C7F"/>
    <w:rsid w:val="0081028F"/>
    <w:rsid w:val="00810E1C"/>
    <w:rsid w:val="00810EF2"/>
    <w:rsid w:val="008116A7"/>
    <w:rsid w:val="008149A5"/>
    <w:rsid w:val="00816479"/>
    <w:rsid w:val="0082107E"/>
    <w:rsid w:val="00823590"/>
    <w:rsid w:val="00824C78"/>
    <w:rsid w:val="00826B4C"/>
    <w:rsid w:val="00826FCF"/>
    <w:rsid w:val="008275B2"/>
    <w:rsid w:val="00830E1B"/>
    <w:rsid w:val="008353E9"/>
    <w:rsid w:val="00845B1F"/>
    <w:rsid w:val="00851250"/>
    <w:rsid w:val="00853A35"/>
    <w:rsid w:val="008546B3"/>
    <w:rsid w:val="0085665B"/>
    <w:rsid w:val="00857F7F"/>
    <w:rsid w:val="008642D9"/>
    <w:rsid w:val="008667C2"/>
    <w:rsid w:val="008673E8"/>
    <w:rsid w:val="008674A8"/>
    <w:rsid w:val="008741D5"/>
    <w:rsid w:val="008806B0"/>
    <w:rsid w:val="00882DD5"/>
    <w:rsid w:val="008845B3"/>
    <w:rsid w:val="00887673"/>
    <w:rsid w:val="00887B02"/>
    <w:rsid w:val="00893B48"/>
    <w:rsid w:val="00896B20"/>
    <w:rsid w:val="008A5A9D"/>
    <w:rsid w:val="008A7CA7"/>
    <w:rsid w:val="008C497A"/>
    <w:rsid w:val="008C60DF"/>
    <w:rsid w:val="008C6E81"/>
    <w:rsid w:val="008D18C9"/>
    <w:rsid w:val="008D52C4"/>
    <w:rsid w:val="008D5C7D"/>
    <w:rsid w:val="008D6923"/>
    <w:rsid w:val="008E00F7"/>
    <w:rsid w:val="008E0FFC"/>
    <w:rsid w:val="008E1AEB"/>
    <w:rsid w:val="008E216B"/>
    <w:rsid w:val="008E3ACC"/>
    <w:rsid w:val="008E4D0B"/>
    <w:rsid w:val="008E6D0F"/>
    <w:rsid w:val="008F05E9"/>
    <w:rsid w:val="008F345D"/>
    <w:rsid w:val="008F5AA8"/>
    <w:rsid w:val="008F7EEE"/>
    <w:rsid w:val="00901C67"/>
    <w:rsid w:val="00910959"/>
    <w:rsid w:val="009154E9"/>
    <w:rsid w:val="00921430"/>
    <w:rsid w:val="0092167A"/>
    <w:rsid w:val="00924A45"/>
    <w:rsid w:val="009258B8"/>
    <w:rsid w:val="00930FB7"/>
    <w:rsid w:val="0093227F"/>
    <w:rsid w:val="00932D21"/>
    <w:rsid w:val="009374B0"/>
    <w:rsid w:val="00937EC3"/>
    <w:rsid w:val="00940AA7"/>
    <w:rsid w:val="00942D7D"/>
    <w:rsid w:val="00950C13"/>
    <w:rsid w:val="009513EB"/>
    <w:rsid w:val="0095299D"/>
    <w:rsid w:val="009649AA"/>
    <w:rsid w:val="00966FF8"/>
    <w:rsid w:val="00975D23"/>
    <w:rsid w:val="0098507D"/>
    <w:rsid w:val="00985346"/>
    <w:rsid w:val="009858FE"/>
    <w:rsid w:val="0098674F"/>
    <w:rsid w:val="009934AF"/>
    <w:rsid w:val="0099445F"/>
    <w:rsid w:val="009A10E1"/>
    <w:rsid w:val="009A17EE"/>
    <w:rsid w:val="009A77A3"/>
    <w:rsid w:val="009B0F12"/>
    <w:rsid w:val="009B17EB"/>
    <w:rsid w:val="009B3D01"/>
    <w:rsid w:val="009B47DB"/>
    <w:rsid w:val="009B5BF4"/>
    <w:rsid w:val="009C3A30"/>
    <w:rsid w:val="009D041D"/>
    <w:rsid w:val="009D28C7"/>
    <w:rsid w:val="009D35E8"/>
    <w:rsid w:val="009D3A7C"/>
    <w:rsid w:val="009E2630"/>
    <w:rsid w:val="009E34B7"/>
    <w:rsid w:val="009E3B88"/>
    <w:rsid w:val="009E4C64"/>
    <w:rsid w:val="009E75DB"/>
    <w:rsid w:val="009F0D5D"/>
    <w:rsid w:val="009F137E"/>
    <w:rsid w:val="009F14BF"/>
    <w:rsid w:val="009F6AE0"/>
    <w:rsid w:val="00A002A5"/>
    <w:rsid w:val="00A0219A"/>
    <w:rsid w:val="00A15419"/>
    <w:rsid w:val="00A203D7"/>
    <w:rsid w:val="00A251C2"/>
    <w:rsid w:val="00A25B42"/>
    <w:rsid w:val="00A273B3"/>
    <w:rsid w:val="00A4492A"/>
    <w:rsid w:val="00A44B30"/>
    <w:rsid w:val="00A45EAC"/>
    <w:rsid w:val="00A46376"/>
    <w:rsid w:val="00A501F8"/>
    <w:rsid w:val="00A512A1"/>
    <w:rsid w:val="00A546FE"/>
    <w:rsid w:val="00A60DAC"/>
    <w:rsid w:val="00A62DE9"/>
    <w:rsid w:val="00A63359"/>
    <w:rsid w:val="00A655DF"/>
    <w:rsid w:val="00A65847"/>
    <w:rsid w:val="00A80259"/>
    <w:rsid w:val="00A8420D"/>
    <w:rsid w:val="00A84DAD"/>
    <w:rsid w:val="00A87F51"/>
    <w:rsid w:val="00A91428"/>
    <w:rsid w:val="00A915F3"/>
    <w:rsid w:val="00A96B09"/>
    <w:rsid w:val="00A97171"/>
    <w:rsid w:val="00AA0AF5"/>
    <w:rsid w:val="00AA1378"/>
    <w:rsid w:val="00AB33D7"/>
    <w:rsid w:val="00AB3EA0"/>
    <w:rsid w:val="00AB635B"/>
    <w:rsid w:val="00AC4B7D"/>
    <w:rsid w:val="00AD56BE"/>
    <w:rsid w:val="00AE15B1"/>
    <w:rsid w:val="00AE5444"/>
    <w:rsid w:val="00AF17F3"/>
    <w:rsid w:val="00AF7B5B"/>
    <w:rsid w:val="00B01902"/>
    <w:rsid w:val="00B140B3"/>
    <w:rsid w:val="00B214CE"/>
    <w:rsid w:val="00B2192A"/>
    <w:rsid w:val="00B22F1F"/>
    <w:rsid w:val="00B306A0"/>
    <w:rsid w:val="00B362BA"/>
    <w:rsid w:val="00B40F3F"/>
    <w:rsid w:val="00B42DCF"/>
    <w:rsid w:val="00B447D2"/>
    <w:rsid w:val="00B447D4"/>
    <w:rsid w:val="00B465C8"/>
    <w:rsid w:val="00B52602"/>
    <w:rsid w:val="00B53AB6"/>
    <w:rsid w:val="00B61F8E"/>
    <w:rsid w:val="00B67DF7"/>
    <w:rsid w:val="00B76731"/>
    <w:rsid w:val="00B76FEE"/>
    <w:rsid w:val="00B77CA0"/>
    <w:rsid w:val="00B86A56"/>
    <w:rsid w:val="00B876B4"/>
    <w:rsid w:val="00B947A6"/>
    <w:rsid w:val="00BA57C1"/>
    <w:rsid w:val="00BA7533"/>
    <w:rsid w:val="00BA77B3"/>
    <w:rsid w:val="00BB6C09"/>
    <w:rsid w:val="00BB70F0"/>
    <w:rsid w:val="00BC2789"/>
    <w:rsid w:val="00BC29F5"/>
    <w:rsid w:val="00BD0AA8"/>
    <w:rsid w:val="00BD0D69"/>
    <w:rsid w:val="00BD134A"/>
    <w:rsid w:val="00BD3A7F"/>
    <w:rsid w:val="00BE03EA"/>
    <w:rsid w:val="00BE0AF5"/>
    <w:rsid w:val="00BE1287"/>
    <w:rsid w:val="00BE52BD"/>
    <w:rsid w:val="00BF1313"/>
    <w:rsid w:val="00BF18DA"/>
    <w:rsid w:val="00BF32D5"/>
    <w:rsid w:val="00C01C77"/>
    <w:rsid w:val="00C05216"/>
    <w:rsid w:val="00C2259A"/>
    <w:rsid w:val="00C26B69"/>
    <w:rsid w:val="00C30DF9"/>
    <w:rsid w:val="00C30EC1"/>
    <w:rsid w:val="00C35BC1"/>
    <w:rsid w:val="00C35C89"/>
    <w:rsid w:val="00C407C4"/>
    <w:rsid w:val="00C43E8C"/>
    <w:rsid w:val="00C43EA5"/>
    <w:rsid w:val="00C4462D"/>
    <w:rsid w:val="00C44E16"/>
    <w:rsid w:val="00C45C45"/>
    <w:rsid w:val="00C4623E"/>
    <w:rsid w:val="00C46562"/>
    <w:rsid w:val="00C51A04"/>
    <w:rsid w:val="00C561B5"/>
    <w:rsid w:val="00C6091B"/>
    <w:rsid w:val="00C621A2"/>
    <w:rsid w:val="00C71F87"/>
    <w:rsid w:val="00C73075"/>
    <w:rsid w:val="00C805D2"/>
    <w:rsid w:val="00C82068"/>
    <w:rsid w:val="00C84FBF"/>
    <w:rsid w:val="00C90929"/>
    <w:rsid w:val="00C92927"/>
    <w:rsid w:val="00C93601"/>
    <w:rsid w:val="00C955F6"/>
    <w:rsid w:val="00CA0730"/>
    <w:rsid w:val="00CA5BD1"/>
    <w:rsid w:val="00CB3C9B"/>
    <w:rsid w:val="00CC24CC"/>
    <w:rsid w:val="00CC5EDA"/>
    <w:rsid w:val="00CD1B65"/>
    <w:rsid w:val="00CD2555"/>
    <w:rsid w:val="00CD6BE1"/>
    <w:rsid w:val="00CE31EC"/>
    <w:rsid w:val="00CE4F96"/>
    <w:rsid w:val="00CE5FAA"/>
    <w:rsid w:val="00CF056A"/>
    <w:rsid w:val="00CF52A8"/>
    <w:rsid w:val="00CF7B73"/>
    <w:rsid w:val="00D01682"/>
    <w:rsid w:val="00D02715"/>
    <w:rsid w:val="00D10A98"/>
    <w:rsid w:val="00D206AC"/>
    <w:rsid w:val="00D234E4"/>
    <w:rsid w:val="00D24C27"/>
    <w:rsid w:val="00D271EB"/>
    <w:rsid w:val="00D31B46"/>
    <w:rsid w:val="00D404C0"/>
    <w:rsid w:val="00D43D39"/>
    <w:rsid w:val="00D51671"/>
    <w:rsid w:val="00D64422"/>
    <w:rsid w:val="00D661F5"/>
    <w:rsid w:val="00D74043"/>
    <w:rsid w:val="00D802A9"/>
    <w:rsid w:val="00D902FE"/>
    <w:rsid w:val="00D927C4"/>
    <w:rsid w:val="00D95738"/>
    <w:rsid w:val="00DA0946"/>
    <w:rsid w:val="00DB04C6"/>
    <w:rsid w:val="00DB66FC"/>
    <w:rsid w:val="00DC04F5"/>
    <w:rsid w:val="00DC32D6"/>
    <w:rsid w:val="00DD1179"/>
    <w:rsid w:val="00DD28E9"/>
    <w:rsid w:val="00DE0720"/>
    <w:rsid w:val="00DE0900"/>
    <w:rsid w:val="00DE0AE3"/>
    <w:rsid w:val="00DE108F"/>
    <w:rsid w:val="00DE4531"/>
    <w:rsid w:val="00DE58B8"/>
    <w:rsid w:val="00DF167D"/>
    <w:rsid w:val="00E00661"/>
    <w:rsid w:val="00E22651"/>
    <w:rsid w:val="00E22A30"/>
    <w:rsid w:val="00E247AF"/>
    <w:rsid w:val="00E26295"/>
    <w:rsid w:val="00E306AD"/>
    <w:rsid w:val="00E31A26"/>
    <w:rsid w:val="00E3487F"/>
    <w:rsid w:val="00E44C18"/>
    <w:rsid w:val="00E50606"/>
    <w:rsid w:val="00E61B07"/>
    <w:rsid w:val="00E624B9"/>
    <w:rsid w:val="00E63DE3"/>
    <w:rsid w:val="00E63F4A"/>
    <w:rsid w:val="00E65F9B"/>
    <w:rsid w:val="00E66424"/>
    <w:rsid w:val="00E71900"/>
    <w:rsid w:val="00E7279B"/>
    <w:rsid w:val="00E7531D"/>
    <w:rsid w:val="00E810BF"/>
    <w:rsid w:val="00E85C2D"/>
    <w:rsid w:val="00E86BD7"/>
    <w:rsid w:val="00E87B5A"/>
    <w:rsid w:val="00E952D1"/>
    <w:rsid w:val="00E9635B"/>
    <w:rsid w:val="00E97838"/>
    <w:rsid w:val="00EA5B5D"/>
    <w:rsid w:val="00EB394F"/>
    <w:rsid w:val="00EC1C6A"/>
    <w:rsid w:val="00EC411A"/>
    <w:rsid w:val="00EC4464"/>
    <w:rsid w:val="00EC5066"/>
    <w:rsid w:val="00EC6294"/>
    <w:rsid w:val="00ED516B"/>
    <w:rsid w:val="00EE0244"/>
    <w:rsid w:val="00EE0672"/>
    <w:rsid w:val="00EE1DEB"/>
    <w:rsid w:val="00EF6522"/>
    <w:rsid w:val="00EF6AF0"/>
    <w:rsid w:val="00F001ED"/>
    <w:rsid w:val="00F00E45"/>
    <w:rsid w:val="00F02A1A"/>
    <w:rsid w:val="00F10BAD"/>
    <w:rsid w:val="00F122B0"/>
    <w:rsid w:val="00F205F3"/>
    <w:rsid w:val="00F23052"/>
    <w:rsid w:val="00F2573A"/>
    <w:rsid w:val="00F2749E"/>
    <w:rsid w:val="00F27705"/>
    <w:rsid w:val="00F44B2D"/>
    <w:rsid w:val="00F44C8A"/>
    <w:rsid w:val="00F45D76"/>
    <w:rsid w:val="00F52196"/>
    <w:rsid w:val="00F529A1"/>
    <w:rsid w:val="00F569D4"/>
    <w:rsid w:val="00F57C5A"/>
    <w:rsid w:val="00F61972"/>
    <w:rsid w:val="00F6754F"/>
    <w:rsid w:val="00F72F3C"/>
    <w:rsid w:val="00F80550"/>
    <w:rsid w:val="00F81848"/>
    <w:rsid w:val="00F936D0"/>
    <w:rsid w:val="00F93B5A"/>
    <w:rsid w:val="00FA05DE"/>
    <w:rsid w:val="00FA194D"/>
    <w:rsid w:val="00FA2431"/>
    <w:rsid w:val="00FA39BD"/>
    <w:rsid w:val="00FA3EEE"/>
    <w:rsid w:val="00FB316A"/>
    <w:rsid w:val="00FC292A"/>
    <w:rsid w:val="00FC4F12"/>
    <w:rsid w:val="00FD1F55"/>
    <w:rsid w:val="00FD5CFF"/>
    <w:rsid w:val="00FE142F"/>
    <w:rsid w:val="00FE66E2"/>
    <w:rsid w:val="00FE6E57"/>
    <w:rsid w:val="00FE6F69"/>
    <w:rsid w:val="00FF0C51"/>
    <w:rsid w:val="00FF2EBF"/>
    <w:rsid w:val="00FF4A6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80"/>
    <w:pPr>
      <w:spacing w:before="240"/>
    </w:pPr>
    <w:rPr>
      <w:rFonts w:ascii="Times New Roman" w:eastAsia="Times New Roman" w:hAnsi="Times New Roman"/>
      <w:sz w:val="24"/>
    </w:rPr>
  </w:style>
  <w:style w:type="paragraph" w:styleId="Heading3">
    <w:name w:val="heading 3"/>
    <w:basedOn w:val="Normal"/>
    <w:next w:val="Normal"/>
    <w:link w:val="Heading3Char"/>
    <w:uiPriority w:val="9"/>
    <w:semiHidden/>
    <w:unhideWhenUsed/>
    <w:qFormat/>
    <w:rsid w:val="008673E8"/>
    <w:pPr>
      <w:keepNext/>
      <w:spacing w:after="60"/>
      <w:outlineLvl w:val="2"/>
    </w:pPr>
    <w:rPr>
      <w:rFonts w:ascii="Cambria" w:hAnsi="Cambria"/>
      <w:b/>
      <w:bCs/>
      <w:sz w:val="26"/>
      <w:szCs w:val="26"/>
    </w:rPr>
  </w:style>
  <w:style w:type="paragraph" w:styleId="Heading6">
    <w:name w:val="heading 6"/>
    <w:basedOn w:val="Normal"/>
    <w:next w:val="Normal"/>
    <w:link w:val="Heading6Char"/>
    <w:qFormat/>
    <w:rsid w:val="00247B80"/>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47B80"/>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rsid w:val="00247B80"/>
    <w:pPr>
      <w:tabs>
        <w:tab w:val="center" w:pos="4153"/>
        <w:tab w:val="right" w:pos="8306"/>
      </w:tabs>
    </w:pPr>
  </w:style>
  <w:style w:type="character" w:customStyle="1" w:styleId="FooterChar">
    <w:name w:val="Footer Char"/>
    <w:link w:val="Footer"/>
    <w:uiPriority w:val="99"/>
    <w:rsid w:val="00247B80"/>
    <w:rPr>
      <w:rFonts w:ascii="Times New Roman" w:eastAsia="Times New Roman" w:hAnsi="Times New Roman" w:cs="Times New Roman"/>
      <w:sz w:val="24"/>
      <w:szCs w:val="20"/>
      <w:lang w:eastAsia="en-AU"/>
    </w:rPr>
  </w:style>
  <w:style w:type="paragraph" w:customStyle="1" w:styleId="HB-dotpoint">
    <w:name w:val="HB - dotpoint"/>
    <w:basedOn w:val="Normal"/>
    <w:rsid w:val="00247B80"/>
    <w:pPr>
      <w:numPr>
        <w:numId w:val="1"/>
      </w:numPr>
      <w:spacing w:before="180"/>
    </w:pPr>
  </w:style>
  <w:style w:type="character" w:styleId="PageNumber">
    <w:name w:val="page number"/>
    <w:basedOn w:val="DefaultParagraphFont"/>
    <w:rsid w:val="00247B80"/>
  </w:style>
  <w:style w:type="paragraph" w:customStyle="1" w:styleId="Paragraphnumbered">
    <w:name w:val="Paragraph (numbered)"/>
    <w:basedOn w:val="Normal"/>
    <w:link w:val="ParagraphnumberedChar"/>
    <w:rsid w:val="00247B80"/>
    <w:pPr>
      <w:numPr>
        <w:numId w:val="2"/>
      </w:numPr>
      <w:ind w:left="0" w:firstLine="0"/>
    </w:pPr>
  </w:style>
  <w:style w:type="paragraph" w:customStyle="1" w:styleId="Paragraph">
    <w:name w:val="Paragraph"/>
    <w:basedOn w:val="Paragraphnumbered"/>
    <w:link w:val="ParagraphChar"/>
    <w:rsid w:val="00247B80"/>
    <w:pPr>
      <w:numPr>
        <w:ilvl w:val="12"/>
        <w:numId w:val="0"/>
      </w:numPr>
    </w:pPr>
  </w:style>
  <w:style w:type="paragraph" w:styleId="Header">
    <w:name w:val="header"/>
    <w:basedOn w:val="Normal"/>
    <w:link w:val="HeaderChar"/>
    <w:uiPriority w:val="99"/>
    <w:unhideWhenUsed/>
    <w:rsid w:val="000E25AD"/>
    <w:pPr>
      <w:tabs>
        <w:tab w:val="center" w:pos="4513"/>
        <w:tab w:val="right" w:pos="9026"/>
      </w:tabs>
    </w:pPr>
  </w:style>
  <w:style w:type="character" w:customStyle="1" w:styleId="HeaderChar">
    <w:name w:val="Header Char"/>
    <w:link w:val="Header"/>
    <w:uiPriority w:val="99"/>
    <w:rsid w:val="000E25AD"/>
    <w:rPr>
      <w:rFonts w:ascii="Times New Roman" w:eastAsia="Times New Roman" w:hAnsi="Times New Roman" w:cs="Times New Roman"/>
      <w:sz w:val="24"/>
      <w:szCs w:val="20"/>
      <w:lang w:eastAsia="en-AU"/>
    </w:rPr>
  </w:style>
  <w:style w:type="paragraph" w:customStyle="1" w:styleId="ItemX">
    <w:name w:val="Item X"/>
    <w:basedOn w:val="Normal"/>
    <w:link w:val="ItemXChar"/>
    <w:qFormat/>
    <w:rsid w:val="00583426"/>
    <w:pPr>
      <w:keepNext/>
      <w:numPr>
        <w:numId w:val="3"/>
      </w:numPr>
      <w:ind w:left="0" w:right="91" w:firstLine="0"/>
    </w:pPr>
    <w:rPr>
      <w:b/>
    </w:rPr>
  </w:style>
  <w:style w:type="character" w:customStyle="1" w:styleId="ItemXChar">
    <w:name w:val="Item X Char"/>
    <w:link w:val="ItemX"/>
    <w:rsid w:val="00583426"/>
    <w:rPr>
      <w:rFonts w:ascii="Times New Roman" w:eastAsia="Times New Roman" w:hAnsi="Times New Roman"/>
      <w:b/>
      <w:sz w:val="24"/>
    </w:rPr>
  </w:style>
  <w:style w:type="paragraph" w:styleId="ListParagraph">
    <w:name w:val="List Paragraph"/>
    <w:basedOn w:val="Normal"/>
    <w:uiPriority w:val="34"/>
    <w:qFormat/>
    <w:rsid w:val="00DE108F"/>
    <w:pPr>
      <w:spacing w:before="100" w:beforeAutospacing="1" w:after="100" w:afterAutospacing="1"/>
    </w:pPr>
    <w:rPr>
      <w:rFonts w:eastAsia="Calibri"/>
      <w:szCs w:val="24"/>
    </w:rPr>
  </w:style>
  <w:style w:type="paragraph" w:styleId="BalloonText">
    <w:name w:val="Balloon Text"/>
    <w:basedOn w:val="Normal"/>
    <w:link w:val="BalloonTextChar"/>
    <w:uiPriority w:val="99"/>
    <w:semiHidden/>
    <w:unhideWhenUsed/>
    <w:rsid w:val="00606A76"/>
    <w:pPr>
      <w:spacing w:before="0"/>
    </w:pPr>
    <w:rPr>
      <w:rFonts w:ascii="Tahoma" w:hAnsi="Tahoma" w:cs="Tahoma"/>
      <w:sz w:val="16"/>
      <w:szCs w:val="16"/>
    </w:rPr>
  </w:style>
  <w:style w:type="character" w:customStyle="1" w:styleId="BalloonTextChar">
    <w:name w:val="Balloon Text Char"/>
    <w:link w:val="BalloonText"/>
    <w:uiPriority w:val="99"/>
    <w:semiHidden/>
    <w:rsid w:val="00606A76"/>
    <w:rPr>
      <w:rFonts w:ascii="Tahoma" w:eastAsia="Times New Roman" w:hAnsi="Tahoma" w:cs="Tahoma"/>
      <w:sz w:val="16"/>
      <w:szCs w:val="16"/>
    </w:rPr>
  </w:style>
  <w:style w:type="paragraph" w:customStyle="1" w:styleId="subsection">
    <w:name w:val="subsection"/>
    <w:basedOn w:val="Normal"/>
    <w:rsid w:val="009D3A7C"/>
    <w:pPr>
      <w:spacing w:before="100" w:beforeAutospacing="1" w:after="100" w:afterAutospacing="1"/>
    </w:pPr>
    <w:rPr>
      <w:szCs w:val="24"/>
    </w:rPr>
  </w:style>
  <w:style w:type="character" w:styleId="Hyperlink">
    <w:name w:val="Hyperlink"/>
    <w:uiPriority w:val="99"/>
    <w:semiHidden/>
    <w:unhideWhenUsed/>
    <w:rsid w:val="009D3A7C"/>
    <w:rPr>
      <w:color w:val="0000FF"/>
      <w:u w:val="single"/>
    </w:rPr>
  </w:style>
  <w:style w:type="paragraph" w:customStyle="1" w:styleId="paragraph0">
    <w:name w:val="paragraph"/>
    <w:basedOn w:val="Normal"/>
    <w:rsid w:val="009D3A7C"/>
    <w:pPr>
      <w:spacing w:before="100" w:beforeAutospacing="1" w:after="100" w:afterAutospacing="1"/>
    </w:pPr>
    <w:rPr>
      <w:szCs w:val="24"/>
    </w:rPr>
  </w:style>
  <w:style w:type="paragraph" w:customStyle="1" w:styleId="zr2">
    <w:name w:val="zr2"/>
    <w:basedOn w:val="Normal"/>
    <w:rsid w:val="00E3487F"/>
    <w:pPr>
      <w:spacing w:before="100" w:beforeAutospacing="1" w:after="100" w:afterAutospacing="1"/>
    </w:pPr>
    <w:rPr>
      <w:szCs w:val="24"/>
    </w:rPr>
  </w:style>
  <w:style w:type="paragraph" w:customStyle="1" w:styleId="p1">
    <w:name w:val="p1"/>
    <w:basedOn w:val="Normal"/>
    <w:rsid w:val="00E3487F"/>
    <w:pPr>
      <w:spacing w:before="100" w:beforeAutospacing="1" w:after="100" w:afterAutospacing="1"/>
    </w:pPr>
    <w:rPr>
      <w:szCs w:val="24"/>
    </w:rPr>
  </w:style>
  <w:style w:type="character" w:customStyle="1" w:styleId="ParagraphnumberedChar">
    <w:name w:val="Paragraph (numbered) Char"/>
    <w:link w:val="Paragraphnumbered"/>
    <w:rsid w:val="00225118"/>
    <w:rPr>
      <w:rFonts w:ascii="Times New Roman" w:eastAsia="Times New Roman" w:hAnsi="Times New Roman"/>
      <w:sz w:val="24"/>
    </w:rPr>
  </w:style>
  <w:style w:type="character" w:customStyle="1" w:styleId="Heading3Char">
    <w:name w:val="Heading 3 Char"/>
    <w:link w:val="Heading3"/>
    <w:uiPriority w:val="9"/>
    <w:semiHidden/>
    <w:rsid w:val="008673E8"/>
    <w:rPr>
      <w:rFonts w:ascii="Cambria" w:eastAsia="Times New Roman" w:hAnsi="Cambria" w:cs="Times New Roman"/>
      <w:b/>
      <w:bCs/>
      <w:sz w:val="26"/>
      <w:szCs w:val="26"/>
    </w:rPr>
  </w:style>
  <w:style w:type="character" w:customStyle="1" w:styleId="ParagraphChar">
    <w:name w:val="Paragraph Char"/>
    <w:link w:val="Paragraph"/>
    <w:locked/>
    <w:rsid w:val="00096331"/>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811193">
      <w:bodyDiv w:val="1"/>
      <w:marLeft w:val="0"/>
      <w:marRight w:val="0"/>
      <w:marTop w:val="0"/>
      <w:marBottom w:val="0"/>
      <w:divBdr>
        <w:top w:val="none" w:sz="0" w:space="0" w:color="auto"/>
        <w:left w:val="none" w:sz="0" w:space="0" w:color="auto"/>
        <w:bottom w:val="none" w:sz="0" w:space="0" w:color="auto"/>
        <w:right w:val="none" w:sz="0" w:space="0" w:color="auto"/>
      </w:divBdr>
    </w:div>
    <w:div w:id="40909805">
      <w:bodyDiv w:val="1"/>
      <w:marLeft w:val="0"/>
      <w:marRight w:val="0"/>
      <w:marTop w:val="0"/>
      <w:marBottom w:val="0"/>
      <w:divBdr>
        <w:top w:val="none" w:sz="0" w:space="0" w:color="auto"/>
        <w:left w:val="none" w:sz="0" w:space="0" w:color="auto"/>
        <w:bottom w:val="none" w:sz="0" w:space="0" w:color="auto"/>
        <w:right w:val="none" w:sz="0" w:space="0" w:color="auto"/>
      </w:divBdr>
    </w:div>
    <w:div w:id="83111801">
      <w:bodyDiv w:val="1"/>
      <w:marLeft w:val="0"/>
      <w:marRight w:val="0"/>
      <w:marTop w:val="0"/>
      <w:marBottom w:val="0"/>
      <w:divBdr>
        <w:top w:val="none" w:sz="0" w:space="0" w:color="auto"/>
        <w:left w:val="none" w:sz="0" w:space="0" w:color="auto"/>
        <w:bottom w:val="none" w:sz="0" w:space="0" w:color="auto"/>
        <w:right w:val="none" w:sz="0" w:space="0" w:color="auto"/>
      </w:divBdr>
    </w:div>
    <w:div w:id="97062686">
      <w:bodyDiv w:val="1"/>
      <w:marLeft w:val="0"/>
      <w:marRight w:val="0"/>
      <w:marTop w:val="0"/>
      <w:marBottom w:val="0"/>
      <w:divBdr>
        <w:top w:val="none" w:sz="0" w:space="0" w:color="auto"/>
        <w:left w:val="none" w:sz="0" w:space="0" w:color="auto"/>
        <w:bottom w:val="none" w:sz="0" w:space="0" w:color="auto"/>
        <w:right w:val="none" w:sz="0" w:space="0" w:color="auto"/>
      </w:divBdr>
    </w:div>
    <w:div w:id="203058582">
      <w:bodyDiv w:val="1"/>
      <w:marLeft w:val="0"/>
      <w:marRight w:val="0"/>
      <w:marTop w:val="0"/>
      <w:marBottom w:val="0"/>
      <w:divBdr>
        <w:top w:val="none" w:sz="0" w:space="0" w:color="auto"/>
        <w:left w:val="none" w:sz="0" w:space="0" w:color="auto"/>
        <w:bottom w:val="none" w:sz="0" w:space="0" w:color="auto"/>
        <w:right w:val="none" w:sz="0" w:space="0" w:color="auto"/>
      </w:divBdr>
    </w:div>
    <w:div w:id="658727553">
      <w:bodyDiv w:val="1"/>
      <w:marLeft w:val="0"/>
      <w:marRight w:val="0"/>
      <w:marTop w:val="0"/>
      <w:marBottom w:val="0"/>
      <w:divBdr>
        <w:top w:val="none" w:sz="0" w:space="0" w:color="auto"/>
        <w:left w:val="none" w:sz="0" w:space="0" w:color="auto"/>
        <w:bottom w:val="none" w:sz="0" w:space="0" w:color="auto"/>
        <w:right w:val="none" w:sz="0" w:space="0" w:color="auto"/>
      </w:divBdr>
    </w:div>
    <w:div w:id="689647877">
      <w:bodyDiv w:val="1"/>
      <w:marLeft w:val="0"/>
      <w:marRight w:val="0"/>
      <w:marTop w:val="0"/>
      <w:marBottom w:val="0"/>
      <w:divBdr>
        <w:top w:val="none" w:sz="0" w:space="0" w:color="auto"/>
        <w:left w:val="none" w:sz="0" w:space="0" w:color="auto"/>
        <w:bottom w:val="none" w:sz="0" w:space="0" w:color="auto"/>
        <w:right w:val="none" w:sz="0" w:space="0" w:color="auto"/>
      </w:divBdr>
    </w:div>
    <w:div w:id="730232019">
      <w:bodyDiv w:val="1"/>
      <w:marLeft w:val="0"/>
      <w:marRight w:val="0"/>
      <w:marTop w:val="0"/>
      <w:marBottom w:val="0"/>
      <w:divBdr>
        <w:top w:val="none" w:sz="0" w:space="0" w:color="auto"/>
        <w:left w:val="none" w:sz="0" w:space="0" w:color="auto"/>
        <w:bottom w:val="none" w:sz="0" w:space="0" w:color="auto"/>
        <w:right w:val="none" w:sz="0" w:space="0" w:color="auto"/>
      </w:divBdr>
      <w:divsChild>
        <w:div w:id="699936776">
          <w:marLeft w:val="0"/>
          <w:marRight w:val="0"/>
          <w:marTop w:val="0"/>
          <w:marBottom w:val="0"/>
          <w:divBdr>
            <w:top w:val="none" w:sz="0" w:space="0" w:color="auto"/>
            <w:left w:val="none" w:sz="0" w:space="0" w:color="auto"/>
            <w:bottom w:val="none" w:sz="0" w:space="0" w:color="auto"/>
            <w:right w:val="none" w:sz="0" w:space="0" w:color="auto"/>
          </w:divBdr>
          <w:divsChild>
            <w:div w:id="181745505">
              <w:marLeft w:val="0"/>
              <w:marRight w:val="0"/>
              <w:marTop w:val="0"/>
              <w:marBottom w:val="0"/>
              <w:divBdr>
                <w:top w:val="none" w:sz="0" w:space="0" w:color="auto"/>
                <w:left w:val="none" w:sz="0" w:space="0" w:color="auto"/>
                <w:bottom w:val="none" w:sz="0" w:space="0" w:color="auto"/>
                <w:right w:val="none" w:sz="0" w:space="0" w:color="auto"/>
              </w:divBdr>
              <w:divsChild>
                <w:div w:id="384643669">
                  <w:marLeft w:val="0"/>
                  <w:marRight w:val="0"/>
                  <w:marTop w:val="0"/>
                  <w:marBottom w:val="0"/>
                  <w:divBdr>
                    <w:top w:val="none" w:sz="0" w:space="0" w:color="auto"/>
                    <w:left w:val="none" w:sz="0" w:space="0" w:color="auto"/>
                    <w:bottom w:val="none" w:sz="0" w:space="0" w:color="auto"/>
                    <w:right w:val="none" w:sz="0" w:space="0" w:color="auto"/>
                  </w:divBdr>
                  <w:divsChild>
                    <w:div w:id="67197655">
                      <w:marLeft w:val="0"/>
                      <w:marRight w:val="0"/>
                      <w:marTop w:val="0"/>
                      <w:marBottom w:val="0"/>
                      <w:divBdr>
                        <w:top w:val="none" w:sz="0" w:space="0" w:color="auto"/>
                        <w:left w:val="none" w:sz="0" w:space="0" w:color="auto"/>
                        <w:bottom w:val="none" w:sz="0" w:space="0" w:color="auto"/>
                        <w:right w:val="none" w:sz="0" w:space="0" w:color="auto"/>
                      </w:divBdr>
                      <w:divsChild>
                        <w:div w:id="1132677395">
                          <w:marLeft w:val="0"/>
                          <w:marRight w:val="0"/>
                          <w:marTop w:val="0"/>
                          <w:marBottom w:val="0"/>
                          <w:divBdr>
                            <w:top w:val="single" w:sz="6" w:space="0" w:color="828282"/>
                            <w:left w:val="single" w:sz="6" w:space="0" w:color="828282"/>
                            <w:bottom w:val="single" w:sz="6" w:space="0" w:color="828282"/>
                            <w:right w:val="single" w:sz="6" w:space="0" w:color="828282"/>
                          </w:divBdr>
                          <w:divsChild>
                            <w:div w:id="1593273383">
                              <w:marLeft w:val="0"/>
                              <w:marRight w:val="0"/>
                              <w:marTop w:val="0"/>
                              <w:marBottom w:val="0"/>
                              <w:divBdr>
                                <w:top w:val="none" w:sz="0" w:space="0" w:color="auto"/>
                                <w:left w:val="none" w:sz="0" w:space="0" w:color="auto"/>
                                <w:bottom w:val="none" w:sz="0" w:space="0" w:color="auto"/>
                                <w:right w:val="none" w:sz="0" w:space="0" w:color="auto"/>
                              </w:divBdr>
                              <w:divsChild>
                                <w:div w:id="522744098">
                                  <w:marLeft w:val="0"/>
                                  <w:marRight w:val="0"/>
                                  <w:marTop w:val="0"/>
                                  <w:marBottom w:val="0"/>
                                  <w:divBdr>
                                    <w:top w:val="none" w:sz="0" w:space="0" w:color="auto"/>
                                    <w:left w:val="none" w:sz="0" w:space="0" w:color="auto"/>
                                    <w:bottom w:val="none" w:sz="0" w:space="0" w:color="auto"/>
                                    <w:right w:val="none" w:sz="0" w:space="0" w:color="auto"/>
                                  </w:divBdr>
                                  <w:divsChild>
                                    <w:div w:id="85930685">
                                      <w:marLeft w:val="0"/>
                                      <w:marRight w:val="0"/>
                                      <w:marTop w:val="0"/>
                                      <w:marBottom w:val="0"/>
                                      <w:divBdr>
                                        <w:top w:val="none" w:sz="0" w:space="0" w:color="auto"/>
                                        <w:left w:val="none" w:sz="0" w:space="0" w:color="auto"/>
                                        <w:bottom w:val="none" w:sz="0" w:space="0" w:color="auto"/>
                                        <w:right w:val="none" w:sz="0" w:space="0" w:color="auto"/>
                                      </w:divBdr>
                                      <w:divsChild>
                                        <w:div w:id="904534678">
                                          <w:marLeft w:val="0"/>
                                          <w:marRight w:val="0"/>
                                          <w:marTop w:val="0"/>
                                          <w:marBottom w:val="0"/>
                                          <w:divBdr>
                                            <w:top w:val="none" w:sz="0" w:space="0" w:color="auto"/>
                                            <w:left w:val="none" w:sz="0" w:space="0" w:color="auto"/>
                                            <w:bottom w:val="none" w:sz="0" w:space="0" w:color="auto"/>
                                            <w:right w:val="none" w:sz="0" w:space="0" w:color="auto"/>
                                          </w:divBdr>
                                          <w:divsChild>
                                            <w:div w:id="2080512787">
                                              <w:marLeft w:val="0"/>
                                              <w:marRight w:val="0"/>
                                              <w:marTop w:val="0"/>
                                              <w:marBottom w:val="0"/>
                                              <w:divBdr>
                                                <w:top w:val="none" w:sz="0" w:space="0" w:color="auto"/>
                                                <w:left w:val="none" w:sz="0" w:space="0" w:color="auto"/>
                                                <w:bottom w:val="none" w:sz="0" w:space="0" w:color="auto"/>
                                                <w:right w:val="none" w:sz="0" w:space="0" w:color="auto"/>
                                              </w:divBdr>
                                              <w:divsChild>
                                                <w:div w:id="10537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6293">
      <w:bodyDiv w:val="1"/>
      <w:marLeft w:val="0"/>
      <w:marRight w:val="0"/>
      <w:marTop w:val="0"/>
      <w:marBottom w:val="0"/>
      <w:divBdr>
        <w:top w:val="none" w:sz="0" w:space="0" w:color="auto"/>
        <w:left w:val="none" w:sz="0" w:space="0" w:color="auto"/>
        <w:bottom w:val="none" w:sz="0" w:space="0" w:color="auto"/>
        <w:right w:val="none" w:sz="0" w:space="0" w:color="auto"/>
      </w:divBdr>
      <w:divsChild>
        <w:div w:id="406996424">
          <w:marLeft w:val="0"/>
          <w:marRight w:val="0"/>
          <w:marTop w:val="0"/>
          <w:marBottom w:val="0"/>
          <w:divBdr>
            <w:top w:val="none" w:sz="0" w:space="0" w:color="auto"/>
            <w:left w:val="none" w:sz="0" w:space="0" w:color="auto"/>
            <w:bottom w:val="none" w:sz="0" w:space="0" w:color="auto"/>
            <w:right w:val="none" w:sz="0" w:space="0" w:color="auto"/>
          </w:divBdr>
          <w:divsChild>
            <w:div w:id="566385087">
              <w:marLeft w:val="0"/>
              <w:marRight w:val="0"/>
              <w:marTop w:val="0"/>
              <w:marBottom w:val="0"/>
              <w:divBdr>
                <w:top w:val="none" w:sz="0" w:space="0" w:color="auto"/>
                <w:left w:val="none" w:sz="0" w:space="0" w:color="auto"/>
                <w:bottom w:val="none" w:sz="0" w:space="0" w:color="auto"/>
                <w:right w:val="none" w:sz="0" w:space="0" w:color="auto"/>
              </w:divBdr>
              <w:divsChild>
                <w:div w:id="1636334748">
                  <w:marLeft w:val="0"/>
                  <w:marRight w:val="0"/>
                  <w:marTop w:val="0"/>
                  <w:marBottom w:val="0"/>
                  <w:divBdr>
                    <w:top w:val="none" w:sz="0" w:space="0" w:color="auto"/>
                    <w:left w:val="none" w:sz="0" w:space="0" w:color="auto"/>
                    <w:bottom w:val="none" w:sz="0" w:space="0" w:color="auto"/>
                    <w:right w:val="none" w:sz="0" w:space="0" w:color="auto"/>
                  </w:divBdr>
                  <w:divsChild>
                    <w:div w:id="1005477747">
                      <w:marLeft w:val="0"/>
                      <w:marRight w:val="0"/>
                      <w:marTop w:val="0"/>
                      <w:marBottom w:val="0"/>
                      <w:divBdr>
                        <w:top w:val="none" w:sz="0" w:space="0" w:color="auto"/>
                        <w:left w:val="none" w:sz="0" w:space="0" w:color="auto"/>
                        <w:bottom w:val="none" w:sz="0" w:space="0" w:color="auto"/>
                        <w:right w:val="none" w:sz="0" w:space="0" w:color="auto"/>
                      </w:divBdr>
                      <w:divsChild>
                        <w:div w:id="246114836">
                          <w:marLeft w:val="0"/>
                          <w:marRight w:val="0"/>
                          <w:marTop w:val="0"/>
                          <w:marBottom w:val="0"/>
                          <w:divBdr>
                            <w:top w:val="single" w:sz="6" w:space="0" w:color="828282"/>
                            <w:left w:val="single" w:sz="6" w:space="0" w:color="828282"/>
                            <w:bottom w:val="single" w:sz="6" w:space="0" w:color="828282"/>
                            <w:right w:val="single" w:sz="6" w:space="0" w:color="828282"/>
                          </w:divBdr>
                          <w:divsChild>
                            <w:div w:id="1874532441">
                              <w:marLeft w:val="0"/>
                              <w:marRight w:val="0"/>
                              <w:marTop w:val="0"/>
                              <w:marBottom w:val="0"/>
                              <w:divBdr>
                                <w:top w:val="none" w:sz="0" w:space="0" w:color="auto"/>
                                <w:left w:val="none" w:sz="0" w:space="0" w:color="auto"/>
                                <w:bottom w:val="none" w:sz="0" w:space="0" w:color="auto"/>
                                <w:right w:val="none" w:sz="0" w:space="0" w:color="auto"/>
                              </w:divBdr>
                              <w:divsChild>
                                <w:div w:id="1009989602">
                                  <w:marLeft w:val="0"/>
                                  <w:marRight w:val="0"/>
                                  <w:marTop w:val="0"/>
                                  <w:marBottom w:val="0"/>
                                  <w:divBdr>
                                    <w:top w:val="none" w:sz="0" w:space="0" w:color="auto"/>
                                    <w:left w:val="none" w:sz="0" w:space="0" w:color="auto"/>
                                    <w:bottom w:val="none" w:sz="0" w:space="0" w:color="auto"/>
                                    <w:right w:val="none" w:sz="0" w:space="0" w:color="auto"/>
                                  </w:divBdr>
                                  <w:divsChild>
                                    <w:div w:id="1782412155">
                                      <w:marLeft w:val="0"/>
                                      <w:marRight w:val="0"/>
                                      <w:marTop w:val="0"/>
                                      <w:marBottom w:val="0"/>
                                      <w:divBdr>
                                        <w:top w:val="none" w:sz="0" w:space="0" w:color="auto"/>
                                        <w:left w:val="none" w:sz="0" w:space="0" w:color="auto"/>
                                        <w:bottom w:val="none" w:sz="0" w:space="0" w:color="auto"/>
                                        <w:right w:val="none" w:sz="0" w:space="0" w:color="auto"/>
                                      </w:divBdr>
                                      <w:divsChild>
                                        <w:div w:id="44765545">
                                          <w:marLeft w:val="0"/>
                                          <w:marRight w:val="0"/>
                                          <w:marTop w:val="0"/>
                                          <w:marBottom w:val="0"/>
                                          <w:divBdr>
                                            <w:top w:val="none" w:sz="0" w:space="0" w:color="auto"/>
                                            <w:left w:val="none" w:sz="0" w:space="0" w:color="auto"/>
                                            <w:bottom w:val="none" w:sz="0" w:space="0" w:color="auto"/>
                                            <w:right w:val="none" w:sz="0" w:space="0" w:color="auto"/>
                                          </w:divBdr>
                                          <w:divsChild>
                                            <w:div w:id="5765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834106">
      <w:bodyDiv w:val="1"/>
      <w:marLeft w:val="0"/>
      <w:marRight w:val="0"/>
      <w:marTop w:val="0"/>
      <w:marBottom w:val="0"/>
      <w:divBdr>
        <w:top w:val="none" w:sz="0" w:space="0" w:color="auto"/>
        <w:left w:val="none" w:sz="0" w:space="0" w:color="auto"/>
        <w:bottom w:val="none" w:sz="0" w:space="0" w:color="auto"/>
        <w:right w:val="none" w:sz="0" w:space="0" w:color="auto"/>
      </w:divBdr>
    </w:div>
    <w:div w:id="1008754104">
      <w:bodyDiv w:val="1"/>
      <w:marLeft w:val="0"/>
      <w:marRight w:val="0"/>
      <w:marTop w:val="0"/>
      <w:marBottom w:val="0"/>
      <w:divBdr>
        <w:top w:val="none" w:sz="0" w:space="0" w:color="auto"/>
        <w:left w:val="none" w:sz="0" w:space="0" w:color="auto"/>
        <w:bottom w:val="none" w:sz="0" w:space="0" w:color="auto"/>
        <w:right w:val="none" w:sz="0" w:space="0" w:color="auto"/>
      </w:divBdr>
    </w:div>
    <w:div w:id="1091045174">
      <w:bodyDiv w:val="1"/>
      <w:marLeft w:val="0"/>
      <w:marRight w:val="0"/>
      <w:marTop w:val="0"/>
      <w:marBottom w:val="0"/>
      <w:divBdr>
        <w:top w:val="none" w:sz="0" w:space="0" w:color="auto"/>
        <w:left w:val="none" w:sz="0" w:space="0" w:color="auto"/>
        <w:bottom w:val="none" w:sz="0" w:space="0" w:color="auto"/>
        <w:right w:val="none" w:sz="0" w:space="0" w:color="auto"/>
      </w:divBdr>
    </w:div>
    <w:div w:id="1453015414">
      <w:bodyDiv w:val="1"/>
      <w:marLeft w:val="0"/>
      <w:marRight w:val="0"/>
      <w:marTop w:val="0"/>
      <w:marBottom w:val="0"/>
      <w:divBdr>
        <w:top w:val="none" w:sz="0" w:space="0" w:color="auto"/>
        <w:left w:val="none" w:sz="0" w:space="0" w:color="auto"/>
        <w:bottom w:val="none" w:sz="0" w:space="0" w:color="auto"/>
        <w:right w:val="none" w:sz="0" w:space="0" w:color="auto"/>
      </w:divBdr>
    </w:div>
    <w:div w:id="1480925027">
      <w:bodyDiv w:val="1"/>
      <w:marLeft w:val="0"/>
      <w:marRight w:val="0"/>
      <w:marTop w:val="0"/>
      <w:marBottom w:val="0"/>
      <w:divBdr>
        <w:top w:val="none" w:sz="0" w:space="0" w:color="auto"/>
        <w:left w:val="none" w:sz="0" w:space="0" w:color="auto"/>
        <w:bottom w:val="none" w:sz="0" w:space="0" w:color="auto"/>
        <w:right w:val="none" w:sz="0" w:space="0" w:color="auto"/>
      </w:divBdr>
    </w:div>
    <w:div w:id="1484807603">
      <w:bodyDiv w:val="1"/>
      <w:marLeft w:val="0"/>
      <w:marRight w:val="0"/>
      <w:marTop w:val="0"/>
      <w:marBottom w:val="0"/>
      <w:divBdr>
        <w:top w:val="none" w:sz="0" w:space="0" w:color="auto"/>
        <w:left w:val="none" w:sz="0" w:space="0" w:color="auto"/>
        <w:bottom w:val="none" w:sz="0" w:space="0" w:color="auto"/>
        <w:right w:val="none" w:sz="0" w:space="0" w:color="auto"/>
      </w:divBdr>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sChild>
        <w:div w:id="366225400">
          <w:marLeft w:val="0"/>
          <w:marRight w:val="0"/>
          <w:marTop w:val="0"/>
          <w:marBottom w:val="0"/>
          <w:divBdr>
            <w:top w:val="none" w:sz="0" w:space="0" w:color="auto"/>
            <w:left w:val="none" w:sz="0" w:space="0" w:color="auto"/>
            <w:bottom w:val="none" w:sz="0" w:space="0" w:color="auto"/>
            <w:right w:val="none" w:sz="0" w:space="0" w:color="auto"/>
          </w:divBdr>
          <w:divsChild>
            <w:div w:id="1628464209">
              <w:marLeft w:val="0"/>
              <w:marRight w:val="0"/>
              <w:marTop w:val="0"/>
              <w:marBottom w:val="0"/>
              <w:divBdr>
                <w:top w:val="none" w:sz="0" w:space="0" w:color="auto"/>
                <w:left w:val="none" w:sz="0" w:space="0" w:color="auto"/>
                <w:bottom w:val="none" w:sz="0" w:space="0" w:color="auto"/>
                <w:right w:val="none" w:sz="0" w:space="0" w:color="auto"/>
              </w:divBdr>
              <w:divsChild>
                <w:div w:id="1211190650">
                  <w:marLeft w:val="0"/>
                  <w:marRight w:val="0"/>
                  <w:marTop w:val="0"/>
                  <w:marBottom w:val="0"/>
                  <w:divBdr>
                    <w:top w:val="none" w:sz="0" w:space="0" w:color="auto"/>
                    <w:left w:val="none" w:sz="0" w:space="0" w:color="auto"/>
                    <w:bottom w:val="none" w:sz="0" w:space="0" w:color="auto"/>
                    <w:right w:val="none" w:sz="0" w:space="0" w:color="auto"/>
                  </w:divBdr>
                  <w:divsChild>
                    <w:div w:id="906770755">
                      <w:marLeft w:val="0"/>
                      <w:marRight w:val="0"/>
                      <w:marTop w:val="0"/>
                      <w:marBottom w:val="0"/>
                      <w:divBdr>
                        <w:top w:val="none" w:sz="0" w:space="0" w:color="auto"/>
                        <w:left w:val="none" w:sz="0" w:space="0" w:color="auto"/>
                        <w:bottom w:val="none" w:sz="0" w:space="0" w:color="auto"/>
                        <w:right w:val="none" w:sz="0" w:space="0" w:color="auto"/>
                      </w:divBdr>
                      <w:divsChild>
                        <w:div w:id="641732747">
                          <w:marLeft w:val="0"/>
                          <w:marRight w:val="0"/>
                          <w:marTop w:val="0"/>
                          <w:marBottom w:val="0"/>
                          <w:divBdr>
                            <w:top w:val="single" w:sz="6" w:space="0" w:color="828282"/>
                            <w:left w:val="single" w:sz="6" w:space="0" w:color="828282"/>
                            <w:bottom w:val="single" w:sz="6" w:space="0" w:color="828282"/>
                            <w:right w:val="single" w:sz="6" w:space="0" w:color="828282"/>
                          </w:divBdr>
                          <w:divsChild>
                            <w:div w:id="1637828968">
                              <w:marLeft w:val="0"/>
                              <w:marRight w:val="0"/>
                              <w:marTop w:val="0"/>
                              <w:marBottom w:val="0"/>
                              <w:divBdr>
                                <w:top w:val="none" w:sz="0" w:space="0" w:color="auto"/>
                                <w:left w:val="none" w:sz="0" w:space="0" w:color="auto"/>
                                <w:bottom w:val="none" w:sz="0" w:space="0" w:color="auto"/>
                                <w:right w:val="none" w:sz="0" w:space="0" w:color="auto"/>
                              </w:divBdr>
                              <w:divsChild>
                                <w:div w:id="268201901">
                                  <w:marLeft w:val="0"/>
                                  <w:marRight w:val="0"/>
                                  <w:marTop w:val="0"/>
                                  <w:marBottom w:val="0"/>
                                  <w:divBdr>
                                    <w:top w:val="none" w:sz="0" w:space="0" w:color="auto"/>
                                    <w:left w:val="none" w:sz="0" w:space="0" w:color="auto"/>
                                    <w:bottom w:val="none" w:sz="0" w:space="0" w:color="auto"/>
                                    <w:right w:val="none" w:sz="0" w:space="0" w:color="auto"/>
                                  </w:divBdr>
                                  <w:divsChild>
                                    <w:div w:id="774904322">
                                      <w:marLeft w:val="0"/>
                                      <w:marRight w:val="0"/>
                                      <w:marTop w:val="0"/>
                                      <w:marBottom w:val="0"/>
                                      <w:divBdr>
                                        <w:top w:val="none" w:sz="0" w:space="0" w:color="auto"/>
                                        <w:left w:val="none" w:sz="0" w:space="0" w:color="auto"/>
                                        <w:bottom w:val="none" w:sz="0" w:space="0" w:color="auto"/>
                                        <w:right w:val="none" w:sz="0" w:space="0" w:color="auto"/>
                                      </w:divBdr>
                                      <w:divsChild>
                                        <w:div w:id="1429696491">
                                          <w:marLeft w:val="0"/>
                                          <w:marRight w:val="0"/>
                                          <w:marTop w:val="0"/>
                                          <w:marBottom w:val="0"/>
                                          <w:divBdr>
                                            <w:top w:val="none" w:sz="0" w:space="0" w:color="auto"/>
                                            <w:left w:val="none" w:sz="0" w:space="0" w:color="auto"/>
                                            <w:bottom w:val="none" w:sz="0" w:space="0" w:color="auto"/>
                                            <w:right w:val="none" w:sz="0" w:space="0" w:color="auto"/>
                                          </w:divBdr>
                                          <w:divsChild>
                                            <w:div w:id="1474564383">
                                              <w:marLeft w:val="0"/>
                                              <w:marRight w:val="0"/>
                                              <w:marTop w:val="0"/>
                                              <w:marBottom w:val="0"/>
                                              <w:divBdr>
                                                <w:top w:val="none" w:sz="0" w:space="0" w:color="auto"/>
                                                <w:left w:val="none" w:sz="0" w:space="0" w:color="auto"/>
                                                <w:bottom w:val="none" w:sz="0" w:space="0" w:color="auto"/>
                                                <w:right w:val="none" w:sz="0" w:space="0" w:color="auto"/>
                                              </w:divBdr>
                                              <w:divsChild>
                                                <w:div w:id="7266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F066-400F-48F9-A320-CF5A3B1E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6697</Words>
  <Characters>33243</Characters>
  <Application>Microsoft Office Word</Application>
  <DocSecurity>4</DocSecurity>
  <Lines>841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ngthuh</dc:creator>
  <cp:keywords/>
  <dc:description/>
  <cp:lastModifiedBy>gobbid</cp:lastModifiedBy>
  <cp:revision>2</cp:revision>
  <cp:lastPrinted>2012-11-26T08:02:00Z</cp:lastPrinted>
  <dcterms:created xsi:type="dcterms:W3CDTF">2012-12-06T00:19:00Z</dcterms:created>
  <dcterms:modified xsi:type="dcterms:W3CDTF">2012-12-06T00:19:00Z</dcterms:modified>
</cp:coreProperties>
</file>