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62" w:rsidRPr="00964D9A" w:rsidRDefault="00160362" w:rsidP="00160362">
      <w:pPr>
        <w:keepNext/>
        <w:spacing w:before="120" w:after="120"/>
        <w:rPr>
          <w:rFonts w:ascii="Times New Roman" w:hAnsi="Times New Roman"/>
          <w:b/>
          <w:sz w:val="28"/>
          <w:szCs w:val="28"/>
        </w:rPr>
      </w:pPr>
      <w:bookmarkStart w:id="0" w:name="_Toc290210739"/>
      <w:r w:rsidRPr="00964D9A">
        <w:rPr>
          <w:rFonts w:ascii="Times New Roman" w:hAnsi="Times New Roman"/>
          <w:b/>
          <w:sz w:val="28"/>
          <w:szCs w:val="28"/>
        </w:rPr>
        <w:t>STATEMENT OF COMPATIBILITY WITH HUMAN RIGHTS</w:t>
      </w:r>
    </w:p>
    <w:p w:rsidR="00160362" w:rsidRPr="00E4135E" w:rsidRDefault="00160362" w:rsidP="00160362">
      <w:pPr>
        <w:spacing w:before="120" w:after="120"/>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160362" w:rsidRPr="00E4135E" w:rsidRDefault="00160362" w:rsidP="00160362">
      <w:pPr>
        <w:spacing w:before="120" w:after="120"/>
        <w:rPr>
          <w:rFonts w:ascii="Times New Roman" w:hAnsi="Times New Roman"/>
          <w:sz w:val="24"/>
          <w:szCs w:val="24"/>
        </w:rPr>
      </w:pPr>
    </w:p>
    <w:p w:rsidR="00160362" w:rsidRPr="00AB5345" w:rsidRDefault="00160362" w:rsidP="00160362">
      <w:pPr>
        <w:spacing w:before="120" w:after="120"/>
        <w:rPr>
          <w:rFonts w:ascii="Times New Roman" w:hAnsi="Times New Roman"/>
          <w:b/>
          <w:i/>
          <w:sz w:val="24"/>
          <w:szCs w:val="24"/>
        </w:rPr>
      </w:pPr>
      <w:r w:rsidRPr="00AB5345">
        <w:rPr>
          <w:rFonts w:ascii="Times New Roman" w:hAnsi="Times New Roman"/>
          <w:b/>
          <w:i/>
          <w:sz w:val="24"/>
          <w:szCs w:val="24"/>
        </w:rPr>
        <w:t>Federal</w:t>
      </w:r>
      <w:r>
        <w:rPr>
          <w:rFonts w:ascii="Times New Roman" w:hAnsi="Times New Roman"/>
          <w:b/>
          <w:i/>
          <w:sz w:val="24"/>
          <w:szCs w:val="24"/>
        </w:rPr>
        <w:t xml:space="preserve"> Court and Federal</w:t>
      </w:r>
      <w:r w:rsidRPr="00AB5345">
        <w:rPr>
          <w:rFonts w:ascii="Times New Roman" w:hAnsi="Times New Roman"/>
          <w:b/>
          <w:i/>
          <w:sz w:val="24"/>
          <w:szCs w:val="24"/>
        </w:rPr>
        <w:t xml:space="preserve"> M</w:t>
      </w:r>
      <w:r>
        <w:rPr>
          <w:rFonts w:ascii="Times New Roman" w:hAnsi="Times New Roman"/>
          <w:b/>
          <w:i/>
          <w:sz w:val="24"/>
          <w:szCs w:val="24"/>
        </w:rPr>
        <w:t xml:space="preserve">agistrates Court Regulation </w:t>
      </w:r>
      <w:r w:rsidRPr="00AB5345">
        <w:rPr>
          <w:rFonts w:ascii="Times New Roman" w:hAnsi="Times New Roman"/>
          <w:b/>
          <w:i/>
          <w:sz w:val="24"/>
          <w:szCs w:val="24"/>
        </w:rPr>
        <w:t xml:space="preserve">2012 </w:t>
      </w:r>
    </w:p>
    <w:p w:rsidR="00160362" w:rsidRPr="00E4135E" w:rsidRDefault="00160362" w:rsidP="009C0A70">
      <w:pPr>
        <w:numPr>
          <w:ilvl w:val="0"/>
          <w:numId w:val="5"/>
        </w:numPr>
        <w:spacing w:before="240" w:after="0" w:line="240" w:lineRule="auto"/>
        <w:ind w:left="0" w:hanging="11"/>
        <w:rPr>
          <w:rFonts w:ascii="Times New Roman" w:hAnsi="Times New Roman"/>
          <w:sz w:val="24"/>
          <w:szCs w:val="24"/>
        </w:rPr>
      </w:pPr>
      <w:r w:rsidRPr="00E4135E">
        <w:rPr>
          <w:rFonts w:ascii="Times New Roman" w:hAnsi="Times New Roman"/>
          <w:sz w:val="24"/>
          <w:szCs w:val="24"/>
        </w:rPr>
        <w:t xml:space="preserve">This </w:t>
      </w:r>
      <w:r w:rsidR="00907D8B">
        <w:rPr>
          <w:rFonts w:ascii="Times New Roman" w:hAnsi="Times New Roman"/>
          <w:sz w:val="24"/>
          <w:szCs w:val="24"/>
        </w:rPr>
        <w:t>Regulation</w:t>
      </w:r>
      <w:r w:rsidRPr="00E4135E">
        <w:rPr>
          <w:rFonts w:ascii="Times New Roman" w:hAnsi="Times New Roman"/>
          <w:sz w:val="24"/>
          <w:szCs w:val="24"/>
        </w:rPr>
        <w:t xml:space="preserve"> is compatible with the human rights and freedoms recognised or declared in the international instruments listed in section 3 of the </w:t>
      </w:r>
      <w:r w:rsidRPr="001C708E">
        <w:rPr>
          <w:rFonts w:ascii="Times New Roman" w:hAnsi="Times New Roman"/>
          <w:i/>
          <w:sz w:val="24"/>
          <w:szCs w:val="24"/>
        </w:rPr>
        <w:t>Human Rights (Parliamentary Scrutiny) Act 2011.</w:t>
      </w:r>
    </w:p>
    <w:p w:rsidR="00160362" w:rsidRPr="001C708E" w:rsidRDefault="00160362" w:rsidP="00160362">
      <w:pPr>
        <w:spacing w:before="120" w:after="120"/>
        <w:rPr>
          <w:rFonts w:ascii="Times New Roman" w:hAnsi="Times New Roman"/>
          <w:sz w:val="24"/>
          <w:szCs w:val="24"/>
        </w:rPr>
      </w:pPr>
    </w:p>
    <w:p w:rsidR="00160362" w:rsidRPr="00E4135E" w:rsidRDefault="00160362" w:rsidP="00160362">
      <w:pPr>
        <w:spacing w:before="120" w:after="120"/>
        <w:jc w:val="both"/>
        <w:rPr>
          <w:rFonts w:ascii="Times New Roman" w:hAnsi="Times New Roman"/>
          <w:b/>
          <w:sz w:val="24"/>
          <w:szCs w:val="24"/>
        </w:rPr>
      </w:pPr>
      <w:r w:rsidRPr="00E4135E">
        <w:rPr>
          <w:rFonts w:ascii="Times New Roman" w:hAnsi="Times New Roman"/>
          <w:b/>
          <w:sz w:val="24"/>
          <w:szCs w:val="24"/>
        </w:rPr>
        <w:t xml:space="preserve">Overview of the </w:t>
      </w:r>
      <w:r w:rsidR="00907D8B">
        <w:rPr>
          <w:rFonts w:ascii="Times New Roman" w:hAnsi="Times New Roman"/>
          <w:b/>
          <w:sz w:val="24"/>
          <w:szCs w:val="24"/>
        </w:rPr>
        <w:t>Regulation</w:t>
      </w:r>
    </w:p>
    <w:p w:rsidR="00DE191E" w:rsidRPr="00DE191E" w:rsidRDefault="00DE191E" w:rsidP="005467C3">
      <w:pPr>
        <w:numPr>
          <w:ilvl w:val="0"/>
          <w:numId w:val="5"/>
        </w:numPr>
        <w:spacing w:before="240" w:after="0" w:line="240" w:lineRule="auto"/>
        <w:ind w:left="0" w:hanging="11"/>
        <w:rPr>
          <w:rFonts w:ascii="Times New Roman" w:hAnsi="Times New Roman"/>
          <w:sz w:val="24"/>
          <w:szCs w:val="24"/>
        </w:rPr>
      </w:pPr>
      <w:r w:rsidRPr="00DE191E">
        <w:rPr>
          <w:rFonts w:ascii="Times New Roman" w:hAnsi="Times New Roman"/>
          <w:sz w:val="24"/>
          <w:szCs w:val="24"/>
        </w:rPr>
        <w:t xml:space="preserve">The purpose of the </w:t>
      </w:r>
      <w:r w:rsidRPr="005467C3">
        <w:rPr>
          <w:rFonts w:ascii="Times New Roman" w:hAnsi="Times New Roman"/>
          <w:i/>
          <w:sz w:val="24"/>
          <w:szCs w:val="24"/>
        </w:rPr>
        <w:t>Federal Court and Federal Magistrates Court Regulation 2012</w:t>
      </w:r>
      <w:r w:rsidRPr="00DE191E">
        <w:rPr>
          <w:rFonts w:ascii="Times New Roman" w:hAnsi="Times New Roman"/>
          <w:sz w:val="24"/>
          <w:szCs w:val="24"/>
        </w:rPr>
        <w:t xml:space="preserve"> </w:t>
      </w:r>
      <w:r w:rsidR="009C0A70">
        <w:rPr>
          <w:rFonts w:ascii="Times New Roman" w:hAnsi="Times New Roman"/>
          <w:sz w:val="24"/>
          <w:szCs w:val="24"/>
        </w:rPr>
        <w:t xml:space="preserve">           </w:t>
      </w:r>
      <w:r w:rsidRPr="00DE191E">
        <w:rPr>
          <w:rFonts w:ascii="Times New Roman" w:hAnsi="Times New Roman"/>
          <w:sz w:val="24"/>
          <w:szCs w:val="24"/>
        </w:rPr>
        <w:t xml:space="preserve">(the Regulation) </w:t>
      </w:r>
      <w:r w:rsidR="005467C3">
        <w:rPr>
          <w:rFonts w:ascii="Times New Roman" w:hAnsi="Times New Roman"/>
          <w:sz w:val="24"/>
          <w:szCs w:val="24"/>
        </w:rPr>
        <w:t xml:space="preserve"> </w:t>
      </w:r>
      <w:r w:rsidRPr="00DE191E">
        <w:rPr>
          <w:rFonts w:ascii="Times New Roman" w:hAnsi="Times New Roman"/>
          <w:sz w:val="24"/>
          <w:szCs w:val="24"/>
        </w:rPr>
        <w:t xml:space="preserve">is to replace the </w:t>
      </w:r>
      <w:r w:rsidRPr="005467C3">
        <w:rPr>
          <w:rFonts w:ascii="Times New Roman" w:hAnsi="Times New Roman"/>
          <w:i/>
          <w:sz w:val="24"/>
          <w:szCs w:val="24"/>
        </w:rPr>
        <w:t>Federal Court of Australia Regulations 2004</w:t>
      </w:r>
      <w:r>
        <w:rPr>
          <w:rFonts w:ascii="Times New Roman" w:hAnsi="Times New Roman"/>
          <w:sz w:val="24"/>
          <w:szCs w:val="24"/>
        </w:rPr>
        <w:t xml:space="preserve"> </w:t>
      </w:r>
      <w:r w:rsidRPr="00DE191E">
        <w:rPr>
          <w:rFonts w:ascii="Times New Roman" w:hAnsi="Times New Roman"/>
          <w:sz w:val="24"/>
          <w:szCs w:val="24"/>
        </w:rPr>
        <w:t xml:space="preserve">and the </w:t>
      </w:r>
      <w:r w:rsidRPr="005467C3">
        <w:rPr>
          <w:rFonts w:ascii="Times New Roman" w:hAnsi="Times New Roman"/>
          <w:i/>
          <w:sz w:val="24"/>
          <w:szCs w:val="24"/>
        </w:rPr>
        <w:t>Federal Magistrates Regulations 2000</w:t>
      </w:r>
      <w:r w:rsidRPr="005467C3">
        <w:rPr>
          <w:rFonts w:ascii="Times New Roman" w:hAnsi="Times New Roman"/>
          <w:sz w:val="24"/>
          <w:szCs w:val="24"/>
        </w:rPr>
        <w:t xml:space="preserve"> </w:t>
      </w:r>
      <w:r>
        <w:rPr>
          <w:rFonts w:ascii="Times New Roman" w:hAnsi="Times New Roman"/>
          <w:sz w:val="24"/>
          <w:szCs w:val="24"/>
        </w:rPr>
        <w:t>with a consolidated regulation mainly dealing with court fees for proceedings in the Federal </w:t>
      </w:r>
      <w:r w:rsidRPr="00DE191E">
        <w:rPr>
          <w:rFonts w:ascii="Times New Roman" w:hAnsi="Times New Roman"/>
          <w:sz w:val="24"/>
          <w:szCs w:val="24"/>
        </w:rPr>
        <w:t xml:space="preserve">Court </w:t>
      </w:r>
      <w:r>
        <w:rPr>
          <w:rFonts w:ascii="Times New Roman" w:hAnsi="Times New Roman"/>
          <w:sz w:val="24"/>
          <w:szCs w:val="24"/>
        </w:rPr>
        <w:t xml:space="preserve">of Australia </w:t>
      </w:r>
      <w:r w:rsidRPr="00DE191E">
        <w:rPr>
          <w:rFonts w:ascii="Times New Roman" w:hAnsi="Times New Roman"/>
          <w:sz w:val="24"/>
          <w:szCs w:val="24"/>
        </w:rPr>
        <w:t xml:space="preserve">and the </w:t>
      </w:r>
      <w:r>
        <w:rPr>
          <w:rFonts w:ascii="Times New Roman" w:hAnsi="Times New Roman"/>
          <w:sz w:val="24"/>
          <w:szCs w:val="24"/>
        </w:rPr>
        <w:t>Federal Magistrates Court of Australia (</w:t>
      </w:r>
      <w:r w:rsidR="00294982">
        <w:rPr>
          <w:rFonts w:ascii="Times New Roman" w:hAnsi="Times New Roman"/>
          <w:sz w:val="24"/>
          <w:szCs w:val="24"/>
        </w:rPr>
        <w:t>other </w:t>
      </w:r>
      <w:bookmarkStart w:id="1" w:name="_GoBack"/>
      <w:bookmarkEnd w:id="1"/>
      <w:r w:rsidRPr="00DE191E">
        <w:rPr>
          <w:rFonts w:ascii="Times New Roman" w:hAnsi="Times New Roman"/>
          <w:sz w:val="24"/>
          <w:szCs w:val="24"/>
        </w:rPr>
        <w:t>than in family law) and also to implement a range of reforms to court fees, including:</w:t>
      </w:r>
    </w:p>
    <w:p w:rsidR="00DE191E" w:rsidRPr="00DE191E" w:rsidRDefault="00DE191E" w:rsidP="005467C3">
      <w:pPr>
        <w:numPr>
          <w:ilvl w:val="0"/>
          <w:numId w:val="9"/>
        </w:numPr>
        <w:spacing w:before="240" w:after="0" w:line="240" w:lineRule="auto"/>
        <w:rPr>
          <w:rFonts w:ascii="Times New Roman" w:hAnsi="Times New Roman"/>
          <w:sz w:val="24"/>
          <w:szCs w:val="24"/>
        </w:rPr>
      </w:pPr>
      <w:r w:rsidRPr="00DE191E">
        <w:rPr>
          <w:rFonts w:ascii="Times New Roman" w:hAnsi="Times New Roman"/>
          <w:sz w:val="24"/>
          <w:szCs w:val="24"/>
        </w:rPr>
        <w:t xml:space="preserve">increasing existing fees by 15 </w:t>
      </w:r>
      <w:proofErr w:type="spellStart"/>
      <w:r w:rsidRPr="00DE191E">
        <w:rPr>
          <w:rFonts w:ascii="Times New Roman" w:hAnsi="Times New Roman"/>
          <w:sz w:val="24"/>
          <w:szCs w:val="24"/>
        </w:rPr>
        <w:t>percent</w:t>
      </w:r>
      <w:proofErr w:type="spellEnd"/>
      <w:r w:rsidRPr="00DE191E">
        <w:rPr>
          <w:rFonts w:ascii="Times New Roman" w:hAnsi="Times New Roman"/>
          <w:sz w:val="24"/>
          <w:szCs w:val="24"/>
        </w:rPr>
        <w:t>, increasing fees payab</w:t>
      </w:r>
      <w:r w:rsidR="00402584">
        <w:rPr>
          <w:rFonts w:ascii="Times New Roman" w:hAnsi="Times New Roman"/>
          <w:sz w:val="24"/>
          <w:szCs w:val="24"/>
        </w:rPr>
        <w:t>le by corporations by around 40 </w:t>
      </w:r>
      <w:proofErr w:type="spellStart"/>
      <w:r w:rsidRPr="00DE191E">
        <w:rPr>
          <w:rFonts w:ascii="Times New Roman" w:hAnsi="Times New Roman"/>
          <w:sz w:val="24"/>
          <w:szCs w:val="24"/>
        </w:rPr>
        <w:t>percent</w:t>
      </w:r>
      <w:proofErr w:type="spellEnd"/>
      <w:r w:rsidRPr="00DE191E">
        <w:rPr>
          <w:rFonts w:ascii="Times New Roman" w:hAnsi="Times New Roman"/>
          <w:sz w:val="24"/>
          <w:szCs w:val="24"/>
        </w:rPr>
        <w:t>, and introduction of a separate higher fee for a corporation that is a publicly listed company</w:t>
      </w:r>
    </w:p>
    <w:p w:rsidR="00DE191E" w:rsidRPr="00DE191E" w:rsidRDefault="00DE191E" w:rsidP="005467C3">
      <w:pPr>
        <w:numPr>
          <w:ilvl w:val="0"/>
          <w:numId w:val="9"/>
        </w:numPr>
        <w:spacing w:before="240" w:after="0" w:line="240" w:lineRule="auto"/>
        <w:rPr>
          <w:rFonts w:ascii="Times New Roman" w:hAnsi="Times New Roman"/>
          <w:sz w:val="24"/>
          <w:szCs w:val="24"/>
        </w:rPr>
      </w:pPr>
      <w:r w:rsidRPr="00DE191E">
        <w:rPr>
          <w:rFonts w:ascii="Times New Roman" w:hAnsi="Times New Roman"/>
          <w:sz w:val="24"/>
          <w:szCs w:val="24"/>
        </w:rPr>
        <w:t xml:space="preserve">removing the reduced fee of $100 payable </w:t>
      </w:r>
      <w:r w:rsidR="00402584">
        <w:rPr>
          <w:rFonts w:ascii="Times New Roman" w:hAnsi="Times New Roman"/>
          <w:sz w:val="24"/>
          <w:szCs w:val="24"/>
        </w:rPr>
        <w:t xml:space="preserve">by </w:t>
      </w:r>
      <w:r w:rsidR="005467C3">
        <w:rPr>
          <w:rFonts w:ascii="Times New Roman" w:hAnsi="Times New Roman"/>
          <w:sz w:val="24"/>
          <w:szCs w:val="24"/>
        </w:rPr>
        <w:t xml:space="preserve">certain persons specified in the </w:t>
      </w:r>
      <w:r w:rsidRPr="005467C3">
        <w:rPr>
          <w:rFonts w:ascii="Times New Roman" w:hAnsi="Times New Roman"/>
          <w:i/>
          <w:sz w:val="24"/>
          <w:szCs w:val="24"/>
        </w:rPr>
        <w:t xml:space="preserve">Federal Court of Australia Regulations 2004 </w:t>
      </w:r>
      <w:r w:rsidRPr="00DE191E">
        <w:rPr>
          <w:rFonts w:ascii="Times New Roman" w:hAnsi="Times New Roman"/>
          <w:sz w:val="24"/>
          <w:szCs w:val="24"/>
        </w:rPr>
        <w:t xml:space="preserve">and the </w:t>
      </w:r>
      <w:r w:rsidRPr="005467C3">
        <w:rPr>
          <w:rFonts w:ascii="Times New Roman" w:hAnsi="Times New Roman"/>
          <w:i/>
          <w:sz w:val="24"/>
          <w:szCs w:val="24"/>
        </w:rPr>
        <w:t>Federal Magistrates Regulations 2000</w:t>
      </w:r>
      <w:r w:rsidR="005467C3" w:rsidRPr="005467C3">
        <w:rPr>
          <w:rFonts w:ascii="Times New Roman" w:hAnsi="Times New Roman"/>
          <w:sz w:val="24"/>
          <w:szCs w:val="24"/>
        </w:rPr>
        <w:t xml:space="preserve"> </w:t>
      </w:r>
      <w:r w:rsidR="005467C3">
        <w:rPr>
          <w:rFonts w:ascii="Times New Roman" w:hAnsi="Times New Roman"/>
          <w:sz w:val="24"/>
          <w:szCs w:val="24"/>
        </w:rPr>
        <w:t xml:space="preserve">(such as </w:t>
      </w:r>
      <w:r w:rsidR="005467C3" w:rsidRPr="00DE191E">
        <w:rPr>
          <w:rFonts w:ascii="Times New Roman" w:hAnsi="Times New Roman"/>
          <w:sz w:val="24"/>
          <w:szCs w:val="24"/>
        </w:rPr>
        <w:t>legal aid recipients and people on Commonwealth income support</w:t>
      </w:r>
      <w:r w:rsidR="005467C3">
        <w:rPr>
          <w:rFonts w:ascii="Times New Roman" w:hAnsi="Times New Roman"/>
          <w:sz w:val="24"/>
          <w:szCs w:val="24"/>
        </w:rPr>
        <w:t>)</w:t>
      </w:r>
      <w:r w:rsidRPr="00DE191E">
        <w:rPr>
          <w:rFonts w:ascii="Times New Roman" w:hAnsi="Times New Roman"/>
          <w:sz w:val="24"/>
          <w:szCs w:val="24"/>
        </w:rPr>
        <w:t>, and providing that those persons need not pay court fees (other than some photocopying fees), and</w:t>
      </w:r>
    </w:p>
    <w:p w:rsidR="00DE191E" w:rsidRPr="00DE191E" w:rsidRDefault="00DE191E" w:rsidP="005467C3">
      <w:pPr>
        <w:numPr>
          <w:ilvl w:val="0"/>
          <w:numId w:val="9"/>
        </w:numPr>
        <w:spacing w:before="240" w:after="0" w:line="240" w:lineRule="auto"/>
        <w:rPr>
          <w:rFonts w:ascii="Times New Roman" w:hAnsi="Times New Roman"/>
          <w:sz w:val="24"/>
          <w:szCs w:val="24"/>
        </w:rPr>
      </w:pPr>
      <w:proofErr w:type="gramStart"/>
      <w:r w:rsidRPr="00DE191E">
        <w:rPr>
          <w:rFonts w:ascii="Times New Roman" w:hAnsi="Times New Roman"/>
          <w:sz w:val="24"/>
          <w:szCs w:val="24"/>
        </w:rPr>
        <w:t>introducing</w:t>
      </w:r>
      <w:proofErr w:type="gramEnd"/>
      <w:r w:rsidRPr="00DE191E">
        <w:rPr>
          <w:rFonts w:ascii="Times New Roman" w:hAnsi="Times New Roman"/>
          <w:sz w:val="24"/>
          <w:szCs w:val="24"/>
        </w:rPr>
        <w:t xml:space="preserve"> new fees targeting resource intensive processes to encourage court users to utilise alternative dispute processes.</w:t>
      </w:r>
    </w:p>
    <w:p w:rsidR="004D79F8" w:rsidRPr="004D79F8" w:rsidRDefault="009C0A70" w:rsidP="004D79F8">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S</w:t>
      </w:r>
      <w:r w:rsidR="00DE191E" w:rsidRPr="00DE191E">
        <w:rPr>
          <w:rFonts w:ascii="Times New Roman" w:hAnsi="Times New Roman"/>
          <w:sz w:val="24"/>
          <w:szCs w:val="24"/>
        </w:rPr>
        <w:t>imilar reforms</w:t>
      </w:r>
      <w:r>
        <w:rPr>
          <w:rFonts w:ascii="Times New Roman" w:hAnsi="Times New Roman"/>
          <w:sz w:val="24"/>
          <w:szCs w:val="24"/>
        </w:rPr>
        <w:t xml:space="preserve"> to court fees are also being introduced</w:t>
      </w:r>
      <w:r w:rsidR="00DE191E" w:rsidRPr="00DE191E">
        <w:rPr>
          <w:rFonts w:ascii="Times New Roman" w:hAnsi="Times New Roman"/>
          <w:sz w:val="24"/>
          <w:szCs w:val="24"/>
        </w:rPr>
        <w:t xml:space="preserve"> for the High Court of Australia, the Family Court of Australia and </w:t>
      </w:r>
      <w:r>
        <w:rPr>
          <w:rFonts w:ascii="Times New Roman" w:hAnsi="Times New Roman"/>
          <w:sz w:val="24"/>
          <w:szCs w:val="24"/>
        </w:rPr>
        <w:t>p</w:t>
      </w:r>
      <w:r w:rsidR="00DE191E" w:rsidRPr="00DE191E">
        <w:rPr>
          <w:rFonts w:ascii="Times New Roman" w:hAnsi="Times New Roman"/>
          <w:sz w:val="24"/>
          <w:szCs w:val="24"/>
        </w:rPr>
        <w:t xml:space="preserve">roceedings </w:t>
      </w:r>
      <w:r>
        <w:rPr>
          <w:rFonts w:ascii="Times New Roman" w:hAnsi="Times New Roman"/>
          <w:sz w:val="24"/>
          <w:szCs w:val="24"/>
        </w:rPr>
        <w:t xml:space="preserve">under the </w:t>
      </w:r>
      <w:r>
        <w:rPr>
          <w:rFonts w:ascii="Times New Roman" w:hAnsi="Times New Roman"/>
          <w:i/>
          <w:sz w:val="24"/>
          <w:szCs w:val="24"/>
        </w:rPr>
        <w:t xml:space="preserve">Family Law Act 1975 </w:t>
      </w:r>
      <w:r w:rsidR="00DE191E" w:rsidRPr="00DE191E">
        <w:rPr>
          <w:rFonts w:ascii="Times New Roman" w:hAnsi="Times New Roman"/>
          <w:sz w:val="24"/>
          <w:szCs w:val="24"/>
        </w:rPr>
        <w:t xml:space="preserve">in the </w:t>
      </w:r>
      <w:r w:rsidR="00DE191E">
        <w:rPr>
          <w:rFonts w:ascii="Times New Roman" w:hAnsi="Times New Roman"/>
          <w:sz w:val="24"/>
          <w:szCs w:val="24"/>
        </w:rPr>
        <w:t>Federal Magistrates Court of Australia</w:t>
      </w:r>
      <w:r w:rsidR="00DE191E" w:rsidRPr="00DE191E">
        <w:rPr>
          <w:rFonts w:ascii="Times New Roman" w:hAnsi="Times New Roman"/>
          <w:sz w:val="24"/>
          <w:szCs w:val="24"/>
        </w:rPr>
        <w:t xml:space="preserve">.  </w:t>
      </w:r>
      <w:r w:rsidR="004D79F8" w:rsidRPr="004D79F8">
        <w:rPr>
          <w:rFonts w:ascii="Times New Roman" w:hAnsi="Times New Roman"/>
          <w:sz w:val="24"/>
          <w:szCs w:val="24"/>
        </w:rPr>
        <w:t xml:space="preserve">These measures include an increase to federal court fees to ensure there is a greater contribution by court users to the costs of running the courts, and lower fees or exemptions from fees in some cases to assist access to the courts.    </w:t>
      </w:r>
    </w:p>
    <w:p w:rsidR="00160362" w:rsidRPr="00C4420A" w:rsidRDefault="00160362" w:rsidP="00160362">
      <w:pPr>
        <w:spacing w:before="120" w:after="120"/>
        <w:rPr>
          <w:rFonts w:ascii="Times New Roman" w:hAnsi="Times New Roman"/>
          <w:sz w:val="20"/>
          <w:szCs w:val="24"/>
        </w:rPr>
      </w:pPr>
    </w:p>
    <w:p w:rsidR="00160362" w:rsidRPr="00E4135E" w:rsidRDefault="00160362" w:rsidP="00160362">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160362" w:rsidRPr="00E4135E" w:rsidRDefault="00160362" w:rsidP="00160362">
      <w:pPr>
        <w:numPr>
          <w:ilvl w:val="0"/>
          <w:numId w:val="5"/>
        </w:numPr>
        <w:spacing w:before="240" w:after="0" w:line="240" w:lineRule="auto"/>
        <w:ind w:left="0" w:hanging="11"/>
        <w:rPr>
          <w:rFonts w:ascii="Times New Roman" w:hAnsi="Times New Roman"/>
          <w:sz w:val="24"/>
          <w:szCs w:val="24"/>
        </w:rPr>
      </w:pPr>
      <w:r w:rsidRPr="00E4135E">
        <w:rPr>
          <w:rFonts w:ascii="Times New Roman" w:hAnsi="Times New Roman"/>
          <w:sz w:val="24"/>
          <w:szCs w:val="24"/>
        </w:rPr>
        <w:t xml:space="preserve">This </w:t>
      </w:r>
      <w:r w:rsidR="00907D8B">
        <w:rPr>
          <w:rFonts w:ascii="Times New Roman" w:hAnsi="Times New Roman"/>
          <w:sz w:val="24"/>
          <w:szCs w:val="24"/>
        </w:rPr>
        <w:t>Regulation</w:t>
      </w:r>
      <w:r>
        <w:rPr>
          <w:rFonts w:ascii="Times New Roman" w:hAnsi="Times New Roman"/>
          <w:sz w:val="24"/>
          <w:szCs w:val="24"/>
        </w:rPr>
        <w:t xml:space="preserve"> engages the right to access to justice, which is implied in the right to effective remedy under Article 2(3) of the International Covenant on Civil and Political Rights (ICCPR).  </w:t>
      </w:r>
    </w:p>
    <w:p w:rsidR="005F1FB8" w:rsidRDefault="00160362" w:rsidP="00160362">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Article 2(3) of the ICCPR protects the right to effective remedy for violation of rights or freedoms recognised by the ICCPR,</w:t>
      </w:r>
      <w:r w:rsidR="00D83DCB">
        <w:rPr>
          <w:rFonts w:ascii="Times New Roman" w:hAnsi="Times New Roman"/>
          <w:sz w:val="24"/>
          <w:szCs w:val="24"/>
        </w:rPr>
        <w:t xml:space="preserve"> </w:t>
      </w:r>
      <w:r>
        <w:rPr>
          <w:rFonts w:ascii="Times New Roman" w:hAnsi="Times New Roman"/>
          <w:sz w:val="24"/>
          <w:szCs w:val="24"/>
        </w:rPr>
        <w:t>and provides for a person’s right to be determined by competent judicial authorities</w:t>
      </w:r>
      <w:r w:rsidR="00185F65">
        <w:rPr>
          <w:rFonts w:ascii="Times New Roman" w:hAnsi="Times New Roman"/>
          <w:sz w:val="24"/>
          <w:szCs w:val="24"/>
        </w:rPr>
        <w:t>, by administrative or legislative authorities, or by any other competent authority provided for by the legal system of the State</w:t>
      </w:r>
      <w:r>
        <w:rPr>
          <w:rFonts w:ascii="Times New Roman" w:hAnsi="Times New Roman"/>
          <w:sz w:val="24"/>
          <w:szCs w:val="24"/>
        </w:rPr>
        <w:t xml:space="preserve">. </w:t>
      </w:r>
      <w:r w:rsidR="00D83DCB">
        <w:rPr>
          <w:rFonts w:ascii="Times New Roman" w:hAnsi="Times New Roman"/>
          <w:sz w:val="24"/>
          <w:szCs w:val="24"/>
        </w:rPr>
        <w:t xml:space="preserve"> </w:t>
      </w:r>
    </w:p>
    <w:p w:rsidR="00160362" w:rsidRDefault="00D83DCB" w:rsidP="00160362">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Rights and freedoms recognised by the ICCPR include a right to life, </w:t>
      </w:r>
      <w:r w:rsidR="005F1FB8">
        <w:rPr>
          <w:rFonts w:ascii="Times New Roman" w:hAnsi="Times New Roman"/>
          <w:sz w:val="24"/>
          <w:szCs w:val="24"/>
        </w:rPr>
        <w:t>to</w:t>
      </w:r>
      <w:r>
        <w:rPr>
          <w:rFonts w:ascii="Times New Roman" w:hAnsi="Times New Roman"/>
          <w:sz w:val="24"/>
          <w:szCs w:val="24"/>
        </w:rPr>
        <w:t xml:space="preserve"> equality and </w:t>
      </w:r>
      <w:r w:rsidR="009C0A70">
        <w:rPr>
          <w:rFonts w:ascii="Times New Roman" w:hAnsi="Times New Roman"/>
          <w:sz w:val="24"/>
          <w:szCs w:val="24"/>
        </w:rPr>
        <w:t xml:space="preserve">         </w:t>
      </w:r>
      <w:r>
        <w:rPr>
          <w:rFonts w:ascii="Times New Roman" w:hAnsi="Times New Roman"/>
          <w:sz w:val="24"/>
          <w:szCs w:val="24"/>
        </w:rPr>
        <w:t xml:space="preserve">non-discrimination, to freedom from slavery and forced labour, to freedom of movement, to freedom </w:t>
      </w:r>
      <w:r>
        <w:rPr>
          <w:rFonts w:ascii="Times New Roman" w:hAnsi="Times New Roman"/>
          <w:sz w:val="24"/>
          <w:szCs w:val="24"/>
        </w:rPr>
        <w:lastRenderedPageBreak/>
        <w:t xml:space="preserve">of opinion and expression, to freedom of thought, conscience and religion or belief, to humane treatment in detention, </w:t>
      </w:r>
      <w:r w:rsidR="005F1FB8">
        <w:rPr>
          <w:rFonts w:ascii="Times New Roman" w:hAnsi="Times New Roman"/>
          <w:sz w:val="24"/>
          <w:szCs w:val="24"/>
        </w:rPr>
        <w:t xml:space="preserve">to security of the person and freedom from arbitrary detention, to a fair trial and fair hearing, to freedom of assembly and association, prohibition on interference with privacy and attacks on reputation, </w:t>
      </w:r>
      <w:r w:rsidR="00907D8B">
        <w:rPr>
          <w:rFonts w:ascii="Times New Roman" w:hAnsi="Times New Roman"/>
          <w:sz w:val="24"/>
          <w:szCs w:val="24"/>
        </w:rPr>
        <w:t>righ</w:t>
      </w:r>
      <w:r w:rsidR="005F1FB8">
        <w:rPr>
          <w:rFonts w:ascii="Times New Roman" w:hAnsi="Times New Roman"/>
          <w:sz w:val="24"/>
          <w:szCs w:val="24"/>
        </w:rPr>
        <w:t>ts of parents and children</w:t>
      </w:r>
      <w:r w:rsidR="00907D8B">
        <w:rPr>
          <w:rFonts w:ascii="Times New Roman" w:hAnsi="Times New Roman"/>
          <w:sz w:val="24"/>
          <w:szCs w:val="24"/>
        </w:rPr>
        <w:t>,</w:t>
      </w:r>
      <w:r w:rsidR="005F1FB8">
        <w:rPr>
          <w:rFonts w:ascii="Times New Roman" w:hAnsi="Times New Roman"/>
          <w:sz w:val="24"/>
          <w:szCs w:val="24"/>
        </w:rPr>
        <w:t xml:space="preserve"> </w:t>
      </w:r>
      <w:r w:rsidR="00907D8B">
        <w:rPr>
          <w:rFonts w:ascii="Times New Roman" w:hAnsi="Times New Roman"/>
          <w:sz w:val="24"/>
          <w:szCs w:val="24"/>
        </w:rPr>
        <w:t xml:space="preserve">a </w:t>
      </w:r>
      <w:r w:rsidR="005F1FB8">
        <w:rPr>
          <w:rFonts w:ascii="Times New Roman" w:hAnsi="Times New Roman"/>
          <w:sz w:val="24"/>
          <w:szCs w:val="24"/>
        </w:rPr>
        <w:t>right to work and rights at work</w:t>
      </w:r>
      <w:r>
        <w:rPr>
          <w:rFonts w:ascii="Times New Roman" w:hAnsi="Times New Roman"/>
          <w:sz w:val="24"/>
          <w:szCs w:val="24"/>
        </w:rPr>
        <w:t>.</w:t>
      </w:r>
      <w:r w:rsidR="009C0A70">
        <w:rPr>
          <w:rFonts w:ascii="Times New Roman" w:hAnsi="Times New Roman"/>
          <w:sz w:val="24"/>
          <w:szCs w:val="24"/>
        </w:rPr>
        <w:t xml:space="preserve">  Not all of these rights and freedoms have remedies for violation that involve courts.</w:t>
      </w:r>
      <w:r>
        <w:rPr>
          <w:rFonts w:ascii="Times New Roman" w:hAnsi="Times New Roman"/>
          <w:sz w:val="24"/>
          <w:szCs w:val="24"/>
        </w:rPr>
        <w:t xml:space="preserve"> </w:t>
      </w:r>
    </w:p>
    <w:p w:rsidR="00160362" w:rsidRDefault="00907D8B" w:rsidP="00160362">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The</w:t>
      </w:r>
      <w:r w:rsidR="00160362">
        <w:rPr>
          <w:rFonts w:ascii="Times New Roman" w:hAnsi="Times New Roman"/>
          <w:sz w:val="24"/>
          <w:szCs w:val="24"/>
        </w:rPr>
        <w:t xml:space="preserve"> right </w:t>
      </w:r>
      <w:r>
        <w:rPr>
          <w:rFonts w:ascii="Times New Roman" w:hAnsi="Times New Roman"/>
          <w:sz w:val="24"/>
          <w:szCs w:val="24"/>
        </w:rPr>
        <w:t xml:space="preserve">to access to justice </w:t>
      </w:r>
      <w:r w:rsidR="00160362">
        <w:rPr>
          <w:rFonts w:ascii="Times New Roman" w:hAnsi="Times New Roman"/>
          <w:sz w:val="24"/>
          <w:szCs w:val="24"/>
        </w:rPr>
        <w:t xml:space="preserve">is not absolute.  </w:t>
      </w:r>
    </w:p>
    <w:p w:rsidR="00160362" w:rsidRDefault="00E277A9" w:rsidP="00160362">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The</w:t>
      </w:r>
      <w:r w:rsidR="00160362">
        <w:rPr>
          <w:rFonts w:ascii="Times New Roman" w:hAnsi="Times New Roman"/>
          <w:sz w:val="24"/>
          <w:szCs w:val="24"/>
        </w:rPr>
        <w:t xml:space="preserve"> </w:t>
      </w:r>
      <w:r w:rsidR="00907D8B">
        <w:rPr>
          <w:rFonts w:ascii="Times New Roman" w:hAnsi="Times New Roman"/>
          <w:sz w:val="24"/>
          <w:szCs w:val="24"/>
        </w:rPr>
        <w:t>Regulation</w:t>
      </w:r>
      <w:r w:rsidR="00160362">
        <w:rPr>
          <w:rFonts w:ascii="Times New Roman" w:hAnsi="Times New Roman"/>
          <w:sz w:val="24"/>
          <w:szCs w:val="24"/>
        </w:rPr>
        <w:t xml:space="preserve"> both promotes and limits elements of this right to access to justice. </w:t>
      </w:r>
    </w:p>
    <w:p w:rsidR="00C4420A" w:rsidRDefault="00E277A9" w:rsidP="00C4420A">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The</w:t>
      </w:r>
      <w:r w:rsidR="00907D8B">
        <w:rPr>
          <w:rFonts w:ascii="Times New Roman" w:hAnsi="Times New Roman"/>
          <w:sz w:val="24"/>
          <w:szCs w:val="24"/>
        </w:rPr>
        <w:t xml:space="preserve"> Regulation</w:t>
      </w:r>
      <w:r w:rsidR="00185F65">
        <w:rPr>
          <w:rFonts w:ascii="Times New Roman" w:hAnsi="Times New Roman"/>
          <w:sz w:val="24"/>
          <w:szCs w:val="24"/>
        </w:rPr>
        <w:t xml:space="preserve"> </w:t>
      </w:r>
      <w:r w:rsidR="00130A82">
        <w:rPr>
          <w:rFonts w:ascii="Times New Roman" w:hAnsi="Times New Roman"/>
          <w:sz w:val="24"/>
          <w:szCs w:val="24"/>
        </w:rPr>
        <w:t>advance</w:t>
      </w:r>
      <w:r w:rsidR="009C0A70">
        <w:rPr>
          <w:rFonts w:ascii="Times New Roman" w:hAnsi="Times New Roman"/>
          <w:sz w:val="24"/>
          <w:szCs w:val="24"/>
        </w:rPr>
        <w:t>s</w:t>
      </w:r>
      <w:r w:rsidR="00130A82">
        <w:rPr>
          <w:rFonts w:ascii="Times New Roman" w:hAnsi="Times New Roman"/>
          <w:sz w:val="24"/>
          <w:szCs w:val="24"/>
        </w:rPr>
        <w:t xml:space="preserve"> the right to access </w:t>
      </w:r>
      <w:r w:rsidR="00C4420A">
        <w:rPr>
          <w:rFonts w:ascii="Times New Roman" w:hAnsi="Times New Roman"/>
          <w:sz w:val="24"/>
          <w:szCs w:val="24"/>
        </w:rPr>
        <w:t xml:space="preserve">by providing a fee exemption for </w:t>
      </w:r>
      <w:r w:rsidR="00CB3F6A">
        <w:rPr>
          <w:rFonts w:ascii="Times New Roman" w:hAnsi="Times New Roman"/>
          <w:sz w:val="24"/>
          <w:szCs w:val="24"/>
        </w:rPr>
        <w:t xml:space="preserve">certain </w:t>
      </w:r>
      <w:r w:rsidR="00A318D1" w:rsidRPr="00C4420A">
        <w:rPr>
          <w:rFonts w:ascii="Times New Roman" w:hAnsi="Times New Roman"/>
          <w:sz w:val="24"/>
          <w:szCs w:val="24"/>
        </w:rPr>
        <w:t xml:space="preserve">disadvantaged litigants specified in the Regulation or where payment of the fee would cause financial hardship to the individual.  These persons </w:t>
      </w:r>
      <w:r w:rsidR="009C0A70">
        <w:rPr>
          <w:rFonts w:ascii="Times New Roman" w:hAnsi="Times New Roman"/>
          <w:sz w:val="24"/>
          <w:szCs w:val="24"/>
        </w:rPr>
        <w:t>are</w:t>
      </w:r>
      <w:r w:rsidR="00AD13B9">
        <w:rPr>
          <w:rFonts w:ascii="Times New Roman" w:hAnsi="Times New Roman"/>
          <w:sz w:val="24"/>
          <w:szCs w:val="24"/>
        </w:rPr>
        <w:t xml:space="preserve"> able to access most court services </w:t>
      </w:r>
      <w:r w:rsidR="00A318D1" w:rsidRPr="00C4420A">
        <w:rPr>
          <w:rFonts w:ascii="Times New Roman" w:hAnsi="Times New Roman"/>
          <w:sz w:val="24"/>
          <w:szCs w:val="24"/>
        </w:rPr>
        <w:t xml:space="preserve">without paying court fees.  These disadvantaged persons include recipients of legal aid, people receiving Commonwealth income support, people in detention </w:t>
      </w:r>
      <w:r w:rsidR="00C4420A" w:rsidRPr="00C4420A">
        <w:rPr>
          <w:rFonts w:ascii="Times New Roman" w:hAnsi="Times New Roman"/>
          <w:sz w:val="24"/>
          <w:szCs w:val="24"/>
        </w:rPr>
        <w:t>(who may seek to exercise their right to liberty</w:t>
      </w:r>
      <w:r w:rsidR="00C4420A">
        <w:rPr>
          <w:rFonts w:ascii="Times New Roman" w:hAnsi="Times New Roman"/>
          <w:sz w:val="24"/>
          <w:szCs w:val="24"/>
        </w:rPr>
        <w:t xml:space="preserve"> by challenging</w:t>
      </w:r>
      <w:r w:rsidR="00C4420A" w:rsidRPr="00C4420A">
        <w:rPr>
          <w:rFonts w:ascii="Times New Roman" w:hAnsi="Times New Roman"/>
          <w:sz w:val="24"/>
          <w:szCs w:val="24"/>
        </w:rPr>
        <w:t xml:space="preserve"> their detention </w:t>
      </w:r>
      <w:r w:rsidR="00C4420A">
        <w:rPr>
          <w:rFonts w:ascii="Times New Roman" w:hAnsi="Times New Roman"/>
          <w:sz w:val="24"/>
          <w:szCs w:val="24"/>
        </w:rPr>
        <w:t>as unlawful</w:t>
      </w:r>
      <w:r w:rsidR="00C4420A" w:rsidRPr="00C4420A">
        <w:rPr>
          <w:rFonts w:ascii="Times New Roman" w:hAnsi="Times New Roman"/>
          <w:sz w:val="24"/>
          <w:szCs w:val="24"/>
        </w:rPr>
        <w:t xml:space="preserve">) </w:t>
      </w:r>
      <w:r w:rsidR="00A318D1" w:rsidRPr="00C4420A">
        <w:rPr>
          <w:rFonts w:ascii="Times New Roman" w:hAnsi="Times New Roman"/>
          <w:sz w:val="24"/>
          <w:szCs w:val="24"/>
        </w:rPr>
        <w:t>and children</w:t>
      </w:r>
      <w:r w:rsidR="00C4420A" w:rsidRPr="00C4420A">
        <w:rPr>
          <w:rFonts w:ascii="Times New Roman" w:hAnsi="Times New Roman"/>
          <w:sz w:val="24"/>
          <w:szCs w:val="24"/>
        </w:rPr>
        <w:t xml:space="preserve"> (including those seeking </w:t>
      </w:r>
      <w:r w:rsidR="00C4420A">
        <w:rPr>
          <w:rFonts w:ascii="Times New Roman" w:hAnsi="Times New Roman"/>
          <w:sz w:val="24"/>
          <w:szCs w:val="24"/>
        </w:rPr>
        <w:t xml:space="preserve">to be protected or exercising their right to </w:t>
      </w:r>
      <w:r w:rsidR="00C4420A" w:rsidRPr="00C4420A">
        <w:rPr>
          <w:rFonts w:ascii="Times New Roman" w:hAnsi="Times New Roman"/>
          <w:sz w:val="24"/>
          <w:szCs w:val="24"/>
        </w:rPr>
        <w:t>freedom from discrimination).</w:t>
      </w:r>
    </w:p>
    <w:p w:rsidR="00185F65" w:rsidRPr="00C4420A" w:rsidRDefault="00A318D1" w:rsidP="00C4420A">
      <w:pPr>
        <w:numPr>
          <w:ilvl w:val="0"/>
          <w:numId w:val="5"/>
        </w:numPr>
        <w:spacing w:before="240" w:after="0" w:line="240" w:lineRule="auto"/>
        <w:ind w:left="0" w:hanging="11"/>
        <w:rPr>
          <w:rFonts w:ascii="Times New Roman" w:hAnsi="Times New Roman"/>
          <w:sz w:val="24"/>
          <w:szCs w:val="24"/>
        </w:rPr>
      </w:pPr>
      <w:r w:rsidRPr="00C4420A">
        <w:rPr>
          <w:rFonts w:ascii="Times New Roman" w:hAnsi="Times New Roman"/>
          <w:sz w:val="24"/>
          <w:szCs w:val="24"/>
        </w:rPr>
        <w:t>T</w:t>
      </w:r>
      <w:r w:rsidR="00E277A9" w:rsidRPr="00C4420A">
        <w:rPr>
          <w:rFonts w:ascii="Times New Roman" w:hAnsi="Times New Roman"/>
          <w:sz w:val="24"/>
          <w:szCs w:val="24"/>
        </w:rPr>
        <w:t>he</w:t>
      </w:r>
      <w:r w:rsidR="00185F65" w:rsidRPr="00C4420A">
        <w:rPr>
          <w:rFonts w:ascii="Times New Roman" w:hAnsi="Times New Roman"/>
          <w:sz w:val="24"/>
          <w:szCs w:val="24"/>
        </w:rPr>
        <w:t xml:space="preserve"> </w:t>
      </w:r>
      <w:r w:rsidR="00907D8B" w:rsidRPr="00C4420A">
        <w:rPr>
          <w:rFonts w:ascii="Times New Roman" w:hAnsi="Times New Roman"/>
          <w:sz w:val="24"/>
          <w:szCs w:val="24"/>
        </w:rPr>
        <w:t>Regulation</w:t>
      </w:r>
      <w:r w:rsidR="00185F65" w:rsidRPr="00C4420A">
        <w:rPr>
          <w:rFonts w:ascii="Times New Roman" w:hAnsi="Times New Roman"/>
          <w:sz w:val="24"/>
          <w:szCs w:val="24"/>
        </w:rPr>
        <w:t xml:space="preserve"> </w:t>
      </w:r>
      <w:r w:rsidR="00C4420A">
        <w:rPr>
          <w:rFonts w:ascii="Times New Roman" w:hAnsi="Times New Roman"/>
          <w:sz w:val="24"/>
          <w:szCs w:val="24"/>
        </w:rPr>
        <w:t xml:space="preserve">also </w:t>
      </w:r>
      <w:r w:rsidR="00B1349C" w:rsidRPr="00C4420A">
        <w:rPr>
          <w:rFonts w:ascii="Times New Roman" w:hAnsi="Times New Roman"/>
          <w:sz w:val="24"/>
          <w:szCs w:val="24"/>
        </w:rPr>
        <w:t>promote</w:t>
      </w:r>
      <w:r w:rsidR="009C0A70">
        <w:rPr>
          <w:rFonts w:ascii="Times New Roman" w:hAnsi="Times New Roman"/>
          <w:sz w:val="24"/>
          <w:szCs w:val="24"/>
        </w:rPr>
        <w:t>s</w:t>
      </w:r>
      <w:r w:rsidR="00B1349C" w:rsidRPr="00C4420A">
        <w:rPr>
          <w:rFonts w:ascii="Times New Roman" w:hAnsi="Times New Roman"/>
          <w:sz w:val="24"/>
          <w:szCs w:val="24"/>
        </w:rPr>
        <w:t xml:space="preserve"> the right to access to justice for remedying violations of applicable rights and freedoms</w:t>
      </w:r>
      <w:r w:rsidR="00871EB1">
        <w:rPr>
          <w:rFonts w:ascii="Times New Roman" w:hAnsi="Times New Roman"/>
          <w:sz w:val="24"/>
          <w:szCs w:val="24"/>
        </w:rPr>
        <w:t>,</w:t>
      </w:r>
      <w:r w:rsidR="00B1349C" w:rsidRPr="00C4420A">
        <w:rPr>
          <w:rFonts w:ascii="Times New Roman" w:hAnsi="Times New Roman"/>
          <w:sz w:val="24"/>
          <w:szCs w:val="24"/>
        </w:rPr>
        <w:t xml:space="preserve"> by providing for proceedings where fees are not payable.  These proceedings include an appeal from a judgement on an application under section 46O or 46PP of the </w:t>
      </w:r>
      <w:r w:rsidR="00B1349C" w:rsidRPr="00C4420A">
        <w:rPr>
          <w:rFonts w:ascii="Times New Roman" w:hAnsi="Times New Roman"/>
          <w:i/>
          <w:sz w:val="24"/>
          <w:szCs w:val="24"/>
        </w:rPr>
        <w:t>Australian Human Rights Commission Act 1986</w:t>
      </w:r>
      <w:r w:rsidR="00B1349C" w:rsidRPr="00C4420A">
        <w:rPr>
          <w:rFonts w:ascii="Times New Roman" w:hAnsi="Times New Roman"/>
          <w:sz w:val="24"/>
          <w:szCs w:val="24"/>
        </w:rPr>
        <w:t xml:space="preserve">, an appeal from a judgement on an application under section 539 of the </w:t>
      </w:r>
      <w:r w:rsidR="00B1349C" w:rsidRPr="00C4420A">
        <w:rPr>
          <w:rFonts w:ascii="Times New Roman" w:hAnsi="Times New Roman"/>
          <w:i/>
          <w:sz w:val="24"/>
          <w:szCs w:val="24"/>
        </w:rPr>
        <w:t>Fair Work Act 2009</w:t>
      </w:r>
      <w:r w:rsidR="00B1349C" w:rsidRPr="00C4420A">
        <w:rPr>
          <w:rFonts w:ascii="Times New Roman" w:hAnsi="Times New Roman"/>
          <w:sz w:val="24"/>
          <w:szCs w:val="24"/>
        </w:rPr>
        <w:t xml:space="preserve">, the trying of an election petition under the </w:t>
      </w:r>
      <w:r w:rsidR="00B1349C" w:rsidRPr="00C4420A">
        <w:rPr>
          <w:rFonts w:ascii="Times New Roman" w:hAnsi="Times New Roman"/>
          <w:i/>
          <w:sz w:val="24"/>
          <w:szCs w:val="24"/>
        </w:rPr>
        <w:t>Aboriginal Torres Strait Islander Act 2005</w:t>
      </w:r>
      <w:r w:rsidR="00B1349C" w:rsidRPr="00C4420A">
        <w:rPr>
          <w:rFonts w:ascii="Times New Roman" w:hAnsi="Times New Roman"/>
          <w:sz w:val="24"/>
          <w:szCs w:val="24"/>
        </w:rPr>
        <w:t xml:space="preserve">, a proceeding under the </w:t>
      </w:r>
      <w:r w:rsidR="00B1349C" w:rsidRPr="00C4420A">
        <w:rPr>
          <w:rFonts w:ascii="Times New Roman" w:hAnsi="Times New Roman"/>
          <w:i/>
          <w:sz w:val="24"/>
          <w:szCs w:val="24"/>
        </w:rPr>
        <w:t>Child Support (Registration and Collection) Act 1988</w:t>
      </w:r>
      <w:r w:rsidR="00B1349C" w:rsidRPr="00C4420A">
        <w:rPr>
          <w:rFonts w:ascii="Times New Roman" w:hAnsi="Times New Roman"/>
          <w:sz w:val="24"/>
          <w:szCs w:val="24"/>
        </w:rPr>
        <w:t xml:space="preserve"> </w:t>
      </w:r>
      <w:r w:rsidR="009C0A70">
        <w:rPr>
          <w:rFonts w:ascii="Times New Roman" w:hAnsi="Times New Roman"/>
          <w:sz w:val="24"/>
          <w:szCs w:val="24"/>
        </w:rPr>
        <w:t xml:space="preserve">or the </w:t>
      </w:r>
      <w:r w:rsidR="009C0A70">
        <w:rPr>
          <w:rFonts w:ascii="Times New Roman" w:hAnsi="Times New Roman"/>
          <w:i/>
          <w:sz w:val="24"/>
          <w:szCs w:val="24"/>
        </w:rPr>
        <w:t xml:space="preserve">Child Support (Assessment) Act 1984 </w:t>
      </w:r>
      <w:r w:rsidR="00B1349C" w:rsidRPr="00C4420A">
        <w:rPr>
          <w:rFonts w:ascii="Times New Roman" w:hAnsi="Times New Roman"/>
          <w:sz w:val="24"/>
          <w:szCs w:val="24"/>
        </w:rPr>
        <w:t>and a proceeding for which an international con</w:t>
      </w:r>
      <w:r w:rsidR="00CC3883" w:rsidRPr="00C4420A">
        <w:rPr>
          <w:rFonts w:ascii="Times New Roman" w:hAnsi="Times New Roman"/>
          <w:sz w:val="24"/>
          <w:szCs w:val="24"/>
        </w:rPr>
        <w:t xml:space="preserve">vention to which Australia is </w:t>
      </w:r>
      <w:r w:rsidR="00B1349C" w:rsidRPr="00C4420A">
        <w:rPr>
          <w:rFonts w:ascii="Times New Roman" w:hAnsi="Times New Roman"/>
          <w:sz w:val="24"/>
          <w:szCs w:val="24"/>
        </w:rPr>
        <w:t>part</w:t>
      </w:r>
      <w:r w:rsidR="00CC3883" w:rsidRPr="00C4420A">
        <w:rPr>
          <w:rFonts w:ascii="Times New Roman" w:hAnsi="Times New Roman"/>
          <w:sz w:val="24"/>
          <w:szCs w:val="24"/>
        </w:rPr>
        <w:t>y</w:t>
      </w:r>
      <w:r w:rsidR="00B1349C" w:rsidRPr="00C4420A">
        <w:rPr>
          <w:rFonts w:ascii="Times New Roman" w:hAnsi="Times New Roman"/>
          <w:sz w:val="24"/>
          <w:szCs w:val="24"/>
        </w:rPr>
        <w:t xml:space="preserve"> provides that no fee is to be payable. </w:t>
      </w:r>
      <w:r w:rsidR="00185F65" w:rsidRPr="00C4420A">
        <w:rPr>
          <w:rFonts w:ascii="Times New Roman" w:hAnsi="Times New Roman"/>
          <w:sz w:val="24"/>
          <w:szCs w:val="24"/>
        </w:rPr>
        <w:t xml:space="preserve">  </w:t>
      </w:r>
    </w:p>
    <w:p w:rsidR="00160362" w:rsidRPr="00185F65" w:rsidRDefault="00E277A9" w:rsidP="00160362">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The</w:t>
      </w:r>
      <w:r w:rsidR="00160362" w:rsidRPr="00185F65">
        <w:rPr>
          <w:rFonts w:ascii="Times New Roman" w:hAnsi="Times New Roman"/>
          <w:sz w:val="24"/>
          <w:szCs w:val="24"/>
        </w:rPr>
        <w:t xml:space="preserve"> </w:t>
      </w:r>
      <w:r w:rsidR="00907D8B">
        <w:rPr>
          <w:rFonts w:ascii="Times New Roman" w:hAnsi="Times New Roman"/>
          <w:sz w:val="24"/>
          <w:szCs w:val="24"/>
        </w:rPr>
        <w:t>Regulation</w:t>
      </w:r>
      <w:r w:rsidR="00160362" w:rsidRPr="00185F65">
        <w:rPr>
          <w:rFonts w:ascii="Times New Roman" w:hAnsi="Times New Roman"/>
          <w:sz w:val="24"/>
          <w:szCs w:val="24"/>
        </w:rPr>
        <w:t xml:space="preserve"> introduces new fees and increases particular fees in the </w:t>
      </w:r>
      <w:r w:rsidR="00C07BF7" w:rsidRPr="00185F65">
        <w:rPr>
          <w:rFonts w:ascii="Times New Roman" w:hAnsi="Times New Roman"/>
          <w:sz w:val="24"/>
          <w:szCs w:val="24"/>
        </w:rPr>
        <w:t>Federal Court of Australia and the Federal Magistrates Court of Australia (the Courts)</w:t>
      </w:r>
      <w:r w:rsidR="00160362" w:rsidRPr="00185F65">
        <w:rPr>
          <w:rFonts w:ascii="Times New Roman" w:hAnsi="Times New Roman"/>
          <w:sz w:val="24"/>
          <w:szCs w:val="24"/>
        </w:rPr>
        <w:t xml:space="preserve">.  This may limit some persons’ right of access to remedies which are enforceable by the </w:t>
      </w:r>
      <w:r w:rsidR="006130AC" w:rsidRPr="00185F65">
        <w:rPr>
          <w:rFonts w:ascii="Times New Roman" w:hAnsi="Times New Roman"/>
          <w:sz w:val="24"/>
          <w:szCs w:val="24"/>
        </w:rPr>
        <w:t>Courts</w:t>
      </w:r>
      <w:r w:rsidR="00160362" w:rsidRPr="00185F65">
        <w:rPr>
          <w:rFonts w:ascii="Times New Roman" w:hAnsi="Times New Roman"/>
          <w:sz w:val="24"/>
          <w:szCs w:val="24"/>
        </w:rPr>
        <w:t>.</w:t>
      </w:r>
      <w:r w:rsidR="00185F65">
        <w:rPr>
          <w:rFonts w:ascii="Times New Roman" w:hAnsi="Times New Roman"/>
          <w:sz w:val="24"/>
          <w:szCs w:val="24"/>
        </w:rPr>
        <w:t xml:space="preserve">  </w:t>
      </w:r>
      <w:r w:rsidR="00160362" w:rsidRPr="00185F65">
        <w:rPr>
          <w:rFonts w:ascii="Times New Roman" w:hAnsi="Times New Roman"/>
          <w:sz w:val="24"/>
          <w:szCs w:val="24"/>
        </w:rPr>
        <w:t xml:space="preserve">However, there </w:t>
      </w:r>
      <w:r w:rsidR="006130AC" w:rsidRPr="00185F65">
        <w:rPr>
          <w:rFonts w:ascii="Times New Roman" w:hAnsi="Times New Roman"/>
          <w:sz w:val="24"/>
          <w:szCs w:val="24"/>
        </w:rPr>
        <w:t>remain</w:t>
      </w:r>
      <w:r w:rsidR="00160362" w:rsidRPr="00185F65">
        <w:rPr>
          <w:rFonts w:ascii="Times New Roman" w:hAnsi="Times New Roman"/>
          <w:sz w:val="24"/>
          <w:szCs w:val="24"/>
        </w:rPr>
        <w:t xml:space="preserve"> a number of other avenues under which complaints of human rights violations may be made</w:t>
      </w:r>
      <w:r w:rsidR="00CC3883">
        <w:rPr>
          <w:rFonts w:ascii="Times New Roman" w:hAnsi="Times New Roman"/>
          <w:sz w:val="24"/>
          <w:szCs w:val="24"/>
        </w:rPr>
        <w:t xml:space="preserve">, including </w:t>
      </w:r>
      <w:r w:rsidR="00A318D1">
        <w:rPr>
          <w:rFonts w:ascii="Times New Roman" w:hAnsi="Times New Roman"/>
          <w:sz w:val="24"/>
          <w:szCs w:val="24"/>
        </w:rPr>
        <w:t>State and Territory</w:t>
      </w:r>
      <w:r w:rsidR="00CC3883">
        <w:rPr>
          <w:rFonts w:ascii="Times New Roman" w:hAnsi="Times New Roman"/>
          <w:sz w:val="24"/>
          <w:szCs w:val="24"/>
        </w:rPr>
        <w:t xml:space="preserve"> courts</w:t>
      </w:r>
      <w:r w:rsidR="00160362" w:rsidRPr="00185F65">
        <w:rPr>
          <w:rFonts w:ascii="Times New Roman" w:hAnsi="Times New Roman"/>
          <w:sz w:val="24"/>
          <w:szCs w:val="24"/>
        </w:rPr>
        <w:t xml:space="preserve">.  </w:t>
      </w:r>
      <w:r w:rsidR="00B32EA9" w:rsidRPr="00185F65">
        <w:rPr>
          <w:rFonts w:ascii="Times New Roman" w:hAnsi="Times New Roman"/>
          <w:sz w:val="24"/>
          <w:szCs w:val="24"/>
        </w:rPr>
        <w:t xml:space="preserve">Accordingly, any limitation of the right to access to justice is within the allowable limitation provided in </w:t>
      </w:r>
      <w:r w:rsidR="00185F65" w:rsidRPr="00185F65">
        <w:rPr>
          <w:rFonts w:ascii="Times New Roman" w:hAnsi="Times New Roman"/>
          <w:sz w:val="24"/>
          <w:szCs w:val="24"/>
        </w:rPr>
        <w:t xml:space="preserve">Article 2(3) of </w:t>
      </w:r>
      <w:r w:rsidR="00B32EA9" w:rsidRPr="00185F65">
        <w:rPr>
          <w:rFonts w:ascii="Times New Roman" w:hAnsi="Times New Roman"/>
          <w:sz w:val="24"/>
          <w:szCs w:val="24"/>
        </w:rPr>
        <w:t xml:space="preserve">the ICCPR.  </w:t>
      </w:r>
    </w:p>
    <w:p w:rsidR="00A318D1" w:rsidRPr="00A318D1" w:rsidRDefault="00A318D1" w:rsidP="00A318D1">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 xml:space="preserve">Any limitation on the right to access to justice by the new and increased fees is reasonable, necessary and proportionate.  The Regulation introduces fees for resource intensive processes, which are reasonable in order to distribute court resources equitably.  The increased fees for mediation are reasonable and proportionate to better reflect the cost of providing the service.  </w:t>
      </w:r>
      <w:r w:rsidRPr="00A318D1">
        <w:rPr>
          <w:rFonts w:ascii="Times New Roman" w:hAnsi="Times New Roman"/>
          <w:sz w:val="24"/>
          <w:szCs w:val="24"/>
        </w:rPr>
        <w:t xml:space="preserve">The fees are </w:t>
      </w:r>
      <w:r>
        <w:rPr>
          <w:rFonts w:ascii="Times New Roman" w:hAnsi="Times New Roman"/>
          <w:sz w:val="24"/>
          <w:szCs w:val="24"/>
        </w:rPr>
        <w:t xml:space="preserve">also </w:t>
      </w:r>
      <w:r w:rsidRPr="00A318D1">
        <w:rPr>
          <w:rFonts w:ascii="Times New Roman" w:hAnsi="Times New Roman"/>
          <w:sz w:val="24"/>
          <w:szCs w:val="24"/>
        </w:rPr>
        <w:t>reasonable and proportionate in that they focus on litigants with the capacity to pay, such as publically listed companies, corporations</w:t>
      </w:r>
      <w:r>
        <w:rPr>
          <w:rFonts w:ascii="Times New Roman" w:hAnsi="Times New Roman"/>
          <w:sz w:val="24"/>
          <w:szCs w:val="24"/>
        </w:rPr>
        <w:t xml:space="preserve"> and public entities.  </w:t>
      </w:r>
      <w:r w:rsidRPr="00A318D1">
        <w:rPr>
          <w:rFonts w:ascii="Times New Roman" w:hAnsi="Times New Roman"/>
          <w:sz w:val="24"/>
          <w:szCs w:val="24"/>
        </w:rPr>
        <w:t>At the same time, the Regulations provide exemptions from fees for disadvantaged</w:t>
      </w:r>
      <w:r w:rsidR="00CB3F6A">
        <w:rPr>
          <w:rFonts w:ascii="Times New Roman" w:hAnsi="Times New Roman"/>
          <w:sz w:val="24"/>
          <w:szCs w:val="24"/>
        </w:rPr>
        <w:t xml:space="preserve"> litigants.</w:t>
      </w:r>
    </w:p>
    <w:p w:rsidR="00160362" w:rsidRPr="00402584" w:rsidRDefault="00F81D9A" w:rsidP="00402584">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Further, t</w:t>
      </w:r>
      <w:r w:rsidR="00160362">
        <w:rPr>
          <w:rFonts w:ascii="Times New Roman" w:hAnsi="Times New Roman"/>
          <w:sz w:val="24"/>
          <w:szCs w:val="24"/>
        </w:rPr>
        <w:t>he changes to court</w:t>
      </w:r>
      <w:r>
        <w:rPr>
          <w:rFonts w:ascii="Times New Roman" w:hAnsi="Times New Roman"/>
          <w:sz w:val="24"/>
          <w:szCs w:val="24"/>
        </w:rPr>
        <w:t xml:space="preserve"> fees </w:t>
      </w:r>
      <w:r w:rsidR="00A318D1">
        <w:rPr>
          <w:rFonts w:ascii="Times New Roman" w:hAnsi="Times New Roman"/>
          <w:sz w:val="24"/>
          <w:szCs w:val="24"/>
        </w:rPr>
        <w:t>are</w:t>
      </w:r>
      <w:r w:rsidR="00160362">
        <w:rPr>
          <w:rFonts w:ascii="Times New Roman" w:hAnsi="Times New Roman"/>
          <w:sz w:val="24"/>
          <w:szCs w:val="24"/>
        </w:rPr>
        <w:t xml:space="preserve"> necessary to achieve a legitimate objective.  </w:t>
      </w:r>
      <w:r w:rsidR="004D79F8">
        <w:rPr>
          <w:rFonts w:ascii="Times New Roman" w:hAnsi="Times New Roman"/>
          <w:sz w:val="24"/>
          <w:szCs w:val="24"/>
        </w:rPr>
        <w:t>Increased fees provide for court users to contribute to the running of the Courts</w:t>
      </w:r>
      <w:r w:rsidR="00F561DE">
        <w:rPr>
          <w:rFonts w:ascii="Times New Roman" w:hAnsi="Times New Roman"/>
          <w:sz w:val="24"/>
          <w:szCs w:val="24"/>
        </w:rPr>
        <w:t xml:space="preserve"> as some </w:t>
      </w:r>
      <w:r w:rsidR="00CB3F6A">
        <w:rPr>
          <w:rFonts w:ascii="Times New Roman" w:hAnsi="Times New Roman"/>
          <w:sz w:val="24"/>
          <w:szCs w:val="24"/>
        </w:rPr>
        <w:t xml:space="preserve">of the </w:t>
      </w:r>
      <w:r w:rsidR="00F561DE">
        <w:rPr>
          <w:rFonts w:ascii="Times New Roman" w:hAnsi="Times New Roman"/>
          <w:sz w:val="24"/>
          <w:szCs w:val="24"/>
        </w:rPr>
        <w:t>revenue raised by fees will be returned to the Courts</w:t>
      </w:r>
      <w:r w:rsidR="004D79F8">
        <w:rPr>
          <w:rFonts w:ascii="Times New Roman" w:hAnsi="Times New Roman"/>
          <w:sz w:val="24"/>
          <w:szCs w:val="24"/>
        </w:rPr>
        <w:t xml:space="preserve">.  </w:t>
      </w:r>
      <w:r w:rsidR="00160362">
        <w:rPr>
          <w:rFonts w:ascii="Times New Roman" w:hAnsi="Times New Roman"/>
          <w:sz w:val="24"/>
          <w:szCs w:val="24"/>
        </w:rPr>
        <w:t xml:space="preserve">The changes will provide for greater accessibility in general </w:t>
      </w:r>
      <w:r w:rsidR="004D79F8">
        <w:rPr>
          <w:rFonts w:ascii="Times New Roman" w:hAnsi="Times New Roman"/>
          <w:sz w:val="24"/>
          <w:szCs w:val="24"/>
        </w:rPr>
        <w:t>by ensuring</w:t>
      </w:r>
      <w:r w:rsidR="00402584">
        <w:rPr>
          <w:rFonts w:ascii="Times New Roman" w:hAnsi="Times New Roman"/>
          <w:sz w:val="24"/>
          <w:szCs w:val="24"/>
        </w:rPr>
        <w:t xml:space="preserve"> the Courts </w:t>
      </w:r>
      <w:r w:rsidR="004D79F8">
        <w:rPr>
          <w:rFonts w:ascii="Times New Roman" w:hAnsi="Times New Roman"/>
          <w:sz w:val="24"/>
          <w:szCs w:val="24"/>
        </w:rPr>
        <w:t xml:space="preserve">are able to </w:t>
      </w:r>
      <w:r>
        <w:rPr>
          <w:rFonts w:ascii="Times New Roman" w:hAnsi="Times New Roman"/>
          <w:sz w:val="24"/>
          <w:szCs w:val="24"/>
        </w:rPr>
        <w:t>maintain vital services</w:t>
      </w:r>
      <w:r w:rsidR="00F561DE">
        <w:rPr>
          <w:rFonts w:ascii="Times New Roman" w:hAnsi="Times New Roman"/>
          <w:sz w:val="24"/>
          <w:szCs w:val="24"/>
        </w:rPr>
        <w:t xml:space="preserve"> through increased funding</w:t>
      </w:r>
      <w:r w:rsidR="001465FC">
        <w:rPr>
          <w:rFonts w:ascii="Times New Roman" w:hAnsi="Times New Roman"/>
          <w:sz w:val="24"/>
          <w:szCs w:val="24"/>
        </w:rPr>
        <w:t xml:space="preserve"> to them</w:t>
      </w:r>
      <w:r w:rsidR="00F561DE">
        <w:rPr>
          <w:rFonts w:ascii="Times New Roman" w:hAnsi="Times New Roman"/>
          <w:sz w:val="24"/>
          <w:szCs w:val="24"/>
        </w:rPr>
        <w:t>.</w:t>
      </w:r>
    </w:p>
    <w:p w:rsidR="00A318D1" w:rsidRDefault="00A318D1" w:rsidP="00160362">
      <w:pPr>
        <w:spacing w:before="120" w:after="120"/>
        <w:rPr>
          <w:rFonts w:ascii="Times New Roman" w:hAnsi="Times New Roman"/>
          <w:b/>
          <w:sz w:val="20"/>
          <w:szCs w:val="24"/>
        </w:rPr>
      </w:pPr>
    </w:p>
    <w:p w:rsidR="001C708E" w:rsidRDefault="001C708E" w:rsidP="00160362">
      <w:pPr>
        <w:spacing w:before="120" w:after="120"/>
        <w:rPr>
          <w:rFonts w:ascii="Times New Roman" w:hAnsi="Times New Roman"/>
          <w:b/>
          <w:sz w:val="20"/>
          <w:szCs w:val="24"/>
        </w:rPr>
      </w:pPr>
    </w:p>
    <w:p w:rsidR="001C708E" w:rsidRDefault="001C708E" w:rsidP="00160362">
      <w:pPr>
        <w:spacing w:before="120" w:after="120"/>
        <w:rPr>
          <w:rFonts w:ascii="Times New Roman" w:hAnsi="Times New Roman"/>
          <w:b/>
          <w:sz w:val="20"/>
          <w:szCs w:val="24"/>
        </w:rPr>
      </w:pPr>
    </w:p>
    <w:p w:rsidR="001C708E" w:rsidRPr="00C4420A" w:rsidRDefault="001C708E" w:rsidP="00160362">
      <w:pPr>
        <w:spacing w:before="120" w:after="120"/>
        <w:rPr>
          <w:rFonts w:ascii="Times New Roman" w:hAnsi="Times New Roman"/>
          <w:b/>
          <w:sz w:val="20"/>
          <w:szCs w:val="24"/>
        </w:rPr>
      </w:pPr>
    </w:p>
    <w:p w:rsidR="00160362" w:rsidRPr="00CD1874" w:rsidRDefault="00160362" w:rsidP="00160362">
      <w:pPr>
        <w:spacing w:before="120" w:after="120"/>
        <w:rPr>
          <w:rFonts w:ascii="Times New Roman" w:hAnsi="Times New Roman"/>
          <w:b/>
          <w:sz w:val="24"/>
          <w:szCs w:val="24"/>
        </w:rPr>
      </w:pPr>
      <w:r w:rsidRPr="00CD1874">
        <w:rPr>
          <w:rFonts w:ascii="Times New Roman" w:hAnsi="Times New Roman"/>
          <w:b/>
          <w:sz w:val="24"/>
          <w:szCs w:val="24"/>
        </w:rPr>
        <w:lastRenderedPageBreak/>
        <w:t>Conclusion</w:t>
      </w:r>
    </w:p>
    <w:p w:rsidR="00160362" w:rsidRPr="00CD1874" w:rsidRDefault="006D7104" w:rsidP="00160362">
      <w:pPr>
        <w:numPr>
          <w:ilvl w:val="0"/>
          <w:numId w:val="5"/>
        </w:numPr>
        <w:spacing w:before="240" w:after="0" w:line="240" w:lineRule="auto"/>
        <w:ind w:left="0" w:hanging="11"/>
        <w:rPr>
          <w:rFonts w:ascii="Times New Roman" w:hAnsi="Times New Roman"/>
          <w:sz w:val="24"/>
          <w:szCs w:val="24"/>
        </w:rPr>
      </w:pPr>
      <w:r>
        <w:rPr>
          <w:rFonts w:ascii="Times New Roman" w:hAnsi="Times New Roman"/>
          <w:sz w:val="24"/>
          <w:szCs w:val="24"/>
        </w:rPr>
        <w:t>This</w:t>
      </w:r>
      <w:r w:rsidR="00160362">
        <w:rPr>
          <w:rFonts w:ascii="Times New Roman" w:hAnsi="Times New Roman"/>
          <w:sz w:val="24"/>
          <w:szCs w:val="24"/>
        </w:rPr>
        <w:t xml:space="preserve"> </w:t>
      </w:r>
      <w:r w:rsidR="00907D8B">
        <w:rPr>
          <w:rFonts w:ascii="Times New Roman" w:hAnsi="Times New Roman"/>
          <w:sz w:val="24"/>
          <w:szCs w:val="24"/>
        </w:rPr>
        <w:t>Regulation</w:t>
      </w:r>
      <w:r w:rsidR="00160362">
        <w:rPr>
          <w:rFonts w:ascii="Times New Roman" w:hAnsi="Times New Roman"/>
          <w:sz w:val="24"/>
          <w:szCs w:val="24"/>
        </w:rPr>
        <w:t xml:space="preserve"> is compatible with human rights because it advances the protection of human rights</w:t>
      </w:r>
      <w:r w:rsidR="00A318D1">
        <w:rPr>
          <w:rFonts w:ascii="Times New Roman" w:hAnsi="Times New Roman"/>
          <w:sz w:val="24"/>
          <w:szCs w:val="24"/>
        </w:rPr>
        <w:t>, in particular the right to access to justice,</w:t>
      </w:r>
      <w:r w:rsidR="00160362">
        <w:rPr>
          <w:rFonts w:ascii="Times New Roman" w:hAnsi="Times New Roman"/>
          <w:sz w:val="24"/>
          <w:szCs w:val="24"/>
        </w:rPr>
        <w:t xml:space="preserve"> and to the extent that it may limit human rights, those limitations are reasonable, necessary and proportionate.  </w:t>
      </w:r>
    </w:p>
    <w:p w:rsidR="00160362" w:rsidRDefault="00160362" w:rsidP="00160362">
      <w:pPr>
        <w:spacing w:before="120" w:after="120"/>
        <w:jc w:val="center"/>
        <w:rPr>
          <w:rFonts w:ascii="Times New Roman" w:hAnsi="Times New Roman"/>
          <w:sz w:val="24"/>
          <w:szCs w:val="24"/>
        </w:rPr>
      </w:pPr>
    </w:p>
    <w:p w:rsidR="003D6352" w:rsidRPr="00DC103E" w:rsidRDefault="003D6352" w:rsidP="003D6352">
      <w:pPr>
        <w:keepNext/>
        <w:spacing w:before="120" w:after="120" w:line="240" w:lineRule="auto"/>
        <w:jc w:val="center"/>
        <w:rPr>
          <w:rFonts w:ascii="Times New Roman" w:hAnsi="Times New Roman"/>
          <w:b/>
          <w:sz w:val="24"/>
          <w:szCs w:val="24"/>
        </w:rPr>
      </w:pPr>
      <w:r w:rsidRPr="00DC103E">
        <w:rPr>
          <w:rFonts w:ascii="Times New Roman" w:hAnsi="Times New Roman"/>
          <w:b/>
          <w:sz w:val="24"/>
          <w:szCs w:val="24"/>
        </w:rPr>
        <w:t>The Hon Nicola Roxon MP, Attorney-General</w:t>
      </w:r>
    </w:p>
    <w:bookmarkEnd w:id="0"/>
    <w:sectPr w:rsidR="003D6352" w:rsidRPr="00DC103E" w:rsidSect="001C708E">
      <w:headerReference w:type="default" r:id="rId13"/>
      <w:pgSz w:w="11906" w:h="16838"/>
      <w:pgMar w:top="1276" w:right="1077" w:bottom="1276"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84" w:rsidRDefault="00382A84" w:rsidP="00341B5E">
      <w:pPr>
        <w:spacing w:after="0" w:line="240" w:lineRule="auto"/>
      </w:pPr>
      <w:r>
        <w:separator/>
      </w:r>
    </w:p>
  </w:endnote>
  <w:endnote w:type="continuationSeparator" w:id="0">
    <w:p w:rsidR="00382A84" w:rsidRDefault="00382A84" w:rsidP="0034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84" w:rsidRDefault="00382A84" w:rsidP="00341B5E">
      <w:pPr>
        <w:spacing w:after="0" w:line="240" w:lineRule="auto"/>
      </w:pPr>
      <w:r>
        <w:separator/>
      </w:r>
    </w:p>
  </w:footnote>
  <w:footnote w:type="continuationSeparator" w:id="0">
    <w:p w:rsidR="00382A84" w:rsidRDefault="00382A84" w:rsidP="00341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6E" w:rsidRPr="00F75F6E" w:rsidRDefault="00F75F6E" w:rsidP="00F75F6E">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230"/>
    <w:multiLevelType w:val="hybridMultilevel"/>
    <w:tmpl w:val="03DEA5A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326E8B"/>
    <w:multiLevelType w:val="hybridMultilevel"/>
    <w:tmpl w:val="4B1A7ED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4982FCB"/>
    <w:multiLevelType w:val="hybridMultilevel"/>
    <w:tmpl w:val="6B5E8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CE1E1F"/>
    <w:multiLevelType w:val="hybridMultilevel"/>
    <w:tmpl w:val="8480BDFC"/>
    <w:lvl w:ilvl="0" w:tplc="CEFC564E">
      <w:numFmt w:val="bullet"/>
      <w:lvlText w:val="•"/>
      <w:lvlJc w:val="left"/>
      <w:pPr>
        <w:ind w:left="1080" w:hanging="72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84743B"/>
    <w:multiLevelType w:val="hybridMultilevel"/>
    <w:tmpl w:val="76422DD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9">
    <w:nsid w:val="7FA05E91"/>
    <w:multiLevelType w:val="hybridMultilevel"/>
    <w:tmpl w:val="52749A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
  </w:num>
  <w:num w:numId="3">
    <w:abstractNumId w:val="3"/>
  </w:num>
  <w:num w:numId="4">
    <w:abstractNumId w:val="7"/>
  </w:num>
  <w:num w:numId="5">
    <w:abstractNumId w:val="9"/>
  </w:num>
  <w:num w:numId="6">
    <w:abstractNumId w:val="4"/>
  </w:num>
  <w:num w:numId="7">
    <w:abstractNumId w:val="5"/>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B5E"/>
    <w:rsid w:val="00094299"/>
    <w:rsid w:val="000B4BAD"/>
    <w:rsid w:val="000E53FD"/>
    <w:rsid w:val="000F2561"/>
    <w:rsid w:val="00130A82"/>
    <w:rsid w:val="001465FC"/>
    <w:rsid w:val="00160362"/>
    <w:rsid w:val="00170CD1"/>
    <w:rsid w:val="001847A9"/>
    <w:rsid w:val="00185F65"/>
    <w:rsid w:val="001B64E8"/>
    <w:rsid w:val="001C708E"/>
    <w:rsid w:val="001E6E19"/>
    <w:rsid w:val="00294982"/>
    <w:rsid w:val="002B394B"/>
    <w:rsid w:val="00341B5E"/>
    <w:rsid w:val="0034501B"/>
    <w:rsid w:val="00382A84"/>
    <w:rsid w:val="003A6AAF"/>
    <w:rsid w:val="003D6352"/>
    <w:rsid w:val="004023A0"/>
    <w:rsid w:val="00402584"/>
    <w:rsid w:val="004251AD"/>
    <w:rsid w:val="004D79F8"/>
    <w:rsid w:val="00505FD8"/>
    <w:rsid w:val="005467C3"/>
    <w:rsid w:val="00575C50"/>
    <w:rsid w:val="005F1FB8"/>
    <w:rsid w:val="005F4CD5"/>
    <w:rsid w:val="006130AC"/>
    <w:rsid w:val="00620840"/>
    <w:rsid w:val="00626522"/>
    <w:rsid w:val="00630F8B"/>
    <w:rsid w:val="006A0DB2"/>
    <w:rsid w:val="006A7FA8"/>
    <w:rsid w:val="006D7104"/>
    <w:rsid w:val="006E138A"/>
    <w:rsid w:val="00750E2D"/>
    <w:rsid w:val="0075367F"/>
    <w:rsid w:val="00780D37"/>
    <w:rsid w:val="007D19D4"/>
    <w:rsid w:val="00815DA2"/>
    <w:rsid w:val="00834748"/>
    <w:rsid w:val="00867E9C"/>
    <w:rsid w:val="00871EB1"/>
    <w:rsid w:val="008A5152"/>
    <w:rsid w:val="00907D8B"/>
    <w:rsid w:val="00930AB0"/>
    <w:rsid w:val="00961CC4"/>
    <w:rsid w:val="00961F49"/>
    <w:rsid w:val="00964D9A"/>
    <w:rsid w:val="009C0A70"/>
    <w:rsid w:val="009C6ABB"/>
    <w:rsid w:val="00A00394"/>
    <w:rsid w:val="00A318D1"/>
    <w:rsid w:val="00A66212"/>
    <w:rsid w:val="00A75DDB"/>
    <w:rsid w:val="00AB5345"/>
    <w:rsid w:val="00AD13B9"/>
    <w:rsid w:val="00AD41A2"/>
    <w:rsid w:val="00B1349C"/>
    <w:rsid w:val="00B32EA9"/>
    <w:rsid w:val="00B648DF"/>
    <w:rsid w:val="00B70FE3"/>
    <w:rsid w:val="00BB4BF2"/>
    <w:rsid w:val="00BE26D1"/>
    <w:rsid w:val="00BF5E16"/>
    <w:rsid w:val="00C07BF7"/>
    <w:rsid w:val="00C4420A"/>
    <w:rsid w:val="00C474C8"/>
    <w:rsid w:val="00C648E3"/>
    <w:rsid w:val="00C77305"/>
    <w:rsid w:val="00C967F8"/>
    <w:rsid w:val="00CB3F6A"/>
    <w:rsid w:val="00CB6537"/>
    <w:rsid w:val="00CC3883"/>
    <w:rsid w:val="00D47F71"/>
    <w:rsid w:val="00D837A8"/>
    <w:rsid w:val="00D83DCB"/>
    <w:rsid w:val="00D84BD3"/>
    <w:rsid w:val="00D93DA0"/>
    <w:rsid w:val="00DD673C"/>
    <w:rsid w:val="00DE191E"/>
    <w:rsid w:val="00E277A9"/>
    <w:rsid w:val="00E30CBD"/>
    <w:rsid w:val="00E4135E"/>
    <w:rsid w:val="00E45C63"/>
    <w:rsid w:val="00E71C64"/>
    <w:rsid w:val="00EB591C"/>
    <w:rsid w:val="00F17CC3"/>
    <w:rsid w:val="00F561DE"/>
    <w:rsid w:val="00F66081"/>
    <w:rsid w:val="00F75F6E"/>
    <w:rsid w:val="00F81D9A"/>
    <w:rsid w:val="00FA00B5"/>
    <w:rsid w:val="00FF1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basedOn w:val="DefaultParagraphFont"/>
    <w:link w:val="FootnoteText"/>
    <w:uiPriority w:val="99"/>
    <w:rsid w:val="00341B5E"/>
    <w:rPr>
      <w:rFonts w:ascii="Calibri" w:eastAsia="Calibri" w:hAnsi="Calibri" w:cs="Times New Roman"/>
      <w:sz w:val="20"/>
      <w:szCs w:val="20"/>
    </w:rPr>
  </w:style>
  <w:style w:type="character" w:styleId="FootnoteReference">
    <w:name w:val="footnote reference"/>
    <w:basedOn w:val="DefaultParagraphFont"/>
    <w:unhideWhenUsed/>
    <w:rsid w:val="00341B5E"/>
    <w:rPr>
      <w:vertAlign w:val="superscript"/>
    </w:rPr>
  </w:style>
  <w:style w:type="character" w:styleId="Hyperlink">
    <w:name w:val="Hyperlink"/>
    <w:basedOn w:val="DefaultParagraphFont"/>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basedOn w:val="DefaultParagraphFont"/>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basedOn w:val="DefaultParagraphFont"/>
    <w:link w:val="Footer"/>
    <w:uiPriority w:val="99"/>
    <w:semiHidden/>
    <w:rsid w:val="00F75F6E"/>
    <w:rPr>
      <w:sz w:val="22"/>
      <w:szCs w:val="22"/>
      <w:lang w:eastAsia="en-US"/>
    </w:rPr>
  </w:style>
  <w:style w:type="character" w:styleId="CommentReference">
    <w:name w:val="annotation reference"/>
    <w:basedOn w:val="DefaultParagraphFont"/>
    <w:uiPriority w:val="99"/>
    <w:semiHidden/>
    <w:unhideWhenUsed/>
    <w:rsid w:val="006E138A"/>
    <w:rPr>
      <w:sz w:val="16"/>
      <w:szCs w:val="16"/>
    </w:rPr>
  </w:style>
  <w:style w:type="paragraph" w:styleId="CommentText">
    <w:name w:val="annotation text"/>
    <w:basedOn w:val="Normal"/>
    <w:link w:val="CommentTextChar"/>
    <w:uiPriority w:val="99"/>
    <w:semiHidden/>
    <w:unhideWhenUsed/>
    <w:rsid w:val="006E138A"/>
    <w:rPr>
      <w:sz w:val="20"/>
      <w:szCs w:val="20"/>
    </w:rPr>
  </w:style>
  <w:style w:type="character" w:customStyle="1" w:styleId="CommentTextChar">
    <w:name w:val="Comment Text Char"/>
    <w:basedOn w:val="DefaultParagraphFont"/>
    <w:link w:val="CommentText"/>
    <w:uiPriority w:val="99"/>
    <w:semiHidden/>
    <w:rsid w:val="006E138A"/>
    <w:rPr>
      <w:lang w:eastAsia="en-US"/>
    </w:rPr>
  </w:style>
  <w:style w:type="paragraph" w:styleId="CommentSubject">
    <w:name w:val="annotation subject"/>
    <w:basedOn w:val="CommentText"/>
    <w:next w:val="CommentText"/>
    <w:link w:val="CommentSubjectChar"/>
    <w:uiPriority w:val="99"/>
    <w:semiHidden/>
    <w:unhideWhenUsed/>
    <w:rsid w:val="006E138A"/>
    <w:rPr>
      <w:b/>
      <w:bCs/>
    </w:rPr>
  </w:style>
  <w:style w:type="character" w:customStyle="1" w:styleId="CommentSubjectChar">
    <w:name w:val="Comment Subject Char"/>
    <w:basedOn w:val="CommentTextChar"/>
    <w:link w:val="CommentSubject"/>
    <w:uiPriority w:val="99"/>
    <w:semiHidden/>
    <w:rsid w:val="006E138A"/>
    <w:rPr>
      <w:b/>
      <w:bCs/>
      <w:lang w:eastAsia="en-US"/>
    </w:rPr>
  </w:style>
  <w:style w:type="paragraph" w:styleId="BalloonText">
    <w:name w:val="Balloon Text"/>
    <w:basedOn w:val="Normal"/>
    <w:link w:val="BalloonTextChar"/>
    <w:uiPriority w:val="99"/>
    <w:semiHidden/>
    <w:unhideWhenUsed/>
    <w:rsid w:val="006E1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8A"/>
    <w:rPr>
      <w:rFonts w:ascii="Tahoma" w:hAnsi="Tahoma" w:cs="Tahoma"/>
      <w:sz w:val="16"/>
      <w:szCs w:val="16"/>
      <w:lang w:eastAsia="en-US"/>
    </w:rPr>
  </w:style>
  <w:style w:type="paragraph" w:styleId="NormalWeb">
    <w:name w:val="Normal (Web)"/>
    <w:basedOn w:val="Normal"/>
    <w:uiPriority w:val="99"/>
    <w:semiHidden/>
    <w:unhideWhenUsed/>
    <w:rsid w:val="00C4420A"/>
    <w:pPr>
      <w:spacing w:before="100" w:beforeAutospacing="1" w:after="100" w:afterAutospacing="1" w:line="240" w:lineRule="auto"/>
    </w:pPr>
    <w:rPr>
      <w:rFonts w:ascii="Verdana" w:eastAsia="Times New Roman" w:hAnsi="Verdana"/>
      <w:color w:val="555555"/>
      <w:sz w:val="17"/>
      <w:szCs w:val="17"/>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B922DD129354F9AB84620853B2E96" ma:contentTypeVersion="1" ma:contentTypeDescription="Create a new document." ma:contentTypeScope="" ma:versionID="431cc24aafd95a2c67f9469b522eb31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EBF1D-09D0-44D4-B367-1FF14DD09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DC832-1A33-48AC-8348-7F51E59FAF05}">
  <ds:schemaRefs>
    <ds:schemaRef ds:uri="http://schemas.microsoft.com/office/2006/metadata/longProperties"/>
  </ds:schemaRefs>
</ds:datastoreItem>
</file>

<file path=customXml/itemProps3.xml><?xml version="1.0" encoding="utf-8"?>
<ds:datastoreItem xmlns:ds="http://schemas.openxmlformats.org/officeDocument/2006/customXml" ds:itemID="{FD3A62CB-2BAC-42AD-8025-C1B4971A0A8C}">
  <ds:schemaRefs>
    <ds:schemaRef ds:uri="http://schemas.microsoft.com/sharepoint/v3/contenttype/forms"/>
  </ds:schemaRefs>
</ds:datastoreItem>
</file>

<file path=customXml/itemProps4.xml><?xml version="1.0" encoding="utf-8"?>
<ds:datastoreItem xmlns:ds="http://schemas.openxmlformats.org/officeDocument/2006/customXml" ds:itemID="{26700E03-1C12-48E2-A38E-5A791F501A39}">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61A4ABE6-1BED-4036-9415-C9394BB8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ngthuh</dc:creator>
  <cp:keywords/>
  <cp:lastModifiedBy>ngthuh</cp:lastModifiedBy>
  <cp:revision>33</cp:revision>
  <cp:lastPrinted>2012-11-27T00:25:00Z</cp:lastPrinted>
  <dcterms:created xsi:type="dcterms:W3CDTF">2012-11-22T01:30:00Z</dcterms:created>
  <dcterms:modified xsi:type="dcterms:W3CDTF">2012-11-27T22:01:00Z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700.000000000000</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ies>
</file>