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E22161" w:rsidRDefault="00E924EE" w:rsidP="004752A2">
      <w:pPr>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7" o:title=""/>
          </v:shape>
        </w:pict>
      </w:r>
    </w:p>
    <w:p w:rsidR="004752A2" w:rsidRDefault="004752A2" w:rsidP="004752A2">
      <w:pPr>
        <w:pStyle w:val="Title"/>
        <w:ind w:left="397" w:right="397"/>
      </w:pPr>
      <w:bookmarkStart w:id="0" w:name="Citation"/>
      <w:r>
        <w:t xml:space="preserve">National Consumer Credit </w:t>
      </w:r>
      <w:r w:rsidR="00930CF8">
        <w:t>Protection Amendment Regulation</w:t>
      </w:r>
      <w:r>
        <w:t xml:space="preserve"> </w:t>
      </w:r>
      <w:fldSimple w:instr=" REF Year \* charformat ">
        <w:r w:rsidR="00B53F88">
          <w:t>2012</w:t>
        </w:r>
      </w:fldSimple>
      <w:r>
        <w:t xml:space="preserve"> (No.</w:t>
      </w:r>
      <w:r w:rsidR="0019122F">
        <w:t> </w:t>
      </w:r>
      <w:r w:rsidR="00B53F88">
        <w:t>3</w:t>
      </w:r>
      <w:r>
        <w:t>)</w:t>
      </w:r>
      <w:bookmarkEnd w:id="0"/>
      <w:r>
        <w:rPr>
          <w:b w:val="0"/>
          <w:position w:val="6"/>
          <w:sz w:val="24"/>
          <w:vertAlign w:val="superscript"/>
        </w:rPr>
        <w:t>1</w:t>
      </w:r>
    </w:p>
    <w:p w:rsidR="004752A2" w:rsidRDefault="004752A2" w:rsidP="004752A2">
      <w:pPr>
        <w:pStyle w:val="SRNo"/>
        <w:ind w:left="397" w:right="397"/>
      </w:pPr>
      <w:r>
        <w:t xml:space="preserve">Select Legislative Instrument </w:t>
      </w:r>
      <w:bookmarkStart w:id="1" w:name="Year"/>
      <w:r>
        <w:t>2012</w:t>
      </w:r>
      <w:bookmarkEnd w:id="1"/>
      <w:r>
        <w:t xml:space="preserve"> No. </w:t>
      </w:r>
      <w:bookmarkStart w:id="2" w:name="refno"/>
      <w:r w:rsidR="00B53F88">
        <w:t>313</w:t>
      </w:r>
      <w:bookmarkEnd w:id="2"/>
    </w:p>
    <w:p w:rsidR="004752A2" w:rsidRDefault="004752A2" w:rsidP="004752A2">
      <w:pPr>
        <w:tabs>
          <w:tab w:val="left" w:pos="4111"/>
        </w:tabs>
        <w:spacing w:before="360"/>
        <w:ind w:left="397" w:right="397"/>
        <w:jc w:val="both"/>
      </w:pPr>
      <w:r>
        <w:t>I, QUENTIN BRYCE</w:t>
      </w:r>
      <w:r w:rsidRPr="000C767C">
        <w:t>,</w:t>
      </w:r>
      <w:r>
        <w:t xml:space="preserve"> Governor-General of the Commonwealth of Australia, acting with the advice of the Federal Executive Council, make the following </w:t>
      </w:r>
      <w:r w:rsidR="00930CF8">
        <w:t>regulation</w:t>
      </w:r>
      <w:r>
        <w:t xml:space="preserve"> under the </w:t>
      </w:r>
      <w:r w:rsidRPr="004752A2">
        <w:rPr>
          <w:i/>
        </w:rPr>
        <w:t>National Consumer Credit Protection Act 2009</w:t>
      </w:r>
      <w:r>
        <w:t>.</w:t>
      </w:r>
    </w:p>
    <w:p w:rsidR="004752A2" w:rsidRDefault="004752A2" w:rsidP="004752A2">
      <w:pPr>
        <w:keepNext/>
        <w:tabs>
          <w:tab w:val="left" w:pos="3402"/>
        </w:tabs>
        <w:spacing w:before="300" w:line="240" w:lineRule="atLeast"/>
        <w:ind w:left="397" w:right="397"/>
      </w:pPr>
      <w:r>
        <w:t>Dated</w:t>
      </w:r>
      <w:r w:rsidR="00B53F88">
        <w:t xml:space="preserve"> 6 December </w:t>
      </w:r>
      <w:fldSimple w:instr=" REF Year \* charformat ">
        <w:r w:rsidR="00B53F88">
          <w:t>2012</w:t>
        </w:r>
      </w:fldSimple>
    </w:p>
    <w:p w:rsidR="004752A2" w:rsidRDefault="00B53F88" w:rsidP="004752A2">
      <w:pPr>
        <w:spacing w:before="1080" w:line="300" w:lineRule="atLeast"/>
        <w:ind w:left="397" w:right="397"/>
        <w:jc w:val="right"/>
      </w:pPr>
      <w:r>
        <w:t>QUENTIN BRYCE</w:t>
      </w:r>
    </w:p>
    <w:p w:rsidR="004752A2" w:rsidRDefault="004752A2" w:rsidP="004752A2">
      <w:pPr>
        <w:spacing w:line="300" w:lineRule="atLeast"/>
        <w:ind w:left="397" w:right="397"/>
        <w:jc w:val="right"/>
      </w:pPr>
      <w:r>
        <w:t>Governor-General</w:t>
      </w:r>
    </w:p>
    <w:p w:rsidR="004752A2" w:rsidRDefault="004752A2" w:rsidP="004752A2">
      <w:pPr>
        <w:spacing w:after="800" w:line="300" w:lineRule="atLeast"/>
        <w:ind w:left="397" w:right="397"/>
      </w:pPr>
      <w:r>
        <w:t>By Her Excellency’s Command</w:t>
      </w:r>
    </w:p>
    <w:p w:rsidR="004752A2" w:rsidRDefault="0019122F" w:rsidP="004752A2">
      <w:pPr>
        <w:spacing w:before="480" w:line="300" w:lineRule="atLeast"/>
        <w:ind w:left="397" w:right="397"/>
        <w:rPr>
          <w:b/>
        </w:rPr>
      </w:pPr>
      <w:r w:rsidRPr="0019122F">
        <w:t>W</w:t>
      </w:r>
      <w:r w:rsidR="005A6529">
        <w:t>ILLIAM RICHARD SHORTEN</w:t>
      </w:r>
    </w:p>
    <w:p w:rsidR="004752A2" w:rsidRDefault="005A6529" w:rsidP="004752A2">
      <w:pPr>
        <w:pBdr>
          <w:bottom w:val="single" w:sz="4" w:space="12" w:color="auto"/>
        </w:pBdr>
        <w:spacing w:line="300" w:lineRule="atLeast"/>
        <w:ind w:left="397" w:right="397"/>
      </w:pPr>
      <w:r>
        <w:t>Minister for Financial Services and Superannuation</w:t>
      </w:r>
    </w:p>
    <w:p w:rsidR="004752A2" w:rsidRDefault="004752A2" w:rsidP="004752A2">
      <w:pPr>
        <w:pStyle w:val="SigningPageBreak"/>
        <w:ind w:left="397" w:right="397"/>
        <w:sectPr w:rsidR="004752A2" w:rsidSect="00934FCC">
          <w:headerReference w:type="even" r:id="rId8"/>
          <w:headerReference w:type="default" r:id="rId9"/>
          <w:footerReference w:type="even" r:id="rId10"/>
          <w:footerReference w:type="default" r:id="rId11"/>
          <w:footerReference w:type="first" r:id="rId12"/>
          <w:type w:val="continuous"/>
          <w:pgSz w:w="11907" w:h="16839" w:code="9"/>
          <w:pgMar w:top="1985" w:right="2410" w:bottom="3969" w:left="2410" w:header="567" w:footer="3119" w:gutter="0"/>
          <w:cols w:space="708"/>
          <w:titlePg/>
          <w:docGrid w:linePitch="360"/>
        </w:sectPr>
      </w:pPr>
    </w:p>
    <w:p w:rsidR="00BC682E" w:rsidRDefault="00BC682E" w:rsidP="00B0318A">
      <w:pPr>
        <w:pStyle w:val="ContentsHead"/>
      </w:pPr>
      <w:r>
        <w:lastRenderedPageBreak/>
        <w:t>Contents</w:t>
      </w:r>
    </w:p>
    <w:p w:rsidR="00BC682E" w:rsidRDefault="00BC682E">
      <w:pPr>
        <w:pStyle w:val="TOC5"/>
        <w:rPr>
          <w:rFonts w:ascii="Calibri" w:hAnsi="Calibri"/>
          <w:noProof/>
          <w:sz w:val="22"/>
          <w:szCs w:val="22"/>
          <w:lang w:eastAsia="en-AU"/>
        </w:rPr>
      </w:pPr>
      <w:r>
        <w:fldChar w:fldCharType="begin"/>
      </w:r>
      <w:r>
        <w:instrText xml:space="preserve"> TOC \o "1-9" \t "A1,5, AS,6, ASP,8" </w:instrText>
      </w:r>
      <w:r>
        <w:fldChar w:fldCharType="separate"/>
      </w:r>
      <w:r>
        <w:rPr>
          <w:noProof/>
        </w:rPr>
        <w:tab/>
        <w:t>1</w:t>
      </w:r>
      <w:r>
        <w:rPr>
          <w:rFonts w:ascii="Calibri" w:hAnsi="Calibri"/>
          <w:noProof/>
          <w:sz w:val="22"/>
          <w:szCs w:val="22"/>
          <w:lang w:eastAsia="en-AU"/>
        </w:rPr>
        <w:tab/>
      </w:r>
      <w:r>
        <w:rPr>
          <w:noProof/>
        </w:rPr>
        <w:t>Name of regulation</w:t>
      </w:r>
      <w:r>
        <w:rPr>
          <w:noProof/>
        </w:rPr>
        <w:tab/>
      </w:r>
      <w:r>
        <w:rPr>
          <w:noProof/>
        </w:rPr>
        <w:fldChar w:fldCharType="begin"/>
      </w:r>
      <w:r>
        <w:rPr>
          <w:noProof/>
        </w:rPr>
        <w:instrText xml:space="preserve"> PAGEREF _Toc341341641 \h </w:instrText>
      </w:r>
      <w:r>
        <w:rPr>
          <w:noProof/>
        </w:rPr>
      </w:r>
      <w:r>
        <w:rPr>
          <w:noProof/>
        </w:rPr>
        <w:fldChar w:fldCharType="separate"/>
      </w:r>
      <w:r w:rsidR="00B53F88">
        <w:rPr>
          <w:noProof/>
        </w:rPr>
        <w:t>2</w:t>
      </w:r>
      <w:r>
        <w:rPr>
          <w:noProof/>
        </w:rPr>
        <w:fldChar w:fldCharType="end"/>
      </w:r>
    </w:p>
    <w:p w:rsidR="00BC682E" w:rsidRDefault="00BC682E">
      <w:pPr>
        <w:pStyle w:val="TOC5"/>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_Toc341341642 \h </w:instrText>
      </w:r>
      <w:r>
        <w:rPr>
          <w:noProof/>
        </w:rPr>
      </w:r>
      <w:r>
        <w:rPr>
          <w:noProof/>
        </w:rPr>
        <w:fldChar w:fldCharType="separate"/>
      </w:r>
      <w:r w:rsidR="00B53F88">
        <w:rPr>
          <w:noProof/>
        </w:rPr>
        <w:t>2</w:t>
      </w:r>
      <w:r>
        <w:rPr>
          <w:noProof/>
        </w:rPr>
        <w:fldChar w:fldCharType="end"/>
      </w:r>
    </w:p>
    <w:p w:rsidR="00BC682E" w:rsidRDefault="00BC682E">
      <w:pPr>
        <w:pStyle w:val="TOC5"/>
        <w:rPr>
          <w:rFonts w:ascii="Calibri" w:hAnsi="Calibri"/>
          <w:noProof/>
          <w:sz w:val="22"/>
          <w:szCs w:val="22"/>
          <w:lang w:eastAsia="en-AU"/>
        </w:rPr>
      </w:pPr>
      <w:r>
        <w:rPr>
          <w:noProof/>
        </w:rPr>
        <w:tab/>
        <w:t>3</w:t>
      </w:r>
      <w:r>
        <w:rPr>
          <w:rFonts w:ascii="Calibri" w:hAnsi="Calibri"/>
          <w:noProof/>
          <w:sz w:val="22"/>
          <w:szCs w:val="22"/>
          <w:lang w:eastAsia="en-AU"/>
        </w:rPr>
        <w:tab/>
      </w:r>
      <w:r>
        <w:rPr>
          <w:noProof/>
        </w:rPr>
        <w:t xml:space="preserve">Amendment of </w:t>
      </w:r>
      <w:r w:rsidRPr="0093000C">
        <w:rPr>
          <w:i/>
          <w:noProof/>
        </w:rPr>
        <w:t>National Consumer Credit Protection Regulations 2010</w:t>
      </w:r>
      <w:r>
        <w:rPr>
          <w:noProof/>
        </w:rPr>
        <w:tab/>
      </w:r>
      <w:r>
        <w:rPr>
          <w:noProof/>
        </w:rPr>
        <w:fldChar w:fldCharType="begin"/>
      </w:r>
      <w:r>
        <w:rPr>
          <w:noProof/>
        </w:rPr>
        <w:instrText xml:space="preserve"> PAGEREF _Toc341341643 \h </w:instrText>
      </w:r>
      <w:r>
        <w:rPr>
          <w:noProof/>
        </w:rPr>
      </w:r>
      <w:r>
        <w:rPr>
          <w:noProof/>
        </w:rPr>
        <w:fldChar w:fldCharType="separate"/>
      </w:r>
      <w:r w:rsidR="00B53F88">
        <w:rPr>
          <w:noProof/>
        </w:rPr>
        <w:t>2</w:t>
      </w:r>
      <w:r>
        <w:rPr>
          <w:noProof/>
        </w:rPr>
        <w:fldChar w:fldCharType="end"/>
      </w:r>
    </w:p>
    <w:p w:rsidR="00BC682E" w:rsidRDefault="00BC682E">
      <w:pPr>
        <w:pStyle w:val="TOC5"/>
        <w:rPr>
          <w:rFonts w:ascii="Calibri" w:hAnsi="Calibri"/>
          <w:noProof/>
          <w:sz w:val="22"/>
          <w:szCs w:val="22"/>
          <w:lang w:eastAsia="en-AU"/>
        </w:rPr>
      </w:pPr>
      <w:r>
        <w:rPr>
          <w:noProof/>
        </w:rPr>
        <w:tab/>
        <w:t>4</w:t>
      </w:r>
      <w:r>
        <w:rPr>
          <w:rFonts w:ascii="Calibri" w:hAnsi="Calibri"/>
          <w:noProof/>
          <w:sz w:val="22"/>
          <w:szCs w:val="22"/>
          <w:lang w:eastAsia="en-AU"/>
        </w:rPr>
        <w:tab/>
      </w:r>
      <w:r>
        <w:rPr>
          <w:noProof/>
        </w:rPr>
        <w:t xml:space="preserve">Amendment of </w:t>
      </w:r>
      <w:r w:rsidRPr="0093000C">
        <w:rPr>
          <w:i/>
          <w:noProof/>
        </w:rPr>
        <w:t>National Consumer Credit Protection Regulations 2010</w:t>
      </w:r>
      <w:r>
        <w:rPr>
          <w:noProof/>
        </w:rPr>
        <w:tab/>
      </w:r>
      <w:r>
        <w:rPr>
          <w:noProof/>
        </w:rPr>
        <w:fldChar w:fldCharType="begin"/>
      </w:r>
      <w:r>
        <w:rPr>
          <w:noProof/>
        </w:rPr>
        <w:instrText xml:space="preserve"> PAGEREF _Toc341341644 \h </w:instrText>
      </w:r>
      <w:r>
        <w:rPr>
          <w:noProof/>
        </w:rPr>
      </w:r>
      <w:r>
        <w:rPr>
          <w:noProof/>
        </w:rPr>
        <w:fldChar w:fldCharType="separate"/>
      </w:r>
      <w:r w:rsidR="00B53F88">
        <w:rPr>
          <w:noProof/>
        </w:rPr>
        <w:t>2</w:t>
      </w:r>
      <w:r>
        <w:rPr>
          <w:noProof/>
        </w:rPr>
        <w:fldChar w:fldCharType="end"/>
      </w:r>
    </w:p>
    <w:p w:rsidR="00BC682E" w:rsidRPr="00BC682E" w:rsidRDefault="00BC682E">
      <w:pPr>
        <w:pStyle w:val="TOC6"/>
        <w:rPr>
          <w:rFonts w:cs="Arial"/>
          <w:b w:val="0"/>
          <w:noProof/>
          <w:szCs w:val="22"/>
          <w:lang w:eastAsia="en-AU"/>
        </w:rPr>
      </w:pPr>
      <w:r>
        <w:rPr>
          <w:noProof/>
        </w:rPr>
        <w:t>Schedule 1</w:t>
      </w:r>
      <w:r>
        <w:rPr>
          <w:rFonts w:ascii="Calibri" w:hAnsi="Calibri"/>
          <w:b w:val="0"/>
          <w:noProof/>
          <w:sz w:val="22"/>
          <w:szCs w:val="22"/>
          <w:lang w:eastAsia="en-AU"/>
        </w:rPr>
        <w:tab/>
      </w:r>
      <w:r>
        <w:rPr>
          <w:noProof/>
        </w:rPr>
        <w:t>Amendment commencing on day after registration</w:t>
      </w:r>
      <w:r>
        <w:rPr>
          <w:noProof/>
        </w:rPr>
        <w:tab/>
      </w:r>
      <w:r w:rsidRPr="00BC682E">
        <w:rPr>
          <w:rFonts w:cs="Arial"/>
          <w:b w:val="0"/>
          <w:noProof/>
        </w:rPr>
        <w:fldChar w:fldCharType="begin"/>
      </w:r>
      <w:r w:rsidRPr="00BC682E">
        <w:rPr>
          <w:rFonts w:cs="Arial"/>
          <w:b w:val="0"/>
          <w:noProof/>
        </w:rPr>
        <w:instrText xml:space="preserve"> PAGEREF _Toc341341645 \h </w:instrText>
      </w:r>
      <w:r w:rsidRPr="00BC682E">
        <w:rPr>
          <w:rFonts w:cs="Arial"/>
          <w:b w:val="0"/>
          <w:noProof/>
        </w:rPr>
      </w:r>
      <w:r w:rsidRPr="00BC682E">
        <w:rPr>
          <w:rFonts w:cs="Arial"/>
          <w:b w:val="0"/>
          <w:noProof/>
        </w:rPr>
        <w:fldChar w:fldCharType="separate"/>
      </w:r>
      <w:r w:rsidR="00B53F88">
        <w:rPr>
          <w:rFonts w:cs="Arial"/>
          <w:b w:val="0"/>
          <w:noProof/>
        </w:rPr>
        <w:t>3</w:t>
      </w:r>
      <w:r w:rsidRPr="00BC682E">
        <w:rPr>
          <w:rFonts w:cs="Arial"/>
          <w:b w:val="0"/>
          <w:noProof/>
        </w:rPr>
        <w:fldChar w:fldCharType="end"/>
      </w:r>
    </w:p>
    <w:p w:rsidR="00BC682E" w:rsidRPr="00BC682E" w:rsidRDefault="00BC682E">
      <w:pPr>
        <w:pStyle w:val="TOC6"/>
        <w:rPr>
          <w:rFonts w:cs="Arial"/>
          <w:b w:val="0"/>
          <w:noProof/>
          <w:szCs w:val="22"/>
          <w:lang w:eastAsia="en-AU"/>
        </w:rPr>
      </w:pPr>
      <w:r>
        <w:rPr>
          <w:noProof/>
        </w:rPr>
        <w:t>Schedule 2</w:t>
      </w:r>
      <w:r>
        <w:rPr>
          <w:rFonts w:ascii="Calibri" w:hAnsi="Calibri"/>
          <w:b w:val="0"/>
          <w:noProof/>
          <w:sz w:val="22"/>
          <w:szCs w:val="22"/>
          <w:lang w:eastAsia="en-AU"/>
        </w:rPr>
        <w:tab/>
      </w:r>
      <w:r>
        <w:rPr>
          <w:noProof/>
        </w:rPr>
        <w:t>Amendments commencing on 1 March 2013</w:t>
      </w:r>
      <w:r>
        <w:rPr>
          <w:noProof/>
        </w:rPr>
        <w:tab/>
      </w:r>
      <w:r w:rsidRPr="00BC682E">
        <w:rPr>
          <w:rFonts w:cs="Arial"/>
          <w:b w:val="0"/>
          <w:noProof/>
        </w:rPr>
        <w:fldChar w:fldCharType="begin"/>
      </w:r>
      <w:r w:rsidRPr="00BC682E">
        <w:rPr>
          <w:rFonts w:cs="Arial"/>
          <w:b w:val="0"/>
          <w:noProof/>
        </w:rPr>
        <w:instrText xml:space="preserve"> PAGEREF _Toc341341646 \h </w:instrText>
      </w:r>
      <w:r w:rsidRPr="00BC682E">
        <w:rPr>
          <w:rFonts w:cs="Arial"/>
          <w:b w:val="0"/>
          <w:noProof/>
        </w:rPr>
      </w:r>
      <w:r w:rsidRPr="00BC682E">
        <w:rPr>
          <w:rFonts w:cs="Arial"/>
          <w:b w:val="0"/>
          <w:noProof/>
        </w:rPr>
        <w:fldChar w:fldCharType="separate"/>
      </w:r>
      <w:r w:rsidR="00B53F88">
        <w:rPr>
          <w:rFonts w:cs="Arial"/>
          <w:b w:val="0"/>
          <w:noProof/>
        </w:rPr>
        <w:t>5</w:t>
      </w:r>
      <w:r w:rsidRPr="00BC682E">
        <w:rPr>
          <w:rFonts w:cs="Arial"/>
          <w:b w:val="0"/>
          <w:noProof/>
        </w:rPr>
        <w:fldChar w:fldCharType="end"/>
      </w:r>
    </w:p>
    <w:p w:rsidR="00BC682E" w:rsidRDefault="00BC682E" w:rsidP="00BC682E">
      <w:r>
        <w:fldChar w:fldCharType="end"/>
      </w:r>
    </w:p>
    <w:p w:rsidR="00BC682E" w:rsidRDefault="00BC682E" w:rsidP="00B0318A">
      <w:pPr>
        <w:pBdr>
          <w:bottom w:val="single" w:sz="6" w:space="5" w:color="auto"/>
        </w:pBdr>
        <w:ind w:left="2880" w:right="2880"/>
        <w:jc w:val="center"/>
      </w:pPr>
    </w:p>
    <w:p w:rsidR="00BC682E" w:rsidRPr="009725C1" w:rsidRDefault="00BC682E" w:rsidP="00B0318A">
      <w:pPr>
        <w:pStyle w:val="ContentsSectionBreak"/>
        <w:rPr>
          <w:lang w:val="en-US"/>
        </w:rPr>
        <w:sectPr w:rsidR="00BC682E" w:rsidRPr="009725C1" w:rsidSect="00B0318A">
          <w:headerReference w:type="even" r:id="rId13"/>
          <w:headerReference w:type="default" r:id="rId14"/>
          <w:footerReference w:type="even" r:id="rId15"/>
          <w:footerReference w:type="default" r:id="rId16"/>
          <w:headerReference w:type="first" r:id="rId17"/>
          <w:footerReference w:type="first" r:id="rId18"/>
          <w:pgSz w:w="11907" w:h="16839" w:code="9"/>
          <w:pgMar w:top="1985" w:right="2410" w:bottom="3969" w:left="2410" w:header="567" w:footer="3119" w:gutter="0"/>
          <w:cols w:space="708"/>
          <w:docGrid w:linePitch="360"/>
        </w:sectPr>
      </w:pPr>
    </w:p>
    <w:p w:rsidR="004752A2" w:rsidRDefault="00930CF8" w:rsidP="004752A2">
      <w:pPr>
        <w:pStyle w:val="A1"/>
      </w:pPr>
      <w:bookmarkStart w:id="3" w:name="_Toc341341641"/>
      <w:r w:rsidRPr="00BC682E">
        <w:rPr>
          <w:rStyle w:val="CharSectnoAm"/>
        </w:rPr>
        <w:lastRenderedPageBreak/>
        <w:t>1</w:t>
      </w:r>
      <w:r>
        <w:tab/>
        <w:t>Name of regulation</w:t>
      </w:r>
      <w:bookmarkEnd w:id="3"/>
    </w:p>
    <w:p w:rsidR="004752A2" w:rsidRDefault="004752A2" w:rsidP="004752A2">
      <w:pPr>
        <w:pStyle w:val="A2"/>
      </w:pPr>
      <w:r>
        <w:tab/>
      </w:r>
      <w:r>
        <w:tab/>
      </w:r>
      <w:r w:rsidR="00930CF8">
        <w:t>This</w:t>
      </w:r>
      <w:r>
        <w:t xml:space="preserve"> </w:t>
      </w:r>
      <w:r w:rsidR="00930CF8">
        <w:t>regulation</w:t>
      </w:r>
      <w:r>
        <w:t xml:space="preserve"> </w:t>
      </w:r>
      <w:r w:rsidR="00930CF8">
        <w:t>is</w:t>
      </w:r>
      <w:r>
        <w:t xml:space="preserve"> the </w:t>
      </w:r>
      <w:r w:rsidRPr="00E73289">
        <w:rPr>
          <w:i/>
        </w:rPr>
        <w:fldChar w:fldCharType="begin"/>
      </w:r>
      <w:r w:rsidRPr="00E73289">
        <w:rPr>
          <w:i/>
        </w:rPr>
        <w:instrText xml:space="preserve"> REF Citation \* charformat </w:instrText>
      </w:r>
      <w:r w:rsidR="00E73289">
        <w:rPr>
          <w:i/>
        </w:rPr>
        <w:instrText xml:space="preserve"> \* MERGEFORMAT </w:instrText>
      </w:r>
      <w:r w:rsidRPr="00E73289">
        <w:rPr>
          <w:i/>
        </w:rPr>
        <w:fldChar w:fldCharType="separate"/>
      </w:r>
      <w:r w:rsidR="00B53F88" w:rsidRPr="00B53F88">
        <w:rPr>
          <w:i/>
        </w:rPr>
        <w:t>National Consumer Credit Protection Amendment Regulation 2012 (No. 3)</w:t>
      </w:r>
      <w:r w:rsidRPr="00E73289">
        <w:rPr>
          <w:i/>
        </w:rPr>
        <w:fldChar w:fldCharType="end"/>
      </w:r>
      <w:r>
        <w:t>.</w:t>
      </w:r>
    </w:p>
    <w:p w:rsidR="004752A2" w:rsidRDefault="004752A2" w:rsidP="004752A2">
      <w:pPr>
        <w:pStyle w:val="A1"/>
      </w:pPr>
      <w:bookmarkStart w:id="4" w:name="_Toc341341642"/>
      <w:r w:rsidRPr="00BC682E">
        <w:rPr>
          <w:rStyle w:val="CharSectnoAm"/>
        </w:rPr>
        <w:t>2</w:t>
      </w:r>
      <w:r>
        <w:tab/>
        <w:t>Commencement</w:t>
      </w:r>
      <w:bookmarkEnd w:id="4"/>
    </w:p>
    <w:p w:rsidR="005A6529" w:rsidRDefault="004752A2" w:rsidP="004752A2">
      <w:pPr>
        <w:pStyle w:val="A2"/>
      </w:pPr>
      <w:r>
        <w:tab/>
      </w:r>
      <w:r>
        <w:tab/>
      </w:r>
      <w:r w:rsidR="00BD3547">
        <w:t>This</w:t>
      </w:r>
      <w:r w:rsidR="00F66648">
        <w:t xml:space="preserve"> regulation</w:t>
      </w:r>
      <w:r w:rsidR="005A6529">
        <w:t xml:space="preserve"> commence</w:t>
      </w:r>
      <w:r w:rsidR="00BD3547">
        <w:t>s</w:t>
      </w:r>
      <w:r>
        <w:t xml:space="preserve"> </w:t>
      </w:r>
      <w:r w:rsidR="005A6529">
        <w:t>as follows:</w:t>
      </w:r>
    </w:p>
    <w:p w:rsidR="005A6529" w:rsidRDefault="005A6529" w:rsidP="005A6529">
      <w:pPr>
        <w:pStyle w:val="P1"/>
      </w:pPr>
      <w:r>
        <w:tab/>
        <w:t>(a)</w:t>
      </w:r>
      <w:r>
        <w:tab/>
        <w:t xml:space="preserve">on the day after </w:t>
      </w:r>
      <w:r w:rsidR="00BD3547">
        <w:t>it is</w:t>
      </w:r>
      <w:r>
        <w:t xml:space="preserve"> registered—</w:t>
      </w:r>
      <w:r w:rsidR="00BC682E">
        <w:t>sections</w:t>
      </w:r>
      <w:r>
        <w:t xml:space="preserve"> 1 to </w:t>
      </w:r>
      <w:r w:rsidR="005E1A7D">
        <w:t>4</w:t>
      </w:r>
      <w:r w:rsidR="00BC682E">
        <w:t xml:space="preserve"> and Schedule 1;</w:t>
      </w:r>
    </w:p>
    <w:p w:rsidR="004752A2" w:rsidRDefault="005A6529" w:rsidP="005A6529">
      <w:pPr>
        <w:pStyle w:val="P1"/>
      </w:pPr>
      <w:r>
        <w:tab/>
        <w:t>(b)</w:t>
      </w:r>
      <w:r>
        <w:tab/>
      </w:r>
      <w:r w:rsidR="004752A2">
        <w:t xml:space="preserve">on </w:t>
      </w:r>
      <w:r w:rsidR="006C76D6">
        <w:t>1 March 2013</w:t>
      </w:r>
      <w:r>
        <w:t>—Schedule 2.</w:t>
      </w:r>
    </w:p>
    <w:p w:rsidR="004752A2" w:rsidRDefault="004752A2" w:rsidP="004752A2">
      <w:pPr>
        <w:pStyle w:val="A1"/>
      </w:pPr>
      <w:bookmarkStart w:id="5" w:name="_Toc341341643"/>
      <w:r w:rsidRPr="00BC682E">
        <w:rPr>
          <w:rStyle w:val="CharSectnoAm"/>
        </w:rPr>
        <w:t>3</w:t>
      </w:r>
      <w:r>
        <w:tab/>
        <w:t xml:space="preserve">Amendment of </w:t>
      </w:r>
      <w:r w:rsidRPr="004752A2">
        <w:rPr>
          <w:i/>
        </w:rPr>
        <w:t>National Consumer Credit Protection Regulations 2010</w:t>
      </w:r>
      <w:bookmarkEnd w:id="5"/>
    </w:p>
    <w:p w:rsidR="004752A2" w:rsidRDefault="004752A2" w:rsidP="004752A2">
      <w:pPr>
        <w:pStyle w:val="A2"/>
      </w:pPr>
      <w:r>
        <w:tab/>
      </w:r>
      <w:r w:rsidR="005A6529">
        <w:tab/>
      </w:r>
      <w:r>
        <w:t xml:space="preserve">Schedule 1 amends the </w:t>
      </w:r>
      <w:r w:rsidRPr="004752A2">
        <w:rPr>
          <w:i/>
        </w:rPr>
        <w:t>National Consumer Credit Protection Regulations 2010</w:t>
      </w:r>
      <w:r>
        <w:t>.</w:t>
      </w:r>
    </w:p>
    <w:p w:rsidR="005A6529" w:rsidRDefault="005A6529" w:rsidP="005A6529">
      <w:pPr>
        <w:pStyle w:val="A1"/>
      </w:pPr>
      <w:bookmarkStart w:id="6" w:name="_Toc341341644"/>
      <w:r w:rsidRPr="00BC682E">
        <w:rPr>
          <w:rStyle w:val="CharSectnoAm"/>
        </w:rPr>
        <w:t>4</w:t>
      </w:r>
      <w:r>
        <w:tab/>
        <w:t xml:space="preserve">Amendment of </w:t>
      </w:r>
      <w:r w:rsidRPr="004752A2">
        <w:rPr>
          <w:i/>
        </w:rPr>
        <w:t>National Consumer Credit Protection Regulations 2010</w:t>
      </w:r>
      <w:bookmarkEnd w:id="6"/>
    </w:p>
    <w:p w:rsidR="005A6529" w:rsidRPr="005A6529" w:rsidRDefault="005A6529" w:rsidP="00DC0113">
      <w:pPr>
        <w:pStyle w:val="A2"/>
      </w:pPr>
      <w:r>
        <w:tab/>
      </w:r>
      <w:r>
        <w:tab/>
        <w:t xml:space="preserve">Schedule 2 amends the </w:t>
      </w:r>
      <w:r w:rsidRPr="004752A2">
        <w:rPr>
          <w:i/>
        </w:rPr>
        <w:t>National Consumer Credit Protection Regulations 2010</w:t>
      </w:r>
      <w:r w:rsidR="00DC0113">
        <w:t>.</w:t>
      </w:r>
    </w:p>
    <w:p w:rsidR="004752A2" w:rsidRDefault="004752A2" w:rsidP="00934FCC">
      <w:pPr>
        <w:pStyle w:val="MainBodySectionBreak"/>
        <w:sectPr w:rsidR="004752A2" w:rsidSect="00BC682E">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985" w:right="2410" w:bottom="3969" w:left="2410" w:header="567" w:footer="3119" w:gutter="0"/>
          <w:cols w:space="708"/>
          <w:docGrid w:linePitch="360"/>
        </w:sectPr>
      </w:pPr>
    </w:p>
    <w:p w:rsidR="005A6529" w:rsidRPr="00BC682E" w:rsidRDefault="005A6529" w:rsidP="00934FCC">
      <w:pPr>
        <w:pStyle w:val="AS"/>
      </w:pPr>
      <w:bookmarkStart w:id="7" w:name="_Toc341341645"/>
      <w:r w:rsidRPr="00BC682E">
        <w:rPr>
          <w:rStyle w:val="CharAmSchNo"/>
        </w:rPr>
        <w:lastRenderedPageBreak/>
        <w:t>Schedule 1</w:t>
      </w:r>
      <w:r w:rsidRPr="00BC682E">
        <w:tab/>
      </w:r>
      <w:r w:rsidRPr="00BC682E">
        <w:rPr>
          <w:rStyle w:val="CharAmSchText"/>
        </w:rPr>
        <w:t>Amendment commencing on day after registration</w:t>
      </w:r>
      <w:bookmarkEnd w:id="7"/>
    </w:p>
    <w:p w:rsidR="005A6529" w:rsidRDefault="00BC682E" w:rsidP="005A6529">
      <w:pPr>
        <w:pStyle w:val="ASref"/>
      </w:pPr>
      <w:r>
        <w:t>(section</w:t>
      </w:r>
      <w:r w:rsidR="005A6529">
        <w:t xml:space="preserve"> 3)</w:t>
      </w:r>
    </w:p>
    <w:p w:rsidR="000019A9" w:rsidRPr="000019A9" w:rsidRDefault="000019A9" w:rsidP="000019A9">
      <w:pPr>
        <w:pStyle w:val="Header"/>
        <w:rPr>
          <w:vanish/>
        </w:rPr>
      </w:pPr>
      <w:r w:rsidRPr="000019A9">
        <w:rPr>
          <w:vanish/>
        </w:rPr>
        <w:t xml:space="preserve">  </w:t>
      </w:r>
    </w:p>
    <w:p w:rsidR="005A6529" w:rsidRDefault="005A6529" w:rsidP="005A6529">
      <w:pPr>
        <w:pStyle w:val="A1S"/>
      </w:pPr>
      <w:r>
        <w:t>[</w:t>
      </w:r>
      <w:fldSimple w:instr=" SEQ Sch1Item " w:fldLock="1">
        <w:r w:rsidR="00B53F88">
          <w:rPr>
            <w:noProof/>
          </w:rPr>
          <w:t>1</w:t>
        </w:r>
      </w:fldSimple>
      <w:r>
        <w:t>]</w:t>
      </w:r>
      <w:r>
        <w:tab/>
        <w:t>After regulation 84</w:t>
      </w:r>
    </w:p>
    <w:p w:rsidR="005A6529" w:rsidRDefault="005A6529" w:rsidP="005A6529">
      <w:pPr>
        <w:pStyle w:val="A2S"/>
      </w:pPr>
      <w:r>
        <w:t>insert</w:t>
      </w:r>
    </w:p>
    <w:p w:rsidR="005A6529" w:rsidRDefault="005A6529" w:rsidP="005A6529">
      <w:pPr>
        <w:pStyle w:val="HR"/>
      </w:pPr>
      <w:r w:rsidRPr="00BC682E">
        <w:rPr>
          <w:rStyle w:val="CharSectno"/>
        </w:rPr>
        <w:t>84A</w:t>
      </w:r>
      <w:r>
        <w:tab/>
        <w:t>Market value of reverse mortgaged property</w:t>
      </w:r>
    </w:p>
    <w:p w:rsidR="005A6529" w:rsidRDefault="005A6529" w:rsidP="005A6529">
      <w:pPr>
        <w:pStyle w:val="R1"/>
      </w:pPr>
      <w:r>
        <w:tab/>
        <w:t>(1)</w:t>
      </w:r>
      <w:r>
        <w:tab/>
        <w:t>This regulation is made for subsection 86A (2) of the Code.</w:t>
      </w:r>
    </w:p>
    <w:p w:rsidR="005A6529" w:rsidRDefault="005A6529" w:rsidP="005A6529">
      <w:pPr>
        <w:pStyle w:val="R2"/>
      </w:pPr>
      <w:r>
        <w:tab/>
        <w:t>(2)</w:t>
      </w:r>
      <w:r>
        <w:tab/>
        <w:t>The market value of a reverse mortgaged property is:</w:t>
      </w:r>
    </w:p>
    <w:p w:rsidR="005A6529" w:rsidRDefault="005A6529" w:rsidP="005A6529">
      <w:pPr>
        <w:pStyle w:val="P1"/>
      </w:pPr>
      <w:r>
        <w:tab/>
        <w:t>(a)</w:t>
      </w:r>
      <w:r>
        <w:tab/>
        <w:t>if the property has not been sold—the property</w:t>
      </w:r>
      <w:r w:rsidR="009019D3">
        <w:t>’s market value, as determined by an accredited valuer within 3 months before the credit provider receives an amount from the debtor to discharge the reverse mortgage; or</w:t>
      </w:r>
    </w:p>
    <w:p w:rsidR="009019D3" w:rsidRDefault="009019D3" w:rsidP="005A6529">
      <w:pPr>
        <w:pStyle w:val="P1"/>
      </w:pPr>
      <w:r>
        <w:tab/>
        <w:t>(b)</w:t>
      </w:r>
      <w:r>
        <w:tab/>
        <w:t>if the property has been sold—the property’s sale price.</w:t>
      </w:r>
    </w:p>
    <w:p w:rsidR="009019D3" w:rsidRDefault="009019D3" w:rsidP="009019D3">
      <w:pPr>
        <w:pStyle w:val="R2"/>
      </w:pPr>
      <w:r>
        <w:tab/>
        <w:t>(3)</w:t>
      </w:r>
      <w:r>
        <w:tab/>
        <w:t>However, if the market value under paragraph (2) (b) is reduced because:</w:t>
      </w:r>
    </w:p>
    <w:p w:rsidR="009019D3" w:rsidRDefault="009019D3" w:rsidP="009019D3">
      <w:pPr>
        <w:pStyle w:val="P1"/>
      </w:pPr>
      <w:r>
        <w:tab/>
        <w:t>(a)</w:t>
      </w:r>
      <w:r>
        <w:tab/>
        <w:t>the debtor, or a person who occupied the property with the debtor’s consent, deliberately damaged the property</w:t>
      </w:r>
      <w:r w:rsidR="00BD3547">
        <w:t>;</w:t>
      </w:r>
      <w:r>
        <w:t xml:space="preserve"> or</w:t>
      </w:r>
    </w:p>
    <w:p w:rsidR="009019D3" w:rsidRDefault="009019D3" w:rsidP="009019D3">
      <w:pPr>
        <w:pStyle w:val="P1"/>
      </w:pPr>
      <w:r>
        <w:tab/>
        <w:t>(b)</w:t>
      </w:r>
      <w:r>
        <w:tab/>
        <w:t>the sale was not conducted in good faith; or</w:t>
      </w:r>
    </w:p>
    <w:p w:rsidR="009019D3" w:rsidRDefault="009019D3" w:rsidP="009019D3">
      <w:pPr>
        <w:pStyle w:val="P1"/>
      </w:pPr>
      <w:r>
        <w:tab/>
        <w:t>(c)</w:t>
      </w:r>
      <w:r>
        <w:tab/>
        <w:t>the sale was not conducted on fair and reasonable terms;</w:t>
      </w:r>
    </w:p>
    <w:p w:rsidR="009019D3" w:rsidRDefault="009019D3" w:rsidP="009019D3">
      <w:pPr>
        <w:pStyle w:val="Rc"/>
      </w:pPr>
      <w:r>
        <w:t>the market value of the property is the market value at the time of the sale, as determined by an accredited valuer.</w:t>
      </w:r>
    </w:p>
    <w:p w:rsidR="009019D3" w:rsidRDefault="009019D3" w:rsidP="009019D3">
      <w:pPr>
        <w:pStyle w:val="R2"/>
      </w:pPr>
      <w:r>
        <w:tab/>
        <w:t>(4)</w:t>
      </w:r>
      <w:r>
        <w:tab/>
        <w:t>In this regulation:</w:t>
      </w:r>
    </w:p>
    <w:p w:rsidR="009019D3" w:rsidRDefault="009019D3" w:rsidP="009019D3">
      <w:pPr>
        <w:pStyle w:val="definition"/>
      </w:pPr>
      <w:r w:rsidRPr="00BD3547">
        <w:rPr>
          <w:b/>
          <w:i/>
        </w:rPr>
        <w:t>accredited valuer</w:t>
      </w:r>
      <w:r>
        <w:t>, in relation to a property, means a person who is:</w:t>
      </w:r>
    </w:p>
    <w:p w:rsidR="009019D3" w:rsidRDefault="009019D3" w:rsidP="009019D3">
      <w:pPr>
        <w:pStyle w:val="P1"/>
      </w:pPr>
      <w:r>
        <w:tab/>
        <w:t>(a)</w:t>
      </w:r>
      <w:r>
        <w:tab/>
        <w:t>accredited as a certified practising valuer by the Australian Property Institute; or</w:t>
      </w:r>
    </w:p>
    <w:p w:rsidR="009019D3" w:rsidRDefault="009019D3" w:rsidP="009019D3">
      <w:pPr>
        <w:pStyle w:val="P1"/>
      </w:pPr>
      <w:r>
        <w:tab/>
        <w:t>(b)</w:t>
      </w:r>
      <w:r>
        <w:tab/>
        <w:t>a professional member of the Royal Institution of Chartered Surveyor</w:t>
      </w:r>
      <w:r w:rsidR="00BD3547">
        <w:t>s</w:t>
      </w:r>
      <w:r>
        <w:t xml:space="preserve"> who is entitled to be described as</w:t>
      </w:r>
      <w:r w:rsidR="00BD3547">
        <w:t xml:space="preserve"> a Chartered Valuation Surveyor;</w:t>
      </w:r>
      <w:r>
        <w:t xml:space="preserve"> or</w:t>
      </w:r>
    </w:p>
    <w:p w:rsidR="009019D3" w:rsidRPr="009019D3" w:rsidRDefault="009019D3" w:rsidP="009019D3">
      <w:pPr>
        <w:pStyle w:val="P1"/>
      </w:pPr>
      <w:r>
        <w:lastRenderedPageBreak/>
        <w:tab/>
        <w:t>(c)</w:t>
      </w:r>
      <w:r>
        <w:tab/>
        <w:t>registered or otherwise authorised, under the laws of the State or Territory in which the property is situated, to value that kind of property.</w:t>
      </w:r>
    </w:p>
    <w:p w:rsidR="004752A2" w:rsidRDefault="004752A2" w:rsidP="00BC682E">
      <w:pPr>
        <w:pStyle w:val="AS"/>
        <w:pageBreakBefore/>
      </w:pPr>
      <w:bookmarkStart w:id="8" w:name="_Toc341341646"/>
      <w:r w:rsidRPr="00BC682E">
        <w:rPr>
          <w:rStyle w:val="CharAmSchNo"/>
        </w:rPr>
        <w:lastRenderedPageBreak/>
        <w:t xml:space="preserve">Schedule </w:t>
      </w:r>
      <w:r w:rsidR="005A6529" w:rsidRPr="00BC682E">
        <w:rPr>
          <w:rStyle w:val="CharAmSchNo"/>
        </w:rPr>
        <w:t>2</w:t>
      </w:r>
      <w:r>
        <w:tab/>
      </w:r>
      <w:r w:rsidRPr="00BC682E">
        <w:rPr>
          <w:rStyle w:val="CharAmSchText"/>
        </w:rPr>
        <w:t>Amendments</w:t>
      </w:r>
      <w:r w:rsidR="005A6529" w:rsidRPr="00BC682E">
        <w:rPr>
          <w:rStyle w:val="CharAmSchText"/>
        </w:rPr>
        <w:t xml:space="preserve"> commencing on 1 March 2013</w:t>
      </w:r>
      <w:bookmarkEnd w:id="8"/>
    </w:p>
    <w:p w:rsidR="001623F1" w:rsidRPr="009019D3" w:rsidRDefault="004752A2" w:rsidP="009019D3">
      <w:pPr>
        <w:pStyle w:val="ASref"/>
      </w:pPr>
      <w:r>
        <w:t>(</w:t>
      </w:r>
      <w:r w:rsidR="00BC682E">
        <w:t xml:space="preserve">section </w:t>
      </w:r>
      <w:r w:rsidR="005A6529">
        <w:t>4</w:t>
      </w:r>
      <w:r w:rsidR="009019D3">
        <w:t>)</w:t>
      </w:r>
    </w:p>
    <w:p w:rsidR="000019A9" w:rsidRPr="000019A9" w:rsidRDefault="000019A9" w:rsidP="000019A9">
      <w:pPr>
        <w:pStyle w:val="Header"/>
        <w:rPr>
          <w:vanish/>
        </w:rPr>
      </w:pPr>
      <w:r w:rsidRPr="000019A9">
        <w:rPr>
          <w:vanish/>
        </w:rPr>
        <w:t xml:space="preserve">  </w:t>
      </w:r>
    </w:p>
    <w:p w:rsidR="004752A2" w:rsidRPr="000871B3" w:rsidRDefault="005A6529" w:rsidP="005A6529">
      <w:pPr>
        <w:pStyle w:val="A1S"/>
      </w:pPr>
      <w:r>
        <w:t>[</w:t>
      </w:r>
      <w:fldSimple w:instr=" SEQ Sch2Item " w:fldLock="1">
        <w:r w:rsidR="00B53F88">
          <w:rPr>
            <w:noProof/>
          </w:rPr>
          <w:t>1</w:t>
        </w:r>
      </w:fldSimple>
      <w:r>
        <w:t>]</w:t>
      </w:r>
      <w:r>
        <w:tab/>
      </w:r>
      <w:r w:rsidR="00183275">
        <w:t>After regula</w:t>
      </w:r>
      <w:r w:rsidR="00183275" w:rsidRPr="000871B3">
        <w:t>tion 105</w:t>
      </w:r>
    </w:p>
    <w:p w:rsidR="00183275" w:rsidRPr="000871B3" w:rsidRDefault="00183275" w:rsidP="00183275">
      <w:pPr>
        <w:pStyle w:val="A2S"/>
      </w:pPr>
      <w:r w:rsidRPr="000871B3">
        <w:t>insert</w:t>
      </w:r>
    </w:p>
    <w:p w:rsidR="00910EE5" w:rsidRPr="000871B3" w:rsidRDefault="00183275" w:rsidP="00183275">
      <w:pPr>
        <w:pStyle w:val="HR"/>
      </w:pPr>
      <w:r w:rsidRPr="00BC682E">
        <w:rPr>
          <w:rStyle w:val="CharSectno"/>
        </w:rPr>
        <w:t>105A</w:t>
      </w:r>
      <w:r w:rsidRPr="000871B3">
        <w:tab/>
      </w:r>
      <w:r w:rsidR="00537100" w:rsidRPr="000871B3">
        <w:t>I</w:t>
      </w:r>
      <w:r w:rsidR="00910EE5" w:rsidRPr="000871B3">
        <w:t xml:space="preserve">nformation to be </w:t>
      </w:r>
      <w:r w:rsidR="003145DB" w:rsidRPr="000871B3">
        <w:t>contained</w:t>
      </w:r>
      <w:r w:rsidR="00910EE5" w:rsidRPr="000871B3">
        <w:t xml:space="preserve"> in statement of account</w:t>
      </w:r>
    </w:p>
    <w:p w:rsidR="006E4B94" w:rsidRPr="000871B3" w:rsidRDefault="00910EE5" w:rsidP="0019122F">
      <w:pPr>
        <w:pStyle w:val="ZR1"/>
      </w:pPr>
      <w:r w:rsidRPr="000871B3">
        <w:tab/>
      </w:r>
      <w:r w:rsidRPr="000871B3">
        <w:tab/>
        <w:t xml:space="preserve">For section 175D of the Code, the </w:t>
      </w:r>
      <w:r w:rsidR="00F66648" w:rsidRPr="000871B3">
        <w:t xml:space="preserve">information that must be contained in a </w:t>
      </w:r>
      <w:r w:rsidRPr="000871B3">
        <w:t xml:space="preserve">statement of account </w:t>
      </w:r>
      <w:r w:rsidR="00F66648" w:rsidRPr="000871B3">
        <w:t>is</w:t>
      </w:r>
      <w:r w:rsidRPr="000871B3">
        <w:t xml:space="preserve"> a disclosure that</w:t>
      </w:r>
      <w:r w:rsidR="006E4B94" w:rsidRPr="000871B3">
        <w:t>:</w:t>
      </w:r>
    </w:p>
    <w:p w:rsidR="006E4B94" w:rsidRPr="000871B3" w:rsidRDefault="006E4B94" w:rsidP="006E4B94">
      <w:pPr>
        <w:pStyle w:val="P1"/>
      </w:pPr>
      <w:r w:rsidRPr="000871B3">
        <w:tab/>
        <w:t>(a)</w:t>
      </w:r>
      <w:r w:rsidRPr="000871B3">
        <w:tab/>
      </w:r>
      <w:r w:rsidR="00910EE5" w:rsidRPr="000871B3">
        <w:t>the lessee will not own the goods</w:t>
      </w:r>
      <w:r w:rsidRPr="000871B3">
        <w:t xml:space="preserve"> at the end of the consumer lease; and</w:t>
      </w:r>
    </w:p>
    <w:p w:rsidR="00910EE5" w:rsidRPr="000871B3" w:rsidRDefault="006E4B94" w:rsidP="006E4B94">
      <w:pPr>
        <w:pStyle w:val="P1"/>
      </w:pPr>
      <w:r w:rsidRPr="000871B3">
        <w:tab/>
        <w:t>(b)</w:t>
      </w:r>
      <w:r w:rsidRPr="000871B3">
        <w:tab/>
        <w:t>the lessee will not have an obligation or a right to purchase the goods</w:t>
      </w:r>
      <w:r w:rsidR="00910EE5" w:rsidRPr="000871B3">
        <w:t xml:space="preserve"> at the end of the </w:t>
      </w:r>
      <w:r w:rsidR="000300FC" w:rsidRPr="000871B3">
        <w:t>consumer lease</w:t>
      </w:r>
      <w:r w:rsidR="00910EE5" w:rsidRPr="000871B3">
        <w:t>.</w:t>
      </w:r>
    </w:p>
    <w:p w:rsidR="00183275" w:rsidRPr="000871B3" w:rsidRDefault="00910EE5" w:rsidP="00183275">
      <w:pPr>
        <w:pStyle w:val="HR"/>
      </w:pPr>
      <w:r w:rsidRPr="00BC682E">
        <w:rPr>
          <w:rStyle w:val="CharSectno"/>
        </w:rPr>
        <w:t>105B</w:t>
      </w:r>
      <w:r w:rsidRPr="000871B3">
        <w:tab/>
      </w:r>
      <w:r w:rsidR="00537100" w:rsidRPr="000871B3">
        <w:t>I</w:t>
      </w:r>
      <w:r w:rsidR="00183275" w:rsidRPr="000871B3">
        <w:t xml:space="preserve">nformation </w:t>
      </w:r>
      <w:r w:rsidR="00537100" w:rsidRPr="000871B3">
        <w:t xml:space="preserve">to be </w:t>
      </w:r>
      <w:r w:rsidR="003145DB" w:rsidRPr="000871B3">
        <w:t>contained</w:t>
      </w:r>
      <w:r w:rsidR="00537100" w:rsidRPr="000871B3">
        <w:t xml:space="preserve"> in statement of account </w:t>
      </w:r>
      <w:r w:rsidRPr="000871B3">
        <w:t>about</w:t>
      </w:r>
      <w:r w:rsidR="00183275" w:rsidRPr="000871B3">
        <w:t xml:space="preserve"> amount owing and other matters</w:t>
      </w:r>
    </w:p>
    <w:p w:rsidR="00183275" w:rsidRPr="000871B3" w:rsidRDefault="000D1367" w:rsidP="0019122F">
      <w:pPr>
        <w:pStyle w:val="ZR1"/>
      </w:pPr>
      <w:r w:rsidRPr="000871B3">
        <w:tab/>
      </w:r>
      <w:r w:rsidRPr="000871B3">
        <w:tab/>
      </w:r>
      <w:r w:rsidR="00183275" w:rsidRPr="000871B3">
        <w:t>For paragraph 175E</w:t>
      </w:r>
      <w:r w:rsidR="0019122F">
        <w:t> </w:t>
      </w:r>
      <w:r w:rsidR="00183275" w:rsidRPr="000871B3">
        <w:t>(1)</w:t>
      </w:r>
      <w:r w:rsidR="0019122F">
        <w:t> </w:t>
      </w:r>
      <w:r w:rsidR="00183275" w:rsidRPr="000871B3">
        <w:t xml:space="preserve">(d) of the Code, the </w:t>
      </w:r>
      <w:r w:rsidR="00F66648" w:rsidRPr="000871B3">
        <w:t xml:space="preserve">other </w:t>
      </w:r>
      <w:r w:rsidR="00C81282" w:rsidRPr="000871B3">
        <w:t xml:space="preserve">information </w:t>
      </w:r>
      <w:r w:rsidR="00E23165" w:rsidRPr="000871B3">
        <w:t xml:space="preserve">to be </w:t>
      </w:r>
      <w:r w:rsidR="003145DB" w:rsidRPr="000871B3">
        <w:t>contained</w:t>
      </w:r>
      <w:r w:rsidR="00894CC3" w:rsidRPr="000871B3">
        <w:t xml:space="preserve"> in a statement of account</w:t>
      </w:r>
      <w:r w:rsidR="00E23165" w:rsidRPr="000871B3">
        <w:t xml:space="preserve"> </w:t>
      </w:r>
      <w:r w:rsidR="00C81282" w:rsidRPr="000871B3">
        <w:t>is the following:</w:t>
      </w:r>
    </w:p>
    <w:p w:rsidR="00C81282" w:rsidRPr="000871B3" w:rsidRDefault="00C81282" w:rsidP="00C81282">
      <w:pPr>
        <w:pStyle w:val="P1"/>
      </w:pPr>
      <w:r w:rsidRPr="000871B3">
        <w:tab/>
        <w:t>(a)</w:t>
      </w:r>
      <w:r w:rsidRPr="000871B3">
        <w:tab/>
      </w:r>
      <w:r w:rsidR="00247E1E" w:rsidRPr="000871B3">
        <w:t>the dates on which the statement period begins and ends;</w:t>
      </w:r>
    </w:p>
    <w:p w:rsidR="00247E1E" w:rsidRPr="000871B3" w:rsidRDefault="00247E1E" w:rsidP="00C81282">
      <w:pPr>
        <w:pStyle w:val="P1"/>
      </w:pPr>
      <w:r w:rsidRPr="000871B3">
        <w:tab/>
        <w:t>(b)</w:t>
      </w:r>
      <w:r w:rsidRPr="000871B3">
        <w:tab/>
      </w:r>
      <w:r w:rsidR="00DA4EE3" w:rsidRPr="000871B3">
        <w:t xml:space="preserve">particulars </w:t>
      </w:r>
      <w:r w:rsidRPr="000871B3">
        <w:t xml:space="preserve">of </w:t>
      </w:r>
      <w:r w:rsidR="00910EE5" w:rsidRPr="000871B3">
        <w:t>any</w:t>
      </w:r>
      <w:r w:rsidRPr="000871B3">
        <w:t xml:space="preserve"> amounts paid by the lessee to the lessor during the statement period;</w:t>
      </w:r>
    </w:p>
    <w:p w:rsidR="00247E1E" w:rsidRPr="000871B3" w:rsidRDefault="00247E1E" w:rsidP="00C81282">
      <w:pPr>
        <w:pStyle w:val="P1"/>
      </w:pPr>
      <w:r w:rsidRPr="000871B3">
        <w:tab/>
        <w:t>(c)</w:t>
      </w:r>
      <w:r w:rsidRPr="000871B3">
        <w:tab/>
      </w:r>
      <w:r w:rsidR="00DA4EE3" w:rsidRPr="000871B3">
        <w:t xml:space="preserve">particulars </w:t>
      </w:r>
      <w:r w:rsidRPr="000871B3">
        <w:t xml:space="preserve">of </w:t>
      </w:r>
      <w:r w:rsidR="00910EE5" w:rsidRPr="000871B3">
        <w:t>any</w:t>
      </w:r>
      <w:r w:rsidRPr="000871B3">
        <w:t xml:space="preserve"> amounts </w:t>
      </w:r>
      <w:r w:rsidR="00910EE5" w:rsidRPr="000871B3">
        <w:t xml:space="preserve">credited </w:t>
      </w:r>
      <w:r w:rsidRPr="000871B3">
        <w:t>to the lessee’s account during the statement period;</w:t>
      </w:r>
    </w:p>
    <w:p w:rsidR="00247E1E" w:rsidRPr="000871B3" w:rsidRDefault="00247E1E" w:rsidP="00C81282">
      <w:pPr>
        <w:pStyle w:val="P1"/>
      </w:pPr>
      <w:r w:rsidRPr="000871B3">
        <w:tab/>
        <w:t>(d)</w:t>
      </w:r>
      <w:r w:rsidRPr="000871B3">
        <w:tab/>
      </w:r>
      <w:r w:rsidR="00DA4EE3" w:rsidRPr="000871B3">
        <w:t xml:space="preserve">particulars </w:t>
      </w:r>
      <w:r w:rsidRPr="000871B3">
        <w:t xml:space="preserve">of payments </w:t>
      </w:r>
      <w:r w:rsidR="00910EE5" w:rsidRPr="000871B3">
        <w:t xml:space="preserve">debited from the lessee’s account and paid to a third party during the </w:t>
      </w:r>
      <w:r w:rsidRPr="000871B3">
        <w:t>statement period;</w:t>
      </w:r>
    </w:p>
    <w:p w:rsidR="00F66648" w:rsidRPr="000871B3" w:rsidRDefault="00F66648" w:rsidP="00C81282">
      <w:pPr>
        <w:pStyle w:val="P1"/>
      </w:pPr>
      <w:r w:rsidRPr="000871B3">
        <w:tab/>
        <w:t>(e)</w:t>
      </w:r>
      <w:r w:rsidRPr="000871B3">
        <w:tab/>
        <w:t>any corrections to information contained in a previous statement of account.</w:t>
      </w:r>
    </w:p>
    <w:p w:rsidR="00910EE5" w:rsidRPr="000871B3" w:rsidRDefault="00910EE5" w:rsidP="006C76D6">
      <w:pPr>
        <w:pStyle w:val="HE"/>
      </w:pPr>
      <w:r w:rsidRPr="000871B3">
        <w:t>Example for paragraph</w:t>
      </w:r>
      <w:r w:rsidR="0019122F">
        <w:t> </w:t>
      </w:r>
      <w:r w:rsidRPr="000871B3">
        <w:t>(d)</w:t>
      </w:r>
    </w:p>
    <w:p w:rsidR="00910EE5" w:rsidRPr="000871B3" w:rsidRDefault="00910EE5" w:rsidP="006C76D6">
      <w:pPr>
        <w:pStyle w:val="ExampleBody"/>
      </w:pPr>
      <w:r w:rsidRPr="000871B3">
        <w:t>Insurance</w:t>
      </w:r>
      <w:r w:rsidR="006C76D6">
        <w:t>.</w:t>
      </w:r>
    </w:p>
    <w:p w:rsidR="00247E1E" w:rsidRPr="000871B3" w:rsidRDefault="00E23165" w:rsidP="00E23165">
      <w:pPr>
        <w:pStyle w:val="HR"/>
      </w:pPr>
      <w:r w:rsidRPr="00BC682E">
        <w:rPr>
          <w:rStyle w:val="CharSectno"/>
        </w:rPr>
        <w:lastRenderedPageBreak/>
        <w:t>105C</w:t>
      </w:r>
      <w:r w:rsidRPr="000871B3">
        <w:tab/>
      </w:r>
      <w:r w:rsidR="00537100" w:rsidRPr="000871B3">
        <w:t>I</w:t>
      </w:r>
      <w:r w:rsidR="00DE7466" w:rsidRPr="000871B3">
        <w:t xml:space="preserve">nformation to be </w:t>
      </w:r>
      <w:r w:rsidR="003145DB" w:rsidRPr="000871B3">
        <w:t>contained</w:t>
      </w:r>
      <w:r w:rsidR="00DE7466" w:rsidRPr="000871B3">
        <w:t xml:space="preserve"> in end of lease statement</w:t>
      </w:r>
    </w:p>
    <w:p w:rsidR="00E23165" w:rsidRPr="000871B3" w:rsidRDefault="00E23165" w:rsidP="0019122F">
      <w:pPr>
        <w:pStyle w:val="ZR1"/>
      </w:pPr>
      <w:r w:rsidRPr="000871B3">
        <w:tab/>
      </w:r>
      <w:r w:rsidR="00537100" w:rsidRPr="000871B3">
        <w:tab/>
      </w:r>
      <w:r w:rsidRPr="000871B3">
        <w:t>For subsection 175H</w:t>
      </w:r>
      <w:r w:rsidR="0019122F">
        <w:t> </w:t>
      </w:r>
      <w:r w:rsidRPr="000871B3">
        <w:t xml:space="preserve">(1) of the Code, the </w:t>
      </w:r>
      <w:r w:rsidR="00894CC3" w:rsidRPr="000871B3">
        <w:t xml:space="preserve">information </w:t>
      </w:r>
      <w:r w:rsidRPr="000871B3">
        <w:t xml:space="preserve">to be </w:t>
      </w:r>
      <w:r w:rsidR="003145DB" w:rsidRPr="000871B3">
        <w:t>contained</w:t>
      </w:r>
      <w:r w:rsidR="00894CC3" w:rsidRPr="000871B3">
        <w:t xml:space="preserve"> in an end of lease statement</w:t>
      </w:r>
      <w:r w:rsidRPr="000871B3">
        <w:t xml:space="preserve"> is the following:</w:t>
      </w:r>
    </w:p>
    <w:p w:rsidR="00E23165" w:rsidRPr="000871B3" w:rsidRDefault="00E23165" w:rsidP="00E23165">
      <w:pPr>
        <w:pStyle w:val="P1"/>
      </w:pPr>
      <w:r w:rsidRPr="000871B3">
        <w:tab/>
        <w:t>(a)</w:t>
      </w:r>
      <w:r w:rsidRPr="000871B3">
        <w:tab/>
      </w:r>
      <w:r w:rsidR="00A406A9" w:rsidRPr="000871B3">
        <w:t xml:space="preserve">the date when the </w:t>
      </w:r>
      <w:r w:rsidR="000300FC" w:rsidRPr="000871B3">
        <w:t xml:space="preserve">consumer </w:t>
      </w:r>
      <w:r w:rsidR="00A406A9" w:rsidRPr="000871B3">
        <w:t>lease ends;</w:t>
      </w:r>
    </w:p>
    <w:p w:rsidR="00A406A9" w:rsidRPr="000871B3" w:rsidRDefault="00A406A9" w:rsidP="00E23165">
      <w:pPr>
        <w:pStyle w:val="P1"/>
      </w:pPr>
      <w:r w:rsidRPr="000871B3">
        <w:tab/>
        <w:t>(b)</w:t>
      </w:r>
      <w:r w:rsidRPr="000871B3">
        <w:tab/>
        <w:t xml:space="preserve">a statement that the goods leased under the </w:t>
      </w:r>
      <w:r w:rsidR="000300FC" w:rsidRPr="000871B3">
        <w:t xml:space="preserve">consumer </w:t>
      </w:r>
      <w:r w:rsidRPr="000871B3">
        <w:t>lease must be returned;</w:t>
      </w:r>
    </w:p>
    <w:p w:rsidR="00EC50D9" w:rsidRPr="000871B3" w:rsidRDefault="00EC50D9" w:rsidP="00E23165">
      <w:pPr>
        <w:pStyle w:val="P1"/>
      </w:pPr>
      <w:r w:rsidRPr="000871B3">
        <w:tab/>
        <w:t>(c)</w:t>
      </w:r>
      <w:r w:rsidRPr="000871B3">
        <w:tab/>
        <w:t>the total amount that the lessee will pay for the goods under the consumer lease (</w:t>
      </w:r>
      <w:r w:rsidR="000530BA" w:rsidRPr="000871B3">
        <w:t>assuming</w:t>
      </w:r>
      <w:r w:rsidRPr="000871B3">
        <w:t xml:space="preserve"> that the lessee will make each payment on the dates required by the consumer lease);</w:t>
      </w:r>
    </w:p>
    <w:p w:rsidR="00EC50D9" w:rsidRPr="000871B3" w:rsidRDefault="00A406A9" w:rsidP="00E23165">
      <w:pPr>
        <w:pStyle w:val="P1"/>
      </w:pPr>
      <w:r w:rsidRPr="000871B3">
        <w:tab/>
        <w:t>(</w:t>
      </w:r>
      <w:r w:rsidR="00987131" w:rsidRPr="000871B3">
        <w:t>d</w:t>
      </w:r>
      <w:r w:rsidRPr="000871B3">
        <w:t>)</w:t>
      </w:r>
      <w:r w:rsidRPr="000871B3">
        <w:tab/>
        <w:t xml:space="preserve">the date </w:t>
      </w:r>
      <w:r w:rsidR="00012432" w:rsidRPr="000871B3">
        <w:t>when</w:t>
      </w:r>
      <w:r w:rsidRPr="000871B3">
        <w:t xml:space="preserve"> the goods must be returned</w:t>
      </w:r>
      <w:r w:rsidR="00EC50D9" w:rsidRPr="000871B3">
        <w:t>;</w:t>
      </w:r>
    </w:p>
    <w:p w:rsidR="00EC50D9" w:rsidRPr="000871B3" w:rsidRDefault="00EC50D9" w:rsidP="0019122F">
      <w:pPr>
        <w:pStyle w:val="ZP1"/>
      </w:pPr>
      <w:r w:rsidRPr="000871B3">
        <w:tab/>
        <w:t>(</w:t>
      </w:r>
      <w:r w:rsidR="00987131" w:rsidRPr="000871B3">
        <w:t>e</w:t>
      </w:r>
      <w:r w:rsidRPr="000871B3">
        <w:t>)</w:t>
      </w:r>
      <w:r w:rsidRPr="000871B3">
        <w:tab/>
        <w:t>the following information about the return of the goods:</w:t>
      </w:r>
    </w:p>
    <w:p w:rsidR="00EC50D9" w:rsidRPr="000871B3" w:rsidRDefault="00A406A9" w:rsidP="00EC50D9">
      <w:pPr>
        <w:pStyle w:val="P2"/>
      </w:pPr>
      <w:r w:rsidRPr="000871B3">
        <w:t xml:space="preserve"> </w:t>
      </w:r>
      <w:r w:rsidR="00EC50D9" w:rsidRPr="000871B3">
        <w:tab/>
        <w:t>(i)</w:t>
      </w:r>
      <w:r w:rsidR="00EC50D9" w:rsidRPr="000871B3">
        <w:tab/>
        <w:t>if the goods can be collected by the lessor—a statement that the goods can be collected by the lessor</w:t>
      </w:r>
      <w:r w:rsidR="00310CCF" w:rsidRPr="000871B3">
        <w:t>, the particulars of how the collection can be arranged</w:t>
      </w:r>
      <w:r w:rsidR="00EC50D9" w:rsidRPr="000871B3">
        <w:t xml:space="preserve"> and an estimate of the costs (if any) that may be charged for the collection of the goods;</w:t>
      </w:r>
    </w:p>
    <w:p w:rsidR="00A406A9" w:rsidRPr="000871B3" w:rsidRDefault="00EC50D9" w:rsidP="00EC50D9">
      <w:pPr>
        <w:pStyle w:val="P2"/>
      </w:pPr>
      <w:r w:rsidRPr="000871B3">
        <w:tab/>
        <w:t>(ii)</w:t>
      </w:r>
      <w:r w:rsidRPr="000871B3">
        <w:tab/>
        <w:t xml:space="preserve">if the goods are to be returned by the lessee—a statement that the goods must be returned to the lessor by the lessee and </w:t>
      </w:r>
      <w:r w:rsidR="00A406A9" w:rsidRPr="000871B3">
        <w:t xml:space="preserve">the </w:t>
      </w:r>
      <w:r w:rsidR="00DA4EE3" w:rsidRPr="000871B3">
        <w:t>particulars</w:t>
      </w:r>
      <w:r w:rsidR="00A406A9" w:rsidRPr="000871B3">
        <w:t xml:space="preserve"> of how and where the goods are to be returned</w:t>
      </w:r>
      <w:r w:rsidRPr="000871B3">
        <w:t>;</w:t>
      </w:r>
    </w:p>
    <w:p w:rsidR="00A406A9" w:rsidRPr="000871B3" w:rsidRDefault="00A406A9" w:rsidP="00E23165">
      <w:pPr>
        <w:pStyle w:val="P1"/>
      </w:pPr>
      <w:r w:rsidRPr="000871B3">
        <w:tab/>
        <w:t>(</w:t>
      </w:r>
      <w:r w:rsidR="00987131" w:rsidRPr="000871B3">
        <w:t>f</w:t>
      </w:r>
      <w:r w:rsidRPr="000871B3">
        <w:t>)</w:t>
      </w:r>
      <w:r w:rsidRPr="000871B3">
        <w:tab/>
        <w:t>the amounts the lessee is liable to pay if the goods are not returned, expressed as an amount for each month that the goods are not returned;</w:t>
      </w:r>
    </w:p>
    <w:p w:rsidR="00A406A9" w:rsidRPr="000871B3" w:rsidRDefault="00A406A9" w:rsidP="00E23165">
      <w:pPr>
        <w:pStyle w:val="P1"/>
      </w:pPr>
      <w:r w:rsidRPr="000871B3">
        <w:tab/>
        <w:t>(</w:t>
      </w:r>
      <w:r w:rsidR="00987131" w:rsidRPr="000871B3">
        <w:t>g</w:t>
      </w:r>
      <w:r w:rsidRPr="000871B3">
        <w:t>)</w:t>
      </w:r>
      <w:r w:rsidRPr="000871B3">
        <w:tab/>
        <w:t>a statement as to whether the lessor is prepared to negotiate the sale of the goods;</w:t>
      </w:r>
    </w:p>
    <w:p w:rsidR="000F0DC6" w:rsidRPr="000871B3" w:rsidRDefault="00A406A9" w:rsidP="0019122F">
      <w:pPr>
        <w:pStyle w:val="ZP1"/>
      </w:pPr>
      <w:r w:rsidRPr="000871B3">
        <w:tab/>
        <w:t>(</w:t>
      </w:r>
      <w:r w:rsidR="00987131" w:rsidRPr="000871B3">
        <w:t>h</w:t>
      </w:r>
      <w:r w:rsidRPr="000871B3">
        <w:t>)</w:t>
      </w:r>
      <w:r w:rsidRPr="000871B3">
        <w:tab/>
        <w:t>if the lessor is prepared to negotiate</w:t>
      </w:r>
      <w:r w:rsidR="000F0DC6" w:rsidRPr="000871B3">
        <w:t xml:space="preserve"> the sale of the goods:</w:t>
      </w:r>
    </w:p>
    <w:p w:rsidR="000F0DC6" w:rsidRPr="000871B3" w:rsidRDefault="000F0DC6" w:rsidP="000F0DC6">
      <w:pPr>
        <w:pStyle w:val="P2"/>
      </w:pPr>
      <w:r w:rsidRPr="000871B3">
        <w:tab/>
        <w:t>(i)</w:t>
      </w:r>
      <w:r w:rsidRPr="000871B3">
        <w:tab/>
      </w:r>
      <w:r w:rsidR="00A406A9" w:rsidRPr="000871B3">
        <w:t xml:space="preserve">an estimate of the </w:t>
      </w:r>
      <w:r w:rsidR="009F2B51" w:rsidRPr="000871B3">
        <w:t xml:space="preserve">sale </w:t>
      </w:r>
      <w:r w:rsidR="00A406A9" w:rsidRPr="000871B3">
        <w:t>price</w:t>
      </w:r>
      <w:r w:rsidRPr="000871B3">
        <w:t xml:space="preserve"> </w:t>
      </w:r>
      <w:r w:rsidR="009F2B51" w:rsidRPr="000871B3">
        <w:t xml:space="preserve">of </w:t>
      </w:r>
      <w:r w:rsidRPr="000871B3">
        <w:t>the goods; and</w:t>
      </w:r>
    </w:p>
    <w:p w:rsidR="00A406A9" w:rsidRPr="000871B3" w:rsidRDefault="000F0DC6" w:rsidP="000F0DC6">
      <w:pPr>
        <w:pStyle w:val="P2"/>
      </w:pPr>
      <w:r w:rsidRPr="000871B3">
        <w:tab/>
        <w:t>(ii)</w:t>
      </w:r>
      <w:r w:rsidRPr="000871B3">
        <w:tab/>
      </w:r>
      <w:r w:rsidR="00012432" w:rsidRPr="000871B3">
        <w:t xml:space="preserve">contact </w:t>
      </w:r>
      <w:r w:rsidR="009F2B51" w:rsidRPr="000871B3">
        <w:t xml:space="preserve">details for </w:t>
      </w:r>
      <w:r w:rsidR="00012432" w:rsidRPr="000871B3">
        <w:t>the</w:t>
      </w:r>
      <w:r w:rsidR="00A406A9" w:rsidRPr="000871B3">
        <w:t xml:space="preserve"> person</w:t>
      </w:r>
      <w:r w:rsidR="009F2B51" w:rsidRPr="000871B3">
        <w:t xml:space="preserve"> through whom the </w:t>
      </w:r>
      <w:r w:rsidR="001857A1" w:rsidRPr="000871B3">
        <w:t>sale of the goods may be negotiated</w:t>
      </w:r>
      <w:r w:rsidR="009F2B51" w:rsidRPr="000871B3">
        <w:t>.</w:t>
      </w:r>
    </w:p>
    <w:p w:rsidR="00537100" w:rsidRPr="000871B3" w:rsidRDefault="00537100" w:rsidP="00537100">
      <w:pPr>
        <w:pStyle w:val="HR"/>
      </w:pPr>
      <w:r w:rsidRPr="00BC682E">
        <w:rPr>
          <w:rStyle w:val="CharSectno"/>
        </w:rPr>
        <w:lastRenderedPageBreak/>
        <w:t>105D</w:t>
      </w:r>
      <w:r w:rsidRPr="000871B3">
        <w:tab/>
      </w:r>
      <w:r w:rsidR="004F06B4" w:rsidRPr="000871B3">
        <w:t>Circumstances in which lessor is not required to provide end of lease statement</w:t>
      </w:r>
    </w:p>
    <w:p w:rsidR="000C18CA" w:rsidRPr="000871B3" w:rsidRDefault="00537100" w:rsidP="0019122F">
      <w:pPr>
        <w:pStyle w:val="ZR1"/>
      </w:pPr>
      <w:r w:rsidRPr="000871B3">
        <w:tab/>
      </w:r>
      <w:r w:rsidR="000D1367" w:rsidRPr="000871B3">
        <w:tab/>
      </w:r>
      <w:r w:rsidRPr="000871B3">
        <w:t>For subsection 175H</w:t>
      </w:r>
      <w:r w:rsidR="0019122F">
        <w:t> </w:t>
      </w:r>
      <w:r w:rsidRPr="000871B3">
        <w:t xml:space="preserve">(2) of the Code, the circumstances </w:t>
      </w:r>
      <w:r w:rsidR="00012432" w:rsidRPr="000871B3">
        <w:t xml:space="preserve">in which the lessor is not required to provide an end of lease statement </w:t>
      </w:r>
      <w:r w:rsidRPr="000871B3">
        <w:t>are:</w:t>
      </w:r>
    </w:p>
    <w:p w:rsidR="00196765" w:rsidRPr="000871B3" w:rsidRDefault="00196765" w:rsidP="00196765">
      <w:pPr>
        <w:pStyle w:val="P1"/>
      </w:pPr>
      <w:r w:rsidRPr="000871B3">
        <w:tab/>
        <w:t>(a)</w:t>
      </w:r>
      <w:r w:rsidRPr="000871B3">
        <w:tab/>
        <w:t xml:space="preserve">the lessor wrote off the debt of the lessee under the </w:t>
      </w:r>
      <w:r w:rsidR="000300FC" w:rsidRPr="000871B3">
        <w:t xml:space="preserve">consumer </w:t>
      </w:r>
      <w:r w:rsidRPr="000871B3">
        <w:t>lease; or</w:t>
      </w:r>
    </w:p>
    <w:p w:rsidR="00196765" w:rsidRPr="000871B3" w:rsidRDefault="00196765" w:rsidP="00196765">
      <w:pPr>
        <w:pStyle w:val="P1"/>
      </w:pPr>
      <w:r w:rsidRPr="000871B3">
        <w:tab/>
        <w:t>(b)</w:t>
      </w:r>
      <w:r w:rsidRPr="000871B3">
        <w:tab/>
        <w:t>the lessor has commenced enforcement proceedings; or</w:t>
      </w:r>
    </w:p>
    <w:p w:rsidR="00196765" w:rsidRPr="000871B3" w:rsidRDefault="00196765" w:rsidP="00196765">
      <w:pPr>
        <w:pStyle w:val="P1"/>
      </w:pPr>
      <w:r w:rsidRPr="000871B3">
        <w:tab/>
        <w:t>(c)</w:t>
      </w:r>
      <w:r w:rsidRPr="000871B3">
        <w:tab/>
        <w:t>the lessee has died</w:t>
      </w:r>
      <w:r w:rsidR="00865AAA" w:rsidRPr="000871B3">
        <w:t>,</w:t>
      </w:r>
      <w:r w:rsidRPr="000871B3">
        <w:t xml:space="preserve"> or is insolvent</w:t>
      </w:r>
      <w:r w:rsidR="00865AAA" w:rsidRPr="000871B3">
        <w:t>,</w:t>
      </w:r>
      <w:r w:rsidRPr="000871B3">
        <w:t xml:space="preserve"> and the lessee’s personal representative or trustee in bankruptcy has not requested a statement of account.</w:t>
      </w:r>
    </w:p>
    <w:p w:rsidR="00537100" w:rsidRPr="000871B3" w:rsidRDefault="00537100" w:rsidP="00537100">
      <w:pPr>
        <w:pStyle w:val="HR"/>
      </w:pPr>
      <w:r w:rsidRPr="00BC682E">
        <w:rPr>
          <w:rStyle w:val="CharSectno"/>
        </w:rPr>
        <w:t>105E</w:t>
      </w:r>
      <w:r w:rsidRPr="000871B3">
        <w:tab/>
      </w:r>
      <w:r w:rsidR="004F06B4" w:rsidRPr="000871B3">
        <w:t xml:space="preserve">Information to be </w:t>
      </w:r>
      <w:r w:rsidR="003145DB" w:rsidRPr="000871B3">
        <w:t>contained</w:t>
      </w:r>
      <w:r w:rsidR="004F06B4" w:rsidRPr="000871B3">
        <w:t xml:space="preserve"> in written notice about </w:t>
      </w:r>
      <w:r w:rsidR="00CB7475" w:rsidRPr="000871B3">
        <w:t xml:space="preserve">change by agreement to </w:t>
      </w:r>
      <w:r w:rsidR="000300FC" w:rsidRPr="000871B3">
        <w:t xml:space="preserve">consumer </w:t>
      </w:r>
      <w:r w:rsidR="00CB7475" w:rsidRPr="000871B3">
        <w:t>lease</w:t>
      </w:r>
    </w:p>
    <w:p w:rsidR="00CB7475" w:rsidRPr="000871B3" w:rsidRDefault="00CB7475" w:rsidP="0019122F">
      <w:pPr>
        <w:pStyle w:val="ZR1"/>
      </w:pPr>
      <w:r w:rsidRPr="000871B3">
        <w:tab/>
      </w:r>
      <w:r w:rsidR="000D1367" w:rsidRPr="000871B3">
        <w:tab/>
      </w:r>
      <w:r w:rsidRPr="000871B3">
        <w:t>For paragraph 177A</w:t>
      </w:r>
      <w:r w:rsidR="0019122F">
        <w:t> </w:t>
      </w:r>
      <w:r w:rsidRPr="000871B3">
        <w:t>(1)</w:t>
      </w:r>
      <w:r w:rsidR="0019122F">
        <w:t> </w:t>
      </w:r>
      <w:r w:rsidRPr="000871B3">
        <w:t xml:space="preserve">(b) of the Code, the information to be </w:t>
      </w:r>
      <w:r w:rsidR="003145DB" w:rsidRPr="000871B3">
        <w:t>contained</w:t>
      </w:r>
      <w:r w:rsidRPr="000871B3">
        <w:t xml:space="preserve"> in a written notice about a change by agreement to a </w:t>
      </w:r>
      <w:r w:rsidR="000300FC" w:rsidRPr="000871B3">
        <w:t xml:space="preserve">consumer </w:t>
      </w:r>
      <w:r w:rsidRPr="000871B3">
        <w:t>lease</w:t>
      </w:r>
      <w:r w:rsidR="00894CC3" w:rsidRPr="000871B3">
        <w:t xml:space="preserve"> is the following</w:t>
      </w:r>
      <w:r w:rsidRPr="000871B3">
        <w:t>:</w:t>
      </w:r>
    </w:p>
    <w:p w:rsidR="00CB7475" w:rsidRPr="000871B3" w:rsidRDefault="00CB7475" w:rsidP="00CB7475">
      <w:pPr>
        <w:pStyle w:val="P1"/>
      </w:pPr>
      <w:r w:rsidRPr="000871B3">
        <w:tab/>
        <w:t>(a)</w:t>
      </w:r>
      <w:r w:rsidRPr="000871B3">
        <w:tab/>
        <w:t xml:space="preserve">the date of the change in the </w:t>
      </w:r>
      <w:r w:rsidR="000300FC" w:rsidRPr="000871B3">
        <w:t xml:space="preserve">consumer </w:t>
      </w:r>
      <w:r w:rsidR="00A645C9" w:rsidRPr="000871B3">
        <w:t>lease</w:t>
      </w:r>
      <w:r w:rsidRPr="000871B3">
        <w:t>;</w:t>
      </w:r>
    </w:p>
    <w:p w:rsidR="00CB7475" w:rsidRPr="000871B3" w:rsidRDefault="00CB7475" w:rsidP="00CB7475">
      <w:pPr>
        <w:pStyle w:val="P1"/>
      </w:pPr>
      <w:r w:rsidRPr="000871B3">
        <w:tab/>
        <w:t>(b)</w:t>
      </w:r>
      <w:r w:rsidRPr="000871B3">
        <w:tab/>
      </w:r>
      <w:r w:rsidR="00731B99" w:rsidRPr="000871B3">
        <w:t>particulars of</w:t>
      </w:r>
      <w:r w:rsidRPr="000871B3">
        <w:t xml:space="preserve"> any change in respect of goods hired under the </w:t>
      </w:r>
      <w:r w:rsidR="000300FC" w:rsidRPr="000871B3">
        <w:t xml:space="preserve">consumer </w:t>
      </w:r>
      <w:r w:rsidR="00A645C9" w:rsidRPr="000871B3">
        <w:t>lease</w:t>
      </w:r>
      <w:r w:rsidRPr="000871B3">
        <w:t>;</w:t>
      </w:r>
    </w:p>
    <w:p w:rsidR="00CB7475" w:rsidRPr="000871B3" w:rsidRDefault="00CB7475" w:rsidP="00CB7475">
      <w:pPr>
        <w:pStyle w:val="P1"/>
      </w:pPr>
      <w:r w:rsidRPr="000871B3">
        <w:tab/>
        <w:t>(c)</w:t>
      </w:r>
      <w:r w:rsidRPr="000871B3">
        <w:tab/>
      </w:r>
      <w:r w:rsidR="00731B99" w:rsidRPr="000871B3">
        <w:t>the amounts</w:t>
      </w:r>
      <w:r w:rsidRPr="000871B3">
        <w:t xml:space="preserve"> of </w:t>
      </w:r>
      <w:r w:rsidR="005B6215" w:rsidRPr="000871B3">
        <w:t xml:space="preserve">any </w:t>
      </w:r>
      <w:r w:rsidRPr="000871B3">
        <w:t>fees or charges payable after the change;</w:t>
      </w:r>
    </w:p>
    <w:p w:rsidR="00CB7475" w:rsidRPr="000871B3" w:rsidRDefault="00CB7475" w:rsidP="00CB7475">
      <w:pPr>
        <w:pStyle w:val="P1"/>
      </w:pPr>
      <w:r w:rsidRPr="000871B3">
        <w:tab/>
        <w:t>(d)</w:t>
      </w:r>
      <w:r w:rsidRPr="000871B3">
        <w:tab/>
      </w:r>
      <w:r w:rsidR="00731B99" w:rsidRPr="000871B3">
        <w:t>particulars</w:t>
      </w:r>
      <w:r w:rsidRPr="000871B3">
        <w:t xml:space="preserve"> of any amounts payable to third parties after the change;</w:t>
      </w:r>
    </w:p>
    <w:p w:rsidR="00CB7475" w:rsidRPr="000871B3" w:rsidRDefault="00CB7475" w:rsidP="0019122F">
      <w:pPr>
        <w:pStyle w:val="ZP1"/>
      </w:pPr>
      <w:r w:rsidRPr="000871B3">
        <w:tab/>
        <w:t>(e)</w:t>
      </w:r>
      <w:r w:rsidRPr="000871B3">
        <w:tab/>
        <w:t>the re</w:t>
      </w:r>
      <w:r w:rsidR="00BD4E31">
        <w:t>ntal</w:t>
      </w:r>
      <w:r w:rsidRPr="000871B3">
        <w:t xml:space="preserve"> details under the </w:t>
      </w:r>
      <w:r w:rsidR="000300FC" w:rsidRPr="000871B3">
        <w:t xml:space="preserve">consumer </w:t>
      </w:r>
      <w:r w:rsidRPr="000871B3">
        <w:t>lease:</w:t>
      </w:r>
    </w:p>
    <w:p w:rsidR="00CB7475" w:rsidRPr="000871B3" w:rsidRDefault="00CB7475" w:rsidP="00CB7475">
      <w:pPr>
        <w:pStyle w:val="P2"/>
      </w:pPr>
      <w:r w:rsidRPr="000871B3">
        <w:tab/>
        <w:t>(i)</w:t>
      </w:r>
      <w:r w:rsidRPr="000871B3">
        <w:tab/>
        <w:t>before the change; and</w:t>
      </w:r>
    </w:p>
    <w:p w:rsidR="00CB7475" w:rsidRPr="000871B3" w:rsidRDefault="00CB7475" w:rsidP="00CB7475">
      <w:pPr>
        <w:pStyle w:val="P2"/>
      </w:pPr>
      <w:r w:rsidRPr="000871B3">
        <w:tab/>
        <w:t>(ii)</w:t>
      </w:r>
      <w:r w:rsidRPr="000871B3">
        <w:tab/>
        <w:t>after the change;</w:t>
      </w:r>
    </w:p>
    <w:p w:rsidR="00CB7475" w:rsidRPr="000871B3" w:rsidRDefault="00CB7475" w:rsidP="00CB7475">
      <w:pPr>
        <w:pStyle w:val="P1"/>
      </w:pPr>
      <w:r w:rsidRPr="000871B3">
        <w:tab/>
      </w:r>
      <w:r w:rsidR="00A645C9" w:rsidRPr="000871B3">
        <w:t>(f)</w:t>
      </w:r>
      <w:r w:rsidR="00A645C9" w:rsidRPr="000871B3">
        <w:tab/>
      </w:r>
      <w:r w:rsidR="00731B99" w:rsidRPr="000871B3">
        <w:t>the amounts</w:t>
      </w:r>
      <w:r w:rsidR="00A645C9" w:rsidRPr="000871B3">
        <w:t xml:space="preserve"> of any commission to be paid by or to the lessee in relation to the change;</w:t>
      </w:r>
    </w:p>
    <w:p w:rsidR="00A645C9" w:rsidRPr="000871B3" w:rsidRDefault="00A645C9" w:rsidP="00CB7475">
      <w:pPr>
        <w:pStyle w:val="P1"/>
      </w:pPr>
      <w:r w:rsidRPr="000871B3">
        <w:tab/>
        <w:t>(g)</w:t>
      </w:r>
      <w:r w:rsidRPr="000871B3">
        <w:tab/>
      </w:r>
      <w:r w:rsidR="00F351E3" w:rsidRPr="000871B3">
        <w:t>the period of time by which the term of the consumer lease is increased</w:t>
      </w:r>
      <w:r w:rsidRPr="000871B3">
        <w:t>;</w:t>
      </w:r>
    </w:p>
    <w:p w:rsidR="00A645C9" w:rsidRPr="000871B3" w:rsidRDefault="00A645C9" w:rsidP="00CB7475">
      <w:pPr>
        <w:pStyle w:val="P1"/>
      </w:pPr>
      <w:r w:rsidRPr="000871B3">
        <w:tab/>
        <w:t>(h)</w:t>
      </w:r>
      <w:r w:rsidRPr="000871B3">
        <w:tab/>
      </w:r>
      <w:r w:rsidRPr="00E73289">
        <w:t>the expiry d</w:t>
      </w:r>
      <w:r w:rsidRPr="000871B3">
        <w:t xml:space="preserve">ate for the </w:t>
      </w:r>
      <w:r w:rsidR="000300FC" w:rsidRPr="000871B3">
        <w:t xml:space="preserve">consumer </w:t>
      </w:r>
      <w:r w:rsidRPr="000871B3">
        <w:t>lease.</w:t>
      </w:r>
    </w:p>
    <w:p w:rsidR="005B6215" w:rsidRPr="006C76D6" w:rsidRDefault="005B6215" w:rsidP="006C76D6">
      <w:pPr>
        <w:pStyle w:val="HE"/>
      </w:pPr>
      <w:r w:rsidRPr="006C76D6">
        <w:t>Example for paragraph</w:t>
      </w:r>
      <w:r w:rsidR="0019122F">
        <w:t> </w:t>
      </w:r>
      <w:r w:rsidRPr="006C76D6">
        <w:t>(d)</w:t>
      </w:r>
    </w:p>
    <w:p w:rsidR="005B6215" w:rsidRPr="000871B3" w:rsidRDefault="005B6215" w:rsidP="006C76D6">
      <w:pPr>
        <w:pStyle w:val="ExampleBody"/>
      </w:pPr>
      <w:r w:rsidRPr="000871B3">
        <w:t>Insurance</w:t>
      </w:r>
      <w:r w:rsidR="006C76D6">
        <w:t>.</w:t>
      </w:r>
    </w:p>
    <w:p w:rsidR="00DE0CA6" w:rsidRPr="000871B3" w:rsidRDefault="00E97A74" w:rsidP="00DE0CA6">
      <w:pPr>
        <w:pStyle w:val="HR"/>
      </w:pPr>
      <w:r w:rsidRPr="00BC682E">
        <w:rPr>
          <w:rStyle w:val="CharSectno"/>
        </w:rPr>
        <w:lastRenderedPageBreak/>
        <w:t>105</w:t>
      </w:r>
      <w:r w:rsidR="000871B3" w:rsidRPr="00BC682E">
        <w:rPr>
          <w:rStyle w:val="CharSectno"/>
        </w:rPr>
        <w:t>G</w:t>
      </w:r>
      <w:r w:rsidRPr="000871B3">
        <w:tab/>
      </w:r>
      <w:r w:rsidR="00894CC3" w:rsidRPr="000871B3">
        <w:t xml:space="preserve">Information to be </w:t>
      </w:r>
      <w:r w:rsidR="003145DB" w:rsidRPr="000871B3">
        <w:t>contained</w:t>
      </w:r>
      <w:r w:rsidR="00683A29" w:rsidRPr="000871B3">
        <w:t xml:space="preserve"> in statement of amount payable on termination of </w:t>
      </w:r>
      <w:r w:rsidR="000300FC" w:rsidRPr="000871B3">
        <w:t xml:space="preserve">consumer </w:t>
      </w:r>
      <w:r w:rsidR="00683A29" w:rsidRPr="000871B3">
        <w:t>lease</w:t>
      </w:r>
    </w:p>
    <w:p w:rsidR="00683A29" w:rsidRPr="000871B3" w:rsidRDefault="00683A29" w:rsidP="0019122F">
      <w:pPr>
        <w:pStyle w:val="ZR1"/>
      </w:pPr>
      <w:r w:rsidRPr="000871B3">
        <w:tab/>
      </w:r>
      <w:r w:rsidRPr="000871B3">
        <w:tab/>
        <w:t>For paragraph 179A</w:t>
      </w:r>
      <w:r w:rsidR="0019122F">
        <w:t> </w:t>
      </w:r>
      <w:r w:rsidRPr="000871B3">
        <w:t>(2)</w:t>
      </w:r>
      <w:r w:rsidR="0019122F">
        <w:t> </w:t>
      </w:r>
      <w:r w:rsidRPr="000871B3">
        <w:t xml:space="preserve">(d) of the Code, </w:t>
      </w:r>
      <w:r w:rsidR="000F0DC6" w:rsidRPr="000871B3">
        <w:t xml:space="preserve">the matters that must be contained in </w:t>
      </w:r>
      <w:r w:rsidR="005B6215" w:rsidRPr="000871B3">
        <w:t>a</w:t>
      </w:r>
      <w:r w:rsidR="000F0DC6" w:rsidRPr="000871B3">
        <w:t xml:space="preserve"> statement </w:t>
      </w:r>
      <w:r w:rsidR="005B6215" w:rsidRPr="000871B3">
        <w:t xml:space="preserve">of amount payable on the termination of a </w:t>
      </w:r>
      <w:r w:rsidR="000300FC" w:rsidRPr="000871B3">
        <w:t xml:space="preserve">consumer </w:t>
      </w:r>
      <w:r w:rsidR="005B6215" w:rsidRPr="000871B3">
        <w:t xml:space="preserve">lease </w:t>
      </w:r>
      <w:r w:rsidR="000F0DC6" w:rsidRPr="000871B3">
        <w:t>are the following:</w:t>
      </w:r>
    </w:p>
    <w:p w:rsidR="00987131" w:rsidRPr="000871B3" w:rsidRDefault="000F0DC6" w:rsidP="009F2B51">
      <w:pPr>
        <w:pStyle w:val="P1"/>
      </w:pPr>
      <w:r w:rsidRPr="000871B3">
        <w:tab/>
      </w:r>
      <w:r w:rsidR="009F2B51" w:rsidRPr="000871B3">
        <w:t>(a)</w:t>
      </w:r>
      <w:r w:rsidR="009F2B51" w:rsidRPr="000871B3">
        <w:tab/>
      </w:r>
      <w:r w:rsidR="00314611" w:rsidRPr="000871B3">
        <w:t xml:space="preserve">the total </w:t>
      </w:r>
      <w:r w:rsidR="00987131" w:rsidRPr="000871B3">
        <w:t>amount to be paid</w:t>
      </w:r>
      <w:r w:rsidR="00235708" w:rsidRPr="000871B3">
        <w:t>, on the date of the statement,</w:t>
      </w:r>
      <w:r w:rsidR="00987131" w:rsidRPr="000871B3">
        <w:t xml:space="preserve"> to terminate the lease;</w:t>
      </w:r>
    </w:p>
    <w:p w:rsidR="00235708" w:rsidRPr="000871B3" w:rsidRDefault="00235708" w:rsidP="009F2B51">
      <w:pPr>
        <w:pStyle w:val="P1"/>
      </w:pPr>
      <w:r w:rsidRPr="000871B3">
        <w:tab/>
        <w:t>(b)</w:t>
      </w:r>
      <w:r w:rsidRPr="000871B3">
        <w:tab/>
        <w:t>the amounts the lessee is liable to pay to terminate the l</w:t>
      </w:r>
      <w:r w:rsidRPr="00E73289">
        <w:t>ease, expresse</w:t>
      </w:r>
      <w:r w:rsidRPr="000871B3">
        <w:t>d as an amount for each month from the date of the statement;</w:t>
      </w:r>
    </w:p>
    <w:p w:rsidR="009F2B51" w:rsidRPr="000871B3" w:rsidRDefault="00987131" w:rsidP="009F2B51">
      <w:pPr>
        <w:pStyle w:val="P1"/>
      </w:pPr>
      <w:r w:rsidRPr="000871B3">
        <w:tab/>
        <w:t>(</w:t>
      </w:r>
      <w:r w:rsidR="00235708" w:rsidRPr="000871B3">
        <w:t>c</w:t>
      </w:r>
      <w:r w:rsidRPr="000871B3">
        <w:t>)</w:t>
      </w:r>
      <w:r w:rsidRPr="000871B3">
        <w:tab/>
      </w:r>
      <w:r w:rsidR="009F2B51" w:rsidRPr="000871B3">
        <w:t>a statement as to whether the lessor is prepared to negotiate the sale of the goods;</w:t>
      </w:r>
    </w:p>
    <w:p w:rsidR="009F2B51" w:rsidRPr="000871B3" w:rsidRDefault="009F2B51" w:rsidP="0019122F">
      <w:pPr>
        <w:pStyle w:val="ZP1"/>
      </w:pPr>
      <w:r w:rsidRPr="000871B3">
        <w:tab/>
        <w:t>(</w:t>
      </w:r>
      <w:r w:rsidR="00235708" w:rsidRPr="000871B3">
        <w:t>d</w:t>
      </w:r>
      <w:r w:rsidRPr="000871B3">
        <w:t>)</w:t>
      </w:r>
      <w:r w:rsidRPr="000871B3">
        <w:tab/>
        <w:t>if the lessor is prepared to negotiate the sale of the goods:</w:t>
      </w:r>
    </w:p>
    <w:p w:rsidR="009F2B51" w:rsidRPr="000871B3" w:rsidRDefault="009F2B51" w:rsidP="009F2B51">
      <w:pPr>
        <w:pStyle w:val="P2"/>
      </w:pPr>
      <w:r w:rsidRPr="000871B3">
        <w:tab/>
        <w:t>(i)</w:t>
      </w:r>
      <w:r w:rsidRPr="000871B3">
        <w:tab/>
        <w:t>an estimate of the sale price of the goods; and</w:t>
      </w:r>
    </w:p>
    <w:p w:rsidR="00A51D19" w:rsidRPr="000871B3" w:rsidRDefault="009F2B51" w:rsidP="00987131">
      <w:pPr>
        <w:pStyle w:val="P2"/>
      </w:pPr>
      <w:r w:rsidRPr="000871B3">
        <w:tab/>
        <w:t>(ii)</w:t>
      </w:r>
      <w:r w:rsidRPr="000871B3">
        <w:tab/>
      </w:r>
      <w:r w:rsidR="005B6215" w:rsidRPr="000871B3">
        <w:t xml:space="preserve">contact </w:t>
      </w:r>
      <w:r w:rsidRPr="000871B3">
        <w:t xml:space="preserve">details for </w:t>
      </w:r>
      <w:r w:rsidR="005B6215" w:rsidRPr="000871B3">
        <w:t>the</w:t>
      </w:r>
      <w:r w:rsidRPr="000871B3">
        <w:t xml:space="preserve"> person </w:t>
      </w:r>
      <w:r w:rsidRPr="00E73289">
        <w:t xml:space="preserve">through whom the </w:t>
      </w:r>
      <w:r w:rsidR="001C4630" w:rsidRPr="00E73289">
        <w:t xml:space="preserve">sale of the </w:t>
      </w:r>
      <w:r w:rsidRPr="00E73289">
        <w:t xml:space="preserve">goods </w:t>
      </w:r>
      <w:r w:rsidR="001C4630" w:rsidRPr="00E73289">
        <w:t>may be negotiated</w:t>
      </w:r>
      <w:r w:rsidR="00987131" w:rsidRPr="00E73289">
        <w:t>.</w:t>
      </w:r>
    </w:p>
    <w:p w:rsidR="00AD74D7" w:rsidRPr="000871B3" w:rsidRDefault="00AD74D7" w:rsidP="00AD74D7">
      <w:pPr>
        <w:pStyle w:val="HR"/>
      </w:pPr>
      <w:r w:rsidRPr="00BC682E">
        <w:rPr>
          <w:rStyle w:val="CharSectno"/>
        </w:rPr>
        <w:t>1</w:t>
      </w:r>
      <w:r w:rsidR="00986675" w:rsidRPr="00BC682E">
        <w:rPr>
          <w:rStyle w:val="CharSectno"/>
        </w:rPr>
        <w:t>0</w:t>
      </w:r>
      <w:r w:rsidRPr="00BC682E">
        <w:rPr>
          <w:rStyle w:val="CharSectno"/>
        </w:rPr>
        <w:t>5</w:t>
      </w:r>
      <w:r w:rsidR="000871B3" w:rsidRPr="00BC682E">
        <w:rPr>
          <w:rStyle w:val="CharSectno"/>
        </w:rPr>
        <w:t>H</w:t>
      </w:r>
      <w:r w:rsidRPr="000871B3">
        <w:tab/>
      </w:r>
      <w:r w:rsidR="00883DD2" w:rsidRPr="000871B3">
        <w:t>Exemption for lessors from giving o</w:t>
      </w:r>
      <w:r w:rsidRPr="000871B3">
        <w:t>ne-off notice about direct debit default</w:t>
      </w:r>
    </w:p>
    <w:p w:rsidR="00AD74D7" w:rsidRPr="000871B3" w:rsidRDefault="00AD74D7" w:rsidP="00AD74D7">
      <w:pPr>
        <w:pStyle w:val="R1"/>
        <w:rPr>
          <w:color w:val="000000"/>
        </w:rPr>
      </w:pPr>
      <w:r w:rsidRPr="000871B3">
        <w:tab/>
      </w:r>
      <w:r w:rsidRPr="000871B3">
        <w:rPr>
          <w:color w:val="000000"/>
        </w:rPr>
        <w:t>(1)</w:t>
      </w:r>
      <w:r w:rsidRPr="000871B3">
        <w:rPr>
          <w:color w:val="000000"/>
        </w:rPr>
        <w:tab/>
      </w:r>
      <w:r w:rsidR="00E10422" w:rsidRPr="000871B3">
        <w:rPr>
          <w:color w:val="000000"/>
        </w:rPr>
        <w:t>For section 203B of the Code, s</w:t>
      </w:r>
      <w:r w:rsidRPr="000871B3">
        <w:rPr>
          <w:color w:val="000000"/>
        </w:rPr>
        <w:t>ubsection 179C</w:t>
      </w:r>
      <w:r w:rsidR="0019122F">
        <w:rPr>
          <w:color w:val="000000"/>
        </w:rPr>
        <w:t> </w:t>
      </w:r>
      <w:r w:rsidRPr="000871B3">
        <w:rPr>
          <w:color w:val="000000"/>
        </w:rPr>
        <w:t xml:space="preserve">(2) of the Code does not apply to a lessor if the </w:t>
      </w:r>
      <w:r w:rsidR="006C76D6">
        <w:rPr>
          <w:color w:val="000000"/>
        </w:rPr>
        <w:t>default mentioned in subsection</w:t>
      </w:r>
      <w:r w:rsidR="0019122F">
        <w:rPr>
          <w:color w:val="000000"/>
        </w:rPr>
        <w:t> </w:t>
      </w:r>
      <w:r w:rsidRPr="000871B3">
        <w:rPr>
          <w:color w:val="000000"/>
        </w:rPr>
        <w:t>179C (1) is rectified before the lessor is required to give the direct debit default notice under subsection 179C (2).</w:t>
      </w:r>
    </w:p>
    <w:p w:rsidR="00AD74D7" w:rsidRPr="000871B3" w:rsidRDefault="00AD74D7" w:rsidP="0019122F">
      <w:pPr>
        <w:pStyle w:val="ZR2"/>
      </w:pPr>
      <w:r w:rsidRPr="000871B3">
        <w:tab/>
        <w:t>(2)</w:t>
      </w:r>
      <w:r w:rsidRPr="000871B3">
        <w:tab/>
        <w:t>If:</w:t>
      </w:r>
    </w:p>
    <w:p w:rsidR="00AD74D7" w:rsidRPr="000871B3" w:rsidRDefault="00AD74D7" w:rsidP="00AD74D7">
      <w:pPr>
        <w:pStyle w:val="P1"/>
        <w:rPr>
          <w:color w:val="000000"/>
        </w:rPr>
      </w:pPr>
      <w:r w:rsidRPr="000871B3">
        <w:rPr>
          <w:color w:val="000000"/>
        </w:rPr>
        <w:tab/>
        <w:t>(a)</w:t>
      </w:r>
      <w:r w:rsidRPr="000871B3">
        <w:rPr>
          <w:color w:val="000000"/>
        </w:rPr>
        <w:tab/>
        <w:t>the default is rectified before the lessor is required to give the direct debit default notice under subsection 179C (2); and</w:t>
      </w:r>
    </w:p>
    <w:p w:rsidR="00AD74D7" w:rsidRPr="000871B3" w:rsidRDefault="00AD74D7" w:rsidP="006C76D6">
      <w:pPr>
        <w:pStyle w:val="P1"/>
        <w:keepNext/>
        <w:rPr>
          <w:color w:val="000000"/>
        </w:rPr>
      </w:pPr>
      <w:r w:rsidRPr="000871B3">
        <w:rPr>
          <w:color w:val="000000"/>
        </w:rPr>
        <w:tab/>
        <w:t>(b)</w:t>
      </w:r>
      <w:r w:rsidRPr="000871B3">
        <w:rPr>
          <w:color w:val="000000"/>
        </w:rPr>
        <w:tab/>
        <w:t>the lessor does not give the direct debit default notice;</w:t>
      </w:r>
    </w:p>
    <w:p w:rsidR="00AD74D7" w:rsidRPr="000871B3" w:rsidRDefault="00AD74D7" w:rsidP="006C76D6">
      <w:pPr>
        <w:pStyle w:val="Rc"/>
        <w:keepNext/>
        <w:rPr>
          <w:color w:val="000000"/>
        </w:rPr>
      </w:pPr>
      <w:r w:rsidRPr="000871B3">
        <w:rPr>
          <w:color w:val="000000"/>
        </w:rPr>
        <w:t>the default is not taken to be the first occasion the default occurs for paragraph 179C (1)</w:t>
      </w:r>
      <w:r w:rsidR="0019122F">
        <w:rPr>
          <w:color w:val="000000"/>
        </w:rPr>
        <w:t> </w:t>
      </w:r>
      <w:r w:rsidRPr="000871B3">
        <w:rPr>
          <w:color w:val="000000"/>
        </w:rPr>
        <w:t>(c).</w:t>
      </w:r>
    </w:p>
    <w:p w:rsidR="00AD74D7" w:rsidRPr="000871B3" w:rsidRDefault="00AD74D7" w:rsidP="00AD74D7">
      <w:pPr>
        <w:pStyle w:val="Note"/>
        <w:rPr>
          <w:color w:val="000000"/>
        </w:rPr>
      </w:pPr>
      <w:r w:rsidRPr="000871B3">
        <w:rPr>
          <w:i/>
          <w:color w:val="000000"/>
        </w:rPr>
        <w:t>Note</w:t>
      </w:r>
      <w:r w:rsidR="0019122F">
        <w:rPr>
          <w:i/>
          <w:color w:val="000000"/>
        </w:rPr>
        <w:t>   </w:t>
      </w:r>
      <w:r w:rsidRPr="000871B3">
        <w:rPr>
          <w:color w:val="000000"/>
        </w:rPr>
        <w:t>Section 203B of the Code provides, among other things, that the regulations may exempt a person or a class of persons from all or specified provisions of the Code.</w:t>
      </w:r>
    </w:p>
    <w:p w:rsidR="005B6215" w:rsidRPr="000871B3" w:rsidRDefault="005B6215" w:rsidP="005B6215">
      <w:pPr>
        <w:pStyle w:val="HR"/>
      </w:pPr>
      <w:r w:rsidRPr="00BC682E">
        <w:rPr>
          <w:rStyle w:val="CharSectno"/>
        </w:rPr>
        <w:lastRenderedPageBreak/>
        <w:t>105</w:t>
      </w:r>
      <w:r w:rsidR="000871B3" w:rsidRPr="00BC682E">
        <w:rPr>
          <w:rStyle w:val="CharSectno"/>
        </w:rPr>
        <w:t>J</w:t>
      </w:r>
      <w:r w:rsidRPr="000871B3">
        <w:tab/>
        <w:t>Information to be contained in one-off notice about direct debit default</w:t>
      </w:r>
    </w:p>
    <w:p w:rsidR="005B6215" w:rsidRPr="000871B3" w:rsidRDefault="005B6215" w:rsidP="005B6215">
      <w:pPr>
        <w:pStyle w:val="R1"/>
      </w:pPr>
      <w:r w:rsidRPr="000871B3">
        <w:tab/>
      </w:r>
      <w:r w:rsidRPr="000871B3">
        <w:tab/>
        <w:t>For subsection 179C</w:t>
      </w:r>
      <w:r w:rsidR="0019122F">
        <w:t> </w:t>
      </w:r>
      <w:r w:rsidRPr="000871B3">
        <w:t>(3) of the Code, the information required to be contained in a one-off notice about a direct debit default is the information set out in Form 1</w:t>
      </w:r>
      <w:r w:rsidR="00A51D19" w:rsidRPr="000871B3">
        <w:t>8</w:t>
      </w:r>
      <w:r w:rsidRPr="000871B3">
        <w:t>.</w:t>
      </w:r>
    </w:p>
    <w:p w:rsidR="00AD74D7" w:rsidRPr="000871B3" w:rsidRDefault="000734BB" w:rsidP="000734BB">
      <w:pPr>
        <w:pStyle w:val="HR"/>
      </w:pPr>
      <w:r w:rsidRPr="00BC682E">
        <w:rPr>
          <w:rStyle w:val="CharSectno"/>
        </w:rPr>
        <w:t>105</w:t>
      </w:r>
      <w:r w:rsidR="00FD71BD" w:rsidRPr="00BC682E">
        <w:rPr>
          <w:rStyle w:val="CharSectno"/>
        </w:rPr>
        <w:t>L</w:t>
      </w:r>
      <w:r w:rsidRPr="000871B3">
        <w:tab/>
        <w:t>Consent to enter residential property to take possession of goods</w:t>
      </w:r>
    </w:p>
    <w:p w:rsidR="000734BB" w:rsidRPr="000871B3" w:rsidRDefault="000734BB" w:rsidP="0019122F">
      <w:pPr>
        <w:pStyle w:val="ZR1"/>
      </w:pPr>
      <w:r w:rsidRPr="000871B3">
        <w:tab/>
      </w:r>
      <w:r w:rsidRPr="000871B3">
        <w:tab/>
        <w:t>For subsection 179N</w:t>
      </w:r>
      <w:r w:rsidR="0019122F">
        <w:t> </w:t>
      </w:r>
      <w:r w:rsidRPr="000871B3">
        <w:t xml:space="preserve">(2) of the Code, consent by the occupier of premises to entry to the premises is </w:t>
      </w:r>
      <w:r w:rsidR="00496551" w:rsidRPr="000871B3">
        <w:t xml:space="preserve">taken to be </w:t>
      </w:r>
      <w:r w:rsidRPr="000871B3">
        <w:t>given only</w:t>
      </w:r>
      <w:r w:rsidRPr="000871B3">
        <w:rPr>
          <w:color w:val="FF0000"/>
        </w:rPr>
        <w:t xml:space="preserve"> </w:t>
      </w:r>
      <w:r w:rsidRPr="000871B3">
        <w:t>if the following requirements have been complied with:</w:t>
      </w:r>
    </w:p>
    <w:p w:rsidR="000734BB" w:rsidRPr="000871B3" w:rsidRDefault="000734BB" w:rsidP="000734BB">
      <w:pPr>
        <w:pStyle w:val="P1"/>
        <w:rPr>
          <w:color w:val="000000"/>
        </w:rPr>
      </w:pPr>
      <w:r w:rsidRPr="000871B3">
        <w:rPr>
          <w:color w:val="000000"/>
        </w:rPr>
        <w:tab/>
        <w:t>(a)</w:t>
      </w:r>
      <w:r w:rsidRPr="000871B3">
        <w:rPr>
          <w:color w:val="000000"/>
        </w:rPr>
        <w:tab/>
        <w:t xml:space="preserve">a request to the occupier for entry to the premises must be made by the </w:t>
      </w:r>
      <w:r w:rsidR="00761FB7" w:rsidRPr="000871B3">
        <w:rPr>
          <w:color w:val="000000"/>
        </w:rPr>
        <w:t>lessor</w:t>
      </w:r>
      <w:r w:rsidRPr="000871B3">
        <w:rPr>
          <w:color w:val="000000"/>
        </w:rPr>
        <w:t xml:space="preserve"> or agent by application in writing or by calling at the premises concerned;</w:t>
      </w:r>
    </w:p>
    <w:p w:rsidR="000734BB" w:rsidRPr="000871B3" w:rsidRDefault="000734BB" w:rsidP="000734BB">
      <w:pPr>
        <w:pStyle w:val="P1"/>
        <w:rPr>
          <w:color w:val="000000"/>
        </w:rPr>
      </w:pPr>
      <w:r w:rsidRPr="000871B3">
        <w:rPr>
          <w:color w:val="000000"/>
        </w:rPr>
        <w:tab/>
        <w:t>(b)</w:t>
      </w:r>
      <w:r w:rsidRPr="000871B3">
        <w:rPr>
          <w:color w:val="000000"/>
        </w:rPr>
        <w:tab/>
        <w:t>if the request is made personally, it may only be made between the hours of 8</w:t>
      </w:r>
      <w:r w:rsidR="0019122F">
        <w:rPr>
          <w:color w:val="000000"/>
        </w:rPr>
        <w:t> </w:t>
      </w:r>
      <w:r w:rsidRPr="000871B3">
        <w:rPr>
          <w:color w:val="000000"/>
        </w:rPr>
        <w:t>am and 8</w:t>
      </w:r>
      <w:r w:rsidR="0019122F">
        <w:rPr>
          <w:color w:val="000000"/>
        </w:rPr>
        <w:t> </w:t>
      </w:r>
      <w:r w:rsidRPr="000871B3">
        <w:rPr>
          <w:color w:val="000000"/>
        </w:rPr>
        <w:t>pm on any day other than a Sunday or public holiday;</w:t>
      </w:r>
    </w:p>
    <w:p w:rsidR="000734BB" w:rsidRPr="000871B3" w:rsidRDefault="000734BB" w:rsidP="000734BB">
      <w:pPr>
        <w:pStyle w:val="P1"/>
        <w:rPr>
          <w:color w:val="000000"/>
        </w:rPr>
      </w:pPr>
      <w:r w:rsidRPr="000871B3">
        <w:rPr>
          <w:color w:val="000000"/>
        </w:rPr>
        <w:tab/>
        <w:t>(c)</w:t>
      </w:r>
      <w:r w:rsidRPr="000871B3">
        <w:rPr>
          <w:color w:val="000000"/>
        </w:rPr>
        <w:tab/>
        <w:t xml:space="preserve">the consent in writing must be in accordance with Form </w:t>
      </w:r>
      <w:r w:rsidR="00171320" w:rsidRPr="000871B3">
        <w:rPr>
          <w:color w:val="000000"/>
        </w:rPr>
        <w:t>19</w:t>
      </w:r>
      <w:r w:rsidR="003E04F2" w:rsidRPr="000871B3">
        <w:rPr>
          <w:color w:val="000000"/>
        </w:rPr>
        <w:t xml:space="preserve"> </w:t>
      </w:r>
      <w:r w:rsidRPr="000871B3">
        <w:rPr>
          <w:color w:val="000000"/>
        </w:rPr>
        <w:t>and signed by the occupier;</w:t>
      </w:r>
    </w:p>
    <w:p w:rsidR="000734BB" w:rsidRPr="000871B3" w:rsidRDefault="000734BB" w:rsidP="000734BB">
      <w:pPr>
        <w:pStyle w:val="P1"/>
        <w:rPr>
          <w:color w:val="000000"/>
        </w:rPr>
      </w:pPr>
      <w:r w:rsidRPr="000871B3">
        <w:rPr>
          <w:color w:val="000000"/>
        </w:rPr>
        <w:tab/>
        <w:t>(d)</w:t>
      </w:r>
      <w:r w:rsidRPr="000871B3">
        <w:rPr>
          <w:color w:val="000000"/>
        </w:rPr>
        <w:tab/>
        <w:t xml:space="preserve">the document of consent is not to be presented to the occupier for signature with, or as part of, any other document (unless the other document, or the remainder of the other document, contains only the provisions of section </w:t>
      </w:r>
      <w:r w:rsidR="003E04F2" w:rsidRPr="000871B3">
        <w:rPr>
          <w:color w:val="000000"/>
        </w:rPr>
        <w:t>179N</w:t>
      </w:r>
      <w:r w:rsidRPr="000871B3">
        <w:rPr>
          <w:color w:val="000000"/>
        </w:rPr>
        <w:t xml:space="preserve"> of the Code).</w:t>
      </w:r>
    </w:p>
    <w:p w:rsidR="000734BB" w:rsidRPr="000871B3" w:rsidRDefault="000734BB" w:rsidP="000734BB">
      <w:pPr>
        <w:pStyle w:val="Note"/>
        <w:rPr>
          <w:color w:val="000000"/>
        </w:rPr>
      </w:pPr>
      <w:r w:rsidRPr="000871B3">
        <w:rPr>
          <w:i/>
          <w:color w:val="000000"/>
        </w:rPr>
        <w:t>Note</w:t>
      </w:r>
      <w:r w:rsidR="0019122F">
        <w:rPr>
          <w:i/>
          <w:color w:val="000000"/>
        </w:rPr>
        <w:t> </w:t>
      </w:r>
      <w:r w:rsidRPr="000871B3">
        <w:rPr>
          <w:i/>
          <w:color w:val="000000"/>
        </w:rPr>
        <w:t>1</w:t>
      </w:r>
      <w:r w:rsidR="0019122F">
        <w:rPr>
          <w:color w:val="000000"/>
        </w:rPr>
        <w:t>   </w:t>
      </w:r>
      <w:r w:rsidRPr="000871B3">
        <w:rPr>
          <w:color w:val="000000"/>
        </w:rPr>
        <w:t xml:space="preserve">Subsection </w:t>
      </w:r>
      <w:r w:rsidR="003E04F2" w:rsidRPr="000871B3">
        <w:rPr>
          <w:color w:val="000000"/>
        </w:rPr>
        <w:t>179N</w:t>
      </w:r>
      <w:r w:rsidR="0019122F">
        <w:rPr>
          <w:color w:val="000000"/>
        </w:rPr>
        <w:t> </w:t>
      </w:r>
      <w:r w:rsidRPr="000871B3">
        <w:rPr>
          <w:color w:val="000000"/>
        </w:rPr>
        <w:t xml:space="preserve">(1) of the Code provides that a </w:t>
      </w:r>
      <w:r w:rsidR="003E04F2" w:rsidRPr="000871B3">
        <w:rPr>
          <w:color w:val="000000"/>
        </w:rPr>
        <w:t>lessor</w:t>
      </w:r>
      <w:r w:rsidRPr="000871B3">
        <w:rPr>
          <w:color w:val="000000"/>
        </w:rPr>
        <w:t xml:space="preserve">, or an agent of the </w:t>
      </w:r>
      <w:r w:rsidR="003E04F2" w:rsidRPr="000871B3">
        <w:rPr>
          <w:color w:val="000000"/>
        </w:rPr>
        <w:t>lessor</w:t>
      </w:r>
      <w:r w:rsidRPr="000871B3">
        <w:rPr>
          <w:color w:val="000000"/>
        </w:rPr>
        <w:t>, must not enter any part of premises used for residential purposes for the purpose of taking possession of goods</w:t>
      </w:r>
      <w:r w:rsidR="003E04F2" w:rsidRPr="000871B3">
        <w:rPr>
          <w:color w:val="000000"/>
        </w:rPr>
        <w:t xml:space="preserve"> hired under a consumer lease</w:t>
      </w:r>
      <w:r w:rsidRPr="000871B3">
        <w:rPr>
          <w:color w:val="000000"/>
        </w:rPr>
        <w:t xml:space="preserve"> unless the court has authorised entry or the occupier of the premises (after being informed in writing of the provisions of section </w:t>
      </w:r>
      <w:r w:rsidR="003E04F2" w:rsidRPr="000871B3">
        <w:rPr>
          <w:color w:val="000000"/>
        </w:rPr>
        <w:t>179N</w:t>
      </w:r>
      <w:r w:rsidRPr="000871B3">
        <w:rPr>
          <w:color w:val="000000"/>
        </w:rPr>
        <w:t xml:space="preserve">) </w:t>
      </w:r>
      <w:r w:rsidR="003E04F2" w:rsidRPr="000871B3">
        <w:rPr>
          <w:color w:val="000000"/>
        </w:rPr>
        <w:t xml:space="preserve">has </w:t>
      </w:r>
      <w:r w:rsidRPr="000871B3">
        <w:rPr>
          <w:color w:val="000000"/>
        </w:rPr>
        <w:t>consented in writing to the entry.</w:t>
      </w:r>
    </w:p>
    <w:p w:rsidR="000734BB" w:rsidRPr="000871B3" w:rsidRDefault="000734BB" w:rsidP="000734BB">
      <w:pPr>
        <w:pStyle w:val="Note"/>
        <w:rPr>
          <w:color w:val="000000"/>
        </w:rPr>
      </w:pPr>
      <w:r w:rsidRPr="000871B3">
        <w:rPr>
          <w:i/>
          <w:color w:val="000000"/>
        </w:rPr>
        <w:t>Note</w:t>
      </w:r>
      <w:r w:rsidR="0019122F">
        <w:rPr>
          <w:i/>
          <w:color w:val="000000"/>
        </w:rPr>
        <w:t> </w:t>
      </w:r>
      <w:r w:rsidRPr="000871B3">
        <w:rPr>
          <w:i/>
          <w:color w:val="000000"/>
        </w:rPr>
        <w:t>2</w:t>
      </w:r>
      <w:r w:rsidR="0019122F">
        <w:rPr>
          <w:color w:val="000000"/>
        </w:rPr>
        <w:t>   </w:t>
      </w:r>
      <w:r w:rsidRPr="000871B3">
        <w:rPr>
          <w:color w:val="000000"/>
        </w:rPr>
        <w:t xml:space="preserve">Under subsection </w:t>
      </w:r>
      <w:r w:rsidR="003E04F2" w:rsidRPr="000871B3">
        <w:rPr>
          <w:color w:val="000000"/>
        </w:rPr>
        <w:t>179N</w:t>
      </w:r>
      <w:r w:rsidR="0019122F">
        <w:rPr>
          <w:color w:val="000000"/>
        </w:rPr>
        <w:t> </w:t>
      </w:r>
      <w:r w:rsidRPr="000871B3">
        <w:rPr>
          <w:color w:val="000000"/>
        </w:rPr>
        <w:t xml:space="preserve">(2) of the Code, the regulations may provide procedures for the purposes of section </w:t>
      </w:r>
      <w:r w:rsidR="003E04F2" w:rsidRPr="000871B3">
        <w:rPr>
          <w:color w:val="000000"/>
        </w:rPr>
        <w:t>179</w:t>
      </w:r>
      <w:r w:rsidR="006C76D6">
        <w:rPr>
          <w:color w:val="000000"/>
        </w:rPr>
        <w:t>N</w:t>
      </w:r>
      <w:r w:rsidRPr="000871B3">
        <w:rPr>
          <w:color w:val="000000"/>
        </w:rPr>
        <w:t xml:space="preserve"> and set out circumstances in which consent is or is not taken to have been given.</w:t>
      </w:r>
    </w:p>
    <w:p w:rsidR="00C86E75" w:rsidRPr="000871B3" w:rsidRDefault="005A6529" w:rsidP="005A6529">
      <w:pPr>
        <w:pStyle w:val="A1S"/>
      </w:pPr>
      <w:r>
        <w:lastRenderedPageBreak/>
        <w:t>[</w:t>
      </w:r>
      <w:fldSimple w:instr=" SEQ Sch2Item " w:fldLock="1">
        <w:r w:rsidR="00B53F88">
          <w:rPr>
            <w:noProof/>
          </w:rPr>
          <w:t>2</w:t>
        </w:r>
      </w:fldSimple>
      <w:r>
        <w:t>]</w:t>
      </w:r>
      <w:r>
        <w:tab/>
      </w:r>
      <w:r w:rsidR="00A102DB" w:rsidRPr="000871B3">
        <w:t>Schedule 1, after Form 17</w:t>
      </w:r>
    </w:p>
    <w:p w:rsidR="00A102DB" w:rsidRPr="000871B3" w:rsidRDefault="00A51D19" w:rsidP="00BD4E31">
      <w:pPr>
        <w:pStyle w:val="A2S"/>
        <w:spacing w:after="240"/>
      </w:pPr>
      <w:r w:rsidRPr="000871B3">
        <w:t>i</w:t>
      </w:r>
      <w:r w:rsidR="00A102DB" w:rsidRPr="000871B3">
        <w:t>nsert</w:t>
      </w:r>
    </w:p>
    <w:p w:rsidR="00BD4E31" w:rsidRPr="00C940AA" w:rsidRDefault="00BD4E31" w:rsidP="00400A9D">
      <w:pPr>
        <w:pStyle w:val="Schedulepart"/>
        <w:rPr>
          <w:color w:val="000000"/>
        </w:rPr>
      </w:pPr>
      <w:r w:rsidRPr="00BC682E">
        <w:rPr>
          <w:rStyle w:val="CharSchPTNo"/>
        </w:rPr>
        <w:t>Form 18</w:t>
      </w:r>
      <w:r w:rsidRPr="00C940AA">
        <w:rPr>
          <w:color w:val="000000"/>
        </w:rPr>
        <w:tab/>
      </w:r>
      <w:r w:rsidRPr="00BC682E">
        <w:rPr>
          <w:rStyle w:val="CharSchPTText"/>
        </w:rPr>
        <w:t>Direct debit default notice</w:t>
      </w:r>
    </w:p>
    <w:p w:rsidR="00C14A91" w:rsidRPr="00BD4E31" w:rsidRDefault="00C14A91" w:rsidP="00BD4E31">
      <w:pPr>
        <w:pStyle w:val="schedulepara0"/>
        <w:spacing w:before="180" w:beforeAutospacing="0" w:after="0" w:afterAutospacing="0"/>
        <w:jc w:val="right"/>
        <w:rPr>
          <w:rFonts w:ascii="Arial" w:hAnsi="Arial" w:cs="Arial"/>
        </w:rPr>
      </w:pPr>
      <w:r w:rsidRPr="00BD4E31">
        <w:rPr>
          <w:rFonts w:ascii="Arial" w:hAnsi="Arial" w:cs="Arial"/>
          <w:b/>
          <w:bCs/>
          <w:color w:val="000000"/>
        </w:rPr>
        <w:t>subsection 179C(2) of the Code</w:t>
      </w:r>
    </w:p>
    <w:p w:rsidR="00C14A91" w:rsidRPr="00BD4E31" w:rsidRDefault="00C14A91" w:rsidP="00C14A91">
      <w:pPr>
        <w:pStyle w:val="schedulepara0"/>
        <w:spacing w:before="0" w:beforeAutospacing="0" w:after="240" w:afterAutospacing="0"/>
        <w:ind w:left="964"/>
        <w:jc w:val="right"/>
        <w:rPr>
          <w:rFonts w:ascii="Arial" w:hAnsi="Arial" w:cs="Arial"/>
        </w:rPr>
      </w:pPr>
      <w:r w:rsidRPr="00BD4E31">
        <w:rPr>
          <w:rFonts w:ascii="Arial" w:hAnsi="Arial" w:cs="Arial"/>
          <w:b/>
          <w:bCs/>
          <w:color w:val="000000"/>
        </w:rPr>
        <w:t>regulation 105</w:t>
      </w:r>
      <w:r w:rsidR="000871B3" w:rsidRPr="00BD4E31">
        <w:rPr>
          <w:rFonts w:ascii="Arial" w:hAnsi="Arial" w:cs="Arial"/>
          <w:b/>
          <w:bCs/>
          <w:color w:val="000000"/>
        </w:rPr>
        <w:t>J</w:t>
      </w:r>
      <w:r w:rsidRPr="00BD4E31">
        <w:rPr>
          <w:rFonts w:ascii="Arial" w:hAnsi="Arial" w:cs="Arial"/>
          <w:b/>
          <w:bCs/>
          <w:color w:val="000000"/>
        </w:rPr>
        <w:t xml:space="preserve"> of the Regulations</w:t>
      </w:r>
    </w:p>
    <w:p w:rsidR="00C14A91" w:rsidRPr="00BD4E31" w:rsidRDefault="00C14A91" w:rsidP="00C14A91">
      <w:pPr>
        <w:pStyle w:val="formheading"/>
        <w:spacing w:before="0" w:beforeAutospacing="0"/>
        <w:rPr>
          <w:rFonts w:ascii="Arial" w:hAnsi="Arial" w:cs="Arial"/>
          <w:b/>
          <w:sz w:val="28"/>
          <w:szCs w:val="28"/>
        </w:rPr>
      </w:pPr>
      <w:r w:rsidRPr="00BD4E31">
        <w:rPr>
          <w:rFonts w:ascii="Arial" w:hAnsi="Arial" w:cs="Arial"/>
          <w:b/>
          <w:color w:val="000000"/>
          <w:sz w:val="28"/>
          <w:szCs w:val="28"/>
        </w:rPr>
        <w:t>DIRECT DEBITS FROM YOUR BANK ACCOUNT</w:t>
      </w:r>
    </w:p>
    <w:p w:rsidR="00C14A91" w:rsidRPr="00BD4E31" w:rsidRDefault="00C14A91" w:rsidP="00C14A91">
      <w:pPr>
        <w:pStyle w:val="schedulepara0"/>
        <w:spacing w:before="120" w:beforeAutospacing="0"/>
      </w:pPr>
      <w:r w:rsidRPr="00BD4E31">
        <w:rPr>
          <w:color w:val="000000"/>
        </w:rPr>
        <w:t>A direct debit repayment has been dishonoured (not paid). Contact us [</w:t>
      </w:r>
      <w:r w:rsidRPr="00BD4E31">
        <w:rPr>
          <w:i/>
          <w:iCs/>
          <w:color w:val="000000"/>
        </w:rPr>
        <w:t>insert telephone number or email address</w:t>
      </w:r>
      <w:r w:rsidRPr="00BD4E31">
        <w:rPr>
          <w:color w:val="000000"/>
        </w:rPr>
        <w:t>] to arrange to make your payment. Check your direct debit request before your next payment is due. Make sure you understand how your direct debit works and what to do if you have a problem.</w:t>
      </w:r>
    </w:p>
    <w:p w:rsidR="00C14A91" w:rsidRPr="00BD4E31" w:rsidRDefault="00C14A91" w:rsidP="00C14A91">
      <w:pPr>
        <w:pStyle w:val="formsubheading"/>
        <w:spacing w:before="120" w:beforeAutospacing="0" w:after="0" w:afterAutospacing="0"/>
        <w:ind w:left="958" w:hanging="958"/>
        <w:rPr>
          <w:rFonts w:ascii="Arial" w:hAnsi="Arial" w:cs="Arial"/>
          <w:b/>
        </w:rPr>
      </w:pPr>
      <w:r w:rsidRPr="00BD4E31">
        <w:rPr>
          <w:b/>
          <w:color w:val="000000"/>
        </w:rPr>
        <w:t>Are you unable to make a payment?</w:t>
      </w:r>
    </w:p>
    <w:p w:rsidR="00C14A91" w:rsidRPr="00BD4E31" w:rsidRDefault="00C14A91" w:rsidP="00C14A91">
      <w:pPr>
        <w:pStyle w:val="schedulepara0"/>
        <w:spacing w:before="120" w:beforeAutospacing="0"/>
        <w:rPr>
          <w:color w:val="000000"/>
        </w:rPr>
      </w:pPr>
      <w:r w:rsidRPr="00BD4E31">
        <w:rPr>
          <w:color w:val="000000"/>
        </w:rPr>
        <w:t>If you cannot make a payment, you should contact us immediately. Depending on your circumstances, we may make changes to the repayments under your contract to help you repay the debt.</w:t>
      </w:r>
    </w:p>
    <w:p w:rsidR="00C14A91" w:rsidRDefault="00C14A91" w:rsidP="00C14A91">
      <w:pPr>
        <w:pStyle w:val="schedulepara0"/>
        <w:spacing w:before="120" w:beforeAutospacing="0"/>
        <w:rPr>
          <w:color w:val="000000"/>
        </w:rPr>
      </w:pPr>
      <w:r w:rsidRPr="00BD4E31">
        <w:rPr>
          <w:color w:val="000000"/>
        </w:rPr>
        <w:t>You can ask us to:</w:t>
      </w:r>
    </w:p>
    <w:p w:rsidR="00BD4E31" w:rsidRPr="00BD4E31" w:rsidRDefault="00BD4E31" w:rsidP="00BD4E31">
      <w:pPr>
        <w:pStyle w:val="FormDotPoint0"/>
        <w:tabs>
          <w:tab w:val="clear" w:pos="720"/>
        </w:tabs>
        <w:ind w:left="1440" w:hanging="480"/>
        <w:rPr>
          <w:color w:val="000000"/>
        </w:rPr>
      </w:pPr>
      <w:r w:rsidRPr="00BD4E31">
        <w:rPr>
          <w:color w:val="000000"/>
        </w:rPr>
        <w:t>extend the term of your contract and reduce repayments; or</w:t>
      </w:r>
    </w:p>
    <w:p w:rsidR="00BD4E31" w:rsidRDefault="00BD4E31" w:rsidP="00BD4E31">
      <w:pPr>
        <w:pStyle w:val="FormDotPoint0"/>
        <w:tabs>
          <w:tab w:val="clear" w:pos="720"/>
        </w:tabs>
        <w:ind w:left="1440" w:hanging="480"/>
        <w:rPr>
          <w:color w:val="000000"/>
        </w:rPr>
      </w:pPr>
      <w:r w:rsidRPr="00BD4E31">
        <w:rPr>
          <w:color w:val="000000"/>
        </w:rPr>
        <w:t>extend the term of your contract and delay payments for a set time; or</w:t>
      </w:r>
    </w:p>
    <w:p w:rsidR="00BD4E31" w:rsidRPr="00BD4E31" w:rsidRDefault="00BD4E31" w:rsidP="00BD4E31">
      <w:pPr>
        <w:pStyle w:val="FormDotPoint0"/>
        <w:tabs>
          <w:tab w:val="clear" w:pos="720"/>
        </w:tabs>
        <w:ind w:left="1440" w:hanging="480"/>
        <w:rPr>
          <w:color w:val="000000"/>
        </w:rPr>
      </w:pPr>
      <w:r w:rsidRPr="00BD4E31">
        <w:rPr>
          <w:color w:val="000000"/>
        </w:rPr>
        <w:t>delay payments for a set time without extending the term of your contract</w:t>
      </w:r>
      <w:r>
        <w:rPr>
          <w:color w:val="000000"/>
        </w:rPr>
        <w:t>.</w:t>
      </w:r>
    </w:p>
    <w:p w:rsidR="00C14A91" w:rsidRPr="00BD4E31" w:rsidRDefault="00C14A91" w:rsidP="00C14A91">
      <w:pPr>
        <w:pStyle w:val="schedulepara0"/>
        <w:spacing w:before="120" w:beforeAutospacing="0"/>
        <w:rPr>
          <w:color w:val="000000"/>
        </w:rPr>
      </w:pPr>
      <w:r w:rsidRPr="00BD4E31">
        <w:rPr>
          <w:color w:val="000000"/>
        </w:rPr>
        <w:t>If we refuse your request, you can ask us to reconsider. If we still refuse, you can go to [</w:t>
      </w:r>
      <w:r w:rsidRPr="00BD4E31">
        <w:rPr>
          <w:i/>
          <w:color w:val="000000"/>
        </w:rPr>
        <w:t>insert name of relevant external dispute resolution scheme</w:t>
      </w:r>
      <w:r w:rsidRPr="00BD4E31">
        <w:rPr>
          <w:color w:val="000000"/>
        </w:rPr>
        <w:t>] by [</w:t>
      </w:r>
      <w:r w:rsidRPr="00BD4E31">
        <w:rPr>
          <w:i/>
          <w:color w:val="000000"/>
        </w:rPr>
        <w:t>insert contact details and method(s) for lodging complaints</w:t>
      </w:r>
      <w:r w:rsidRPr="00BD4E31">
        <w:rPr>
          <w:color w:val="000000"/>
        </w:rPr>
        <w:t>]. You should apply as soon as we refuse your request or if we do not respond to you within 21 days.</w:t>
      </w:r>
    </w:p>
    <w:p w:rsidR="00C14A91" w:rsidRPr="00BD4E31" w:rsidRDefault="00C14A91" w:rsidP="00C14A91">
      <w:pPr>
        <w:pStyle w:val="schedulepara0"/>
        <w:spacing w:before="120" w:beforeAutospacing="0"/>
        <w:rPr>
          <w:rFonts w:ascii="Arial" w:hAnsi="Arial" w:cs="Arial"/>
        </w:rPr>
      </w:pPr>
      <w:r w:rsidRPr="00BD4E31">
        <w:rPr>
          <w:rFonts w:ascii="Arial" w:hAnsi="Arial" w:cs="Arial"/>
          <w:b/>
          <w:bCs/>
          <w:color w:val="000000"/>
        </w:rPr>
        <w:lastRenderedPageBreak/>
        <w:t>EXTERNAL DISPUTE RESOLUTION IS A FREE SERVICE ESTABLISHED TO PROVIDE YOU WITH AN INDEPENDENT MECHANISM TO RESOLVE SPECIFIC COMPLAINTS.</w:t>
      </w:r>
    </w:p>
    <w:p w:rsidR="00C14A91" w:rsidRPr="00BD4E31" w:rsidRDefault="00C14A91" w:rsidP="00C14A91">
      <w:pPr>
        <w:pStyle w:val="schedulepara0"/>
        <w:spacing w:before="120" w:beforeAutospacing="0"/>
        <w:rPr>
          <w:color w:val="000000"/>
        </w:rPr>
      </w:pPr>
      <w:r w:rsidRPr="00BD4E31">
        <w:rPr>
          <w:color w:val="000000"/>
        </w:rPr>
        <w:t>Alternatively, you can seek legal advice, for example from a community legal centre or Legal Aid. There are other people, such as financial counsellors, who may be able to help.</w:t>
      </w:r>
    </w:p>
    <w:p w:rsidR="00C14A91" w:rsidRPr="00BD4E31" w:rsidRDefault="00C14A91" w:rsidP="00C14A91">
      <w:pPr>
        <w:pStyle w:val="formsubheading"/>
        <w:spacing w:before="120" w:beforeAutospacing="0" w:after="0" w:afterAutospacing="0"/>
        <w:ind w:left="958" w:hanging="958"/>
        <w:rPr>
          <w:b/>
          <w:color w:val="000000"/>
        </w:rPr>
      </w:pPr>
      <w:r w:rsidRPr="00BD4E31">
        <w:rPr>
          <w:b/>
          <w:color w:val="000000"/>
        </w:rPr>
        <w:t>Some useful tips on direct debits</w:t>
      </w:r>
    </w:p>
    <w:p w:rsidR="00C14A91" w:rsidRPr="00BD4E31" w:rsidRDefault="00C14A91" w:rsidP="00C14A91">
      <w:pPr>
        <w:pStyle w:val="schedulepara0"/>
        <w:spacing w:before="120" w:beforeAutospacing="0"/>
      </w:pPr>
      <w:r w:rsidRPr="00BD4E31">
        <w:rPr>
          <w:i/>
          <w:iCs/>
          <w:color w:val="000000"/>
        </w:rPr>
        <w:t>Make sure you have the correct account number</w:t>
      </w:r>
      <w:r w:rsidRPr="00BD4E31">
        <w:rPr>
          <w:color w:val="000000"/>
        </w:rPr>
        <w:t>. Ensure that you have not given the wrong account number, or that the direct debit has not been dishonoured due to the account being changed or closed.</w:t>
      </w:r>
    </w:p>
    <w:p w:rsidR="00C14A91" w:rsidRPr="00BD4E31" w:rsidRDefault="00C14A91" w:rsidP="00C14A91">
      <w:pPr>
        <w:pStyle w:val="schedulepara0"/>
      </w:pPr>
      <w:r w:rsidRPr="00BD4E31">
        <w:rPr>
          <w:i/>
          <w:iCs/>
          <w:color w:val="000000"/>
        </w:rPr>
        <w:t>Read your Direct Debit Request Service Agreement carefully</w:t>
      </w:r>
      <w:r w:rsidRPr="00BD4E31">
        <w:rPr>
          <w:color w:val="000000"/>
        </w:rPr>
        <w:t>. Make sure you understand how much we will withdraw from your account and when we will withdraw it. Contact us if you need to change the dates on which the direct debit occurs.</w:t>
      </w:r>
    </w:p>
    <w:p w:rsidR="00C14A91" w:rsidRPr="00BD4E31" w:rsidRDefault="00C14A91" w:rsidP="00C14A91">
      <w:pPr>
        <w:pStyle w:val="schedulepara0"/>
      </w:pPr>
      <w:r w:rsidRPr="00BD4E31">
        <w:rPr>
          <w:i/>
          <w:iCs/>
          <w:color w:val="000000"/>
        </w:rPr>
        <w:t>Have adequate funds in your account to meet your payments</w:t>
      </w:r>
      <w:r w:rsidRPr="00BD4E31">
        <w:rPr>
          <w:color w:val="000000"/>
        </w:rPr>
        <w:t>. This will ensure you don’t default again or incur a fee for not having sufficient funds in your account.</w:t>
      </w:r>
    </w:p>
    <w:p w:rsidR="00C14A91" w:rsidRPr="00BD4E31" w:rsidRDefault="00C14A91" w:rsidP="00C14A91">
      <w:pPr>
        <w:pStyle w:val="schedulepara0"/>
      </w:pPr>
      <w:r w:rsidRPr="00BD4E31">
        <w:rPr>
          <w:i/>
          <w:iCs/>
          <w:color w:val="000000"/>
        </w:rPr>
        <w:t>Check your bank statements</w:t>
      </w:r>
      <w:r w:rsidRPr="00BD4E31">
        <w:rPr>
          <w:color w:val="000000"/>
        </w:rPr>
        <w:t>. Make sure we are withdrawing the correct amount at the right time.</w:t>
      </w:r>
    </w:p>
    <w:p w:rsidR="00C14A91" w:rsidRPr="00BD4E31" w:rsidRDefault="00C14A91" w:rsidP="00C14A91">
      <w:pPr>
        <w:pStyle w:val="schedulepara0"/>
        <w:spacing w:before="120" w:beforeAutospacing="0"/>
      </w:pPr>
      <w:r w:rsidRPr="00BD4E31">
        <w:rPr>
          <w:i/>
          <w:iCs/>
          <w:color w:val="000000"/>
        </w:rPr>
        <w:t>Cancelling your direct debit</w:t>
      </w:r>
      <w:r w:rsidRPr="00BD4E31">
        <w:rPr>
          <w:color w:val="000000"/>
        </w:rPr>
        <w:t>. In most situations, you can cancel a direct debit with us or with the bank or financial institution where your account is held (provided you comply with any specific requirements). However, you need to make sure you have made alternative payment arrangements with us so that you do not default on your payment. Your instruction to cancel a direct debit may have to be in writing. Contact your bank or financial institution a few days after you have sent your written notification to check that the direct debit has been cancelled.</w:t>
      </w:r>
    </w:p>
    <w:p w:rsidR="00C14A91" w:rsidRPr="00BD4E31" w:rsidRDefault="00C14A91" w:rsidP="00C14A91">
      <w:pPr>
        <w:pStyle w:val="schedulepara0"/>
        <w:spacing w:before="120" w:beforeAutospacing="0"/>
      </w:pPr>
      <w:r w:rsidRPr="00BD4E31">
        <w:rPr>
          <w:i/>
          <w:iCs/>
          <w:color w:val="000000"/>
        </w:rPr>
        <w:t>Resolving a problem with your direct debit</w:t>
      </w:r>
      <w:r w:rsidRPr="00BD4E31">
        <w:rPr>
          <w:color w:val="000000"/>
        </w:rPr>
        <w:t xml:space="preserve">. If you have a problem with a direct debit you can make a complaint to us or to the bank or financial institution where your account is held. You can also contact our external dispute resolution scheme for assistance in resolving the complaint if you were unable to resolve it with us. Our external dispute resolution scheme </w:t>
      </w:r>
      <w:r w:rsidRPr="00BD4E31">
        <w:rPr>
          <w:color w:val="000000"/>
        </w:rPr>
        <w:lastRenderedPageBreak/>
        <w:t>is [</w:t>
      </w:r>
      <w:r w:rsidRPr="00BD4E31">
        <w:rPr>
          <w:i/>
          <w:iCs/>
          <w:color w:val="000000"/>
        </w:rPr>
        <w:t>insert name of external dispute resolution scheme</w:t>
      </w:r>
      <w:r w:rsidRPr="00BD4E31">
        <w:rPr>
          <w:color w:val="000000"/>
        </w:rPr>
        <w:t>] and can be contacted at [</w:t>
      </w:r>
      <w:r w:rsidRPr="00BD4E31">
        <w:rPr>
          <w:i/>
          <w:iCs/>
          <w:color w:val="000000"/>
        </w:rPr>
        <w:t>insert telephone number, email/website and postal address</w:t>
      </w:r>
      <w:r w:rsidRPr="00BD4E31">
        <w:rPr>
          <w:color w:val="000000"/>
        </w:rPr>
        <w:t>].</w:t>
      </w:r>
    </w:p>
    <w:p w:rsidR="00C14A91" w:rsidRPr="00BD4E31" w:rsidRDefault="00C14A91" w:rsidP="00C14A91">
      <w:pPr>
        <w:pStyle w:val="schedulepara0"/>
        <w:spacing w:before="120" w:beforeAutospacing="0"/>
        <w:rPr>
          <w:color w:val="000000"/>
        </w:rPr>
      </w:pPr>
      <w:r w:rsidRPr="00BD4E31">
        <w:rPr>
          <w:i/>
          <w:iCs/>
          <w:color w:val="000000"/>
        </w:rPr>
        <w:t>Get further information</w:t>
      </w:r>
      <w:r w:rsidRPr="00BD4E31">
        <w:rPr>
          <w:color w:val="000000"/>
        </w:rPr>
        <w:t>. If you have questions about direct debit authorities, talk to your bank or financial institution.</w:t>
      </w:r>
    </w:p>
    <w:p w:rsidR="00BD4E31" w:rsidRPr="00C940AA" w:rsidRDefault="00BD4E31" w:rsidP="00400A9D">
      <w:pPr>
        <w:pStyle w:val="Schedulepart"/>
        <w:rPr>
          <w:color w:val="000000"/>
        </w:rPr>
      </w:pPr>
      <w:r w:rsidRPr="00BC682E">
        <w:rPr>
          <w:rStyle w:val="CharSchPTNo"/>
        </w:rPr>
        <w:t>Form 19</w:t>
      </w:r>
      <w:r w:rsidRPr="00C940AA">
        <w:rPr>
          <w:color w:val="000000"/>
        </w:rPr>
        <w:tab/>
      </w:r>
      <w:r w:rsidRPr="00BC682E">
        <w:rPr>
          <w:rStyle w:val="CharSchPTText"/>
        </w:rPr>
        <w:t>Consent to enter premises</w:t>
      </w:r>
    </w:p>
    <w:p w:rsidR="00C14A91" w:rsidRPr="00BD4E31" w:rsidRDefault="00C14A91" w:rsidP="00BD4E31">
      <w:pPr>
        <w:pStyle w:val="schedulepara0"/>
        <w:spacing w:before="180" w:beforeAutospacing="0" w:after="0" w:afterAutospacing="0"/>
        <w:jc w:val="right"/>
        <w:rPr>
          <w:rFonts w:ascii="Arial" w:hAnsi="Arial" w:cs="Arial"/>
          <w:b/>
          <w:bCs/>
          <w:color w:val="000000"/>
        </w:rPr>
      </w:pPr>
      <w:r w:rsidRPr="00BD4E31">
        <w:rPr>
          <w:rFonts w:ascii="Arial" w:hAnsi="Arial" w:cs="Arial"/>
          <w:b/>
          <w:bCs/>
          <w:color w:val="000000"/>
        </w:rPr>
        <w:t>subsection 179N(1) of the Code</w:t>
      </w:r>
    </w:p>
    <w:p w:rsidR="00C14A91" w:rsidRPr="00BD4E31" w:rsidRDefault="00C14A91" w:rsidP="00BD4E31">
      <w:pPr>
        <w:pStyle w:val="schedulepara0"/>
        <w:spacing w:before="0" w:beforeAutospacing="0" w:after="240" w:afterAutospacing="0"/>
        <w:ind w:left="964"/>
        <w:jc w:val="right"/>
        <w:rPr>
          <w:rFonts w:ascii="Arial" w:hAnsi="Arial" w:cs="Arial"/>
          <w:b/>
          <w:bCs/>
          <w:color w:val="000000"/>
        </w:rPr>
      </w:pPr>
      <w:r w:rsidRPr="00BD4E31">
        <w:rPr>
          <w:rFonts w:ascii="Arial" w:hAnsi="Arial" w:cs="Arial"/>
          <w:b/>
          <w:bCs/>
          <w:color w:val="000000"/>
        </w:rPr>
        <w:t>paragraph 105</w:t>
      </w:r>
      <w:r w:rsidR="000871B3" w:rsidRPr="00BD4E31">
        <w:rPr>
          <w:rFonts w:ascii="Arial" w:hAnsi="Arial" w:cs="Arial"/>
          <w:b/>
          <w:bCs/>
          <w:color w:val="000000"/>
        </w:rPr>
        <w:t>L</w:t>
      </w:r>
      <w:r w:rsidR="0019122F">
        <w:rPr>
          <w:rFonts w:ascii="Arial" w:hAnsi="Arial" w:cs="Arial"/>
          <w:b/>
          <w:bCs/>
          <w:color w:val="000000"/>
        </w:rPr>
        <w:t> </w:t>
      </w:r>
      <w:r w:rsidRPr="00BD4E31">
        <w:rPr>
          <w:rFonts w:ascii="Arial" w:hAnsi="Arial" w:cs="Arial"/>
          <w:b/>
          <w:bCs/>
          <w:color w:val="000000"/>
        </w:rPr>
        <w:t>(c) of the Regulations</w:t>
      </w:r>
    </w:p>
    <w:p w:rsidR="00BD4E31" w:rsidRPr="00C940AA" w:rsidRDefault="00BD4E31" w:rsidP="00BD4E31">
      <w:pPr>
        <w:tabs>
          <w:tab w:val="right" w:pos="0"/>
        </w:tabs>
        <w:spacing w:before="120" w:after="120"/>
        <w:jc w:val="right"/>
        <w:rPr>
          <w:color w:val="000000"/>
        </w:rPr>
      </w:pPr>
      <w:r w:rsidRPr="00C940AA">
        <w:rPr>
          <w:color w:val="000000"/>
        </w:rPr>
        <w:t>. . . . . . . . . . . . . . .</w:t>
      </w:r>
    </w:p>
    <w:p w:rsidR="00BD4E31" w:rsidRPr="00C940AA" w:rsidRDefault="00BD4E31" w:rsidP="00BD4E31">
      <w:pPr>
        <w:pStyle w:val="Schedulepara"/>
        <w:jc w:val="right"/>
        <w:rPr>
          <w:color w:val="000000"/>
        </w:rPr>
      </w:pPr>
      <w:r w:rsidRPr="00C940AA">
        <w:rPr>
          <w:color w:val="000000"/>
        </w:rPr>
        <w:t>Date</w:t>
      </w:r>
    </w:p>
    <w:p w:rsidR="00BD4E31" w:rsidRPr="00C940AA" w:rsidRDefault="00BD4E31" w:rsidP="00BD4E31">
      <w:pPr>
        <w:pStyle w:val="Schedulepara"/>
        <w:jc w:val="right"/>
        <w:rPr>
          <w:color w:val="000000"/>
        </w:rPr>
      </w:pPr>
    </w:p>
    <w:p w:rsidR="00BD4E31" w:rsidRPr="00C940AA" w:rsidRDefault="00BD4E31" w:rsidP="00BD4E31">
      <w:pPr>
        <w:tabs>
          <w:tab w:val="left" w:pos="0"/>
        </w:tabs>
        <w:spacing w:before="120" w:after="120"/>
        <w:jc w:val="right"/>
        <w:rPr>
          <w:color w:val="000000"/>
        </w:rPr>
      </w:pPr>
      <w:r w:rsidRPr="00C940AA">
        <w:rPr>
          <w:color w:val="000000"/>
        </w:rPr>
        <w:t>TO:</w:t>
      </w:r>
      <w:r w:rsidRPr="00C940AA">
        <w:rPr>
          <w:color w:val="000000"/>
        </w:rPr>
        <w:tab/>
      </w:r>
      <w:r w:rsidRPr="00C940AA">
        <w:rPr>
          <w:color w:val="000000"/>
        </w:rPr>
        <w:tab/>
      </w:r>
      <w:r w:rsidRPr="00C940AA">
        <w:rPr>
          <w:color w:val="000000"/>
        </w:rPr>
        <w:tab/>
        <w:t>. . . . . . . . . . . . . . . . . . . . . . . . . . . . . . . . . . . . . . . . .</w:t>
      </w:r>
    </w:p>
    <w:p w:rsidR="00BD4E31" w:rsidRPr="00C940AA" w:rsidRDefault="00BD4E31" w:rsidP="00BD4E31">
      <w:pPr>
        <w:tabs>
          <w:tab w:val="left" w:pos="0"/>
        </w:tabs>
        <w:spacing w:before="120" w:after="120"/>
        <w:jc w:val="right"/>
        <w:rPr>
          <w:color w:val="000000"/>
        </w:rPr>
      </w:pPr>
      <w:r w:rsidRPr="00C940AA">
        <w:rPr>
          <w:color w:val="000000"/>
        </w:rPr>
        <w:t xml:space="preserve">(name of </w:t>
      </w:r>
      <w:r>
        <w:rPr>
          <w:color w:val="000000"/>
        </w:rPr>
        <w:t>lessor</w:t>
      </w:r>
      <w:r w:rsidRPr="00C940AA">
        <w:rPr>
          <w:color w:val="000000"/>
        </w:rPr>
        <w:t>)</w:t>
      </w:r>
    </w:p>
    <w:p w:rsidR="00BD4E31" w:rsidRPr="00C940AA" w:rsidRDefault="00BD4E31" w:rsidP="00BD4E31">
      <w:pPr>
        <w:tabs>
          <w:tab w:val="left" w:pos="0"/>
        </w:tabs>
        <w:spacing w:before="120" w:after="120"/>
        <w:jc w:val="right"/>
        <w:rPr>
          <w:color w:val="000000"/>
        </w:rPr>
      </w:pPr>
      <w:r w:rsidRPr="00C940AA">
        <w:rPr>
          <w:color w:val="000000"/>
        </w:rPr>
        <w:t>. . . . . . . . . . . . . . . . . . . . . . . . . . . . . . . . . . . . . . . . .</w:t>
      </w:r>
    </w:p>
    <w:p w:rsidR="00BD4E31" w:rsidRPr="00C940AA" w:rsidRDefault="00BD4E31" w:rsidP="00BD4E31">
      <w:pPr>
        <w:tabs>
          <w:tab w:val="left" w:pos="0"/>
        </w:tabs>
        <w:spacing w:before="120" w:after="120"/>
        <w:jc w:val="right"/>
        <w:rPr>
          <w:color w:val="000000"/>
        </w:rPr>
      </w:pPr>
      <w:r w:rsidRPr="00C940AA">
        <w:rPr>
          <w:color w:val="000000"/>
        </w:rPr>
        <w:t>(Australian credit licence number)</w:t>
      </w:r>
    </w:p>
    <w:p w:rsidR="00BD4E31" w:rsidRPr="00C940AA" w:rsidRDefault="00BD4E31" w:rsidP="00BD4E31">
      <w:pPr>
        <w:tabs>
          <w:tab w:val="left" w:pos="0"/>
        </w:tabs>
        <w:spacing w:before="120" w:after="120"/>
        <w:jc w:val="right"/>
        <w:rPr>
          <w:color w:val="000000"/>
        </w:rPr>
      </w:pPr>
      <w:r w:rsidRPr="00C940AA">
        <w:rPr>
          <w:color w:val="000000"/>
        </w:rPr>
        <w:t>FROM:</w:t>
      </w:r>
      <w:r w:rsidRPr="00C940AA">
        <w:rPr>
          <w:color w:val="000000"/>
        </w:rPr>
        <w:tab/>
      </w:r>
      <w:r w:rsidRPr="00C940AA">
        <w:rPr>
          <w:color w:val="000000"/>
        </w:rPr>
        <w:tab/>
        <w:t xml:space="preserve"> . . . . . . . . . . . . . . . . . . . . . . . . . . . . . . . . . . . . . . . . .</w:t>
      </w:r>
    </w:p>
    <w:p w:rsidR="00BD4E31" w:rsidRPr="00C940AA" w:rsidRDefault="00BD4E31" w:rsidP="00BD4E31">
      <w:pPr>
        <w:tabs>
          <w:tab w:val="left" w:pos="0"/>
        </w:tabs>
        <w:spacing w:before="120" w:after="120"/>
        <w:jc w:val="right"/>
        <w:rPr>
          <w:color w:val="000000"/>
        </w:rPr>
      </w:pPr>
      <w:r w:rsidRPr="00C940AA">
        <w:rPr>
          <w:color w:val="000000"/>
        </w:rPr>
        <w:t>(name of occupier)</w:t>
      </w:r>
    </w:p>
    <w:p w:rsidR="00BD4E31" w:rsidRPr="00C940AA" w:rsidRDefault="00BD4E31" w:rsidP="00BD4E31">
      <w:pPr>
        <w:tabs>
          <w:tab w:val="left" w:pos="0"/>
        </w:tabs>
        <w:spacing w:before="120" w:after="120"/>
        <w:jc w:val="right"/>
        <w:rPr>
          <w:color w:val="000000"/>
        </w:rPr>
      </w:pPr>
      <w:r w:rsidRPr="00C940AA">
        <w:rPr>
          <w:color w:val="000000"/>
        </w:rPr>
        <w:t>. . . . . . . . . . . . . . . . . . . . . . . . . . . . . . . . . . . . . . . . .</w:t>
      </w:r>
    </w:p>
    <w:p w:rsidR="00BD4E31" w:rsidRPr="00C940AA" w:rsidRDefault="00BD4E31" w:rsidP="00BD4E31">
      <w:pPr>
        <w:tabs>
          <w:tab w:val="left" w:pos="0"/>
        </w:tabs>
        <w:spacing w:before="120" w:after="120"/>
        <w:jc w:val="right"/>
        <w:rPr>
          <w:color w:val="000000"/>
        </w:rPr>
      </w:pPr>
      <w:r w:rsidRPr="00C940AA">
        <w:rPr>
          <w:color w:val="000000"/>
        </w:rPr>
        <w:t>(address of occupier’s premises)</w:t>
      </w:r>
    </w:p>
    <w:p w:rsidR="00BD4E31" w:rsidRPr="00C940AA" w:rsidRDefault="00BD4E31" w:rsidP="00BD4E31">
      <w:pPr>
        <w:tabs>
          <w:tab w:val="left" w:pos="0"/>
        </w:tabs>
        <w:spacing w:before="120" w:after="120"/>
        <w:jc w:val="right"/>
        <w:rPr>
          <w:color w:val="000000"/>
        </w:rPr>
      </w:pPr>
      <w:r w:rsidRPr="00C940AA">
        <w:rPr>
          <w:color w:val="000000"/>
        </w:rPr>
        <w:t>. . . . . . . . . . . . . . . . . . . . . . . . . . . . . . . . . . . . . . . . .</w:t>
      </w:r>
    </w:p>
    <w:p w:rsidR="00BD4E31" w:rsidRPr="00C940AA" w:rsidRDefault="00BD4E31" w:rsidP="00BD4E31">
      <w:pPr>
        <w:tabs>
          <w:tab w:val="left" w:pos="0"/>
        </w:tabs>
        <w:spacing w:before="120" w:after="120"/>
        <w:jc w:val="right"/>
        <w:rPr>
          <w:color w:val="000000"/>
        </w:rPr>
      </w:pPr>
      <w:r w:rsidRPr="00C940AA">
        <w:rPr>
          <w:color w:val="000000"/>
        </w:rPr>
        <w:t>. . . . . . . . . . . . . . . . . . . . . . . . . . . . . . . . . . . . . . . . .</w:t>
      </w:r>
    </w:p>
    <w:p w:rsidR="00BD4E31" w:rsidRPr="00C940AA" w:rsidRDefault="00BD4E31" w:rsidP="00BD4E31">
      <w:pPr>
        <w:jc w:val="right"/>
        <w:rPr>
          <w:color w:val="000000"/>
        </w:rPr>
      </w:pPr>
      <w:r w:rsidRPr="00C940AA">
        <w:rPr>
          <w:color w:val="000000"/>
        </w:rPr>
        <w:t>(‘the premises’)</w:t>
      </w:r>
    </w:p>
    <w:p w:rsidR="00BD4E31" w:rsidRPr="00C940AA" w:rsidRDefault="00BD4E31" w:rsidP="00BD4E31">
      <w:pPr>
        <w:jc w:val="right"/>
        <w:rPr>
          <w:color w:val="000000"/>
        </w:rPr>
      </w:pPr>
    </w:p>
    <w:p w:rsidR="00C14A91" w:rsidRPr="00BD4E31" w:rsidRDefault="00C14A91" w:rsidP="00BD4E31">
      <w:pPr>
        <w:pStyle w:val="schedulepara0"/>
        <w:spacing w:before="120" w:beforeAutospacing="0"/>
        <w:rPr>
          <w:color w:val="000000"/>
        </w:rPr>
      </w:pPr>
      <w:r w:rsidRPr="00BD4E31">
        <w:rPr>
          <w:color w:val="000000"/>
        </w:rPr>
        <w:t>I consent to the lessor entering the premises for the purpose of taking possession of the hired goods described below.</w:t>
      </w:r>
    </w:p>
    <w:p w:rsidR="00C14A91" w:rsidRPr="00BD4E31" w:rsidRDefault="00C14A91" w:rsidP="00BD4E31">
      <w:pPr>
        <w:pStyle w:val="schedulepara0"/>
        <w:spacing w:before="120" w:beforeAutospacing="0"/>
        <w:rPr>
          <w:color w:val="000000"/>
        </w:rPr>
      </w:pPr>
      <w:r w:rsidRPr="00BD4E31">
        <w:rPr>
          <w:color w:val="000000"/>
        </w:rPr>
        <w:lastRenderedPageBreak/>
        <w:t>The hired goods are:*</w:t>
      </w:r>
    </w:p>
    <w:p w:rsidR="00C14A91" w:rsidRPr="000871B3" w:rsidRDefault="00C14A91" w:rsidP="00BD4E31">
      <w:r w:rsidRPr="000871B3">
        <w:rPr>
          <w:color w:val="000000"/>
        </w:rPr>
        <w:t>. . . . . . . . . . . . . . . . . . . . . . . . . . . . . . . . . . . . . . . . . . . . . . . . . . . . . . . . . . . . . . . . . . . . . . . . . . . . . . . . . . . . . . . . . . . . . . . . . . . . . . . .</w:t>
      </w:r>
    </w:p>
    <w:p w:rsidR="00C14A91" w:rsidRPr="000871B3" w:rsidRDefault="00C14A91" w:rsidP="00C14A91">
      <w:pPr>
        <w:spacing w:before="100" w:beforeAutospacing="1" w:after="100" w:afterAutospacing="1"/>
      </w:pPr>
      <w:r w:rsidRPr="000871B3">
        <w:rPr>
          <w:color w:val="000000"/>
        </w:rPr>
        <w:t>. . . . . . . . . . . . . . . . . . . . . . . . . . . . . . . . . . . . . . . . . . . . . . . . . . . . . . . . . . . . . . . . . . . . . . . . . . . . . . . . . . . . . . . . . . . . . . . . . . . . . . . .</w:t>
      </w:r>
    </w:p>
    <w:tbl>
      <w:tblPr>
        <w:tblW w:w="0" w:type="auto"/>
        <w:tblInd w:w="1308" w:type="dxa"/>
        <w:tblCellMar>
          <w:left w:w="0" w:type="dxa"/>
          <w:right w:w="0" w:type="dxa"/>
        </w:tblCellMar>
        <w:tblLook w:val="04A0"/>
      </w:tblPr>
      <w:tblGrid>
        <w:gridCol w:w="4560"/>
      </w:tblGrid>
      <w:tr w:rsidR="00C14A91" w:rsidRPr="00235708" w:rsidTr="00BD4E31">
        <w:trPr>
          <w:cantSplit/>
        </w:trPr>
        <w:tc>
          <w:tcPr>
            <w:tcW w:w="4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4A91" w:rsidRPr="000871B3" w:rsidRDefault="00C14A91" w:rsidP="00D06496">
            <w:pPr>
              <w:spacing w:before="120" w:after="120"/>
              <w:jc w:val="center"/>
            </w:pPr>
            <w:r w:rsidRPr="000871B3">
              <w:rPr>
                <w:b/>
                <w:bCs/>
                <w:color w:val="000000"/>
              </w:rPr>
              <w:t>IMPORTANT</w:t>
            </w:r>
          </w:p>
          <w:p w:rsidR="00C14A91" w:rsidRPr="00235708" w:rsidRDefault="00C14A91" w:rsidP="00D06496">
            <w:pPr>
              <w:spacing w:before="100" w:beforeAutospacing="1" w:after="120"/>
              <w:jc w:val="both"/>
            </w:pPr>
            <w:r w:rsidRPr="000871B3">
              <w:rPr>
                <w:color w:val="000000"/>
              </w:rPr>
              <w:t>YOU HAVE THE RIGHT TO REFUSE CONSENT. IF YOU DO THE LESSOR MAY GO TO COURT FOR PERMISSION TO ENTER THE PREMISES.</w:t>
            </w:r>
          </w:p>
        </w:tc>
      </w:tr>
    </w:tbl>
    <w:p w:rsidR="00C14A91" w:rsidRPr="00235708" w:rsidRDefault="00C14A91" w:rsidP="00C14A91">
      <w:pPr>
        <w:spacing w:before="120" w:after="120"/>
        <w:jc w:val="right"/>
      </w:pPr>
      <w:r w:rsidRPr="00235708">
        <w:rPr>
          <w:color w:val="000000"/>
        </w:rPr>
        <w:t>. . . . . . . . . . . . . . . . . . . . . . . . . . . . . . . . . . . . . . . . . . . . . . . . . .</w:t>
      </w:r>
    </w:p>
    <w:p w:rsidR="00C14A91" w:rsidRPr="00235708" w:rsidRDefault="00C14A91" w:rsidP="00C14A91">
      <w:pPr>
        <w:spacing w:before="120" w:after="120"/>
        <w:jc w:val="right"/>
      </w:pPr>
      <w:r w:rsidRPr="00235708">
        <w:rPr>
          <w:color w:val="000000"/>
        </w:rPr>
        <w:t>(signature of occupier giving consent)</w:t>
      </w:r>
    </w:p>
    <w:p w:rsidR="00C14A91" w:rsidRPr="00235708" w:rsidRDefault="00C14A91" w:rsidP="00C14A91">
      <w:pPr>
        <w:spacing w:before="120" w:after="120"/>
        <w:jc w:val="right"/>
      </w:pPr>
      <w:r w:rsidRPr="00235708">
        <w:rPr>
          <w:color w:val="000000"/>
        </w:rPr>
        <w:t>. . . . . . . . . . . . . . . . . . . . . . . . . . . . . . . . . . . . . . . . . . . . . . . . . .</w:t>
      </w:r>
    </w:p>
    <w:p w:rsidR="00C14A91" w:rsidRPr="00235708" w:rsidRDefault="00C14A91" w:rsidP="00400A9D">
      <w:pPr>
        <w:jc w:val="right"/>
      </w:pPr>
      <w:r w:rsidRPr="00235708">
        <w:rPr>
          <w:color w:val="000000"/>
        </w:rPr>
        <w:t>(name, address and signature of lessor’s</w:t>
      </w:r>
    </w:p>
    <w:p w:rsidR="00C14A91" w:rsidRPr="00235708" w:rsidRDefault="00C14A91" w:rsidP="00400A9D">
      <w:pPr>
        <w:jc w:val="right"/>
      </w:pPr>
      <w:r w:rsidRPr="00235708">
        <w:rPr>
          <w:color w:val="000000"/>
        </w:rPr>
        <w:t>representative by whom the consent was obtained)</w:t>
      </w:r>
    </w:p>
    <w:p w:rsidR="00400A9D" w:rsidRPr="00C940AA" w:rsidRDefault="00400A9D" w:rsidP="00400A9D">
      <w:pPr>
        <w:spacing w:before="240"/>
        <w:ind w:left="482" w:hanging="482"/>
        <w:rPr>
          <w:color w:val="000000"/>
        </w:rPr>
      </w:pPr>
      <w:r w:rsidRPr="00C940AA">
        <w:rPr>
          <w:color w:val="000000"/>
        </w:rPr>
        <w:t>*</w:t>
      </w:r>
      <w:r w:rsidRPr="00C940AA">
        <w:rPr>
          <w:color w:val="000000"/>
        </w:rPr>
        <w:tab/>
      </w:r>
      <w:r w:rsidRPr="00C940AA">
        <w:rPr>
          <w:i/>
          <w:color w:val="000000"/>
        </w:rPr>
        <w:t>Insert brief details of the</w:t>
      </w:r>
      <w:r>
        <w:rPr>
          <w:i/>
          <w:color w:val="000000"/>
        </w:rPr>
        <w:t xml:space="preserve"> hired</w:t>
      </w:r>
      <w:r w:rsidRPr="00C940AA">
        <w:rPr>
          <w:i/>
          <w:color w:val="000000"/>
        </w:rPr>
        <w:t xml:space="preserve"> goods</w:t>
      </w:r>
      <w:r w:rsidRPr="00C940AA">
        <w:rPr>
          <w:color w:val="000000"/>
        </w:rPr>
        <w:t>.</w:t>
      </w:r>
    </w:p>
    <w:p w:rsidR="004752A2" w:rsidRPr="00235708" w:rsidRDefault="004752A2" w:rsidP="00934FCC">
      <w:pPr>
        <w:pStyle w:val="SchedSectionBreak"/>
        <w:sectPr w:rsidR="004752A2" w:rsidRPr="00235708" w:rsidSect="00934FCC">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985" w:right="2410" w:bottom="3969" w:left="2410" w:header="567" w:footer="3119" w:gutter="0"/>
          <w:cols w:space="708"/>
          <w:docGrid w:linePitch="360"/>
        </w:sectPr>
      </w:pPr>
    </w:p>
    <w:p w:rsidR="004752A2" w:rsidRPr="00235708" w:rsidRDefault="004752A2" w:rsidP="00934FCC">
      <w:pPr>
        <w:pStyle w:val="NoteEnd"/>
        <w:keepNext/>
        <w:pBdr>
          <w:top w:val="single" w:sz="4" w:space="3" w:color="auto"/>
        </w:pBdr>
        <w:spacing w:before="480"/>
        <w:rPr>
          <w:rFonts w:ascii="Arial" w:hAnsi="Arial"/>
          <w:b/>
          <w:sz w:val="24"/>
        </w:rPr>
      </w:pPr>
      <w:r w:rsidRPr="00235708">
        <w:rPr>
          <w:rFonts w:ascii="Arial" w:hAnsi="Arial"/>
          <w:b/>
          <w:sz w:val="24"/>
        </w:rPr>
        <w:lastRenderedPageBreak/>
        <w:t>Note</w:t>
      </w:r>
    </w:p>
    <w:p w:rsidR="004752A2" w:rsidRDefault="004752A2" w:rsidP="00934FCC">
      <w:pPr>
        <w:pStyle w:val="NoteEnd"/>
        <w:rPr>
          <w:color w:val="000000"/>
        </w:rPr>
      </w:pPr>
      <w:r w:rsidRPr="00235708">
        <w:rPr>
          <w:color w:val="000000"/>
        </w:rPr>
        <w:t>1.</w:t>
      </w:r>
      <w:r w:rsidRPr="00235708">
        <w:rPr>
          <w:color w:val="000000"/>
        </w:rPr>
        <w:tab/>
        <w:t xml:space="preserve">All legislative instruments and compilations are registered on the Federal Register of Legislative Instruments kept under the </w:t>
      </w:r>
      <w:r w:rsidRPr="00235708">
        <w:rPr>
          <w:i/>
          <w:color w:val="000000"/>
        </w:rPr>
        <w:t>Legislative</w:t>
      </w:r>
      <w:r>
        <w:rPr>
          <w:i/>
          <w:color w:val="000000"/>
        </w:rPr>
        <w:t xml:space="preserve"> Instruments Act 2003. </w:t>
      </w:r>
      <w:r>
        <w:rPr>
          <w:color w:val="000000"/>
        </w:rPr>
        <w:t xml:space="preserve">See </w:t>
      </w:r>
      <w:r w:rsidRPr="009145DA">
        <w:rPr>
          <w:color w:val="000000"/>
          <w:u w:val="single"/>
        </w:rPr>
        <w:t>w</w:t>
      </w:r>
      <w:r w:rsidRPr="00DA0A32">
        <w:rPr>
          <w:color w:val="000000"/>
          <w:u w:val="single"/>
        </w:rPr>
        <w:t>ww.</w:t>
      </w:r>
      <w:r w:rsidR="00BD4E31">
        <w:rPr>
          <w:color w:val="000000"/>
          <w:u w:val="single"/>
        </w:rPr>
        <w:t>comlaw</w:t>
      </w:r>
      <w:r w:rsidRPr="00DA0A32">
        <w:rPr>
          <w:color w:val="000000"/>
          <w:u w:val="single"/>
        </w:rPr>
        <w:t>.gov.au</w:t>
      </w:r>
      <w:r>
        <w:rPr>
          <w:color w:val="000000"/>
        </w:rPr>
        <w:t>.</w:t>
      </w:r>
    </w:p>
    <w:p w:rsidR="004752A2" w:rsidRDefault="004752A2" w:rsidP="00934FCC">
      <w:pPr>
        <w:pStyle w:val="NotesSectionBreak"/>
        <w:sectPr w:rsidR="004752A2" w:rsidSect="00934FCC">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1985" w:right="2410" w:bottom="3969" w:left="2410" w:header="567" w:footer="3119" w:gutter="0"/>
          <w:cols w:space="708"/>
          <w:docGrid w:linePitch="360"/>
        </w:sectPr>
      </w:pPr>
    </w:p>
    <w:p w:rsidR="004752A2" w:rsidRPr="004752A2" w:rsidRDefault="004752A2" w:rsidP="004752A2"/>
    <w:sectPr w:rsidR="004752A2" w:rsidRPr="004752A2" w:rsidSect="004752A2">
      <w:headerReference w:type="even" r:id="rId37"/>
      <w:headerReference w:type="default" r:id="rId38"/>
      <w:footerReference w:type="even" r:id="rId39"/>
      <w:footerReference w:type="default" r:id="rId40"/>
      <w:footerReference w:type="first" r:id="rId41"/>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98A" w:rsidRDefault="0097498A">
      <w:r>
        <w:separator/>
      </w:r>
    </w:p>
  </w:endnote>
  <w:endnote w:type="continuationSeparator" w:id="0">
    <w:p w:rsidR="0097498A" w:rsidRDefault="009749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Default="00B0318A" w:rsidP="00934FCC">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0318A">
      <w:tc>
        <w:tcPr>
          <w:tcW w:w="1134" w:type="dxa"/>
          <w:shd w:val="clear" w:color="auto" w:fill="auto"/>
        </w:tcPr>
        <w:p w:rsidR="00B0318A" w:rsidRPr="007F6065" w:rsidRDefault="00B0318A" w:rsidP="00934FCC">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B53F88">
            <w:rPr>
              <w:rStyle w:val="PageNumber"/>
              <w:noProof/>
            </w:rPr>
            <w:t>2</w:t>
          </w:r>
          <w:r w:rsidRPr="007F6065">
            <w:rPr>
              <w:rStyle w:val="PageNumber"/>
            </w:rPr>
            <w:fldChar w:fldCharType="end"/>
          </w:r>
        </w:p>
      </w:tc>
      <w:tc>
        <w:tcPr>
          <w:tcW w:w="4820" w:type="dxa"/>
          <w:shd w:val="clear" w:color="auto" w:fill="auto"/>
        </w:tcPr>
        <w:p w:rsidR="00B0318A" w:rsidRPr="00EF2F9D" w:rsidRDefault="00B0318A" w:rsidP="00934FCC">
          <w:pPr>
            <w:pStyle w:val="FooterCitation"/>
          </w:pPr>
          <w:fldSimple w:instr=" REF  Citation\*charformat ">
            <w:r w:rsidR="00B53F88">
              <w:t>National Consumer Credit Protection Amendment Regulation 2012 (No. 3)</w:t>
            </w:r>
          </w:fldSimple>
        </w:p>
      </w:tc>
      <w:tc>
        <w:tcPr>
          <w:tcW w:w="1191" w:type="dxa"/>
          <w:shd w:val="clear" w:color="auto" w:fill="auto"/>
        </w:tcPr>
        <w:p w:rsidR="00B0318A" w:rsidRPr="007F6065" w:rsidRDefault="00B0318A" w:rsidP="00934FCC">
          <w:pPr>
            <w:pStyle w:val="Footer"/>
            <w:spacing w:before="20"/>
            <w:jc w:val="right"/>
          </w:pPr>
          <w:fldSimple w:instr=" REF Year \*Charformat ">
            <w:r w:rsidR="00B53F88">
              <w:t>2012</w:t>
            </w:r>
          </w:fldSimple>
          <w:r w:rsidRPr="007F6065">
            <w:t xml:space="preserve">, </w:t>
          </w:r>
          <w:fldSimple w:instr=" REF refno \*Charformat ">
            <w:r w:rsidR="00B53F88">
              <w:t>313</w:t>
            </w:r>
          </w:fldSimple>
        </w:p>
      </w:tc>
    </w:tr>
  </w:tbl>
  <w:p w:rsidR="00B0318A" w:rsidRDefault="00B0318A" w:rsidP="00934FCC">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3120;mso-position-horizontal-relative:text;mso-position-vertical-relative:page" filled="f" stroked="f">
          <v:textbox style="mso-next-textbox:#_x0000_s2388" inset="0,0,0,0">
            <w:txbxContent>
              <w:p w:rsidR="00B0318A" w:rsidRPr="00B53F88" w:rsidRDefault="00B0318A" w:rsidP="00B53F88"/>
            </w:txbxContent>
          </v:textbox>
          <w10:wrap anchory="page"/>
        </v:shape>
      </w:pict>
    </w:r>
    <w:r>
      <w:rPr>
        <w:noProof/>
      </w:rPr>
      <w:pict>
        <v:shape id="_x0000_s2387" type="#_x0000_t202" style="position:absolute;margin-left:0;margin-top:784.75pt;width:349.5pt;height:41.4pt;z-index:251652096;mso-position-horizontal-relative:text;mso-position-vertical-relative:text" filled="f" stroked="f">
          <v:textbox style="mso-next-textbox:#_x0000_s2387">
            <w:txbxContent>
              <w:p w:rsidR="00B0318A" w:rsidRPr="004675CE" w:rsidRDefault="00B0318A" w:rsidP="009D25C5">
                <w:pPr>
                  <w:pStyle w:val="FooterDraft"/>
                </w:pPr>
              </w:p>
              <w:p w:rsidR="00B0318A" w:rsidRPr="004675CE" w:rsidRDefault="00B0318A" w:rsidP="00934FCC">
                <w:pPr>
                  <w:rPr>
                    <w:rFonts w:ascii="Arial" w:hAnsi="Arial" w:cs="Arial"/>
                    <w:sz w:val="12"/>
                    <w:szCs w:val="12"/>
                  </w:rPr>
                </w:pPr>
                <w:r w:rsidRPr="00B0318A">
                  <w:rPr>
                    <w:rFonts w:ascii="Arial" w:hAnsi="Arial" w:cs="Arial"/>
                    <w:noProof/>
                    <w:sz w:val="12"/>
                    <w:szCs w:val="12"/>
                  </w:rPr>
                  <w:t>1201259A-121122Z</w:t>
                </w:r>
              </w:p>
            </w:txbxContent>
          </v:textbox>
        </v:shape>
      </w:pict>
    </w:r>
    <w:r>
      <w:rPr>
        <w:noProof/>
      </w:rPr>
      <w:pict>
        <v:shape id="_x0000_s2386" type="#_x0000_t202" style="position:absolute;margin-left:-36pt;margin-top:188.55pt;width:349.5pt;height:41.4pt;z-index:251651072;mso-position-horizontal-relative:text;mso-position-vertical-relative:text" filled="f" stroked="f">
          <v:textbox style="mso-next-textbox:#_x0000_s2386">
            <w:txbxContent>
              <w:p w:rsidR="00B0318A" w:rsidRPr="004675CE" w:rsidRDefault="00B0318A" w:rsidP="009D25C5">
                <w:pPr>
                  <w:pStyle w:val="FooterDraft"/>
                </w:pPr>
              </w:p>
              <w:p w:rsidR="00B0318A" w:rsidRPr="004675CE" w:rsidRDefault="00B0318A" w:rsidP="00934FCC">
                <w:pPr>
                  <w:rPr>
                    <w:rFonts w:ascii="Arial" w:hAnsi="Arial" w:cs="Arial"/>
                    <w:sz w:val="12"/>
                    <w:szCs w:val="12"/>
                  </w:rPr>
                </w:pPr>
                <w:r w:rsidRPr="00B0318A">
                  <w:rPr>
                    <w:rFonts w:ascii="Arial" w:hAnsi="Arial" w:cs="Arial"/>
                    <w:noProof/>
                    <w:sz w:val="12"/>
                    <w:szCs w:val="12"/>
                  </w:rPr>
                  <w:t>1201259A-121122Z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Default="00B0318A" w:rsidP="00934FCC">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0318A">
      <w:tc>
        <w:tcPr>
          <w:tcW w:w="1134" w:type="dxa"/>
          <w:shd w:val="clear" w:color="auto" w:fill="auto"/>
        </w:tcPr>
        <w:p w:rsidR="00B0318A" w:rsidRPr="007F6065" w:rsidRDefault="00B0318A" w:rsidP="00934FCC">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B53F88">
            <w:rPr>
              <w:rStyle w:val="PageNumber"/>
              <w:noProof/>
            </w:rPr>
            <w:t>12</w:t>
          </w:r>
          <w:r w:rsidRPr="007F6065">
            <w:rPr>
              <w:rStyle w:val="PageNumber"/>
            </w:rPr>
            <w:fldChar w:fldCharType="end"/>
          </w:r>
        </w:p>
      </w:tc>
      <w:tc>
        <w:tcPr>
          <w:tcW w:w="4820" w:type="dxa"/>
          <w:shd w:val="clear" w:color="auto" w:fill="auto"/>
        </w:tcPr>
        <w:p w:rsidR="00B0318A" w:rsidRPr="00EF2F9D" w:rsidRDefault="00B0318A" w:rsidP="00934FCC">
          <w:pPr>
            <w:pStyle w:val="FooterCitation"/>
          </w:pPr>
          <w:fldSimple w:instr=" REF  Citation\*charformat ">
            <w:r w:rsidR="00B53F88">
              <w:t>National Consumer Credit Protection Amendment Regulation 2012 (No. 3)</w:t>
            </w:r>
          </w:fldSimple>
        </w:p>
      </w:tc>
      <w:tc>
        <w:tcPr>
          <w:tcW w:w="1191" w:type="dxa"/>
          <w:shd w:val="clear" w:color="auto" w:fill="auto"/>
        </w:tcPr>
        <w:p w:rsidR="00B0318A" w:rsidRPr="007F6065" w:rsidRDefault="00B0318A" w:rsidP="00934FCC">
          <w:pPr>
            <w:pStyle w:val="Footer"/>
            <w:spacing w:before="20"/>
            <w:jc w:val="right"/>
          </w:pPr>
          <w:fldSimple w:instr=" REF Year \*Charformat ">
            <w:r w:rsidR="00B53F88">
              <w:t>2012</w:t>
            </w:r>
          </w:fldSimple>
          <w:r w:rsidRPr="007F6065">
            <w:t xml:space="preserve">, </w:t>
          </w:r>
          <w:fldSimple w:instr=" REF refno \*Charformat ">
            <w:r w:rsidR="00B53F88">
              <w:t>313</w:t>
            </w:r>
          </w:fldSimple>
        </w:p>
      </w:tc>
    </w:tr>
  </w:tbl>
  <w:p w:rsidR="00B0318A" w:rsidRDefault="00B0318A" w:rsidP="00934FCC">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2336;mso-position-horizontal-relative:text;mso-position-vertical-relative:page" filled="f" stroked="f">
          <v:textbox style="mso-next-textbox:#_x0000_s2397" inset="0,0,0,0">
            <w:txbxContent>
              <w:p w:rsidR="00B0318A" w:rsidRPr="00B53F88" w:rsidRDefault="00B0318A" w:rsidP="00B53F88"/>
            </w:txbxContent>
          </v:textbox>
          <w10:wrap anchory="page"/>
        </v:shape>
      </w:pict>
    </w:r>
    <w:r>
      <w:rPr>
        <w:noProof/>
      </w:rPr>
      <w:pict>
        <v:shape id="_x0000_s2396" type="#_x0000_t202" style="position:absolute;margin-left:0;margin-top:784.75pt;width:349.5pt;height:41.4pt;z-index:251661312;mso-position-horizontal-relative:text;mso-position-vertical-relative:text" filled="f" stroked="f">
          <v:textbox style="mso-next-textbox:#_x0000_s2396">
            <w:txbxContent>
              <w:p w:rsidR="00B0318A" w:rsidRPr="004675CE" w:rsidRDefault="00B0318A" w:rsidP="009D25C5">
                <w:pPr>
                  <w:pStyle w:val="FooterDraft"/>
                </w:pPr>
              </w:p>
              <w:p w:rsidR="00B0318A" w:rsidRPr="004675CE" w:rsidRDefault="00B0318A" w:rsidP="00934FCC">
                <w:pPr>
                  <w:rPr>
                    <w:rFonts w:ascii="Arial" w:hAnsi="Arial" w:cs="Arial"/>
                    <w:sz w:val="12"/>
                    <w:szCs w:val="12"/>
                  </w:rPr>
                </w:pPr>
                <w:r w:rsidRPr="00B0318A">
                  <w:rPr>
                    <w:rFonts w:ascii="Arial" w:hAnsi="Arial" w:cs="Arial"/>
                    <w:noProof/>
                    <w:sz w:val="12"/>
                    <w:szCs w:val="12"/>
                  </w:rPr>
                  <w:t>1201259A-121122Z</w:t>
                </w:r>
              </w:p>
            </w:txbxContent>
          </v:textbox>
        </v:shape>
      </w:pict>
    </w:r>
    <w:r>
      <w:rPr>
        <w:noProof/>
      </w:rPr>
      <w:pict>
        <v:shape id="_x0000_s2395" type="#_x0000_t202" style="position:absolute;margin-left:-36pt;margin-top:188.55pt;width:349.5pt;height:41.4pt;z-index:251660288;mso-position-horizontal-relative:text;mso-position-vertical-relative:text" filled="f" stroked="f">
          <v:textbox style="mso-next-textbox:#_x0000_s2395">
            <w:txbxContent>
              <w:p w:rsidR="00B0318A" w:rsidRPr="004675CE" w:rsidRDefault="00B0318A" w:rsidP="009D25C5">
                <w:pPr>
                  <w:pStyle w:val="FooterDraft"/>
                </w:pPr>
              </w:p>
              <w:p w:rsidR="00B0318A" w:rsidRPr="004675CE" w:rsidRDefault="00B0318A" w:rsidP="00934FCC">
                <w:pPr>
                  <w:rPr>
                    <w:rFonts w:ascii="Arial" w:hAnsi="Arial" w:cs="Arial"/>
                    <w:sz w:val="12"/>
                    <w:szCs w:val="12"/>
                  </w:rPr>
                </w:pPr>
                <w:r w:rsidRPr="00B0318A">
                  <w:rPr>
                    <w:rFonts w:ascii="Arial" w:hAnsi="Arial" w:cs="Arial"/>
                    <w:noProof/>
                    <w:sz w:val="12"/>
                    <w:szCs w:val="12"/>
                  </w:rPr>
                  <w:t>1201259A-121122Z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Pr="00A41806" w:rsidRDefault="00B0318A" w:rsidP="00934FCC">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0318A" w:rsidRPr="00845B98">
      <w:tc>
        <w:tcPr>
          <w:tcW w:w="1191" w:type="dxa"/>
          <w:shd w:val="clear" w:color="auto" w:fill="auto"/>
        </w:tcPr>
        <w:p w:rsidR="00B0318A" w:rsidRPr="00A41806" w:rsidRDefault="00B0318A" w:rsidP="00934FCC">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B53F88">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B53F88">
            <w:fldChar w:fldCharType="separate"/>
          </w:r>
          <w:r w:rsidR="00B53F88">
            <w:t>313</w:t>
          </w:r>
          <w:r w:rsidRPr="00A41806">
            <w:fldChar w:fldCharType="end"/>
          </w:r>
        </w:p>
      </w:tc>
      <w:tc>
        <w:tcPr>
          <w:tcW w:w="4820" w:type="dxa"/>
          <w:shd w:val="clear" w:color="auto" w:fill="auto"/>
        </w:tcPr>
        <w:p w:rsidR="00B0318A" w:rsidRPr="00EF2F9D" w:rsidRDefault="00B0318A" w:rsidP="00934FCC">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B53F88">
            <w:t>National Consumer Credit Protection Amendment Regulation 2012 (No. 3)</w:t>
          </w:r>
          <w:r w:rsidRPr="00EF2F9D">
            <w:fldChar w:fldCharType="end"/>
          </w:r>
        </w:p>
      </w:tc>
      <w:tc>
        <w:tcPr>
          <w:tcW w:w="1134" w:type="dxa"/>
          <w:shd w:val="clear" w:color="auto" w:fill="auto"/>
        </w:tcPr>
        <w:p w:rsidR="00B0318A" w:rsidRPr="00845B98" w:rsidRDefault="00B0318A" w:rsidP="00934FCC">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B53F88">
            <w:rPr>
              <w:rStyle w:val="PageNumber"/>
              <w:noProof/>
            </w:rPr>
            <w:t>13</w:t>
          </w:r>
          <w:r w:rsidRPr="00845B98">
            <w:rPr>
              <w:rStyle w:val="PageNumber"/>
            </w:rPr>
            <w:fldChar w:fldCharType="end"/>
          </w:r>
        </w:p>
      </w:tc>
    </w:tr>
  </w:tbl>
  <w:p w:rsidR="00B0318A" w:rsidRPr="00A41806" w:rsidRDefault="00B0318A" w:rsidP="00934FCC">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59264;mso-position-horizontal-relative:text;mso-position-vertical-relative:page" filled="f" stroked="f">
          <v:textbox style="mso-next-textbox:#_x0000_s2394" inset="0,0,0,0">
            <w:txbxContent>
              <w:p w:rsidR="00B0318A" w:rsidRPr="00B53F88" w:rsidRDefault="00B0318A" w:rsidP="00B53F88"/>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Pr="00556EB9" w:rsidRDefault="00B0318A" w:rsidP="00934FCC">
    <w:pPr>
      <w:pStyle w:val="FooterCitation"/>
    </w:pPr>
    <w:r>
      <w:rPr>
        <w:noProof/>
      </w:rPr>
      <w:t>G:\Drafting-Unit 2\#final 12xxxxx\1201259A Nat Con Credit Protect Amend Reg 2012\1201259A-121122Z.doc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Default="00B0318A" w:rsidP="00934FCC">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0318A">
      <w:tc>
        <w:tcPr>
          <w:tcW w:w="1134" w:type="dxa"/>
          <w:shd w:val="clear" w:color="auto" w:fill="auto"/>
        </w:tcPr>
        <w:p w:rsidR="00B0318A" w:rsidRPr="007F6065" w:rsidRDefault="00B0318A" w:rsidP="00934FCC">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B53F88">
            <w:rPr>
              <w:rStyle w:val="PageNumber"/>
              <w:noProof/>
            </w:rPr>
            <w:t>2</w:t>
          </w:r>
          <w:r w:rsidRPr="007F6065">
            <w:rPr>
              <w:rStyle w:val="PageNumber"/>
            </w:rPr>
            <w:fldChar w:fldCharType="end"/>
          </w:r>
        </w:p>
      </w:tc>
      <w:tc>
        <w:tcPr>
          <w:tcW w:w="4820" w:type="dxa"/>
          <w:shd w:val="clear" w:color="auto" w:fill="auto"/>
        </w:tcPr>
        <w:p w:rsidR="00B0318A" w:rsidRPr="00EF2F9D" w:rsidRDefault="00B0318A" w:rsidP="00934FCC">
          <w:pPr>
            <w:pStyle w:val="FooterCitation"/>
          </w:pPr>
          <w:fldSimple w:instr=" REF  Citation\*charformat ">
            <w:r w:rsidR="00B53F88">
              <w:t>National Consumer Credit Protection Amendment Regulation 2012 (No. 3)</w:t>
            </w:r>
          </w:fldSimple>
        </w:p>
      </w:tc>
      <w:tc>
        <w:tcPr>
          <w:tcW w:w="1191" w:type="dxa"/>
          <w:shd w:val="clear" w:color="auto" w:fill="auto"/>
        </w:tcPr>
        <w:p w:rsidR="00B0318A" w:rsidRPr="007F6065" w:rsidRDefault="00B0318A" w:rsidP="00934FCC">
          <w:pPr>
            <w:pStyle w:val="Footer"/>
            <w:spacing w:before="20"/>
            <w:jc w:val="right"/>
          </w:pPr>
          <w:fldSimple w:instr=" REF Year \*Charformat ">
            <w:r w:rsidR="00B53F88">
              <w:t>2012</w:t>
            </w:r>
          </w:fldSimple>
          <w:r w:rsidRPr="007F6065">
            <w:t xml:space="preserve">, </w:t>
          </w:r>
          <w:fldSimple w:instr=" REF refno \*Charformat ">
            <w:r w:rsidR="00B53F88">
              <w:t>313</w:t>
            </w:r>
          </w:fldSimple>
        </w:p>
      </w:tc>
    </w:tr>
  </w:tbl>
  <w:p w:rsidR="00B0318A" w:rsidRDefault="00B0318A" w:rsidP="00934FCC">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6432;mso-position-horizontal-relative:text;mso-position-vertical-relative:page" filled="f" stroked="f">
          <v:textbox style="mso-next-textbox:#_x0000_s2401" inset="0,0,0,0">
            <w:txbxContent>
              <w:p w:rsidR="00B0318A" w:rsidRPr="00B53F88" w:rsidRDefault="00B0318A" w:rsidP="00B53F88"/>
            </w:txbxContent>
          </v:textbox>
          <w10:wrap anchory="page"/>
        </v:shape>
      </w:pict>
    </w:r>
    <w:r>
      <w:rPr>
        <w:noProof/>
      </w:rPr>
      <w:pict>
        <v:shape id="_x0000_s2400" type="#_x0000_t202" style="position:absolute;margin-left:0;margin-top:784.75pt;width:349.5pt;height:41.4pt;z-index:251665408;mso-position-horizontal-relative:text;mso-position-vertical-relative:text" filled="f" stroked="f">
          <v:textbox style="mso-next-textbox:#_x0000_s2400">
            <w:txbxContent>
              <w:p w:rsidR="00B0318A" w:rsidRPr="004675CE" w:rsidRDefault="00B0318A" w:rsidP="009D25C5">
                <w:pPr>
                  <w:pStyle w:val="FooterDraft"/>
                </w:pPr>
              </w:p>
              <w:p w:rsidR="00B0318A" w:rsidRPr="004675CE" w:rsidRDefault="00B0318A" w:rsidP="00934FCC">
                <w:pPr>
                  <w:rPr>
                    <w:rFonts w:ascii="Arial" w:hAnsi="Arial" w:cs="Arial"/>
                    <w:sz w:val="12"/>
                    <w:szCs w:val="12"/>
                  </w:rPr>
                </w:pPr>
                <w:r w:rsidRPr="00B0318A">
                  <w:rPr>
                    <w:rFonts w:ascii="Arial" w:hAnsi="Arial" w:cs="Arial"/>
                    <w:noProof/>
                    <w:sz w:val="12"/>
                    <w:szCs w:val="12"/>
                  </w:rPr>
                  <w:t>1201259A-121122Z</w:t>
                </w:r>
              </w:p>
            </w:txbxContent>
          </v:textbox>
        </v:shape>
      </w:pict>
    </w:r>
    <w:r>
      <w:rPr>
        <w:noProof/>
      </w:rPr>
      <w:pict>
        <v:shape id="_x0000_s2399" type="#_x0000_t202" style="position:absolute;margin-left:-36pt;margin-top:188.55pt;width:349.5pt;height:41.4pt;z-index:251664384;mso-position-horizontal-relative:text;mso-position-vertical-relative:text" filled="f" stroked="f">
          <v:textbox style="mso-next-textbox:#_x0000_s2399">
            <w:txbxContent>
              <w:p w:rsidR="00B0318A" w:rsidRPr="004675CE" w:rsidRDefault="00B0318A" w:rsidP="009D25C5">
                <w:pPr>
                  <w:pStyle w:val="FooterDraft"/>
                </w:pPr>
              </w:p>
              <w:p w:rsidR="00B0318A" w:rsidRPr="004675CE" w:rsidRDefault="00B0318A" w:rsidP="00934FCC">
                <w:pPr>
                  <w:rPr>
                    <w:rFonts w:ascii="Arial" w:hAnsi="Arial" w:cs="Arial"/>
                    <w:sz w:val="12"/>
                    <w:szCs w:val="12"/>
                  </w:rPr>
                </w:pPr>
                <w:r w:rsidRPr="00B0318A">
                  <w:rPr>
                    <w:rFonts w:ascii="Arial" w:hAnsi="Arial" w:cs="Arial"/>
                    <w:noProof/>
                    <w:sz w:val="12"/>
                    <w:szCs w:val="12"/>
                  </w:rPr>
                  <w:t>1201259A-121122Z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Pr="00A41806" w:rsidRDefault="00B0318A" w:rsidP="00934FCC">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0318A" w:rsidRPr="00A41806">
      <w:tc>
        <w:tcPr>
          <w:tcW w:w="1191" w:type="dxa"/>
          <w:shd w:val="clear" w:color="auto" w:fill="auto"/>
        </w:tcPr>
        <w:p w:rsidR="00B0318A" w:rsidRPr="00A41806" w:rsidRDefault="00B0318A" w:rsidP="00934FCC">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B53F88">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B53F88">
            <w:fldChar w:fldCharType="separate"/>
          </w:r>
          <w:r w:rsidR="00B53F88">
            <w:t>313</w:t>
          </w:r>
          <w:r w:rsidRPr="00A41806">
            <w:fldChar w:fldCharType="end"/>
          </w:r>
        </w:p>
      </w:tc>
      <w:tc>
        <w:tcPr>
          <w:tcW w:w="4820" w:type="dxa"/>
          <w:shd w:val="clear" w:color="auto" w:fill="auto"/>
        </w:tcPr>
        <w:p w:rsidR="00B0318A" w:rsidRPr="00EF2F9D" w:rsidRDefault="00B0318A" w:rsidP="00934FCC">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B53F88">
            <w:t>National Consumer Credit Protection Amendment Regulation 2012 (No. 3)</w:t>
          </w:r>
          <w:r w:rsidRPr="00EF2F9D">
            <w:fldChar w:fldCharType="end"/>
          </w:r>
        </w:p>
      </w:tc>
      <w:tc>
        <w:tcPr>
          <w:tcW w:w="1134" w:type="dxa"/>
          <w:shd w:val="clear" w:color="auto" w:fill="auto"/>
        </w:tcPr>
        <w:p w:rsidR="00B0318A" w:rsidRPr="005968DD" w:rsidRDefault="00B0318A" w:rsidP="00934FCC">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B53F88">
            <w:rPr>
              <w:rStyle w:val="PageNumber"/>
              <w:noProof/>
            </w:rPr>
            <w:t>2</w:t>
          </w:r>
          <w:r w:rsidRPr="005968DD">
            <w:rPr>
              <w:rStyle w:val="PageNumber"/>
            </w:rPr>
            <w:fldChar w:fldCharType="end"/>
          </w:r>
        </w:p>
      </w:tc>
    </w:tr>
  </w:tbl>
  <w:p w:rsidR="00B0318A" w:rsidRPr="00A41806" w:rsidRDefault="00B0318A" w:rsidP="00934FCC">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3360;mso-position-horizontal-relative:text;mso-position-vertical-relative:page" filled="f" stroked="f">
          <v:textbox style="mso-next-textbox:#_x0000_s2398" inset="0,0,0,0">
            <w:txbxContent>
              <w:p w:rsidR="00B0318A" w:rsidRPr="00B53F88" w:rsidRDefault="00B0318A" w:rsidP="00B53F88"/>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Pr="00556EB9" w:rsidRDefault="00B0318A" w:rsidP="00934FCC">
    <w:pPr>
      <w:pStyle w:val="FooterCitation"/>
    </w:pPr>
    <w:r>
      <w:rPr>
        <w:noProof/>
      </w:rPr>
      <w:t>G:\Drafting-Unit 2\#final 12xxxxx\1201259A Nat Con Credit Protect Amend Reg 2012\1201259A-121122Z.doc</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Pr="00A41806" w:rsidRDefault="00B0318A"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0318A" w:rsidRPr="00A41806">
      <w:tc>
        <w:tcPr>
          <w:tcW w:w="1134" w:type="dxa"/>
        </w:tcPr>
        <w:p w:rsidR="00B0318A" w:rsidRPr="00A41806" w:rsidRDefault="00B0318A"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B53F88">
            <w:rPr>
              <w:rStyle w:val="PageNumber"/>
              <w:noProof/>
            </w:rPr>
            <w:t>2</w:t>
          </w:r>
          <w:r w:rsidRPr="00A41806">
            <w:rPr>
              <w:rStyle w:val="PageNumber"/>
            </w:rPr>
            <w:fldChar w:fldCharType="end"/>
          </w:r>
        </w:p>
      </w:tc>
      <w:tc>
        <w:tcPr>
          <w:tcW w:w="4820" w:type="dxa"/>
        </w:tcPr>
        <w:p w:rsidR="00B0318A" w:rsidRPr="00EF2F9D" w:rsidRDefault="00B0318A" w:rsidP="008C15A7">
          <w:pPr>
            <w:pStyle w:val="FooterCitation"/>
          </w:pPr>
          <w:fldSimple w:instr=" REF  Citation\*charformat ">
            <w:r w:rsidR="00B53F88">
              <w:t>National Consumer Credit Protection Amendment Regulation 2012 (No. 3)</w:t>
            </w:r>
          </w:fldSimple>
        </w:p>
      </w:tc>
      <w:tc>
        <w:tcPr>
          <w:tcW w:w="1191" w:type="dxa"/>
        </w:tcPr>
        <w:p w:rsidR="00B0318A" w:rsidRPr="00A41806" w:rsidRDefault="00B0318A" w:rsidP="008C15A7">
          <w:pPr>
            <w:pStyle w:val="Footer"/>
            <w:spacing w:before="20"/>
            <w:jc w:val="right"/>
          </w:pPr>
          <w:fldSimple w:instr=" REF Year \*Charformat ">
            <w:r w:rsidR="00B53F88">
              <w:t>2012</w:t>
            </w:r>
          </w:fldSimple>
          <w:r w:rsidRPr="00A41806">
            <w:t xml:space="preserve">, </w:t>
          </w:r>
          <w:fldSimple w:instr=" REF refno \*Charformat ">
            <w:r w:rsidR="00B53F88">
              <w:t>313</w:t>
            </w:r>
          </w:fldSimple>
        </w:p>
      </w:tc>
    </w:tr>
  </w:tbl>
  <w:p w:rsidR="00B0318A" w:rsidRPr="00A41806" w:rsidRDefault="00B0318A"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6976;mso-position-horizontal-relative:text;mso-position-vertical-relative:page" filled="f" stroked="f">
          <v:textbox style="mso-next-textbox:#_x0000_s2293" inset="0,0,0,0">
            <w:txbxContent>
              <w:p w:rsidR="00B0318A" w:rsidRPr="00B53F88" w:rsidRDefault="00B0318A" w:rsidP="00B53F88"/>
            </w:txbxContent>
          </v:textbox>
          <w10:wrap anchory="page"/>
        </v:shape>
      </w:pict>
    </w:r>
    <w:r>
      <w:pict>
        <v:shape id="_x0000_s2292" type="#_x0000_t202" style="position:absolute;margin-left:0;margin-top:784.75pt;width:349.5pt;height:41.4pt;z-index:251645952;mso-position-horizontal-relative:text;mso-position-vertical-relative:text" filled="f" stroked="f">
          <v:textbox style="mso-next-textbox:#_x0000_s2292">
            <w:txbxContent>
              <w:p w:rsidR="00B0318A" w:rsidRPr="004675CE" w:rsidRDefault="00B0318A" w:rsidP="008C15A7">
                <w:pPr>
                  <w:jc w:val="center"/>
                  <w:rPr>
                    <w:rFonts w:ascii="Arial" w:hAnsi="Arial" w:cs="Arial"/>
                    <w:b/>
                    <w:sz w:val="40"/>
                    <w:szCs w:val="40"/>
                  </w:rPr>
                </w:pPr>
                <w:r w:rsidRPr="004675CE">
                  <w:rPr>
                    <w:rFonts w:ascii="Arial" w:hAnsi="Arial" w:cs="Arial"/>
                    <w:b/>
                    <w:sz w:val="40"/>
                    <w:szCs w:val="40"/>
                  </w:rPr>
                  <w:t>DRAFT ONLY</w:t>
                </w:r>
              </w:p>
              <w:p w:rsidR="00B0318A" w:rsidRPr="004675CE" w:rsidRDefault="00B0318A" w:rsidP="008C15A7">
                <w:pPr>
                  <w:rPr>
                    <w:rFonts w:ascii="Arial" w:hAnsi="Arial" w:cs="Arial"/>
                    <w:sz w:val="12"/>
                    <w:szCs w:val="12"/>
                  </w:rPr>
                </w:pPr>
                <w:r w:rsidRPr="00B0318A">
                  <w:rPr>
                    <w:rFonts w:ascii="Arial" w:hAnsi="Arial" w:cs="Arial"/>
                    <w:noProof/>
                    <w:sz w:val="12"/>
                    <w:szCs w:val="12"/>
                  </w:rPr>
                  <w:t>1201259A-121122Z</w:t>
                </w:r>
              </w:p>
            </w:txbxContent>
          </v:textbox>
        </v:shape>
      </w:pict>
    </w:r>
    <w:r>
      <w:pict>
        <v:shape id="_x0000_s2291" type="#_x0000_t202" style="position:absolute;margin-left:-36pt;margin-top:188.55pt;width:349.5pt;height:41.4pt;z-index:251644928;mso-position-horizontal-relative:text;mso-position-vertical-relative:text" filled="f" stroked="f">
          <v:textbox style="mso-next-textbox:#_x0000_s2291">
            <w:txbxContent>
              <w:p w:rsidR="00B0318A" w:rsidRPr="004675CE" w:rsidRDefault="00B0318A" w:rsidP="008C15A7">
                <w:pPr>
                  <w:jc w:val="center"/>
                  <w:rPr>
                    <w:rFonts w:ascii="Arial" w:hAnsi="Arial" w:cs="Arial"/>
                    <w:b/>
                    <w:sz w:val="40"/>
                    <w:szCs w:val="40"/>
                  </w:rPr>
                </w:pPr>
                <w:r w:rsidRPr="004675CE">
                  <w:rPr>
                    <w:rFonts w:ascii="Arial" w:hAnsi="Arial" w:cs="Arial"/>
                    <w:b/>
                    <w:sz w:val="40"/>
                    <w:szCs w:val="40"/>
                  </w:rPr>
                  <w:t>DRAFT ONLY</w:t>
                </w:r>
              </w:p>
              <w:p w:rsidR="00B0318A" w:rsidRPr="004675CE" w:rsidRDefault="00B0318A" w:rsidP="008C15A7">
                <w:pPr>
                  <w:rPr>
                    <w:rFonts w:ascii="Arial" w:hAnsi="Arial" w:cs="Arial"/>
                    <w:sz w:val="12"/>
                    <w:szCs w:val="12"/>
                  </w:rPr>
                </w:pPr>
                <w:r w:rsidRPr="00B0318A">
                  <w:rPr>
                    <w:rFonts w:ascii="Arial" w:hAnsi="Arial" w:cs="Arial"/>
                    <w:noProof/>
                    <w:sz w:val="12"/>
                    <w:szCs w:val="12"/>
                  </w:rPr>
                  <w:t>1201259A-121122Z</w:t>
                </w:r>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Default="00B0318A"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0318A" w:rsidRPr="008D3896">
      <w:tc>
        <w:tcPr>
          <w:tcW w:w="1191" w:type="dxa"/>
        </w:tcPr>
        <w:p w:rsidR="00B0318A" w:rsidRPr="008D3896" w:rsidRDefault="00B0318A"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B0318A" w:rsidRPr="00EF2F9D" w:rsidRDefault="00B0318A" w:rsidP="000B68A5">
          <w:pPr>
            <w:pStyle w:val="FooterCitation"/>
          </w:pPr>
          <w:r>
            <w:fldChar w:fldCharType="begin"/>
          </w:r>
          <w:r>
            <w:instrText xml:space="preserve"> if((REF \* charformat Citation )= "Error!","",(REF \* charformat Citation )) </w:instrText>
          </w:r>
          <w:r>
            <w:fldChar w:fldCharType="end"/>
          </w:r>
        </w:p>
      </w:tc>
      <w:tc>
        <w:tcPr>
          <w:tcW w:w="1134" w:type="dxa"/>
        </w:tcPr>
        <w:p w:rsidR="00B0318A" w:rsidRPr="008D3896" w:rsidRDefault="00B0318A"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B53F88">
            <w:rPr>
              <w:rStyle w:val="PageNumber"/>
              <w:noProof/>
            </w:rPr>
            <w:t>2</w:t>
          </w:r>
          <w:r w:rsidRPr="008D3896">
            <w:rPr>
              <w:rStyle w:val="PageNumber"/>
            </w:rPr>
            <w:fldChar w:fldCharType="end"/>
          </w:r>
        </w:p>
      </w:tc>
    </w:tr>
  </w:tbl>
  <w:p w:rsidR="00B0318A" w:rsidRDefault="00B0318A"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49024;mso-position-horizontal-relative:text;mso-position-vertical-relative:page" filled="f" stroked="f">
          <v:textbox style="mso-next-textbox:#_x0000_s2381" inset="0,0,0,0">
            <w:txbxContent>
              <w:p w:rsidR="00B0318A" w:rsidRPr="00B53F88" w:rsidRDefault="00B0318A" w:rsidP="00B53F88"/>
            </w:txbxContent>
          </v:textbox>
          <w10:wrap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Default="00B0318A">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48000;mso-position-vertical-relative:page" filled="f" stroked="f">
          <v:textbox inset="0,0,0,0">
            <w:txbxContent>
              <w:p w:rsidR="00B0318A" w:rsidRPr="004675CE" w:rsidRDefault="00B0318A">
                <w:pPr>
                  <w:pStyle w:val="FooterDraft"/>
                </w:pPr>
                <w:r w:rsidRPr="004675CE">
                  <w:t>DRAFT ONLY</w:t>
                </w:r>
              </w:p>
              <w:p w:rsidR="00B0318A" w:rsidRPr="004675CE" w:rsidRDefault="00B0318A">
                <w:pPr>
                  <w:pStyle w:val="FooterInfo"/>
                </w:pPr>
                <w:r>
                  <w:rPr>
                    <w:noProof/>
                  </w:rPr>
                  <w:t>1201259A-121122Z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Pr="00A41806" w:rsidRDefault="00B0318A" w:rsidP="00934FCC">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0318A" w:rsidRPr="00A41806">
      <w:tc>
        <w:tcPr>
          <w:tcW w:w="1191" w:type="dxa"/>
          <w:shd w:val="clear" w:color="auto" w:fill="auto"/>
        </w:tcPr>
        <w:p w:rsidR="00B0318A" w:rsidRPr="00A41806" w:rsidRDefault="00B0318A" w:rsidP="00934FCC">
          <w:pPr>
            <w:pStyle w:val="Footer"/>
            <w:spacing w:before="20"/>
          </w:pPr>
          <w:fldSimple w:instr=" REF Year \*Charformat ">
            <w:r w:rsidR="00B53F88">
              <w:t>2012</w:t>
            </w:r>
          </w:fldSimple>
          <w:r w:rsidRPr="00A41806">
            <w:t xml:space="preserve">, </w:t>
          </w:r>
          <w:fldSimple w:instr=" REF refno \*Charformat ">
            <w:r w:rsidR="00B53F88">
              <w:t>313</w:t>
            </w:r>
          </w:fldSimple>
        </w:p>
      </w:tc>
      <w:tc>
        <w:tcPr>
          <w:tcW w:w="4820" w:type="dxa"/>
          <w:shd w:val="clear" w:color="auto" w:fill="auto"/>
        </w:tcPr>
        <w:p w:rsidR="00B0318A" w:rsidRPr="00EF2F9D" w:rsidRDefault="00B0318A" w:rsidP="00934FCC">
          <w:pPr>
            <w:pStyle w:val="FooterCitation"/>
          </w:pPr>
          <w:fldSimple w:instr=" REF  Citation\*charformat ">
            <w:r w:rsidR="00B53F88">
              <w:t>National Consumer Credit Protection Amendment Regulation 2012 (No. 3)</w:t>
            </w:r>
          </w:fldSimple>
        </w:p>
      </w:tc>
      <w:tc>
        <w:tcPr>
          <w:tcW w:w="1134" w:type="dxa"/>
          <w:shd w:val="clear" w:color="auto" w:fill="auto"/>
        </w:tcPr>
        <w:p w:rsidR="00B0318A" w:rsidRPr="0014079B" w:rsidRDefault="00B0318A" w:rsidP="00934FCC">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B53F88">
            <w:rPr>
              <w:rStyle w:val="PageNumber"/>
              <w:noProof/>
            </w:rPr>
            <w:t>13</w:t>
          </w:r>
          <w:r w:rsidRPr="0014079B">
            <w:rPr>
              <w:rStyle w:val="PageNumber"/>
            </w:rPr>
            <w:fldChar w:fldCharType="end"/>
          </w:r>
        </w:p>
      </w:tc>
    </w:tr>
  </w:tbl>
  <w:p w:rsidR="00B0318A" w:rsidRPr="00094457" w:rsidRDefault="00B0318A" w:rsidP="00934FCC">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0048;mso-position-horizontal-relative:text;mso-position-vertical-relative:page" filled="f" stroked="f">
          <v:textbox style="mso-next-textbox:#_x0000_s2385" inset="0,0,0,0">
            <w:txbxContent>
              <w:p w:rsidR="00B0318A" w:rsidRPr="00B53F88" w:rsidRDefault="00B0318A" w:rsidP="00B53F88"/>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Default="00B0318A" w:rsidP="00934FCC">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4144;mso-position-vertical-relative:page" filled="f" stroked="f">
          <v:textbox style="mso-next-textbox:#_x0000_s2389" inset="0,0,0,0">
            <w:txbxContent>
              <w:p w:rsidR="00B0318A" w:rsidRPr="004675CE" w:rsidRDefault="00B0318A" w:rsidP="00934FCC">
                <w:pPr>
                  <w:pStyle w:val="FooterDraft"/>
                </w:pPr>
              </w:p>
              <w:p w:rsidR="00B0318A" w:rsidRPr="004675CE" w:rsidRDefault="00B0318A" w:rsidP="00934FCC">
                <w:pPr>
                  <w:pStyle w:val="FooterInfo"/>
                </w:pPr>
                <w:r>
                  <w:rPr>
                    <w:noProof/>
                  </w:rPr>
                  <w:t>1201259A-121122Z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Default="00B0318A">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0318A">
      <w:tc>
        <w:tcPr>
          <w:tcW w:w="1134" w:type="dxa"/>
          <w:shd w:val="clear" w:color="auto" w:fill="auto"/>
        </w:tcPr>
        <w:p w:rsidR="00B0318A" w:rsidRPr="007F6065" w:rsidRDefault="00B0318A">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B53F88">
            <w:rPr>
              <w:rStyle w:val="PageNumber"/>
              <w:noProof/>
            </w:rPr>
            <w:t>2</w:t>
          </w:r>
          <w:r w:rsidRPr="007F6065">
            <w:rPr>
              <w:rStyle w:val="PageNumber"/>
            </w:rPr>
            <w:fldChar w:fldCharType="end"/>
          </w:r>
        </w:p>
      </w:tc>
      <w:tc>
        <w:tcPr>
          <w:tcW w:w="4820" w:type="dxa"/>
          <w:shd w:val="clear" w:color="auto" w:fill="auto"/>
        </w:tcPr>
        <w:p w:rsidR="00B0318A" w:rsidRPr="00EF2F9D" w:rsidRDefault="00B0318A">
          <w:pPr>
            <w:pStyle w:val="FooterCitation"/>
          </w:pPr>
          <w:fldSimple w:instr=" REF  Citation\*charformat ">
            <w:r w:rsidR="00B53F88">
              <w:t>National Consumer Credit Protection Amendment Regulation 2012 (No. 3)</w:t>
            </w:r>
          </w:fldSimple>
        </w:p>
      </w:tc>
      <w:tc>
        <w:tcPr>
          <w:tcW w:w="1191" w:type="dxa"/>
          <w:shd w:val="clear" w:color="auto" w:fill="auto"/>
        </w:tcPr>
        <w:p w:rsidR="00B0318A" w:rsidRPr="007F6065" w:rsidRDefault="00B0318A">
          <w:pPr>
            <w:pStyle w:val="Footer"/>
            <w:spacing w:before="20"/>
            <w:jc w:val="right"/>
          </w:pPr>
          <w:fldSimple w:instr=" REF Year \*Charformat ">
            <w:r w:rsidR="00B53F88">
              <w:t>2012</w:t>
            </w:r>
          </w:fldSimple>
          <w:r w:rsidRPr="007F6065">
            <w:t xml:space="preserve">, </w:t>
          </w:r>
          <w:fldSimple w:instr=" REF refno \*Charformat ">
            <w:r w:rsidR="00B53F88">
              <w:t>313</w:t>
            </w:r>
          </w:fldSimple>
        </w:p>
      </w:tc>
    </w:tr>
  </w:tbl>
  <w:p w:rsidR="00B0318A" w:rsidRDefault="00B0318A">
    <w:pPr>
      <w:pStyle w:val="Footer"/>
    </w:pPr>
    <w:r>
      <w:rPr>
        <w:noProof/>
      </w:rPr>
      <w:pict>
        <v:shapetype id="_x0000_t202" coordsize="21600,21600" o:spt="202" path="m,l,21600r21600,l21600,xe">
          <v:stroke joinstyle="miter"/>
          <v:path gradientshapeok="t" o:connecttype="rect"/>
        </v:shapetype>
        <v:shape id="_x0000_s2405" type="#_x0000_t202" style="position:absolute;margin-left:0;margin-top:783.25pt;width:349.5pt;height:41.4pt;z-index:251670528;mso-position-horizontal-relative:text;mso-position-vertical-relative:page" filled="f" stroked="f">
          <v:textbox style="mso-next-textbox:#_x0000_s2405" inset="0,0,0,0">
            <w:txbxContent>
              <w:p w:rsidR="00B0318A" w:rsidRPr="00B53F88" w:rsidRDefault="00B0318A" w:rsidP="00B53F88"/>
            </w:txbxContent>
          </v:textbox>
          <w10:wrap anchory="page"/>
        </v:shape>
      </w:pict>
    </w:r>
    <w:r>
      <w:rPr>
        <w:noProof/>
      </w:rPr>
      <w:pict>
        <v:shape id="_x0000_s2404" type="#_x0000_t202" style="position:absolute;margin-left:0;margin-top:784.75pt;width:349.5pt;height:41.4pt;z-index:251669504;mso-position-horizontal-relative:text;mso-position-vertical-relative:text" filled="f" stroked="f">
          <v:textbox style="mso-next-textbox:#_x0000_s2404">
            <w:txbxContent>
              <w:p w:rsidR="00B0318A" w:rsidRPr="004675CE" w:rsidRDefault="00B0318A" w:rsidP="009D25C5">
                <w:pPr>
                  <w:pStyle w:val="FooterDraft"/>
                </w:pPr>
              </w:p>
              <w:p w:rsidR="00B0318A" w:rsidRPr="004675CE" w:rsidRDefault="00B0318A">
                <w:pPr>
                  <w:rPr>
                    <w:rFonts w:ascii="Arial" w:hAnsi="Arial" w:cs="Arial"/>
                    <w:sz w:val="12"/>
                    <w:szCs w:val="12"/>
                  </w:rPr>
                </w:pPr>
                <w:r w:rsidRPr="00B0318A">
                  <w:rPr>
                    <w:rFonts w:ascii="Arial" w:hAnsi="Arial" w:cs="Arial"/>
                    <w:noProof/>
                    <w:sz w:val="12"/>
                    <w:szCs w:val="12"/>
                  </w:rPr>
                  <w:t>1201259A-121122Z</w:t>
                </w:r>
              </w:p>
            </w:txbxContent>
          </v:textbox>
        </v:shape>
      </w:pict>
    </w:r>
    <w:r>
      <w:rPr>
        <w:noProof/>
      </w:rPr>
      <w:pict>
        <v:shape id="_x0000_s2403" type="#_x0000_t202" style="position:absolute;margin-left:-36pt;margin-top:188.55pt;width:349.5pt;height:41.4pt;z-index:251668480;mso-position-horizontal-relative:text;mso-position-vertical-relative:text" filled="f" stroked="f">
          <v:textbox style="mso-next-textbox:#_x0000_s2403">
            <w:txbxContent>
              <w:p w:rsidR="00B0318A" w:rsidRPr="004675CE" w:rsidRDefault="00B0318A" w:rsidP="009D25C5">
                <w:pPr>
                  <w:pStyle w:val="FooterDraft"/>
                </w:pPr>
              </w:p>
              <w:p w:rsidR="00B0318A" w:rsidRPr="004675CE" w:rsidRDefault="00B0318A">
                <w:pPr>
                  <w:rPr>
                    <w:rFonts w:ascii="Arial" w:hAnsi="Arial" w:cs="Arial"/>
                    <w:sz w:val="12"/>
                    <w:szCs w:val="12"/>
                  </w:rPr>
                </w:pPr>
                <w:r w:rsidRPr="00B0318A">
                  <w:rPr>
                    <w:rFonts w:ascii="Arial" w:hAnsi="Arial" w:cs="Arial"/>
                    <w:noProof/>
                    <w:sz w:val="12"/>
                    <w:szCs w:val="12"/>
                  </w:rPr>
                  <w:t>1201259A-121122Z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Pr="00A41806" w:rsidRDefault="00B0318A">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0318A" w:rsidRPr="00A41806">
      <w:tc>
        <w:tcPr>
          <w:tcW w:w="1191" w:type="dxa"/>
          <w:shd w:val="clear" w:color="auto" w:fill="auto"/>
        </w:tcPr>
        <w:p w:rsidR="00B0318A" w:rsidRPr="00A41806" w:rsidRDefault="00B0318A">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B53F88">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B53F88">
            <w:fldChar w:fldCharType="separate"/>
          </w:r>
          <w:r w:rsidR="00B53F88">
            <w:t>313</w:t>
          </w:r>
          <w:r w:rsidRPr="00A41806">
            <w:fldChar w:fldCharType="end"/>
          </w:r>
        </w:p>
      </w:tc>
      <w:tc>
        <w:tcPr>
          <w:tcW w:w="4820" w:type="dxa"/>
          <w:shd w:val="clear" w:color="auto" w:fill="auto"/>
        </w:tcPr>
        <w:p w:rsidR="00B0318A" w:rsidRPr="00EF2F9D" w:rsidRDefault="00B0318A">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B53F88">
            <w:t>National Consumer Credit Protection Amendment Regulation 2012 (No. 3)</w:t>
          </w:r>
          <w:r w:rsidRPr="00EF2F9D">
            <w:fldChar w:fldCharType="end"/>
          </w:r>
        </w:p>
      </w:tc>
      <w:tc>
        <w:tcPr>
          <w:tcW w:w="1134" w:type="dxa"/>
          <w:shd w:val="clear" w:color="auto" w:fill="auto"/>
        </w:tcPr>
        <w:p w:rsidR="00B0318A" w:rsidRDefault="00B0318A">
          <w:pPr>
            <w:pStyle w:val="Footer"/>
            <w:spacing w:before="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B53F88">
            <w:rPr>
              <w:rStyle w:val="PageNumber"/>
              <w:noProof/>
            </w:rPr>
            <w:t>2</w:t>
          </w:r>
          <w:r>
            <w:rPr>
              <w:rStyle w:val="PageNumber"/>
            </w:rPr>
            <w:fldChar w:fldCharType="end"/>
          </w:r>
        </w:p>
      </w:tc>
    </w:tr>
  </w:tbl>
  <w:p w:rsidR="00B0318A" w:rsidRPr="00A41806" w:rsidRDefault="00B0318A">
    <w:pPr>
      <w:pStyle w:val="Footer"/>
    </w:pPr>
    <w:r>
      <w:pict>
        <v:shapetype id="_x0000_t202" coordsize="21600,21600" o:spt="202" path="m,l,21600r21600,l21600,xe">
          <v:stroke joinstyle="miter"/>
          <v:path gradientshapeok="t" o:connecttype="rect"/>
        </v:shapetype>
        <v:shape id="_x0000_s2402" type="#_x0000_t202" style="position:absolute;margin-left:2pt;margin-top:784.75pt;width:349.5pt;height:41.4pt;z-index:251667456;mso-position-horizontal-relative:text;mso-position-vertical-relative:page" filled="f" stroked="f">
          <v:textbox style="mso-next-textbox:#_x0000_s2402" inset="0,0,0,0">
            <w:txbxContent>
              <w:p w:rsidR="00B0318A" w:rsidRPr="00B53F88" w:rsidRDefault="00B0318A" w:rsidP="00B53F88"/>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Pr="00556EB9" w:rsidRDefault="00B0318A">
    <w:pPr>
      <w:pStyle w:val="FooterCitation"/>
    </w:pPr>
    <w:r>
      <w:rPr>
        <w:noProof/>
      </w:rPr>
      <w:t>G:\Drafting-Unit 2\#final 12xxxxx\1201259A Nat Con Credit Protect Amend Reg 2012\1201259A-121122Z.doc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Default="00B0318A" w:rsidP="00934FCC">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0318A">
      <w:tc>
        <w:tcPr>
          <w:tcW w:w="1134" w:type="dxa"/>
          <w:shd w:val="clear" w:color="auto" w:fill="auto"/>
        </w:tcPr>
        <w:p w:rsidR="00B0318A" w:rsidRPr="007F6065" w:rsidRDefault="00B0318A" w:rsidP="00934FCC">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B53F88">
            <w:rPr>
              <w:rStyle w:val="PageNumber"/>
              <w:noProof/>
            </w:rPr>
            <w:t>2</w:t>
          </w:r>
          <w:r w:rsidRPr="007F6065">
            <w:rPr>
              <w:rStyle w:val="PageNumber"/>
            </w:rPr>
            <w:fldChar w:fldCharType="end"/>
          </w:r>
        </w:p>
      </w:tc>
      <w:tc>
        <w:tcPr>
          <w:tcW w:w="4820" w:type="dxa"/>
          <w:shd w:val="clear" w:color="auto" w:fill="auto"/>
        </w:tcPr>
        <w:p w:rsidR="00B0318A" w:rsidRPr="00EF2F9D" w:rsidRDefault="00B0318A" w:rsidP="00934FCC">
          <w:pPr>
            <w:pStyle w:val="FooterCitation"/>
          </w:pPr>
          <w:fldSimple w:instr=" REF  Citation\*charformat ">
            <w:r w:rsidR="00B53F88">
              <w:t>National Consumer Credit Protection Amendment Regulation 2012 (No. 3)</w:t>
            </w:r>
          </w:fldSimple>
        </w:p>
      </w:tc>
      <w:tc>
        <w:tcPr>
          <w:tcW w:w="1191" w:type="dxa"/>
          <w:shd w:val="clear" w:color="auto" w:fill="auto"/>
        </w:tcPr>
        <w:p w:rsidR="00B0318A" w:rsidRPr="007F6065" w:rsidRDefault="00B0318A" w:rsidP="00934FCC">
          <w:pPr>
            <w:pStyle w:val="Footer"/>
            <w:spacing w:before="20"/>
            <w:jc w:val="right"/>
          </w:pPr>
          <w:fldSimple w:instr=" REF Year \*Charformat ">
            <w:r w:rsidR="00B53F88">
              <w:t>2012</w:t>
            </w:r>
          </w:fldSimple>
          <w:r w:rsidRPr="007F6065">
            <w:t xml:space="preserve">, </w:t>
          </w:r>
          <w:fldSimple w:instr=" REF refno \*Charformat ">
            <w:r w:rsidR="00B53F88">
              <w:t>313</w:t>
            </w:r>
          </w:fldSimple>
        </w:p>
      </w:tc>
    </w:tr>
  </w:tbl>
  <w:p w:rsidR="00B0318A" w:rsidRDefault="00B0318A" w:rsidP="00934FCC">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58240;mso-position-horizontal-relative:text;mso-position-vertical-relative:page" filled="f" stroked="f">
          <v:textbox style="mso-next-textbox:#_x0000_s2393" inset="0,0,0,0">
            <w:txbxContent>
              <w:p w:rsidR="00B0318A" w:rsidRPr="00B53F88" w:rsidRDefault="00B0318A" w:rsidP="00B53F88"/>
            </w:txbxContent>
          </v:textbox>
          <w10:wrap anchory="page"/>
        </v:shape>
      </w:pict>
    </w:r>
    <w:r>
      <w:rPr>
        <w:noProof/>
      </w:rPr>
      <w:pict>
        <v:shape id="_x0000_s2392" type="#_x0000_t202" style="position:absolute;margin-left:0;margin-top:784.75pt;width:349.5pt;height:41.4pt;z-index:251657216;mso-position-horizontal-relative:text;mso-position-vertical-relative:text" filled="f" stroked="f">
          <v:textbox style="mso-next-textbox:#_x0000_s2392">
            <w:txbxContent>
              <w:p w:rsidR="00B0318A" w:rsidRPr="004675CE" w:rsidRDefault="00B0318A" w:rsidP="009D25C5">
                <w:pPr>
                  <w:pStyle w:val="FooterDraft"/>
                </w:pPr>
              </w:p>
              <w:p w:rsidR="00B0318A" w:rsidRPr="004675CE" w:rsidRDefault="00B0318A" w:rsidP="00934FCC">
                <w:pPr>
                  <w:rPr>
                    <w:rFonts w:ascii="Arial" w:hAnsi="Arial" w:cs="Arial"/>
                    <w:sz w:val="12"/>
                    <w:szCs w:val="12"/>
                  </w:rPr>
                </w:pPr>
                <w:r w:rsidRPr="00B0318A">
                  <w:rPr>
                    <w:rFonts w:ascii="Arial" w:hAnsi="Arial" w:cs="Arial"/>
                    <w:noProof/>
                    <w:sz w:val="12"/>
                    <w:szCs w:val="12"/>
                  </w:rPr>
                  <w:t>1201259A-121122Z</w:t>
                </w:r>
              </w:p>
            </w:txbxContent>
          </v:textbox>
        </v:shape>
      </w:pict>
    </w:r>
    <w:r>
      <w:rPr>
        <w:noProof/>
      </w:rPr>
      <w:pict>
        <v:shape id="_x0000_s2391" type="#_x0000_t202" style="position:absolute;margin-left:-36pt;margin-top:188.55pt;width:349.5pt;height:41.4pt;z-index:251656192;mso-position-horizontal-relative:text;mso-position-vertical-relative:text" filled="f" stroked="f">
          <v:textbox style="mso-next-textbox:#_x0000_s2391">
            <w:txbxContent>
              <w:p w:rsidR="00B0318A" w:rsidRPr="004675CE" w:rsidRDefault="00B0318A" w:rsidP="009D25C5">
                <w:pPr>
                  <w:pStyle w:val="FooterDraft"/>
                </w:pPr>
              </w:p>
              <w:p w:rsidR="00B0318A" w:rsidRPr="004675CE" w:rsidRDefault="00B0318A" w:rsidP="00934FCC">
                <w:pPr>
                  <w:rPr>
                    <w:rFonts w:ascii="Arial" w:hAnsi="Arial" w:cs="Arial"/>
                    <w:sz w:val="12"/>
                    <w:szCs w:val="12"/>
                  </w:rPr>
                </w:pPr>
                <w:r w:rsidRPr="00B0318A">
                  <w:rPr>
                    <w:rFonts w:ascii="Arial" w:hAnsi="Arial" w:cs="Arial"/>
                    <w:noProof/>
                    <w:sz w:val="12"/>
                    <w:szCs w:val="12"/>
                  </w:rPr>
                  <w:t>1201259A-121122Z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Pr="00A41806" w:rsidRDefault="00B0318A" w:rsidP="00934FCC">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0318A" w:rsidRPr="00A41806">
      <w:tc>
        <w:tcPr>
          <w:tcW w:w="1191" w:type="dxa"/>
          <w:shd w:val="clear" w:color="auto" w:fill="auto"/>
        </w:tcPr>
        <w:p w:rsidR="00B0318A" w:rsidRPr="00A41806" w:rsidRDefault="00B0318A" w:rsidP="00934FCC">
          <w:pPr>
            <w:pStyle w:val="Footer"/>
            <w:spacing w:before="20"/>
          </w:pPr>
          <w:fldSimple w:instr=" REF Year \*Charformat ">
            <w:r w:rsidR="00B53F88">
              <w:t>2012</w:t>
            </w:r>
          </w:fldSimple>
          <w:r w:rsidRPr="00A41806">
            <w:t xml:space="preserve">, </w:t>
          </w:r>
          <w:fldSimple w:instr=" REF refno \*Charformat ">
            <w:r w:rsidR="00B53F88">
              <w:t>313</w:t>
            </w:r>
          </w:fldSimple>
        </w:p>
      </w:tc>
      <w:tc>
        <w:tcPr>
          <w:tcW w:w="4820" w:type="dxa"/>
          <w:shd w:val="clear" w:color="auto" w:fill="auto"/>
        </w:tcPr>
        <w:p w:rsidR="00B0318A" w:rsidRPr="00EF2F9D" w:rsidRDefault="00B0318A" w:rsidP="00934FCC">
          <w:pPr>
            <w:pStyle w:val="FooterCitation"/>
          </w:pPr>
          <w:fldSimple w:instr=" REF  Citation\*charformat ">
            <w:r w:rsidR="00B53F88">
              <w:t>National Consumer Credit Protection Amendment Regulation 2012 (No. 3)</w:t>
            </w:r>
          </w:fldSimple>
        </w:p>
      </w:tc>
      <w:tc>
        <w:tcPr>
          <w:tcW w:w="1134" w:type="dxa"/>
          <w:shd w:val="clear" w:color="auto" w:fill="auto"/>
        </w:tcPr>
        <w:p w:rsidR="00B0318A" w:rsidRPr="00845B98" w:rsidRDefault="00B0318A" w:rsidP="00934FCC">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B53F88">
            <w:rPr>
              <w:rStyle w:val="PageNumber"/>
              <w:noProof/>
            </w:rPr>
            <w:t>2</w:t>
          </w:r>
          <w:r w:rsidRPr="00845B98">
            <w:rPr>
              <w:rStyle w:val="PageNumber"/>
            </w:rPr>
            <w:fldChar w:fldCharType="end"/>
          </w:r>
        </w:p>
      </w:tc>
    </w:tr>
  </w:tbl>
  <w:p w:rsidR="00B0318A" w:rsidRPr="00A41806" w:rsidRDefault="00B0318A" w:rsidP="00934FCC">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5168;mso-position-horizontal-relative:text;mso-position-vertical-relative:page" filled="f" stroked="f">
          <v:textbox style="mso-next-textbox:#_x0000_s2390" inset="0,0,0,0">
            <w:txbxContent>
              <w:p w:rsidR="00B0318A" w:rsidRPr="00B53F88" w:rsidRDefault="00B0318A" w:rsidP="00B53F88"/>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Pr="00556EB9" w:rsidRDefault="00B0318A" w:rsidP="00934FCC">
    <w:pPr>
      <w:pStyle w:val="FooterCitation"/>
    </w:pPr>
    <w:r>
      <w:rPr>
        <w:noProof/>
      </w:rPr>
      <w:t>G:\Drafting-Unit 2\#final 12xxxxx\1201259A Nat Con Credit Protect Amend Reg 2012\1201259A-121122Z.doc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98A" w:rsidRDefault="0097498A">
      <w:r>
        <w:separator/>
      </w:r>
    </w:p>
  </w:footnote>
  <w:footnote w:type="continuationSeparator" w:id="0">
    <w:p w:rsidR="0097498A" w:rsidRDefault="00974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B0318A">
      <w:tc>
        <w:tcPr>
          <w:tcW w:w="1531" w:type="dxa"/>
        </w:tcPr>
        <w:p w:rsidR="00B0318A" w:rsidRDefault="00B0318A">
          <w:pPr>
            <w:pStyle w:val="HeaderLiteEven"/>
          </w:pPr>
        </w:p>
      </w:tc>
      <w:tc>
        <w:tcPr>
          <w:tcW w:w="5636" w:type="dxa"/>
          <w:vAlign w:val="bottom"/>
        </w:tcPr>
        <w:p w:rsidR="00B0318A" w:rsidRDefault="00B0318A">
          <w:pPr>
            <w:pStyle w:val="HeaderLiteEven"/>
          </w:pPr>
        </w:p>
      </w:tc>
    </w:tr>
    <w:tr w:rsidR="00B0318A">
      <w:tc>
        <w:tcPr>
          <w:tcW w:w="1531" w:type="dxa"/>
        </w:tcPr>
        <w:p w:rsidR="00B0318A" w:rsidRDefault="00B0318A">
          <w:pPr>
            <w:pStyle w:val="HeaderLiteEven"/>
          </w:pPr>
        </w:p>
      </w:tc>
      <w:tc>
        <w:tcPr>
          <w:tcW w:w="5636" w:type="dxa"/>
          <w:vAlign w:val="bottom"/>
        </w:tcPr>
        <w:p w:rsidR="00B0318A" w:rsidRDefault="00B0318A">
          <w:pPr>
            <w:pStyle w:val="HeaderLiteEven"/>
          </w:pPr>
        </w:p>
      </w:tc>
    </w:tr>
    <w:tr w:rsidR="00B0318A">
      <w:tc>
        <w:tcPr>
          <w:tcW w:w="5636" w:type="dxa"/>
          <w:gridSpan w:val="2"/>
          <w:tcBorders>
            <w:bottom w:val="single" w:sz="4" w:space="0" w:color="auto"/>
          </w:tcBorders>
          <w:shd w:val="clear" w:color="auto" w:fill="auto"/>
        </w:tcPr>
        <w:p w:rsidR="00B0318A" w:rsidRDefault="00B0318A">
          <w:pPr>
            <w:pStyle w:val="HeaderBoldEven"/>
          </w:pPr>
        </w:p>
      </w:tc>
    </w:tr>
  </w:tbl>
  <w:p w:rsidR="00B0318A" w:rsidRDefault="00B0318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B0318A">
      <w:tc>
        <w:tcPr>
          <w:tcW w:w="5636" w:type="dxa"/>
          <w:vAlign w:val="bottom"/>
        </w:tcPr>
        <w:p w:rsidR="00B0318A" w:rsidRDefault="00B0318A">
          <w:pPr>
            <w:pStyle w:val="HeaderLiteOdd"/>
          </w:pPr>
          <w:r>
            <w:fldChar w:fldCharType="begin"/>
          </w:r>
          <w:r>
            <w:instrText xml:space="preserve"> If </w:instrText>
          </w:r>
          <w:fldSimple w:instr=" STYLEREF CharAmSchText \*Charformat \l ">
            <w:r w:rsidR="00B53F88">
              <w:rPr>
                <w:noProof/>
              </w:rPr>
              <w:instrText>Amendments commencing on 1 March 2013</w:instrText>
            </w:r>
          </w:fldSimple>
          <w:r>
            <w:instrText xml:space="preserve"> &lt;&gt; "Error*" </w:instrText>
          </w:r>
          <w:fldSimple w:instr=" STYLEREF CharAmSchText \*Charformat \l ">
            <w:r w:rsidR="00B53F88">
              <w:rPr>
                <w:noProof/>
              </w:rPr>
              <w:instrText>Amendments commencing on 1 March 2013</w:instrText>
            </w:r>
          </w:fldSimple>
          <w:r>
            <w:instrText xml:space="preserve"> </w:instrText>
          </w:r>
          <w:r>
            <w:fldChar w:fldCharType="separate"/>
          </w:r>
          <w:r w:rsidR="00B53F88">
            <w:rPr>
              <w:noProof/>
            </w:rPr>
            <w:t>Amendments commencing on 1 March 2013</w:t>
          </w:r>
          <w:r>
            <w:fldChar w:fldCharType="end"/>
          </w:r>
        </w:p>
      </w:tc>
      <w:tc>
        <w:tcPr>
          <w:tcW w:w="1531" w:type="dxa"/>
        </w:tcPr>
        <w:p w:rsidR="00B0318A" w:rsidRDefault="00B0318A">
          <w:pPr>
            <w:pStyle w:val="HeaderLiteOdd"/>
          </w:pPr>
          <w:r>
            <w:fldChar w:fldCharType="begin"/>
          </w:r>
          <w:r>
            <w:instrText xml:space="preserve"> If </w:instrText>
          </w:r>
          <w:fldSimple w:instr=" STYLEREF CharAmSchNo \*Charformat \l ">
            <w:r w:rsidR="00B53F88">
              <w:rPr>
                <w:noProof/>
              </w:rPr>
              <w:instrText>Schedule 2</w:instrText>
            </w:r>
          </w:fldSimple>
          <w:r>
            <w:instrText xml:space="preserve"> &lt;&gt; "Error*" </w:instrText>
          </w:r>
          <w:fldSimple w:instr=" STYLEREF CharAmSchNo \*Charformat \l ">
            <w:r w:rsidR="00B53F88">
              <w:rPr>
                <w:noProof/>
              </w:rPr>
              <w:instrText>Schedule 2</w:instrText>
            </w:r>
          </w:fldSimple>
          <w:r>
            <w:instrText xml:space="preserve"> </w:instrText>
          </w:r>
          <w:r>
            <w:fldChar w:fldCharType="separate"/>
          </w:r>
          <w:r w:rsidR="00B53F88">
            <w:rPr>
              <w:noProof/>
            </w:rPr>
            <w:t>Schedule 2</w:t>
          </w:r>
          <w:r>
            <w:fldChar w:fldCharType="end"/>
          </w:r>
        </w:p>
      </w:tc>
    </w:tr>
    <w:tr w:rsidR="00B0318A">
      <w:tc>
        <w:tcPr>
          <w:tcW w:w="5636" w:type="dxa"/>
          <w:vAlign w:val="bottom"/>
        </w:tcPr>
        <w:p w:rsidR="00B0318A" w:rsidRDefault="00B0318A">
          <w:pPr>
            <w:pStyle w:val="HeaderLiteOdd"/>
          </w:pPr>
        </w:p>
      </w:tc>
      <w:tc>
        <w:tcPr>
          <w:tcW w:w="1531" w:type="dxa"/>
        </w:tcPr>
        <w:p w:rsidR="00B0318A" w:rsidRDefault="00B0318A">
          <w:pPr>
            <w:pStyle w:val="HeaderLiteOdd"/>
          </w:pPr>
        </w:p>
      </w:tc>
    </w:tr>
    <w:tr w:rsidR="00B0318A">
      <w:tc>
        <w:tcPr>
          <w:tcW w:w="7167" w:type="dxa"/>
          <w:gridSpan w:val="2"/>
          <w:tcBorders>
            <w:bottom w:val="single" w:sz="4" w:space="0" w:color="auto"/>
          </w:tcBorders>
          <w:shd w:val="clear" w:color="auto" w:fill="auto"/>
        </w:tcPr>
        <w:p w:rsidR="00B0318A" w:rsidRDefault="00B0318A" w:rsidP="00934FCC">
          <w:pPr>
            <w:pStyle w:val="HeaderBoldOdd"/>
          </w:pPr>
        </w:p>
      </w:tc>
    </w:tr>
  </w:tbl>
  <w:p w:rsidR="00B0318A" w:rsidRDefault="00B0318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Default="00B0318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B0318A">
      <w:tc>
        <w:tcPr>
          <w:tcW w:w="7167" w:type="dxa"/>
        </w:tcPr>
        <w:p w:rsidR="00B0318A" w:rsidRDefault="00B0318A">
          <w:pPr>
            <w:pStyle w:val="HeaderLiteEven"/>
          </w:pPr>
          <w:r>
            <w:t>Note</w:t>
          </w:r>
        </w:p>
      </w:tc>
    </w:tr>
    <w:tr w:rsidR="00B0318A">
      <w:tc>
        <w:tcPr>
          <w:tcW w:w="7167" w:type="dxa"/>
        </w:tcPr>
        <w:p w:rsidR="00B0318A" w:rsidRDefault="00B0318A">
          <w:pPr>
            <w:pStyle w:val="HeaderLiteEven"/>
          </w:pPr>
        </w:p>
      </w:tc>
    </w:tr>
    <w:tr w:rsidR="00B0318A">
      <w:tc>
        <w:tcPr>
          <w:tcW w:w="7167" w:type="dxa"/>
          <w:tcBorders>
            <w:bottom w:val="single" w:sz="4" w:space="0" w:color="auto"/>
          </w:tcBorders>
          <w:shd w:val="clear" w:color="auto" w:fill="auto"/>
        </w:tcPr>
        <w:p w:rsidR="00B0318A" w:rsidRDefault="00B0318A">
          <w:pPr>
            <w:pStyle w:val="HeaderBoldEven"/>
          </w:pPr>
        </w:p>
      </w:tc>
    </w:tr>
  </w:tbl>
  <w:p w:rsidR="00B0318A" w:rsidRDefault="00B0318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B0318A">
      <w:tc>
        <w:tcPr>
          <w:tcW w:w="7167" w:type="dxa"/>
        </w:tcPr>
        <w:p w:rsidR="00B0318A" w:rsidRDefault="00B0318A">
          <w:pPr>
            <w:pStyle w:val="HeaderLiteOdd"/>
          </w:pPr>
          <w:r>
            <w:t>Note</w:t>
          </w:r>
        </w:p>
      </w:tc>
    </w:tr>
    <w:tr w:rsidR="00B0318A">
      <w:tc>
        <w:tcPr>
          <w:tcW w:w="7167" w:type="dxa"/>
        </w:tcPr>
        <w:p w:rsidR="00B0318A" w:rsidRDefault="00B0318A">
          <w:pPr>
            <w:pStyle w:val="HeaderLiteOdd"/>
          </w:pPr>
        </w:p>
      </w:tc>
    </w:tr>
    <w:tr w:rsidR="00B0318A">
      <w:tc>
        <w:tcPr>
          <w:tcW w:w="7167" w:type="dxa"/>
          <w:tcBorders>
            <w:bottom w:val="single" w:sz="4" w:space="0" w:color="auto"/>
          </w:tcBorders>
          <w:shd w:val="clear" w:color="auto" w:fill="auto"/>
        </w:tcPr>
        <w:p w:rsidR="00B0318A" w:rsidRDefault="00B0318A">
          <w:pPr>
            <w:pStyle w:val="HeaderBoldOdd"/>
          </w:pPr>
        </w:p>
      </w:tc>
    </w:tr>
  </w:tbl>
  <w:p w:rsidR="00B0318A" w:rsidRDefault="00B0318A"/>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Default="00B0318A">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B0318A">
      <w:tc>
        <w:tcPr>
          <w:tcW w:w="1531" w:type="dxa"/>
        </w:tcPr>
        <w:p w:rsidR="00B0318A" w:rsidRDefault="00B0318A" w:rsidP="004B0996">
          <w:pPr>
            <w:pStyle w:val="HeaderLiteEven"/>
          </w:pPr>
        </w:p>
      </w:tc>
      <w:tc>
        <w:tcPr>
          <w:tcW w:w="5636" w:type="dxa"/>
        </w:tcPr>
        <w:p w:rsidR="00B0318A" w:rsidRDefault="00B0318A" w:rsidP="004B0996">
          <w:pPr>
            <w:pStyle w:val="HeaderLiteEven"/>
          </w:pPr>
        </w:p>
      </w:tc>
    </w:tr>
    <w:tr w:rsidR="00B0318A">
      <w:tc>
        <w:tcPr>
          <w:tcW w:w="1531" w:type="dxa"/>
        </w:tcPr>
        <w:p w:rsidR="00B0318A" w:rsidRDefault="00B0318A" w:rsidP="004B0996">
          <w:pPr>
            <w:pStyle w:val="HeaderLiteEven"/>
          </w:pPr>
        </w:p>
      </w:tc>
      <w:tc>
        <w:tcPr>
          <w:tcW w:w="5636" w:type="dxa"/>
        </w:tcPr>
        <w:p w:rsidR="00B0318A" w:rsidRDefault="00B0318A" w:rsidP="004B0996">
          <w:pPr>
            <w:pStyle w:val="HeaderLiteEven"/>
          </w:pPr>
        </w:p>
      </w:tc>
    </w:tr>
    <w:tr w:rsidR="00B0318A">
      <w:tc>
        <w:tcPr>
          <w:tcW w:w="1531" w:type="dxa"/>
        </w:tcPr>
        <w:p w:rsidR="00B0318A" w:rsidRDefault="00B0318A" w:rsidP="004B0996">
          <w:pPr>
            <w:pStyle w:val="HeaderBoldEven"/>
          </w:pPr>
        </w:p>
      </w:tc>
      <w:tc>
        <w:tcPr>
          <w:tcW w:w="5636" w:type="dxa"/>
        </w:tcPr>
        <w:p w:rsidR="00B0318A" w:rsidRDefault="00B0318A" w:rsidP="004B0996">
          <w:pPr>
            <w:pStyle w:val="HeaderBoldEven"/>
          </w:pPr>
        </w:p>
      </w:tc>
    </w:tr>
  </w:tbl>
  <w:p w:rsidR="00B0318A" w:rsidRDefault="00B0318A">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B0318A">
      <w:tc>
        <w:tcPr>
          <w:tcW w:w="1531" w:type="dxa"/>
        </w:tcPr>
        <w:p w:rsidR="00B0318A" w:rsidRDefault="00B0318A">
          <w:pPr>
            <w:pStyle w:val="HeaderLiteOdd"/>
          </w:pPr>
        </w:p>
      </w:tc>
      <w:tc>
        <w:tcPr>
          <w:tcW w:w="1531" w:type="dxa"/>
        </w:tcPr>
        <w:p w:rsidR="00B0318A" w:rsidRDefault="00B0318A">
          <w:pPr>
            <w:pStyle w:val="HeaderLiteOdd"/>
          </w:pPr>
        </w:p>
      </w:tc>
    </w:tr>
    <w:tr w:rsidR="00B0318A">
      <w:tc>
        <w:tcPr>
          <w:tcW w:w="1531" w:type="dxa"/>
        </w:tcPr>
        <w:p w:rsidR="00B0318A" w:rsidRDefault="00B0318A">
          <w:pPr>
            <w:pStyle w:val="HeaderLiteOdd"/>
          </w:pPr>
        </w:p>
      </w:tc>
      <w:tc>
        <w:tcPr>
          <w:tcW w:w="1531" w:type="dxa"/>
        </w:tcPr>
        <w:p w:rsidR="00B0318A" w:rsidRDefault="00B0318A">
          <w:pPr>
            <w:pStyle w:val="HeaderLiteOdd"/>
          </w:pPr>
        </w:p>
      </w:tc>
    </w:tr>
    <w:tr w:rsidR="00B0318A">
      <w:tc>
        <w:tcPr>
          <w:tcW w:w="5636" w:type="dxa"/>
          <w:tcBorders>
            <w:bottom w:val="single" w:sz="4" w:space="0" w:color="auto"/>
          </w:tcBorders>
        </w:tcPr>
        <w:p w:rsidR="00B0318A" w:rsidRDefault="00B0318A">
          <w:pPr>
            <w:pStyle w:val="HeaderBoldOdd"/>
          </w:pPr>
        </w:p>
      </w:tc>
      <w:tc>
        <w:tcPr>
          <w:tcW w:w="1531" w:type="dxa"/>
          <w:tcBorders>
            <w:bottom w:val="single" w:sz="4" w:space="0" w:color="auto"/>
          </w:tcBorders>
        </w:tcPr>
        <w:p w:rsidR="00B0318A" w:rsidRDefault="00B0318A">
          <w:pPr>
            <w:pStyle w:val="HeaderBoldOdd"/>
          </w:pPr>
        </w:p>
      </w:tc>
    </w:tr>
  </w:tbl>
  <w:p w:rsidR="00B0318A" w:rsidRDefault="00B031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B0318A">
      <w:tc>
        <w:tcPr>
          <w:tcW w:w="5636" w:type="dxa"/>
          <w:vAlign w:val="bottom"/>
        </w:tcPr>
        <w:p w:rsidR="00B0318A" w:rsidRDefault="00B0318A">
          <w:pPr>
            <w:pStyle w:val="HeaderLiteOdd"/>
          </w:pPr>
        </w:p>
      </w:tc>
      <w:tc>
        <w:tcPr>
          <w:tcW w:w="1531" w:type="dxa"/>
        </w:tcPr>
        <w:p w:rsidR="00B0318A" w:rsidRDefault="00B0318A">
          <w:pPr>
            <w:pStyle w:val="HeaderLiteOdd"/>
          </w:pPr>
        </w:p>
      </w:tc>
    </w:tr>
    <w:tr w:rsidR="00B0318A">
      <w:tc>
        <w:tcPr>
          <w:tcW w:w="5636" w:type="dxa"/>
          <w:vAlign w:val="bottom"/>
        </w:tcPr>
        <w:p w:rsidR="00B0318A" w:rsidRDefault="00B0318A">
          <w:pPr>
            <w:pStyle w:val="HeaderLiteOdd"/>
          </w:pPr>
        </w:p>
      </w:tc>
      <w:tc>
        <w:tcPr>
          <w:tcW w:w="1531" w:type="dxa"/>
        </w:tcPr>
        <w:p w:rsidR="00B0318A" w:rsidRDefault="00B0318A">
          <w:pPr>
            <w:pStyle w:val="HeaderLiteOdd"/>
          </w:pPr>
        </w:p>
      </w:tc>
    </w:tr>
    <w:tr w:rsidR="00B0318A">
      <w:tc>
        <w:tcPr>
          <w:tcW w:w="5636" w:type="dxa"/>
          <w:gridSpan w:val="2"/>
          <w:tcBorders>
            <w:bottom w:val="single" w:sz="4" w:space="0" w:color="auto"/>
          </w:tcBorders>
          <w:shd w:val="clear" w:color="auto" w:fill="auto"/>
        </w:tcPr>
        <w:p w:rsidR="00B0318A" w:rsidRDefault="00B0318A">
          <w:pPr>
            <w:pStyle w:val="HeaderBoldOdd"/>
          </w:pPr>
        </w:p>
      </w:tc>
    </w:tr>
  </w:tbl>
  <w:p w:rsidR="00B0318A" w:rsidRDefault="00B031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B0318A">
      <w:tc>
        <w:tcPr>
          <w:tcW w:w="1531" w:type="dxa"/>
        </w:tcPr>
        <w:p w:rsidR="00B0318A" w:rsidRDefault="00B0318A">
          <w:pPr>
            <w:pStyle w:val="HeaderLiteEven"/>
          </w:pPr>
          <w:r>
            <w:t>Contents</w:t>
          </w:r>
        </w:p>
      </w:tc>
      <w:tc>
        <w:tcPr>
          <w:tcW w:w="5636" w:type="dxa"/>
          <w:vAlign w:val="bottom"/>
        </w:tcPr>
        <w:p w:rsidR="00B0318A" w:rsidRDefault="00B0318A">
          <w:pPr>
            <w:pStyle w:val="HeaderLiteEven"/>
          </w:pPr>
        </w:p>
      </w:tc>
    </w:tr>
    <w:tr w:rsidR="00B0318A">
      <w:tc>
        <w:tcPr>
          <w:tcW w:w="1531" w:type="dxa"/>
        </w:tcPr>
        <w:p w:rsidR="00B0318A" w:rsidRDefault="00B0318A">
          <w:pPr>
            <w:pStyle w:val="HeaderLiteEven"/>
          </w:pPr>
        </w:p>
      </w:tc>
      <w:tc>
        <w:tcPr>
          <w:tcW w:w="5636" w:type="dxa"/>
          <w:vAlign w:val="bottom"/>
        </w:tcPr>
        <w:p w:rsidR="00B0318A" w:rsidRDefault="00B0318A">
          <w:pPr>
            <w:pStyle w:val="HeaderLiteEven"/>
          </w:pPr>
        </w:p>
      </w:tc>
    </w:tr>
    <w:tr w:rsidR="00B0318A">
      <w:tc>
        <w:tcPr>
          <w:tcW w:w="7167" w:type="dxa"/>
          <w:gridSpan w:val="2"/>
          <w:tcBorders>
            <w:bottom w:val="single" w:sz="4" w:space="0" w:color="auto"/>
          </w:tcBorders>
          <w:shd w:val="clear" w:color="auto" w:fill="auto"/>
        </w:tcPr>
        <w:p w:rsidR="00B0318A" w:rsidRDefault="00B0318A">
          <w:pPr>
            <w:pStyle w:val="HeaderBoldEven"/>
          </w:pPr>
        </w:p>
      </w:tc>
    </w:tr>
  </w:tbl>
  <w:p w:rsidR="00B0318A" w:rsidRDefault="00B0318A">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B0318A">
      <w:tc>
        <w:tcPr>
          <w:tcW w:w="5636" w:type="dxa"/>
          <w:vAlign w:val="bottom"/>
        </w:tcPr>
        <w:p w:rsidR="00B0318A" w:rsidRDefault="00B0318A">
          <w:pPr>
            <w:pStyle w:val="HeaderLiteOdd"/>
          </w:pPr>
        </w:p>
      </w:tc>
      <w:tc>
        <w:tcPr>
          <w:tcW w:w="1531" w:type="dxa"/>
        </w:tcPr>
        <w:p w:rsidR="00B0318A" w:rsidRDefault="00B0318A">
          <w:pPr>
            <w:pStyle w:val="HeaderLiteOdd"/>
          </w:pPr>
          <w:r>
            <w:t>Contents</w:t>
          </w:r>
        </w:p>
      </w:tc>
    </w:tr>
    <w:tr w:rsidR="00B0318A">
      <w:tc>
        <w:tcPr>
          <w:tcW w:w="5636" w:type="dxa"/>
          <w:vAlign w:val="bottom"/>
        </w:tcPr>
        <w:p w:rsidR="00B0318A" w:rsidRDefault="00B0318A">
          <w:pPr>
            <w:pStyle w:val="HeaderLiteOdd"/>
          </w:pPr>
        </w:p>
      </w:tc>
      <w:tc>
        <w:tcPr>
          <w:tcW w:w="1531" w:type="dxa"/>
        </w:tcPr>
        <w:p w:rsidR="00B0318A" w:rsidRDefault="00B0318A">
          <w:pPr>
            <w:pStyle w:val="HeaderLiteOdd"/>
          </w:pPr>
        </w:p>
      </w:tc>
    </w:tr>
    <w:tr w:rsidR="00B0318A">
      <w:tc>
        <w:tcPr>
          <w:tcW w:w="7167" w:type="dxa"/>
          <w:gridSpan w:val="2"/>
          <w:tcBorders>
            <w:bottom w:val="single" w:sz="4" w:space="0" w:color="auto"/>
          </w:tcBorders>
          <w:shd w:val="clear" w:color="auto" w:fill="auto"/>
        </w:tcPr>
        <w:p w:rsidR="00B0318A" w:rsidRDefault="00B0318A">
          <w:pPr>
            <w:pStyle w:val="HeaderBoldOdd"/>
          </w:pPr>
        </w:p>
      </w:tc>
    </w:tr>
  </w:tbl>
  <w:p w:rsidR="00B0318A" w:rsidRDefault="00B0318A">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Default="00B0318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B0318A">
      <w:tc>
        <w:tcPr>
          <w:tcW w:w="1531" w:type="dxa"/>
        </w:tcPr>
        <w:p w:rsidR="00B0318A" w:rsidRDefault="00B0318A">
          <w:pPr>
            <w:pStyle w:val="HeaderLiteEven"/>
          </w:pPr>
        </w:p>
      </w:tc>
      <w:tc>
        <w:tcPr>
          <w:tcW w:w="5636" w:type="dxa"/>
          <w:vAlign w:val="bottom"/>
        </w:tcPr>
        <w:p w:rsidR="00B0318A" w:rsidRDefault="00B0318A">
          <w:pPr>
            <w:pStyle w:val="HeaderLiteEven"/>
          </w:pPr>
        </w:p>
      </w:tc>
    </w:tr>
    <w:tr w:rsidR="00B0318A">
      <w:tc>
        <w:tcPr>
          <w:tcW w:w="1531" w:type="dxa"/>
        </w:tcPr>
        <w:p w:rsidR="00B0318A" w:rsidRDefault="00B0318A">
          <w:pPr>
            <w:pStyle w:val="HeaderLiteEven"/>
          </w:pPr>
        </w:p>
      </w:tc>
      <w:tc>
        <w:tcPr>
          <w:tcW w:w="5636" w:type="dxa"/>
          <w:vAlign w:val="bottom"/>
        </w:tcPr>
        <w:p w:rsidR="00B0318A" w:rsidRDefault="00B0318A">
          <w:pPr>
            <w:pStyle w:val="HeaderLiteEven"/>
          </w:pPr>
        </w:p>
      </w:tc>
    </w:tr>
    <w:tr w:rsidR="00B0318A">
      <w:tc>
        <w:tcPr>
          <w:tcW w:w="7167" w:type="dxa"/>
          <w:gridSpan w:val="2"/>
          <w:tcBorders>
            <w:bottom w:val="single" w:sz="4" w:space="0" w:color="auto"/>
          </w:tcBorders>
          <w:shd w:val="clear" w:color="auto" w:fill="auto"/>
        </w:tcPr>
        <w:p w:rsidR="00B0318A" w:rsidRPr="00BC682E" w:rsidRDefault="00B0318A" w:rsidP="00934FCC">
          <w:pPr>
            <w:pStyle w:val="HeaderBoldEven"/>
          </w:pPr>
          <w:r>
            <w:t xml:space="preserve">Section </w:t>
          </w:r>
          <w:r w:rsidRPr="00BC682E">
            <w:fldChar w:fldCharType="begin"/>
          </w:r>
          <w:r w:rsidRPr="00BC682E">
            <w:instrText xml:space="preserve"> If </w:instrText>
          </w:r>
          <w:fldSimple w:instr=" STYLEREF CharSectnoAm \*Charformat ">
            <w:r w:rsidR="00B53F88">
              <w:rPr>
                <w:noProof/>
              </w:rPr>
              <w:instrText>1</w:instrText>
            </w:r>
          </w:fldSimple>
          <w:r w:rsidRPr="00BC682E">
            <w:instrText xml:space="preserve"> &lt;&gt; "Error*" </w:instrText>
          </w:r>
          <w:fldSimple w:instr=" STYLEREF CharSectnoAm \*Charformat ">
            <w:r w:rsidR="00B53F88">
              <w:rPr>
                <w:noProof/>
              </w:rPr>
              <w:instrText>1</w:instrText>
            </w:r>
          </w:fldSimple>
          <w:r w:rsidRPr="00BC682E">
            <w:instrText xml:space="preserve"> </w:instrText>
          </w:r>
          <w:r w:rsidRPr="00BC682E">
            <w:fldChar w:fldCharType="separate"/>
          </w:r>
          <w:r w:rsidR="00B53F88">
            <w:rPr>
              <w:noProof/>
            </w:rPr>
            <w:t>1</w:t>
          </w:r>
          <w:r w:rsidRPr="00BC682E">
            <w:fldChar w:fldCharType="end"/>
          </w:r>
        </w:p>
      </w:tc>
    </w:tr>
  </w:tbl>
  <w:p w:rsidR="00B0318A" w:rsidRDefault="00B0318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B0318A">
      <w:tc>
        <w:tcPr>
          <w:tcW w:w="5636" w:type="dxa"/>
          <w:vAlign w:val="bottom"/>
        </w:tcPr>
        <w:p w:rsidR="00B0318A" w:rsidRDefault="00B0318A">
          <w:pPr>
            <w:pStyle w:val="HeaderLiteOdd"/>
          </w:pPr>
        </w:p>
      </w:tc>
      <w:tc>
        <w:tcPr>
          <w:tcW w:w="1531" w:type="dxa"/>
        </w:tcPr>
        <w:p w:rsidR="00B0318A" w:rsidRDefault="00B0318A">
          <w:pPr>
            <w:pStyle w:val="HeaderLiteOdd"/>
          </w:pPr>
        </w:p>
      </w:tc>
    </w:tr>
    <w:tr w:rsidR="00B0318A">
      <w:tc>
        <w:tcPr>
          <w:tcW w:w="5636" w:type="dxa"/>
          <w:vAlign w:val="bottom"/>
        </w:tcPr>
        <w:p w:rsidR="00B0318A" w:rsidRDefault="00B0318A">
          <w:pPr>
            <w:pStyle w:val="HeaderLiteOdd"/>
          </w:pPr>
        </w:p>
      </w:tc>
      <w:tc>
        <w:tcPr>
          <w:tcW w:w="1531" w:type="dxa"/>
        </w:tcPr>
        <w:p w:rsidR="00B0318A" w:rsidRDefault="00B0318A">
          <w:pPr>
            <w:pStyle w:val="HeaderLiteOdd"/>
          </w:pPr>
        </w:p>
      </w:tc>
    </w:tr>
    <w:tr w:rsidR="00B0318A">
      <w:tc>
        <w:tcPr>
          <w:tcW w:w="7167" w:type="dxa"/>
          <w:gridSpan w:val="2"/>
          <w:tcBorders>
            <w:bottom w:val="single" w:sz="4" w:space="0" w:color="auto"/>
          </w:tcBorders>
          <w:shd w:val="clear" w:color="auto" w:fill="auto"/>
        </w:tcPr>
        <w:p w:rsidR="00B0318A" w:rsidRPr="00BC682E" w:rsidRDefault="00B0318A">
          <w:pPr>
            <w:pStyle w:val="HeaderBoldOdd"/>
          </w:pPr>
          <w:r>
            <w:t xml:space="preserve">Section </w:t>
          </w:r>
          <w:r w:rsidRPr="00BC682E">
            <w:fldChar w:fldCharType="begin"/>
          </w:r>
          <w:r w:rsidRPr="00BC682E">
            <w:instrText xml:space="preserve"> If </w:instrText>
          </w:r>
          <w:fldSimple w:instr=" STYLEREF CharSectnoAm \*Charformat \l ">
            <w:r w:rsidR="00B53F88">
              <w:rPr>
                <w:noProof/>
              </w:rPr>
              <w:instrText>1</w:instrText>
            </w:r>
          </w:fldSimple>
          <w:r w:rsidRPr="00BC682E">
            <w:instrText xml:space="preserve"> &lt;&gt; "Error*" </w:instrText>
          </w:r>
          <w:fldSimple w:instr=" STYLEREF CharSectnoAm \*Charformat \l ">
            <w:r w:rsidR="00B53F88">
              <w:rPr>
                <w:noProof/>
              </w:rPr>
              <w:instrText>1</w:instrText>
            </w:r>
          </w:fldSimple>
          <w:r w:rsidRPr="00BC682E">
            <w:instrText xml:space="preserve"> </w:instrText>
          </w:r>
          <w:r w:rsidRPr="00BC682E">
            <w:fldChar w:fldCharType="separate"/>
          </w:r>
          <w:r w:rsidR="00B53F88">
            <w:rPr>
              <w:noProof/>
            </w:rPr>
            <w:t>1</w:t>
          </w:r>
          <w:r w:rsidRPr="00BC682E">
            <w:fldChar w:fldCharType="end"/>
          </w:r>
        </w:p>
      </w:tc>
    </w:tr>
  </w:tbl>
  <w:p w:rsidR="00B0318A" w:rsidRDefault="00B0318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A" w:rsidRDefault="00B0318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26"/>
      <w:gridCol w:w="5777"/>
    </w:tblGrid>
    <w:tr w:rsidR="00B0318A" w:rsidTr="004A1676">
      <w:tc>
        <w:tcPr>
          <w:tcW w:w="1526" w:type="dxa"/>
        </w:tcPr>
        <w:p w:rsidR="00B0318A" w:rsidRDefault="00B0318A">
          <w:pPr>
            <w:pStyle w:val="HeaderLiteEven"/>
          </w:pPr>
          <w:r>
            <w:fldChar w:fldCharType="begin"/>
          </w:r>
          <w:r>
            <w:instrText xml:space="preserve"> If </w:instrText>
          </w:r>
          <w:fldSimple w:instr=" STYLEREF CharAmSchNo \*Charformat ">
            <w:r w:rsidR="00B53F88">
              <w:rPr>
                <w:noProof/>
              </w:rPr>
              <w:instrText>Schedule 2</w:instrText>
            </w:r>
          </w:fldSimple>
          <w:r>
            <w:instrText xml:space="preserve"> &lt;&gt; "Error*" </w:instrText>
          </w:r>
          <w:fldSimple w:instr=" STYLEREF CharAmSchNo \*Charformat ">
            <w:r w:rsidR="00B53F88">
              <w:rPr>
                <w:noProof/>
              </w:rPr>
              <w:instrText>Schedule 2</w:instrText>
            </w:r>
          </w:fldSimple>
          <w:r>
            <w:instrText xml:space="preserve"> </w:instrText>
          </w:r>
          <w:r>
            <w:fldChar w:fldCharType="separate"/>
          </w:r>
          <w:r w:rsidR="00B53F88">
            <w:rPr>
              <w:noProof/>
            </w:rPr>
            <w:t>Schedule 2</w:t>
          </w:r>
          <w:r>
            <w:fldChar w:fldCharType="end"/>
          </w:r>
        </w:p>
      </w:tc>
      <w:tc>
        <w:tcPr>
          <w:tcW w:w="5777" w:type="dxa"/>
          <w:vAlign w:val="bottom"/>
        </w:tcPr>
        <w:p w:rsidR="00B0318A" w:rsidRDefault="00B0318A">
          <w:pPr>
            <w:pStyle w:val="HeaderLiteEven"/>
          </w:pPr>
          <w:r>
            <w:fldChar w:fldCharType="begin"/>
          </w:r>
          <w:r>
            <w:instrText xml:space="preserve"> If </w:instrText>
          </w:r>
          <w:fldSimple w:instr=" STYLEREF CharAmSchText \*Charformat ">
            <w:r w:rsidR="00B53F88">
              <w:rPr>
                <w:noProof/>
              </w:rPr>
              <w:instrText>Amendments commencing on 1 March 2013</w:instrText>
            </w:r>
          </w:fldSimple>
          <w:r>
            <w:instrText xml:space="preserve"> &lt;&gt; "Error*" </w:instrText>
          </w:r>
          <w:fldSimple w:instr=" STYLEREF CharAmSchText \*Charformat ">
            <w:r w:rsidR="00B53F88">
              <w:rPr>
                <w:noProof/>
              </w:rPr>
              <w:instrText>Amendments commencing on 1 March 2013</w:instrText>
            </w:r>
          </w:fldSimple>
          <w:r>
            <w:instrText xml:space="preserve"> </w:instrText>
          </w:r>
          <w:r>
            <w:fldChar w:fldCharType="separate"/>
          </w:r>
          <w:r w:rsidR="00B53F88">
            <w:rPr>
              <w:noProof/>
            </w:rPr>
            <w:t>Amendments commencing on 1 March 2013</w:t>
          </w:r>
          <w:r>
            <w:fldChar w:fldCharType="end"/>
          </w:r>
        </w:p>
      </w:tc>
    </w:tr>
    <w:tr w:rsidR="00B0318A" w:rsidTr="004A1676">
      <w:tc>
        <w:tcPr>
          <w:tcW w:w="1526" w:type="dxa"/>
        </w:tcPr>
        <w:p w:rsidR="00B0318A" w:rsidRDefault="00B0318A">
          <w:pPr>
            <w:pStyle w:val="HeaderLiteEven"/>
          </w:pPr>
        </w:p>
      </w:tc>
      <w:tc>
        <w:tcPr>
          <w:tcW w:w="5777" w:type="dxa"/>
          <w:vAlign w:val="bottom"/>
        </w:tcPr>
        <w:p w:rsidR="00B0318A" w:rsidRDefault="00B0318A">
          <w:pPr>
            <w:pStyle w:val="HeaderLiteEven"/>
          </w:pPr>
        </w:p>
      </w:tc>
    </w:tr>
    <w:tr w:rsidR="00B0318A" w:rsidTr="004A1676">
      <w:tc>
        <w:tcPr>
          <w:tcW w:w="7303" w:type="dxa"/>
          <w:gridSpan w:val="2"/>
          <w:tcBorders>
            <w:bottom w:val="single" w:sz="4" w:space="0" w:color="auto"/>
          </w:tcBorders>
          <w:shd w:val="clear" w:color="auto" w:fill="auto"/>
        </w:tcPr>
        <w:p w:rsidR="00B0318A" w:rsidRDefault="00B0318A" w:rsidP="00934FCC">
          <w:pPr>
            <w:pStyle w:val="HeaderBoldEven"/>
          </w:pPr>
        </w:p>
      </w:tc>
    </w:tr>
  </w:tbl>
  <w:p w:rsidR="00B0318A" w:rsidRDefault="00B031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4C03FC"/>
    <w:multiLevelType w:val="hybridMultilevel"/>
    <w:tmpl w:val="D18EBBA2"/>
    <w:lvl w:ilvl="0" w:tplc="FFFFFFFF">
      <w:start w:val="1"/>
      <w:numFmt w:val="bullet"/>
      <w:pStyle w:val="FormDo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0CF8"/>
    <w:rsid w:val="000019A9"/>
    <w:rsid w:val="00002328"/>
    <w:rsid w:val="000047FD"/>
    <w:rsid w:val="000056EE"/>
    <w:rsid w:val="00010203"/>
    <w:rsid w:val="00012432"/>
    <w:rsid w:val="00012A4E"/>
    <w:rsid w:val="00013A38"/>
    <w:rsid w:val="0001739E"/>
    <w:rsid w:val="00020180"/>
    <w:rsid w:val="00023FD2"/>
    <w:rsid w:val="000300FC"/>
    <w:rsid w:val="00031D1D"/>
    <w:rsid w:val="0003434D"/>
    <w:rsid w:val="0003498B"/>
    <w:rsid w:val="0004081D"/>
    <w:rsid w:val="0004238D"/>
    <w:rsid w:val="000472C2"/>
    <w:rsid w:val="000510B9"/>
    <w:rsid w:val="00051C9B"/>
    <w:rsid w:val="000530BA"/>
    <w:rsid w:val="000551A3"/>
    <w:rsid w:val="00055E25"/>
    <w:rsid w:val="00055E64"/>
    <w:rsid w:val="00065A0E"/>
    <w:rsid w:val="0006722F"/>
    <w:rsid w:val="00071791"/>
    <w:rsid w:val="000721B0"/>
    <w:rsid w:val="000734BB"/>
    <w:rsid w:val="000753EE"/>
    <w:rsid w:val="00075B3D"/>
    <w:rsid w:val="00076B35"/>
    <w:rsid w:val="00080A44"/>
    <w:rsid w:val="00085877"/>
    <w:rsid w:val="00086090"/>
    <w:rsid w:val="00086E1D"/>
    <w:rsid w:val="000871B3"/>
    <w:rsid w:val="0009271A"/>
    <w:rsid w:val="00092802"/>
    <w:rsid w:val="00095CC4"/>
    <w:rsid w:val="000A2217"/>
    <w:rsid w:val="000A3C52"/>
    <w:rsid w:val="000A5FC3"/>
    <w:rsid w:val="000B0A20"/>
    <w:rsid w:val="000B26C3"/>
    <w:rsid w:val="000B52F3"/>
    <w:rsid w:val="000B68A5"/>
    <w:rsid w:val="000B7A5D"/>
    <w:rsid w:val="000C18CA"/>
    <w:rsid w:val="000C2AB1"/>
    <w:rsid w:val="000C56FE"/>
    <w:rsid w:val="000C78B5"/>
    <w:rsid w:val="000D112D"/>
    <w:rsid w:val="000D1367"/>
    <w:rsid w:val="000D363E"/>
    <w:rsid w:val="000D7167"/>
    <w:rsid w:val="000D736B"/>
    <w:rsid w:val="000E081D"/>
    <w:rsid w:val="000E470D"/>
    <w:rsid w:val="000E5774"/>
    <w:rsid w:val="000F0DC6"/>
    <w:rsid w:val="000F140F"/>
    <w:rsid w:val="000F3758"/>
    <w:rsid w:val="0010019E"/>
    <w:rsid w:val="00102347"/>
    <w:rsid w:val="00110F98"/>
    <w:rsid w:val="0011161E"/>
    <w:rsid w:val="0011172E"/>
    <w:rsid w:val="00111E48"/>
    <w:rsid w:val="0011314E"/>
    <w:rsid w:val="00114286"/>
    <w:rsid w:val="00117290"/>
    <w:rsid w:val="00121B18"/>
    <w:rsid w:val="00122CA1"/>
    <w:rsid w:val="0012560F"/>
    <w:rsid w:val="00126D00"/>
    <w:rsid w:val="00133419"/>
    <w:rsid w:val="00134204"/>
    <w:rsid w:val="001363F5"/>
    <w:rsid w:val="00137EF4"/>
    <w:rsid w:val="00145C33"/>
    <w:rsid w:val="0014660D"/>
    <w:rsid w:val="001509A9"/>
    <w:rsid w:val="001510F9"/>
    <w:rsid w:val="00152824"/>
    <w:rsid w:val="00153593"/>
    <w:rsid w:val="001544DD"/>
    <w:rsid w:val="00156A5A"/>
    <w:rsid w:val="00157E82"/>
    <w:rsid w:val="001623F1"/>
    <w:rsid w:val="00164ABE"/>
    <w:rsid w:val="0016552E"/>
    <w:rsid w:val="001661B3"/>
    <w:rsid w:val="00171320"/>
    <w:rsid w:val="00171A0A"/>
    <w:rsid w:val="0017420C"/>
    <w:rsid w:val="0017447E"/>
    <w:rsid w:val="00176457"/>
    <w:rsid w:val="0017669E"/>
    <w:rsid w:val="00176BCE"/>
    <w:rsid w:val="00180CD3"/>
    <w:rsid w:val="00181145"/>
    <w:rsid w:val="00183275"/>
    <w:rsid w:val="001840EA"/>
    <w:rsid w:val="001857A1"/>
    <w:rsid w:val="00190D22"/>
    <w:rsid w:val="0019122F"/>
    <w:rsid w:val="00191B57"/>
    <w:rsid w:val="00196765"/>
    <w:rsid w:val="001A062E"/>
    <w:rsid w:val="001A25BD"/>
    <w:rsid w:val="001A2921"/>
    <w:rsid w:val="001A2B82"/>
    <w:rsid w:val="001A67D2"/>
    <w:rsid w:val="001A745A"/>
    <w:rsid w:val="001B4168"/>
    <w:rsid w:val="001B680B"/>
    <w:rsid w:val="001B750D"/>
    <w:rsid w:val="001C2D2D"/>
    <w:rsid w:val="001C4630"/>
    <w:rsid w:val="001C48B6"/>
    <w:rsid w:val="001C52FA"/>
    <w:rsid w:val="001C6C78"/>
    <w:rsid w:val="001C6E23"/>
    <w:rsid w:val="001D1730"/>
    <w:rsid w:val="001D2423"/>
    <w:rsid w:val="001D49E7"/>
    <w:rsid w:val="001D7DD2"/>
    <w:rsid w:val="001E07A7"/>
    <w:rsid w:val="001E1FF9"/>
    <w:rsid w:val="001E551F"/>
    <w:rsid w:val="001E7221"/>
    <w:rsid w:val="001F0F35"/>
    <w:rsid w:val="001F1819"/>
    <w:rsid w:val="001F204C"/>
    <w:rsid w:val="001F24CF"/>
    <w:rsid w:val="001F3D0A"/>
    <w:rsid w:val="0020253A"/>
    <w:rsid w:val="0020488A"/>
    <w:rsid w:val="0020650F"/>
    <w:rsid w:val="002125DA"/>
    <w:rsid w:val="00220EDA"/>
    <w:rsid w:val="00222DA1"/>
    <w:rsid w:val="00223A7F"/>
    <w:rsid w:val="002250FB"/>
    <w:rsid w:val="002271DC"/>
    <w:rsid w:val="00230352"/>
    <w:rsid w:val="00235708"/>
    <w:rsid w:val="00236609"/>
    <w:rsid w:val="00240CD1"/>
    <w:rsid w:val="00247E1E"/>
    <w:rsid w:val="00253EE7"/>
    <w:rsid w:val="00254B2F"/>
    <w:rsid w:val="00254C12"/>
    <w:rsid w:val="00255DE4"/>
    <w:rsid w:val="00260641"/>
    <w:rsid w:val="00262431"/>
    <w:rsid w:val="00265E15"/>
    <w:rsid w:val="00265ED0"/>
    <w:rsid w:val="002673BD"/>
    <w:rsid w:val="00270826"/>
    <w:rsid w:val="0027106F"/>
    <w:rsid w:val="002757D6"/>
    <w:rsid w:val="002870C2"/>
    <w:rsid w:val="002937F9"/>
    <w:rsid w:val="00293C63"/>
    <w:rsid w:val="002957A9"/>
    <w:rsid w:val="00296435"/>
    <w:rsid w:val="0029646C"/>
    <w:rsid w:val="00296E69"/>
    <w:rsid w:val="002A4A24"/>
    <w:rsid w:val="002A57A4"/>
    <w:rsid w:val="002B2A9A"/>
    <w:rsid w:val="002C0290"/>
    <w:rsid w:val="002C0E89"/>
    <w:rsid w:val="002C42F1"/>
    <w:rsid w:val="002C5254"/>
    <w:rsid w:val="002C5345"/>
    <w:rsid w:val="002C77BC"/>
    <w:rsid w:val="002C79E4"/>
    <w:rsid w:val="002C7F8D"/>
    <w:rsid w:val="002D35D3"/>
    <w:rsid w:val="002D658C"/>
    <w:rsid w:val="002E4402"/>
    <w:rsid w:val="002F05DB"/>
    <w:rsid w:val="002F11AE"/>
    <w:rsid w:val="002F149C"/>
    <w:rsid w:val="002F4715"/>
    <w:rsid w:val="002F7F66"/>
    <w:rsid w:val="00302D1D"/>
    <w:rsid w:val="00304F86"/>
    <w:rsid w:val="0030627F"/>
    <w:rsid w:val="00307011"/>
    <w:rsid w:val="00310CCF"/>
    <w:rsid w:val="00312BF2"/>
    <w:rsid w:val="003145DB"/>
    <w:rsid w:val="00314611"/>
    <w:rsid w:val="003229AA"/>
    <w:rsid w:val="00323901"/>
    <w:rsid w:val="003242D2"/>
    <w:rsid w:val="00325C10"/>
    <w:rsid w:val="003269CD"/>
    <w:rsid w:val="00327AAB"/>
    <w:rsid w:val="0033106A"/>
    <w:rsid w:val="00332345"/>
    <w:rsid w:val="003328BD"/>
    <w:rsid w:val="003332AF"/>
    <w:rsid w:val="00336768"/>
    <w:rsid w:val="00336E26"/>
    <w:rsid w:val="003412DC"/>
    <w:rsid w:val="00343A1B"/>
    <w:rsid w:val="00343EA6"/>
    <w:rsid w:val="00347380"/>
    <w:rsid w:val="00347ABE"/>
    <w:rsid w:val="00351600"/>
    <w:rsid w:val="003526D3"/>
    <w:rsid w:val="003567D5"/>
    <w:rsid w:val="003570F6"/>
    <w:rsid w:val="00363C3E"/>
    <w:rsid w:val="0036497C"/>
    <w:rsid w:val="00364DB8"/>
    <w:rsid w:val="00365485"/>
    <w:rsid w:val="00365707"/>
    <w:rsid w:val="00366209"/>
    <w:rsid w:val="003722D5"/>
    <w:rsid w:val="00374DBE"/>
    <w:rsid w:val="00377772"/>
    <w:rsid w:val="00377C91"/>
    <w:rsid w:val="003801F5"/>
    <w:rsid w:val="00381762"/>
    <w:rsid w:val="0038715C"/>
    <w:rsid w:val="00390E65"/>
    <w:rsid w:val="00393A96"/>
    <w:rsid w:val="00395FAC"/>
    <w:rsid w:val="00396732"/>
    <w:rsid w:val="003A0C0D"/>
    <w:rsid w:val="003A271A"/>
    <w:rsid w:val="003A3291"/>
    <w:rsid w:val="003A358A"/>
    <w:rsid w:val="003A3951"/>
    <w:rsid w:val="003A4C15"/>
    <w:rsid w:val="003B55ED"/>
    <w:rsid w:val="003B6D5C"/>
    <w:rsid w:val="003C1016"/>
    <w:rsid w:val="003C41F2"/>
    <w:rsid w:val="003C6D45"/>
    <w:rsid w:val="003C700C"/>
    <w:rsid w:val="003D0A16"/>
    <w:rsid w:val="003D1F25"/>
    <w:rsid w:val="003D20DD"/>
    <w:rsid w:val="003D5B35"/>
    <w:rsid w:val="003E04F2"/>
    <w:rsid w:val="003E5662"/>
    <w:rsid w:val="003E64C5"/>
    <w:rsid w:val="003E7FBF"/>
    <w:rsid w:val="003F18D4"/>
    <w:rsid w:val="003F1A97"/>
    <w:rsid w:val="003F1AF9"/>
    <w:rsid w:val="00400A9D"/>
    <w:rsid w:val="00402E52"/>
    <w:rsid w:val="00403373"/>
    <w:rsid w:val="00403AE4"/>
    <w:rsid w:val="00404964"/>
    <w:rsid w:val="0040581C"/>
    <w:rsid w:val="00406A94"/>
    <w:rsid w:val="004070A9"/>
    <w:rsid w:val="00411455"/>
    <w:rsid w:val="004120B2"/>
    <w:rsid w:val="00416A06"/>
    <w:rsid w:val="004207D7"/>
    <w:rsid w:val="00420E93"/>
    <w:rsid w:val="00424431"/>
    <w:rsid w:val="0042496B"/>
    <w:rsid w:val="00425581"/>
    <w:rsid w:val="00427249"/>
    <w:rsid w:val="00432E03"/>
    <w:rsid w:val="00440DE0"/>
    <w:rsid w:val="00441257"/>
    <w:rsid w:val="00442444"/>
    <w:rsid w:val="004454CF"/>
    <w:rsid w:val="0044728E"/>
    <w:rsid w:val="00447FF1"/>
    <w:rsid w:val="0045063A"/>
    <w:rsid w:val="00454D0B"/>
    <w:rsid w:val="00456454"/>
    <w:rsid w:val="00464359"/>
    <w:rsid w:val="00471344"/>
    <w:rsid w:val="0047221D"/>
    <w:rsid w:val="004742DF"/>
    <w:rsid w:val="004752A2"/>
    <w:rsid w:val="00477B83"/>
    <w:rsid w:val="00480BB9"/>
    <w:rsid w:val="004825F7"/>
    <w:rsid w:val="00482B0A"/>
    <w:rsid w:val="00487A4B"/>
    <w:rsid w:val="00492AF6"/>
    <w:rsid w:val="00495EBA"/>
    <w:rsid w:val="00495FD3"/>
    <w:rsid w:val="00496551"/>
    <w:rsid w:val="00497DA1"/>
    <w:rsid w:val="004A1676"/>
    <w:rsid w:val="004B088C"/>
    <w:rsid w:val="004B0996"/>
    <w:rsid w:val="004B13BC"/>
    <w:rsid w:val="004B1E60"/>
    <w:rsid w:val="004B3683"/>
    <w:rsid w:val="004B3B93"/>
    <w:rsid w:val="004B717C"/>
    <w:rsid w:val="004C0190"/>
    <w:rsid w:val="004C3A75"/>
    <w:rsid w:val="004C6D83"/>
    <w:rsid w:val="004D25B2"/>
    <w:rsid w:val="004D2CCB"/>
    <w:rsid w:val="004D460F"/>
    <w:rsid w:val="004E01BE"/>
    <w:rsid w:val="004E05ED"/>
    <w:rsid w:val="004E1500"/>
    <w:rsid w:val="004E3375"/>
    <w:rsid w:val="004E3516"/>
    <w:rsid w:val="004E6672"/>
    <w:rsid w:val="004E70BA"/>
    <w:rsid w:val="004F06B4"/>
    <w:rsid w:val="004F0A32"/>
    <w:rsid w:val="004F586F"/>
    <w:rsid w:val="004F6F63"/>
    <w:rsid w:val="004F739F"/>
    <w:rsid w:val="005069EE"/>
    <w:rsid w:val="00507C08"/>
    <w:rsid w:val="00512C3B"/>
    <w:rsid w:val="0051543A"/>
    <w:rsid w:val="00517E9B"/>
    <w:rsid w:val="0052196C"/>
    <w:rsid w:val="00524BE1"/>
    <w:rsid w:val="00524C2B"/>
    <w:rsid w:val="0052732A"/>
    <w:rsid w:val="00535BFA"/>
    <w:rsid w:val="00537100"/>
    <w:rsid w:val="005430FE"/>
    <w:rsid w:val="00553BBD"/>
    <w:rsid w:val="00553CCE"/>
    <w:rsid w:val="005547EB"/>
    <w:rsid w:val="005548F9"/>
    <w:rsid w:val="00555098"/>
    <w:rsid w:val="00560D28"/>
    <w:rsid w:val="00561460"/>
    <w:rsid w:val="00562F9D"/>
    <w:rsid w:val="00564001"/>
    <w:rsid w:val="0056559C"/>
    <w:rsid w:val="005665B2"/>
    <w:rsid w:val="00571FCD"/>
    <w:rsid w:val="005732A7"/>
    <w:rsid w:val="00574A09"/>
    <w:rsid w:val="00574CAE"/>
    <w:rsid w:val="00574CE6"/>
    <w:rsid w:val="00577475"/>
    <w:rsid w:val="00580E49"/>
    <w:rsid w:val="005818B9"/>
    <w:rsid w:val="00581E14"/>
    <w:rsid w:val="00584A71"/>
    <w:rsid w:val="005867F2"/>
    <w:rsid w:val="00590B66"/>
    <w:rsid w:val="005914FF"/>
    <w:rsid w:val="00594F6A"/>
    <w:rsid w:val="00596B78"/>
    <w:rsid w:val="005A04A5"/>
    <w:rsid w:val="005A0F53"/>
    <w:rsid w:val="005A2A56"/>
    <w:rsid w:val="005A388A"/>
    <w:rsid w:val="005A5E49"/>
    <w:rsid w:val="005A6529"/>
    <w:rsid w:val="005B19A9"/>
    <w:rsid w:val="005B2816"/>
    <w:rsid w:val="005B6215"/>
    <w:rsid w:val="005C1C06"/>
    <w:rsid w:val="005C20BB"/>
    <w:rsid w:val="005C3553"/>
    <w:rsid w:val="005C5586"/>
    <w:rsid w:val="005C70B1"/>
    <w:rsid w:val="005C713B"/>
    <w:rsid w:val="005C7760"/>
    <w:rsid w:val="005C7BB8"/>
    <w:rsid w:val="005D40F1"/>
    <w:rsid w:val="005D491C"/>
    <w:rsid w:val="005D5651"/>
    <w:rsid w:val="005D68FA"/>
    <w:rsid w:val="005D6F22"/>
    <w:rsid w:val="005E1A7D"/>
    <w:rsid w:val="005E3C9E"/>
    <w:rsid w:val="005E42DE"/>
    <w:rsid w:val="005E5309"/>
    <w:rsid w:val="005E5BF6"/>
    <w:rsid w:val="005E6D7C"/>
    <w:rsid w:val="005F17D7"/>
    <w:rsid w:val="005F5365"/>
    <w:rsid w:val="005F667E"/>
    <w:rsid w:val="0060499E"/>
    <w:rsid w:val="00610CB1"/>
    <w:rsid w:val="0061230F"/>
    <w:rsid w:val="00612688"/>
    <w:rsid w:val="006133D2"/>
    <w:rsid w:val="0062109B"/>
    <w:rsid w:val="006228F8"/>
    <w:rsid w:val="00625EBE"/>
    <w:rsid w:val="00626972"/>
    <w:rsid w:val="00630C62"/>
    <w:rsid w:val="006334F8"/>
    <w:rsid w:val="00641CB9"/>
    <w:rsid w:val="00642014"/>
    <w:rsid w:val="0064304E"/>
    <w:rsid w:val="00645165"/>
    <w:rsid w:val="00645A49"/>
    <w:rsid w:val="00646815"/>
    <w:rsid w:val="00647421"/>
    <w:rsid w:val="00647700"/>
    <w:rsid w:val="006503AC"/>
    <w:rsid w:val="0065051F"/>
    <w:rsid w:val="00651A97"/>
    <w:rsid w:val="006548E6"/>
    <w:rsid w:val="00657009"/>
    <w:rsid w:val="00657047"/>
    <w:rsid w:val="0065794A"/>
    <w:rsid w:val="00666109"/>
    <w:rsid w:val="006671F5"/>
    <w:rsid w:val="00672003"/>
    <w:rsid w:val="00672979"/>
    <w:rsid w:val="00675602"/>
    <w:rsid w:val="00675DB2"/>
    <w:rsid w:val="00680DF0"/>
    <w:rsid w:val="00683A29"/>
    <w:rsid w:val="00686152"/>
    <w:rsid w:val="00686485"/>
    <w:rsid w:val="00691AD5"/>
    <w:rsid w:val="006A0975"/>
    <w:rsid w:val="006A1BED"/>
    <w:rsid w:val="006A4638"/>
    <w:rsid w:val="006A4BA5"/>
    <w:rsid w:val="006B0B1F"/>
    <w:rsid w:val="006B141F"/>
    <w:rsid w:val="006B28EE"/>
    <w:rsid w:val="006B3F9E"/>
    <w:rsid w:val="006B6FE0"/>
    <w:rsid w:val="006C31CA"/>
    <w:rsid w:val="006C4BED"/>
    <w:rsid w:val="006C53D2"/>
    <w:rsid w:val="006C76D6"/>
    <w:rsid w:val="006C795D"/>
    <w:rsid w:val="006D0603"/>
    <w:rsid w:val="006D18DE"/>
    <w:rsid w:val="006E23CD"/>
    <w:rsid w:val="006E4B94"/>
    <w:rsid w:val="006E6AF8"/>
    <w:rsid w:val="006F2504"/>
    <w:rsid w:val="006F4850"/>
    <w:rsid w:val="007014F3"/>
    <w:rsid w:val="0070264A"/>
    <w:rsid w:val="007037DD"/>
    <w:rsid w:val="00711719"/>
    <w:rsid w:val="00714984"/>
    <w:rsid w:val="00715B04"/>
    <w:rsid w:val="00717563"/>
    <w:rsid w:val="00725A68"/>
    <w:rsid w:val="00730AB3"/>
    <w:rsid w:val="00731B99"/>
    <w:rsid w:val="00732425"/>
    <w:rsid w:val="00733D1E"/>
    <w:rsid w:val="00733ED9"/>
    <w:rsid w:val="0073521A"/>
    <w:rsid w:val="007352EF"/>
    <w:rsid w:val="00735B24"/>
    <w:rsid w:val="0073626E"/>
    <w:rsid w:val="0073761F"/>
    <w:rsid w:val="00737ACE"/>
    <w:rsid w:val="00741454"/>
    <w:rsid w:val="00741706"/>
    <w:rsid w:val="00742BE4"/>
    <w:rsid w:val="0074530F"/>
    <w:rsid w:val="007507CB"/>
    <w:rsid w:val="00750F54"/>
    <w:rsid w:val="007576E3"/>
    <w:rsid w:val="00757D9D"/>
    <w:rsid w:val="007600AC"/>
    <w:rsid w:val="00761E10"/>
    <w:rsid w:val="00761FB7"/>
    <w:rsid w:val="007640FB"/>
    <w:rsid w:val="00767850"/>
    <w:rsid w:val="00772F15"/>
    <w:rsid w:val="007755B6"/>
    <w:rsid w:val="00776570"/>
    <w:rsid w:val="00776AB2"/>
    <w:rsid w:val="0077765E"/>
    <w:rsid w:val="007803FF"/>
    <w:rsid w:val="007805B7"/>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7801"/>
    <w:rsid w:val="007B0E83"/>
    <w:rsid w:val="007B2F3B"/>
    <w:rsid w:val="007B5948"/>
    <w:rsid w:val="007C012A"/>
    <w:rsid w:val="007C0378"/>
    <w:rsid w:val="007C18C3"/>
    <w:rsid w:val="007C23A0"/>
    <w:rsid w:val="007C27A1"/>
    <w:rsid w:val="007C378E"/>
    <w:rsid w:val="007C49D9"/>
    <w:rsid w:val="007C7B42"/>
    <w:rsid w:val="007C7ED2"/>
    <w:rsid w:val="007D1730"/>
    <w:rsid w:val="007D2042"/>
    <w:rsid w:val="007D4230"/>
    <w:rsid w:val="007D4D7B"/>
    <w:rsid w:val="007E21C3"/>
    <w:rsid w:val="007F6065"/>
    <w:rsid w:val="007F6B43"/>
    <w:rsid w:val="007F72E1"/>
    <w:rsid w:val="00800EE9"/>
    <w:rsid w:val="00802693"/>
    <w:rsid w:val="00805B1D"/>
    <w:rsid w:val="00812E73"/>
    <w:rsid w:val="008200F1"/>
    <w:rsid w:val="00820E6A"/>
    <w:rsid w:val="00826D3D"/>
    <w:rsid w:val="0083232E"/>
    <w:rsid w:val="00833881"/>
    <w:rsid w:val="00834026"/>
    <w:rsid w:val="00836F81"/>
    <w:rsid w:val="00837950"/>
    <w:rsid w:val="008405E8"/>
    <w:rsid w:val="008421EA"/>
    <w:rsid w:val="00845207"/>
    <w:rsid w:val="008529D0"/>
    <w:rsid w:val="00855B7C"/>
    <w:rsid w:val="008621D6"/>
    <w:rsid w:val="00865AAA"/>
    <w:rsid w:val="00871BD1"/>
    <w:rsid w:val="00872D79"/>
    <w:rsid w:val="008800E2"/>
    <w:rsid w:val="00880302"/>
    <w:rsid w:val="008806DA"/>
    <w:rsid w:val="00883DD2"/>
    <w:rsid w:val="00884A91"/>
    <w:rsid w:val="00884AF0"/>
    <w:rsid w:val="00885A66"/>
    <w:rsid w:val="00890489"/>
    <w:rsid w:val="00890A16"/>
    <w:rsid w:val="008911A6"/>
    <w:rsid w:val="00894CC3"/>
    <w:rsid w:val="008A0D3A"/>
    <w:rsid w:val="008A0EF2"/>
    <w:rsid w:val="008A1B60"/>
    <w:rsid w:val="008A3D32"/>
    <w:rsid w:val="008A5870"/>
    <w:rsid w:val="008A5DD5"/>
    <w:rsid w:val="008B02F9"/>
    <w:rsid w:val="008B09DB"/>
    <w:rsid w:val="008B7DD7"/>
    <w:rsid w:val="008C117F"/>
    <w:rsid w:val="008C15A7"/>
    <w:rsid w:val="008C1D70"/>
    <w:rsid w:val="008C2B87"/>
    <w:rsid w:val="008C38FE"/>
    <w:rsid w:val="008C628F"/>
    <w:rsid w:val="008C6FFC"/>
    <w:rsid w:val="008D027A"/>
    <w:rsid w:val="008D2C3B"/>
    <w:rsid w:val="008D2F4A"/>
    <w:rsid w:val="008D3896"/>
    <w:rsid w:val="008D3FB6"/>
    <w:rsid w:val="008D64ED"/>
    <w:rsid w:val="008E02E5"/>
    <w:rsid w:val="008E1131"/>
    <w:rsid w:val="008E45F9"/>
    <w:rsid w:val="008E74ED"/>
    <w:rsid w:val="008E7D39"/>
    <w:rsid w:val="008F5B38"/>
    <w:rsid w:val="008F5EC2"/>
    <w:rsid w:val="009019D3"/>
    <w:rsid w:val="00901DA5"/>
    <w:rsid w:val="00902FB5"/>
    <w:rsid w:val="0090335E"/>
    <w:rsid w:val="009042F5"/>
    <w:rsid w:val="00905A06"/>
    <w:rsid w:val="00906D49"/>
    <w:rsid w:val="009070F5"/>
    <w:rsid w:val="00910EE5"/>
    <w:rsid w:val="009123E3"/>
    <w:rsid w:val="009125B8"/>
    <w:rsid w:val="00913ECD"/>
    <w:rsid w:val="009149F1"/>
    <w:rsid w:val="00914CC9"/>
    <w:rsid w:val="00914FEE"/>
    <w:rsid w:val="00915994"/>
    <w:rsid w:val="00922335"/>
    <w:rsid w:val="00923493"/>
    <w:rsid w:val="00924C24"/>
    <w:rsid w:val="0093033C"/>
    <w:rsid w:val="00930C1D"/>
    <w:rsid w:val="00930CF8"/>
    <w:rsid w:val="00934FCC"/>
    <w:rsid w:val="009356C5"/>
    <w:rsid w:val="009360BD"/>
    <w:rsid w:val="00942C0F"/>
    <w:rsid w:val="009437DF"/>
    <w:rsid w:val="00944599"/>
    <w:rsid w:val="00946AE0"/>
    <w:rsid w:val="00950B11"/>
    <w:rsid w:val="0095322A"/>
    <w:rsid w:val="009553F5"/>
    <w:rsid w:val="00960E91"/>
    <w:rsid w:val="009634F0"/>
    <w:rsid w:val="00966987"/>
    <w:rsid w:val="009669B2"/>
    <w:rsid w:val="00966D2A"/>
    <w:rsid w:val="009676B9"/>
    <w:rsid w:val="00970DE9"/>
    <w:rsid w:val="00973BF0"/>
    <w:rsid w:val="009746D4"/>
    <w:rsid w:val="0097498A"/>
    <w:rsid w:val="00982FFF"/>
    <w:rsid w:val="00983F35"/>
    <w:rsid w:val="00985B59"/>
    <w:rsid w:val="00986675"/>
    <w:rsid w:val="00987131"/>
    <w:rsid w:val="00987DF2"/>
    <w:rsid w:val="009901D6"/>
    <w:rsid w:val="00992087"/>
    <w:rsid w:val="00992710"/>
    <w:rsid w:val="009955A7"/>
    <w:rsid w:val="00996B0A"/>
    <w:rsid w:val="009A4BDC"/>
    <w:rsid w:val="009A595E"/>
    <w:rsid w:val="009B0AE6"/>
    <w:rsid w:val="009B10B3"/>
    <w:rsid w:val="009B242B"/>
    <w:rsid w:val="009B252C"/>
    <w:rsid w:val="009C43C9"/>
    <w:rsid w:val="009D25C5"/>
    <w:rsid w:val="009E2539"/>
    <w:rsid w:val="009E3171"/>
    <w:rsid w:val="009E39CE"/>
    <w:rsid w:val="009E5220"/>
    <w:rsid w:val="009E6F97"/>
    <w:rsid w:val="009F2B51"/>
    <w:rsid w:val="009F3211"/>
    <w:rsid w:val="009F3F34"/>
    <w:rsid w:val="009F46E7"/>
    <w:rsid w:val="00A01333"/>
    <w:rsid w:val="00A01FB2"/>
    <w:rsid w:val="00A0265E"/>
    <w:rsid w:val="00A07733"/>
    <w:rsid w:val="00A102DB"/>
    <w:rsid w:val="00A12816"/>
    <w:rsid w:val="00A1281A"/>
    <w:rsid w:val="00A12B40"/>
    <w:rsid w:val="00A12DC7"/>
    <w:rsid w:val="00A162E6"/>
    <w:rsid w:val="00A17D1D"/>
    <w:rsid w:val="00A20966"/>
    <w:rsid w:val="00A2158C"/>
    <w:rsid w:val="00A240E5"/>
    <w:rsid w:val="00A26EC4"/>
    <w:rsid w:val="00A30A15"/>
    <w:rsid w:val="00A31BE9"/>
    <w:rsid w:val="00A33BCC"/>
    <w:rsid w:val="00A3491E"/>
    <w:rsid w:val="00A37E7E"/>
    <w:rsid w:val="00A40509"/>
    <w:rsid w:val="00A406A9"/>
    <w:rsid w:val="00A40923"/>
    <w:rsid w:val="00A41806"/>
    <w:rsid w:val="00A428C2"/>
    <w:rsid w:val="00A43AF6"/>
    <w:rsid w:val="00A45C77"/>
    <w:rsid w:val="00A4716C"/>
    <w:rsid w:val="00A51D19"/>
    <w:rsid w:val="00A5794C"/>
    <w:rsid w:val="00A60B79"/>
    <w:rsid w:val="00A611D5"/>
    <w:rsid w:val="00A64421"/>
    <w:rsid w:val="00A645C9"/>
    <w:rsid w:val="00A64D50"/>
    <w:rsid w:val="00A650BA"/>
    <w:rsid w:val="00A65E59"/>
    <w:rsid w:val="00A67535"/>
    <w:rsid w:val="00A67927"/>
    <w:rsid w:val="00A715A3"/>
    <w:rsid w:val="00A7238F"/>
    <w:rsid w:val="00A725A4"/>
    <w:rsid w:val="00A91F48"/>
    <w:rsid w:val="00A939BC"/>
    <w:rsid w:val="00A9492D"/>
    <w:rsid w:val="00A955D9"/>
    <w:rsid w:val="00AA04DF"/>
    <w:rsid w:val="00AA43E4"/>
    <w:rsid w:val="00AA64FB"/>
    <w:rsid w:val="00AB0406"/>
    <w:rsid w:val="00AB3442"/>
    <w:rsid w:val="00AB3647"/>
    <w:rsid w:val="00AB370F"/>
    <w:rsid w:val="00AB3AB7"/>
    <w:rsid w:val="00AB492E"/>
    <w:rsid w:val="00AB539C"/>
    <w:rsid w:val="00AB73E0"/>
    <w:rsid w:val="00AC0714"/>
    <w:rsid w:val="00AC2749"/>
    <w:rsid w:val="00AC4206"/>
    <w:rsid w:val="00AC5561"/>
    <w:rsid w:val="00AC7CC2"/>
    <w:rsid w:val="00AD216D"/>
    <w:rsid w:val="00AD2FDA"/>
    <w:rsid w:val="00AD3862"/>
    <w:rsid w:val="00AD4C82"/>
    <w:rsid w:val="00AD56FF"/>
    <w:rsid w:val="00AD6369"/>
    <w:rsid w:val="00AD7490"/>
    <w:rsid w:val="00AD74D7"/>
    <w:rsid w:val="00AE1F90"/>
    <w:rsid w:val="00AE3BDB"/>
    <w:rsid w:val="00AE5649"/>
    <w:rsid w:val="00AF319F"/>
    <w:rsid w:val="00AF404B"/>
    <w:rsid w:val="00AF77CA"/>
    <w:rsid w:val="00B022E4"/>
    <w:rsid w:val="00B02301"/>
    <w:rsid w:val="00B02802"/>
    <w:rsid w:val="00B0318A"/>
    <w:rsid w:val="00B03393"/>
    <w:rsid w:val="00B0347E"/>
    <w:rsid w:val="00B07D2B"/>
    <w:rsid w:val="00B11FF4"/>
    <w:rsid w:val="00B1270A"/>
    <w:rsid w:val="00B12ACE"/>
    <w:rsid w:val="00B15265"/>
    <w:rsid w:val="00B173DF"/>
    <w:rsid w:val="00B20DCA"/>
    <w:rsid w:val="00B23D22"/>
    <w:rsid w:val="00B259EF"/>
    <w:rsid w:val="00B267A3"/>
    <w:rsid w:val="00B2730F"/>
    <w:rsid w:val="00B30277"/>
    <w:rsid w:val="00B3041F"/>
    <w:rsid w:val="00B312AC"/>
    <w:rsid w:val="00B32109"/>
    <w:rsid w:val="00B341F1"/>
    <w:rsid w:val="00B35329"/>
    <w:rsid w:val="00B4067E"/>
    <w:rsid w:val="00B41A08"/>
    <w:rsid w:val="00B425A5"/>
    <w:rsid w:val="00B4372D"/>
    <w:rsid w:val="00B440EB"/>
    <w:rsid w:val="00B44A30"/>
    <w:rsid w:val="00B50B2D"/>
    <w:rsid w:val="00B53F88"/>
    <w:rsid w:val="00B564FE"/>
    <w:rsid w:val="00B56B8D"/>
    <w:rsid w:val="00B602AB"/>
    <w:rsid w:val="00B61209"/>
    <w:rsid w:val="00B64636"/>
    <w:rsid w:val="00B64D46"/>
    <w:rsid w:val="00B65B18"/>
    <w:rsid w:val="00B65D30"/>
    <w:rsid w:val="00B6604D"/>
    <w:rsid w:val="00B664EF"/>
    <w:rsid w:val="00B67607"/>
    <w:rsid w:val="00B70CA2"/>
    <w:rsid w:val="00B74EBD"/>
    <w:rsid w:val="00B750D0"/>
    <w:rsid w:val="00B75420"/>
    <w:rsid w:val="00B75D7B"/>
    <w:rsid w:val="00B76F60"/>
    <w:rsid w:val="00B779A9"/>
    <w:rsid w:val="00B82EAA"/>
    <w:rsid w:val="00B83763"/>
    <w:rsid w:val="00B83997"/>
    <w:rsid w:val="00B91BFB"/>
    <w:rsid w:val="00B922ED"/>
    <w:rsid w:val="00B947B5"/>
    <w:rsid w:val="00B94967"/>
    <w:rsid w:val="00BA3192"/>
    <w:rsid w:val="00BA3AA3"/>
    <w:rsid w:val="00BA454E"/>
    <w:rsid w:val="00BA4CD6"/>
    <w:rsid w:val="00BA4E2C"/>
    <w:rsid w:val="00BA56DA"/>
    <w:rsid w:val="00BA5A9A"/>
    <w:rsid w:val="00BA61EE"/>
    <w:rsid w:val="00BA761C"/>
    <w:rsid w:val="00BB17E9"/>
    <w:rsid w:val="00BB4AFF"/>
    <w:rsid w:val="00BB626D"/>
    <w:rsid w:val="00BC30A5"/>
    <w:rsid w:val="00BC3D9E"/>
    <w:rsid w:val="00BC63F3"/>
    <w:rsid w:val="00BC682E"/>
    <w:rsid w:val="00BD0739"/>
    <w:rsid w:val="00BD12AB"/>
    <w:rsid w:val="00BD1A10"/>
    <w:rsid w:val="00BD3547"/>
    <w:rsid w:val="00BD3F1E"/>
    <w:rsid w:val="00BD4BF4"/>
    <w:rsid w:val="00BD4E31"/>
    <w:rsid w:val="00BE63CA"/>
    <w:rsid w:val="00BE666E"/>
    <w:rsid w:val="00BF039D"/>
    <w:rsid w:val="00BF11DC"/>
    <w:rsid w:val="00BF12B8"/>
    <w:rsid w:val="00BF45FB"/>
    <w:rsid w:val="00BF65E6"/>
    <w:rsid w:val="00BF6D49"/>
    <w:rsid w:val="00BF7ACB"/>
    <w:rsid w:val="00C00E04"/>
    <w:rsid w:val="00C01793"/>
    <w:rsid w:val="00C01E41"/>
    <w:rsid w:val="00C02DBF"/>
    <w:rsid w:val="00C03332"/>
    <w:rsid w:val="00C0430D"/>
    <w:rsid w:val="00C06014"/>
    <w:rsid w:val="00C071C9"/>
    <w:rsid w:val="00C13C8E"/>
    <w:rsid w:val="00C143E8"/>
    <w:rsid w:val="00C14A91"/>
    <w:rsid w:val="00C17668"/>
    <w:rsid w:val="00C211CB"/>
    <w:rsid w:val="00C22621"/>
    <w:rsid w:val="00C24D82"/>
    <w:rsid w:val="00C26338"/>
    <w:rsid w:val="00C2651E"/>
    <w:rsid w:val="00C321EA"/>
    <w:rsid w:val="00C33891"/>
    <w:rsid w:val="00C33E69"/>
    <w:rsid w:val="00C34B2A"/>
    <w:rsid w:val="00C43BF4"/>
    <w:rsid w:val="00C47091"/>
    <w:rsid w:val="00C50FB8"/>
    <w:rsid w:val="00C5123D"/>
    <w:rsid w:val="00C534C8"/>
    <w:rsid w:val="00C54244"/>
    <w:rsid w:val="00C5685E"/>
    <w:rsid w:val="00C56C15"/>
    <w:rsid w:val="00C63BD4"/>
    <w:rsid w:val="00C6495E"/>
    <w:rsid w:val="00C65016"/>
    <w:rsid w:val="00C70AEF"/>
    <w:rsid w:val="00C70FAF"/>
    <w:rsid w:val="00C73929"/>
    <w:rsid w:val="00C757B2"/>
    <w:rsid w:val="00C77407"/>
    <w:rsid w:val="00C81282"/>
    <w:rsid w:val="00C82B39"/>
    <w:rsid w:val="00C82D38"/>
    <w:rsid w:val="00C839E5"/>
    <w:rsid w:val="00C83FC3"/>
    <w:rsid w:val="00C841B0"/>
    <w:rsid w:val="00C84977"/>
    <w:rsid w:val="00C85260"/>
    <w:rsid w:val="00C861D2"/>
    <w:rsid w:val="00C865DA"/>
    <w:rsid w:val="00C86E75"/>
    <w:rsid w:val="00C92281"/>
    <w:rsid w:val="00C92CDA"/>
    <w:rsid w:val="00C9472B"/>
    <w:rsid w:val="00C95A4E"/>
    <w:rsid w:val="00C96597"/>
    <w:rsid w:val="00C969F3"/>
    <w:rsid w:val="00C97211"/>
    <w:rsid w:val="00CA12A7"/>
    <w:rsid w:val="00CA1EB2"/>
    <w:rsid w:val="00CA2653"/>
    <w:rsid w:val="00CB2099"/>
    <w:rsid w:val="00CB418B"/>
    <w:rsid w:val="00CB7475"/>
    <w:rsid w:val="00CC0028"/>
    <w:rsid w:val="00CC1069"/>
    <w:rsid w:val="00CC4EF4"/>
    <w:rsid w:val="00CC5842"/>
    <w:rsid w:val="00CC5A7E"/>
    <w:rsid w:val="00CC60E7"/>
    <w:rsid w:val="00CC7753"/>
    <w:rsid w:val="00CD0C0E"/>
    <w:rsid w:val="00CD0FBA"/>
    <w:rsid w:val="00CD11C3"/>
    <w:rsid w:val="00CD2143"/>
    <w:rsid w:val="00CD22C1"/>
    <w:rsid w:val="00CD4F39"/>
    <w:rsid w:val="00CD5C01"/>
    <w:rsid w:val="00CD67F3"/>
    <w:rsid w:val="00CE233A"/>
    <w:rsid w:val="00CF60F8"/>
    <w:rsid w:val="00CF7BC2"/>
    <w:rsid w:val="00D035FA"/>
    <w:rsid w:val="00D06496"/>
    <w:rsid w:val="00D10555"/>
    <w:rsid w:val="00D1206A"/>
    <w:rsid w:val="00D222D8"/>
    <w:rsid w:val="00D27EAA"/>
    <w:rsid w:val="00D30298"/>
    <w:rsid w:val="00D304D1"/>
    <w:rsid w:val="00D33DA9"/>
    <w:rsid w:val="00D34D9F"/>
    <w:rsid w:val="00D36966"/>
    <w:rsid w:val="00D40E4E"/>
    <w:rsid w:val="00D4327E"/>
    <w:rsid w:val="00D43C47"/>
    <w:rsid w:val="00D4502B"/>
    <w:rsid w:val="00D50A88"/>
    <w:rsid w:val="00D50AA7"/>
    <w:rsid w:val="00D50D04"/>
    <w:rsid w:val="00D51A6A"/>
    <w:rsid w:val="00D52833"/>
    <w:rsid w:val="00D608D7"/>
    <w:rsid w:val="00D61C41"/>
    <w:rsid w:val="00D62311"/>
    <w:rsid w:val="00D62BB9"/>
    <w:rsid w:val="00D650E3"/>
    <w:rsid w:val="00D67609"/>
    <w:rsid w:val="00D72203"/>
    <w:rsid w:val="00D72818"/>
    <w:rsid w:val="00D72D29"/>
    <w:rsid w:val="00D748B4"/>
    <w:rsid w:val="00D77E24"/>
    <w:rsid w:val="00D81D67"/>
    <w:rsid w:val="00D84FA5"/>
    <w:rsid w:val="00D873E7"/>
    <w:rsid w:val="00D93293"/>
    <w:rsid w:val="00D9415C"/>
    <w:rsid w:val="00D9574F"/>
    <w:rsid w:val="00D96034"/>
    <w:rsid w:val="00D96FAA"/>
    <w:rsid w:val="00D97C6A"/>
    <w:rsid w:val="00D97F3C"/>
    <w:rsid w:val="00DA39B1"/>
    <w:rsid w:val="00DA4EE3"/>
    <w:rsid w:val="00DB2696"/>
    <w:rsid w:val="00DB2833"/>
    <w:rsid w:val="00DB6AD2"/>
    <w:rsid w:val="00DB6CF1"/>
    <w:rsid w:val="00DB6EFB"/>
    <w:rsid w:val="00DB78AA"/>
    <w:rsid w:val="00DB7978"/>
    <w:rsid w:val="00DC0113"/>
    <w:rsid w:val="00DC13C7"/>
    <w:rsid w:val="00DC686D"/>
    <w:rsid w:val="00DC7FB0"/>
    <w:rsid w:val="00DD2C70"/>
    <w:rsid w:val="00DD3616"/>
    <w:rsid w:val="00DE0A50"/>
    <w:rsid w:val="00DE0B13"/>
    <w:rsid w:val="00DE0CA6"/>
    <w:rsid w:val="00DE2A58"/>
    <w:rsid w:val="00DE7466"/>
    <w:rsid w:val="00DF763F"/>
    <w:rsid w:val="00DF7A67"/>
    <w:rsid w:val="00E0170F"/>
    <w:rsid w:val="00E01972"/>
    <w:rsid w:val="00E046CD"/>
    <w:rsid w:val="00E06384"/>
    <w:rsid w:val="00E10422"/>
    <w:rsid w:val="00E115EE"/>
    <w:rsid w:val="00E147C5"/>
    <w:rsid w:val="00E14C28"/>
    <w:rsid w:val="00E2090C"/>
    <w:rsid w:val="00E212D0"/>
    <w:rsid w:val="00E21C9C"/>
    <w:rsid w:val="00E21E65"/>
    <w:rsid w:val="00E22161"/>
    <w:rsid w:val="00E23165"/>
    <w:rsid w:val="00E2378E"/>
    <w:rsid w:val="00E26CDE"/>
    <w:rsid w:val="00E3021A"/>
    <w:rsid w:val="00E30BFD"/>
    <w:rsid w:val="00E326F4"/>
    <w:rsid w:val="00E34B83"/>
    <w:rsid w:val="00E36DF4"/>
    <w:rsid w:val="00E371BB"/>
    <w:rsid w:val="00E42DB0"/>
    <w:rsid w:val="00E476B6"/>
    <w:rsid w:val="00E51B0C"/>
    <w:rsid w:val="00E51FF8"/>
    <w:rsid w:val="00E529BC"/>
    <w:rsid w:val="00E537B4"/>
    <w:rsid w:val="00E61DD6"/>
    <w:rsid w:val="00E62BED"/>
    <w:rsid w:val="00E73289"/>
    <w:rsid w:val="00E733D1"/>
    <w:rsid w:val="00E73A1B"/>
    <w:rsid w:val="00E76310"/>
    <w:rsid w:val="00E7672E"/>
    <w:rsid w:val="00E83CB5"/>
    <w:rsid w:val="00E876A1"/>
    <w:rsid w:val="00E91A76"/>
    <w:rsid w:val="00E924EE"/>
    <w:rsid w:val="00E94FEE"/>
    <w:rsid w:val="00E95A6B"/>
    <w:rsid w:val="00E97A74"/>
    <w:rsid w:val="00EA0056"/>
    <w:rsid w:val="00EA14B9"/>
    <w:rsid w:val="00EB00FD"/>
    <w:rsid w:val="00EB0254"/>
    <w:rsid w:val="00EB31CA"/>
    <w:rsid w:val="00EB7BDE"/>
    <w:rsid w:val="00EC0C5E"/>
    <w:rsid w:val="00EC1470"/>
    <w:rsid w:val="00EC18DC"/>
    <w:rsid w:val="00EC23CF"/>
    <w:rsid w:val="00EC50D9"/>
    <w:rsid w:val="00EC6938"/>
    <w:rsid w:val="00ED148F"/>
    <w:rsid w:val="00ED153A"/>
    <w:rsid w:val="00ED310D"/>
    <w:rsid w:val="00ED3249"/>
    <w:rsid w:val="00ED3B47"/>
    <w:rsid w:val="00EE54A3"/>
    <w:rsid w:val="00EE7017"/>
    <w:rsid w:val="00EE7651"/>
    <w:rsid w:val="00EF2A15"/>
    <w:rsid w:val="00EF2F9D"/>
    <w:rsid w:val="00EF4880"/>
    <w:rsid w:val="00EF4F03"/>
    <w:rsid w:val="00EF4FBC"/>
    <w:rsid w:val="00EF54E6"/>
    <w:rsid w:val="00F00C4C"/>
    <w:rsid w:val="00F02FB6"/>
    <w:rsid w:val="00F03BA0"/>
    <w:rsid w:val="00F04553"/>
    <w:rsid w:val="00F057F6"/>
    <w:rsid w:val="00F069AD"/>
    <w:rsid w:val="00F07689"/>
    <w:rsid w:val="00F10548"/>
    <w:rsid w:val="00F126D4"/>
    <w:rsid w:val="00F1343A"/>
    <w:rsid w:val="00F13B15"/>
    <w:rsid w:val="00F1449F"/>
    <w:rsid w:val="00F15C36"/>
    <w:rsid w:val="00F21027"/>
    <w:rsid w:val="00F3058D"/>
    <w:rsid w:val="00F316FE"/>
    <w:rsid w:val="00F33606"/>
    <w:rsid w:val="00F351E3"/>
    <w:rsid w:val="00F35903"/>
    <w:rsid w:val="00F3623A"/>
    <w:rsid w:val="00F3797F"/>
    <w:rsid w:val="00F41EA3"/>
    <w:rsid w:val="00F4594E"/>
    <w:rsid w:val="00F4771F"/>
    <w:rsid w:val="00F504C6"/>
    <w:rsid w:val="00F5332E"/>
    <w:rsid w:val="00F54B0B"/>
    <w:rsid w:val="00F54EC9"/>
    <w:rsid w:val="00F55371"/>
    <w:rsid w:val="00F57858"/>
    <w:rsid w:val="00F60524"/>
    <w:rsid w:val="00F6058F"/>
    <w:rsid w:val="00F60AAA"/>
    <w:rsid w:val="00F61562"/>
    <w:rsid w:val="00F619A2"/>
    <w:rsid w:val="00F66648"/>
    <w:rsid w:val="00F72662"/>
    <w:rsid w:val="00F7544B"/>
    <w:rsid w:val="00F8004D"/>
    <w:rsid w:val="00F80AF7"/>
    <w:rsid w:val="00F81BE7"/>
    <w:rsid w:val="00F820E9"/>
    <w:rsid w:val="00F8464C"/>
    <w:rsid w:val="00F85736"/>
    <w:rsid w:val="00F8632C"/>
    <w:rsid w:val="00F87B42"/>
    <w:rsid w:val="00F94F72"/>
    <w:rsid w:val="00F96701"/>
    <w:rsid w:val="00FA2260"/>
    <w:rsid w:val="00FA33E4"/>
    <w:rsid w:val="00FA61AA"/>
    <w:rsid w:val="00FA6DE7"/>
    <w:rsid w:val="00FB2A3E"/>
    <w:rsid w:val="00FB4175"/>
    <w:rsid w:val="00FB515C"/>
    <w:rsid w:val="00FC1CF1"/>
    <w:rsid w:val="00FD0E8A"/>
    <w:rsid w:val="00FD189C"/>
    <w:rsid w:val="00FD212A"/>
    <w:rsid w:val="00FD41B2"/>
    <w:rsid w:val="00FD4915"/>
    <w:rsid w:val="00FD4B3A"/>
    <w:rsid w:val="00FD4C92"/>
    <w:rsid w:val="00FD71BD"/>
    <w:rsid w:val="00FE6284"/>
    <w:rsid w:val="00FF05ED"/>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800080"/>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link w:val="P1Char"/>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P1Char">
    <w:name w:val="P1 Char"/>
    <w:aliases w:val="(a) Char"/>
    <w:basedOn w:val="DefaultParagraphFont"/>
    <w:link w:val="P1"/>
    <w:rsid w:val="00AD74D7"/>
    <w:rPr>
      <w:sz w:val="24"/>
      <w:szCs w:val="24"/>
      <w:lang w:eastAsia="en-US"/>
    </w:rPr>
  </w:style>
  <w:style w:type="character" w:customStyle="1" w:styleId="charschptno0">
    <w:name w:val="charschptno"/>
    <w:basedOn w:val="DefaultParagraphFont"/>
    <w:rsid w:val="00C14A91"/>
  </w:style>
  <w:style w:type="character" w:customStyle="1" w:styleId="charschpttext0">
    <w:name w:val="charschpttext"/>
    <w:basedOn w:val="DefaultParagraphFont"/>
    <w:rsid w:val="00C14A91"/>
  </w:style>
  <w:style w:type="paragraph" w:customStyle="1" w:styleId="schedulepara0">
    <w:name w:val="schedulepara"/>
    <w:basedOn w:val="Normal"/>
    <w:rsid w:val="00C14A91"/>
    <w:pPr>
      <w:spacing w:before="100" w:beforeAutospacing="1" w:after="100" w:afterAutospacing="1"/>
    </w:pPr>
  </w:style>
  <w:style w:type="paragraph" w:customStyle="1" w:styleId="formheading">
    <w:name w:val="formheading"/>
    <w:basedOn w:val="Normal"/>
    <w:rsid w:val="00C14A91"/>
    <w:pPr>
      <w:spacing w:before="100" w:beforeAutospacing="1" w:after="100" w:afterAutospacing="1"/>
    </w:pPr>
  </w:style>
  <w:style w:type="paragraph" w:customStyle="1" w:styleId="formsubheading">
    <w:name w:val="formsubheading"/>
    <w:basedOn w:val="Normal"/>
    <w:rsid w:val="00C14A91"/>
    <w:pPr>
      <w:spacing w:before="100" w:beforeAutospacing="1" w:after="100" w:afterAutospacing="1"/>
    </w:pPr>
  </w:style>
  <w:style w:type="paragraph" w:customStyle="1" w:styleId="formdotpoint">
    <w:name w:val="formdotpoint"/>
    <w:basedOn w:val="Normal"/>
    <w:rsid w:val="00C14A91"/>
    <w:pPr>
      <w:spacing w:before="100" w:beforeAutospacing="1" w:after="100" w:afterAutospacing="1"/>
    </w:pPr>
  </w:style>
  <w:style w:type="character" w:customStyle="1" w:styleId="CharSectnoAm">
    <w:name w:val="CharSectnoAm"/>
    <w:basedOn w:val="DefaultParagraphFont"/>
    <w:rsid w:val="00464359"/>
  </w:style>
  <w:style w:type="paragraph" w:customStyle="1" w:styleId="FormDot">
    <w:name w:val="Form Dot"/>
    <w:basedOn w:val="Schedulepara"/>
    <w:rsid w:val="00BD4E31"/>
    <w:pPr>
      <w:numPr>
        <w:numId w:val="14"/>
      </w:numPr>
      <w:tabs>
        <w:tab w:val="clear" w:pos="567"/>
      </w:tabs>
      <w:spacing w:before="120"/>
    </w:pPr>
  </w:style>
  <w:style w:type="paragraph" w:customStyle="1" w:styleId="FormDotPoint0">
    <w:name w:val="Form Dot Point"/>
    <w:basedOn w:val="FormDot"/>
    <w:rsid w:val="00BD4E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3050</Words>
  <Characters>12544</Characters>
  <Application>Microsoft Office Word</Application>
  <DocSecurity>0</DocSecurity>
  <Lines>337</Lines>
  <Paragraphs>172</Paragraphs>
  <ScaleCrop>false</ScaleCrop>
  <HeadingPairs>
    <vt:vector size="2" baseType="variant">
      <vt:variant>
        <vt:lpstr>Title</vt:lpstr>
      </vt:variant>
      <vt:variant>
        <vt:i4>1</vt:i4>
      </vt:variant>
    </vt:vector>
  </HeadingPairs>
  <TitlesOfParts>
    <vt:vector size="1" baseType="lpstr">
      <vt:lpstr>National Consumer Credit Protection Amendment Regulations 2012 (No.   )</vt:lpstr>
    </vt:vector>
  </TitlesOfParts>
  <Manager/>
  <Company/>
  <LinksUpToDate>false</LinksUpToDate>
  <CharactersWithSpaces>15510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Consumer Credit Protection Amendment Regulations 2012 (No.   )</dc:title>
  <dc:subject/>
  <dc:creator/>
  <cp:keywords/>
  <cp:lastModifiedBy/>
  <cp:revision>1</cp:revision>
  <cp:lastPrinted>2012-11-21T23:08:00Z</cp:lastPrinted>
  <dcterms:created xsi:type="dcterms:W3CDTF">2012-12-04T03:39:00Z</dcterms:created>
  <dcterms:modified xsi:type="dcterms:W3CDTF">2012-12-04T03:39:00Z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817</vt:lpwstr>
  </property>
  <property fmtid="{D5CDD505-2E9C-101B-9397-08002B2CF9AE}" pid="3" name="IndexMatter">
    <vt:lpwstr>1201259A</vt:lpwstr>
  </property>
  <property fmtid="{D5CDD505-2E9C-101B-9397-08002B2CF9AE}" pid="4" name="Editor">
    <vt:bool>true</vt:bool>
  </property>
  <property fmtid="{D5CDD505-2E9C-101B-9397-08002B2CF9AE}" pid="5" name="Final">
    <vt:bool>true</vt:bool>
  </property>
</Properties>
</file>