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6" w:type="dxa"/>
        <w:tblInd w:w="-318" w:type="dxa"/>
        <w:tblBorders>
          <w:top w:val="single" w:sz="4" w:space="0" w:color="auto"/>
          <w:left w:val="single" w:sz="4" w:space="0" w:color="auto"/>
          <w:right w:val="single" w:sz="4" w:space="0" w:color="auto"/>
          <w:insideH w:val="single" w:sz="4" w:space="0" w:color="auto"/>
          <w:insideV w:val="single" w:sz="4" w:space="0" w:color="auto"/>
        </w:tblBorders>
        <w:tblCellMar>
          <w:top w:w="108" w:type="dxa"/>
        </w:tblCellMar>
        <w:tblLook w:val="0000"/>
      </w:tblPr>
      <w:tblGrid>
        <w:gridCol w:w="2978"/>
        <w:gridCol w:w="6088"/>
      </w:tblGrid>
      <w:tr w:rsidR="00CF4FFA" w:rsidTr="00195E68">
        <w:tc>
          <w:tcPr>
            <w:tcW w:w="2978" w:type="dxa"/>
          </w:tcPr>
          <w:p w:rsidR="00CF4FFA" w:rsidRPr="000F6FC0" w:rsidRDefault="00CF4FFA" w:rsidP="00195E68">
            <w:pPr>
              <w:spacing w:after="120"/>
              <w:rPr>
                <w:sz w:val="20"/>
              </w:rPr>
            </w:pPr>
            <w:r>
              <w:rPr>
                <w:b/>
                <w:bCs/>
              </w:rPr>
              <w:t>The instrument to which this explanatory statement relates</w:t>
            </w:r>
          </w:p>
        </w:tc>
        <w:tc>
          <w:tcPr>
            <w:tcW w:w="6088" w:type="dxa"/>
          </w:tcPr>
          <w:p w:rsidR="00CF4FFA" w:rsidRPr="00E64629" w:rsidRDefault="00CF4FFA" w:rsidP="001A1F97">
            <w:pPr>
              <w:pStyle w:val="Header"/>
              <w:tabs>
                <w:tab w:val="clear" w:pos="4153"/>
                <w:tab w:val="clear" w:pos="8306"/>
              </w:tabs>
              <w:spacing w:after="80"/>
              <w:rPr>
                <w:i/>
              </w:rPr>
            </w:pPr>
            <w:bookmarkStart w:id="0" w:name="Instrument_Title"/>
            <w:r>
              <w:rPr>
                <w:i/>
              </w:rPr>
              <w:t>F</w:t>
            </w:r>
            <w:r w:rsidR="001255B5">
              <w:rPr>
                <w:i/>
              </w:rPr>
              <w:t xml:space="preserve">inancial </w:t>
            </w:r>
            <w:r>
              <w:rPr>
                <w:i/>
              </w:rPr>
              <w:t>M</w:t>
            </w:r>
            <w:r w:rsidR="001255B5">
              <w:rPr>
                <w:i/>
              </w:rPr>
              <w:t xml:space="preserve">anagement and </w:t>
            </w:r>
            <w:r>
              <w:rPr>
                <w:i/>
              </w:rPr>
              <w:t>A</w:t>
            </w:r>
            <w:r w:rsidR="001255B5">
              <w:rPr>
                <w:i/>
              </w:rPr>
              <w:t>ccountability</w:t>
            </w:r>
            <w:r>
              <w:rPr>
                <w:i/>
              </w:rPr>
              <w:t xml:space="preserve"> Act</w:t>
            </w:r>
            <w:r w:rsidR="001255B5">
              <w:rPr>
                <w:i/>
              </w:rPr>
              <w:t xml:space="preserve"> 1997</w:t>
            </w:r>
            <w:r>
              <w:rPr>
                <w:i/>
              </w:rPr>
              <w:t xml:space="preserve"> Determination</w:t>
            </w:r>
            <w:r w:rsidR="006671FB">
              <w:rPr>
                <w:i/>
              </w:rPr>
              <w:t xml:space="preserve"> </w:t>
            </w:r>
            <w:r w:rsidR="00FC4E8A">
              <w:rPr>
                <w:i/>
              </w:rPr>
              <w:t>2012/</w:t>
            </w:r>
            <w:r w:rsidR="009A2EFD">
              <w:rPr>
                <w:i/>
              </w:rPr>
              <w:t>3</w:t>
            </w:r>
            <w:r w:rsidR="001A1F97">
              <w:rPr>
                <w:i/>
              </w:rPr>
              <w:t>3</w:t>
            </w:r>
            <w:r w:rsidR="009A2EFD">
              <w:rPr>
                <w:i/>
              </w:rPr>
              <w:t xml:space="preserve"> </w:t>
            </w:r>
            <w:r>
              <w:rPr>
                <w:i/>
              </w:rPr>
              <w:t>– Section 32 (Transfer of</w:t>
            </w:r>
            <w:r w:rsidR="00042C85">
              <w:rPr>
                <w:i/>
              </w:rPr>
              <w:t xml:space="preserve"> </w:t>
            </w:r>
            <w:r w:rsidR="00EA3D41">
              <w:rPr>
                <w:i/>
              </w:rPr>
              <w:t>F</w:t>
            </w:r>
            <w:r w:rsidR="00DF2415">
              <w:rPr>
                <w:i/>
              </w:rPr>
              <w:t>unctions</w:t>
            </w:r>
            <w:r w:rsidR="00042C85">
              <w:rPr>
                <w:i/>
              </w:rPr>
              <w:t xml:space="preserve"> from</w:t>
            </w:r>
            <w:r>
              <w:rPr>
                <w:i/>
              </w:rPr>
              <w:t xml:space="preserve"> </w:t>
            </w:r>
            <w:r w:rsidR="00AD4D39" w:rsidRPr="001A1F97">
              <w:rPr>
                <w:i/>
                <w:noProof/>
              </w:rPr>
              <w:t>DEEWR</w:t>
            </w:r>
            <w:r w:rsidR="001A1F97" w:rsidRPr="001A1F97">
              <w:rPr>
                <w:i/>
                <w:noProof/>
              </w:rPr>
              <w:t xml:space="preserve"> to DIISRTE</w:t>
            </w:r>
            <w:r>
              <w:rPr>
                <w:i/>
              </w:rPr>
              <w:t>)</w:t>
            </w:r>
            <w:bookmarkEnd w:id="0"/>
          </w:p>
        </w:tc>
      </w:tr>
      <w:tr w:rsidR="00CF4FFA" w:rsidTr="00195E68">
        <w:tc>
          <w:tcPr>
            <w:tcW w:w="2978" w:type="dxa"/>
          </w:tcPr>
          <w:p w:rsidR="00CF4FFA" w:rsidRPr="000F6FC0" w:rsidRDefault="00CF4FFA" w:rsidP="00195E68">
            <w:pPr>
              <w:pStyle w:val="Header"/>
              <w:tabs>
                <w:tab w:val="clear" w:pos="4153"/>
                <w:tab w:val="clear" w:pos="8306"/>
              </w:tabs>
              <w:spacing w:after="120"/>
              <w:rPr>
                <w:b/>
                <w:sz w:val="20"/>
              </w:rPr>
            </w:pPr>
            <w:r>
              <w:rPr>
                <w:b/>
              </w:rPr>
              <w:t>Date instrument was made</w:t>
            </w:r>
          </w:p>
        </w:tc>
        <w:tc>
          <w:tcPr>
            <w:tcW w:w="6088" w:type="dxa"/>
          </w:tcPr>
          <w:p w:rsidR="00CF4FFA" w:rsidRDefault="0027047E" w:rsidP="0027047E">
            <w:pPr>
              <w:pStyle w:val="Header"/>
              <w:tabs>
                <w:tab w:val="clear" w:pos="4153"/>
                <w:tab w:val="clear" w:pos="8306"/>
              </w:tabs>
              <w:spacing w:after="80"/>
            </w:pPr>
            <w:r>
              <w:rPr>
                <w:noProof/>
              </w:rPr>
              <w:t>26</w:t>
            </w:r>
            <w:r w:rsidR="000C5C44">
              <w:rPr>
                <w:noProof/>
              </w:rPr>
              <w:t xml:space="preserve"> </w:t>
            </w:r>
            <w:r w:rsidR="009A2EFD">
              <w:rPr>
                <w:noProof/>
              </w:rPr>
              <w:t xml:space="preserve">November </w:t>
            </w:r>
            <w:r w:rsidR="00FC4E8A">
              <w:rPr>
                <w:noProof/>
              </w:rPr>
              <w:t>2012</w:t>
            </w:r>
          </w:p>
        </w:tc>
      </w:tr>
      <w:tr w:rsidR="00CF4FFA" w:rsidTr="00195E68">
        <w:tc>
          <w:tcPr>
            <w:tcW w:w="2978" w:type="dxa"/>
            <w:tcBorders>
              <w:bottom w:val="single" w:sz="4" w:space="0" w:color="auto"/>
            </w:tcBorders>
          </w:tcPr>
          <w:p w:rsidR="00CF4FFA" w:rsidRPr="00243153" w:rsidRDefault="00CF4FFA" w:rsidP="00195E68">
            <w:pPr>
              <w:pStyle w:val="Header"/>
              <w:tabs>
                <w:tab w:val="clear" w:pos="4153"/>
                <w:tab w:val="clear" w:pos="8306"/>
              </w:tabs>
              <w:spacing w:after="120"/>
              <w:rPr>
                <w:b/>
              </w:rPr>
            </w:pPr>
            <w:r>
              <w:rPr>
                <w:b/>
              </w:rPr>
              <w:t>The legislative authority under which the instrument is made</w:t>
            </w:r>
            <w:r w:rsidRPr="00243153">
              <w:rPr>
                <w:b/>
              </w:rPr>
              <w:t xml:space="preserve"> </w:t>
            </w:r>
          </w:p>
        </w:tc>
        <w:tc>
          <w:tcPr>
            <w:tcW w:w="6088" w:type="dxa"/>
            <w:tcBorders>
              <w:bottom w:val="single" w:sz="4" w:space="0" w:color="auto"/>
            </w:tcBorders>
          </w:tcPr>
          <w:p w:rsidR="00CF4FFA" w:rsidRDefault="00CF4FFA" w:rsidP="00195E68">
            <w:pPr>
              <w:spacing w:after="80"/>
            </w:pPr>
            <w:r>
              <w:t xml:space="preserve">Subsection 32(2) of the </w:t>
            </w:r>
            <w:r w:rsidRPr="0051705E">
              <w:rPr>
                <w:i/>
              </w:rPr>
              <w:t>Financial Management and Accountability Act 1997</w:t>
            </w:r>
            <w:r w:rsidRPr="00B077A3">
              <w:t xml:space="preserve"> </w:t>
            </w:r>
            <w:r>
              <w:t>(FMA Act) enables the Minister for Finance and Deregulation (Finance Minister) to determine that one or more Schedules to one or more Appropriation Acts are amended in relation to the transfer of a function from one agency to another.</w:t>
            </w:r>
          </w:p>
          <w:p w:rsidR="00CF4FFA" w:rsidRPr="00D206CA" w:rsidRDefault="00CF4FFA" w:rsidP="00195E68">
            <w:pPr>
              <w:spacing w:after="80"/>
            </w:pPr>
            <w:r>
              <w:t xml:space="preserve">Under section 62 of the FMA Act the Finance Minister has delegated this power to the Secretary of the Department of Finance and Deregulation (Finance). Under section 53 of the FMA Act, the Secretary of Finance has delegated this power to </w:t>
            </w:r>
            <w:r w:rsidR="00FD5EF9">
              <w:t xml:space="preserve">certain </w:t>
            </w:r>
            <w:r>
              <w:t>officials within Finance.</w:t>
            </w:r>
          </w:p>
        </w:tc>
      </w:tr>
      <w:tr w:rsidR="00CF4FFA" w:rsidTr="00195E68">
        <w:tc>
          <w:tcPr>
            <w:tcW w:w="2978" w:type="dxa"/>
            <w:tcBorders>
              <w:bottom w:val="single" w:sz="4" w:space="0" w:color="000000"/>
            </w:tcBorders>
          </w:tcPr>
          <w:p w:rsidR="00CF4FFA" w:rsidRDefault="00CF4FFA" w:rsidP="00195E68">
            <w:pPr>
              <w:spacing w:after="120"/>
              <w:rPr>
                <w:b/>
                <w:bCs/>
              </w:rPr>
            </w:pPr>
            <w:r>
              <w:rPr>
                <w:b/>
                <w:bCs/>
              </w:rPr>
              <w:t xml:space="preserve">Purpose and effect of the instrument </w:t>
            </w:r>
          </w:p>
        </w:tc>
        <w:tc>
          <w:tcPr>
            <w:tcW w:w="6088" w:type="dxa"/>
            <w:tcBorders>
              <w:bottom w:val="single" w:sz="4" w:space="0" w:color="000000"/>
            </w:tcBorders>
          </w:tcPr>
          <w:p w:rsidR="00E624DF" w:rsidRDefault="00A47CC4" w:rsidP="00195E68">
            <w:pPr>
              <w:pStyle w:val="Header"/>
              <w:tabs>
                <w:tab w:val="clear" w:pos="4153"/>
                <w:tab w:val="clear" w:pos="8306"/>
              </w:tabs>
              <w:spacing w:after="80"/>
            </w:pPr>
            <w:bookmarkStart w:id="1" w:name="OLE_LINK1"/>
            <w:r>
              <w:t xml:space="preserve">Schedule 1 </w:t>
            </w:r>
            <w:r w:rsidR="001A1F97">
              <w:t>to</w:t>
            </w:r>
            <w:r>
              <w:t xml:space="preserve"> this Instrument amends </w:t>
            </w:r>
            <w:r>
              <w:rPr>
                <w:i/>
              </w:rPr>
              <w:t>Appropriation Act (No. 1</w:t>
            </w:r>
            <w:r w:rsidRPr="004B5328">
              <w:rPr>
                <w:i/>
              </w:rPr>
              <w:t>)</w:t>
            </w:r>
            <w:r>
              <w:rPr>
                <w:i/>
              </w:rPr>
              <w:t xml:space="preserve"> </w:t>
            </w:r>
            <w:r w:rsidR="00491BC1">
              <w:rPr>
                <w:i/>
              </w:rPr>
              <w:t>201</w:t>
            </w:r>
            <w:r w:rsidR="00C128F2">
              <w:rPr>
                <w:i/>
              </w:rPr>
              <w:t>2</w:t>
            </w:r>
            <w:r w:rsidR="00491BC1">
              <w:rPr>
                <w:i/>
              </w:rPr>
              <w:t>-201</w:t>
            </w:r>
            <w:r w:rsidR="00C128F2">
              <w:rPr>
                <w:i/>
              </w:rPr>
              <w:t>3</w:t>
            </w:r>
            <w:r>
              <w:t xml:space="preserve"> </w:t>
            </w:r>
            <w:r w:rsidR="000B0A12">
              <w:t>to</w:t>
            </w:r>
            <w:r w:rsidR="00E624DF">
              <w:t>:</w:t>
            </w:r>
            <w:r w:rsidR="000B0A12">
              <w:t xml:space="preserve"> </w:t>
            </w:r>
          </w:p>
          <w:p w:rsidR="00E624DF" w:rsidRDefault="00E624DF" w:rsidP="00E624DF">
            <w:pPr>
              <w:pStyle w:val="Header"/>
              <w:numPr>
                <w:ilvl w:val="0"/>
                <w:numId w:val="14"/>
              </w:numPr>
              <w:tabs>
                <w:tab w:val="clear" w:pos="4153"/>
                <w:tab w:val="clear" w:pos="8306"/>
              </w:tabs>
              <w:spacing w:after="80"/>
              <w:rPr>
                <w:noProof/>
              </w:rPr>
            </w:pPr>
            <w:r>
              <w:t>reduce</w:t>
            </w:r>
            <w:r w:rsidR="006B54A5">
              <w:t xml:space="preserve"> </w:t>
            </w:r>
            <w:r w:rsidR="00E31050">
              <w:t xml:space="preserve">the </w:t>
            </w:r>
            <w:r w:rsidR="00076B37">
              <w:t>departmental</w:t>
            </w:r>
            <w:r w:rsidR="006B54A5">
              <w:t xml:space="preserve"> item </w:t>
            </w:r>
            <w:r w:rsidR="00E31050">
              <w:t xml:space="preserve">for </w:t>
            </w:r>
            <w:r w:rsidR="00F72542">
              <w:t>t</w:t>
            </w:r>
            <w:r w:rsidR="00814B7B">
              <w:t>he</w:t>
            </w:r>
            <w:r w:rsidR="006B54A5">
              <w:t xml:space="preserve"> </w:t>
            </w:r>
            <w:r w:rsidR="001A1F97">
              <w:t xml:space="preserve">Department of Education, Employment and Workplace Relations (DEEWR) </w:t>
            </w:r>
            <w:r>
              <w:t>by $</w:t>
            </w:r>
            <w:r w:rsidR="001A1F97">
              <w:t>5,882</w:t>
            </w:r>
            <w:r>
              <w:t>,000.00;</w:t>
            </w:r>
            <w:r w:rsidR="00270F73">
              <w:t xml:space="preserve"> </w:t>
            </w:r>
            <w:r w:rsidR="00AD4D39">
              <w:t>and</w:t>
            </w:r>
          </w:p>
          <w:p w:rsidR="00E624DF" w:rsidRDefault="00E624DF" w:rsidP="00E624DF">
            <w:pPr>
              <w:pStyle w:val="Header"/>
              <w:numPr>
                <w:ilvl w:val="0"/>
                <w:numId w:val="14"/>
              </w:numPr>
              <w:tabs>
                <w:tab w:val="clear" w:pos="4153"/>
                <w:tab w:val="clear" w:pos="8306"/>
              </w:tabs>
              <w:spacing w:after="80"/>
              <w:rPr>
                <w:noProof/>
              </w:rPr>
            </w:pPr>
            <w:proofErr w:type="gramStart"/>
            <w:r>
              <w:t>increase</w:t>
            </w:r>
            <w:proofErr w:type="gramEnd"/>
            <w:r w:rsidR="006B54A5">
              <w:t xml:space="preserve"> the </w:t>
            </w:r>
            <w:r w:rsidR="00076B37">
              <w:t>departmental</w:t>
            </w:r>
            <w:r w:rsidR="006B54A5">
              <w:t xml:space="preserve"> item for the </w:t>
            </w:r>
            <w:r w:rsidR="001A1F97" w:rsidRPr="00FF16B2">
              <w:t xml:space="preserve">Department of </w:t>
            </w:r>
            <w:r w:rsidR="001A1F97">
              <w:t xml:space="preserve">Industry, Innovation, </w:t>
            </w:r>
            <w:r w:rsidR="001A1F97" w:rsidRPr="00FF16B2">
              <w:t>Science</w:t>
            </w:r>
            <w:r w:rsidR="001A1F97">
              <w:t xml:space="preserve">, </w:t>
            </w:r>
            <w:r w:rsidR="001A1F97" w:rsidRPr="00FF16B2">
              <w:t>Research</w:t>
            </w:r>
            <w:r w:rsidR="001A1F97">
              <w:t xml:space="preserve"> and Tertiary Education (DIISRTE) </w:t>
            </w:r>
            <w:r>
              <w:rPr>
                <w:noProof/>
              </w:rPr>
              <w:t>by $</w:t>
            </w:r>
            <w:r w:rsidR="001A1F97">
              <w:rPr>
                <w:noProof/>
              </w:rPr>
              <w:t>5,882</w:t>
            </w:r>
            <w:r>
              <w:rPr>
                <w:noProof/>
              </w:rPr>
              <w:t>,000.00</w:t>
            </w:r>
            <w:r w:rsidR="00AD4D39">
              <w:rPr>
                <w:noProof/>
              </w:rPr>
              <w:t>.</w:t>
            </w:r>
            <w:r>
              <w:rPr>
                <w:noProof/>
              </w:rPr>
              <w:t xml:space="preserve"> </w:t>
            </w:r>
          </w:p>
          <w:p w:rsidR="001A1F97" w:rsidRDefault="001A1F97" w:rsidP="001A1F97">
            <w:pPr>
              <w:pStyle w:val="Header"/>
              <w:tabs>
                <w:tab w:val="clear" w:pos="4153"/>
                <w:tab w:val="clear" w:pos="8306"/>
              </w:tabs>
              <w:spacing w:after="80"/>
            </w:pPr>
            <w:r>
              <w:t xml:space="preserve">Schedule 2 to this Instrument amends </w:t>
            </w:r>
            <w:r>
              <w:rPr>
                <w:i/>
              </w:rPr>
              <w:t>Appropriation Act (No. 2</w:t>
            </w:r>
            <w:r w:rsidRPr="004B5328">
              <w:rPr>
                <w:i/>
              </w:rPr>
              <w:t>)</w:t>
            </w:r>
            <w:r>
              <w:rPr>
                <w:i/>
              </w:rPr>
              <w:t xml:space="preserve"> 2012-2013</w:t>
            </w:r>
            <w:r>
              <w:t xml:space="preserve"> to: </w:t>
            </w:r>
          </w:p>
          <w:p w:rsidR="001A1F97" w:rsidRDefault="001A1F97" w:rsidP="001A1F97">
            <w:pPr>
              <w:pStyle w:val="Header"/>
              <w:numPr>
                <w:ilvl w:val="0"/>
                <w:numId w:val="14"/>
              </w:numPr>
              <w:tabs>
                <w:tab w:val="clear" w:pos="4153"/>
                <w:tab w:val="clear" w:pos="8306"/>
              </w:tabs>
              <w:spacing w:after="80"/>
              <w:rPr>
                <w:noProof/>
              </w:rPr>
            </w:pPr>
            <w:r>
              <w:t>reduce the other departmental (Equity Injections) item for DEEWR by $913,000.00; and</w:t>
            </w:r>
          </w:p>
          <w:p w:rsidR="001A1F97" w:rsidRDefault="001A1F97" w:rsidP="001A1F97">
            <w:pPr>
              <w:pStyle w:val="Header"/>
              <w:numPr>
                <w:ilvl w:val="0"/>
                <w:numId w:val="14"/>
              </w:numPr>
              <w:tabs>
                <w:tab w:val="clear" w:pos="4153"/>
                <w:tab w:val="clear" w:pos="8306"/>
              </w:tabs>
              <w:spacing w:after="80"/>
              <w:rPr>
                <w:noProof/>
              </w:rPr>
            </w:pPr>
            <w:proofErr w:type="gramStart"/>
            <w:r>
              <w:t>increase</w:t>
            </w:r>
            <w:proofErr w:type="gramEnd"/>
            <w:r>
              <w:t xml:space="preserve"> the other departmental (Equity Injections) item for DIISRTE </w:t>
            </w:r>
            <w:r>
              <w:rPr>
                <w:noProof/>
              </w:rPr>
              <w:t xml:space="preserve">by $913,000.00. </w:t>
            </w:r>
          </w:p>
          <w:p w:rsidR="001A1F97" w:rsidRDefault="001A1F97" w:rsidP="001A1F97">
            <w:pPr>
              <w:pStyle w:val="Header"/>
              <w:tabs>
                <w:tab w:val="clear" w:pos="4153"/>
                <w:tab w:val="clear" w:pos="8306"/>
              </w:tabs>
              <w:spacing w:after="80"/>
            </w:pPr>
            <w:r>
              <w:t xml:space="preserve">Schedule 3 to this Instrument amends </w:t>
            </w:r>
            <w:r>
              <w:rPr>
                <w:i/>
              </w:rPr>
              <w:t>Appropriation Act (No. 1</w:t>
            </w:r>
            <w:r w:rsidRPr="004B5328">
              <w:rPr>
                <w:i/>
              </w:rPr>
              <w:t>)</w:t>
            </w:r>
            <w:r>
              <w:rPr>
                <w:i/>
              </w:rPr>
              <w:t xml:space="preserve"> 2011-2012</w:t>
            </w:r>
            <w:r>
              <w:t xml:space="preserve"> to: </w:t>
            </w:r>
          </w:p>
          <w:p w:rsidR="001A1F97" w:rsidRDefault="001A1F97" w:rsidP="001A1F97">
            <w:pPr>
              <w:pStyle w:val="Header"/>
              <w:numPr>
                <w:ilvl w:val="0"/>
                <w:numId w:val="14"/>
              </w:numPr>
              <w:tabs>
                <w:tab w:val="clear" w:pos="4153"/>
                <w:tab w:val="clear" w:pos="8306"/>
              </w:tabs>
              <w:spacing w:after="80"/>
              <w:rPr>
                <w:noProof/>
              </w:rPr>
            </w:pPr>
            <w:r>
              <w:t>reduce the departmental item for DEEWR by $29,644,901.00; and</w:t>
            </w:r>
          </w:p>
          <w:p w:rsidR="001A1F97" w:rsidRDefault="001A1F97" w:rsidP="001A1F97">
            <w:pPr>
              <w:pStyle w:val="Header"/>
              <w:numPr>
                <w:ilvl w:val="0"/>
                <w:numId w:val="14"/>
              </w:numPr>
              <w:tabs>
                <w:tab w:val="clear" w:pos="4153"/>
                <w:tab w:val="clear" w:pos="8306"/>
              </w:tabs>
              <w:spacing w:after="80"/>
              <w:rPr>
                <w:noProof/>
              </w:rPr>
            </w:pPr>
            <w:proofErr w:type="gramStart"/>
            <w:r>
              <w:t>increase</w:t>
            </w:r>
            <w:proofErr w:type="gramEnd"/>
            <w:r>
              <w:t xml:space="preserve"> the departmental item for DIISRTE </w:t>
            </w:r>
            <w:r>
              <w:rPr>
                <w:noProof/>
              </w:rPr>
              <w:t>by $</w:t>
            </w:r>
            <w:r>
              <w:t>29,644,901</w:t>
            </w:r>
            <w:r>
              <w:rPr>
                <w:noProof/>
              </w:rPr>
              <w:t xml:space="preserve">.00. </w:t>
            </w:r>
          </w:p>
          <w:bookmarkEnd w:id="1"/>
          <w:p w:rsidR="00E624DF" w:rsidRDefault="00E624DF" w:rsidP="00A02EE7">
            <w:pPr>
              <w:pStyle w:val="Header"/>
              <w:tabs>
                <w:tab w:val="clear" w:pos="4153"/>
                <w:tab w:val="clear" w:pos="8306"/>
              </w:tabs>
              <w:spacing w:after="80"/>
              <w:rPr>
                <w:noProof/>
              </w:rPr>
            </w:pPr>
            <w:r>
              <w:rPr>
                <w:noProof/>
              </w:rPr>
              <w:t xml:space="preserve">The effect of this instrument is to transfer appropriations for </w:t>
            </w:r>
            <w:r w:rsidR="00AD4D39">
              <w:rPr>
                <w:noProof/>
              </w:rPr>
              <w:t xml:space="preserve">the </w:t>
            </w:r>
            <w:r w:rsidR="00A02EE7">
              <w:rPr>
                <w:noProof/>
              </w:rPr>
              <w:t>Tertiary Education</w:t>
            </w:r>
            <w:r w:rsidR="00AD4D39">
              <w:rPr>
                <w:noProof/>
              </w:rPr>
              <w:t xml:space="preserve"> function</w:t>
            </w:r>
            <w:r>
              <w:rPr>
                <w:rStyle w:val="ItalicText"/>
                <w:i w:val="0"/>
              </w:rPr>
              <w:t xml:space="preserve"> </w:t>
            </w:r>
            <w:r w:rsidRPr="00FF16B2">
              <w:t xml:space="preserve">from </w:t>
            </w:r>
            <w:r w:rsidR="00AD4D39">
              <w:t>DEEWR</w:t>
            </w:r>
            <w:r w:rsidR="00A02EE7">
              <w:t xml:space="preserve"> to DIISRTE</w:t>
            </w:r>
            <w:r>
              <w:t>.</w:t>
            </w:r>
          </w:p>
        </w:tc>
      </w:tr>
      <w:tr w:rsidR="00684D36" w:rsidTr="00195E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978" w:type="dxa"/>
            <w:tcBorders>
              <w:top w:val="single" w:sz="4" w:space="0" w:color="000000"/>
              <w:left w:val="single" w:sz="4" w:space="0" w:color="000000"/>
              <w:bottom w:val="single" w:sz="4" w:space="0" w:color="000000"/>
              <w:right w:val="single" w:sz="4" w:space="0" w:color="000000"/>
            </w:tcBorders>
          </w:tcPr>
          <w:p w:rsidR="00684D36" w:rsidRDefault="00684D36" w:rsidP="00195E68">
            <w:pPr>
              <w:spacing w:after="120"/>
              <w:rPr>
                <w:b/>
                <w:bCs/>
              </w:rPr>
            </w:pPr>
            <w:r>
              <w:rPr>
                <w:b/>
                <w:bCs/>
              </w:rPr>
              <w:t>Background</w:t>
            </w:r>
          </w:p>
        </w:tc>
        <w:tc>
          <w:tcPr>
            <w:tcW w:w="6088" w:type="dxa"/>
            <w:tcBorders>
              <w:top w:val="single" w:sz="4" w:space="0" w:color="000000"/>
              <w:left w:val="single" w:sz="4" w:space="0" w:color="000000"/>
              <w:bottom w:val="single" w:sz="4" w:space="0" w:color="000000"/>
              <w:right w:val="single" w:sz="4" w:space="0" w:color="000000"/>
            </w:tcBorders>
          </w:tcPr>
          <w:p w:rsidR="00195E68" w:rsidRPr="00847552" w:rsidRDefault="00195E68" w:rsidP="00A02EE7">
            <w:pPr>
              <w:pStyle w:val="Header"/>
              <w:spacing w:after="80"/>
            </w:pPr>
            <w:r>
              <w:rPr>
                <w:rStyle w:val="ItalicText"/>
                <w:i w:val="0"/>
              </w:rPr>
              <w:t xml:space="preserve">Due to </w:t>
            </w:r>
            <w:r w:rsidR="00624442" w:rsidRPr="00847552">
              <w:rPr>
                <w:noProof/>
              </w:rPr>
              <w:t xml:space="preserve">a change in the </w:t>
            </w:r>
            <w:r w:rsidR="00624442" w:rsidRPr="00847552">
              <w:rPr>
                <w:i/>
                <w:noProof/>
              </w:rPr>
              <w:t>Administrative Arrangements Order</w:t>
            </w:r>
            <w:r w:rsidR="00624442">
              <w:rPr>
                <w:noProof/>
              </w:rPr>
              <w:t xml:space="preserve"> of 1</w:t>
            </w:r>
            <w:r w:rsidR="00624442" w:rsidRPr="00847552">
              <w:rPr>
                <w:noProof/>
              </w:rPr>
              <w:t>4 December 2011</w:t>
            </w:r>
            <w:r>
              <w:rPr>
                <w:rStyle w:val="ItalicText"/>
                <w:i w:val="0"/>
              </w:rPr>
              <w:t xml:space="preserve">, </w:t>
            </w:r>
            <w:r w:rsidR="00AD4D39">
              <w:rPr>
                <w:noProof/>
              </w:rPr>
              <w:t xml:space="preserve">the </w:t>
            </w:r>
            <w:r w:rsidR="00A02EE7">
              <w:rPr>
                <w:noProof/>
              </w:rPr>
              <w:t>Tertiary Education</w:t>
            </w:r>
            <w:r w:rsidR="00AD4D39">
              <w:rPr>
                <w:noProof/>
              </w:rPr>
              <w:t xml:space="preserve"> function</w:t>
            </w:r>
            <w:r w:rsidR="00AD4D39">
              <w:rPr>
                <w:rStyle w:val="ItalicText"/>
                <w:i w:val="0"/>
              </w:rPr>
              <w:t xml:space="preserve"> </w:t>
            </w:r>
            <w:r w:rsidR="00E624DF">
              <w:rPr>
                <w:rStyle w:val="ItalicText"/>
                <w:i w:val="0"/>
              </w:rPr>
              <w:t>w</w:t>
            </w:r>
            <w:r w:rsidR="00AD4D39">
              <w:rPr>
                <w:rStyle w:val="ItalicText"/>
                <w:i w:val="0"/>
              </w:rPr>
              <w:t>as</w:t>
            </w:r>
            <w:r>
              <w:rPr>
                <w:rStyle w:val="ItalicText"/>
                <w:i w:val="0"/>
              </w:rPr>
              <w:t xml:space="preserve"> transferred </w:t>
            </w:r>
            <w:r w:rsidRPr="00FF16B2">
              <w:t xml:space="preserve">from </w:t>
            </w:r>
            <w:r w:rsidR="00AD4D39">
              <w:t>DEEWR</w:t>
            </w:r>
            <w:r w:rsidR="00A02EE7">
              <w:t xml:space="preserve"> to DIISRTE</w:t>
            </w:r>
            <w:r>
              <w:t>.</w:t>
            </w:r>
          </w:p>
        </w:tc>
      </w:tr>
      <w:tr w:rsidR="00684D36" w:rsidTr="00A02E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2978" w:type="dxa"/>
            <w:tcBorders>
              <w:top w:val="single" w:sz="4" w:space="0" w:color="auto"/>
              <w:left w:val="single" w:sz="4" w:space="0" w:color="000000"/>
              <w:bottom w:val="single" w:sz="4" w:space="0" w:color="auto"/>
              <w:right w:val="single" w:sz="4" w:space="0" w:color="000000"/>
            </w:tcBorders>
          </w:tcPr>
          <w:p w:rsidR="00684D36" w:rsidRDefault="00684D36" w:rsidP="00195E68">
            <w:pPr>
              <w:spacing w:after="120"/>
              <w:rPr>
                <w:b/>
                <w:bCs/>
              </w:rPr>
            </w:pPr>
            <w:r>
              <w:rPr>
                <w:b/>
                <w:bCs/>
              </w:rPr>
              <w:lastRenderedPageBreak/>
              <w:t>Notes on the Instrument</w:t>
            </w:r>
          </w:p>
        </w:tc>
        <w:tc>
          <w:tcPr>
            <w:tcW w:w="6088" w:type="dxa"/>
            <w:tcBorders>
              <w:top w:val="single" w:sz="4" w:space="0" w:color="000000"/>
              <w:left w:val="single" w:sz="4" w:space="0" w:color="000000"/>
              <w:bottom w:val="single" w:sz="4" w:space="0" w:color="000000"/>
              <w:right w:val="single" w:sz="4" w:space="0" w:color="000000"/>
            </w:tcBorders>
          </w:tcPr>
          <w:p w:rsidR="009A2EFD" w:rsidRDefault="00684D36" w:rsidP="00195E68">
            <w:pPr>
              <w:spacing w:after="80"/>
            </w:pPr>
            <w:r>
              <w:t>In accordance with Part 3 of the</w:t>
            </w:r>
            <w:r w:rsidRPr="00195E68">
              <w:t xml:space="preserve"> </w:t>
            </w:r>
            <w:r w:rsidRPr="00195E68">
              <w:rPr>
                <w:i/>
              </w:rPr>
              <w:t>Legislative Instruments Act 2003</w:t>
            </w:r>
            <w:r>
              <w:t xml:space="preserve">, </w:t>
            </w:r>
            <w:r w:rsidR="00AD4D39">
              <w:t>DEEWR</w:t>
            </w:r>
            <w:r w:rsidR="009A2EFD">
              <w:t xml:space="preserve"> </w:t>
            </w:r>
            <w:r w:rsidR="00A02EE7">
              <w:t xml:space="preserve">and DIISRTE </w:t>
            </w:r>
            <w:r>
              <w:t xml:space="preserve">were consulted in the preparation of this instrument.  </w:t>
            </w:r>
          </w:p>
          <w:p w:rsidR="00684D36" w:rsidRDefault="00684D36" w:rsidP="00195E68">
            <w:pPr>
              <w:spacing w:after="80"/>
            </w:pPr>
            <w:r>
              <w:t xml:space="preserve">This Determination is a legislative instrument for the purposes of section 5 of the </w:t>
            </w:r>
            <w:r w:rsidRPr="00195E68">
              <w:rPr>
                <w:i/>
              </w:rPr>
              <w:t xml:space="preserve">Legislative Instruments Act </w:t>
            </w:r>
            <w:r w:rsidR="00195E68">
              <w:rPr>
                <w:i/>
              </w:rPr>
              <w:t>2</w:t>
            </w:r>
            <w:r w:rsidRPr="00195E68">
              <w:rPr>
                <w:i/>
              </w:rPr>
              <w:t>003</w:t>
            </w:r>
            <w:r>
              <w:t>.</w:t>
            </w:r>
            <w:r w:rsidR="002359B0">
              <w:t xml:space="preserve"> </w:t>
            </w:r>
          </w:p>
        </w:tc>
      </w:tr>
      <w:tr w:rsidR="00847552" w:rsidTr="00195E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978" w:type="dxa"/>
            <w:tcBorders>
              <w:top w:val="single" w:sz="4" w:space="0" w:color="auto"/>
              <w:left w:val="single" w:sz="4" w:space="0" w:color="000000"/>
              <w:bottom w:val="single" w:sz="4" w:space="0" w:color="auto"/>
              <w:right w:val="single" w:sz="4" w:space="0" w:color="000000"/>
            </w:tcBorders>
          </w:tcPr>
          <w:p w:rsidR="00847552" w:rsidRDefault="00847552" w:rsidP="00195E68">
            <w:pPr>
              <w:spacing w:after="120"/>
              <w:rPr>
                <w:b/>
                <w:bCs/>
              </w:rPr>
            </w:pPr>
            <w:r>
              <w:rPr>
                <w:b/>
                <w:bCs/>
              </w:rPr>
              <w:t>Human Rights Impact Statement</w:t>
            </w:r>
          </w:p>
        </w:tc>
        <w:tc>
          <w:tcPr>
            <w:tcW w:w="6088" w:type="dxa"/>
            <w:tcBorders>
              <w:top w:val="single" w:sz="4" w:space="0" w:color="000000"/>
              <w:left w:val="single" w:sz="4" w:space="0" w:color="000000"/>
              <w:bottom w:val="single" w:sz="4" w:space="0" w:color="000000"/>
              <w:right w:val="single" w:sz="4" w:space="0" w:color="000000"/>
            </w:tcBorders>
          </w:tcPr>
          <w:p w:rsidR="00847552" w:rsidRPr="0079446A" w:rsidRDefault="00C5762F" w:rsidP="00195E68">
            <w:pPr>
              <w:pStyle w:val="Header"/>
              <w:tabs>
                <w:tab w:val="clear" w:pos="4153"/>
                <w:tab w:val="clear" w:pos="8306"/>
              </w:tabs>
              <w:spacing w:after="80"/>
            </w:pPr>
            <w:r>
              <w:t xml:space="preserve">This Instrument is exempt from disallowance under subsection 32(7) of the </w:t>
            </w:r>
            <w:r>
              <w:rPr>
                <w:i/>
              </w:rPr>
              <w:t>Financial Management and Accountability Act 1997</w:t>
            </w:r>
            <w:r>
              <w:t xml:space="preserve">.  As such, a statement of compatibility prepared under subsection 9(1) of </w:t>
            </w:r>
            <w:r w:rsidRPr="005A1C13">
              <w:t xml:space="preserve">the </w:t>
            </w:r>
            <w:r w:rsidRPr="004D4B6B">
              <w:rPr>
                <w:i/>
              </w:rPr>
              <w:t>Human Rights (Parliamentary Scrutiny) Act 2011</w:t>
            </w:r>
            <w:r>
              <w:t xml:space="preserve"> is not required in this Explanatory Statement.</w:t>
            </w:r>
          </w:p>
        </w:tc>
      </w:tr>
    </w:tbl>
    <w:p w:rsidR="00BE756F" w:rsidRPr="000F6FC0" w:rsidRDefault="00BE756F" w:rsidP="00847552">
      <w:pPr>
        <w:rPr>
          <w:sz w:val="14"/>
          <w:szCs w:val="20"/>
        </w:rPr>
      </w:pPr>
    </w:p>
    <w:sectPr w:rsidR="00BE756F" w:rsidRPr="000F6FC0" w:rsidSect="00D41344">
      <w:headerReference w:type="default" r:id="rId8"/>
      <w:footerReference w:type="default" r:id="rId9"/>
      <w:pgSz w:w="11906" w:h="16838" w:code="9"/>
      <w:pgMar w:top="680" w:right="1797" w:bottom="680" w:left="1797"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F97" w:rsidRDefault="001A1F97" w:rsidP="0077183B">
      <w:r>
        <w:separator/>
      </w:r>
    </w:p>
  </w:endnote>
  <w:endnote w:type="continuationSeparator" w:id="0">
    <w:p w:rsidR="001A1F97" w:rsidRDefault="001A1F97" w:rsidP="00771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97" w:rsidRPr="00E624DF" w:rsidRDefault="00246838" w:rsidP="00010B84">
    <w:pPr>
      <w:pStyle w:val="Footer"/>
      <w:jc w:val="center"/>
      <w:rPr>
        <w:rFonts w:ascii="Arial" w:hAnsi="Arial" w:cs="Arial"/>
        <w:i/>
        <w:sz w:val="20"/>
        <w:szCs w:val="20"/>
      </w:rPr>
    </w:pPr>
    <w:r w:rsidRPr="00246838">
      <w:rPr>
        <w:rFonts w:ascii="Arial" w:hAnsi="Arial" w:cs="Arial"/>
        <w:i/>
        <w:noProof/>
        <w:sz w:val="20"/>
        <w:szCs w:val="20"/>
        <w:lang w:val="en-US" w:eastAsia="zh-TW"/>
      </w:rPr>
      <w:pict>
        <v:shapetype id="_x0000_t202" coordsize="21600,21600" o:spt="202" path="m,l,21600r21600,l21600,xe">
          <v:stroke joinstyle="miter"/>
          <v:path gradientshapeok="t" o:connecttype="rect"/>
        </v:shapetype>
        <v:shape id="_x0000_s2049" type="#_x0000_t202" style="position:absolute;left:0;text-align:left;margin-left:425.4pt;margin-top:-2.95pt;width:26.5pt;height:28pt;z-index:251657728;mso-width-relative:margin;mso-height-relative:margin" filled="f" stroked="f">
          <v:textbox style="mso-next-textbox:#_x0000_s2049">
            <w:txbxContent>
              <w:p w:rsidR="001A1F97" w:rsidRPr="00876450" w:rsidRDefault="00246838" w:rsidP="009F5BF7">
                <w:pPr>
                  <w:pStyle w:val="Footer"/>
                  <w:rPr>
                    <w:rFonts w:ascii="Arial" w:hAnsi="Arial" w:cs="Arial"/>
                    <w:sz w:val="20"/>
                    <w:szCs w:val="20"/>
                  </w:rPr>
                </w:pPr>
                <w:r w:rsidRPr="00876450">
                  <w:rPr>
                    <w:rFonts w:ascii="Arial" w:hAnsi="Arial" w:cs="Arial"/>
                    <w:sz w:val="20"/>
                    <w:szCs w:val="20"/>
                  </w:rPr>
                  <w:fldChar w:fldCharType="begin"/>
                </w:r>
                <w:r w:rsidR="001A1F97" w:rsidRPr="00876450">
                  <w:rPr>
                    <w:rFonts w:ascii="Arial" w:hAnsi="Arial" w:cs="Arial"/>
                    <w:sz w:val="20"/>
                    <w:szCs w:val="20"/>
                  </w:rPr>
                  <w:instrText xml:space="preserve"> PAGE   \* MERGEFORMAT </w:instrText>
                </w:r>
                <w:r w:rsidRPr="00876450">
                  <w:rPr>
                    <w:rFonts w:ascii="Arial" w:hAnsi="Arial" w:cs="Arial"/>
                    <w:sz w:val="20"/>
                    <w:szCs w:val="20"/>
                  </w:rPr>
                  <w:fldChar w:fldCharType="separate"/>
                </w:r>
                <w:r w:rsidR="009C0B7F">
                  <w:rPr>
                    <w:rFonts w:ascii="Arial" w:hAnsi="Arial" w:cs="Arial"/>
                    <w:noProof/>
                    <w:sz w:val="20"/>
                    <w:szCs w:val="20"/>
                  </w:rPr>
                  <w:t>1</w:t>
                </w:r>
                <w:r w:rsidRPr="00876450">
                  <w:rPr>
                    <w:rFonts w:ascii="Arial" w:hAnsi="Arial" w:cs="Arial"/>
                    <w:sz w:val="20"/>
                    <w:szCs w:val="20"/>
                  </w:rPr>
                  <w:fldChar w:fldCharType="end"/>
                </w:r>
              </w:p>
            </w:txbxContent>
          </v:textbox>
        </v:shape>
      </w:pict>
    </w:r>
    <w:fldSimple w:instr=" REF  Instrument_Title  \* MERGEFORMAT ">
      <w:r w:rsidR="009C0B7F" w:rsidRPr="009C0B7F">
        <w:rPr>
          <w:rFonts w:ascii="Arial" w:hAnsi="Arial" w:cs="Arial"/>
          <w:i/>
          <w:sz w:val="20"/>
          <w:szCs w:val="20"/>
        </w:rPr>
        <w:t>Financial Management and Accountability Act 1997 Determination 2012/33 – Section 32 (Transfer of Functions from DEEWR to DIISRTE)</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F97" w:rsidRDefault="001A1F97" w:rsidP="0077183B">
      <w:r>
        <w:separator/>
      </w:r>
    </w:p>
  </w:footnote>
  <w:footnote w:type="continuationSeparator" w:id="0">
    <w:p w:rsidR="001A1F97" w:rsidRDefault="001A1F97" w:rsidP="00771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97" w:rsidRPr="001255B5" w:rsidRDefault="001A1F97">
    <w:pPr>
      <w:pStyle w:val="Header"/>
      <w:jc w:val="right"/>
      <w:rPr>
        <w:sz w:val="6"/>
        <w:lang w:val="en-US"/>
      </w:rPr>
    </w:pPr>
  </w:p>
  <w:p w:rsidR="001A1F97" w:rsidRPr="001255B5" w:rsidRDefault="001A1F97">
    <w:pPr>
      <w:pStyle w:val="Header"/>
      <w:jc w:val="center"/>
      <w:rPr>
        <w:b/>
        <w:bCs/>
      </w:rPr>
    </w:pPr>
    <w:r w:rsidRPr="001255B5">
      <w:rPr>
        <w:b/>
        <w:bCs/>
        <w:sz w:val="28"/>
      </w:rPr>
      <w:t>EXPLANATORY STATEMENT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443F"/>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9116BF"/>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66B7E0B"/>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7744926"/>
    <w:multiLevelType w:val="hybridMultilevel"/>
    <w:tmpl w:val="D906696A"/>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D269F1"/>
    <w:multiLevelType w:val="hybridMultilevel"/>
    <w:tmpl w:val="0FD4A986"/>
    <w:lvl w:ilvl="0" w:tplc="50844ED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7143E1"/>
    <w:multiLevelType w:val="hybridMultilevel"/>
    <w:tmpl w:val="8F1E161C"/>
    <w:lvl w:ilvl="0" w:tplc="50844ED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88174A"/>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0C87034"/>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B1B0C25"/>
    <w:multiLevelType w:val="hybridMultilevel"/>
    <w:tmpl w:val="57CCB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B3B4C81"/>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4A74C13"/>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F253F53"/>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F96148C"/>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0F40C00"/>
    <w:multiLevelType w:val="hybridMultilevel"/>
    <w:tmpl w:val="3D9E5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C800A5E"/>
    <w:multiLevelType w:val="hybridMultilevel"/>
    <w:tmpl w:val="EC08B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6"/>
  </w:num>
  <w:num w:numId="5">
    <w:abstractNumId w:val="12"/>
  </w:num>
  <w:num w:numId="6">
    <w:abstractNumId w:val="2"/>
  </w:num>
  <w:num w:numId="7">
    <w:abstractNumId w:val="0"/>
  </w:num>
  <w:num w:numId="8">
    <w:abstractNumId w:val="11"/>
  </w:num>
  <w:num w:numId="9">
    <w:abstractNumId w:val="1"/>
  </w:num>
  <w:num w:numId="10">
    <w:abstractNumId w:val="10"/>
  </w:num>
  <w:num w:numId="11">
    <w:abstractNumId w:val="7"/>
  </w:num>
  <w:num w:numId="12">
    <w:abstractNumId w:val="9"/>
  </w:num>
  <w:num w:numId="13">
    <w:abstractNumId w:val="3"/>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1A73"/>
    <w:rsid w:val="00010B46"/>
    <w:rsid w:val="00010B84"/>
    <w:rsid w:val="0001439E"/>
    <w:rsid w:val="000239C3"/>
    <w:rsid w:val="0003079B"/>
    <w:rsid w:val="00030A25"/>
    <w:rsid w:val="0003791C"/>
    <w:rsid w:val="00042C85"/>
    <w:rsid w:val="00055576"/>
    <w:rsid w:val="000557B1"/>
    <w:rsid w:val="000564A8"/>
    <w:rsid w:val="00066E05"/>
    <w:rsid w:val="0007324F"/>
    <w:rsid w:val="00076B37"/>
    <w:rsid w:val="00087374"/>
    <w:rsid w:val="000A244B"/>
    <w:rsid w:val="000B0A12"/>
    <w:rsid w:val="000B702F"/>
    <w:rsid w:val="000C5C44"/>
    <w:rsid w:val="000D1D08"/>
    <w:rsid w:val="000E0862"/>
    <w:rsid w:val="000E1138"/>
    <w:rsid w:val="000F6FC0"/>
    <w:rsid w:val="000F76EF"/>
    <w:rsid w:val="001107FC"/>
    <w:rsid w:val="00110EE2"/>
    <w:rsid w:val="0011391A"/>
    <w:rsid w:val="00116189"/>
    <w:rsid w:val="001255B5"/>
    <w:rsid w:val="00132882"/>
    <w:rsid w:val="001475C1"/>
    <w:rsid w:val="001629B8"/>
    <w:rsid w:val="00162E53"/>
    <w:rsid w:val="001735FB"/>
    <w:rsid w:val="00176D87"/>
    <w:rsid w:val="00180B75"/>
    <w:rsid w:val="00181601"/>
    <w:rsid w:val="001877AF"/>
    <w:rsid w:val="00195E68"/>
    <w:rsid w:val="001A135A"/>
    <w:rsid w:val="001A1F97"/>
    <w:rsid w:val="001B1D3D"/>
    <w:rsid w:val="001B7784"/>
    <w:rsid w:val="001C5069"/>
    <w:rsid w:val="001D762C"/>
    <w:rsid w:val="001E2080"/>
    <w:rsid w:val="001E4A77"/>
    <w:rsid w:val="001E6A1E"/>
    <w:rsid w:val="001F14F2"/>
    <w:rsid w:val="001F7D2D"/>
    <w:rsid w:val="00200070"/>
    <w:rsid w:val="00202E6B"/>
    <w:rsid w:val="00202FB8"/>
    <w:rsid w:val="00205D25"/>
    <w:rsid w:val="00207053"/>
    <w:rsid w:val="00207F9F"/>
    <w:rsid w:val="002231FD"/>
    <w:rsid w:val="00224800"/>
    <w:rsid w:val="002275AB"/>
    <w:rsid w:val="00232A47"/>
    <w:rsid w:val="002359B0"/>
    <w:rsid w:val="00237D34"/>
    <w:rsid w:val="00242427"/>
    <w:rsid w:val="00245D1D"/>
    <w:rsid w:val="00246838"/>
    <w:rsid w:val="0026101E"/>
    <w:rsid w:val="00262C40"/>
    <w:rsid w:val="0027047E"/>
    <w:rsid w:val="00270F73"/>
    <w:rsid w:val="00274ED9"/>
    <w:rsid w:val="002765E4"/>
    <w:rsid w:val="0029005D"/>
    <w:rsid w:val="002A742C"/>
    <w:rsid w:val="002C2039"/>
    <w:rsid w:val="002C2422"/>
    <w:rsid w:val="002C5D75"/>
    <w:rsid w:val="002E59CA"/>
    <w:rsid w:val="002E735E"/>
    <w:rsid w:val="002F322A"/>
    <w:rsid w:val="002F4A0D"/>
    <w:rsid w:val="0031007D"/>
    <w:rsid w:val="003115D7"/>
    <w:rsid w:val="00311F67"/>
    <w:rsid w:val="00312CA1"/>
    <w:rsid w:val="00312CC4"/>
    <w:rsid w:val="003140C0"/>
    <w:rsid w:val="0032072D"/>
    <w:rsid w:val="00331916"/>
    <w:rsid w:val="0033468B"/>
    <w:rsid w:val="00346883"/>
    <w:rsid w:val="003507A3"/>
    <w:rsid w:val="00351599"/>
    <w:rsid w:val="0036059F"/>
    <w:rsid w:val="00364B4A"/>
    <w:rsid w:val="0036531A"/>
    <w:rsid w:val="00372899"/>
    <w:rsid w:val="003823F7"/>
    <w:rsid w:val="003904EB"/>
    <w:rsid w:val="003908A2"/>
    <w:rsid w:val="00393021"/>
    <w:rsid w:val="0039326A"/>
    <w:rsid w:val="003A0627"/>
    <w:rsid w:val="003A10F6"/>
    <w:rsid w:val="003A62B0"/>
    <w:rsid w:val="003C62EE"/>
    <w:rsid w:val="003D4338"/>
    <w:rsid w:val="003E0781"/>
    <w:rsid w:val="003E2085"/>
    <w:rsid w:val="003E3EAE"/>
    <w:rsid w:val="003E6FBB"/>
    <w:rsid w:val="003F4E4C"/>
    <w:rsid w:val="004076EF"/>
    <w:rsid w:val="00413EB6"/>
    <w:rsid w:val="00422B99"/>
    <w:rsid w:val="00426D31"/>
    <w:rsid w:val="004353F2"/>
    <w:rsid w:val="00436F7E"/>
    <w:rsid w:val="00440012"/>
    <w:rsid w:val="00444890"/>
    <w:rsid w:val="00447BFE"/>
    <w:rsid w:val="0045181B"/>
    <w:rsid w:val="00452DF2"/>
    <w:rsid w:val="0045543C"/>
    <w:rsid w:val="00466CAA"/>
    <w:rsid w:val="00473B9C"/>
    <w:rsid w:val="0048417D"/>
    <w:rsid w:val="00491BC1"/>
    <w:rsid w:val="00494444"/>
    <w:rsid w:val="004957F8"/>
    <w:rsid w:val="004D2D79"/>
    <w:rsid w:val="004E1776"/>
    <w:rsid w:val="004F1E46"/>
    <w:rsid w:val="004F264C"/>
    <w:rsid w:val="004F5F77"/>
    <w:rsid w:val="004F6A89"/>
    <w:rsid w:val="00511AD1"/>
    <w:rsid w:val="00517C6B"/>
    <w:rsid w:val="005417E5"/>
    <w:rsid w:val="005478B4"/>
    <w:rsid w:val="00560086"/>
    <w:rsid w:val="005649B5"/>
    <w:rsid w:val="005667D8"/>
    <w:rsid w:val="005668E7"/>
    <w:rsid w:val="005701CD"/>
    <w:rsid w:val="00570DD3"/>
    <w:rsid w:val="0059007F"/>
    <w:rsid w:val="005A0016"/>
    <w:rsid w:val="005B128E"/>
    <w:rsid w:val="005B2A3E"/>
    <w:rsid w:val="005B79BB"/>
    <w:rsid w:val="005C26DA"/>
    <w:rsid w:val="005C74FB"/>
    <w:rsid w:val="005D1D8A"/>
    <w:rsid w:val="005D562A"/>
    <w:rsid w:val="005E0AFD"/>
    <w:rsid w:val="005E6E2A"/>
    <w:rsid w:val="00604222"/>
    <w:rsid w:val="006135B1"/>
    <w:rsid w:val="00624442"/>
    <w:rsid w:val="00635EF1"/>
    <w:rsid w:val="006415C7"/>
    <w:rsid w:val="00642CE2"/>
    <w:rsid w:val="00647D9A"/>
    <w:rsid w:val="00651FC2"/>
    <w:rsid w:val="006521AD"/>
    <w:rsid w:val="0066210F"/>
    <w:rsid w:val="006666A5"/>
    <w:rsid w:val="006671FB"/>
    <w:rsid w:val="00676A3A"/>
    <w:rsid w:val="00684D36"/>
    <w:rsid w:val="006861E8"/>
    <w:rsid w:val="006A22FF"/>
    <w:rsid w:val="006A33A2"/>
    <w:rsid w:val="006A4B27"/>
    <w:rsid w:val="006B4658"/>
    <w:rsid w:val="006B54A5"/>
    <w:rsid w:val="006C2D03"/>
    <w:rsid w:val="006C4874"/>
    <w:rsid w:val="006D6FE9"/>
    <w:rsid w:val="006F3A7F"/>
    <w:rsid w:val="0071167D"/>
    <w:rsid w:val="00717EE3"/>
    <w:rsid w:val="0072608C"/>
    <w:rsid w:val="00730FF4"/>
    <w:rsid w:val="00766205"/>
    <w:rsid w:val="00766321"/>
    <w:rsid w:val="0077183B"/>
    <w:rsid w:val="00776F15"/>
    <w:rsid w:val="007845EA"/>
    <w:rsid w:val="00791F63"/>
    <w:rsid w:val="007A712A"/>
    <w:rsid w:val="007B104D"/>
    <w:rsid w:val="007B1448"/>
    <w:rsid w:val="007B6150"/>
    <w:rsid w:val="007B6E9D"/>
    <w:rsid w:val="007C3DAA"/>
    <w:rsid w:val="007C5420"/>
    <w:rsid w:val="007C5B6F"/>
    <w:rsid w:val="007D726A"/>
    <w:rsid w:val="007F2E73"/>
    <w:rsid w:val="0080016E"/>
    <w:rsid w:val="0080085E"/>
    <w:rsid w:val="008041DE"/>
    <w:rsid w:val="00814B7B"/>
    <w:rsid w:val="008319E7"/>
    <w:rsid w:val="008320A6"/>
    <w:rsid w:val="00847552"/>
    <w:rsid w:val="008569B7"/>
    <w:rsid w:val="008578A8"/>
    <w:rsid w:val="00861550"/>
    <w:rsid w:val="00872FDA"/>
    <w:rsid w:val="008751D9"/>
    <w:rsid w:val="00876450"/>
    <w:rsid w:val="0089334F"/>
    <w:rsid w:val="00896D75"/>
    <w:rsid w:val="00897CE7"/>
    <w:rsid w:val="008A0D24"/>
    <w:rsid w:val="008A39B7"/>
    <w:rsid w:val="008B2E9F"/>
    <w:rsid w:val="008B413A"/>
    <w:rsid w:val="008B7B4C"/>
    <w:rsid w:val="008C123B"/>
    <w:rsid w:val="008D4BBF"/>
    <w:rsid w:val="008D694D"/>
    <w:rsid w:val="008E763D"/>
    <w:rsid w:val="008E7902"/>
    <w:rsid w:val="008E7B48"/>
    <w:rsid w:val="008F7163"/>
    <w:rsid w:val="008F7227"/>
    <w:rsid w:val="0090315D"/>
    <w:rsid w:val="0091779E"/>
    <w:rsid w:val="00923D62"/>
    <w:rsid w:val="00926305"/>
    <w:rsid w:val="009264D0"/>
    <w:rsid w:val="00935E50"/>
    <w:rsid w:val="00936A2B"/>
    <w:rsid w:val="00945E5F"/>
    <w:rsid w:val="00980C30"/>
    <w:rsid w:val="009858FD"/>
    <w:rsid w:val="00996CB4"/>
    <w:rsid w:val="009A2EFD"/>
    <w:rsid w:val="009A6B20"/>
    <w:rsid w:val="009B7920"/>
    <w:rsid w:val="009C0B7F"/>
    <w:rsid w:val="009C1FE0"/>
    <w:rsid w:val="009C5688"/>
    <w:rsid w:val="009C69C7"/>
    <w:rsid w:val="009D1712"/>
    <w:rsid w:val="009F5BF7"/>
    <w:rsid w:val="009F6565"/>
    <w:rsid w:val="00A005E6"/>
    <w:rsid w:val="00A02EE7"/>
    <w:rsid w:val="00A11F3E"/>
    <w:rsid w:val="00A13B33"/>
    <w:rsid w:val="00A20899"/>
    <w:rsid w:val="00A31973"/>
    <w:rsid w:val="00A32C68"/>
    <w:rsid w:val="00A35234"/>
    <w:rsid w:val="00A47CC4"/>
    <w:rsid w:val="00A532B8"/>
    <w:rsid w:val="00A90471"/>
    <w:rsid w:val="00A95F8F"/>
    <w:rsid w:val="00AA0DEC"/>
    <w:rsid w:val="00AA65ED"/>
    <w:rsid w:val="00AB1FF8"/>
    <w:rsid w:val="00AB3411"/>
    <w:rsid w:val="00AC282B"/>
    <w:rsid w:val="00AC6D84"/>
    <w:rsid w:val="00AD0E4C"/>
    <w:rsid w:val="00AD295A"/>
    <w:rsid w:val="00AD4D39"/>
    <w:rsid w:val="00AF7D81"/>
    <w:rsid w:val="00B10B4B"/>
    <w:rsid w:val="00B14A5F"/>
    <w:rsid w:val="00B15A0A"/>
    <w:rsid w:val="00B1652D"/>
    <w:rsid w:val="00B414D1"/>
    <w:rsid w:val="00B47962"/>
    <w:rsid w:val="00B66AB9"/>
    <w:rsid w:val="00B66D84"/>
    <w:rsid w:val="00B70128"/>
    <w:rsid w:val="00B73CCE"/>
    <w:rsid w:val="00B8060F"/>
    <w:rsid w:val="00B8610F"/>
    <w:rsid w:val="00B97073"/>
    <w:rsid w:val="00BA0D0A"/>
    <w:rsid w:val="00BA3B2A"/>
    <w:rsid w:val="00BA5979"/>
    <w:rsid w:val="00BA7BA9"/>
    <w:rsid w:val="00BB1BA1"/>
    <w:rsid w:val="00BC176C"/>
    <w:rsid w:val="00BC36A4"/>
    <w:rsid w:val="00BD3B6D"/>
    <w:rsid w:val="00BD709A"/>
    <w:rsid w:val="00BE044D"/>
    <w:rsid w:val="00BE756F"/>
    <w:rsid w:val="00BF293D"/>
    <w:rsid w:val="00BF41AA"/>
    <w:rsid w:val="00BF4420"/>
    <w:rsid w:val="00C064E7"/>
    <w:rsid w:val="00C128F2"/>
    <w:rsid w:val="00C26DE6"/>
    <w:rsid w:val="00C276F6"/>
    <w:rsid w:val="00C31300"/>
    <w:rsid w:val="00C34184"/>
    <w:rsid w:val="00C36486"/>
    <w:rsid w:val="00C5762F"/>
    <w:rsid w:val="00C86F7B"/>
    <w:rsid w:val="00CA452D"/>
    <w:rsid w:val="00CB248A"/>
    <w:rsid w:val="00CB5BBA"/>
    <w:rsid w:val="00CB5D48"/>
    <w:rsid w:val="00CB753D"/>
    <w:rsid w:val="00CC2D11"/>
    <w:rsid w:val="00CD26EC"/>
    <w:rsid w:val="00CE63EE"/>
    <w:rsid w:val="00CE7150"/>
    <w:rsid w:val="00CE7383"/>
    <w:rsid w:val="00CF4FFA"/>
    <w:rsid w:val="00D21DE8"/>
    <w:rsid w:val="00D27CAA"/>
    <w:rsid w:val="00D325D8"/>
    <w:rsid w:val="00D41344"/>
    <w:rsid w:val="00D42F85"/>
    <w:rsid w:val="00D46CD8"/>
    <w:rsid w:val="00D51C75"/>
    <w:rsid w:val="00D5252F"/>
    <w:rsid w:val="00D53405"/>
    <w:rsid w:val="00D6070F"/>
    <w:rsid w:val="00D627BF"/>
    <w:rsid w:val="00D635B3"/>
    <w:rsid w:val="00D74BB9"/>
    <w:rsid w:val="00D81286"/>
    <w:rsid w:val="00D91234"/>
    <w:rsid w:val="00D9559B"/>
    <w:rsid w:val="00D96CBD"/>
    <w:rsid w:val="00DB2CD4"/>
    <w:rsid w:val="00DC30E4"/>
    <w:rsid w:val="00DC3845"/>
    <w:rsid w:val="00DD598A"/>
    <w:rsid w:val="00DF2415"/>
    <w:rsid w:val="00DF650E"/>
    <w:rsid w:val="00E124A6"/>
    <w:rsid w:val="00E16498"/>
    <w:rsid w:val="00E26CDF"/>
    <w:rsid w:val="00E31050"/>
    <w:rsid w:val="00E42041"/>
    <w:rsid w:val="00E507B4"/>
    <w:rsid w:val="00E61A73"/>
    <w:rsid w:val="00E61BC5"/>
    <w:rsid w:val="00E624DC"/>
    <w:rsid w:val="00E624DF"/>
    <w:rsid w:val="00E72269"/>
    <w:rsid w:val="00E8324D"/>
    <w:rsid w:val="00E95E9A"/>
    <w:rsid w:val="00E979D6"/>
    <w:rsid w:val="00EA0838"/>
    <w:rsid w:val="00EA3D41"/>
    <w:rsid w:val="00EA7F4A"/>
    <w:rsid w:val="00EB1089"/>
    <w:rsid w:val="00EB73A1"/>
    <w:rsid w:val="00EC3C4D"/>
    <w:rsid w:val="00EE3FBB"/>
    <w:rsid w:val="00EE7065"/>
    <w:rsid w:val="00EE7CBD"/>
    <w:rsid w:val="00EF5F1F"/>
    <w:rsid w:val="00F02D82"/>
    <w:rsid w:val="00F1075A"/>
    <w:rsid w:val="00F15BB8"/>
    <w:rsid w:val="00F2359E"/>
    <w:rsid w:val="00F34EE6"/>
    <w:rsid w:val="00F362C2"/>
    <w:rsid w:val="00F51584"/>
    <w:rsid w:val="00F61607"/>
    <w:rsid w:val="00F6306C"/>
    <w:rsid w:val="00F63687"/>
    <w:rsid w:val="00F72542"/>
    <w:rsid w:val="00F76723"/>
    <w:rsid w:val="00F77DF3"/>
    <w:rsid w:val="00F930E6"/>
    <w:rsid w:val="00FA44E6"/>
    <w:rsid w:val="00FA5DB5"/>
    <w:rsid w:val="00FB55BB"/>
    <w:rsid w:val="00FC12BC"/>
    <w:rsid w:val="00FC32C3"/>
    <w:rsid w:val="00FC4E8A"/>
    <w:rsid w:val="00FD5EF9"/>
    <w:rsid w:val="00FD5F54"/>
    <w:rsid w:val="00FD64AD"/>
    <w:rsid w:val="00FE039F"/>
    <w:rsid w:val="00FF56D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F1F"/>
    <w:pPr>
      <w:spacing w:after="200"/>
    </w:pPr>
    <w:rPr>
      <w:sz w:val="24"/>
      <w:szCs w:val="24"/>
      <w:lang w:eastAsia="en-US"/>
    </w:rPr>
  </w:style>
  <w:style w:type="paragraph" w:styleId="Heading4">
    <w:name w:val="heading 4"/>
    <w:basedOn w:val="Normal"/>
    <w:next w:val="Normal"/>
    <w:qFormat/>
    <w:rsid w:val="00EF5F1F"/>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5F1F"/>
    <w:rPr>
      <w:b/>
      <w:bCs/>
    </w:rPr>
  </w:style>
  <w:style w:type="paragraph" w:styleId="Header">
    <w:name w:val="header"/>
    <w:basedOn w:val="Normal"/>
    <w:link w:val="HeaderChar"/>
    <w:uiPriority w:val="99"/>
    <w:rsid w:val="00EF5F1F"/>
    <w:pPr>
      <w:tabs>
        <w:tab w:val="center" w:pos="4153"/>
        <w:tab w:val="right" w:pos="8306"/>
      </w:tabs>
    </w:pPr>
  </w:style>
  <w:style w:type="paragraph" w:styleId="Footer">
    <w:name w:val="footer"/>
    <w:basedOn w:val="Normal"/>
    <w:link w:val="FooterChar"/>
    <w:uiPriority w:val="99"/>
    <w:rsid w:val="00EF5F1F"/>
    <w:pPr>
      <w:tabs>
        <w:tab w:val="center" w:pos="4153"/>
        <w:tab w:val="right" w:pos="8306"/>
      </w:tabs>
    </w:pPr>
  </w:style>
  <w:style w:type="table" w:styleId="TableGrid">
    <w:name w:val="Table Grid"/>
    <w:basedOn w:val="TableNormal"/>
    <w:rsid w:val="00EF5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F5F1F"/>
    <w:rPr>
      <w:rFonts w:ascii="Tahoma" w:hAnsi="Tahoma" w:cs="Tahoma"/>
      <w:sz w:val="16"/>
      <w:szCs w:val="16"/>
    </w:rPr>
  </w:style>
  <w:style w:type="character" w:customStyle="1" w:styleId="BalloonTextChar">
    <w:name w:val="Balloon Text Char"/>
    <w:basedOn w:val="DefaultParagraphFont"/>
    <w:link w:val="BalloonText"/>
    <w:rsid w:val="00EB73A1"/>
    <w:rPr>
      <w:rFonts w:ascii="Tahoma" w:hAnsi="Tahoma" w:cs="Tahoma"/>
      <w:sz w:val="16"/>
      <w:szCs w:val="16"/>
      <w:lang w:eastAsia="en-US"/>
    </w:rPr>
  </w:style>
  <w:style w:type="character" w:customStyle="1" w:styleId="FooterChar">
    <w:name w:val="Footer Char"/>
    <w:basedOn w:val="DefaultParagraphFont"/>
    <w:link w:val="Footer"/>
    <w:uiPriority w:val="99"/>
    <w:rsid w:val="001255B5"/>
    <w:rPr>
      <w:sz w:val="24"/>
      <w:szCs w:val="24"/>
      <w:lang w:eastAsia="en-US"/>
    </w:rPr>
  </w:style>
  <w:style w:type="character" w:customStyle="1" w:styleId="HeaderChar">
    <w:name w:val="Header Char"/>
    <w:basedOn w:val="DefaultParagraphFont"/>
    <w:link w:val="Header"/>
    <w:uiPriority w:val="99"/>
    <w:rsid w:val="009F5BF7"/>
    <w:rPr>
      <w:sz w:val="24"/>
      <w:szCs w:val="24"/>
      <w:lang w:eastAsia="en-US"/>
    </w:rPr>
  </w:style>
  <w:style w:type="paragraph" w:customStyle="1" w:styleId="Note">
    <w:name w:val="Note"/>
    <w:basedOn w:val="Normal"/>
    <w:link w:val="NoteChar"/>
    <w:rsid w:val="00896D75"/>
    <w:pPr>
      <w:keepLines/>
      <w:spacing w:before="120" w:after="0" w:line="220" w:lineRule="exact"/>
      <w:ind w:left="964"/>
      <w:jc w:val="both"/>
    </w:pPr>
    <w:rPr>
      <w:sz w:val="20"/>
      <w:lang w:eastAsia="en-AU"/>
    </w:rPr>
  </w:style>
  <w:style w:type="character" w:customStyle="1" w:styleId="NoteChar">
    <w:name w:val="Note Char"/>
    <w:basedOn w:val="DefaultParagraphFont"/>
    <w:link w:val="Note"/>
    <w:rsid w:val="00896D75"/>
    <w:rPr>
      <w:szCs w:val="24"/>
    </w:rPr>
  </w:style>
  <w:style w:type="character" w:customStyle="1" w:styleId="ItalicText">
    <w:name w:val="ItalicText"/>
    <w:basedOn w:val="DefaultParagraphFont"/>
    <w:uiPriority w:val="1"/>
    <w:qFormat/>
    <w:rsid w:val="00896D75"/>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50F3-9C38-4B4B-8E41-7DF047ED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384</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Dun</dc:creator>
  <cp:lastModifiedBy>Sally Kerr</cp:lastModifiedBy>
  <cp:revision>32</cp:revision>
  <cp:lastPrinted>2012-11-26T05:38:00Z</cp:lastPrinted>
  <dcterms:created xsi:type="dcterms:W3CDTF">2012-04-18T06:16:00Z</dcterms:created>
  <dcterms:modified xsi:type="dcterms:W3CDTF">2012-11-26T05:40:00Z</dcterms:modified>
</cp:coreProperties>
</file>