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63" w:rsidRPr="00222093" w:rsidRDefault="00280563" w:rsidP="00280563">
      <w:pPr>
        <w:pStyle w:val="Style3"/>
        <w:spacing w:before="240"/>
      </w:pPr>
      <w:r w:rsidRPr="00222093">
        <w:t>EXPLANATORY STATEMENT</w:t>
      </w:r>
    </w:p>
    <w:p w:rsidR="00280563" w:rsidRPr="00BB6DA8" w:rsidRDefault="00280563" w:rsidP="00280563">
      <w:pPr>
        <w:pStyle w:val="Style3"/>
      </w:pPr>
      <w:r w:rsidRPr="00E71D82">
        <w:t>Select Legislative Instrument</w:t>
      </w:r>
      <w:r>
        <w:t xml:space="preserve"> 2012</w:t>
      </w:r>
      <w:r w:rsidR="00882C7C">
        <w:t xml:space="preserve"> No. </w:t>
      </w:r>
      <w:bookmarkStart w:id="0" w:name="_GoBack"/>
      <w:bookmarkEnd w:id="0"/>
      <w:r w:rsidR="004B3F1A">
        <w:t>288</w:t>
      </w:r>
    </w:p>
    <w:p w:rsidR="00280563" w:rsidRDefault="00280563" w:rsidP="00280563">
      <w:pPr>
        <w:pStyle w:val="Heading6"/>
        <w:keepNext/>
        <w:ind w:right="91"/>
        <w:jc w:val="center"/>
        <w:rPr>
          <w:u w:val="single"/>
        </w:rPr>
      </w:pPr>
      <w:r>
        <w:rPr>
          <w:u w:val="single"/>
        </w:rPr>
        <w:t>Issued by the Authority of the Minister for Climate Change and Energy Efficiency</w:t>
      </w:r>
    </w:p>
    <w:p w:rsidR="00280563" w:rsidRDefault="00280563" w:rsidP="00280563">
      <w:pPr>
        <w:ind w:right="91"/>
        <w:jc w:val="center"/>
        <w:rPr>
          <w:i/>
          <w:iCs/>
        </w:rPr>
      </w:pPr>
      <w:r>
        <w:rPr>
          <w:i/>
          <w:iCs/>
        </w:rPr>
        <w:t>Australian National Registry of Emissions Units Act 2011</w:t>
      </w:r>
    </w:p>
    <w:p w:rsidR="00280563" w:rsidRDefault="00280563" w:rsidP="00280563">
      <w:pPr>
        <w:ind w:left="1440" w:right="91"/>
        <w:jc w:val="center"/>
        <w:rPr>
          <w:i/>
          <w:iCs/>
        </w:rPr>
      </w:pPr>
      <w:r>
        <w:rPr>
          <w:i/>
          <w:iCs/>
        </w:rPr>
        <w:t xml:space="preserve">Australian National Registry of Emissions Units Amendment Regulation 2012 (No. </w:t>
      </w:r>
      <w:r w:rsidR="004B3F1A">
        <w:rPr>
          <w:i/>
          <w:iCs/>
        </w:rPr>
        <w:t>3</w:t>
      </w:r>
      <w:r>
        <w:rPr>
          <w:i/>
          <w:iCs/>
        </w:rPr>
        <w:t>)</w:t>
      </w:r>
    </w:p>
    <w:p w:rsidR="00280563" w:rsidRDefault="00280563" w:rsidP="00280563">
      <w:r w:rsidRPr="005B04B6">
        <w:t xml:space="preserve">Section 97 of the </w:t>
      </w:r>
      <w:r w:rsidRPr="005B04B6">
        <w:rPr>
          <w:i/>
        </w:rPr>
        <w:t>Australian National Registry of Emissions Units Act 2011</w:t>
      </w:r>
      <w:r w:rsidRPr="005B04B6">
        <w:t xml:space="preserve"> (the ANREU Act) provides, in part, that the Governor-General may make regulations prescribing matters required or permitted by the ANREU Act to be prescribed, or necessary or convenient to be prescribed for carrying out or giving effect to the ANREU Act.</w:t>
      </w:r>
      <w:r>
        <w:t xml:space="preserve">  </w:t>
      </w:r>
    </w:p>
    <w:p w:rsidR="00280563" w:rsidRDefault="00280563" w:rsidP="00280563">
      <w:pPr>
        <w:rPr>
          <w:iCs/>
        </w:rPr>
      </w:pPr>
      <w:r>
        <w:t>The ANREU Act provides the</w:t>
      </w:r>
      <w:r w:rsidRPr="0038014C">
        <w:t xml:space="preserve"> legislative basis for the Australian National Registry of Emissions Units</w:t>
      </w:r>
      <w:r>
        <w:t xml:space="preserve"> (the Registry)</w:t>
      </w:r>
      <w:r w:rsidRPr="0038014C">
        <w:t>. The Registry track</w:t>
      </w:r>
      <w:r>
        <w:t>s</w:t>
      </w:r>
      <w:r w:rsidRPr="0038014C">
        <w:t xml:space="preserve"> the location and ownership of </w:t>
      </w:r>
      <w:r>
        <w:t xml:space="preserve">carbon units issued under the </w:t>
      </w:r>
      <w:r>
        <w:rPr>
          <w:i/>
        </w:rPr>
        <w:t>Clean Energy Act 2011</w:t>
      </w:r>
      <w:r>
        <w:t xml:space="preserve">, </w:t>
      </w:r>
      <w:r w:rsidRPr="0038014C">
        <w:t xml:space="preserve">Australian carbon credit units issued under the </w:t>
      </w:r>
      <w:r>
        <w:rPr>
          <w:i/>
        </w:rPr>
        <w:t>Carbon Credits (Carbon Farming Initiative) Act 2011</w:t>
      </w:r>
      <w:r w:rsidRPr="0038014C">
        <w:t xml:space="preserve"> </w:t>
      </w:r>
      <w:r>
        <w:t>and</w:t>
      </w:r>
      <w:r w:rsidRPr="0038014C">
        <w:t xml:space="preserve"> meet</w:t>
      </w:r>
      <w:r>
        <w:t>s</w:t>
      </w:r>
      <w:r w:rsidRPr="0038014C">
        <w:t xml:space="preserve"> Australia’s ongoing obligations under the Kyoto Protocol</w:t>
      </w:r>
      <w:r>
        <w:t xml:space="preserve"> to the United Nations Framework Convention on Climate Change</w:t>
      </w:r>
      <w:r w:rsidRPr="0038014C">
        <w:t xml:space="preserve">. </w:t>
      </w:r>
    </w:p>
    <w:p w:rsidR="00EE20D4" w:rsidRDefault="00280563" w:rsidP="00280563">
      <w:r>
        <w:t xml:space="preserve">The detailed rules about opening and operating Registry accounts are set out in the </w:t>
      </w:r>
      <w:r>
        <w:rPr>
          <w:i/>
          <w:iCs/>
        </w:rPr>
        <w:t xml:space="preserve">Australian National Registry of Emissions Units Regulations 2011 </w:t>
      </w:r>
      <w:r>
        <w:rPr>
          <w:iCs/>
        </w:rPr>
        <w:t>(the ANREU Regulations)</w:t>
      </w:r>
      <w:r>
        <w:t xml:space="preserve">. </w:t>
      </w:r>
    </w:p>
    <w:p w:rsidR="00085196" w:rsidRDefault="00243ECE" w:rsidP="00280563">
      <w:r>
        <w:t>A Registry a</w:t>
      </w:r>
      <w:r w:rsidR="00B61357">
        <w:t xml:space="preserve">ccount </w:t>
      </w:r>
      <w:r w:rsidR="00085196">
        <w:t>may</w:t>
      </w:r>
      <w:r w:rsidR="00B61357">
        <w:t xml:space="preserve"> be held by </w:t>
      </w:r>
      <w:r>
        <w:t xml:space="preserve">an </w:t>
      </w:r>
      <w:r w:rsidR="00B61357">
        <w:t xml:space="preserve">individual </w:t>
      </w:r>
      <w:r>
        <w:t>or</w:t>
      </w:r>
      <w:r w:rsidR="00B61357">
        <w:t xml:space="preserve"> </w:t>
      </w:r>
      <w:r>
        <w:t xml:space="preserve">a </w:t>
      </w:r>
      <w:r w:rsidR="00B61357">
        <w:t>non-individual (</w:t>
      </w:r>
      <w:r>
        <w:t xml:space="preserve">a </w:t>
      </w:r>
      <w:r w:rsidR="00B61357">
        <w:t>bod</w:t>
      </w:r>
      <w:r>
        <w:t>y</w:t>
      </w:r>
      <w:r w:rsidR="00B61357">
        <w:t xml:space="preserve"> corporate, trust, corporation sole, bod</w:t>
      </w:r>
      <w:r>
        <w:t>y</w:t>
      </w:r>
      <w:r w:rsidR="00B61357">
        <w:t xml:space="preserve"> politic </w:t>
      </w:r>
      <w:r>
        <w:t>or</w:t>
      </w:r>
      <w:r w:rsidR="00B61357">
        <w:t xml:space="preserve"> local governing bod</w:t>
      </w:r>
      <w:r>
        <w:t>y</w:t>
      </w:r>
      <w:r w:rsidR="00B61357">
        <w:t xml:space="preserve">). </w:t>
      </w:r>
      <w:r w:rsidR="00EE20D4">
        <w:t>N</w:t>
      </w:r>
      <w:r w:rsidR="00B61357">
        <w:t>on-individual</w:t>
      </w:r>
      <w:r w:rsidR="005A6C0A">
        <w:t xml:space="preserve"> account holders</w:t>
      </w:r>
      <w:r w:rsidR="00280563">
        <w:t xml:space="preserve"> </w:t>
      </w:r>
      <w:r w:rsidR="00B61357">
        <w:t xml:space="preserve">must </w:t>
      </w:r>
      <w:r w:rsidR="00280563">
        <w:t xml:space="preserve">nominate one or more </w:t>
      </w:r>
      <w:r w:rsidR="005A6C0A">
        <w:t>individuals</w:t>
      </w:r>
      <w:r w:rsidR="00EE20D4">
        <w:t xml:space="preserve"> </w:t>
      </w:r>
      <w:r w:rsidR="00280563">
        <w:t>(referred to as authorised representative</w:t>
      </w:r>
      <w:r w:rsidR="00085196">
        <w:t>s</w:t>
      </w:r>
      <w:r w:rsidR="00280563">
        <w:t xml:space="preserve">) to operate </w:t>
      </w:r>
      <w:r w:rsidR="00B61357">
        <w:t>their</w:t>
      </w:r>
      <w:r w:rsidR="00280563">
        <w:t xml:space="preserve"> account. </w:t>
      </w:r>
      <w:r w:rsidR="00EE20D4">
        <w:t>I</w:t>
      </w:r>
      <w:r w:rsidR="00B61357">
        <w:t>ndividual</w:t>
      </w:r>
      <w:r w:rsidR="005A6C0A">
        <w:t xml:space="preserve"> account holders</w:t>
      </w:r>
      <w:r w:rsidR="00B61357">
        <w:t xml:space="preserve"> may </w:t>
      </w:r>
      <w:r w:rsidR="00085196">
        <w:t xml:space="preserve">nominate one or more </w:t>
      </w:r>
      <w:r w:rsidR="006C57C6">
        <w:t xml:space="preserve">authorised </w:t>
      </w:r>
      <w:r w:rsidR="00085196">
        <w:t>representatives</w:t>
      </w:r>
      <w:r w:rsidR="005B261B">
        <w:t xml:space="preserve"> (regulation</w:t>
      </w:r>
      <w:r w:rsidR="006C57C6">
        <w:t> </w:t>
      </w:r>
      <w:r w:rsidR="005B261B">
        <w:t>9(2)</w:t>
      </w:r>
      <w:r>
        <w:t xml:space="preserve"> of the ANREU Regulations</w:t>
      </w:r>
      <w:r w:rsidR="005B261B">
        <w:t>)</w:t>
      </w:r>
      <w:r w:rsidR="00085196">
        <w:t xml:space="preserve">. </w:t>
      </w:r>
      <w:r>
        <w:t>A</w:t>
      </w:r>
      <w:r w:rsidR="00EE20D4">
        <w:t xml:space="preserve"> </w:t>
      </w:r>
      <w:r w:rsidR="005B261B">
        <w:t>nominated authorised representative</w:t>
      </w:r>
      <w:r w:rsidR="00EE20D4">
        <w:t xml:space="preserve"> </w:t>
      </w:r>
      <w:r w:rsidR="005A6C0A">
        <w:t>can</w:t>
      </w:r>
      <w:r>
        <w:t xml:space="preserve"> only be given </w:t>
      </w:r>
      <w:r w:rsidR="00EE20D4">
        <w:t xml:space="preserve">access to </w:t>
      </w:r>
      <w:r>
        <w:t>an</w:t>
      </w:r>
      <w:r w:rsidR="00EE20D4">
        <w:t xml:space="preserve"> account</w:t>
      </w:r>
      <w:r>
        <w:t>, however, if the Clean Energy Regulator (the Regulator) is</w:t>
      </w:r>
      <w:r w:rsidR="00EE20D4">
        <w:t xml:space="preserve"> satisfied of the </w:t>
      </w:r>
      <w:r>
        <w:t xml:space="preserve">nominee’s </w:t>
      </w:r>
      <w:r w:rsidR="00EE20D4">
        <w:t xml:space="preserve">identity and that the nominee meets </w:t>
      </w:r>
      <w:r w:rsidR="00085196" w:rsidRPr="00735CB1">
        <w:t>the fit and proper person criteria</w:t>
      </w:r>
      <w:r w:rsidR="005B261B">
        <w:t xml:space="preserve"> (regulation 31(2)</w:t>
      </w:r>
      <w:r>
        <w:t xml:space="preserve"> of the ANREU Regulations</w:t>
      </w:r>
      <w:r w:rsidR="005B261B">
        <w:t>)</w:t>
      </w:r>
      <w:r w:rsidR="00085196">
        <w:t xml:space="preserve">. In assessing whether </w:t>
      </w:r>
      <w:r>
        <w:t>the</w:t>
      </w:r>
      <w:r w:rsidR="00085196">
        <w:t xml:space="preserve"> </w:t>
      </w:r>
      <w:r w:rsidR="006C57C6">
        <w:t xml:space="preserve">nominee meets the </w:t>
      </w:r>
      <w:r>
        <w:t xml:space="preserve">fit and proper person </w:t>
      </w:r>
      <w:r w:rsidR="006C57C6">
        <w:t>criteria</w:t>
      </w:r>
      <w:r w:rsidR="00085196" w:rsidRPr="00735CB1">
        <w:t xml:space="preserve">, the </w:t>
      </w:r>
      <w:r w:rsidR="00EE20D4">
        <w:t>R</w:t>
      </w:r>
      <w:r w:rsidR="00085196">
        <w:t>egulator</w:t>
      </w:r>
      <w:r w:rsidR="00085196" w:rsidRPr="00735CB1">
        <w:t xml:space="preserve"> has regard to a number of matters, including whether the </w:t>
      </w:r>
      <w:r w:rsidR="005B261B">
        <w:t>nominee</w:t>
      </w:r>
      <w:r w:rsidR="00085196" w:rsidRPr="00735CB1">
        <w:t xml:space="preserve"> has been convicted of </w:t>
      </w:r>
      <w:r w:rsidR="00085196">
        <w:t xml:space="preserve">an </w:t>
      </w:r>
      <w:r w:rsidR="00085196" w:rsidRPr="00735CB1">
        <w:t xml:space="preserve">offence relating to dishonesty, complied with </w:t>
      </w:r>
      <w:r w:rsidR="00085196">
        <w:t xml:space="preserve">relevant scheme legislation, </w:t>
      </w:r>
      <w:r>
        <w:t>or</w:t>
      </w:r>
      <w:r w:rsidR="00085196" w:rsidRPr="00735CB1">
        <w:t xml:space="preserve"> is an i</w:t>
      </w:r>
      <w:r w:rsidR="00085196">
        <w:t xml:space="preserve">nsolvent under administration. </w:t>
      </w:r>
    </w:p>
    <w:p w:rsidR="00280563" w:rsidRDefault="00156EFE" w:rsidP="00280563">
      <w:r>
        <w:t xml:space="preserve">If the Regulator is not satisfied of the nominee’s identity, the Regulator is required to notify the account holder that the nominee has been denied access to the account, and give reasons for that denial (regulation 31(4) of the ANREU Regulations). </w:t>
      </w:r>
      <w:r w:rsidR="00736522">
        <w:t xml:space="preserve">The </w:t>
      </w:r>
      <w:r w:rsidR="00C402E3">
        <w:rPr>
          <w:i/>
          <w:iCs/>
        </w:rPr>
        <w:t xml:space="preserve">Australian National Registry of Emissions Units Amendment Regulation 2012 (No. </w:t>
      </w:r>
      <w:r w:rsidR="004B3F1A">
        <w:rPr>
          <w:i/>
          <w:iCs/>
        </w:rPr>
        <w:t>3</w:t>
      </w:r>
      <w:r w:rsidR="00C402E3">
        <w:rPr>
          <w:i/>
          <w:iCs/>
        </w:rPr>
        <w:t xml:space="preserve">) </w:t>
      </w:r>
      <w:r w:rsidR="00C402E3">
        <w:rPr>
          <w:iCs/>
        </w:rPr>
        <w:t xml:space="preserve">(the Regulation) </w:t>
      </w:r>
      <w:r>
        <w:t xml:space="preserve">extends this notification requirement so that it also applies if </w:t>
      </w:r>
      <w:r w:rsidR="00F321C7">
        <w:t xml:space="preserve">access to the account has been denied because </w:t>
      </w:r>
      <w:r>
        <w:t>the Regulator is not satisfied that the nominee meets the fit and proper person criteria.</w:t>
      </w:r>
      <w:r w:rsidR="00883199">
        <w:t xml:space="preserve"> </w:t>
      </w:r>
      <w:r>
        <w:t>Notification in these circumstances</w:t>
      </w:r>
      <w:r w:rsidR="00883199">
        <w:t xml:space="preserve"> ensures that the account holder has an opportunity to nominate another person who can be given access to the account.</w:t>
      </w:r>
      <w:r w:rsidR="00736522">
        <w:t xml:space="preserve"> The Regulation also empowers the Regulator to deny a representative continued access to </w:t>
      </w:r>
      <w:r w:rsidR="00243ECE">
        <w:t xml:space="preserve">an </w:t>
      </w:r>
      <w:r w:rsidR="00736522">
        <w:t xml:space="preserve">account if, at any point, the Regulator is no longer satisfied that the representative is fit and proper. </w:t>
      </w:r>
    </w:p>
    <w:p w:rsidR="00280563" w:rsidRDefault="00280563" w:rsidP="00280563">
      <w:r>
        <w:lastRenderedPageBreak/>
        <w:t>The Regulation also makes minor technical amendments to the ANREU Regulations.</w:t>
      </w:r>
    </w:p>
    <w:p w:rsidR="00280563" w:rsidRDefault="00280563" w:rsidP="00280563">
      <w:r>
        <w:t>Details of the Regulation</w:t>
      </w:r>
      <w:r w:rsidRPr="00E85FE3">
        <w:t xml:space="preserve"> are set out in</w:t>
      </w:r>
      <w:r>
        <w:t xml:space="preserve"> </w:t>
      </w:r>
      <w:r w:rsidRPr="00E85FE3">
        <w:rPr>
          <w:u w:val="single"/>
        </w:rPr>
        <w:t>Attachment</w:t>
      </w:r>
      <w:r>
        <w:rPr>
          <w:u w:val="single"/>
        </w:rPr>
        <w:t xml:space="preserve"> A</w:t>
      </w:r>
      <w:r w:rsidRPr="00E85FE3">
        <w:t>.</w:t>
      </w:r>
    </w:p>
    <w:p w:rsidR="00280563" w:rsidRPr="007914CE" w:rsidRDefault="00280563" w:rsidP="00280563">
      <w:pPr>
        <w:tabs>
          <w:tab w:val="left" w:pos="851"/>
        </w:tabs>
        <w:rPr>
          <w:color w:val="000000"/>
        </w:rPr>
      </w:pPr>
      <w:r w:rsidRPr="007914CE">
        <w:rPr>
          <w:lang w:val="en-GB"/>
        </w:rPr>
        <w:t>A</w:t>
      </w:r>
      <w:r w:rsidRPr="007914CE">
        <w:rPr>
          <w:color w:val="000000"/>
        </w:rPr>
        <w:t xml:space="preserve"> Human Rights Statement is </w:t>
      </w:r>
      <w:r w:rsidR="006D4602">
        <w:rPr>
          <w:color w:val="000000"/>
        </w:rPr>
        <w:t>set out</w:t>
      </w:r>
      <w:r w:rsidRPr="007914CE">
        <w:rPr>
          <w:color w:val="000000"/>
        </w:rPr>
        <w:t xml:space="preserve"> </w:t>
      </w:r>
      <w:r>
        <w:rPr>
          <w:color w:val="000000"/>
        </w:rPr>
        <w:t>in</w:t>
      </w:r>
      <w:r w:rsidRPr="007914CE">
        <w:rPr>
          <w:color w:val="000000"/>
        </w:rPr>
        <w:t xml:space="preserve"> </w:t>
      </w:r>
      <w:r w:rsidRPr="007914CE">
        <w:rPr>
          <w:color w:val="000000"/>
          <w:u w:val="single"/>
        </w:rPr>
        <w:t>Attachment B</w:t>
      </w:r>
      <w:r w:rsidRPr="007914CE">
        <w:rPr>
          <w:color w:val="000000"/>
        </w:rPr>
        <w:t>.</w:t>
      </w:r>
    </w:p>
    <w:p w:rsidR="00280563" w:rsidRDefault="00280563" w:rsidP="00280563">
      <w:pPr>
        <w:pStyle w:val="Bullet"/>
        <w:numPr>
          <w:ilvl w:val="0"/>
          <w:numId w:val="0"/>
        </w:numPr>
      </w:pPr>
      <w:r w:rsidRPr="000B3C63">
        <w:t xml:space="preserve">The Regulation </w:t>
      </w:r>
      <w:r>
        <w:t>is</w:t>
      </w:r>
      <w:r w:rsidRPr="000B3C63">
        <w:t xml:space="preserve"> a legislative instrument for the purposes of the </w:t>
      </w:r>
      <w:r w:rsidRPr="000B3C63">
        <w:rPr>
          <w:i/>
          <w:iCs/>
        </w:rPr>
        <w:t>Legislative Instruments Act</w:t>
      </w:r>
      <w:r w:rsidR="001B0A72">
        <w:rPr>
          <w:i/>
          <w:iCs/>
        </w:rPr>
        <w:t> </w:t>
      </w:r>
      <w:r w:rsidRPr="000B3C63">
        <w:rPr>
          <w:i/>
          <w:iCs/>
        </w:rPr>
        <w:t>2003</w:t>
      </w:r>
      <w:r w:rsidRPr="000B3C63">
        <w:t>.</w:t>
      </w:r>
    </w:p>
    <w:p w:rsidR="00280563" w:rsidRDefault="00280563" w:rsidP="00280563">
      <w:pPr>
        <w:pStyle w:val="Bullet"/>
        <w:numPr>
          <w:ilvl w:val="0"/>
          <w:numId w:val="0"/>
        </w:numPr>
        <w:rPr>
          <w:iCs/>
        </w:rPr>
      </w:pPr>
      <w:r>
        <w:rPr>
          <w:iCs/>
        </w:rPr>
        <w:t>The</w:t>
      </w:r>
      <w:r w:rsidRPr="001D6928">
        <w:rPr>
          <w:iCs/>
        </w:rPr>
        <w:t xml:space="preserve"> Regulation </w:t>
      </w:r>
      <w:r>
        <w:rPr>
          <w:iCs/>
        </w:rPr>
        <w:t xml:space="preserve">commences on the day after it is registered. </w:t>
      </w:r>
    </w:p>
    <w:p w:rsidR="00280563" w:rsidRPr="00280563" w:rsidRDefault="00280563" w:rsidP="00280563">
      <w:pPr>
        <w:pStyle w:val="Bullet"/>
        <w:numPr>
          <w:ilvl w:val="0"/>
          <w:numId w:val="0"/>
        </w:numPr>
        <w:rPr>
          <w:b/>
        </w:rPr>
      </w:pPr>
      <w:r>
        <w:rPr>
          <w:b/>
        </w:rPr>
        <w:t>Consultation</w:t>
      </w:r>
    </w:p>
    <w:p w:rsidR="00DC0751" w:rsidRDefault="00DC0751" w:rsidP="00280563">
      <w:pPr>
        <w:pStyle w:val="dotpoint"/>
        <w:numPr>
          <w:ilvl w:val="0"/>
          <w:numId w:val="0"/>
        </w:numPr>
        <w:tabs>
          <w:tab w:val="num" w:pos="1701"/>
          <w:tab w:val="num" w:pos="2552"/>
        </w:tabs>
        <w:rPr>
          <w:sz w:val="24"/>
          <w:szCs w:val="24"/>
        </w:rPr>
      </w:pPr>
      <w:r>
        <w:rPr>
          <w:sz w:val="24"/>
          <w:szCs w:val="24"/>
        </w:rPr>
        <w:t>The</w:t>
      </w:r>
      <w:r w:rsidR="00B708A0">
        <w:rPr>
          <w:sz w:val="24"/>
          <w:szCs w:val="24"/>
        </w:rPr>
        <w:t xml:space="preserve"> </w:t>
      </w:r>
      <w:r w:rsidR="005B261B">
        <w:rPr>
          <w:sz w:val="24"/>
          <w:szCs w:val="24"/>
        </w:rPr>
        <w:t>amendment</w:t>
      </w:r>
      <w:r w:rsidR="00F321C7">
        <w:rPr>
          <w:sz w:val="24"/>
          <w:szCs w:val="24"/>
        </w:rPr>
        <w:t>s</w:t>
      </w:r>
      <w:r w:rsidR="005B261B">
        <w:rPr>
          <w:sz w:val="24"/>
          <w:szCs w:val="24"/>
        </w:rPr>
        <w:t xml:space="preserve"> </w:t>
      </w:r>
      <w:r w:rsidR="00243ECE">
        <w:rPr>
          <w:sz w:val="24"/>
          <w:szCs w:val="24"/>
        </w:rPr>
        <w:t xml:space="preserve">relating to </w:t>
      </w:r>
      <w:r w:rsidR="00B708A0">
        <w:rPr>
          <w:sz w:val="24"/>
          <w:szCs w:val="24"/>
        </w:rPr>
        <w:t>authorised representative</w:t>
      </w:r>
      <w:r w:rsidR="00243ECE">
        <w:rPr>
          <w:sz w:val="24"/>
          <w:szCs w:val="24"/>
        </w:rPr>
        <w:t>s</w:t>
      </w:r>
      <w:r w:rsidR="00B708A0">
        <w:rPr>
          <w:sz w:val="24"/>
          <w:szCs w:val="24"/>
        </w:rPr>
        <w:t xml:space="preserve"> </w:t>
      </w:r>
      <w:r>
        <w:rPr>
          <w:sz w:val="24"/>
          <w:szCs w:val="24"/>
        </w:rPr>
        <w:t xml:space="preserve">are consequential on </w:t>
      </w:r>
      <w:r w:rsidR="005B261B">
        <w:rPr>
          <w:sz w:val="24"/>
          <w:szCs w:val="24"/>
        </w:rPr>
        <w:t xml:space="preserve">earlier </w:t>
      </w:r>
      <w:r>
        <w:rPr>
          <w:sz w:val="24"/>
          <w:szCs w:val="24"/>
        </w:rPr>
        <w:t xml:space="preserve">amendments to the ANREU Regulations which imposed </w:t>
      </w:r>
      <w:r w:rsidR="005B261B">
        <w:rPr>
          <w:sz w:val="24"/>
          <w:szCs w:val="24"/>
        </w:rPr>
        <w:t>the</w:t>
      </w:r>
      <w:r>
        <w:rPr>
          <w:sz w:val="24"/>
          <w:szCs w:val="24"/>
        </w:rPr>
        <w:t xml:space="preserve"> fit and proper person requirement on authorised representatives and required an account holder to notify the Regulator if there is any change in relation to whether the authorised representative continues to meet the fit and proper person criteria. </w:t>
      </w:r>
      <w:r w:rsidR="004427B7">
        <w:rPr>
          <w:sz w:val="24"/>
          <w:szCs w:val="24"/>
        </w:rPr>
        <w:t>C</w:t>
      </w:r>
      <w:r>
        <w:rPr>
          <w:sz w:val="24"/>
          <w:szCs w:val="24"/>
        </w:rPr>
        <w:t>onsultation on these provisions was therefore not considered necessary or appropriate.</w:t>
      </w:r>
    </w:p>
    <w:p w:rsidR="00DC0751" w:rsidRDefault="00DC0751" w:rsidP="00280563">
      <w:pPr>
        <w:pStyle w:val="dotpoint"/>
        <w:numPr>
          <w:ilvl w:val="0"/>
          <w:numId w:val="0"/>
        </w:numPr>
        <w:tabs>
          <w:tab w:val="num" w:pos="1701"/>
          <w:tab w:val="num" w:pos="2552"/>
        </w:tabs>
        <w:rPr>
          <w:sz w:val="24"/>
          <w:szCs w:val="24"/>
        </w:rPr>
      </w:pPr>
      <w:r>
        <w:rPr>
          <w:sz w:val="24"/>
          <w:szCs w:val="24"/>
        </w:rPr>
        <w:t xml:space="preserve">Consultation was </w:t>
      </w:r>
      <w:r w:rsidR="004427B7">
        <w:rPr>
          <w:sz w:val="24"/>
          <w:szCs w:val="24"/>
        </w:rPr>
        <w:t xml:space="preserve">also </w:t>
      </w:r>
      <w:r>
        <w:rPr>
          <w:sz w:val="24"/>
          <w:szCs w:val="24"/>
        </w:rPr>
        <w:t xml:space="preserve">not considered necessary or appropriate for the remaining provisions, which correct minor </w:t>
      </w:r>
      <w:r w:rsidR="005B261B">
        <w:rPr>
          <w:sz w:val="24"/>
          <w:szCs w:val="24"/>
        </w:rPr>
        <w:t xml:space="preserve">technical </w:t>
      </w:r>
      <w:r>
        <w:rPr>
          <w:sz w:val="24"/>
          <w:szCs w:val="24"/>
        </w:rPr>
        <w:t xml:space="preserve">errors in the ANREU Regulations. </w:t>
      </w:r>
    </w:p>
    <w:p w:rsidR="00B708A0" w:rsidRPr="00D5737E" w:rsidRDefault="00B708A0" w:rsidP="00280563">
      <w:pPr>
        <w:pStyle w:val="dotpoint"/>
        <w:numPr>
          <w:ilvl w:val="0"/>
          <w:numId w:val="0"/>
        </w:numPr>
        <w:tabs>
          <w:tab w:val="num" w:pos="1701"/>
          <w:tab w:val="num" w:pos="2552"/>
        </w:tabs>
        <w:rPr>
          <w:sz w:val="24"/>
          <w:szCs w:val="24"/>
        </w:rPr>
      </w:pPr>
    </w:p>
    <w:p w:rsidR="00280563" w:rsidRDefault="00280563" w:rsidP="00280563">
      <w:pPr>
        <w:ind w:left="6096" w:hanging="1056"/>
        <w:rPr>
          <w:i/>
          <w:iCs/>
        </w:rPr>
      </w:pPr>
      <w:r w:rsidRPr="001F0089">
        <w:rPr>
          <w:u w:val="single"/>
        </w:rPr>
        <w:t>Authority</w:t>
      </w:r>
      <w:r w:rsidRPr="001F0089">
        <w:t xml:space="preserve">: </w:t>
      </w:r>
      <w:r w:rsidRPr="00E85FE3">
        <w:t xml:space="preserve">Section 97 of the </w:t>
      </w:r>
      <w:r w:rsidRPr="00E85FE3">
        <w:rPr>
          <w:i/>
          <w:iCs/>
        </w:rPr>
        <w:t>Australian National Registry of Emissions Units Act 2011</w:t>
      </w:r>
    </w:p>
    <w:p w:rsidR="00280563" w:rsidRDefault="00280563" w:rsidP="00280563">
      <w:pPr>
        <w:ind w:left="5040"/>
        <w:rPr>
          <w:i/>
          <w:iCs/>
        </w:rPr>
        <w:sectPr w:rsidR="00280563" w:rsidSect="009B01DE">
          <w:headerReference w:type="default" r:id="rId7"/>
          <w:pgSz w:w="11906" w:h="16838"/>
          <w:pgMar w:top="1440" w:right="1440" w:bottom="1440" w:left="1440" w:header="708" w:footer="708" w:gutter="0"/>
          <w:pgNumType w:start="1"/>
          <w:cols w:space="708"/>
          <w:titlePg/>
          <w:docGrid w:linePitch="360"/>
        </w:sectPr>
      </w:pPr>
      <w:r>
        <w:rPr>
          <w:i/>
          <w:iCs/>
        </w:rPr>
        <w:tab/>
      </w:r>
    </w:p>
    <w:p w:rsidR="00280563" w:rsidRPr="00105ABD" w:rsidRDefault="00280563" w:rsidP="00280563">
      <w:pPr>
        <w:spacing w:before="0" w:after="200" w:line="276" w:lineRule="auto"/>
        <w:jc w:val="right"/>
        <w:rPr>
          <w:b/>
          <w:u w:val="single"/>
        </w:rPr>
      </w:pPr>
      <w:r>
        <w:rPr>
          <w:b/>
          <w:u w:val="single"/>
        </w:rPr>
        <w:lastRenderedPageBreak/>
        <w:t>ATTACHMENT</w:t>
      </w:r>
      <w:r w:rsidR="004427B7">
        <w:rPr>
          <w:b/>
          <w:u w:val="single"/>
        </w:rPr>
        <w:t xml:space="preserve"> A</w:t>
      </w:r>
    </w:p>
    <w:p w:rsidR="00280563" w:rsidRPr="00B3575F" w:rsidRDefault="00280563" w:rsidP="00280563">
      <w:pPr>
        <w:rPr>
          <w:bCs/>
          <w:iCs/>
          <w:szCs w:val="24"/>
          <w:u w:val="single"/>
        </w:rPr>
      </w:pPr>
      <w:r w:rsidRPr="00B3575F">
        <w:rPr>
          <w:b/>
          <w:u w:val="single"/>
        </w:rPr>
        <w:t xml:space="preserve">Details of the </w:t>
      </w:r>
      <w:r w:rsidRPr="000D1D9A">
        <w:rPr>
          <w:b/>
          <w:i/>
          <w:u w:val="single"/>
        </w:rPr>
        <w:t>Australian National Registry of Emissions Units Amendment Regulation 201</w:t>
      </w:r>
      <w:r>
        <w:rPr>
          <w:b/>
          <w:i/>
          <w:u w:val="single"/>
        </w:rPr>
        <w:t>2</w:t>
      </w:r>
      <w:r w:rsidRPr="000D1D9A">
        <w:rPr>
          <w:b/>
          <w:i/>
          <w:u w:val="single"/>
        </w:rPr>
        <w:t xml:space="preserve"> (No. </w:t>
      </w:r>
      <w:r w:rsidR="004B3F1A">
        <w:rPr>
          <w:b/>
          <w:i/>
          <w:u w:val="single"/>
        </w:rPr>
        <w:t>3</w:t>
      </w:r>
      <w:r w:rsidRPr="000D1D9A">
        <w:rPr>
          <w:b/>
          <w:i/>
          <w:u w:val="single"/>
        </w:rPr>
        <w:t>)</w:t>
      </w:r>
    </w:p>
    <w:p w:rsidR="00280563" w:rsidRPr="00105ABD" w:rsidRDefault="00280563" w:rsidP="00280563">
      <w:pPr>
        <w:pStyle w:val="StyleHeading2TimesNewRoman"/>
        <w:spacing w:after="240"/>
        <w:rPr>
          <w:rFonts w:cs="Times New Roman"/>
          <w:b w:val="0"/>
          <w:szCs w:val="24"/>
          <w:u w:val="single"/>
        </w:rPr>
      </w:pPr>
      <w:r>
        <w:rPr>
          <w:rFonts w:cs="Times New Roman"/>
          <w:b w:val="0"/>
          <w:szCs w:val="24"/>
          <w:u w:val="single"/>
        </w:rPr>
        <w:t>1 – Name of Regulation</w:t>
      </w:r>
    </w:p>
    <w:p w:rsidR="00280563" w:rsidRPr="00105ABD" w:rsidRDefault="00280563" w:rsidP="00280563">
      <w:pPr>
        <w:ind w:right="91"/>
      </w:pPr>
      <w:r>
        <w:t>Section 1 provide</w:t>
      </w:r>
      <w:r w:rsidR="004427B7">
        <w:t>s</w:t>
      </w:r>
      <w:r>
        <w:t xml:space="preserve"> that the name of the Regulation is the </w:t>
      </w:r>
      <w:r w:rsidRPr="00856955">
        <w:rPr>
          <w:i/>
        </w:rPr>
        <w:t>Australian National Registry of Emissions Units Amendment Regulation 201</w:t>
      </w:r>
      <w:r>
        <w:rPr>
          <w:i/>
        </w:rPr>
        <w:t>2</w:t>
      </w:r>
      <w:r w:rsidRPr="00856955">
        <w:rPr>
          <w:i/>
        </w:rPr>
        <w:t xml:space="preserve"> (No. </w:t>
      </w:r>
      <w:r w:rsidR="004B3F1A">
        <w:rPr>
          <w:i/>
        </w:rPr>
        <w:t>3</w:t>
      </w:r>
      <w:r w:rsidRPr="00856955">
        <w:rPr>
          <w:i/>
        </w:rPr>
        <w:t>)</w:t>
      </w:r>
      <w:r w:rsidRPr="00E405AC">
        <w:t>.</w:t>
      </w:r>
    </w:p>
    <w:p w:rsidR="00280563" w:rsidRPr="00105ABD" w:rsidRDefault="00280563" w:rsidP="00280563">
      <w:pPr>
        <w:pStyle w:val="StyleHeading2TimesNewRoman"/>
        <w:spacing w:after="240"/>
        <w:rPr>
          <w:rFonts w:cs="Times New Roman"/>
          <w:b w:val="0"/>
          <w:szCs w:val="24"/>
          <w:u w:val="single"/>
        </w:rPr>
      </w:pPr>
      <w:r>
        <w:rPr>
          <w:rFonts w:cs="Times New Roman"/>
          <w:b w:val="0"/>
          <w:szCs w:val="24"/>
          <w:u w:val="single"/>
        </w:rPr>
        <w:t>2 – Commencement</w:t>
      </w:r>
    </w:p>
    <w:p w:rsidR="00280563" w:rsidRPr="00105ABD" w:rsidRDefault="00280563" w:rsidP="00280563">
      <w:r>
        <w:t>Section 2 provide</w:t>
      </w:r>
      <w:r w:rsidR="004427B7">
        <w:t>s</w:t>
      </w:r>
      <w:r>
        <w:t xml:space="preserve"> that the Regulation commences on the day after it is registered</w:t>
      </w:r>
      <w:r>
        <w:rPr>
          <w:sz w:val="23"/>
          <w:szCs w:val="23"/>
        </w:rPr>
        <w:t>.</w:t>
      </w:r>
    </w:p>
    <w:p w:rsidR="00280563" w:rsidRPr="00105ABD" w:rsidRDefault="00280563" w:rsidP="00280563">
      <w:pPr>
        <w:ind w:right="91"/>
        <w:rPr>
          <w:u w:val="single"/>
        </w:rPr>
      </w:pPr>
      <w:r>
        <w:rPr>
          <w:u w:val="single"/>
        </w:rPr>
        <w:t xml:space="preserve">3 – </w:t>
      </w:r>
      <w:r w:rsidRPr="009E1445">
        <w:rPr>
          <w:bCs/>
          <w:u w:val="single"/>
        </w:rPr>
        <w:t xml:space="preserve">Amendment of </w:t>
      </w:r>
      <w:r>
        <w:rPr>
          <w:bCs/>
          <w:i/>
          <w:u w:val="single"/>
        </w:rPr>
        <w:t>Australian National Registry of Emissions Units Regulations 2011</w:t>
      </w:r>
    </w:p>
    <w:p w:rsidR="00280563" w:rsidRDefault="00280563" w:rsidP="00280563">
      <w:pPr>
        <w:rPr>
          <w:i/>
        </w:rPr>
      </w:pPr>
      <w:r>
        <w:t>Section 3 provide</w:t>
      </w:r>
      <w:r w:rsidR="004427B7">
        <w:t>s</w:t>
      </w:r>
      <w:r>
        <w:t xml:space="preserve"> that Schedule 1 to the Regulation amends the </w:t>
      </w:r>
      <w:r>
        <w:rPr>
          <w:i/>
        </w:rPr>
        <w:t xml:space="preserve">Australian National Registry of Emissions Units Regulations 2011 </w:t>
      </w:r>
      <w:r>
        <w:t>(the ANREU Regulations)</w:t>
      </w:r>
      <w:r>
        <w:rPr>
          <w:i/>
        </w:rPr>
        <w:t>.</w:t>
      </w:r>
    </w:p>
    <w:p w:rsidR="00280563" w:rsidRPr="00B3575F" w:rsidRDefault="00280563" w:rsidP="00280563">
      <w:pPr>
        <w:ind w:right="91"/>
        <w:rPr>
          <w:rStyle w:val="msochangeprop0"/>
          <w:rFonts w:eastAsia="Calibri"/>
          <w:bCs/>
          <w:caps/>
          <w:smallCaps/>
          <w:u w:val="single"/>
        </w:rPr>
      </w:pPr>
      <w:r w:rsidRPr="00EA13E1">
        <w:rPr>
          <w:iCs/>
          <w:szCs w:val="24"/>
          <w:u w:val="single"/>
        </w:rPr>
        <w:t>Schedule</w:t>
      </w:r>
      <w:r w:rsidRPr="00EA13E1">
        <w:rPr>
          <w:rStyle w:val="msochangeprop0"/>
          <w:rFonts w:eastAsia="Calibri"/>
          <w:bCs/>
          <w:caps/>
          <w:smallCaps/>
          <w:u w:val="single"/>
        </w:rPr>
        <w:t xml:space="preserve"> 1</w:t>
      </w:r>
      <w:r w:rsidRPr="00B3575F">
        <w:rPr>
          <w:rStyle w:val="msochangeprop0"/>
          <w:rFonts w:eastAsia="Calibri"/>
          <w:bCs/>
          <w:caps/>
          <w:smallCaps/>
          <w:u w:val="single"/>
        </w:rPr>
        <w:t xml:space="preserve"> – </w:t>
      </w:r>
      <w:r w:rsidRPr="00B3575F">
        <w:rPr>
          <w:bCs/>
          <w:u w:val="single"/>
        </w:rPr>
        <w:t>Amendment</w:t>
      </w:r>
    </w:p>
    <w:p w:rsidR="00280563" w:rsidRDefault="00280563" w:rsidP="00280563">
      <w:pPr>
        <w:rPr>
          <w:b/>
        </w:rPr>
      </w:pPr>
      <w:r>
        <w:rPr>
          <w:b/>
        </w:rPr>
        <w:t xml:space="preserve">Item [1] – </w:t>
      </w:r>
      <w:proofErr w:type="spellStart"/>
      <w:r>
        <w:rPr>
          <w:b/>
        </w:rPr>
        <w:t>Subregulation</w:t>
      </w:r>
      <w:proofErr w:type="spellEnd"/>
      <w:r>
        <w:rPr>
          <w:b/>
        </w:rPr>
        <w:t xml:space="preserve"> 10(4)</w:t>
      </w:r>
    </w:p>
    <w:p w:rsidR="00280563" w:rsidRPr="00632058" w:rsidRDefault="00280563" w:rsidP="00280563">
      <w:r>
        <w:t xml:space="preserve">Item [1] </w:t>
      </w:r>
      <w:r w:rsidR="000606BB">
        <w:t xml:space="preserve">corrects a minor typographical error in </w:t>
      </w:r>
      <w:proofErr w:type="spellStart"/>
      <w:r>
        <w:t>subregulation</w:t>
      </w:r>
      <w:proofErr w:type="spellEnd"/>
      <w:r>
        <w:t xml:space="preserve"> 10(4)</w:t>
      </w:r>
      <w:r w:rsidR="000606BB">
        <w:t xml:space="preserve"> by</w:t>
      </w:r>
      <w:r>
        <w:t xml:space="preserve"> remov</w:t>
      </w:r>
      <w:r w:rsidR="000606BB">
        <w:t>ing</w:t>
      </w:r>
      <w:r>
        <w:t xml:space="preserve"> the incorrect reference to </w:t>
      </w:r>
      <w:proofErr w:type="spellStart"/>
      <w:r>
        <w:t>subregulation</w:t>
      </w:r>
      <w:proofErr w:type="spellEnd"/>
      <w:r>
        <w:t> 10(2) and replac</w:t>
      </w:r>
      <w:r w:rsidR="000606BB">
        <w:t>ing</w:t>
      </w:r>
      <w:r>
        <w:t xml:space="preserve"> it with a reference to </w:t>
      </w:r>
      <w:proofErr w:type="spellStart"/>
      <w:r>
        <w:t>subregulation</w:t>
      </w:r>
      <w:proofErr w:type="spellEnd"/>
      <w:r w:rsidR="006C57C6">
        <w:t> </w:t>
      </w:r>
      <w:r>
        <w:t xml:space="preserve">10(3). </w:t>
      </w:r>
    </w:p>
    <w:p w:rsidR="000606BB" w:rsidRDefault="000606BB" w:rsidP="000606BB">
      <w:pPr>
        <w:rPr>
          <w:b/>
        </w:rPr>
      </w:pPr>
      <w:r>
        <w:rPr>
          <w:b/>
        </w:rPr>
        <w:t>Item [2] – Paragraph 24(f)</w:t>
      </w:r>
    </w:p>
    <w:p w:rsidR="000606BB" w:rsidRPr="003B4A0B" w:rsidRDefault="000606BB" w:rsidP="000606BB">
      <w:r>
        <w:t>Item [2] corrects a minor typographical error in paragraph 24(f) by redesignating the</w:t>
      </w:r>
      <w:r w:rsidRPr="000606BB">
        <w:t xml:space="preserve"> </w:t>
      </w:r>
      <w:r>
        <w:t>‘Australian carbon credit exchange account’ as the ‘Australian carbon credit unit exchange account’.</w:t>
      </w:r>
    </w:p>
    <w:p w:rsidR="00C402E3" w:rsidRPr="00AE0338" w:rsidRDefault="00C402E3" w:rsidP="00C402E3">
      <w:pPr>
        <w:rPr>
          <w:b/>
        </w:rPr>
      </w:pPr>
      <w:r w:rsidRPr="00AE0338">
        <w:rPr>
          <w:b/>
        </w:rPr>
        <w:t xml:space="preserve">Items [3]-[4] – After </w:t>
      </w:r>
      <w:proofErr w:type="spellStart"/>
      <w:r w:rsidRPr="00AE0338">
        <w:rPr>
          <w:b/>
        </w:rPr>
        <w:t>subregulation</w:t>
      </w:r>
      <w:proofErr w:type="spellEnd"/>
      <w:r w:rsidRPr="00AE0338">
        <w:rPr>
          <w:b/>
        </w:rPr>
        <w:t xml:space="preserve"> 28(3) and </w:t>
      </w:r>
      <w:proofErr w:type="spellStart"/>
      <w:r w:rsidRPr="00AE0338">
        <w:rPr>
          <w:b/>
        </w:rPr>
        <w:t>Subregulation</w:t>
      </w:r>
      <w:proofErr w:type="spellEnd"/>
      <w:r w:rsidRPr="00AE0338">
        <w:rPr>
          <w:b/>
        </w:rPr>
        <w:t xml:space="preserve"> 28(4), heading</w:t>
      </w:r>
    </w:p>
    <w:p w:rsidR="00C402E3" w:rsidRDefault="00C402E3" w:rsidP="00C402E3">
      <w:r>
        <w:t xml:space="preserve">Items [3]-[4] correct a minor typographical error in regulation 28 by moving the heading ‘Cancellation or transfer of units’ from above </w:t>
      </w:r>
      <w:proofErr w:type="spellStart"/>
      <w:r>
        <w:t>subregulation</w:t>
      </w:r>
      <w:proofErr w:type="spellEnd"/>
      <w:r>
        <w:t xml:space="preserve"> 28(4) to above </w:t>
      </w:r>
      <w:proofErr w:type="spellStart"/>
      <w:r>
        <w:t>subregulation</w:t>
      </w:r>
      <w:proofErr w:type="spellEnd"/>
      <w:r>
        <w:t xml:space="preserve"> 28(3A).</w:t>
      </w:r>
    </w:p>
    <w:p w:rsidR="00280563" w:rsidRDefault="00280563" w:rsidP="00280563">
      <w:pPr>
        <w:rPr>
          <w:b/>
        </w:rPr>
      </w:pPr>
      <w:r>
        <w:rPr>
          <w:b/>
        </w:rPr>
        <w:t>Item [</w:t>
      </w:r>
      <w:r w:rsidR="00C402E3">
        <w:rPr>
          <w:b/>
        </w:rPr>
        <w:t>5</w:t>
      </w:r>
      <w:r>
        <w:rPr>
          <w:b/>
        </w:rPr>
        <w:t>] – Paragraph 31(1)(a)</w:t>
      </w:r>
    </w:p>
    <w:p w:rsidR="00280563" w:rsidRDefault="00280563" w:rsidP="00280563">
      <w:r>
        <w:t>Item [</w:t>
      </w:r>
      <w:r w:rsidR="00C402E3">
        <w:t>5</w:t>
      </w:r>
      <w:r>
        <w:t xml:space="preserve">] </w:t>
      </w:r>
      <w:r w:rsidR="000606BB">
        <w:t xml:space="preserve">corrects a minor typographical error in paragraph 31(1)(a) by replacing the reference to </w:t>
      </w:r>
      <w:r>
        <w:t>‘</w:t>
      </w:r>
      <w:proofErr w:type="spellStart"/>
      <w:r>
        <w:t>subregulation</w:t>
      </w:r>
      <w:proofErr w:type="spellEnd"/>
      <w:r>
        <w:t xml:space="preserve"> (9)(2)’ </w:t>
      </w:r>
      <w:r w:rsidR="000606BB">
        <w:t xml:space="preserve">with a reference to </w:t>
      </w:r>
      <w:r>
        <w:t>‘</w:t>
      </w:r>
      <w:proofErr w:type="spellStart"/>
      <w:r>
        <w:t>subregulation</w:t>
      </w:r>
      <w:proofErr w:type="spellEnd"/>
      <w:r>
        <w:t xml:space="preserve"> 9(2)’. </w:t>
      </w:r>
    </w:p>
    <w:p w:rsidR="00280563" w:rsidRDefault="00280563" w:rsidP="00280563">
      <w:pPr>
        <w:rPr>
          <w:b/>
        </w:rPr>
      </w:pPr>
      <w:r>
        <w:rPr>
          <w:b/>
        </w:rPr>
        <w:t>Item [</w:t>
      </w:r>
      <w:r w:rsidR="00C402E3">
        <w:rPr>
          <w:b/>
        </w:rPr>
        <w:t>6</w:t>
      </w:r>
      <w:r>
        <w:rPr>
          <w:b/>
        </w:rPr>
        <w:t xml:space="preserve">] – </w:t>
      </w:r>
      <w:proofErr w:type="spellStart"/>
      <w:r>
        <w:rPr>
          <w:b/>
        </w:rPr>
        <w:t>Subregulation</w:t>
      </w:r>
      <w:proofErr w:type="spellEnd"/>
      <w:r>
        <w:rPr>
          <w:b/>
        </w:rPr>
        <w:t xml:space="preserve"> 31(4)</w:t>
      </w:r>
    </w:p>
    <w:p w:rsidR="00156EFE" w:rsidRDefault="00280563" w:rsidP="00156EFE">
      <w:proofErr w:type="spellStart"/>
      <w:r>
        <w:t>Subregulation</w:t>
      </w:r>
      <w:proofErr w:type="spellEnd"/>
      <w:r>
        <w:t xml:space="preserve"> 31(2) provides that the </w:t>
      </w:r>
      <w:r w:rsidR="00094186">
        <w:t xml:space="preserve">Clean Energy </w:t>
      </w:r>
      <w:r>
        <w:t xml:space="preserve">Regulator </w:t>
      </w:r>
      <w:r w:rsidR="00094186">
        <w:t xml:space="preserve">(the Regulator) </w:t>
      </w:r>
      <w:r>
        <w:t>must not give a nominated authorised representative access to a</w:t>
      </w:r>
      <w:r w:rsidR="00094186">
        <w:t xml:space="preserve">n Australian National Registry of Emissions Units </w:t>
      </w:r>
      <w:r>
        <w:t xml:space="preserve">account unless the Regulator is satisfied of the </w:t>
      </w:r>
      <w:r w:rsidR="005A6C0A">
        <w:t>nominee’s</w:t>
      </w:r>
      <w:r>
        <w:t xml:space="preserve"> identity and that the </w:t>
      </w:r>
      <w:r w:rsidR="005A6C0A">
        <w:t xml:space="preserve">nominee </w:t>
      </w:r>
      <w:r>
        <w:t xml:space="preserve">meets the fit and proper person criteria. </w:t>
      </w:r>
      <w:proofErr w:type="spellStart"/>
      <w:r w:rsidR="00156EFE">
        <w:t>Subregulation</w:t>
      </w:r>
      <w:proofErr w:type="spellEnd"/>
      <w:r w:rsidR="00156EFE">
        <w:t xml:space="preserve"> 31(4) provides that if the Regulator is not satisfied of the nominee’s identity, the Regulator </w:t>
      </w:r>
      <w:r w:rsidR="00AB0569">
        <w:t>must</w:t>
      </w:r>
      <w:r w:rsidR="00156EFE">
        <w:t xml:space="preserve"> notify the account holder that the nominee has been denied access to the account, and give reasons for that denial. Item</w:t>
      </w:r>
      <w:r w:rsidR="0075421F">
        <w:t> </w:t>
      </w:r>
      <w:r w:rsidR="00156EFE">
        <w:t xml:space="preserve">[6] </w:t>
      </w:r>
      <w:r w:rsidR="00156EFE">
        <w:lastRenderedPageBreak/>
        <w:t xml:space="preserve">amends </w:t>
      </w:r>
      <w:proofErr w:type="spellStart"/>
      <w:r w:rsidR="00156EFE">
        <w:t>subregulation</w:t>
      </w:r>
      <w:proofErr w:type="spellEnd"/>
      <w:r w:rsidR="00156EFE">
        <w:t xml:space="preserve"> 31(4) so that this notification requirement also applies if </w:t>
      </w:r>
      <w:r w:rsidR="0075421F">
        <w:t xml:space="preserve">the nominee has been denied access to the account because </w:t>
      </w:r>
      <w:r w:rsidR="00156EFE">
        <w:t>the Regulator is not satisfied that the nominee meets the fit and proper person criteria. This ensures that the account holder has an opportunity to nominate another person who can be given access to the account.</w:t>
      </w:r>
    </w:p>
    <w:p w:rsidR="00280563" w:rsidRDefault="00280563" w:rsidP="003B4A0B">
      <w:pPr>
        <w:keepNext/>
        <w:rPr>
          <w:b/>
        </w:rPr>
      </w:pPr>
      <w:r>
        <w:rPr>
          <w:b/>
        </w:rPr>
        <w:t>Item [</w:t>
      </w:r>
      <w:r w:rsidR="00C402E3">
        <w:rPr>
          <w:b/>
        </w:rPr>
        <w:t>7</w:t>
      </w:r>
      <w:r>
        <w:rPr>
          <w:b/>
        </w:rPr>
        <w:t xml:space="preserve">] – After </w:t>
      </w:r>
      <w:proofErr w:type="spellStart"/>
      <w:r>
        <w:rPr>
          <w:b/>
        </w:rPr>
        <w:t>subregulation</w:t>
      </w:r>
      <w:proofErr w:type="spellEnd"/>
      <w:r>
        <w:rPr>
          <w:b/>
        </w:rPr>
        <w:t xml:space="preserve"> 31(4)</w:t>
      </w:r>
    </w:p>
    <w:p w:rsidR="00280563" w:rsidRDefault="00280563" w:rsidP="003B4A0B">
      <w:pPr>
        <w:keepNext/>
      </w:pPr>
      <w:r>
        <w:t>Account holders are required to notify the Regulator if there is any change in relation to whether an authorised representative continues to meet the fit and proper person criteria</w:t>
      </w:r>
      <w:r w:rsidR="006C57C6">
        <w:t xml:space="preserve"> (</w:t>
      </w:r>
      <w:r w:rsidR="000E3CA5">
        <w:t>paragraph</w:t>
      </w:r>
      <w:r w:rsidR="006C57C6">
        <w:t xml:space="preserve"> 33(1)(e))</w:t>
      </w:r>
      <w:r>
        <w:t>. Item</w:t>
      </w:r>
      <w:r w:rsidR="00AA136A">
        <w:t> </w:t>
      </w:r>
      <w:r>
        <w:t>[</w:t>
      </w:r>
      <w:r w:rsidR="00C402E3">
        <w:t>7</w:t>
      </w:r>
      <w:r>
        <w:t>] insert</w:t>
      </w:r>
      <w:r w:rsidR="004427B7">
        <w:t>s</w:t>
      </w:r>
      <w:r>
        <w:t xml:space="preserve"> new </w:t>
      </w:r>
      <w:proofErr w:type="spellStart"/>
      <w:r>
        <w:t>subregulation</w:t>
      </w:r>
      <w:proofErr w:type="spellEnd"/>
      <w:r>
        <w:t xml:space="preserve"> 31(5), which empower</w:t>
      </w:r>
      <w:r w:rsidR="004427B7">
        <w:t>s</w:t>
      </w:r>
      <w:r>
        <w:t xml:space="preserve"> the Regulator to deny an authorised representative continued access to an account if the Regulator </w:t>
      </w:r>
      <w:r w:rsidR="00AA136A">
        <w:t>is</w:t>
      </w:r>
      <w:r>
        <w:t xml:space="preserve"> no longer satisfied that the representative meets the fit and proper person criteria.</w:t>
      </w:r>
    </w:p>
    <w:p w:rsidR="00280563" w:rsidRPr="00DE78AC" w:rsidRDefault="00C402E3" w:rsidP="00280563">
      <w:pPr>
        <w:rPr>
          <w:b/>
        </w:rPr>
      </w:pPr>
      <w:r>
        <w:t>Item [7] also inserts n</w:t>
      </w:r>
      <w:r w:rsidR="00280563">
        <w:t xml:space="preserve">ew </w:t>
      </w:r>
      <w:proofErr w:type="spellStart"/>
      <w:r w:rsidR="00280563">
        <w:t>subregulation</w:t>
      </w:r>
      <w:proofErr w:type="spellEnd"/>
      <w:r w:rsidR="00280563">
        <w:t xml:space="preserve"> 31(6)</w:t>
      </w:r>
      <w:r>
        <w:t>, which</w:t>
      </w:r>
      <w:r w:rsidR="00280563">
        <w:t xml:space="preserve"> require</w:t>
      </w:r>
      <w:r w:rsidR="004427B7">
        <w:t>s</w:t>
      </w:r>
      <w:r w:rsidR="00280563">
        <w:t xml:space="preserve"> the Regulator to notify the account holder if the authorised representative </w:t>
      </w:r>
      <w:r w:rsidR="00156EFE">
        <w:t xml:space="preserve">has been denied </w:t>
      </w:r>
      <w:r w:rsidR="0075421F">
        <w:t xml:space="preserve">continued </w:t>
      </w:r>
      <w:r w:rsidR="00156EFE">
        <w:t>access to the account, and give reasons for that denial</w:t>
      </w:r>
      <w:r>
        <w:t>. This</w:t>
      </w:r>
      <w:r w:rsidR="00280563">
        <w:t xml:space="preserve"> ensur</w:t>
      </w:r>
      <w:r>
        <w:t>es</w:t>
      </w:r>
      <w:r w:rsidR="00280563">
        <w:t xml:space="preserve"> that the account holder has an opportunity to nominate another person who can be given access to the account.</w:t>
      </w:r>
    </w:p>
    <w:p w:rsidR="00216839" w:rsidRDefault="00216839">
      <w:pPr>
        <w:spacing w:before="0" w:after="200" w:line="276" w:lineRule="auto"/>
        <w:rPr>
          <w:b/>
          <w:szCs w:val="24"/>
          <w:u w:val="single"/>
        </w:rPr>
      </w:pPr>
      <w:r>
        <w:rPr>
          <w:b/>
          <w:u w:val="single"/>
        </w:rPr>
        <w:br w:type="page"/>
      </w:r>
    </w:p>
    <w:p w:rsidR="00216839" w:rsidRPr="00222093" w:rsidRDefault="00216839" w:rsidP="00216839">
      <w:pPr>
        <w:spacing w:before="0" w:after="200" w:line="276" w:lineRule="auto"/>
        <w:jc w:val="right"/>
        <w:rPr>
          <w:b/>
          <w:u w:val="single"/>
        </w:rPr>
      </w:pPr>
      <w:r>
        <w:rPr>
          <w:b/>
          <w:u w:val="single"/>
        </w:rPr>
        <w:lastRenderedPageBreak/>
        <w:t>ATTACHMENT</w:t>
      </w:r>
      <w:r w:rsidRPr="00222093">
        <w:rPr>
          <w:b/>
          <w:u w:val="single"/>
        </w:rPr>
        <w:t> B</w:t>
      </w:r>
    </w:p>
    <w:p w:rsidR="00216839" w:rsidRPr="00222093" w:rsidRDefault="00216839" w:rsidP="00216839">
      <w:pPr>
        <w:spacing w:before="360" w:after="120"/>
        <w:jc w:val="center"/>
        <w:rPr>
          <w:b/>
          <w:sz w:val="28"/>
          <w:szCs w:val="28"/>
        </w:rPr>
      </w:pPr>
      <w:r w:rsidRPr="00222093">
        <w:rPr>
          <w:b/>
          <w:sz w:val="28"/>
          <w:szCs w:val="28"/>
        </w:rPr>
        <w:t>Statement of Compatibility with Human Rights</w:t>
      </w:r>
    </w:p>
    <w:p w:rsidR="00216839" w:rsidRPr="00222093" w:rsidRDefault="00216839" w:rsidP="00216839">
      <w:pPr>
        <w:spacing w:before="120" w:after="120"/>
        <w:jc w:val="center"/>
      </w:pPr>
      <w:r w:rsidRPr="00222093">
        <w:rPr>
          <w:i/>
        </w:rPr>
        <w:t>Prepared in accordance with Part 3 of the Human Rights (Parliamentary Scrutiny) Act 2011</w:t>
      </w:r>
    </w:p>
    <w:p w:rsidR="00216839" w:rsidRPr="00222093" w:rsidRDefault="00216839" w:rsidP="00216839">
      <w:pPr>
        <w:spacing w:before="120" w:after="120"/>
        <w:jc w:val="center"/>
      </w:pPr>
    </w:p>
    <w:p w:rsidR="00216839" w:rsidRPr="00222093" w:rsidRDefault="00213AC2" w:rsidP="00216839">
      <w:pPr>
        <w:spacing w:before="120" w:after="120"/>
        <w:jc w:val="center"/>
        <w:rPr>
          <w:b/>
        </w:rPr>
      </w:pPr>
      <w:r>
        <w:rPr>
          <w:b/>
        </w:rPr>
        <w:t xml:space="preserve">Australian National Registry of Emissions Units Amendment </w:t>
      </w:r>
      <w:r w:rsidR="00216839" w:rsidRPr="00222093">
        <w:rPr>
          <w:b/>
        </w:rPr>
        <w:t xml:space="preserve">Regulation 2012 (No. </w:t>
      </w:r>
      <w:r w:rsidR="004B3F1A">
        <w:rPr>
          <w:b/>
        </w:rPr>
        <w:t>3</w:t>
      </w:r>
      <w:r w:rsidR="00216839" w:rsidRPr="00222093">
        <w:rPr>
          <w:b/>
        </w:rPr>
        <w:t xml:space="preserve">) </w:t>
      </w:r>
    </w:p>
    <w:p w:rsidR="00216839" w:rsidRPr="00222093" w:rsidRDefault="00216839" w:rsidP="00216839">
      <w:pPr>
        <w:spacing w:before="120" w:after="120"/>
        <w:jc w:val="center"/>
      </w:pPr>
    </w:p>
    <w:p w:rsidR="00216839" w:rsidRPr="00222093" w:rsidRDefault="00216839" w:rsidP="00216839">
      <w:pPr>
        <w:spacing w:before="120" w:after="120"/>
        <w:jc w:val="center"/>
      </w:pPr>
      <w:r w:rsidRPr="00222093">
        <w:t xml:space="preserve">This </w:t>
      </w:r>
      <w:r w:rsidR="005A6C0A">
        <w:t>Regulation</w:t>
      </w:r>
      <w:r w:rsidRPr="00222093">
        <w:t xml:space="preserve"> is compatible with the human rights and freedoms recognised or declared in the international instruments listed in section 3 of the </w:t>
      </w:r>
      <w:r w:rsidRPr="00222093">
        <w:rPr>
          <w:i/>
        </w:rPr>
        <w:t>Human Rights (Parliamentary Scrutiny) Act 2011</w:t>
      </w:r>
      <w:r w:rsidRPr="00222093">
        <w:t>.</w:t>
      </w:r>
    </w:p>
    <w:p w:rsidR="00216839" w:rsidRPr="00222093" w:rsidRDefault="00216839" w:rsidP="00216839">
      <w:pPr>
        <w:spacing w:before="120" w:after="120"/>
        <w:jc w:val="center"/>
      </w:pPr>
    </w:p>
    <w:p w:rsidR="00216839" w:rsidRPr="00222093" w:rsidRDefault="00216839" w:rsidP="00684AFA">
      <w:pPr>
        <w:spacing w:before="120" w:after="120"/>
        <w:rPr>
          <w:b/>
        </w:rPr>
      </w:pPr>
      <w:r w:rsidRPr="00222093">
        <w:rPr>
          <w:b/>
        </w:rPr>
        <w:t xml:space="preserve">Overview of the </w:t>
      </w:r>
      <w:r w:rsidR="00213AC2">
        <w:rPr>
          <w:b/>
        </w:rPr>
        <w:t xml:space="preserve">Australian National Registry of Emissions Units Amendment </w:t>
      </w:r>
      <w:r w:rsidR="00213AC2" w:rsidRPr="00222093">
        <w:rPr>
          <w:b/>
        </w:rPr>
        <w:t xml:space="preserve">Regulation 2012 (No. </w:t>
      </w:r>
      <w:r w:rsidR="00A01739">
        <w:rPr>
          <w:b/>
        </w:rPr>
        <w:t>3</w:t>
      </w:r>
      <w:r w:rsidR="00213AC2" w:rsidRPr="00222093">
        <w:rPr>
          <w:b/>
        </w:rPr>
        <w:t>)</w:t>
      </w:r>
    </w:p>
    <w:p w:rsidR="00213AC2" w:rsidRDefault="00213AC2" w:rsidP="00213AC2">
      <w:r>
        <w:t xml:space="preserve">The Regulation amends the </w:t>
      </w:r>
      <w:r>
        <w:rPr>
          <w:i/>
        </w:rPr>
        <w:t xml:space="preserve">Australian National Registry of Emissions Units Regulations 2011 </w:t>
      </w:r>
      <w:r w:rsidR="005A6C0A">
        <w:t xml:space="preserve">(the ANREU Regulations) </w:t>
      </w:r>
      <w:r>
        <w:t>to:</w:t>
      </w:r>
    </w:p>
    <w:p w:rsidR="00094186" w:rsidRDefault="00094186" w:rsidP="00213AC2">
      <w:pPr>
        <w:pStyle w:val="ListParagraph"/>
        <w:numPr>
          <w:ilvl w:val="0"/>
          <w:numId w:val="4"/>
        </w:numPr>
      </w:pPr>
      <w:r>
        <w:t>require the Clean Energy Regulator (the Regulator) to notify an account holder if their nominated authorised representative has been denied access to their account</w:t>
      </w:r>
      <w:r w:rsidR="00243ECE">
        <w:t xml:space="preserve"> (item </w:t>
      </w:r>
      <w:r w:rsidR="003C4F39">
        <w:t>6</w:t>
      </w:r>
      <w:r w:rsidR="00243ECE">
        <w:t>)</w:t>
      </w:r>
      <w:r>
        <w:t>;</w:t>
      </w:r>
    </w:p>
    <w:p w:rsidR="00E362E6" w:rsidRDefault="00E362E6" w:rsidP="00213AC2">
      <w:pPr>
        <w:pStyle w:val="ListParagraph"/>
        <w:numPr>
          <w:ilvl w:val="0"/>
          <w:numId w:val="4"/>
        </w:numPr>
      </w:pPr>
      <w:r>
        <w:t>empower the Regulator to deny an authorised representative continued access to an account if the Regulator is no longer satisfied that the representative is fit and proper</w:t>
      </w:r>
      <w:r w:rsidR="00243ECE">
        <w:t xml:space="preserve"> (item </w:t>
      </w:r>
      <w:r w:rsidR="003C4F39">
        <w:t>7</w:t>
      </w:r>
      <w:r w:rsidR="00243ECE">
        <w:t>)</w:t>
      </w:r>
      <w:r>
        <w:t>; and</w:t>
      </w:r>
    </w:p>
    <w:p w:rsidR="00E362E6" w:rsidRDefault="00094186" w:rsidP="00213AC2">
      <w:pPr>
        <w:pStyle w:val="ListParagraph"/>
        <w:numPr>
          <w:ilvl w:val="0"/>
          <w:numId w:val="4"/>
        </w:numPr>
      </w:pPr>
      <w:r>
        <w:t>correct minor typographical errors</w:t>
      </w:r>
      <w:r w:rsidR="00243ECE">
        <w:t xml:space="preserve"> (items 1-</w:t>
      </w:r>
      <w:r w:rsidR="003C4F39">
        <w:t>5</w:t>
      </w:r>
      <w:r w:rsidR="00243ECE">
        <w:t>)</w:t>
      </w:r>
      <w:r w:rsidR="00E362E6">
        <w:t>.</w:t>
      </w:r>
    </w:p>
    <w:p w:rsidR="00216839" w:rsidRPr="00222093" w:rsidRDefault="00216839" w:rsidP="00216839">
      <w:pPr>
        <w:spacing w:before="120" w:after="120"/>
        <w:rPr>
          <w:b/>
        </w:rPr>
      </w:pPr>
      <w:r w:rsidRPr="00222093">
        <w:rPr>
          <w:b/>
        </w:rPr>
        <w:t>Human rights implications</w:t>
      </w:r>
    </w:p>
    <w:p w:rsidR="00094186" w:rsidRDefault="009B01DE" w:rsidP="00216839">
      <w:pPr>
        <w:spacing w:before="120" w:after="120"/>
      </w:pPr>
      <w:r>
        <w:t xml:space="preserve">The Regulation engages the right to privacy and reputation. </w:t>
      </w:r>
    </w:p>
    <w:p w:rsidR="00FE2966" w:rsidRDefault="00FE2966" w:rsidP="00094186">
      <w:r w:rsidRPr="0038014C">
        <w:t xml:space="preserve">The </w:t>
      </w:r>
      <w:r>
        <w:t xml:space="preserve">Australian National Registry of Emissions Units (the </w:t>
      </w:r>
      <w:r w:rsidRPr="0038014C">
        <w:t>Registry</w:t>
      </w:r>
      <w:r>
        <w:t>)</w:t>
      </w:r>
      <w:r w:rsidRPr="0038014C">
        <w:t xml:space="preserve"> track</w:t>
      </w:r>
      <w:r>
        <w:t>s</w:t>
      </w:r>
      <w:r w:rsidRPr="0038014C">
        <w:t xml:space="preserve"> the location and ownership of </w:t>
      </w:r>
      <w:r>
        <w:t xml:space="preserve">carbon units issued under the </w:t>
      </w:r>
      <w:r>
        <w:rPr>
          <w:i/>
        </w:rPr>
        <w:t>Clean Energy Act 2011</w:t>
      </w:r>
      <w:r>
        <w:t xml:space="preserve">, </w:t>
      </w:r>
      <w:r w:rsidRPr="0038014C">
        <w:t xml:space="preserve">Australian carbon credit units issued under the </w:t>
      </w:r>
      <w:r>
        <w:rPr>
          <w:i/>
        </w:rPr>
        <w:t>Carbon Credits (Carbon Farming Initiative) Act 2011</w:t>
      </w:r>
      <w:r w:rsidRPr="0038014C">
        <w:t xml:space="preserve"> </w:t>
      </w:r>
      <w:r>
        <w:t>and</w:t>
      </w:r>
      <w:r w:rsidRPr="0038014C">
        <w:t xml:space="preserve"> meet</w:t>
      </w:r>
      <w:r>
        <w:t>s</w:t>
      </w:r>
      <w:r w:rsidRPr="0038014C">
        <w:t xml:space="preserve"> Australia’s ongoing obligations under the Kyoto Protocol</w:t>
      </w:r>
      <w:r>
        <w:t xml:space="preserve"> to the United Nations Framework Convention on Climate Change</w:t>
      </w:r>
      <w:r w:rsidRPr="0038014C">
        <w:t>.</w:t>
      </w:r>
    </w:p>
    <w:p w:rsidR="00FE2966" w:rsidRDefault="00FE2966" w:rsidP="00094186">
      <w:r>
        <w:t>A Registry a</w:t>
      </w:r>
      <w:r w:rsidR="00094186">
        <w:t xml:space="preserve">ccount may be held by </w:t>
      </w:r>
      <w:r>
        <w:t xml:space="preserve">an </w:t>
      </w:r>
      <w:r w:rsidR="00094186">
        <w:t xml:space="preserve">individual </w:t>
      </w:r>
      <w:r>
        <w:t>or a</w:t>
      </w:r>
      <w:r w:rsidR="00094186">
        <w:t xml:space="preserve"> non-individual (</w:t>
      </w:r>
      <w:r>
        <w:t xml:space="preserve">a </w:t>
      </w:r>
      <w:r w:rsidR="00094186">
        <w:t>bod</w:t>
      </w:r>
      <w:r>
        <w:t>y</w:t>
      </w:r>
      <w:r w:rsidR="00094186">
        <w:t xml:space="preserve"> corporate, trust, corporation sole, bod</w:t>
      </w:r>
      <w:r>
        <w:t>y</w:t>
      </w:r>
      <w:r w:rsidR="00094186">
        <w:t xml:space="preserve"> politic </w:t>
      </w:r>
      <w:r>
        <w:t>or</w:t>
      </w:r>
      <w:r w:rsidR="00094186">
        <w:t xml:space="preserve"> local governing bod</w:t>
      </w:r>
      <w:r>
        <w:t>y</w:t>
      </w:r>
      <w:r w:rsidR="00094186">
        <w:t>). Non-individual</w:t>
      </w:r>
      <w:r w:rsidR="005A6C0A">
        <w:t xml:space="preserve"> account holders</w:t>
      </w:r>
      <w:r w:rsidR="00094186">
        <w:t xml:space="preserve"> must nominate one or more </w:t>
      </w:r>
      <w:r w:rsidR="005A6C0A">
        <w:t>individuals</w:t>
      </w:r>
      <w:r w:rsidR="00094186">
        <w:t xml:space="preserve"> (referred to as authorised representatives) to operate their account. Individual</w:t>
      </w:r>
      <w:r w:rsidR="005A6C0A">
        <w:t xml:space="preserve"> account holders</w:t>
      </w:r>
      <w:r w:rsidR="00094186">
        <w:t xml:space="preserve"> may nominate one or more </w:t>
      </w:r>
      <w:r w:rsidR="00BA0FFD">
        <w:t>authorised</w:t>
      </w:r>
      <w:r w:rsidR="00094186">
        <w:t xml:space="preserve"> representatives (regulation 9(2)</w:t>
      </w:r>
      <w:r w:rsidR="005A6C0A">
        <w:t xml:space="preserve"> of the ANREU Regulations</w:t>
      </w:r>
      <w:r w:rsidR="00094186">
        <w:t xml:space="preserve">). </w:t>
      </w:r>
      <w:r w:rsidR="005A6C0A">
        <w:t xml:space="preserve">A nominated authorised representative can only be given access to an account, however, if the Regulator is satisfied of the nominee’s identity and that the nominee meets </w:t>
      </w:r>
      <w:r w:rsidR="005A6C0A" w:rsidRPr="00735CB1">
        <w:t>the fit and proper person criteria</w:t>
      </w:r>
      <w:r w:rsidR="005A6C0A">
        <w:t xml:space="preserve"> (regulation 31(2) of the ANREU Regulations). In assessing whether the </w:t>
      </w:r>
      <w:r w:rsidR="006C57C6">
        <w:t xml:space="preserve">nominee meets the </w:t>
      </w:r>
      <w:r w:rsidR="005A6C0A">
        <w:t>fit and proper person criteria</w:t>
      </w:r>
      <w:r w:rsidR="005A6C0A" w:rsidRPr="00735CB1">
        <w:t xml:space="preserve">, the </w:t>
      </w:r>
      <w:r w:rsidR="005A6C0A">
        <w:t>Regulator</w:t>
      </w:r>
      <w:r w:rsidR="005A6C0A" w:rsidRPr="00735CB1">
        <w:t xml:space="preserve"> has regard to a number of matters, including whether the </w:t>
      </w:r>
      <w:r w:rsidR="005A6C0A">
        <w:t>nominee</w:t>
      </w:r>
      <w:r w:rsidR="005A6C0A" w:rsidRPr="00735CB1">
        <w:t xml:space="preserve"> has been convicted of </w:t>
      </w:r>
      <w:r w:rsidR="005A6C0A">
        <w:t xml:space="preserve">an </w:t>
      </w:r>
      <w:r w:rsidR="005A6C0A" w:rsidRPr="00735CB1">
        <w:t xml:space="preserve">offence relating to dishonesty, complied with </w:t>
      </w:r>
      <w:r w:rsidR="005A6C0A">
        <w:t>relevant scheme legislation, or</w:t>
      </w:r>
      <w:r w:rsidR="005A6C0A" w:rsidRPr="00735CB1">
        <w:t xml:space="preserve"> </w:t>
      </w:r>
      <w:r w:rsidR="005A6C0A" w:rsidRPr="00735CB1">
        <w:lastRenderedPageBreak/>
        <w:t>is an i</w:t>
      </w:r>
      <w:r w:rsidR="005A6C0A">
        <w:t xml:space="preserve">nsolvent under administration. </w:t>
      </w:r>
      <w:r w:rsidR="00C00C77">
        <w:t xml:space="preserve">This is </w:t>
      </w:r>
      <w:r w:rsidR="00BA0FFD">
        <w:t xml:space="preserve">one of a number of </w:t>
      </w:r>
      <w:r w:rsidR="003C4F39">
        <w:t>measures</w:t>
      </w:r>
      <w:r w:rsidR="00BA0FFD">
        <w:t xml:space="preserve"> designed</w:t>
      </w:r>
      <w:r w:rsidR="00C00C77">
        <w:t xml:space="preserve"> to reduce the risk of fraud</w:t>
      </w:r>
      <w:r w:rsidR="00BA0FFD">
        <w:t xml:space="preserve"> and</w:t>
      </w:r>
      <w:r w:rsidR="00C00C77">
        <w:t xml:space="preserve"> deceptive or unfair conduct</w:t>
      </w:r>
      <w:r w:rsidR="00BA0FFD">
        <w:t xml:space="preserve"> in the Registry</w:t>
      </w:r>
      <w:r w:rsidR="00C00C77">
        <w:t xml:space="preserve">. </w:t>
      </w:r>
    </w:p>
    <w:p w:rsidR="001D7EA8" w:rsidRDefault="00F321C7" w:rsidP="003B4A0B">
      <w:proofErr w:type="spellStart"/>
      <w:r>
        <w:t>Subregulation</w:t>
      </w:r>
      <w:proofErr w:type="spellEnd"/>
      <w:r>
        <w:t xml:space="preserve"> 31(4) provides that if the Regulator is not satisfied of the nominee’s identity, the Regulator is required to notify the account holder that the nominee has been denied access to the account, and give reasons for that denial. Item [6] of the Regulation amends </w:t>
      </w:r>
      <w:proofErr w:type="spellStart"/>
      <w:r>
        <w:t>subregulation</w:t>
      </w:r>
      <w:proofErr w:type="spellEnd"/>
      <w:r>
        <w:t xml:space="preserve"> 31(4) so that this notification requirement also applies if </w:t>
      </w:r>
      <w:r w:rsidR="0075421F">
        <w:t xml:space="preserve">access to the account has been denied because </w:t>
      </w:r>
      <w:r>
        <w:t xml:space="preserve">the Regulator is not satisfied that the nominee meets the fit and proper person criteria. Item [7] of the Regulation </w:t>
      </w:r>
      <w:r w:rsidR="00094186">
        <w:t>empowers the Regulator to deny a</w:t>
      </w:r>
      <w:r w:rsidR="00580229">
        <w:t>n authorised</w:t>
      </w:r>
      <w:r w:rsidR="00094186">
        <w:t xml:space="preserve"> representative continued access to the account if, at any point, the Regulator is no longer satisfied that the representative is fit and proper</w:t>
      </w:r>
      <w:r w:rsidR="001D7EA8">
        <w:t>, and requires the Regulator to notify the account holder that this access has been denied, and the reasons why</w:t>
      </w:r>
      <w:r w:rsidR="00094186">
        <w:t xml:space="preserve">. </w:t>
      </w:r>
    </w:p>
    <w:p w:rsidR="00094186" w:rsidRDefault="001D7EA8" w:rsidP="003B4A0B">
      <w:r>
        <w:t xml:space="preserve">The notification of these matters may involve the disclosure of personal information about the nominated authorised representative. </w:t>
      </w:r>
      <w:r w:rsidR="00124101">
        <w:t xml:space="preserve">While the disclosure of personal information limits the right to privacy, the Regulation is not considered to be incompatible with this right. The disclosure is not at large, but is restricted to the account holder. </w:t>
      </w:r>
      <w:r w:rsidR="001627C9">
        <w:t>The notification serves to promote transparency in the Regulator’s decision-making process, and gives the account holder an opportunity to either contest the decision or nominate another authorised representative</w:t>
      </w:r>
      <w:r w:rsidR="00F321C7">
        <w:t xml:space="preserve"> who can be given access to the account</w:t>
      </w:r>
      <w:r w:rsidR="001627C9">
        <w:t xml:space="preserve">. </w:t>
      </w:r>
      <w:r w:rsidR="003B4A0B">
        <w:t>In</w:t>
      </w:r>
      <w:r w:rsidR="001627C9">
        <w:t xml:space="preserve"> dealing with personal information</w:t>
      </w:r>
      <w:r w:rsidR="003B4A0B">
        <w:t xml:space="preserve"> about the nominated authorised representative</w:t>
      </w:r>
      <w:r w:rsidR="001627C9">
        <w:t xml:space="preserve">, the Regulator is </w:t>
      </w:r>
      <w:r w:rsidR="003B4A0B">
        <w:t xml:space="preserve">otherwise </w:t>
      </w:r>
      <w:r w:rsidR="001627C9">
        <w:t>subject to the secrecy provisions in Part</w:t>
      </w:r>
      <w:r w:rsidR="00124101">
        <w:t> </w:t>
      </w:r>
      <w:r w:rsidR="001627C9">
        <w:t xml:space="preserve">3 of the </w:t>
      </w:r>
      <w:r w:rsidR="001627C9">
        <w:rPr>
          <w:i/>
        </w:rPr>
        <w:t>Clean Energy Regulator Act 2011</w:t>
      </w:r>
      <w:r w:rsidR="001627C9">
        <w:t>.</w:t>
      </w:r>
    </w:p>
    <w:p w:rsidR="00216839" w:rsidRPr="00222093" w:rsidRDefault="00216839" w:rsidP="00216839">
      <w:pPr>
        <w:spacing w:before="120" w:after="120"/>
        <w:rPr>
          <w:b/>
        </w:rPr>
      </w:pPr>
      <w:r w:rsidRPr="00222093">
        <w:rPr>
          <w:b/>
        </w:rPr>
        <w:t>Conclusion</w:t>
      </w:r>
    </w:p>
    <w:p w:rsidR="00216839" w:rsidRPr="00222093" w:rsidRDefault="00216839" w:rsidP="00216839">
      <w:pPr>
        <w:spacing w:before="120" w:after="120"/>
      </w:pPr>
      <w:r w:rsidRPr="00222093">
        <w:t>Th</w:t>
      </w:r>
      <w:r w:rsidR="0085704E">
        <w:t xml:space="preserve">e Regulation </w:t>
      </w:r>
      <w:r w:rsidRPr="00222093">
        <w:t xml:space="preserve">is compatible with human rights </w:t>
      </w:r>
      <w:r w:rsidR="007B1EC1">
        <w:t>because, to the extent that it may limit those rights, that limitation is reasonable, necessary and proportionate.</w:t>
      </w:r>
    </w:p>
    <w:p w:rsidR="00216839" w:rsidRPr="00222093" w:rsidRDefault="00216839" w:rsidP="00216839">
      <w:pPr>
        <w:spacing w:before="120" w:after="120"/>
        <w:jc w:val="center"/>
      </w:pPr>
    </w:p>
    <w:p w:rsidR="00216839" w:rsidRPr="00222093" w:rsidRDefault="00216839" w:rsidP="00216839">
      <w:pPr>
        <w:spacing w:before="120" w:after="120"/>
        <w:jc w:val="center"/>
      </w:pPr>
    </w:p>
    <w:p w:rsidR="00216839" w:rsidRPr="00222093" w:rsidRDefault="00216839" w:rsidP="00216839">
      <w:pPr>
        <w:spacing w:before="120" w:after="120"/>
        <w:jc w:val="center"/>
        <w:rPr>
          <w:b/>
        </w:rPr>
      </w:pPr>
      <w:r w:rsidRPr="00222093">
        <w:rPr>
          <w:b/>
        </w:rPr>
        <w:t xml:space="preserve">Greg </w:t>
      </w:r>
      <w:proofErr w:type="spellStart"/>
      <w:r w:rsidRPr="00222093">
        <w:rPr>
          <w:b/>
        </w:rPr>
        <w:t>Combet</w:t>
      </w:r>
      <w:proofErr w:type="spellEnd"/>
    </w:p>
    <w:p w:rsidR="00216839" w:rsidRPr="00222093" w:rsidRDefault="00216839" w:rsidP="00216839">
      <w:pPr>
        <w:spacing w:before="120" w:after="120"/>
        <w:jc w:val="center"/>
      </w:pPr>
      <w:r w:rsidRPr="00222093">
        <w:rPr>
          <w:b/>
        </w:rPr>
        <w:t>Minister for Climate Change and Energy Efficiency</w:t>
      </w:r>
    </w:p>
    <w:p w:rsidR="00216839" w:rsidRPr="00222093" w:rsidRDefault="00216839" w:rsidP="00216839">
      <w:pPr>
        <w:pStyle w:val="Bullet"/>
        <w:numPr>
          <w:ilvl w:val="0"/>
          <w:numId w:val="0"/>
        </w:numPr>
      </w:pPr>
    </w:p>
    <w:p w:rsidR="009B01DE" w:rsidRDefault="009B01DE"/>
    <w:sectPr w:rsidR="009B01DE" w:rsidSect="009B01DE">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C7" w:rsidRDefault="00F321C7" w:rsidP="005A0B89">
      <w:pPr>
        <w:spacing w:before="0"/>
      </w:pPr>
      <w:r>
        <w:separator/>
      </w:r>
    </w:p>
  </w:endnote>
  <w:endnote w:type="continuationSeparator" w:id="0">
    <w:p w:rsidR="00F321C7" w:rsidRDefault="00F321C7" w:rsidP="005A0B8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C7" w:rsidRDefault="00F321C7" w:rsidP="005A0B89">
      <w:pPr>
        <w:spacing w:before="0"/>
      </w:pPr>
      <w:r>
        <w:separator/>
      </w:r>
    </w:p>
  </w:footnote>
  <w:footnote w:type="continuationSeparator" w:id="0">
    <w:p w:rsidR="00F321C7" w:rsidRDefault="00F321C7" w:rsidP="005A0B8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C7" w:rsidRDefault="00AC2EBB">
    <w:pPr>
      <w:pStyle w:val="Header"/>
      <w:jc w:val="center"/>
    </w:pPr>
    <w:r>
      <w:fldChar w:fldCharType="begin"/>
    </w:r>
    <w:r w:rsidR="00F321C7">
      <w:instrText xml:space="preserve"> PAGE   \* MERGEFORMAT </w:instrText>
    </w:r>
    <w:r>
      <w:fldChar w:fldCharType="separate"/>
    </w:r>
    <w:r w:rsidR="00A01739">
      <w:rPr>
        <w:noProof/>
      </w:rPr>
      <w:t>3</w:t>
    </w:r>
    <w:r>
      <w:rPr>
        <w:noProof/>
      </w:rPr>
      <w:fldChar w:fldCharType="end"/>
    </w:r>
  </w:p>
  <w:p w:rsidR="00F321C7" w:rsidRDefault="00F321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D416D"/>
    <w:multiLevelType w:val="multilevel"/>
    <w:tmpl w:val="469EAFC0"/>
    <w:styleLink w:val="DotPointList"/>
    <w:lvl w:ilvl="0">
      <w:start w:val="1"/>
      <w:numFmt w:val="bullet"/>
      <w:pStyle w:val="dotpoint"/>
      <w:lvlText w:val="•"/>
      <w:lvlJc w:val="left"/>
      <w:pPr>
        <w:tabs>
          <w:tab w:val="num" w:pos="1247"/>
        </w:tabs>
        <w:ind w:left="1247" w:hanging="283"/>
      </w:pPr>
      <w:rPr>
        <w:rFonts w:ascii="Times New Roman" w:hAnsi="Times New Roman" w:cs="Times New Roman" w:hint="default"/>
        <w:color w:val="000000"/>
      </w:rPr>
    </w:lvl>
    <w:lvl w:ilvl="1">
      <w:start w:val="1"/>
      <w:numFmt w:val="bullet"/>
      <w:pStyle w:val="dotpoint2"/>
      <w:lvlText w:val="–"/>
      <w:lvlJc w:val="left"/>
      <w:pPr>
        <w:tabs>
          <w:tab w:val="num" w:pos="1531"/>
        </w:tabs>
        <w:ind w:left="1531" w:hanging="284"/>
      </w:pPr>
      <w:rPr>
        <w:rFonts w:ascii="Times New Roman" w:hAnsi="Times New Roman" w:cs="Times New Roman" w:hint="default"/>
        <w:color w:val="000000"/>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1">
    <w:nsid w:val="47B653BA"/>
    <w:multiLevelType w:val="multilevel"/>
    <w:tmpl w:val="3E3E39F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708"/>
        </w:tabs>
        <w:ind w:left="708" w:hanging="567"/>
      </w:pPr>
      <w:rPr>
        <w:rFonts w:ascii="Times New Roman" w:hAnsi="Times New Roman" w:cs="Times New Roman"/>
      </w:rPr>
    </w:lvl>
    <w:lvl w:ilvl="2">
      <w:start w:val="1"/>
      <w:numFmt w:val="bullet"/>
      <w:pStyle w:val="DoubleDot"/>
      <w:lvlText w:val=":"/>
      <w:lvlJc w:val="left"/>
      <w:pPr>
        <w:tabs>
          <w:tab w:val="num" w:pos="1275"/>
        </w:tabs>
        <w:ind w:left="1275" w:hanging="567"/>
      </w:pPr>
      <w:rPr>
        <w:rFonts w:ascii="Times New Roman" w:hAnsi="Times New Roman" w:cs="Times New Roman"/>
      </w:rPr>
    </w:lvl>
    <w:lvl w:ilvl="3">
      <w:start w:val="1"/>
      <w:numFmt w:val="decimal"/>
      <w:lvlText w:val="(%4)"/>
      <w:lvlJc w:val="left"/>
      <w:pPr>
        <w:ind w:left="1014" w:hanging="360"/>
      </w:pPr>
    </w:lvl>
    <w:lvl w:ilvl="4">
      <w:start w:val="1"/>
      <w:numFmt w:val="lowerLetter"/>
      <w:lvlText w:val="%5)"/>
      <w:lvlJc w:val="left"/>
      <w:pPr>
        <w:ind w:left="1374" w:hanging="360"/>
      </w:pPr>
    </w:lvl>
    <w:lvl w:ilvl="5">
      <w:start w:val="1"/>
      <w:numFmt w:val="lowerRoman"/>
      <w:lvlText w:val="(%6)"/>
      <w:lvlJc w:val="left"/>
      <w:pPr>
        <w:ind w:left="1734" w:hanging="360"/>
      </w:pPr>
    </w:lvl>
    <w:lvl w:ilvl="6">
      <w:start w:val="1"/>
      <w:numFmt w:val="decimal"/>
      <w:lvlText w:val="%7."/>
      <w:lvlJc w:val="left"/>
      <w:pPr>
        <w:ind w:left="2094" w:hanging="360"/>
      </w:pPr>
    </w:lvl>
    <w:lvl w:ilvl="7">
      <w:start w:val="1"/>
      <w:numFmt w:val="lowerLetter"/>
      <w:lvlText w:val="%8."/>
      <w:lvlJc w:val="left"/>
      <w:pPr>
        <w:ind w:left="2454" w:hanging="360"/>
      </w:pPr>
    </w:lvl>
    <w:lvl w:ilvl="8">
      <w:start w:val="1"/>
      <w:numFmt w:val="lowerRoman"/>
      <w:lvlText w:val="%9."/>
      <w:lvlJc w:val="left"/>
      <w:pPr>
        <w:ind w:left="2814" w:hanging="360"/>
      </w:pPr>
    </w:lvl>
  </w:abstractNum>
  <w:abstractNum w:abstractNumId="2">
    <w:nsid w:val="73FD0BE5"/>
    <w:multiLevelType w:val="hybridMultilevel"/>
    <w:tmpl w:val="F2D0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9CE375B"/>
    <w:multiLevelType w:val="hybridMultilevel"/>
    <w:tmpl w:val="BBDED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footnotePr>
    <w:footnote w:id="-1"/>
    <w:footnote w:id="0"/>
  </w:footnotePr>
  <w:endnotePr>
    <w:endnote w:id="-1"/>
    <w:endnote w:id="0"/>
  </w:endnotePr>
  <w:compat/>
  <w:rsids>
    <w:rsidRoot w:val="00280563"/>
    <w:rsid w:val="000606BB"/>
    <w:rsid w:val="00085196"/>
    <w:rsid w:val="0008607A"/>
    <w:rsid w:val="00094186"/>
    <w:rsid w:val="000E3CA5"/>
    <w:rsid w:val="00124101"/>
    <w:rsid w:val="00156EFE"/>
    <w:rsid w:val="0016246B"/>
    <w:rsid w:val="001627C9"/>
    <w:rsid w:val="001B0A72"/>
    <w:rsid w:val="001D7EA8"/>
    <w:rsid w:val="00213AC2"/>
    <w:rsid w:val="00216839"/>
    <w:rsid w:val="00220E14"/>
    <w:rsid w:val="00243ECE"/>
    <w:rsid w:val="00246CE8"/>
    <w:rsid w:val="00277BC9"/>
    <w:rsid w:val="00280563"/>
    <w:rsid w:val="002D5E57"/>
    <w:rsid w:val="003B4A0B"/>
    <w:rsid w:val="003C4F39"/>
    <w:rsid w:val="004427B7"/>
    <w:rsid w:val="00444575"/>
    <w:rsid w:val="004B3F1A"/>
    <w:rsid w:val="004E3F29"/>
    <w:rsid w:val="00524E12"/>
    <w:rsid w:val="0057355C"/>
    <w:rsid w:val="00573EC9"/>
    <w:rsid w:val="00580229"/>
    <w:rsid w:val="005A0B89"/>
    <w:rsid w:val="005A6C0A"/>
    <w:rsid w:val="005B261B"/>
    <w:rsid w:val="005B5CFA"/>
    <w:rsid w:val="005E504E"/>
    <w:rsid w:val="0067694A"/>
    <w:rsid w:val="00684AFA"/>
    <w:rsid w:val="006C57C6"/>
    <w:rsid w:val="006D4602"/>
    <w:rsid w:val="006E023F"/>
    <w:rsid w:val="00736522"/>
    <w:rsid w:val="00736906"/>
    <w:rsid w:val="0075421F"/>
    <w:rsid w:val="007A262F"/>
    <w:rsid w:val="007B1EC1"/>
    <w:rsid w:val="007F1F5A"/>
    <w:rsid w:val="00807D42"/>
    <w:rsid w:val="0085704E"/>
    <w:rsid w:val="00882C7C"/>
    <w:rsid w:val="00883199"/>
    <w:rsid w:val="00883581"/>
    <w:rsid w:val="00893E5B"/>
    <w:rsid w:val="008F0390"/>
    <w:rsid w:val="009B01DE"/>
    <w:rsid w:val="00A01739"/>
    <w:rsid w:val="00A25048"/>
    <w:rsid w:val="00A3449D"/>
    <w:rsid w:val="00A53429"/>
    <w:rsid w:val="00A94067"/>
    <w:rsid w:val="00AA136A"/>
    <w:rsid w:val="00AB0569"/>
    <w:rsid w:val="00AB2F0D"/>
    <w:rsid w:val="00AC2EBB"/>
    <w:rsid w:val="00B16C5D"/>
    <w:rsid w:val="00B61357"/>
    <w:rsid w:val="00B708A0"/>
    <w:rsid w:val="00BA0FFD"/>
    <w:rsid w:val="00C00C77"/>
    <w:rsid w:val="00C402E3"/>
    <w:rsid w:val="00CB6F48"/>
    <w:rsid w:val="00CC659F"/>
    <w:rsid w:val="00D10967"/>
    <w:rsid w:val="00D63A24"/>
    <w:rsid w:val="00D80E47"/>
    <w:rsid w:val="00DC0751"/>
    <w:rsid w:val="00E30C45"/>
    <w:rsid w:val="00E362E6"/>
    <w:rsid w:val="00E451AD"/>
    <w:rsid w:val="00E60CEA"/>
    <w:rsid w:val="00E963BA"/>
    <w:rsid w:val="00EE20D4"/>
    <w:rsid w:val="00F12BD5"/>
    <w:rsid w:val="00F321C7"/>
    <w:rsid w:val="00FE296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63"/>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280563"/>
    <w:pPr>
      <w:keepNext/>
      <w:spacing w:after="60"/>
      <w:outlineLvl w:val="1"/>
    </w:pPr>
    <w:rPr>
      <w:rFonts w:asciiTheme="majorHAnsi" w:eastAsiaTheme="majorEastAsia" w:hAnsiTheme="majorHAnsi" w:cstheme="majorBidi"/>
      <w:b/>
      <w:bCs/>
      <w:i/>
      <w:iCs/>
      <w:sz w:val="28"/>
      <w:szCs w:val="28"/>
    </w:rPr>
  </w:style>
  <w:style w:type="paragraph" w:styleId="Heading6">
    <w:name w:val="heading 6"/>
    <w:basedOn w:val="Normal"/>
    <w:next w:val="Normal"/>
    <w:link w:val="Heading6Char"/>
    <w:uiPriority w:val="9"/>
    <w:semiHidden/>
    <w:unhideWhenUsed/>
    <w:qFormat/>
    <w:rsid w:val="00280563"/>
    <w:pPr>
      <w:spacing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link w:val="Style3Char"/>
    <w:qFormat/>
    <w:rsid w:val="00280563"/>
    <w:pPr>
      <w:widowControl w:val="0"/>
      <w:autoSpaceDE w:val="0"/>
      <w:autoSpaceDN w:val="0"/>
      <w:adjustRightInd w:val="0"/>
      <w:spacing w:before="0" w:after="240"/>
      <w:ind w:right="91"/>
      <w:jc w:val="center"/>
    </w:pPr>
    <w:rPr>
      <w:b/>
      <w:bCs/>
      <w:sz w:val="28"/>
      <w:szCs w:val="24"/>
      <w:u w:val="single"/>
    </w:rPr>
  </w:style>
  <w:style w:type="character" w:customStyle="1" w:styleId="Style3Char">
    <w:name w:val="Style3 Char"/>
    <w:basedOn w:val="DefaultParagraphFont"/>
    <w:link w:val="Style3"/>
    <w:rsid w:val="00280563"/>
    <w:rPr>
      <w:rFonts w:ascii="Times New Roman" w:eastAsia="Times New Roman" w:hAnsi="Times New Roman" w:cs="Times New Roman"/>
      <w:b/>
      <w:bCs/>
      <w:sz w:val="28"/>
      <w:szCs w:val="24"/>
      <w:u w:val="single"/>
      <w:lang w:eastAsia="en-AU"/>
    </w:rPr>
  </w:style>
  <w:style w:type="paragraph" w:customStyle="1" w:styleId="StyleHeading2TimesNewRoman">
    <w:name w:val="Style Heading 2 + Times New Roman"/>
    <w:basedOn w:val="Heading2"/>
    <w:rsid w:val="00280563"/>
    <w:rPr>
      <w:rFonts w:ascii="Times New Roman" w:eastAsia="Times New Roman" w:hAnsi="Times New Roman" w:cs="Arial"/>
      <w:i w:val="0"/>
      <w:sz w:val="24"/>
    </w:rPr>
  </w:style>
  <w:style w:type="character" w:customStyle="1" w:styleId="msochangeprop0">
    <w:name w:val="msochangeprop"/>
    <w:basedOn w:val="DefaultParagraphFont"/>
    <w:rsid w:val="00280563"/>
  </w:style>
  <w:style w:type="paragraph" w:customStyle="1" w:styleId="dotpoint">
    <w:name w:val="dot point"/>
    <w:basedOn w:val="Normal"/>
    <w:link w:val="dotpointChar"/>
    <w:autoRedefine/>
    <w:rsid w:val="00280563"/>
    <w:pPr>
      <w:numPr>
        <w:numId w:val="1"/>
      </w:numPr>
      <w:spacing w:before="120" w:after="120"/>
    </w:pPr>
    <w:rPr>
      <w:sz w:val="22"/>
    </w:rPr>
  </w:style>
  <w:style w:type="paragraph" w:customStyle="1" w:styleId="dotpoint2">
    <w:name w:val="dot point 2"/>
    <w:basedOn w:val="Normal"/>
    <w:rsid w:val="00280563"/>
    <w:pPr>
      <w:numPr>
        <w:ilvl w:val="1"/>
        <w:numId w:val="1"/>
      </w:numPr>
      <w:spacing w:before="120" w:after="120"/>
    </w:pPr>
    <w:rPr>
      <w:sz w:val="22"/>
    </w:rPr>
  </w:style>
  <w:style w:type="numbering" w:customStyle="1" w:styleId="DotPointList">
    <w:name w:val="Dot Point List"/>
    <w:uiPriority w:val="99"/>
    <w:rsid w:val="00280563"/>
    <w:pPr>
      <w:numPr>
        <w:numId w:val="1"/>
      </w:numPr>
    </w:pPr>
  </w:style>
  <w:style w:type="character" w:customStyle="1" w:styleId="dotpointChar">
    <w:name w:val="dot point Char"/>
    <w:basedOn w:val="DefaultParagraphFont"/>
    <w:link w:val="dotpoint"/>
    <w:rsid w:val="00280563"/>
    <w:rPr>
      <w:rFonts w:ascii="Times New Roman" w:eastAsia="Times New Roman" w:hAnsi="Times New Roman" w:cs="Times New Roman"/>
      <w:szCs w:val="20"/>
      <w:lang w:eastAsia="en-AU"/>
    </w:rPr>
  </w:style>
  <w:style w:type="paragraph" w:customStyle="1" w:styleId="Bullet">
    <w:name w:val="Bullet"/>
    <w:aliases w:val="b"/>
    <w:basedOn w:val="Normal"/>
    <w:link w:val="BulletChar"/>
    <w:qFormat/>
    <w:rsid w:val="00280563"/>
    <w:pPr>
      <w:widowControl w:val="0"/>
      <w:numPr>
        <w:numId w:val="2"/>
      </w:numPr>
      <w:autoSpaceDE w:val="0"/>
      <w:autoSpaceDN w:val="0"/>
      <w:adjustRightInd w:val="0"/>
      <w:spacing w:after="240"/>
      <w:ind w:right="91"/>
    </w:pPr>
    <w:rPr>
      <w:szCs w:val="24"/>
    </w:rPr>
  </w:style>
  <w:style w:type="character" w:customStyle="1" w:styleId="BulletChar">
    <w:name w:val="Bullet Char"/>
    <w:aliases w:val="b Char"/>
    <w:basedOn w:val="DefaultParagraphFont"/>
    <w:link w:val="Bullet"/>
    <w:rsid w:val="00280563"/>
    <w:rPr>
      <w:rFonts w:ascii="Times New Roman" w:eastAsia="Times New Roman" w:hAnsi="Times New Roman" w:cs="Times New Roman"/>
      <w:sz w:val="24"/>
      <w:szCs w:val="24"/>
      <w:lang w:eastAsia="en-AU"/>
    </w:rPr>
  </w:style>
  <w:style w:type="paragraph" w:customStyle="1" w:styleId="Dash">
    <w:name w:val="Dash"/>
    <w:basedOn w:val="Normal"/>
    <w:qFormat/>
    <w:rsid w:val="00280563"/>
    <w:pPr>
      <w:widowControl w:val="0"/>
      <w:numPr>
        <w:ilvl w:val="1"/>
        <w:numId w:val="2"/>
      </w:numPr>
      <w:autoSpaceDE w:val="0"/>
      <w:autoSpaceDN w:val="0"/>
      <w:adjustRightInd w:val="0"/>
      <w:spacing w:after="240"/>
      <w:ind w:right="91"/>
    </w:pPr>
    <w:rPr>
      <w:szCs w:val="24"/>
    </w:rPr>
  </w:style>
  <w:style w:type="paragraph" w:customStyle="1" w:styleId="DoubleDot">
    <w:name w:val="Double Dot"/>
    <w:basedOn w:val="Normal"/>
    <w:rsid w:val="00280563"/>
    <w:pPr>
      <w:widowControl w:val="0"/>
      <w:numPr>
        <w:ilvl w:val="2"/>
        <w:numId w:val="2"/>
      </w:numPr>
      <w:autoSpaceDE w:val="0"/>
      <w:autoSpaceDN w:val="0"/>
      <w:adjustRightInd w:val="0"/>
      <w:spacing w:after="240"/>
      <w:ind w:right="91"/>
    </w:pPr>
    <w:rPr>
      <w:szCs w:val="24"/>
    </w:rPr>
  </w:style>
  <w:style w:type="paragraph" w:styleId="Header">
    <w:name w:val="header"/>
    <w:basedOn w:val="Normal"/>
    <w:link w:val="HeaderChar"/>
    <w:uiPriority w:val="99"/>
    <w:unhideWhenUsed/>
    <w:rsid w:val="00280563"/>
    <w:pPr>
      <w:tabs>
        <w:tab w:val="center" w:pos="4513"/>
        <w:tab w:val="right" w:pos="9026"/>
      </w:tabs>
    </w:pPr>
  </w:style>
  <w:style w:type="character" w:customStyle="1" w:styleId="HeaderChar">
    <w:name w:val="Header Char"/>
    <w:basedOn w:val="DefaultParagraphFont"/>
    <w:link w:val="Header"/>
    <w:uiPriority w:val="99"/>
    <w:rsid w:val="00280563"/>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280563"/>
    <w:pPr>
      <w:ind w:left="720"/>
    </w:pPr>
  </w:style>
  <w:style w:type="character" w:customStyle="1" w:styleId="Heading2Char">
    <w:name w:val="Heading 2 Char"/>
    <w:basedOn w:val="DefaultParagraphFont"/>
    <w:link w:val="Heading2"/>
    <w:uiPriority w:val="9"/>
    <w:semiHidden/>
    <w:rsid w:val="00280563"/>
    <w:rPr>
      <w:rFonts w:asciiTheme="majorHAnsi" w:eastAsiaTheme="majorEastAsia" w:hAnsiTheme="majorHAnsi" w:cstheme="majorBidi"/>
      <w:b/>
      <w:bCs/>
      <w:i/>
      <w:iCs/>
      <w:sz w:val="28"/>
      <w:szCs w:val="28"/>
      <w:lang w:eastAsia="en-AU"/>
    </w:rPr>
  </w:style>
  <w:style w:type="character" w:customStyle="1" w:styleId="Heading6Char">
    <w:name w:val="Heading 6 Char"/>
    <w:basedOn w:val="DefaultParagraphFont"/>
    <w:link w:val="Heading6"/>
    <w:uiPriority w:val="9"/>
    <w:semiHidden/>
    <w:rsid w:val="00280563"/>
    <w:rPr>
      <w:rFonts w:eastAsiaTheme="minorEastAsia"/>
      <w:b/>
      <w:bCs/>
      <w:lang w:eastAsia="en-AU"/>
    </w:rPr>
  </w:style>
  <w:style w:type="paragraph" w:customStyle="1" w:styleId="Quotation3">
    <w:name w:val="Quotation 3"/>
    <w:basedOn w:val="Normal"/>
    <w:uiPriority w:val="99"/>
    <w:semiHidden/>
    <w:rsid w:val="00216839"/>
    <w:pPr>
      <w:spacing w:before="0" w:after="140" w:line="260" w:lineRule="atLeast"/>
      <w:ind w:left="1440" w:hanging="360"/>
    </w:pPr>
    <w:rPr>
      <w:rFonts w:ascii="Arial" w:hAnsi="Arial" w:cs="Arial"/>
      <w:sz w:val="20"/>
    </w:rPr>
  </w:style>
  <w:style w:type="character" w:styleId="CommentReference">
    <w:name w:val="annotation reference"/>
    <w:basedOn w:val="DefaultParagraphFont"/>
    <w:uiPriority w:val="99"/>
    <w:semiHidden/>
    <w:unhideWhenUsed/>
    <w:rsid w:val="00684AFA"/>
    <w:rPr>
      <w:sz w:val="16"/>
      <w:szCs w:val="16"/>
    </w:rPr>
  </w:style>
  <w:style w:type="paragraph" w:styleId="CommentText">
    <w:name w:val="annotation text"/>
    <w:basedOn w:val="Normal"/>
    <w:link w:val="CommentTextChar"/>
    <w:uiPriority w:val="99"/>
    <w:semiHidden/>
    <w:unhideWhenUsed/>
    <w:rsid w:val="00684AFA"/>
    <w:rPr>
      <w:sz w:val="20"/>
    </w:rPr>
  </w:style>
  <w:style w:type="character" w:customStyle="1" w:styleId="CommentTextChar">
    <w:name w:val="Comment Text Char"/>
    <w:basedOn w:val="DefaultParagraphFont"/>
    <w:link w:val="CommentText"/>
    <w:uiPriority w:val="99"/>
    <w:semiHidden/>
    <w:rsid w:val="00684AF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AFA"/>
    <w:rPr>
      <w:b/>
      <w:bCs/>
    </w:rPr>
  </w:style>
  <w:style w:type="character" w:customStyle="1" w:styleId="CommentSubjectChar">
    <w:name w:val="Comment Subject Char"/>
    <w:basedOn w:val="CommentTextChar"/>
    <w:link w:val="CommentSubject"/>
    <w:uiPriority w:val="99"/>
    <w:semiHidden/>
    <w:rsid w:val="00684AF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84AF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AF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DotPointList"/>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hilhma</cp:lastModifiedBy>
  <cp:revision>2</cp:revision>
  <cp:lastPrinted>2012-11-23T03:34:00Z</cp:lastPrinted>
  <dcterms:created xsi:type="dcterms:W3CDTF">2012-12-10T03:27:00Z</dcterms:created>
  <dcterms:modified xsi:type="dcterms:W3CDTF">2012-12-10T03:27:00Z</dcterms:modified>
</cp:coreProperties>
</file>