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8C" w:rsidRDefault="0049358C" w:rsidP="0049358C">
      <w:pPr>
        <w:spacing w:before="0"/>
        <w:ind w:right="91"/>
        <w:jc w:val="center"/>
      </w:pPr>
      <w:bookmarkStart w:id="0" w:name="_GoBack"/>
      <w:bookmarkEnd w:id="0"/>
      <w:r>
        <w:rPr>
          <w:b/>
          <w:u w:val="single"/>
        </w:rPr>
        <w:t>EXPLANATORY STATEMENT</w:t>
      </w:r>
    </w:p>
    <w:p w:rsidR="0049358C" w:rsidRDefault="0049358C" w:rsidP="0049358C">
      <w:pPr>
        <w:spacing w:before="0"/>
        <w:ind w:right="91"/>
        <w:jc w:val="center"/>
      </w:pPr>
    </w:p>
    <w:p w:rsidR="006D360E" w:rsidRDefault="006D360E" w:rsidP="000413D1">
      <w:pPr>
        <w:spacing w:before="0"/>
        <w:ind w:right="91"/>
        <w:jc w:val="center"/>
        <w:rPr>
          <w:b/>
          <w:u w:val="single"/>
        </w:rPr>
      </w:pPr>
      <w:r w:rsidRPr="006D360E">
        <w:rPr>
          <w:b/>
          <w:u w:val="single"/>
        </w:rPr>
        <w:t>Select L</w:t>
      </w:r>
      <w:r>
        <w:rPr>
          <w:b/>
          <w:u w:val="single"/>
        </w:rPr>
        <w:t>egislative Instrument 2012 No.</w:t>
      </w:r>
      <w:r w:rsidR="00C0024F">
        <w:rPr>
          <w:b/>
          <w:u w:val="single"/>
        </w:rPr>
        <w:t xml:space="preserve"> 300</w:t>
      </w:r>
    </w:p>
    <w:p w:rsidR="006D360E" w:rsidRDefault="006D360E" w:rsidP="000413D1">
      <w:pPr>
        <w:spacing w:before="0"/>
        <w:ind w:right="91"/>
        <w:jc w:val="center"/>
        <w:rPr>
          <w:b/>
          <w:u w:val="single"/>
        </w:rPr>
      </w:pPr>
    </w:p>
    <w:p w:rsidR="006D360E" w:rsidRPr="006D360E" w:rsidRDefault="006D360E" w:rsidP="000413D1">
      <w:pPr>
        <w:spacing w:before="0"/>
        <w:ind w:right="91"/>
        <w:jc w:val="center"/>
      </w:pPr>
      <w:r>
        <w:t>Issued by the authority of the Minister for Housing</w:t>
      </w:r>
    </w:p>
    <w:p w:rsidR="006D360E" w:rsidRDefault="006D360E" w:rsidP="000413D1">
      <w:pPr>
        <w:spacing w:before="0"/>
        <w:ind w:right="91"/>
        <w:jc w:val="center"/>
        <w:rPr>
          <w:i/>
        </w:rPr>
      </w:pPr>
    </w:p>
    <w:p w:rsidR="009B6193" w:rsidRDefault="006D360E" w:rsidP="000413D1">
      <w:pPr>
        <w:spacing w:before="0"/>
        <w:ind w:right="91"/>
        <w:jc w:val="center"/>
        <w:rPr>
          <w:i/>
        </w:rPr>
      </w:pPr>
      <w:r>
        <w:rPr>
          <w:i/>
        </w:rPr>
        <w:t>National Rental Affordability Scheme Act 2008</w:t>
      </w:r>
    </w:p>
    <w:p w:rsidR="006D360E" w:rsidRDefault="006D360E" w:rsidP="000413D1">
      <w:pPr>
        <w:spacing w:before="0"/>
        <w:ind w:right="91"/>
        <w:jc w:val="center"/>
        <w:rPr>
          <w:i/>
        </w:rPr>
      </w:pPr>
    </w:p>
    <w:p w:rsidR="006D360E" w:rsidRPr="00A370B0" w:rsidRDefault="006D360E" w:rsidP="000413D1">
      <w:pPr>
        <w:spacing w:before="0"/>
        <w:ind w:right="91"/>
        <w:jc w:val="center"/>
      </w:pPr>
      <w:r>
        <w:rPr>
          <w:i/>
        </w:rPr>
        <w:t>National Rental Affordabil</w:t>
      </w:r>
      <w:r w:rsidR="0034285F">
        <w:rPr>
          <w:i/>
        </w:rPr>
        <w:t>ity Scheme Amendment Regulation</w:t>
      </w:r>
      <w:r>
        <w:rPr>
          <w:i/>
        </w:rPr>
        <w:t xml:space="preserve"> 2012 (No. </w:t>
      </w:r>
      <w:r w:rsidR="00C0024F">
        <w:rPr>
          <w:i/>
        </w:rPr>
        <w:t>1</w:t>
      </w:r>
      <w:r>
        <w:rPr>
          <w:i/>
        </w:rPr>
        <w:t>)</w:t>
      </w:r>
    </w:p>
    <w:p w:rsidR="009B6193" w:rsidRDefault="009B6193" w:rsidP="009B6193">
      <w:pPr>
        <w:spacing w:before="0"/>
        <w:ind w:right="91"/>
      </w:pPr>
    </w:p>
    <w:p w:rsidR="00E42AC0" w:rsidRDefault="00E42AC0" w:rsidP="009B6193">
      <w:pPr>
        <w:spacing w:before="0"/>
        <w:ind w:right="91"/>
        <w:rPr>
          <w:u w:val="single"/>
        </w:rPr>
      </w:pPr>
      <w:r>
        <w:rPr>
          <w:u w:val="single"/>
        </w:rPr>
        <w:t>General outline</w:t>
      </w:r>
    </w:p>
    <w:p w:rsidR="00E42AC0" w:rsidRDefault="00E42AC0" w:rsidP="009B6193">
      <w:pPr>
        <w:spacing w:before="0"/>
        <w:ind w:right="91"/>
        <w:rPr>
          <w:u w:val="single"/>
        </w:rPr>
      </w:pPr>
    </w:p>
    <w:p w:rsidR="00E42AC0" w:rsidRDefault="00E42AC0" w:rsidP="00E42AC0">
      <w:pPr>
        <w:spacing w:before="0"/>
        <w:ind w:right="91"/>
        <w:rPr>
          <w:szCs w:val="24"/>
        </w:rPr>
      </w:pPr>
      <w:r>
        <w:rPr>
          <w:szCs w:val="24"/>
        </w:rPr>
        <w:t xml:space="preserve">The purpose of these amendments is to address an error that was made in the publication of income limits for </w:t>
      </w:r>
      <w:r w:rsidR="00FC15F5">
        <w:rPr>
          <w:szCs w:val="24"/>
        </w:rPr>
        <w:t xml:space="preserve">households of </w:t>
      </w:r>
      <w:r>
        <w:rPr>
          <w:szCs w:val="24"/>
        </w:rPr>
        <w:t xml:space="preserve">eligible tenants under the </w:t>
      </w:r>
      <w:r w:rsidR="00C2236D">
        <w:rPr>
          <w:szCs w:val="24"/>
        </w:rPr>
        <w:t>National Rental Affordability Scheme (the Scheme)</w:t>
      </w:r>
      <w:r>
        <w:rPr>
          <w:szCs w:val="24"/>
        </w:rPr>
        <w:t>. The Regulation amends the circumstances under which an approved participant is eligible to receive an incentive, in order to ensure that approved participants are not rendered ineligible to receive incentives as a result of their reliance upon the error in determining who is an eligible tenant.</w:t>
      </w:r>
    </w:p>
    <w:p w:rsidR="00E42AC0" w:rsidRDefault="00E42AC0" w:rsidP="009B6193">
      <w:pPr>
        <w:spacing w:before="0"/>
        <w:ind w:right="91"/>
        <w:rPr>
          <w:u w:val="single"/>
        </w:rPr>
      </w:pPr>
    </w:p>
    <w:p w:rsidR="00E42AC0" w:rsidRPr="00EB5D51" w:rsidRDefault="00E42AC0" w:rsidP="009B6193">
      <w:pPr>
        <w:spacing w:before="0"/>
        <w:ind w:right="91"/>
        <w:rPr>
          <w:u w:val="single"/>
        </w:rPr>
      </w:pPr>
      <w:r>
        <w:rPr>
          <w:u w:val="single"/>
        </w:rPr>
        <w:t>Background</w:t>
      </w:r>
    </w:p>
    <w:p w:rsidR="00E42AC0" w:rsidRDefault="00E42AC0" w:rsidP="009B6193">
      <w:pPr>
        <w:spacing w:before="0"/>
        <w:ind w:right="91"/>
      </w:pPr>
    </w:p>
    <w:p w:rsidR="006D360E" w:rsidRPr="00B13E55" w:rsidRDefault="006D360E" w:rsidP="006D360E">
      <w:pPr>
        <w:spacing w:before="0"/>
        <w:rPr>
          <w:szCs w:val="24"/>
        </w:rPr>
      </w:pPr>
      <w:r w:rsidRPr="00B13E55">
        <w:rPr>
          <w:szCs w:val="24"/>
        </w:rPr>
        <w:t xml:space="preserve">Section 12 of the </w:t>
      </w:r>
      <w:r w:rsidRPr="00B13E55">
        <w:rPr>
          <w:i/>
          <w:iCs/>
          <w:szCs w:val="24"/>
        </w:rPr>
        <w:t>National Rental Affordability Scheme Act 2008</w:t>
      </w:r>
      <w:r w:rsidRPr="00B13E55">
        <w:rPr>
          <w:szCs w:val="24"/>
        </w:rPr>
        <w:t xml:space="preserve"> (the Act) provides that the Governor</w:t>
      </w:r>
      <w:r w:rsidR="00E42AC0">
        <w:rPr>
          <w:szCs w:val="24"/>
        </w:rPr>
        <w:t>-</w:t>
      </w:r>
      <w:r w:rsidRPr="00B13E55">
        <w:rPr>
          <w:szCs w:val="24"/>
        </w:rPr>
        <w:t>General may make regulations prescribing matters required or permitted by the Act to be prescribed, or necessary or convenient to be prescribed for carrying out or giving effect to the Act.</w:t>
      </w:r>
      <w:r w:rsidR="00E42AC0">
        <w:rPr>
          <w:szCs w:val="24"/>
        </w:rPr>
        <w:t xml:space="preserve"> Section 5 of the Act provides that “the regulations must prescribe a Scheme (the </w:t>
      </w:r>
      <w:r w:rsidR="00E42AC0">
        <w:rPr>
          <w:b/>
          <w:i/>
          <w:szCs w:val="24"/>
        </w:rPr>
        <w:t>National Rental Affordability Scheme</w:t>
      </w:r>
      <w:r w:rsidR="00E42AC0">
        <w:rPr>
          <w:szCs w:val="24"/>
        </w:rPr>
        <w:t>)”</w:t>
      </w:r>
      <w:r w:rsidR="00682337">
        <w:rPr>
          <w:szCs w:val="24"/>
        </w:rPr>
        <w:t xml:space="preserve"> to cover certain matters listed in that provision</w:t>
      </w:r>
      <w:r w:rsidR="00E42AC0">
        <w:rPr>
          <w:szCs w:val="24"/>
        </w:rPr>
        <w:t>.</w:t>
      </w:r>
    </w:p>
    <w:p w:rsidR="00E42AC0" w:rsidRDefault="00E42AC0" w:rsidP="006D360E">
      <w:pPr>
        <w:rPr>
          <w:szCs w:val="24"/>
        </w:rPr>
      </w:pPr>
      <w:r>
        <w:rPr>
          <w:szCs w:val="24"/>
        </w:rPr>
        <w:t xml:space="preserve">For this purpose, the </w:t>
      </w:r>
      <w:r>
        <w:rPr>
          <w:i/>
          <w:szCs w:val="24"/>
        </w:rPr>
        <w:t xml:space="preserve">National Rental Affordability Scheme Regulations 2008 </w:t>
      </w:r>
      <w:r>
        <w:rPr>
          <w:szCs w:val="24"/>
        </w:rPr>
        <w:t>(the Principal Regulations)</w:t>
      </w:r>
      <w:r w:rsidRPr="00B13E55">
        <w:rPr>
          <w:szCs w:val="24"/>
        </w:rPr>
        <w:t>,</w:t>
      </w:r>
      <w:r>
        <w:rPr>
          <w:szCs w:val="24"/>
        </w:rPr>
        <w:t xml:space="preserve"> establishes the </w:t>
      </w:r>
      <w:r w:rsidR="00C2236D">
        <w:rPr>
          <w:szCs w:val="24"/>
        </w:rPr>
        <w:t>Scheme</w:t>
      </w:r>
      <w:r>
        <w:rPr>
          <w:szCs w:val="24"/>
        </w:rPr>
        <w:t xml:space="preserve">, </w:t>
      </w:r>
      <w:r w:rsidRPr="00B13E55">
        <w:rPr>
          <w:szCs w:val="24"/>
        </w:rPr>
        <w:t>providing conditions for applications, assessment, allocation and eligibility for</w:t>
      </w:r>
      <w:r>
        <w:rPr>
          <w:szCs w:val="24"/>
        </w:rPr>
        <w:t xml:space="preserve"> payment of</w:t>
      </w:r>
      <w:r w:rsidRPr="00B13E55">
        <w:rPr>
          <w:szCs w:val="24"/>
        </w:rPr>
        <w:t xml:space="preserve"> incentive</w:t>
      </w:r>
      <w:r>
        <w:rPr>
          <w:szCs w:val="24"/>
        </w:rPr>
        <w:t>s</w:t>
      </w:r>
      <w:r w:rsidRPr="00B13E55">
        <w:rPr>
          <w:szCs w:val="24"/>
        </w:rPr>
        <w:t xml:space="preserve">. </w:t>
      </w:r>
    </w:p>
    <w:p w:rsidR="006D360E" w:rsidRPr="00B13E55" w:rsidRDefault="006D360E" w:rsidP="006D360E">
      <w:pPr>
        <w:rPr>
          <w:szCs w:val="24"/>
        </w:rPr>
      </w:pPr>
      <w:r w:rsidRPr="00B13E55">
        <w:rPr>
          <w:szCs w:val="24"/>
        </w:rPr>
        <w:t>The Scheme is intended to encourage the development of affordable rental housing by offering conditional incentives to individuals and entities providing new rental housing to low and moderate income household</w:t>
      </w:r>
      <w:r w:rsidR="008F0394">
        <w:rPr>
          <w:szCs w:val="24"/>
        </w:rPr>
        <w:t>s.</w:t>
      </w:r>
    </w:p>
    <w:p w:rsidR="00E42AC0" w:rsidRDefault="00E42AC0" w:rsidP="00E42AC0">
      <w:pPr>
        <w:spacing w:before="0"/>
        <w:ind w:right="91"/>
        <w:rPr>
          <w:szCs w:val="24"/>
        </w:rPr>
      </w:pPr>
    </w:p>
    <w:p w:rsidR="00E42AC0" w:rsidRDefault="00E42AC0" w:rsidP="00E42AC0">
      <w:pPr>
        <w:spacing w:before="0"/>
        <w:ind w:right="91"/>
        <w:rPr>
          <w:szCs w:val="24"/>
        </w:rPr>
      </w:pPr>
      <w:r>
        <w:rPr>
          <w:szCs w:val="24"/>
        </w:rPr>
        <w:t xml:space="preserve">The Scheme provides that an incentive is payable to an approved participant in respect of a dwelling when the conditions of an allocation for that dwelling are satisfied. The conditions of allocation include a requirement that the dwelling is rented to tenants who are prescribed as “eligible tenants” by the Principal Regulations. </w:t>
      </w:r>
    </w:p>
    <w:p w:rsidR="00E42AC0" w:rsidRDefault="00E42AC0" w:rsidP="00E42AC0">
      <w:pPr>
        <w:spacing w:before="0"/>
        <w:ind w:right="91"/>
        <w:rPr>
          <w:szCs w:val="24"/>
        </w:rPr>
      </w:pPr>
    </w:p>
    <w:p w:rsidR="00E42AC0" w:rsidRDefault="00E42AC0" w:rsidP="006D360E">
      <w:pPr>
        <w:spacing w:before="0"/>
        <w:ind w:right="91"/>
        <w:rPr>
          <w:szCs w:val="24"/>
        </w:rPr>
      </w:pPr>
      <w:r>
        <w:rPr>
          <w:szCs w:val="24"/>
        </w:rPr>
        <w:t>Limits</w:t>
      </w:r>
      <w:r w:rsidRPr="00012E6D">
        <w:rPr>
          <w:szCs w:val="24"/>
        </w:rPr>
        <w:t xml:space="preserve"> are </w:t>
      </w:r>
      <w:r>
        <w:rPr>
          <w:szCs w:val="24"/>
        </w:rPr>
        <w:t xml:space="preserve">placed on the income levels of the households of </w:t>
      </w:r>
      <w:r w:rsidRPr="00012E6D">
        <w:rPr>
          <w:szCs w:val="24"/>
        </w:rPr>
        <w:t>eligible tenants</w:t>
      </w:r>
      <w:r>
        <w:rPr>
          <w:szCs w:val="24"/>
        </w:rPr>
        <w:t xml:space="preserve">, </w:t>
      </w:r>
      <w:r w:rsidRPr="00012E6D">
        <w:rPr>
          <w:szCs w:val="24"/>
        </w:rPr>
        <w:t xml:space="preserve">which are subject to </w:t>
      </w:r>
      <w:r>
        <w:rPr>
          <w:szCs w:val="24"/>
        </w:rPr>
        <w:t xml:space="preserve">annual </w:t>
      </w:r>
      <w:r w:rsidRPr="00012E6D">
        <w:rPr>
          <w:szCs w:val="24"/>
        </w:rPr>
        <w:t>indexation</w:t>
      </w:r>
      <w:r>
        <w:rPr>
          <w:szCs w:val="24"/>
        </w:rPr>
        <w:t xml:space="preserve"> based on the annual percentage change between March quarter Consumer Price Index figures as published by the Australian Bureau of Statistics</w:t>
      </w:r>
      <w:r w:rsidRPr="00012E6D">
        <w:rPr>
          <w:szCs w:val="24"/>
        </w:rPr>
        <w:t xml:space="preserve">. </w:t>
      </w:r>
      <w:r>
        <w:rPr>
          <w:szCs w:val="24"/>
        </w:rPr>
        <w:t>Existing eligible tenants are able to exceed</w:t>
      </w:r>
      <w:r w:rsidR="00E043B4">
        <w:rPr>
          <w:szCs w:val="24"/>
        </w:rPr>
        <w:t xml:space="preserve"> the income limits by up to 25%</w:t>
      </w:r>
      <w:r>
        <w:rPr>
          <w:szCs w:val="24"/>
        </w:rPr>
        <w:t xml:space="preserve"> and still remain eligible.</w:t>
      </w:r>
      <w:r w:rsidR="002D57EF">
        <w:rPr>
          <w:szCs w:val="24"/>
        </w:rPr>
        <w:t xml:space="preserve"> Existing tenants only become ineligible once their household income exceeds </w:t>
      </w:r>
      <w:r w:rsidR="00C67F92">
        <w:rPr>
          <w:szCs w:val="24"/>
        </w:rPr>
        <w:t>the income limits by 25% or more</w:t>
      </w:r>
      <w:r w:rsidR="002D57EF">
        <w:rPr>
          <w:szCs w:val="24"/>
        </w:rPr>
        <w:t xml:space="preserve"> in two consecutive “eligibility years” (as defined in paragraph 19(1)(c) of the Principal Regulations).</w:t>
      </w:r>
    </w:p>
    <w:p w:rsidR="00337C8E" w:rsidRDefault="00337C8E" w:rsidP="006D360E">
      <w:pPr>
        <w:spacing w:before="0"/>
        <w:ind w:right="91"/>
        <w:rPr>
          <w:szCs w:val="24"/>
        </w:rPr>
      </w:pPr>
    </w:p>
    <w:p w:rsidR="004D0E53" w:rsidRDefault="004D0E53" w:rsidP="004D0E53">
      <w:pPr>
        <w:spacing w:before="0"/>
        <w:ind w:right="91"/>
        <w:rPr>
          <w:szCs w:val="24"/>
        </w:rPr>
      </w:pPr>
      <w:r>
        <w:rPr>
          <w:szCs w:val="24"/>
        </w:rPr>
        <w:t xml:space="preserve">The purpose of the Regulation is to address an error that was made in the publication of tenants’ household income limits for eligible tenants under the Scheme. </w:t>
      </w:r>
      <w:r w:rsidRPr="00012E6D">
        <w:rPr>
          <w:szCs w:val="24"/>
        </w:rPr>
        <w:t>On 1 May 2012, when tenant income limits for the 2012</w:t>
      </w:r>
      <w:r>
        <w:rPr>
          <w:szCs w:val="24"/>
        </w:rPr>
        <w:t>-</w:t>
      </w:r>
      <w:r w:rsidRPr="00012E6D">
        <w:rPr>
          <w:szCs w:val="24"/>
        </w:rPr>
        <w:t>13 NRAS year (which extends from 1 May</w:t>
      </w:r>
      <w:r>
        <w:rPr>
          <w:szCs w:val="24"/>
        </w:rPr>
        <w:t xml:space="preserve"> 2012</w:t>
      </w:r>
      <w:r w:rsidRPr="00012E6D">
        <w:rPr>
          <w:szCs w:val="24"/>
        </w:rPr>
        <w:t xml:space="preserve"> to 30 April</w:t>
      </w:r>
      <w:r>
        <w:rPr>
          <w:szCs w:val="24"/>
        </w:rPr>
        <w:t xml:space="preserve"> 2013</w:t>
      </w:r>
      <w:r w:rsidRPr="00012E6D">
        <w:rPr>
          <w:szCs w:val="24"/>
        </w:rPr>
        <w:t>) were calculated</w:t>
      </w:r>
      <w:r w:rsidR="000676C9">
        <w:rPr>
          <w:szCs w:val="24"/>
        </w:rPr>
        <w:t>,</w:t>
      </w:r>
      <w:r>
        <w:rPr>
          <w:szCs w:val="24"/>
        </w:rPr>
        <w:t xml:space="preserve"> indexation was incorrectly</w:t>
      </w:r>
      <w:r w:rsidRPr="00012E6D">
        <w:rPr>
          <w:szCs w:val="24"/>
        </w:rPr>
        <w:t xml:space="preserve"> applied</w:t>
      </w:r>
      <w:r>
        <w:rPr>
          <w:szCs w:val="24"/>
        </w:rPr>
        <w:t xml:space="preserve"> to </w:t>
      </w:r>
      <w:r w:rsidRPr="00012E6D">
        <w:rPr>
          <w:szCs w:val="24"/>
        </w:rPr>
        <w:t>increase</w:t>
      </w:r>
      <w:r>
        <w:rPr>
          <w:szCs w:val="24"/>
        </w:rPr>
        <w:t xml:space="preserve"> income limits</w:t>
      </w:r>
      <w:r w:rsidRPr="00012E6D">
        <w:rPr>
          <w:szCs w:val="24"/>
        </w:rPr>
        <w:t xml:space="preserve"> based on comparing the December quarter </w:t>
      </w:r>
      <w:r>
        <w:rPr>
          <w:szCs w:val="24"/>
        </w:rPr>
        <w:t xml:space="preserve">CPI </w:t>
      </w:r>
      <w:r w:rsidRPr="00012E6D">
        <w:rPr>
          <w:szCs w:val="24"/>
        </w:rPr>
        <w:t xml:space="preserve">figures, rather than the increase based on comparing the March quarter </w:t>
      </w:r>
      <w:r>
        <w:rPr>
          <w:szCs w:val="24"/>
        </w:rPr>
        <w:t xml:space="preserve">CPI </w:t>
      </w:r>
      <w:r w:rsidRPr="00012E6D">
        <w:rPr>
          <w:szCs w:val="24"/>
        </w:rPr>
        <w:t>figures as required under the</w:t>
      </w:r>
      <w:r>
        <w:rPr>
          <w:szCs w:val="24"/>
        </w:rPr>
        <w:t xml:space="preserve"> Principal</w:t>
      </w:r>
      <w:r w:rsidRPr="00012E6D">
        <w:rPr>
          <w:szCs w:val="24"/>
        </w:rPr>
        <w:t xml:space="preserve"> Regulations. </w:t>
      </w:r>
    </w:p>
    <w:p w:rsidR="004D0E53" w:rsidRDefault="004D0E53" w:rsidP="004D0E53">
      <w:pPr>
        <w:spacing w:before="0"/>
        <w:ind w:right="91"/>
        <w:rPr>
          <w:szCs w:val="24"/>
        </w:rPr>
      </w:pPr>
    </w:p>
    <w:p w:rsidR="004D0E53" w:rsidRDefault="004D0E53" w:rsidP="004D0E53">
      <w:pPr>
        <w:spacing w:before="0"/>
        <w:ind w:right="91"/>
        <w:rPr>
          <w:szCs w:val="24"/>
        </w:rPr>
      </w:pPr>
      <w:r>
        <w:rPr>
          <w:szCs w:val="24"/>
        </w:rPr>
        <w:t>Published figures were increased by</w:t>
      </w:r>
      <w:r w:rsidRPr="00012E6D">
        <w:rPr>
          <w:szCs w:val="24"/>
        </w:rPr>
        <w:t xml:space="preserve"> 3.1%</w:t>
      </w:r>
      <w:r>
        <w:rPr>
          <w:szCs w:val="24"/>
        </w:rPr>
        <w:t xml:space="preserve"> (the movement between December quarters)</w:t>
      </w:r>
      <w:r w:rsidRPr="00012E6D">
        <w:rPr>
          <w:szCs w:val="24"/>
        </w:rPr>
        <w:t>, rather</w:t>
      </w:r>
      <w:r>
        <w:rPr>
          <w:szCs w:val="24"/>
        </w:rPr>
        <w:t xml:space="preserve"> than</w:t>
      </w:r>
      <w:r w:rsidRPr="00012E6D">
        <w:rPr>
          <w:szCs w:val="24"/>
        </w:rPr>
        <w:t xml:space="preserve"> </w:t>
      </w:r>
      <w:r>
        <w:rPr>
          <w:szCs w:val="24"/>
        </w:rPr>
        <w:t>by</w:t>
      </w:r>
      <w:r w:rsidRPr="00012E6D">
        <w:rPr>
          <w:szCs w:val="24"/>
        </w:rPr>
        <w:t xml:space="preserve"> 1.6%</w:t>
      </w:r>
      <w:r>
        <w:rPr>
          <w:szCs w:val="24"/>
        </w:rPr>
        <w:t xml:space="preserve"> (the movement between March quarters)</w:t>
      </w:r>
      <w:r w:rsidRPr="00012E6D">
        <w:rPr>
          <w:szCs w:val="24"/>
        </w:rPr>
        <w:t xml:space="preserve">. </w:t>
      </w:r>
    </w:p>
    <w:p w:rsidR="004D0E53" w:rsidRDefault="004D0E53" w:rsidP="004D0E53">
      <w:pPr>
        <w:spacing w:before="0"/>
        <w:ind w:right="91"/>
        <w:rPr>
          <w:szCs w:val="24"/>
        </w:rPr>
      </w:pPr>
    </w:p>
    <w:p w:rsidR="004D0E53" w:rsidRDefault="004D0E53" w:rsidP="004D0E53">
      <w:pPr>
        <w:spacing w:before="0"/>
        <w:ind w:right="91"/>
        <w:rPr>
          <w:szCs w:val="24"/>
        </w:rPr>
      </w:pPr>
      <w:r>
        <w:rPr>
          <w:szCs w:val="24"/>
        </w:rPr>
        <w:t xml:space="preserve">The Regulation </w:t>
      </w:r>
      <w:r w:rsidR="00AF4177">
        <w:rPr>
          <w:szCs w:val="24"/>
        </w:rPr>
        <w:t>establishes</w:t>
      </w:r>
      <w:r w:rsidR="000676C9">
        <w:rPr>
          <w:szCs w:val="24"/>
        </w:rPr>
        <w:t xml:space="preserve"> a new basis (besides Regulation 25 of the Principal Regulations)</w:t>
      </w:r>
      <w:r>
        <w:rPr>
          <w:szCs w:val="24"/>
        </w:rPr>
        <w:t xml:space="preserve"> under which an approved participant is eligible to receive an incentive, in order to ensure that approved participants are not rendered ineligible to receive incentives as a result of their reliance upon the error in determining who is an eligible tenant.</w:t>
      </w:r>
    </w:p>
    <w:p w:rsidR="004D0E53" w:rsidRDefault="004D0E53" w:rsidP="004D0E53">
      <w:pPr>
        <w:spacing w:before="0"/>
        <w:ind w:right="91"/>
        <w:rPr>
          <w:szCs w:val="24"/>
        </w:rPr>
      </w:pPr>
    </w:p>
    <w:p w:rsidR="004D0E53" w:rsidRDefault="004D0E53" w:rsidP="004D0E53">
      <w:pPr>
        <w:spacing w:before="0"/>
        <w:ind w:right="91"/>
        <w:rPr>
          <w:szCs w:val="24"/>
        </w:rPr>
      </w:pPr>
      <w:r>
        <w:rPr>
          <w:szCs w:val="24"/>
        </w:rPr>
        <w:t>Specifically, the amendments provide that an approved participant may still be eligible to receive an NRAS incentive for a dwelling if new tenants of the dwelling during the 2012-13 NRAS year had combined gross income which exceeded the income limits by an amount less than the difference between the correct</w:t>
      </w:r>
      <w:r w:rsidR="00E043B4">
        <w:rPr>
          <w:szCs w:val="24"/>
        </w:rPr>
        <w:t>ly indexed tenant income limits</w:t>
      </w:r>
      <w:r>
        <w:rPr>
          <w:szCs w:val="24"/>
        </w:rPr>
        <w:t xml:space="preserve"> and the incorrect tenant income limits as published.</w:t>
      </w:r>
    </w:p>
    <w:p w:rsidR="004D0E53" w:rsidRDefault="004D0E53" w:rsidP="004D0E53">
      <w:pPr>
        <w:spacing w:before="0"/>
        <w:ind w:right="91"/>
        <w:rPr>
          <w:szCs w:val="24"/>
        </w:rPr>
      </w:pPr>
    </w:p>
    <w:p w:rsidR="000676C9" w:rsidRDefault="000676C9" w:rsidP="000676C9">
      <w:pPr>
        <w:spacing w:before="0"/>
        <w:ind w:right="91"/>
        <w:rPr>
          <w:szCs w:val="24"/>
        </w:rPr>
      </w:pPr>
      <w:r w:rsidRPr="00B305C9">
        <w:rPr>
          <w:szCs w:val="24"/>
        </w:rPr>
        <w:t>As the Principal Regulations also allow existing tenants to exceed tenant income limits by up to 25</w:t>
      </w:r>
      <w:r>
        <w:rPr>
          <w:szCs w:val="24"/>
        </w:rPr>
        <w:t xml:space="preserve">% </w:t>
      </w:r>
      <w:r w:rsidRPr="00B305C9">
        <w:rPr>
          <w:szCs w:val="24"/>
        </w:rPr>
        <w:t xml:space="preserve">and still remain </w:t>
      </w:r>
      <w:r>
        <w:rPr>
          <w:szCs w:val="24"/>
        </w:rPr>
        <w:t>“</w:t>
      </w:r>
      <w:r w:rsidRPr="00B305C9">
        <w:rPr>
          <w:szCs w:val="24"/>
        </w:rPr>
        <w:t>eligible</w:t>
      </w:r>
      <w:r>
        <w:rPr>
          <w:szCs w:val="24"/>
        </w:rPr>
        <w:t xml:space="preserve"> tenants</w:t>
      </w:r>
      <w:r w:rsidR="00E043B4">
        <w:rPr>
          <w:szCs w:val="24"/>
        </w:rPr>
        <w:t>” in accordance with Regulation </w:t>
      </w:r>
      <w:r>
        <w:rPr>
          <w:szCs w:val="24"/>
        </w:rPr>
        <w:t>19 of the Principal Regulations</w:t>
      </w:r>
      <w:r w:rsidRPr="00B305C9">
        <w:rPr>
          <w:szCs w:val="24"/>
        </w:rPr>
        <w:t xml:space="preserve">, the Regulation </w:t>
      </w:r>
      <w:r>
        <w:rPr>
          <w:szCs w:val="24"/>
        </w:rPr>
        <w:t xml:space="preserve">would </w:t>
      </w:r>
      <w:r w:rsidRPr="00B305C9">
        <w:rPr>
          <w:szCs w:val="24"/>
        </w:rPr>
        <w:t>allow</w:t>
      </w:r>
      <w:r>
        <w:rPr>
          <w:szCs w:val="24"/>
        </w:rPr>
        <w:t xml:space="preserve"> incentives to be paid to approved participants where</w:t>
      </w:r>
      <w:r w:rsidRPr="00B305C9">
        <w:rPr>
          <w:szCs w:val="24"/>
        </w:rPr>
        <w:t xml:space="preserve"> tenant</w:t>
      </w:r>
      <w:r>
        <w:rPr>
          <w:szCs w:val="24"/>
        </w:rPr>
        <w:t>s’ household income exceeds</w:t>
      </w:r>
      <w:r w:rsidRPr="00B305C9">
        <w:rPr>
          <w:szCs w:val="24"/>
        </w:rPr>
        <w:t xml:space="preserve"> the 25</w:t>
      </w:r>
      <w:r>
        <w:rPr>
          <w:szCs w:val="24"/>
        </w:rPr>
        <w:t xml:space="preserve">% </w:t>
      </w:r>
      <w:r w:rsidRPr="00B305C9">
        <w:rPr>
          <w:szCs w:val="24"/>
        </w:rPr>
        <w:t>limit</w:t>
      </w:r>
      <w:r>
        <w:rPr>
          <w:szCs w:val="24"/>
        </w:rPr>
        <w:t>,</w:t>
      </w:r>
      <w:r w:rsidRPr="00B305C9">
        <w:rPr>
          <w:szCs w:val="24"/>
        </w:rPr>
        <w:t xml:space="preserve"> </w:t>
      </w:r>
      <w:r>
        <w:rPr>
          <w:szCs w:val="24"/>
        </w:rPr>
        <w:t>but by less than the erroneously published figures</w:t>
      </w:r>
      <w:r w:rsidRPr="00B305C9">
        <w:rPr>
          <w:szCs w:val="24"/>
        </w:rPr>
        <w:t>. The Regulation provides that if existing tenant</w:t>
      </w:r>
      <w:r>
        <w:rPr>
          <w:szCs w:val="24"/>
        </w:rPr>
        <w:t>s cease</w:t>
      </w:r>
      <w:r w:rsidRPr="00B305C9">
        <w:rPr>
          <w:szCs w:val="24"/>
        </w:rPr>
        <w:t xml:space="preserve"> to be eligible because their household income exceeds the </w:t>
      </w:r>
      <w:r>
        <w:rPr>
          <w:szCs w:val="24"/>
        </w:rPr>
        <w:t xml:space="preserve">household income limit </w:t>
      </w:r>
      <w:r w:rsidRPr="00B305C9">
        <w:rPr>
          <w:szCs w:val="24"/>
        </w:rPr>
        <w:t>in the 2012-2013 NRAS year by up to 26.8</w:t>
      </w:r>
      <w:r>
        <w:rPr>
          <w:szCs w:val="24"/>
        </w:rPr>
        <w:t>7</w:t>
      </w:r>
      <w:r w:rsidRPr="00B305C9">
        <w:rPr>
          <w:szCs w:val="24"/>
        </w:rPr>
        <w:t>5</w:t>
      </w:r>
      <w:r>
        <w:rPr>
          <w:szCs w:val="24"/>
        </w:rPr>
        <w:t xml:space="preserve">% </w:t>
      </w:r>
      <w:r w:rsidRPr="00B305C9">
        <w:rPr>
          <w:szCs w:val="24"/>
        </w:rPr>
        <w:t xml:space="preserve">(which is equivalent to the </w:t>
      </w:r>
      <w:r>
        <w:rPr>
          <w:szCs w:val="24"/>
        </w:rPr>
        <w:t xml:space="preserve">allowable excess </w:t>
      </w:r>
      <w:r w:rsidR="00FD37D3">
        <w:rPr>
          <w:szCs w:val="24"/>
        </w:rPr>
        <w:t xml:space="preserve">of up to 25% </w:t>
      </w:r>
      <w:r>
        <w:rPr>
          <w:szCs w:val="24"/>
        </w:rPr>
        <w:t xml:space="preserve">plus the </w:t>
      </w:r>
      <w:r w:rsidRPr="00B305C9">
        <w:rPr>
          <w:szCs w:val="24"/>
        </w:rPr>
        <w:t>percentage by which the incorrect tenant income limits which were published exceeded the correct tenant income limits), an incentive may still be payable in respec</w:t>
      </w:r>
      <w:r>
        <w:rPr>
          <w:szCs w:val="24"/>
        </w:rPr>
        <w:t>t of the dwelling leased to those</w:t>
      </w:r>
      <w:r w:rsidRPr="00B305C9">
        <w:rPr>
          <w:szCs w:val="24"/>
        </w:rPr>
        <w:t xml:space="preserve"> tenant</w:t>
      </w:r>
      <w:r>
        <w:rPr>
          <w:szCs w:val="24"/>
        </w:rPr>
        <w:t>s</w:t>
      </w:r>
      <w:r w:rsidRPr="00B305C9">
        <w:rPr>
          <w:szCs w:val="24"/>
        </w:rPr>
        <w:t xml:space="preserve"> </w:t>
      </w:r>
      <w:r>
        <w:rPr>
          <w:szCs w:val="24"/>
        </w:rPr>
        <w:t>for</w:t>
      </w:r>
      <w:r w:rsidRPr="00B305C9">
        <w:rPr>
          <w:szCs w:val="24"/>
        </w:rPr>
        <w:t xml:space="preserve"> both the 2012-13 and 2013-14 NRAS years.</w:t>
      </w:r>
      <w:r>
        <w:rPr>
          <w:szCs w:val="24"/>
        </w:rPr>
        <w:t xml:space="preserve"> Rules regarding the amount by which existing tenants can exceed household income limits are proposed for only these two NRAS years because the indexing error will only have an impact on incentives paid for the NRAS year of the error and the following NRAS year</w:t>
      </w:r>
      <w:r w:rsidR="00676617">
        <w:rPr>
          <w:szCs w:val="24"/>
        </w:rPr>
        <w:t>. This is</w:t>
      </w:r>
      <w:r w:rsidR="002D57EF">
        <w:rPr>
          <w:szCs w:val="24"/>
        </w:rPr>
        <w:t xml:space="preserve"> as a result of the fact that a tenant only ceases to be an “eligible tenant” once their household income exceeds </w:t>
      </w:r>
      <w:r w:rsidR="00C67F92">
        <w:rPr>
          <w:szCs w:val="24"/>
        </w:rPr>
        <w:t>the household income limits by 25% or more</w:t>
      </w:r>
      <w:r w:rsidR="002D57EF">
        <w:rPr>
          <w:szCs w:val="24"/>
        </w:rPr>
        <w:t xml:space="preserve"> for two consecutive eligibility years under paragraph 19(3)(b) of the Principal Regulations</w:t>
      </w:r>
      <w:r>
        <w:rPr>
          <w:szCs w:val="24"/>
        </w:rPr>
        <w:t>.</w:t>
      </w:r>
    </w:p>
    <w:p w:rsidR="00624A7F" w:rsidRDefault="00624A7F" w:rsidP="009B6193">
      <w:pPr>
        <w:spacing w:before="0"/>
        <w:ind w:right="91"/>
        <w:rPr>
          <w:szCs w:val="24"/>
        </w:rPr>
      </w:pPr>
    </w:p>
    <w:p w:rsidR="009B6193" w:rsidRPr="00D92771" w:rsidRDefault="009B6193" w:rsidP="009B6193">
      <w:pPr>
        <w:spacing w:before="0"/>
        <w:ind w:right="91"/>
      </w:pPr>
      <w:r>
        <w:t>The Act does not specify conditions that need to be satisfie</w:t>
      </w:r>
      <w:r w:rsidR="00354584">
        <w:t>d before the power to make the r</w:t>
      </w:r>
      <w:r>
        <w:t>egulations may be exercised.</w:t>
      </w:r>
    </w:p>
    <w:p w:rsidR="009B6193" w:rsidRPr="002E031A" w:rsidRDefault="009B6193" w:rsidP="009B6193">
      <w:pPr>
        <w:spacing w:before="0"/>
        <w:ind w:right="91"/>
      </w:pPr>
    </w:p>
    <w:p w:rsidR="009B6193" w:rsidRDefault="00354584" w:rsidP="009B6193">
      <w:pPr>
        <w:tabs>
          <w:tab w:val="left" w:pos="6521"/>
        </w:tabs>
        <w:spacing w:before="0"/>
        <w:ind w:right="91"/>
      </w:pPr>
      <w:r>
        <w:t xml:space="preserve">The </w:t>
      </w:r>
      <w:r w:rsidR="0092487D">
        <w:t>Regulation is</w:t>
      </w:r>
      <w:r w:rsidR="009B6193">
        <w:t xml:space="preserve"> a legislative instrument for the purposes of the </w:t>
      </w:r>
      <w:r w:rsidR="009B6193" w:rsidRPr="00B63B3C">
        <w:rPr>
          <w:i/>
        </w:rPr>
        <w:t>Legislative Instruments Act 2003</w:t>
      </w:r>
      <w:r w:rsidR="009B6193">
        <w:t>.</w:t>
      </w:r>
    </w:p>
    <w:p w:rsidR="009B6193" w:rsidRDefault="009B6193" w:rsidP="009B6193">
      <w:pPr>
        <w:tabs>
          <w:tab w:val="left" w:pos="6521"/>
        </w:tabs>
        <w:spacing w:before="0"/>
        <w:ind w:right="91"/>
      </w:pPr>
    </w:p>
    <w:p w:rsidR="009B6193" w:rsidRDefault="009B6193" w:rsidP="009B6193">
      <w:pPr>
        <w:spacing w:before="0"/>
        <w:ind w:right="91"/>
      </w:pPr>
      <w:r>
        <w:lastRenderedPageBreak/>
        <w:t xml:space="preserve">The </w:t>
      </w:r>
      <w:r w:rsidR="0092487D">
        <w:t>Regulation</w:t>
      </w:r>
      <w:r>
        <w:t xml:space="preserve"> commence</w:t>
      </w:r>
      <w:r w:rsidR="0092487D">
        <w:t>s</w:t>
      </w:r>
      <w:r>
        <w:t xml:space="preserve"> on the day after </w:t>
      </w:r>
      <w:r w:rsidR="0092487D">
        <w:t>it is</w:t>
      </w:r>
      <w:r>
        <w:t xml:space="preserve"> registered on the Federal Register of Legislative Instruments.</w:t>
      </w:r>
    </w:p>
    <w:p w:rsidR="00443F37" w:rsidRDefault="00443F37" w:rsidP="009B6193">
      <w:pPr>
        <w:spacing w:before="0"/>
        <w:ind w:right="91"/>
      </w:pPr>
    </w:p>
    <w:p w:rsidR="00443F37" w:rsidRDefault="00443F37" w:rsidP="009B6193">
      <w:pPr>
        <w:spacing w:before="0"/>
        <w:ind w:right="91"/>
      </w:pPr>
      <w:r>
        <w:t xml:space="preserve">No consultation was undertaken in relation to these amendments because, as they are intended to beneficially remedy an administrative error, consultation was </w:t>
      </w:r>
      <w:r w:rsidR="00E23C83">
        <w:t xml:space="preserve">not </w:t>
      </w:r>
      <w:r>
        <w:t>considered necessary.</w:t>
      </w:r>
    </w:p>
    <w:p w:rsidR="00443F37" w:rsidRDefault="00443F37" w:rsidP="009B6193">
      <w:pPr>
        <w:spacing w:before="0"/>
        <w:ind w:right="91"/>
      </w:pPr>
    </w:p>
    <w:p w:rsidR="00682337" w:rsidRDefault="00682337" w:rsidP="00682337">
      <w:pPr>
        <w:spacing w:before="0"/>
        <w:ind w:right="91"/>
      </w:pPr>
      <w:r>
        <w:t xml:space="preserve">The </w:t>
      </w:r>
      <w:r w:rsidR="00E95E42">
        <w:t xml:space="preserve">Department consulted with the </w:t>
      </w:r>
      <w:r>
        <w:t xml:space="preserve">Office of Best Practice </w:t>
      </w:r>
      <w:r w:rsidR="000676C9">
        <w:t>Regulation</w:t>
      </w:r>
      <w:r w:rsidR="00E95E42">
        <w:t>, which</w:t>
      </w:r>
      <w:r>
        <w:t xml:space="preserve"> has advised (reference number </w:t>
      </w:r>
      <w:r w:rsidRPr="00682337">
        <w:t>14360</w:t>
      </w:r>
      <w:r>
        <w:t xml:space="preserve">) that </w:t>
      </w:r>
      <w:r w:rsidR="00E95E42">
        <w:t xml:space="preserve">as the Regulation is machinery in nature, </w:t>
      </w:r>
      <w:r>
        <w:t xml:space="preserve">a Regulation Impact Statement for </w:t>
      </w:r>
      <w:r w:rsidR="00E95E42">
        <w:t>the Regulation</w:t>
      </w:r>
      <w:r>
        <w:t xml:space="preserve"> is not required.</w:t>
      </w:r>
    </w:p>
    <w:p w:rsidR="00992915" w:rsidRDefault="00992915" w:rsidP="00327D06">
      <w:pPr>
        <w:spacing w:before="0"/>
        <w:ind w:right="91"/>
      </w:pPr>
    </w:p>
    <w:p w:rsidR="00305DD8" w:rsidRDefault="009B6193" w:rsidP="00BD31D6">
      <w:pPr>
        <w:spacing w:before="0"/>
        <w:ind w:right="91"/>
        <w:rPr>
          <w:b/>
          <w:i/>
          <w:u w:val="single"/>
        </w:rPr>
      </w:pPr>
      <w:r>
        <w:rPr>
          <w:i/>
        </w:rPr>
        <w:br/>
      </w:r>
      <w:r w:rsidR="00BD31D6">
        <w:rPr>
          <w:b/>
          <w:u w:val="single"/>
        </w:rPr>
        <w:t>Detailed Description of Amendments</w:t>
      </w:r>
    </w:p>
    <w:p w:rsidR="00305DD8" w:rsidRDefault="00305DD8" w:rsidP="00305DD8">
      <w:pPr>
        <w:spacing w:before="0"/>
        <w:ind w:right="91"/>
        <w:rPr>
          <w:b/>
          <w:i/>
          <w:u w:val="single"/>
        </w:rPr>
      </w:pPr>
    </w:p>
    <w:p w:rsidR="00305DD8" w:rsidRPr="002B0748" w:rsidRDefault="000676C9" w:rsidP="00305DD8">
      <w:pPr>
        <w:spacing w:before="0"/>
        <w:ind w:right="91"/>
        <w:rPr>
          <w:u w:val="single"/>
        </w:rPr>
      </w:pPr>
      <w:r>
        <w:rPr>
          <w:u w:val="single"/>
        </w:rPr>
        <w:t>Section</w:t>
      </w:r>
      <w:r w:rsidR="00305DD8">
        <w:rPr>
          <w:u w:val="single"/>
        </w:rPr>
        <w:t xml:space="preserve"> 1 – Name of regulation</w:t>
      </w:r>
    </w:p>
    <w:p w:rsidR="00305DD8" w:rsidRDefault="00305DD8" w:rsidP="00305DD8">
      <w:pPr>
        <w:spacing w:before="0"/>
        <w:ind w:right="91"/>
      </w:pPr>
    </w:p>
    <w:p w:rsidR="00305DD8" w:rsidRDefault="00305DD8" w:rsidP="00305DD8">
      <w:pPr>
        <w:spacing w:before="0"/>
        <w:ind w:right="91"/>
      </w:pPr>
      <w:r>
        <w:t xml:space="preserve">This regulation provides that the title of the Regulations is the </w:t>
      </w:r>
      <w:r>
        <w:rPr>
          <w:i/>
        </w:rPr>
        <w:t xml:space="preserve">National Rental Affordability Scheme Amendment Regulation 2012 (No. </w:t>
      </w:r>
      <w:r w:rsidR="00C0024F">
        <w:rPr>
          <w:i/>
        </w:rPr>
        <w:t>1</w:t>
      </w:r>
      <w:r>
        <w:rPr>
          <w:i/>
        </w:rPr>
        <w:t>)</w:t>
      </w:r>
      <w:r>
        <w:t>.</w:t>
      </w:r>
    </w:p>
    <w:p w:rsidR="00305DD8" w:rsidRDefault="00305DD8" w:rsidP="00305DD8">
      <w:pPr>
        <w:spacing w:before="0"/>
        <w:ind w:right="91"/>
      </w:pPr>
    </w:p>
    <w:p w:rsidR="00305DD8" w:rsidRDefault="000676C9" w:rsidP="00305DD8">
      <w:pPr>
        <w:spacing w:before="0"/>
        <w:ind w:right="91"/>
        <w:rPr>
          <w:u w:val="single"/>
        </w:rPr>
      </w:pPr>
      <w:r>
        <w:rPr>
          <w:u w:val="single"/>
        </w:rPr>
        <w:t>Section</w:t>
      </w:r>
      <w:r w:rsidR="00305DD8">
        <w:rPr>
          <w:u w:val="single"/>
        </w:rPr>
        <w:t xml:space="preserve"> 2 – Commencement</w:t>
      </w:r>
    </w:p>
    <w:p w:rsidR="00305DD8" w:rsidRDefault="00305DD8" w:rsidP="00305DD8">
      <w:pPr>
        <w:spacing w:before="0"/>
        <w:ind w:right="91"/>
        <w:rPr>
          <w:u w:val="single"/>
        </w:rPr>
      </w:pPr>
    </w:p>
    <w:p w:rsidR="004D0E53" w:rsidRDefault="00305DD8" w:rsidP="004D0E53">
      <w:pPr>
        <w:spacing w:before="0"/>
        <w:ind w:right="91"/>
      </w:pPr>
      <w:r>
        <w:t>This regulation provides for the Regulation to commence on the day after it is registered on the Federal Register of Legislative Instruments.</w:t>
      </w:r>
      <w:r w:rsidR="004D0E53">
        <w:t xml:space="preserve"> This ensures that the amendments will only have prospective effect.</w:t>
      </w:r>
    </w:p>
    <w:p w:rsidR="004D0E53" w:rsidRDefault="004D0E53" w:rsidP="004D0E53">
      <w:pPr>
        <w:spacing w:before="0"/>
        <w:ind w:right="91"/>
      </w:pPr>
    </w:p>
    <w:p w:rsidR="004D0E53" w:rsidRDefault="000676C9" w:rsidP="004D0E53">
      <w:pPr>
        <w:spacing w:before="0"/>
        <w:ind w:right="91"/>
        <w:rPr>
          <w:u w:val="single"/>
        </w:rPr>
      </w:pPr>
      <w:r>
        <w:rPr>
          <w:u w:val="single"/>
        </w:rPr>
        <w:t>Section</w:t>
      </w:r>
      <w:r w:rsidR="004D0E53">
        <w:rPr>
          <w:u w:val="single"/>
        </w:rPr>
        <w:t xml:space="preserve"> 3 – Amendment of </w:t>
      </w:r>
      <w:r w:rsidR="004D0E53">
        <w:rPr>
          <w:i/>
          <w:u w:val="single"/>
        </w:rPr>
        <w:t>National Rental Affordability Scheme Regulations 2008</w:t>
      </w:r>
    </w:p>
    <w:p w:rsidR="004D0E53" w:rsidRDefault="004D0E53" w:rsidP="004D0E53">
      <w:pPr>
        <w:spacing w:before="0"/>
        <w:ind w:right="91"/>
        <w:rPr>
          <w:u w:val="single"/>
        </w:rPr>
      </w:pPr>
    </w:p>
    <w:p w:rsidR="004D0E53" w:rsidRDefault="004D0E53" w:rsidP="004D0E53">
      <w:pPr>
        <w:spacing w:before="0"/>
        <w:ind w:right="91"/>
      </w:pPr>
      <w:r>
        <w:t xml:space="preserve">This regulation provides that Schedule 1 amends the </w:t>
      </w:r>
      <w:r>
        <w:rPr>
          <w:i/>
        </w:rPr>
        <w:t xml:space="preserve">National Rental Affordability Scheme Regulations 2008 </w:t>
      </w:r>
      <w:r>
        <w:t>(the Principal Regulations).</w:t>
      </w:r>
    </w:p>
    <w:p w:rsidR="004D0E53" w:rsidRDefault="004D0E53" w:rsidP="004D0E53">
      <w:pPr>
        <w:spacing w:before="0"/>
        <w:ind w:right="91"/>
      </w:pPr>
    </w:p>
    <w:p w:rsidR="004D0E53" w:rsidRDefault="004D0E53" w:rsidP="004D0E53">
      <w:pPr>
        <w:spacing w:before="0"/>
        <w:ind w:right="91"/>
        <w:rPr>
          <w:u w:val="single"/>
        </w:rPr>
      </w:pPr>
      <w:r>
        <w:rPr>
          <w:u w:val="single"/>
        </w:rPr>
        <w:t>Schedule 1</w:t>
      </w:r>
    </w:p>
    <w:p w:rsidR="004D0E53" w:rsidRDefault="004D0E53" w:rsidP="004D0E53">
      <w:pPr>
        <w:spacing w:before="0"/>
        <w:ind w:right="91"/>
        <w:rPr>
          <w:u w:val="single"/>
        </w:rPr>
      </w:pPr>
    </w:p>
    <w:p w:rsidR="004D0E53" w:rsidRDefault="004D0E53" w:rsidP="004D0E53">
      <w:pPr>
        <w:spacing w:before="0"/>
        <w:ind w:right="91"/>
      </w:pPr>
      <w:r>
        <w:t>This Schedule provides for a new Regulation 25A to be inserted after Regulation 25 of the Principal Regulations, relating to “Additional eligibility in the 2012-13 and 2013-14 NRAS years”.</w:t>
      </w:r>
    </w:p>
    <w:p w:rsidR="004D0E53" w:rsidRDefault="004D0E53" w:rsidP="004D0E53">
      <w:pPr>
        <w:spacing w:before="0"/>
        <w:ind w:right="91"/>
      </w:pPr>
    </w:p>
    <w:p w:rsidR="004D0E53" w:rsidRDefault="004D0E53" w:rsidP="004D0E53">
      <w:pPr>
        <w:spacing w:before="0"/>
        <w:ind w:right="91"/>
      </w:pPr>
      <w:proofErr w:type="spellStart"/>
      <w:r>
        <w:t>Subregulation</w:t>
      </w:r>
      <w:proofErr w:type="spellEnd"/>
      <w:r>
        <w:t xml:space="preserve"> 25A(1) provides that, for the 2012-13 NRAS year (the year beginning 1 May 2012), if all other conditions of an allocation have been satisfied, and</w:t>
      </w:r>
    </w:p>
    <w:p w:rsidR="004D0E53" w:rsidRDefault="004D0E53" w:rsidP="004D0E53">
      <w:pPr>
        <w:spacing w:before="0"/>
        <w:ind w:right="91"/>
      </w:pPr>
    </w:p>
    <w:p w:rsidR="004D0E53" w:rsidRDefault="004D0E53" w:rsidP="004D0E53">
      <w:pPr>
        <w:numPr>
          <w:ilvl w:val="0"/>
          <w:numId w:val="2"/>
        </w:numPr>
        <w:spacing w:before="0"/>
        <w:ind w:right="91"/>
      </w:pPr>
      <w:r>
        <w:t xml:space="preserve">new tenants of a dwelling were not eligible tenants when they became tenants, or </w:t>
      </w:r>
    </w:p>
    <w:p w:rsidR="004D0E53" w:rsidRDefault="004D0E53" w:rsidP="004D0E53">
      <w:pPr>
        <w:numPr>
          <w:ilvl w:val="0"/>
          <w:numId w:val="2"/>
        </w:numPr>
        <w:spacing w:before="0"/>
        <w:ind w:right="91"/>
      </w:pPr>
      <w:r>
        <w:t xml:space="preserve">existing tenants ceased to be eligible tenants </w:t>
      </w:r>
    </w:p>
    <w:p w:rsidR="004D0E53" w:rsidRDefault="004D0E53" w:rsidP="004D0E53">
      <w:pPr>
        <w:spacing w:before="0"/>
        <w:ind w:right="91"/>
      </w:pPr>
    </w:p>
    <w:p w:rsidR="004D0E53" w:rsidRPr="004D4F72" w:rsidRDefault="004D0E53" w:rsidP="004D0E53">
      <w:pPr>
        <w:spacing w:before="0"/>
        <w:ind w:right="91"/>
      </w:pPr>
      <w:r>
        <w:t>by reason only of exceeding the household income limit by up to the amount by which the income limits published by FaHCSIA exceeded the correct income limits, then the approved participant is still able to be eligible to receive the incentive for the dwelling.</w:t>
      </w:r>
    </w:p>
    <w:p w:rsidR="004D0E53" w:rsidRDefault="004D0E53" w:rsidP="004D0E53">
      <w:pPr>
        <w:spacing w:before="0"/>
        <w:ind w:right="91"/>
      </w:pPr>
    </w:p>
    <w:p w:rsidR="004D0E53" w:rsidRDefault="004D0E53" w:rsidP="004D0E53">
      <w:pPr>
        <w:spacing w:before="0"/>
        <w:ind w:right="91"/>
      </w:pPr>
      <w:r>
        <w:t xml:space="preserve">Subparagraph 25A(1)(b)(i) allows for an approved participant to be entitled to receive an incentive in relation to a dwelling if, in the 2012-13 NRAS year, the </w:t>
      </w:r>
      <w:r>
        <w:lastRenderedPageBreak/>
        <w:t>combined gross household income for new tenants of that dwelling exceeded the household income limit by less than 1.5%, which is the difference between the correct indexation figures and the incorrect indexation figures that were published by FaHCSIA, rounded to the nearest decimal point.</w:t>
      </w:r>
    </w:p>
    <w:p w:rsidR="004D0E53" w:rsidRDefault="004D0E53" w:rsidP="004D0E53">
      <w:pPr>
        <w:spacing w:before="0"/>
        <w:ind w:right="91"/>
      </w:pPr>
    </w:p>
    <w:p w:rsidR="004D0E53" w:rsidRDefault="004D0E53" w:rsidP="004D0E53">
      <w:pPr>
        <w:spacing w:before="0"/>
        <w:ind w:right="91"/>
      </w:pPr>
      <w:r>
        <w:t xml:space="preserve">The focus on “new tenants” in this subparagraph reflects the requirement in </w:t>
      </w:r>
      <w:proofErr w:type="spellStart"/>
      <w:r>
        <w:t>subregulation</w:t>
      </w:r>
      <w:proofErr w:type="spellEnd"/>
      <w:r>
        <w:t xml:space="preserve"> 19(2) of the Principal Regulations for eligible tenants to have combined gross income less than the income limit for their household as at the start date of their tenancy.</w:t>
      </w:r>
    </w:p>
    <w:p w:rsidR="004D0E53" w:rsidRDefault="004D0E53" w:rsidP="004D0E53">
      <w:pPr>
        <w:spacing w:before="0"/>
        <w:ind w:right="91"/>
      </w:pPr>
    </w:p>
    <w:p w:rsidR="004D0E53" w:rsidRDefault="004D0E53" w:rsidP="004D0E53">
      <w:pPr>
        <w:spacing w:before="0"/>
        <w:ind w:right="91"/>
      </w:pPr>
      <w:r>
        <w:t>Subparagraph 25A(1)(b)(ii) allows for an approved participant to be entitled to receive an incentive in relation to a dwelling for the 2012-13 NRAS year if the household income of the existing tenants of the dwelling exceeded the household income limit by less than 26.875%. This percentage figure is derived by applying the difference between the correct indexation figures and the incorrect indexation figures that were published to the 25% margin by which, under paragraph 19(3)(b) of the Principal Regulations, an existing tenant is able to exceed the income limit for their household and still remain an eligible tenant (125% multiplied by 1.015 is 126.875%).</w:t>
      </w:r>
      <w:r w:rsidRPr="009E1D9E">
        <w:t xml:space="preserve"> </w:t>
      </w:r>
    </w:p>
    <w:p w:rsidR="004D0E53" w:rsidRDefault="004D0E53" w:rsidP="004D0E53">
      <w:pPr>
        <w:spacing w:before="0"/>
        <w:ind w:right="91"/>
      </w:pPr>
    </w:p>
    <w:p w:rsidR="004D0E53" w:rsidRDefault="004D0E53" w:rsidP="004D0E53">
      <w:pPr>
        <w:spacing w:before="0"/>
        <w:ind w:right="91"/>
      </w:pPr>
      <w:proofErr w:type="spellStart"/>
      <w:r>
        <w:t>Subregulation</w:t>
      </w:r>
      <w:proofErr w:type="spellEnd"/>
      <w:r>
        <w:t xml:space="preserve"> 25A(2) provides that, for the 2013-14 NRAS year, an approved participant may still be eligible to receive an incentive for a dwelling if the (existing) tenants of the dwelling have ceased to be eligible tenants (under paragraph 19(3)(b) of the Principal Regulations) due to having exceeded the household income limit by less than 26.875%</w:t>
      </w:r>
      <w:r w:rsidR="00AF6120">
        <w:t xml:space="preserve"> in the 2012-13 NRAS year</w:t>
      </w:r>
      <w:r>
        <w:t xml:space="preserve">, as long as all other conditions of the allocation have been satisfied. </w:t>
      </w:r>
    </w:p>
    <w:p w:rsidR="004D0E53" w:rsidRDefault="004D0E53" w:rsidP="004D0E53">
      <w:pPr>
        <w:spacing w:before="0"/>
        <w:ind w:right="91"/>
      </w:pPr>
    </w:p>
    <w:p w:rsidR="00CC7BF0" w:rsidRDefault="004D0E53" w:rsidP="004D0E53">
      <w:pPr>
        <w:spacing w:before="0"/>
        <w:ind w:right="91"/>
      </w:pPr>
      <w:r>
        <w:t xml:space="preserve">Besides ensuring incentives can be paid to approved participants for dwellings rented to new tenants in the 2012-13 NRAS year whose household incomes were within 1.5% of the correctly indexed income limits, these amendments also ensure that approved participants are not adversely affected by relying on incorrectly published figures with respect to the </w:t>
      </w:r>
      <w:r w:rsidR="002D57EF">
        <w:t>rule in paragraph 19(3)(b) of the Principal Regulations which ensures a tenant is no longer an “eligible tenant” once their combined gross household income exceeds the income limit by 25% or more for two consecutive eligibility years</w:t>
      </w:r>
      <w:r>
        <w:t xml:space="preserve">. The error made in relation to the 2012-13 NRAS year can have an ongoing effect for incentives paid with respect to both the 2012-13 NRAS year and for the following NRAS year in 2013-14, which is why provision is being made for both of those NRAS years in relation to existing tenants.  </w:t>
      </w:r>
    </w:p>
    <w:p w:rsidR="00CC7BF0" w:rsidRDefault="00CC7BF0" w:rsidP="00305DD8">
      <w:pPr>
        <w:spacing w:before="0"/>
        <w:ind w:right="91"/>
      </w:pPr>
    </w:p>
    <w:p w:rsidR="00305DD8" w:rsidRDefault="00305DD8" w:rsidP="00305DD8">
      <w:pPr>
        <w:spacing w:before="0"/>
        <w:ind w:right="91"/>
      </w:pPr>
    </w:p>
    <w:p w:rsidR="00BD31D6" w:rsidRPr="00443F37" w:rsidRDefault="00EB5D51" w:rsidP="00BD31D6">
      <w:pPr>
        <w:spacing w:before="100" w:beforeAutospacing="1" w:after="100" w:afterAutospacing="1"/>
        <w:jc w:val="center"/>
        <w:rPr>
          <w:szCs w:val="24"/>
        </w:rPr>
      </w:pPr>
      <w:r>
        <w:rPr>
          <w:b/>
          <w:bCs/>
          <w:szCs w:val="24"/>
        </w:rPr>
        <w:br w:type="page"/>
      </w:r>
      <w:r w:rsidR="00BD31D6" w:rsidRPr="00443F37">
        <w:rPr>
          <w:b/>
          <w:bCs/>
          <w:szCs w:val="24"/>
        </w:rPr>
        <w:lastRenderedPageBreak/>
        <w:t>Statement of Compatibility with Human Rights</w:t>
      </w:r>
    </w:p>
    <w:p w:rsidR="00BD31D6" w:rsidRDefault="00BD31D6" w:rsidP="00BD31D6">
      <w:pPr>
        <w:spacing w:before="100" w:beforeAutospacing="1" w:after="100" w:afterAutospacing="1"/>
        <w:jc w:val="center"/>
        <w:rPr>
          <w:szCs w:val="24"/>
        </w:rPr>
      </w:pPr>
      <w:r w:rsidRPr="00443F37">
        <w:rPr>
          <w:szCs w:val="24"/>
        </w:rPr>
        <w:t xml:space="preserve">(Prepared in accordance with Part 3 of the </w:t>
      </w:r>
      <w:r w:rsidRPr="00443F37">
        <w:rPr>
          <w:i/>
          <w:iCs/>
          <w:szCs w:val="24"/>
        </w:rPr>
        <w:t>Human Rights (Parliamentary Scrutiny) Act 2011</w:t>
      </w:r>
      <w:r w:rsidRPr="00443F37">
        <w:rPr>
          <w:szCs w:val="24"/>
        </w:rPr>
        <w:t>)</w:t>
      </w:r>
    </w:p>
    <w:p w:rsidR="0086547D" w:rsidRPr="0086547D" w:rsidRDefault="0086547D" w:rsidP="00BD31D6">
      <w:pPr>
        <w:spacing w:before="100" w:beforeAutospacing="1" w:after="100" w:afterAutospacing="1"/>
        <w:jc w:val="center"/>
        <w:rPr>
          <w:b/>
          <w:szCs w:val="24"/>
        </w:rPr>
      </w:pPr>
      <w:r w:rsidRPr="0086547D">
        <w:rPr>
          <w:b/>
          <w:szCs w:val="24"/>
        </w:rPr>
        <w:t>National Rental Affordability Scheme Amendment Regulation 2012 (No. 1)</w:t>
      </w:r>
    </w:p>
    <w:p w:rsidR="00BD31D6" w:rsidRPr="00443F37" w:rsidRDefault="00BD31D6" w:rsidP="00BD31D6">
      <w:pPr>
        <w:spacing w:before="100" w:beforeAutospacing="1" w:after="100" w:afterAutospacing="1"/>
        <w:rPr>
          <w:szCs w:val="24"/>
        </w:rPr>
      </w:pPr>
      <w:r w:rsidRPr="00443F37">
        <w:rPr>
          <w:szCs w:val="24"/>
        </w:rPr>
        <w:t xml:space="preserve">This legislative instrument is compatible with the human rights and freedoms recognised or declared in the international instruments listed in the definition of human rights in section 3 of the </w:t>
      </w:r>
      <w:r w:rsidRPr="00443F37">
        <w:rPr>
          <w:i/>
          <w:iCs/>
          <w:szCs w:val="24"/>
        </w:rPr>
        <w:t>Human Rights (Parliamentary Scrutiny) Act 2011.</w:t>
      </w:r>
    </w:p>
    <w:p w:rsidR="00BD31D6" w:rsidRPr="00CA0E2C" w:rsidRDefault="00BD31D6" w:rsidP="00BD31D6">
      <w:pPr>
        <w:spacing w:before="100" w:beforeAutospacing="1" w:after="100" w:afterAutospacing="1"/>
        <w:rPr>
          <w:szCs w:val="24"/>
        </w:rPr>
      </w:pPr>
      <w:r>
        <w:rPr>
          <w:szCs w:val="24"/>
        </w:rPr>
        <w:t>Of t</w:t>
      </w:r>
      <w:r w:rsidRPr="00443F37">
        <w:rPr>
          <w:szCs w:val="24"/>
        </w:rPr>
        <w:t xml:space="preserve">he human rights and freedoms recognised or declared in the international instruments listed in the definition of human rights at section 3 of the </w:t>
      </w:r>
      <w:r w:rsidRPr="00443F37">
        <w:rPr>
          <w:i/>
          <w:iCs/>
          <w:szCs w:val="24"/>
        </w:rPr>
        <w:t>Human Rights (Parliamentary Scrutiny) Act 2011</w:t>
      </w:r>
      <w:r>
        <w:rPr>
          <w:iCs/>
          <w:szCs w:val="24"/>
        </w:rPr>
        <w:t>,</w:t>
      </w:r>
      <w:r>
        <w:rPr>
          <w:i/>
          <w:iCs/>
          <w:szCs w:val="24"/>
        </w:rPr>
        <w:t xml:space="preserve"> </w:t>
      </w:r>
      <w:r>
        <w:rPr>
          <w:szCs w:val="24"/>
        </w:rPr>
        <w:t>t</w:t>
      </w:r>
      <w:r w:rsidRPr="00443F37">
        <w:rPr>
          <w:szCs w:val="24"/>
        </w:rPr>
        <w:t>his legislative instrument engage</w:t>
      </w:r>
      <w:r>
        <w:rPr>
          <w:szCs w:val="24"/>
        </w:rPr>
        <w:t xml:space="preserve">s the right to </w:t>
      </w:r>
      <w:r w:rsidRPr="00C2236D">
        <w:rPr>
          <w:szCs w:val="24"/>
        </w:rPr>
        <w:t>an adequate standard of living</w:t>
      </w:r>
      <w:r>
        <w:rPr>
          <w:szCs w:val="24"/>
        </w:rPr>
        <w:t>, including housing,</w:t>
      </w:r>
      <w:r w:rsidRPr="00C2236D">
        <w:rPr>
          <w:szCs w:val="24"/>
        </w:rPr>
        <w:t xml:space="preserve"> </w:t>
      </w:r>
      <w:r>
        <w:rPr>
          <w:szCs w:val="24"/>
        </w:rPr>
        <w:t xml:space="preserve">as referred to in Article 11.1 of the </w:t>
      </w:r>
      <w:r w:rsidRPr="00C2236D">
        <w:rPr>
          <w:szCs w:val="24"/>
        </w:rPr>
        <w:t>International Covenant on Economic, Social and Cultural Rights</w:t>
      </w:r>
      <w:r>
        <w:rPr>
          <w:szCs w:val="24"/>
        </w:rPr>
        <w:t xml:space="preserve"> (</w:t>
      </w:r>
      <w:r w:rsidRPr="00BD31D6">
        <w:rPr>
          <w:szCs w:val="24"/>
        </w:rPr>
        <w:t>done at New York on 16 December 1966 ([1976] ATS 5)</w:t>
      </w:r>
      <w:r>
        <w:rPr>
          <w:szCs w:val="24"/>
        </w:rPr>
        <w:t xml:space="preserve">). </w:t>
      </w:r>
    </w:p>
    <w:p w:rsidR="00B624F6" w:rsidRDefault="00BD31D6" w:rsidP="00BD31D6">
      <w:pPr>
        <w:tabs>
          <w:tab w:val="left" w:pos="6521"/>
        </w:tabs>
        <w:spacing w:before="0"/>
        <w:ind w:right="91"/>
      </w:pPr>
      <w:r>
        <w:t>This legislative instrument is consistent with furthering the right to adequate housing, as it is a beneficial measure to ensure that approved participants in the Scheme can remain in receipt of incentives and continue to deliver affordable rental accommodation to tenants notwithstanding their reliance on erroneously published indexation figures.</w:t>
      </w:r>
    </w:p>
    <w:sectPr w:rsidR="00B624F6" w:rsidSect="001360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64E78"/>
    <w:multiLevelType w:val="hybridMultilevel"/>
    <w:tmpl w:val="1BB2E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4860200"/>
    <w:multiLevelType w:val="hybridMultilevel"/>
    <w:tmpl w:val="CA3E2D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358C"/>
    <w:rsid w:val="00002CFC"/>
    <w:rsid w:val="0000393F"/>
    <w:rsid w:val="00003C48"/>
    <w:rsid w:val="000052A9"/>
    <w:rsid w:val="000101D1"/>
    <w:rsid w:val="00011694"/>
    <w:rsid w:val="00013CCB"/>
    <w:rsid w:val="0001559E"/>
    <w:rsid w:val="00015819"/>
    <w:rsid w:val="00016332"/>
    <w:rsid w:val="000163AB"/>
    <w:rsid w:val="00016CD5"/>
    <w:rsid w:val="00017502"/>
    <w:rsid w:val="00017EDD"/>
    <w:rsid w:val="00020990"/>
    <w:rsid w:val="0002190F"/>
    <w:rsid w:val="000225F3"/>
    <w:rsid w:val="000235E3"/>
    <w:rsid w:val="00024910"/>
    <w:rsid w:val="00024F88"/>
    <w:rsid w:val="0002522E"/>
    <w:rsid w:val="00025ABF"/>
    <w:rsid w:val="00030AAE"/>
    <w:rsid w:val="00032AC1"/>
    <w:rsid w:val="00037191"/>
    <w:rsid w:val="00040AE6"/>
    <w:rsid w:val="000413D1"/>
    <w:rsid w:val="00043172"/>
    <w:rsid w:val="0004343D"/>
    <w:rsid w:val="000440A8"/>
    <w:rsid w:val="00044D13"/>
    <w:rsid w:val="000508E9"/>
    <w:rsid w:val="00053572"/>
    <w:rsid w:val="000569E0"/>
    <w:rsid w:val="00057034"/>
    <w:rsid w:val="00062513"/>
    <w:rsid w:val="00064E26"/>
    <w:rsid w:val="000652EB"/>
    <w:rsid w:val="00065616"/>
    <w:rsid w:val="00066607"/>
    <w:rsid w:val="000676A7"/>
    <w:rsid w:val="000676C9"/>
    <w:rsid w:val="00067B17"/>
    <w:rsid w:val="00070BB0"/>
    <w:rsid w:val="00071F8E"/>
    <w:rsid w:val="00071FE9"/>
    <w:rsid w:val="00074697"/>
    <w:rsid w:val="00074F8C"/>
    <w:rsid w:val="00075CB0"/>
    <w:rsid w:val="000802BE"/>
    <w:rsid w:val="00081745"/>
    <w:rsid w:val="00084379"/>
    <w:rsid w:val="0008449D"/>
    <w:rsid w:val="00085B19"/>
    <w:rsid w:val="000873F3"/>
    <w:rsid w:val="0009217C"/>
    <w:rsid w:val="00092F49"/>
    <w:rsid w:val="000932BE"/>
    <w:rsid w:val="00094663"/>
    <w:rsid w:val="000955F2"/>
    <w:rsid w:val="00096166"/>
    <w:rsid w:val="0009778F"/>
    <w:rsid w:val="00097AF1"/>
    <w:rsid w:val="000A0184"/>
    <w:rsid w:val="000A3C52"/>
    <w:rsid w:val="000A4036"/>
    <w:rsid w:val="000A438A"/>
    <w:rsid w:val="000A5835"/>
    <w:rsid w:val="000A6075"/>
    <w:rsid w:val="000A7A0B"/>
    <w:rsid w:val="000B0D59"/>
    <w:rsid w:val="000B192F"/>
    <w:rsid w:val="000B2B33"/>
    <w:rsid w:val="000B70C9"/>
    <w:rsid w:val="000C4ACF"/>
    <w:rsid w:val="000C5026"/>
    <w:rsid w:val="000C63E8"/>
    <w:rsid w:val="000C73DA"/>
    <w:rsid w:val="000D02F6"/>
    <w:rsid w:val="000D13D8"/>
    <w:rsid w:val="000D1571"/>
    <w:rsid w:val="000D3642"/>
    <w:rsid w:val="000D3CF6"/>
    <w:rsid w:val="000D40B7"/>
    <w:rsid w:val="000D5979"/>
    <w:rsid w:val="000E19FF"/>
    <w:rsid w:val="000E5874"/>
    <w:rsid w:val="000E7E2E"/>
    <w:rsid w:val="000F2433"/>
    <w:rsid w:val="000F2D7D"/>
    <w:rsid w:val="000F57AF"/>
    <w:rsid w:val="000F60BE"/>
    <w:rsid w:val="00100D78"/>
    <w:rsid w:val="00102959"/>
    <w:rsid w:val="00111138"/>
    <w:rsid w:val="0011334E"/>
    <w:rsid w:val="001143EF"/>
    <w:rsid w:val="0011518A"/>
    <w:rsid w:val="00121877"/>
    <w:rsid w:val="00121F84"/>
    <w:rsid w:val="00125BAE"/>
    <w:rsid w:val="00126E27"/>
    <w:rsid w:val="00127128"/>
    <w:rsid w:val="0013099F"/>
    <w:rsid w:val="00132B2F"/>
    <w:rsid w:val="00134195"/>
    <w:rsid w:val="00134BAD"/>
    <w:rsid w:val="0013573B"/>
    <w:rsid w:val="0013602E"/>
    <w:rsid w:val="0013691E"/>
    <w:rsid w:val="00137351"/>
    <w:rsid w:val="00137AE5"/>
    <w:rsid w:val="0014176E"/>
    <w:rsid w:val="00145054"/>
    <w:rsid w:val="00146097"/>
    <w:rsid w:val="00146E2C"/>
    <w:rsid w:val="001524E1"/>
    <w:rsid w:val="00154B66"/>
    <w:rsid w:val="00154C22"/>
    <w:rsid w:val="0015533F"/>
    <w:rsid w:val="001576EE"/>
    <w:rsid w:val="00157E4B"/>
    <w:rsid w:val="00160ACF"/>
    <w:rsid w:val="0016251A"/>
    <w:rsid w:val="00162EC9"/>
    <w:rsid w:val="001670D8"/>
    <w:rsid w:val="001670F7"/>
    <w:rsid w:val="0016715A"/>
    <w:rsid w:val="0017093D"/>
    <w:rsid w:val="001714C0"/>
    <w:rsid w:val="00172B24"/>
    <w:rsid w:val="00174C51"/>
    <w:rsid w:val="00176FF4"/>
    <w:rsid w:val="0018026D"/>
    <w:rsid w:val="001813B1"/>
    <w:rsid w:val="00181697"/>
    <w:rsid w:val="00183062"/>
    <w:rsid w:val="00183180"/>
    <w:rsid w:val="00185709"/>
    <w:rsid w:val="001864E7"/>
    <w:rsid w:val="00187AB2"/>
    <w:rsid w:val="00190EFC"/>
    <w:rsid w:val="00191A44"/>
    <w:rsid w:val="001924DD"/>
    <w:rsid w:val="00194AA4"/>
    <w:rsid w:val="00195FFF"/>
    <w:rsid w:val="00196BFB"/>
    <w:rsid w:val="00196E54"/>
    <w:rsid w:val="001A1F86"/>
    <w:rsid w:val="001A428C"/>
    <w:rsid w:val="001A7819"/>
    <w:rsid w:val="001B1C6D"/>
    <w:rsid w:val="001B24EE"/>
    <w:rsid w:val="001B2F8A"/>
    <w:rsid w:val="001C0466"/>
    <w:rsid w:val="001D1032"/>
    <w:rsid w:val="001D2A0E"/>
    <w:rsid w:val="001D383D"/>
    <w:rsid w:val="001D5F90"/>
    <w:rsid w:val="001D6B15"/>
    <w:rsid w:val="001D6C7D"/>
    <w:rsid w:val="001D7111"/>
    <w:rsid w:val="001E46C6"/>
    <w:rsid w:val="001E54DE"/>
    <w:rsid w:val="001F0595"/>
    <w:rsid w:val="001F2FFA"/>
    <w:rsid w:val="001F4EE0"/>
    <w:rsid w:val="002049DF"/>
    <w:rsid w:val="00211275"/>
    <w:rsid w:val="00211BFD"/>
    <w:rsid w:val="00216492"/>
    <w:rsid w:val="0022188D"/>
    <w:rsid w:val="00222608"/>
    <w:rsid w:val="00222B3A"/>
    <w:rsid w:val="00222C04"/>
    <w:rsid w:val="00224605"/>
    <w:rsid w:val="00226E5B"/>
    <w:rsid w:val="0023427B"/>
    <w:rsid w:val="00236127"/>
    <w:rsid w:val="0024091D"/>
    <w:rsid w:val="002472F3"/>
    <w:rsid w:val="002477B7"/>
    <w:rsid w:val="00251A91"/>
    <w:rsid w:val="002542C8"/>
    <w:rsid w:val="00254653"/>
    <w:rsid w:val="00255D09"/>
    <w:rsid w:val="0025749A"/>
    <w:rsid w:val="00261A95"/>
    <w:rsid w:val="00262080"/>
    <w:rsid w:val="002647B1"/>
    <w:rsid w:val="0026651F"/>
    <w:rsid w:val="00271780"/>
    <w:rsid w:val="002717CD"/>
    <w:rsid w:val="00271C91"/>
    <w:rsid w:val="002803D4"/>
    <w:rsid w:val="002864BA"/>
    <w:rsid w:val="002903DF"/>
    <w:rsid w:val="00292D65"/>
    <w:rsid w:val="00295C0F"/>
    <w:rsid w:val="00297CE7"/>
    <w:rsid w:val="002A061E"/>
    <w:rsid w:val="002A55DC"/>
    <w:rsid w:val="002B2FFB"/>
    <w:rsid w:val="002B30A9"/>
    <w:rsid w:val="002B6E39"/>
    <w:rsid w:val="002B7E6B"/>
    <w:rsid w:val="002C0931"/>
    <w:rsid w:val="002C1F0E"/>
    <w:rsid w:val="002C2BF3"/>
    <w:rsid w:val="002C38DD"/>
    <w:rsid w:val="002C3EA9"/>
    <w:rsid w:val="002C5446"/>
    <w:rsid w:val="002C76F0"/>
    <w:rsid w:val="002D3889"/>
    <w:rsid w:val="002D5396"/>
    <w:rsid w:val="002D57EF"/>
    <w:rsid w:val="002D625A"/>
    <w:rsid w:val="002E1218"/>
    <w:rsid w:val="002E2C15"/>
    <w:rsid w:val="002E489D"/>
    <w:rsid w:val="002E5291"/>
    <w:rsid w:val="002E79DE"/>
    <w:rsid w:val="002F1EBF"/>
    <w:rsid w:val="002F5384"/>
    <w:rsid w:val="002F5E22"/>
    <w:rsid w:val="002F624C"/>
    <w:rsid w:val="002F6B7D"/>
    <w:rsid w:val="002F7466"/>
    <w:rsid w:val="00301A6C"/>
    <w:rsid w:val="003031CE"/>
    <w:rsid w:val="003040C2"/>
    <w:rsid w:val="00304E99"/>
    <w:rsid w:val="0030551A"/>
    <w:rsid w:val="00305DD7"/>
    <w:rsid w:val="00305DD8"/>
    <w:rsid w:val="0030732A"/>
    <w:rsid w:val="003117CF"/>
    <w:rsid w:val="00315C40"/>
    <w:rsid w:val="00320383"/>
    <w:rsid w:val="003206E1"/>
    <w:rsid w:val="003208EB"/>
    <w:rsid w:val="0032214F"/>
    <w:rsid w:val="00322180"/>
    <w:rsid w:val="00322339"/>
    <w:rsid w:val="00327D06"/>
    <w:rsid w:val="00330488"/>
    <w:rsid w:val="003320C5"/>
    <w:rsid w:val="00332266"/>
    <w:rsid w:val="00337C8E"/>
    <w:rsid w:val="0034185F"/>
    <w:rsid w:val="0034285F"/>
    <w:rsid w:val="00342AEB"/>
    <w:rsid w:val="0034348F"/>
    <w:rsid w:val="00343F78"/>
    <w:rsid w:val="00353952"/>
    <w:rsid w:val="0035444D"/>
    <w:rsid w:val="00354584"/>
    <w:rsid w:val="00357141"/>
    <w:rsid w:val="00357E81"/>
    <w:rsid w:val="00360081"/>
    <w:rsid w:val="003612C0"/>
    <w:rsid w:val="00362B09"/>
    <w:rsid w:val="00362F82"/>
    <w:rsid w:val="00366456"/>
    <w:rsid w:val="00371479"/>
    <w:rsid w:val="00371E83"/>
    <w:rsid w:val="00372464"/>
    <w:rsid w:val="003747D4"/>
    <w:rsid w:val="0038101A"/>
    <w:rsid w:val="003826C7"/>
    <w:rsid w:val="00385690"/>
    <w:rsid w:val="00387B2B"/>
    <w:rsid w:val="00392586"/>
    <w:rsid w:val="0039290C"/>
    <w:rsid w:val="00393BB0"/>
    <w:rsid w:val="003942B7"/>
    <w:rsid w:val="0039584A"/>
    <w:rsid w:val="00396494"/>
    <w:rsid w:val="00397788"/>
    <w:rsid w:val="003978AA"/>
    <w:rsid w:val="003A1CC5"/>
    <w:rsid w:val="003A1DF7"/>
    <w:rsid w:val="003A2846"/>
    <w:rsid w:val="003A2858"/>
    <w:rsid w:val="003A2B10"/>
    <w:rsid w:val="003A359C"/>
    <w:rsid w:val="003A6006"/>
    <w:rsid w:val="003A6D05"/>
    <w:rsid w:val="003B2D26"/>
    <w:rsid w:val="003B4056"/>
    <w:rsid w:val="003B4D4D"/>
    <w:rsid w:val="003C0D83"/>
    <w:rsid w:val="003C0FCC"/>
    <w:rsid w:val="003C2348"/>
    <w:rsid w:val="003C75CE"/>
    <w:rsid w:val="003C775D"/>
    <w:rsid w:val="003C7B43"/>
    <w:rsid w:val="003D5068"/>
    <w:rsid w:val="003D5914"/>
    <w:rsid w:val="003E0458"/>
    <w:rsid w:val="003E17D9"/>
    <w:rsid w:val="003E2AEF"/>
    <w:rsid w:val="003E3CCB"/>
    <w:rsid w:val="003E69C6"/>
    <w:rsid w:val="003F2BCD"/>
    <w:rsid w:val="003F304C"/>
    <w:rsid w:val="003F34CB"/>
    <w:rsid w:val="003F3AAB"/>
    <w:rsid w:val="003F4345"/>
    <w:rsid w:val="003F5B58"/>
    <w:rsid w:val="004006ED"/>
    <w:rsid w:val="00403200"/>
    <w:rsid w:val="00404ABE"/>
    <w:rsid w:val="004076DC"/>
    <w:rsid w:val="00410058"/>
    <w:rsid w:val="004101C8"/>
    <w:rsid w:val="00411703"/>
    <w:rsid w:val="00411C3A"/>
    <w:rsid w:val="0041415E"/>
    <w:rsid w:val="00424A9E"/>
    <w:rsid w:val="00425031"/>
    <w:rsid w:val="0042650D"/>
    <w:rsid w:val="00427F44"/>
    <w:rsid w:val="00430CFD"/>
    <w:rsid w:val="00430D70"/>
    <w:rsid w:val="00431E5A"/>
    <w:rsid w:val="0043227C"/>
    <w:rsid w:val="00433DF6"/>
    <w:rsid w:val="004347C7"/>
    <w:rsid w:val="00434A6A"/>
    <w:rsid w:val="00443F37"/>
    <w:rsid w:val="00445AA5"/>
    <w:rsid w:val="00447852"/>
    <w:rsid w:val="0045586B"/>
    <w:rsid w:val="004569CF"/>
    <w:rsid w:val="004619E2"/>
    <w:rsid w:val="0046332C"/>
    <w:rsid w:val="00465D7C"/>
    <w:rsid w:val="004664FD"/>
    <w:rsid w:val="00466C80"/>
    <w:rsid w:val="00466D0F"/>
    <w:rsid w:val="00480029"/>
    <w:rsid w:val="004808DB"/>
    <w:rsid w:val="00481115"/>
    <w:rsid w:val="004909DB"/>
    <w:rsid w:val="0049167C"/>
    <w:rsid w:val="00491CAA"/>
    <w:rsid w:val="0049358C"/>
    <w:rsid w:val="00495588"/>
    <w:rsid w:val="004959D9"/>
    <w:rsid w:val="00496C91"/>
    <w:rsid w:val="004A2BCA"/>
    <w:rsid w:val="004A5B25"/>
    <w:rsid w:val="004B103D"/>
    <w:rsid w:val="004B5A4D"/>
    <w:rsid w:val="004B665F"/>
    <w:rsid w:val="004B68A6"/>
    <w:rsid w:val="004B68B7"/>
    <w:rsid w:val="004C0300"/>
    <w:rsid w:val="004C0DE9"/>
    <w:rsid w:val="004C1FA4"/>
    <w:rsid w:val="004C3870"/>
    <w:rsid w:val="004C46ED"/>
    <w:rsid w:val="004C5277"/>
    <w:rsid w:val="004C74AB"/>
    <w:rsid w:val="004D0AAC"/>
    <w:rsid w:val="004D0E53"/>
    <w:rsid w:val="004D5DF9"/>
    <w:rsid w:val="004E0556"/>
    <w:rsid w:val="004E1C31"/>
    <w:rsid w:val="004E3941"/>
    <w:rsid w:val="004E7012"/>
    <w:rsid w:val="004F67B5"/>
    <w:rsid w:val="004F6A47"/>
    <w:rsid w:val="004F775C"/>
    <w:rsid w:val="00500565"/>
    <w:rsid w:val="00502552"/>
    <w:rsid w:val="005026E7"/>
    <w:rsid w:val="00503319"/>
    <w:rsid w:val="00503EEB"/>
    <w:rsid w:val="0051543B"/>
    <w:rsid w:val="00516571"/>
    <w:rsid w:val="00516B41"/>
    <w:rsid w:val="00516D70"/>
    <w:rsid w:val="005224D3"/>
    <w:rsid w:val="00522B0E"/>
    <w:rsid w:val="00522E13"/>
    <w:rsid w:val="00526387"/>
    <w:rsid w:val="005265C4"/>
    <w:rsid w:val="00527747"/>
    <w:rsid w:val="00530CD1"/>
    <w:rsid w:val="00531A14"/>
    <w:rsid w:val="00532A83"/>
    <w:rsid w:val="00533532"/>
    <w:rsid w:val="00534346"/>
    <w:rsid w:val="00534876"/>
    <w:rsid w:val="0053553D"/>
    <w:rsid w:val="0053563C"/>
    <w:rsid w:val="005373CB"/>
    <w:rsid w:val="00542B1E"/>
    <w:rsid w:val="00547639"/>
    <w:rsid w:val="00553DE3"/>
    <w:rsid w:val="00555AE1"/>
    <w:rsid w:val="00556521"/>
    <w:rsid w:val="00560F1C"/>
    <w:rsid w:val="0056115B"/>
    <w:rsid w:val="00563E17"/>
    <w:rsid w:val="005646D6"/>
    <w:rsid w:val="00565CBD"/>
    <w:rsid w:val="00565DE9"/>
    <w:rsid w:val="00567389"/>
    <w:rsid w:val="0056779C"/>
    <w:rsid w:val="005711CB"/>
    <w:rsid w:val="00572670"/>
    <w:rsid w:val="005727E6"/>
    <w:rsid w:val="00572F84"/>
    <w:rsid w:val="00572FA9"/>
    <w:rsid w:val="005733DB"/>
    <w:rsid w:val="005740EB"/>
    <w:rsid w:val="00574640"/>
    <w:rsid w:val="005749DD"/>
    <w:rsid w:val="005765AA"/>
    <w:rsid w:val="00576FAE"/>
    <w:rsid w:val="005778BB"/>
    <w:rsid w:val="00584C06"/>
    <w:rsid w:val="005856EE"/>
    <w:rsid w:val="005867FD"/>
    <w:rsid w:val="0059146A"/>
    <w:rsid w:val="005918BC"/>
    <w:rsid w:val="00593CE8"/>
    <w:rsid w:val="005957B1"/>
    <w:rsid w:val="00595C86"/>
    <w:rsid w:val="0059718C"/>
    <w:rsid w:val="00597E97"/>
    <w:rsid w:val="005A2F20"/>
    <w:rsid w:val="005A53AB"/>
    <w:rsid w:val="005A5836"/>
    <w:rsid w:val="005B4CB7"/>
    <w:rsid w:val="005C0389"/>
    <w:rsid w:val="005C0B00"/>
    <w:rsid w:val="005C2944"/>
    <w:rsid w:val="005C45D3"/>
    <w:rsid w:val="005C684B"/>
    <w:rsid w:val="005C6FB4"/>
    <w:rsid w:val="005C7712"/>
    <w:rsid w:val="005D176E"/>
    <w:rsid w:val="005D384F"/>
    <w:rsid w:val="005D48C3"/>
    <w:rsid w:val="005E0288"/>
    <w:rsid w:val="005E1055"/>
    <w:rsid w:val="005E1E10"/>
    <w:rsid w:val="005E23E8"/>
    <w:rsid w:val="005E343A"/>
    <w:rsid w:val="005E3EB3"/>
    <w:rsid w:val="005E46AB"/>
    <w:rsid w:val="005F1724"/>
    <w:rsid w:val="005F39BD"/>
    <w:rsid w:val="005F5746"/>
    <w:rsid w:val="005F67F7"/>
    <w:rsid w:val="005F7DA6"/>
    <w:rsid w:val="006041F0"/>
    <w:rsid w:val="00606E6A"/>
    <w:rsid w:val="00611156"/>
    <w:rsid w:val="00613982"/>
    <w:rsid w:val="00614371"/>
    <w:rsid w:val="00615378"/>
    <w:rsid w:val="00620E84"/>
    <w:rsid w:val="006226B5"/>
    <w:rsid w:val="00622828"/>
    <w:rsid w:val="006233C5"/>
    <w:rsid w:val="00623B26"/>
    <w:rsid w:val="00624990"/>
    <w:rsid w:val="00624A7F"/>
    <w:rsid w:val="0062534D"/>
    <w:rsid w:val="00631DF6"/>
    <w:rsid w:val="006342DF"/>
    <w:rsid w:val="006458A0"/>
    <w:rsid w:val="00646D4F"/>
    <w:rsid w:val="006506AA"/>
    <w:rsid w:val="00650E66"/>
    <w:rsid w:val="006557C6"/>
    <w:rsid w:val="0066073D"/>
    <w:rsid w:val="00663464"/>
    <w:rsid w:val="00664BE9"/>
    <w:rsid w:val="006653F4"/>
    <w:rsid w:val="00670E1F"/>
    <w:rsid w:val="00670ED0"/>
    <w:rsid w:val="006715F5"/>
    <w:rsid w:val="006758EF"/>
    <w:rsid w:val="00676617"/>
    <w:rsid w:val="00676F0C"/>
    <w:rsid w:val="00682337"/>
    <w:rsid w:val="006826B1"/>
    <w:rsid w:val="00683AEF"/>
    <w:rsid w:val="00686572"/>
    <w:rsid w:val="00687E72"/>
    <w:rsid w:val="00690A1C"/>
    <w:rsid w:val="0069393A"/>
    <w:rsid w:val="00693A56"/>
    <w:rsid w:val="00694709"/>
    <w:rsid w:val="006A0DE3"/>
    <w:rsid w:val="006A2836"/>
    <w:rsid w:val="006A2940"/>
    <w:rsid w:val="006A317F"/>
    <w:rsid w:val="006A6E04"/>
    <w:rsid w:val="006A7CBE"/>
    <w:rsid w:val="006B14C1"/>
    <w:rsid w:val="006B17E5"/>
    <w:rsid w:val="006B1959"/>
    <w:rsid w:val="006B467A"/>
    <w:rsid w:val="006B6F8F"/>
    <w:rsid w:val="006C39DD"/>
    <w:rsid w:val="006C534A"/>
    <w:rsid w:val="006C6133"/>
    <w:rsid w:val="006C6B11"/>
    <w:rsid w:val="006C6BB6"/>
    <w:rsid w:val="006D360E"/>
    <w:rsid w:val="006D4646"/>
    <w:rsid w:val="006D6FE8"/>
    <w:rsid w:val="006D7683"/>
    <w:rsid w:val="006D7E00"/>
    <w:rsid w:val="006E501E"/>
    <w:rsid w:val="006E5218"/>
    <w:rsid w:val="006E6E49"/>
    <w:rsid w:val="006F193F"/>
    <w:rsid w:val="006F48FF"/>
    <w:rsid w:val="00701E35"/>
    <w:rsid w:val="007021DC"/>
    <w:rsid w:val="007062DA"/>
    <w:rsid w:val="00710875"/>
    <w:rsid w:val="007120BD"/>
    <w:rsid w:val="007138A0"/>
    <w:rsid w:val="0071507A"/>
    <w:rsid w:val="007171B4"/>
    <w:rsid w:val="00720AF3"/>
    <w:rsid w:val="00721EED"/>
    <w:rsid w:val="00722E89"/>
    <w:rsid w:val="007230F1"/>
    <w:rsid w:val="00724B65"/>
    <w:rsid w:val="00725061"/>
    <w:rsid w:val="00726487"/>
    <w:rsid w:val="00726507"/>
    <w:rsid w:val="00726CA3"/>
    <w:rsid w:val="00732D54"/>
    <w:rsid w:val="0073424E"/>
    <w:rsid w:val="007367CD"/>
    <w:rsid w:val="007367DE"/>
    <w:rsid w:val="007376DC"/>
    <w:rsid w:val="007376F3"/>
    <w:rsid w:val="00741FE8"/>
    <w:rsid w:val="007428CD"/>
    <w:rsid w:val="007461D4"/>
    <w:rsid w:val="007463B4"/>
    <w:rsid w:val="00747BB0"/>
    <w:rsid w:val="00752422"/>
    <w:rsid w:val="00752906"/>
    <w:rsid w:val="00753B62"/>
    <w:rsid w:val="00754A88"/>
    <w:rsid w:val="007609BF"/>
    <w:rsid w:val="00762C93"/>
    <w:rsid w:val="00763771"/>
    <w:rsid w:val="007641C4"/>
    <w:rsid w:val="0076527C"/>
    <w:rsid w:val="007657D7"/>
    <w:rsid w:val="00765A38"/>
    <w:rsid w:val="00767AA0"/>
    <w:rsid w:val="00770362"/>
    <w:rsid w:val="0077044C"/>
    <w:rsid w:val="007709E8"/>
    <w:rsid w:val="00772018"/>
    <w:rsid w:val="00776BC9"/>
    <w:rsid w:val="007774F5"/>
    <w:rsid w:val="00781BB3"/>
    <w:rsid w:val="00782311"/>
    <w:rsid w:val="007852D5"/>
    <w:rsid w:val="007873BC"/>
    <w:rsid w:val="007918F7"/>
    <w:rsid w:val="0079551F"/>
    <w:rsid w:val="00795ADE"/>
    <w:rsid w:val="007A2089"/>
    <w:rsid w:val="007A26AF"/>
    <w:rsid w:val="007A3AFB"/>
    <w:rsid w:val="007A764C"/>
    <w:rsid w:val="007B1B80"/>
    <w:rsid w:val="007B31B3"/>
    <w:rsid w:val="007B40D9"/>
    <w:rsid w:val="007B4924"/>
    <w:rsid w:val="007C3D49"/>
    <w:rsid w:val="007C61BB"/>
    <w:rsid w:val="007C668B"/>
    <w:rsid w:val="007D0A78"/>
    <w:rsid w:val="007D3C9C"/>
    <w:rsid w:val="007D41D1"/>
    <w:rsid w:val="007D5167"/>
    <w:rsid w:val="007E021E"/>
    <w:rsid w:val="007E4B1D"/>
    <w:rsid w:val="007F3434"/>
    <w:rsid w:val="007F74C6"/>
    <w:rsid w:val="007F79DC"/>
    <w:rsid w:val="008008C1"/>
    <w:rsid w:val="008012AB"/>
    <w:rsid w:val="00801831"/>
    <w:rsid w:val="008046E8"/>
    <w:rsid w:val="0080485D"/>
    <w:rsid w:val="008100B5"/>
    <w:rsid w:val="008101EF"/>
    <w:rsid w:val="008104A8"/>
    <w:rsid w:val="0081595B"/>
    <w:rsid w:val="00816920"/>
    <w:rsid w:val="00816D81"/>
    <w:rsid w:val="00822579"/>
    <w:rsid w:val="00825ED3"/>
    <w:rsid w:val="008261FD"/>
    <w:rsid w:val="00827673"/>
    <w:rsid w:val="008324B8"/>
    <w:rsid w:val="00833939"/>
    <w:rsid w:val="00837F43"/>
    <w:rsid w:val="00840CDA"/>
    <w:rsid w:val="008438A0"/>
    <w:rsid w:val="008444C1"/>
    <w:rsid w:val="00846172"/>
    <w:rsid w:val="008468F0"/>
    <w:rsid w:val="008535BF"/>
    <w:rsid w:val="0086143B"/>
    <w:rsid w:val="00862DDD"/>
    <w:rsid w:val="00864401"/>
    <w:rsid w:val="00864D2E"/>
    <w:rsid w:val="0086547D"/>
    <w:rsid w:val="00872E5B"/>
    <w:rsid w:val="0087404B"/>
    <w:rsid w:val="008745F9"/>
    <w:rsid w:val="00877961"/>
    <w:rsid w:val="00881579"/>
    <w:rsid w:val="0088161A"/>
    <w:rsid w:val="00882067"/>
    <w:rsid w:val="00885D95"/>
    <w:rsid w:val="008875FE"/>
    <w:rsid w:val="008906B3"/>
    <w:rsid w:val="008933B9"/>
    <w:rsid w:val="00894541"/>
    <w:rsid w:val="00896137"/>
    <w:rsid w:val="008A05CE"/>
    <w:rsid w:val="008A07CE"/>
    <w:rsid w:val="008A22B2"/>
    <w:rsid w:val="008A3FC2"/>
    <w:rsid w:val="008A7B2C"/>
    <w:rsid w:val="008B0870"/>
    <w:rsid w:val="008B3716"/>
    <w:rsid w:val="008B58A6"/>
    <w:rsid w:val="008C0256"/>
    <w:rsid w:val="008C05CD"/>
    <w:rsid w:val="008C0A35"/>
    <w:rsid w:val="008C3C12"/>
    <w:rsid w:val="008C3FDC"/>
    <w:rsid w:val="008D1941"/>
    <w:rsid w:val="008D1D6D"/>
    <w:rsid w:val="008D485C"/>
    <w:rsid w:val="008D5FC9"/>
    <w:rsid w:val="008D61D2"/>
    <w:rsid w:val="008D62A2"/>
    <w:rsid w:val="008D7CFB"/>
    <w:rsid w:val="008E58B0"/>
    <w:rsid w:val="008E7825"/>
    <w:rsid w:val="008E7E66"/>
    <w:rsid w:val="008F0394"/>
    <w:rsid w:val="008F1212"/>
    <w:rsid w:val="008F3087"/>
    <w:rsid w:val="008F4FE1"/>
    <w:rsid w:val="00900BEA"/>
    <w:rsid w:val="00904474"/>
    <w:rsid w:val="00904A7A"/>
    <w:rsid w:val="00907112"/>
    <w:rsid w:val="0091004E"/>
    <w:rsid w:val="009135CC"/>
    <w:rsid w:val="00916265"/>
    <w:rsid w:val="00917626"/>
    <w:rsid w:val="00917993"/>
    <w:rsid w:val="00921921"/>
    <w:rsid w:val="00921E8E"/>
    <w:rsid w:val="009237BC"/>
    <w:rsid w:val="0092487D"/>
    <w:rsid w:val="009254F8"/>
    <w:rsid w:val="0093085D"/>
    <w:rsid w:val="009310AC"/>
    <w:rsid w:val="00931193"/>
    <w:rsid w:val="00934C95"/>
    <w:rsid w:val="00936E89"/>
    <w:rsid w:val="009449A4"/>
    <w:rsid w:val="00962D31"/>
    <w:rsid w:val="00971AA3"/>
    <w:rsid w:val="00972D86"/>
    <w:rsid w:val="0098012A"/>
    <w:rsid w:val="00980328"/>
    <w:rsid w:val="0098171D"/>
    <w:rsid w:val="00981C07"/>
    <w:rsid w:val="00983146"/>
    <w:rsid w:val="00984D9C"/>
    <w:rsid w:val="009879F6"/>
    <w:rsid w:val="00987C2D"/>
    <w:rsid w:val="00992273"/>
    <w:rsid w:val="009922A6"/>
    <w:rsid w:val="00992915"/>
    <w:rsid w:val="00992B00"/>
    <w:rsid w:val="00996BC8"/>
    <w:rsid w:val="00997958"/>
    <w:rsid w:val="00997E39"/>
    <w:rsid w:val="009A0E38"/>
    <w:rsid w:val="009A1266"/>
    <w:rsid w:val="009A4FD1"/>
    <w:rsid w:val="009A5C05"/>
    <w:rsid w:val="009A66E1"/>
    <w:rsid w:val="009B126B"/>
    <w:rsid w:val="009B6193"/>
    <w:rsid w:val="009B7343"/>
    <w:rsid w:val="009C48B2"/>
    <w:rsid w:val="009C56F3"/>
    <w:rsid w:val="009C5746"/>
    <w:rsid w:val="009C6A1F"/>
    <w:rsid w:val="009D2BDF"/>
    <w:rsid w:val="009D3BF0"/>
    <w:rsid w:val="009D3D9B"/>
    <w:rsid w:val="009D4308"/>
    <w:rsid w:val="009D6A5F"/>
    <w:rsid w:val="009D74B8"/>
    <w:rsid w:val="009D7FAC"/>
    <w:rsid w:val="009E090A"/>
    <w:rsid w:val="009E0E6D"/>
    <w:rsid w:val="009E200C"/>
    <w:rsid w:val="009E28A9"/>
    <w:rsid w:val="009E4968"/>
    <w:rsid w:val="009E5723"/>
    <w:rsid w:val="009E7A7D"/>
    <w:rsid w:val="009F03B6"/>
    <w:rsid w:val="009F04AA"/>
    <w:rsid w:val="009F0E78"/>
    <w:rsid w:val="009F6226"/>
    <w:rsid w:val="00A017AC"/>
    <w:rsid w:val="00A021B1"/>
    <w:rsid w:val="00A05525"/>
    <w:rsid w:val="00A07CDE"/>
    <w:rsid w:val="00A1093E"/>
    <w:rsid w:val="00A15393"/>
    <w:rsid w:val="00A17D99"/>
    <w:rsid w:val="00A21E2B"/>
    <w:rsid w:val="00A22965"/>
    <w:rsid w:val="00A33200"/>
    <w:rsid w:val="00A34F5A"/>
    <w:rsid w:val="00A35CAA"/>
    <w:rsid w:val="00A379D8"/>
    <w:rsid w:val="00A40A75"/>
    <w:rsid w:val="00A40C97"/>
    <w:rsid w:val="00A417F4"/>
    <w:rsid w:val="00A43F9E"/>
    <w:rsid w:val="00A45FEC"/>
    <w:rsid w:val="00A46D4E"/>
    <w:rsid w:val="00A476A5"/>
    <w:rsid w:val="00A47B47"/>
    <w:rsid w:val="00A509C1"/>
    <w:rsid w:val="00A53971"/>
    <w:rsid w:val="00A542A4"/>
    <w:rsid w:val="00A5462C"/>
    <w:rsid w:val="00A55C6E"/>
    <w:rsid w:val="00A55E98"/>
    <w:rsid w:val="00A57B21"/>
    <w:rsid w:val="00A60D15"/>
    <w:rsid w:val="00A64770"/>
    <w:rsid w:val="00A67E07"/>
    <w:rsid w:val="00A71E3D"/>
    <w:rsid w:val="00A72965"/>
    <w:rsid w:val="00A72BC1"/>
    <w:rsid w:val="00A72C61"/>
    <w:rsid w:val="00A7347D"/>
    <w:rsid w:val="00A73970"/>
    <w:rsid w:val="00A7437B"/>
    <w:rsid w:val="00A746A0"/>
    <w:rsid w:val="00A74C56"/>
    <w:rsid w:val="00A8107B"/>
    <w:rsid w:val="00A878EF"/>
    <w:rsid w:val="00A87DF9"/>
    <w:rsid w:val="00A900B6"/>
    <w:rsid w:val="00A910C4"/>
    <w:rsid w:val="00A9347A"/>
    <w:rsid w:val="00A938AF"/>
    <w:rsid w:val="00A93E2B"/>
    <w:rsid w:val="00A94D41"/>
    <w:rsid w:val="00A96A41"/>
    <w:rsid w:val="00A96F2C"/>
    <w:rsid w:val="00AA2CE3"/>
    <w:rsid w:val="00AA435C"/>
    <w:rsid w:val="00AA458D"/>
    <w:rsid w:val="00AA4FC7"/>
    <w:rsid w:val="00AA5149"/>
    <w:rsid w:val="00AA5FE1"/>
    <w:rsid w:val="00AC033D"/>
    <w:rsid w:val="00AC405F"/>
    <w:rsid w:val="00AC5081"/>
    <w:rsid w:val="00AC6330"/>
    <w:rsid w:val="00AD09AE"/>
    <w:rsid w:val="00AD4D66"/>
    <w:rsid w:val="00AD6062"/>
    <w:rsid w:val="00AD6906"/>
    <w:rsid w:val="00AD793F"/>
    <w:rsid w:val="00AE0E26"/>
    <w:rsid w:val="00AE4A47"/>
    <w:rsid w:val="00AE4F37"/>
    <w:rsid w:val="00AE5965"/>
    <w:rsid w:val="00AE7E4C"/>
    <w:rsid w:val="00AF4177"/>
    <w:rsid w:val="00AF4B46"/>
    <w:rsid w:val="00AF6120"/>
    <w:rsid w:val="00AF6682"/>
    <w:rsid w:val="00B00E22"/>
    <w:rsid w:val="00B060C5"/>
    <w:rsid w:val="00B132A0"/>
    <w:rsid w:val="00B13A30"/>
    <w:rsid w:val="00B144F0"/>
    <w:rsid w:val="00B15AED"/>
    <w:rsid w:val="00B16CCE"/>
    <w:rsid w:val="00B21AAB"/>
    <w:rsid w:val="00B236B7"/>
    <w:rsid w:val="00B2370C"/>
    <w:rsid w:val="00B30543"/>
    <w:rsid w:val="00B30CCD"/>
    <w:rsid w:val="00B31454"/>
    <w:rsid w:val="00B31745"/>
    <w:rsid w:val="00B3198E"/>
    <w:rsid w:val="00B32131"/>
    <w:rsid w:val="00B33CFF"/>
    <w:rsid w:val="00B33D9D"/>
    <w:rsid w:val="00B33EC4"/>
    <w:rsid w:val="00B400A3"/>
    <w:rsid w:val="00B40AA3"/>
    <w:rsid w:val="00B44E81"/>
    <w:rsid w:val="00B4550E"/>
    <w:rsid w:val="00B45FE0"/>
    <w:rsid w:val="00B46FA5"/>
    <w:rsid w:val="00B54ED5"/>
    <w:rsid w:val="00B5698E"/>
    <w:rsid w:val="00B57D37"/>
    <w:rsid w:val="00B6102B"/>
    <w:rsid w:val="00B61257"/>
    <w:rsid w:val="00B624F6"/>
    <w:rsid w:val="00B66891"/>
    <w:rsid w:val="00B66DE2"/>
    <w:rsid w:val="00B70414"/>
    <w:rsid w:val="00B70505"/>
    <w:rsid w:val="00B71323"/>
    <w:rsid w:val="00B75133"/>
    <w:rsid w:val="00B80A05"/>
    <w:rsid w:val="00B81497"/>
    <w:rsid w:val="00B81A6F"/>
    <w:rsid w:val="00B82227"/>
    <w:rsid w:val="00B85406"/>
    <w:rsid w:val="00B87851"/>
    <w:rsid w:val="00B92592"/>
    <w:rsid w:val="00B949D6"/>
    <w:rsid w:val="00B97F14"/>
    <w:rsid w:val="00BA42D5"/>
    <w:rsid w:val="00BA5D5A"/>
    <w:rsid w:val="00BA77E9"/>
    <w:rsid w:val="00BC07CA"/>
    <w:rsid w:val="00BC2258"/>
    <w:rsid w:val="00BC2519"/>
    <w:rsid w:val="00BC5303"/>
    <w:rsid w:val="00BC72E5"/>
    <w:rsid w:val="00BD124A"/>
    <w:rsid w:val="00BD31D6"/>
    <w:rsid w:val="00BE29BD"/>
    <w:rsid w:val="00BE4DDF"/>
    <w:rsid w:val="00BF3D94"/>
    <w:rsid w:val="00BF5853"/>
    <w:rsid w:val="00C0024F"/>
    <w:rsid w:val="00C02D9C"/>
    <w:rsid w:val="00C02F9A"/>
    <w:rsid w:val="00C07E5C"/>
    <w:rsid w:val="00C10780"/>
    <w:rsid w:val="00C12845"/>
    <w:rsid w:val="00C20367"/>
    <w:rsid w:val="00C2236D"/>
    <w:rsid w:val="00C231C7"/>
    <w:rsid w:val="00C27A36"/>
    <w:rsid w:val="00C34F2F"/>
    <w:rsid w:val="00C4062E"/>
    <w:rsid w:val="00C40AC8"/>
    <w:rsid w:val="00C441E2"/>
    <w:rsid w:val="00C4422E"/>
    <w:rsid w:val="00C443C3"/>
    <w:rsid w:val="00C468AD"/>
    <w:rsid w:val="00C519EE"/>
    <w:rsid w:val="00C54300"/>
    <w:rsid w:val="00C55868"/>
    <w:rsid w:val="00C56DEC"/>
    <w:rsid w:val="00C5757B"/>
    <w:rsid w:val="00C57BB7"/>
    <w:rsid w:val="00C61AA5"/>
    <w:rsid w:val="00C67824"/>
    <w:rsid w:val="00C67F92"/>
    <w:rsid w:val="00C748B2"/>
    <w:rsid w:val="00C75242"/>
    <w:rsid w:val="00C763F6"/>
    <w:rsid w:val="00C775DF"/>
    <w:rsid w:val="00C77DFF"/>
    <w:rsid w:val="00C803EF"/>
    <w:rsid w:val="00C80C52"/>
    <w:rsid w:val="00C80E03"/>
    <w:rsid w:val="00C82E82"/>
    <w:rsid w:val="00C83CB5"/>
    <w:rsid w:val="00C847E3"/>
    <w:rsid w:val="00C85039"/>
    <w:rsid w:val="00C871E2"/>
    <w:rsid w:val="00C91007"/>
    <w:rsid w:val="00C93CE9"/>
    <w:rsid w:val="00C94439"/>
    <w:rsid w:val="00C94B51"/>
    <w:rsid w:val="00C96BD9"/>
    <w:rsid w:val="00C96EE3"/>
    <w:rsid w:val="00CA4BA1"/>
    <w:rsid w:val="00CA677E"/>
    <w:rsid w:val="00CA7410"/>
    <w:rsid w:val="00CB515B"/>
    <w:rsid w:val="00CB5D96"/>
    <w:rsid w:val="00CB6BAD"/>
    <w:rsid w:val="00CB7E3D"/>
    <w:rsid w:val="00CC079C"/>
    <w:rsid w:val="00CC259D"/>
    <w:rsid w:val="00CC5196"/>
    <w:rsid w:val="00CC7BF0"/>
    <w:rsid w:val="00CC7CC4"/>
    <w:rsid w:val="00CD1363"/>
    <w:rsid w:val="00CD162D"/>
    <w:rsid w:val="00CD2E71"/>
    <w:rsid w:val="00CD6069"/>
    <w:rsid w:val="00CE0B0A"/>
    <w:rsid w:val="00CE2ED2"/>
    <w:rsid w:val="00CE38BE"/>
    <w:rsid w:val="00CE3FEC"/>
    <w:rsid w:val="00CF2653"/>
    <w:rsid w:val="00CF314B"/>
    <w:rsid w:val="00CF57B0"/>
    <w:rsid w:val="00CF604E"/>
    <w:rsid w:val="00CF6697"/>
    <w:rsid w:val="00D013CA"/>
    <w:rsid w:val="00D04E86"/>
    <w:rsid w:val="00D05AF2"/>
    <w:rsid w:val="00D07665"/>
    <w:rsid w:val="00D11534"/>
    <w:rsid w:val="00D12CCF"/>
    <w:rsid w:val="00D13C16"/>
    <w:rsid w:val="00D13FCF"/>
    <w:rsid w:val="00D14133"/>
    <w:rsid w:val="00D1487F"/>
    <w:rsid w:val="00D175B3"/>
    <w:rsid w:val="00D17A4D"/>
    <w:rsid w:val="00D20179"/>
    <w:rsid w:val="00D20812"/>
    <w:rsid w:val="00D21206"/>
    <w:rsid w:val="00D21CF4"/>
    <w:rsid w:val="00D21D46"/>
    <w:rsid w:val="00D21F1B"/>
    <w:rsid w:val="00D22797"/>
    <w:rsid w:val="00D231EB"/>
    <w:rsid w:val="00D244D7"/>
    <w:rsid w:val="00D2464F"/>
    <w:rsid w:val="00D2489D"/>
    <w:rsid w:val="00D24DC4"/>
    <w:rsid w:val="00D26263"/>
    <w:rsid w:val="00D2696F"/>
    <w:rsid w:val="00D2759C"/>
    <w:rsid w:val="00D278F4"/>
    <w:rsid w:val="00D30C03"/>
    <w:rsid w:val="00D33B9E"/>
    <w:rsid w:val="00D34A63"/>
    <w:rsid w:val="00D37A40"/>
    <w:rsid w:val="00D45A6A"/>
    <w:rsid w:val="00D46DA8"/>
    <w:rsid w:val="00D47C26"/>
    <w:rsid w:val="00D50AEC"/>
    <w:rsid w:val="00D5158A"/>
    <w:rsid w:val="00D52FFD"/>
    <w:rsid w:val="00D55E01"/>
    <w:rsid w:val="00D56181"/>
    <w:rsid w:val="00D57262"/>
    <w:rsid w:val="00D57EA8"/>
    <w:rsid w:val="00D61698"/>
    <w:rsid w:val="00D62CDF"/>
    <w:rsid w:val="00D644C0"/>
    <w:rsid w:val="00D667E6"/>
    <w:rsid w:val="00D66CFE"/>
    <w:rsid w:val="00D677CA"/>
    <w:rsid w:val="00D737B1"/>
    <w:rsid w:val="00D73B46"/>
    <w:rsid w:val="00D75487"/>
    <w:rsid w:val="00D76058"/>
    <w:rsid w:val="00D843DB"/>
    <w:rsid w:val="00D875CB"/>
    <w:rsid w:val="00D87C1E"/>
    <w:rsid w:val="00D9108B"/>
    <w:rsid w:val="00D93CAD"/>
    <w:rsid w:val="00D94897"/>
    <w:rsid w:val="00DA2D9F"/>
    <w:rsid w:val="00DA3F6D"/>
    <w:rsid w:val="00DA543D"/>
    <w:rsid w:val="00DA6F85"/>
    <w:rsid w:val="00DB0A11"/>
    <w:rsid w:val="00DB13FC"/>
    <w:rsid w:val="00DB3811"/>
    <w:rsid w:val="00DB540E"/>
    <w:rsid w:val="00DB5ABF"/>
    <w:rsid w:val="00DC0097"/>
    <w:rsid w:val="00DC3396"/>
    <w:rsid w:val="00DC37E9"/>
    <w:rsid w:val="00DC4977"/>
    <w:rsid w:val="00DC5767"/>
    <w:rsid w:val="00DC76B6"/>
    <w:rsid w:val="00DC7FC4"/>
    <w:rsid w:val="00DD0AAA"/>
    <w:rsid w:val="00DD0F9F"/>
    <w:rsid w:val="00DE0B47"/>
    <w:rsid w:val="00DE4FA7"/>
    <w:rsid w:val="00DF695F"/>
    <w:rsid w:val="00E012BC"/>
    <w:rsid w:val="00E01D77"/>
    <w:rsid w:val="00E02355"/>
    <w:rsid w:val="00E03F73"/>
    <w:rsid w:val="00E043B4"/>
    <w:rsid w:val="00E06BC2"/>
    <w:rsid w:val="00E122DF"/>
    <w:rsid w:val="00E13699"/>
    <w:rsid w:val="00E13F82"/>
    <w:rsid w:val="00E15755"/>
    <w:rsid w:val="00E16B3C"/>
    <w:rsid w:val="00E17CC7"/>
    <w:rsid w:val="00E23C83"/>
    <w:rsid w:val="00E251BB"/>
    <w:rsid w:val="00E27BC1"/>
    <w:rsid w:val="00E322B1"/>
    <w:rsid w:val="00E33BBE"/>
    <w:rsid w:val="00E35752"/>
    <w:rsid w:val="00E359A8"/>
    <w:rsid w:val="00E41C1D"/>
    <w:rsid w:val="00E42952"/>
    <w:rsid w:val="00E42AC0"/>
    <w:rsid w:val="00E44294"/>
    <w:rsid w:val="00E46E75"/>
    <w:rsid w:val="00E47CCA"/>
    <w:rsid w:val="00E513C8"/>
    <w:rsid w:val="00E54787"/>
    <w:rsid w:val="00E55B4E"/>
    <w:rsid w:val="00E56767"/>
    <w:rsid w:val="00E569E0"/>
    <w:rsid w:val="00E60617"/>
    <w:rsid w:val="00E60EF1"/>
    <w:rsid w:val="00E6253B"/>
    <w:rsid w:val="00E642F6"/>
    <w:rsid w:val="00E71698"/>
    <w:rsid w:val="00E720EF"/>
    <w:rsid w:val="00E72539"/>
    <w:rsid w:val="00E7421E"/>
    <w:rsid w:val="00E8096B"/>
    <w:rsid w:val="00E825DA"/>
    <w:rsid w:val="00E826A5"/>
    <w:rsid w:val="00E859A5"/>
    <w:rsid w:val="00E86868"/>
    <w:rsid w:val="00E86F2F"/>
    <w:rsid w:val="00E87CEB"/>
    <w:rsid w:val="00E90596"/>
    <w:rsid w:val="00E91EEE"/>
    <w:rsid w:val="00E9204B"/>
    <w:rsid w:val="00E92765"/>
    <w:rsid w:val="00E932FA"/>
    <w:rsid w:val="00E93AEA"/>
    <w:rsid w:val="00E94727"/>
    <w:rsid w:val="00E948C1"/>
    <w:rsid w:val="00E959F1"/>
    <w:rsid w:val="00E95C3F"/>
    <w:rsid w:val="00E95D37"/>
    <w:rsid w:val="00E95E42"/>
    <w:rsid w:val="00E96488"/>
    <w:rsid w:val="00E966B2"/>
    <w:rsid w:val="00E971AA"/>
    <w:rsid w:val="00EA1632"/>
    <w:rsid w:val="00EA1ED8"/>
    <w:rsid w:val="00EA2CA6"/>
    <w:rsid w:val="00EA6F54"/>
    <w:rsid w:val="00EA78F7"/>
    <w:rsid w:val="00EB2CCA"/>
    <w:rsid w:val="00EB353E"/>
    <w:rsid w:val="00EB3B3F"/>
    <w:rsid w:val="00EB4026"/>
    <w:rsid w:val="00EB4EE0"/>
    <w:rsid w:val="00EB5D51"/>
    <w:rsid w:val="00EB7AF3"/>
    <w:rsid w:val="00EC2082"/>
    <w:rsid w:val="00EC5375"/>
    <w:rsid w:val="00EC586D"/>
    <w:rsid w:val="00EC651A"/>
    <w:rsid w:val="00ED470F"/>
    <w:rsid w:val="00EE141C"/>
    <w:rsid w:val="00EE2276"/>
    <w:rsid w:val="00EE2377"/>
    <w:rsid w:val="00EE63B4"/>
    <w:rsid w:val="00EE6ECE"/>
    <w:rsid w:val="00EF02FE"/>
    <w:rsid w:val="00EF383E"/>
    <w:rsid w:val="00EF3F3D"/>
    <w:rsid w:val="00EF5C47"/>
    <w:rsid w:val="00F01A17"/>
    <w:rsid w:val="00F064FF"/>
    <w:rsid w:val="00F0662F"/>
    <w:rsid w:val="00F07901"/>
    <w:rsid w:val="00F07C09"/>
    <w:rsid w:val="00F10A9A"/>
    <w:rsid w:val="00F1445F"/>
    <w:rsid w:val="00F16474"/>
    <w:rsid w:val="00F16555"/>
    <w:rsid w:val="00F20949"/>
    <w:rsid w:val="00F20CCE"/>
    <w:rsid w:val="00F21571"/>
    <w:rsid w:val="00F25E45"/>
    <w:rsid w:val="00F31C12"/>
    <w:rsid w:val="00F3324F"/>
    <w:rsid w:val="00F33749"/>
    <w:rsid w:val="00F35CE8"/>
    <w:rsid w:val="00F425FE"/>
    <w:rsid w:val="00F42F66"/>
    <w:rsid w:val="00F43B87"/>
    <w:rsid w:val="00F44CD8"/>
    <w:rsid w:val="00F464DE"/>
    <w:rsid w:val="00F46C72"/>
    <w:rsid w:val="00F46FF0"/>
    <w:rsid w:val="00F4724B"/>
    <w:rsid w:val="00F50832"/>
    <w:rsid w:val="00F54967"/>
    <w:rsid w:val="00F56A03"/>
    <w:rsid w:val="00F575D9"/>
    <w:rsid w:val="00F57DD2"/>
    <w:rsid w:val="00F60D2E"/>
    <w:rsid w:val="00F659F2"/>
    <w:rsid w:val="00F70E30"/>
    <w:rsid w:val="00F73DDC"/>
    <w:rsid w:val="00F748C3"/>
    <w:rsid w:val="00F75F97"/>
    <w:rsid w:val="00F760AE"/>
    <w:rsid w:val="00F84B75"/>
    <w:rsid w:val="00F8643C"/>
    <w:rsid w:val="00F86512"/>
    <w:rsid w:val="00F86B71"/>
    <w:rsid w:val="00F87A4F"/>
    <w:rsid w:val="00F91606"/>
    <w:rsid w:val="00F921FE"/>
    <w:rsid w:val="00F9527C"/>
    <w:rsid w:val="00F96516"/>
    <w:rsid w:val="00FA1D99"/>
    <w:rsid w:val="00FA1DA7"/>
    <w:rsid w:val="00FA3B8F"/>
    <w:rsid w:val="00FA3C53"/>
    <w:rsid w:val="00FA4054"/>
    <w:rsid w:val="00FB2663"/>
    <w:rsid w:val="00FB5792"/>
    <w:rsid w:val="00FB62E3"/>
    <w:rsid w:val="00FB77C0"/>
    <w:rsid w:val="00FC0E6C"/>
    <w:rsid w:val="00FC15F5"/>
    <w:rsid w:val="00FC5560"/>
    <w:rsid w:val="00FC79FB"/>
    <w:rsid w:val="00FD0308"/>
    <w:rsid w:val="00FD1155"/>
    <w:rsid w:val="00FD2715"/>
    <w:rsid w:val="00FD37D3"/>
    <w:rsid w:val="00FD50C7"/>
    <w:rsid w:val="00FD52F7"/>
    <w:rsid w:val="00FE1959"/>
    <w:rsid w:val="00FE3AD6"/>
    <w:rsid w:val="00FE5C02"/>
    <w:rsid w:val="00FE5F76"/>
    <w:rsid w:val="00FE6100"/>
    <w:rsid w:val="00FE6D71"/>
    <w:rsid w:val="00FE73F9"/>
    <w:rsid w:val="00FF2407"/>
    <w:rsid w:val="00FF2780"/>
    <w:rsid w:val="00FF2C53"/>
    <w:rsid w:val="00FF3D1B"/>
    <w:rsid w:val="00FF59E9"/>
    <w:rsid w:val="00FF5F34"/>
    <w:rsid w:val="00FF61BA"/>
    <w:rsid w:val="00FF6901"/>
    <w:rsid w:val="00FF7E9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58C"/>
    <w:pPr>
      <w:spacing w:before="240"/>
    </w:pPr>
    <w:rPr>
      <w:sz w:val="24"/>
    </w:rPr>
  </w:style>
  <w:style w:type="paragraph" w:styleId="Heading6">
    <w:name w:val="heading 6"/>
    <w:basedOn w:val="Normal"/>
    <w:next w:val="Normal"/>
    <w:qFormat/>
    <w:rsid w:val="0049358C"/>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Normal"/>
    <w:semiHidden/>
    <w:rsid w:val="0049358C"/>
    <w:pPr>
      <w:spacing w:before="0"/>
    </w:pPr>
    <w:rPr>
      <w:rFonts w:ascii="Arial" w:hAnsi="Arial" w:cs="Arial"/>
      <w:color w:val="000000"/>
      <w:sz w:val="22"/>
      <w:szCs w:val="22"/>
      <w:lang w:eastAsia="en-US"/>
    </w:rPr>
  </w:style>
  <w:style w:type="paragraph" w:styleId="NormalWeb">
    <w:name w:val="Normal (Web)"/>
    <w:basedOn w:val="Normal"/>
    <w:rsid w:val="00FA1DA7"/>
    <w:pPr>
      <w:spacing w:before="100" w:beforeAutospacing="1" w:after="100" w:afterAutospacing="1"/>
    </w:pPr>
    <w:rPr>
      <w:szCs w:val="24"/>
    </w:rPr>
  </w:style>
  <w:style w:type="character" w:styleId="CommentReference">
    <w:name w:val="annotation reference"/>
    <w:rsid w:val="001714C0"/>
    <w:rPr>
      <w:sz w:val="16"/>
      <w:szCs w:val="16"/>
    </w:rPr>
  </w:style>
  <w:style w:type="paragraph" w:styleId="CommentText">
    <w:name w:val="annotation text"/>
    <w:basedOn w:val="Normal"/>
    <w:link w:val="CommentTextChar"/>
    <w:rsid w:val="001714C0"/>
    <w:rPr>
      <w:sz w:val="20"/>
    </w:rPr>
  </w:style>
  <w:style w:type="paragraph" w:styleId="CommentSubject">
    <w:name w:val="annotation subject"/>
    <w:basedOn w:val="CommentText"/>
    <w:next w:val="CommentText"/>
    <w:semiHidden/>
    <w:rsid w:val="001714C0"/>
    <w:rPr>
      <w:b/>
      <w:bCs/>
    </w:rPr>
  </w:style>
  <w:style w:type="paragraph" w:styleId="BalloonText">
    <w:name w:val="Balloon Text"/>
    <w:basedOn w:val="Normal"/>
    <w:semiHidden/>
    <w:rsid w:val="001714C0"/>
    <w:rPr>
      <w:rFonts w:ascii="Tahoma" w:hAnsi="Tahoma" w:cs="Tahoma"/>
      <w:sz w:val="16"/>
      <w:szCs w:val="16"/>
    </w:rPr>
  </w:style>
  <w:style w:type="paragraph" w:customStyle="1" w:styleId="numberlevel1">
    <w:name w:val="numberlevel1"/>
    <w:basedOn w:val="Normal"/>
    <w:rsid w:val="00443F37"/>
    <w:pPr>
      <w:spacing w:before="100" w:beforeAutospacing="1" w:after="100" w:afterAutospacing="1"/>
    </w:pPr>
    <w:rPr>
      <w:szCs w:val="24"/>
    </w:rPr>
  </w:style>
  <w:style w:type="character" w:customStyle="1" w:styleId="CommentTextChar">
    <w:name w:val="Comment Text Char"/>
    <w:basedOn w:val="DefaultParagraphFont"/>
    <w:link w:val="CommentText"/>
    <w:rsid w:val="00067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587621">
      <w:bodyDiv w:val="1"/>
      <w:marLeft w:val="0"/>
      <w:marRight w:val="0"/>
      <w:marTop w:val="0"/>
      <w:marBottom w:val="0"/>
      <w:divBdr>
        <w:top w:val="none" w:sz="0" w:space="0" w:color="auto"/>
        <w:left w:val="none" w:sz="0" w:space="0" w:color="auto"/>
        <w:bottom w:val="none" w:sz="0" w:space="0" w:color="auto"/>
        <w:right w:val="none" w:sz="0" w:space="0" w:color="auto"/>
      </w:divBdr>
      <w:divsChild>
        <w:div w:id="423962964">
          <w:marLeft w:val="0"/>
          <w:marRight w:val="0"/>
          <w:marTop w:val="0"/>
          <w:marBottom w:val="0"/>
          <w:divBdr>
            <w:top w:val="none" w:sz="0" w:space="0" w:color="auto"/>
            <w:left w:val="none" w:sz="0" w:space="0" w:color="auto"/>
            <w:bottom w:val="none" w:sz="0" w:space="0" w:color="auto"/>
            <w:right w:val="none" w:sz="0" w:space="0" w:color="auto"/>
          </w:divBdr>
          <w:divsChild>
            <w:div w:id="2940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380">
      <w:bodyDiv w:val="1"/>
      <w:marLeft w:val="0"/>
      <w:marRight w:val="0"/>
      <w:marTop w:val="0"/>
      <w:marBottom w:val="0"/>
      <w:divBdr>
        <w:top w:val="none" w:sz="0" w:space="0" w:color="auto"/>
        <w:left w:val="none" w:sz="0" w:space="0" w:color="auto"/>
        <w:bottom w:val="none" w:sz="0" w:space="0" w:color="auto"/>
        <w:right w:val="none" w:sz="0" w:space="0" w:color="auto"/>
      </w:divBdr>
    </w:div>
    <w:div w:id="1682587800">
      <w:bodyDiv w:val="1"/>
      <w:marLeft w:val="0"/>
      <w:marRight w:val="0"/>
      <w:marTop w:val="0"/>
      <w:marBottom w:val="0"/>
      <w:divBdr>
        <w:top w:val="none" w:sz="0" w:space="0" w:color="auto"/>
        <w:left w:val="none" w:sz="0" w:space="0" w:color="auto"/>
        <w:bottom w:val="none" w:sz="0" w:space="0" w:color="auto"/>
        <w:right w:val="none" w:sz="0" w:space="0" w:color="auto"/>
      </w:divBdr>
      <w:divsChild>
        <w:div w:id="298192262">
          <w:marLeft w:val="0"/>
          <w:marRight w:val="0"/>
          <w:marTop w:val="0"/>
          <w:marBottom w:val="0"/>
          <w:divBdr>
            <w:top w:val="none" w:sz="0" w:space="0" w:color="auto"/>
            <w:left w:val="none" w:sz="0" w:space="0" w:color="auto"/>
            <w:bottom w:val="none" w:sz="0" w:space="0" w:color="auto"/>
            <w:right w:val="none" w:sz="0" w:space="0" w:color="auto"/>
          </w:divBdr>
          <w:divsChild>
            <w:div w:id="40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8634">
      <w:bodyDiv w:val="1"/>
      <w:marLeft w:val="0"/>
      <w:marRight w:val="0"/>
      <w:marTop w:val="0"/>
      <w:marBottom w:val="0"/>
      <w:divBdr>
        <w:top w:val="none" w:sz="0" w:space="0" w:color="auto"/>
        <w:left w:val="none" w:sz="0" w:space="0" w:color="auto"/>
        <w:bottom w:val="none" w:sz="0" w:space="0" w:color="auto"/>
        <w:right w:val="none" w:sz="0" w:space="0" w:color="auto"/>
      </w:divBdr>
      <w:divsChild>
        <w:div w:id="1933316951">
          <w:marLeft w:val="0"/>
          <w:marRight w:val="0"/>
          <w:marTop w:val="0"/>
          <w:marBottom w:val="0"/>
          <w:divBdr>
            <w:top w:val="none" w:sz="0" w:space="0" w:color="auto"/>
            <w:left w:val="none" w:sz="0" w:space="0" w:color="auto"/>
            <w:bottom w:val="none" w:sz="0" w:space="0" w:color="auto"/>
            <w:right w:val="none" w:sz="0" w:space="0" w:color="auto"/>
          </w:divBdr>
          <w:divsChild>
            <w:div w:id="956061068">
              <w:marLeft w:val="0"/>
              <w:marRight w:val="0"/>
              <w:marTop w:val="0"/>
              <w:marBottom w:val="0"/>
              <w:divBdr>
                <w:top w:val="none" w:sz="0" w:space="0" w:color="auto"/>
                <w:left w:val="none" w:sz="0" w:space="0" w:color="auto"/>
                <w:bottom w:val="none" w:sz="0" w:space="0" w:color="auto"/>
                <w:right w:val="none" w:sz="0" w:space="0" w:color="auto"/>
              </w:divBdr>
              <w:divsChild>
                <w:div w:id="1900557837">
                  <w:marLeft w:val="0"/>
                  <w:marRight w:val="0"/>
                  <w:marTop w:val="0"/>
                  <w:marBottom w:val="0"/>
                  <w:divBdr>
                    <w:top w:val="none" w:sz="0" w:space="0" w:color="auto"/>
                    <w:left w:val="none" w:sz="0" w:space="0" w:color="auto"/>
                    <w:bottom w:val="none" w:sz="0" w:space="0" w:color="auto"/>
                    <w:right w:val="none" w:sz="0" w:space="0" w:color="auto"/>
                  </w:divBdr>
                  <w:divsChild>
                    <w:div w:id="846552807">
                      <w:marLeft w:val="0"/>
                      <w:marRight w:val="0"/>
                      <w:marTop w:val="0"/>
                      <w:marBottom w:val="0"/>
                      <w:divBdr>
                        <w:top w:val="none" w:sz="0" w:space="0" w:color="auto"/>
                        <w:left w:val="none" w:sz="0" w:space="0" w:color="auto"/>
                        <w:bottom w:val="none" w:sz="0" w:space="0" w:color="auto"/>
                        <w:right w:val="none" w:sz="0" w:space="0" w:color="auto"/>
                      </w:divBdr>
                      <w:divsChild>
                        <w:div w:id="1922520411">
                          <w:marLeft w:val="0"/>
                          <w:marRight w:val="0"/>
                          <w:marTop w:val="0"/>
                          <w:marBottom w:val="0"/>
                          <w:divBdr>
                            <w:top w:val="single" w:sz="6" w:space="0" w:color="828282"/>
                            <w:left w:val="single" w:sz="6" w:space="0" w:color="828282"/>
                            <w:bottom w:val="single" w:sz="6" w:space="0" w:color="828282"/>
                            <w:right w:val="single" w:sz="6" w:space="0" w:color="828282"/>
                          </w:divBdr>
                          <w:divsChild>
                            <w:div w:id="618419843">
                              <w:marLeft w:val="0"/>
                              <w:marRight w:val="0"/>
                              <w:marTop w:val="0"/>
                              <w:marBottom w:val="0"/>
                              <w:divBdr>
                                <w:top w:val="none" w:sz="0" w:space="0" w:color="auto"/>
                                <w:left w:val="none" w:sz="0" w:space="0" w:color="auto"/>
                                <w:bottom w:val="none" w:sz="0" w:space="0" w:color="auto"/>
                                <w:right w:val="none" w:sz="0" w:space="0" w:color="auto"/>
                              </w:divBdr>
                              <w:divsChild>
                                <w:div w:id="2103330839">
                                  <w:marLeft w:val="0"/>
                                  <w:marRight w:val="0"/>
                                  <w:marTop w:val="0"/>
                                  <w:marBottom w:val="0"/>
                                  <w:divBdr>
                                    <w:top w:val="none" w:sz="0" w:space="0" w:color="auto"/>
                                    <w:left w:val="none" w:sz="0" w:space="0" w:color="auto"/>
                                    <w:bottom w:val="none" w:sz="0" w:space="0" w:color="auto"/>
                                    <w:right w:val="none" w:sz="0" w:space="0" w:color="auto"/>
                                  </w:divBdr>
                                  <w:divsChild>
                                    <w:div w:id="204875577">
                                      <w:marLeft w:val="0"/>
                                      <w:marRight w:val="0"/>
                                      <w:marTop w:val="0"/>
                                      <w:marBottom w:val="0"/>
                                      <w:divBdr>
                                        <w:top w:val="none" w:sz="0" w:space="0" w:color="auto"/>
                                        <w:left w:val="none" w:sz="0" w:space="0" w:color="auto"/>
                                        <w:bottom w:val="none" w:sz="0" w:space="0" w:color="auto"/>
                                        <w:right w:val="none" w:sz="0" w:space="0" w:color="auto"/>
                                      </w:divBdr>
                                      <w:divsChild>
                                        <w:div w:id="41947084">
                                          <w:marLeft w:val="0"/>
                                          <w:marRight w:val="0"/>
                                          <w:marTop w:val="0"/>
                                          <w:marBottom w:val="0"/>
                                          <w:divBdr>
                                            <w:top w:val="none" w:sz="0" w:space="0" w:color="auto"/>
                                            <w:left w:val="none" w:sz="0" w:space="0" w:color="auto"/>
                                            <w:bottom w:val="none" w:sz="0" w:space="0" w:color="auto"/>
                                            <w:right w:val="none" w:sz="0" w:space="0" w:color="auto"/>
                                          </w:divBdr>
                                          <w:divsChild>
                                            <w:div w:id="485439068">
                                              <w:marLeft w:val="0"/>
                                              <w:marRight w:val="0"/>
                                              <w:marTop w:val="0"/>
                                              <w:marBottom w:val="0"/>
                                              <w:divBdr>
                                                <w:top w:val="none" w:sz="0" w:space="0" w:color="auto"/>
                                                <w:left w:val="none" w:sz="0" w:space="0" w:color="auto"/>
                                                <w:bottom w:val="none" w:sz="0" w:space="0" w:color="auto"/>
                                                <w:right w:val="none" w:sz="0" w:space="0" w:color="auto"/>
                                              </w:divBdr>
                                              <w:divsChild>
                                                <w:div w:id="1225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1777</Words>
  <Characters>9753</Characters>
  <Application>Microsoft Office Word</Application>
  <DocSecurity>0</DocSecurity>
  <Lines>191</Lines>
  <Paragraphs>78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FaHCSIA</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Melanie Sebastian</dc:creator>
  <cp:lastModifiedBy>gobbid</cp:lastModifiedBy>
  <cp:revision>4</cp:revision>
  <cp:lastPrinted>2012-11-21T03:08:00Z</cp:lastPrinted>
  <dcterms:created xsi:type="dcterms:W3CDTF">2012-11-30T00:04:00Z</dcterms:created>
  <dcterms:modified xsi:type="dcterms:W3CDTF">2012-12-10T04:43:00Z</dcterms:modified>
</cp:coreProperties>
</file>