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10" w:rsidRPr="00A94C87" w:rsidRDefault="0085704F" w:rsidP="00D22F27">
      <w:pPr>
        <w:spacing w:before="120" w:after="120"/>
        <w:jc w:val="center"/>
        <w:rPr>
          <w:rFonts w:cs="Arial"/>
          <w:b/>
          <w:i/>
        </w:rPr>
      </w:pPr>
      <w:r w:rsidRPr="00A94C87">
        <w:rPr>
          <w:rFonts w:cs="Arial"/>
          <w:b/>
          <w:i/>
        </w:rPr>
        <w:t>Legislative Instruments Act 2003</w:t>
      </w:r>
    </w:p>
    <w:p w:rsidR="00F74683" w:rsidRDefault="00F04010" w:rsidP="00D22F27">
      <w:pPr>
        <w:spacing w:before="120" w:after="120"/>
        <w:jc w:val="center"/>
        <w:rPr>
          <w:rFonts w:cs="Arial"/>
          <w:b/>
        </w:rPr>
      </w:pPr>
      <w:r w:rsidRPr="00A94C87">
        <w:rPr>
          <w:rFonts w:cs="Arial"/>
          <w:b/>
        </w:rPr>
        <w:t xml:space="preserve">Section 26 </w:t>
      </w:r>
      <w:r w:rsidR="00E66F7A">
        <w:rPr>
          <w:rFonts w:cs="Arial"/>
          <w:b/>
        </w:rPr>
        <w:t>–</w:t>
      </w:r>
      <w:r w:rsidRPr="00A94C87">
        <w:rPr>
          <w:rFonts w:cs="Arial"/>
          <w:b/>
        </w:rPr>
        <w:t xml:space="preserve"> </w:t>
      </w:r>
      <w:r w:rsidR="00F74683" w:rsidRPr="00A94C87">
        <w:rPr>
          <w:rFonts w:cs="Arial"/>
          <w:b/>
        </w:rPr>
        <w:t>Explanatory Statement</w:t>
      </w:r>
    </w:p>
    <w:p w:rsidR="00397E21" w:rsidRPr="00A94C87" w:rsidRDefault="00397E21" w:rsidP="00D22F27">
      <w:pPr>
        <w:spacing w:before="120" w:after="120"/>
        <w:jc w:val="center"/>
        <w:rPr>
          <w:rFonts w:cs="Arial"/>
          <w:b/>
        </w:rPr>
      </w:pPr>
    </w:p>
    <w:p w:rsidR="00F74683" w:rsidRPr="00A94C87" w:rsidRDefault="00127690" w:rsidP="00D22F27">
      <w:pPr>
        <w:spacing w:before="120" w:after="120"/>
        <w:jc w:val="center"/>
        <w:rPr>
          <w:rFonts w:cs="Arial"/>
          <w:b/>
          <w:i/>
        </w:rPr>
      </w:pPr>
      <w:r w:rsidRPr="00127690">
        <w:rPr>
          <w:rFonts w:cs="Arial"/>
          <w:b/>
          <w:i/>
        </w:rPr>
        <w:t xml:space="preserve">Broadcasting Services (Regional Commercial Radio – </w:t>
      </w:r>
      <w:r w:rsidR="003C4BAE">
        <w:rPr>
          <w:rFonts w:cs="Arial"/>
          <w:b/>
          <w:i/>
        </w:rPr>
        <w:t>S</w:t>
      </w:r>
      <w:r w:rsidRPr="00127690">
        <w:rPr>
          <w:rFonts w:cs="Arial"/>
          <w:b/>
          <w:i/>
        </w:rPr>
        <w:t xml:space="preserve">pecification of </w:t>
      </w:r>
      <w:r w:rsidR="003C4BAE">
        <w:rPr>
          <w:rFonts w:cs="Arial"/>
          <w:b/>
          <w:i/>
        </w:rPr>
        <w:t>P</w:t>
      </w:r>
      <w:r w:rsidRPr="00127690">
        <w:rPr>
          <w:rFonts w:cs="Arial"/>
          <w:b/>
          <w:i/>
        </w:rPr>
        <w:t>eriod</w:t>
      </w:r>
      <w:r w:rsidR="003C4BAE">
        <w:rPr>
          <w:rFonts w:cs="Arial"/>
          <w:b/>
          <w:i/>
        </w:rPr>
        <w:t>s for S</w:t>
      </w:r>
      <w:r w:rsidRPr="00127690">
        <w:rPr>
          <w:rFonts w:cs="Arial"/>
          <w:b/>
          <w:i/>
        </w:rPr>
        <w:t xml:space="preserve">ubsections </w:t>
      </w:r>
      <w:proofErr w:type="gramStart"/>
      <w:r w:rsidRPr="00127690">
        <w:rPr>
          <w:rFonts w:cs="Arial"/>
          <w:b/>
          <w:i/>
        </w:rPr>
        <w:t>43C(</w:t>
      </w:r>
      <w:proofErr w:type="gramEnd"/>
      <w:r w:rsidRPr="00127690">
        <w:rPr>
          <w:rFonts w:cs="Arial"/>
          <w:b/>
          <w:i/>
        </w:rPr>
        <w:t xml:space="preserve">1A) and 61CD(2)) Instrument 2012 </w:t>
      </w:r>
      <w:r w:rsidR="00F74683" w:rsidRPr="00A94C87">
        <w:rPr>
          <w:rFonts w:cs="Arial"/>
          <w:b/>
        </w:rPr>
        <w:t xml:space="preserve">made under the </w:t>
      </w:r>
      <w:r w:rsidR="00F74683" w:rsidRPr="00A94C87">
        <w:rPr>
          <w:rFonts w:cs="Arial"/>
          <w:b/>
          <w:i/>
        </w:rPr>
        <w:t>Broadcasting Services Act 1992</w:t>
      </w:r>
    </w:p>
    <w:p w:rsidR="00F74683" w:rsidRPr="00A94C87" w:rsidRDefault="00F74683" w:rsidP="00D22F27">
      <w:pPr>
        <w:spacing w:before="120" w:after="120"/>
        <w:jc w:val="center"/>
        <w:rPr>
          <w:rFonts w:cs="Arial"/>
          <w:b/>
        </w:rPr>
      </w:pPr>
    </w:p>
    <w:p w:rsidR="00F74683" w:rsidRPr="00A94C87" w:rsidRDefault="00F74683" w:rsidP="00D22F27">
      <w:pPr>
        <w:spacing w:before="120" w:after="120"/>
        <w:jc w:val="center"/>
        <w:rPr>
          <w:rFonts w:cs="Arial"/>
          <w:b/>
        </w:rPr>
      </w:pPr>
      <w:r w:rsidRPr="00A94C87">
        <w:rPr>
          <w:rFonts w:cs="Arial"/>
          <w:b/>
        </w:rPr>
        <w:t>Issued by the Australian Communications and Media Authority</w:t>
      </w:r>
    </w:p>
    <w:p w:rsidR="00F04010" w:rsidRPr="00625363" w:rsidRDefault="00625363" w:rsidP="00D22F27">
      <w:pPr>
        <w:spacing w:before="240" w:after="120" w:line="240" w:lineRule="atLeast"/>
        <w:rPr>
          <w:rFonts w:cs="Arial"/>
          <w:b/>
        </w:rPr>
      </w:pPr>
      <w:r w:rsidRPr="00625363">
        <w:rPr>
          <w:b/>
        </w:rPr>
        <w:t>Purpose</w:t>
      </w:r>
      <w:r>
        <w:rPr>
          <w:b/>
        </w:rPr>
        <w:t xml:space="preserve"> and legislative basis</w:t>
      </w:r>
    </w:p>
    <w:p w:rsidR="00852FAE" w:rsidRPr="00C36F68" w:rsidRDefault="00852FAE" w:rsidP="00852FAE">
      <w:pPr>
        <w:spacing w:before="120" w:after="120" w:line="240" w:lineRule="atLeast"/>
        <w:rPr>
          <w:rFonts w:cs="Arial"/>
          <w:i/>
          <w:highlight w:val="yellow"/>
        </w:rPr>
      </w:pPr>
      <w:r w:rsidRPr="00A94C87">
        <w:rPr>
          <w:rFonts w:cs="Arial"/>
        </w:rPr>
        <w:t xml:space="preserve">On </w:t>
      </w:r>
      <w:r w:rsidR="00354F2D">
        <w:rPr>
          <w:rFonts w:cs="Arial"/>
        </w:rPr>
        <w:t>10</w:t>
      </w:r>
      <w:r w:rsidR="00354F2D" w:rsidRPr="00354F2D">
        <w:rPr>
          <w:rFonts w:cs="Arial"/>
          <w:vertAlign w:val="superscript"/>
        </w:rPr>
        <w:t>th</w:t>
      </w:r>
      <w:r w:rsidR="00354F2D">
        <w:rPr>
          <w:rFonts w:cs="Arial"/>
        </w:rPr>
        <w:t xml:space="preserve"> December 2012</w:t>
      </w:r>
      <w:r w:rsidRPr="00FB28E8">
        <w:rPr>
          <w:rFonts w:cs="Arial"/>
          <w:b/>
        </w:rPr>
        <w:t>,</w:t>
      </w:r>
      <w:r w:rsidRPr="00A94C87">
        <w:rPr>
          <w:rFonts w:cs="Arial"/>
          <w:b/>
        </w:rPr>
        <w:t xml:space="preserve"> </w:t>
      </w:r>
      <w:r w:rsidRPr="00A94C87">
        <w:rPr>
          <w:rFonts w:cs="Arial"/>
        </w:rPr>
        <w:t xml:space="preserve">the Australian Communications and Media Authority (the </w:t>
      </w:r>
      <w:r w:rsidRPr="00D179C2">
        <w:rPr>
          <w:rFonts w:cs="Arial"/>
          <w:b/>
        </w:rPr>
        <w:t>ACMA</w:t>
      </w:r>
      <w:r w:rsidRPr="00A94C87">
        <w:rPr>
          <w:rFonts w:cs="Arial"/>
        </w:rPr>
        <w:t xml:space="preserve">) </w:t>
      </w:r>
      <w:r>
        <w:rPr>
          <w:rFonts w:cs="Arial"/>
        </w:rPr>
        <w:t>made</w:t>
      </w:r>
      <w:r w:rsidRPr="00A94C87">
        <w:rPr>
          <w:rFonts w:cs="Arial"/>
        </w:rPr>
        <w:t xml:space="preserve"> the </w:t>
      </w:r>
      <w:r w:rsidRPr="00127690">
        <w:rPr>
          <w:rFonts w:cs="Arial"/>
          <w:i/>
        </w:rPr>
        <w:t xml:space="preserve">Broadcasting Services (Regional Commercial Radio – </w:t>
      </w:r>
      <w:r>
        <w:rPr>
          <w:rFonts w:cs="Arial"/>
          <w:i/>
        </w:rPr>
        <w:t>S</w:t>
      </w:r>
      <w:r w:rsidRPr="00127690">
        <w:rPr>
          <w:rFonts w:cs="Arial"/>
          <w:i/>
        </w:rPr>
        <w:t xml:space="preserve">pecification of </w:t>
      </w:r>
      <w:r>
        <w:rPr>
          <w:rFonts w:cs="Arial"/>
          <w:i/>
        </w:rPr>
        <w:t>P</w:t>
      </w:r>
      <w:r w:rsidRPr="00127690">
        <w:rPr>
          <w:rFonts w:cs="Arial"/>
          <w:i/>
        </w:rPr>
        <w:t>eriod</w:t>
      </w:r>
      <w:r>
        <w:rPr>
          <w:rFonts w:cs="Arial"/>
          <w:i/>
        </w:rPr>
        <w:t>s</w:t>
      </w:r>
      <w:r w:rsidRPr="00127690">
        <w:rPr>
          <w:rFonts w:cs="Arial"/>
          <w:i/>
        </w:rPr>
        <w:t xml:space="preserve"> for </w:t>
      </w:r>
      <w:r>
        <w:rPr>
          <w:rFonts w:cs="Arial"/>
          <w:i/>
        </w:rPr>
        <w:t>S</w:t>
      </w:r>
      <w:r w:rsidRPr="00127690">
        <w:rPr>
          <w:rFonts w:cs="Arial"/>
          <w:i/>
        </w:rPr>
        <w:t xml:space="preserve">ubsections </w:t>
      </w:r>
      <w:proofErr w:type="gramStart"/>
      <w:r w:rsidRPr="00127690">
        <w:rPr>
          <w:rFonts w:cs="Arial"/>
          <w:i/>
        </w:rPr>
        <w:t>43C(</w:t>
      </w:r>
      <w:proofErr w:type="gramEnd"/>
      <w:r w:rsidRPr="00127690">
        <w:rPr>
          <w:rFonts w:cs="Arial"/>
          <w:i/>
        </w:rPr>
        <w:t xml:space="preserve">1A) and 61CD(2)) Instrument 2012 </w:t>
      </w:r>
      <w:r w:rsidRPr="00A15D18">
        <w:rPr>
          <w:rFonts w:cs="Arial"/>
        </w:rPr>
        <w:t>(</w:t>
      </w:r>
      <w:r w:rsidRPr="000437A8">
        <w:rPr>
          <w:rFonts w:cs="Arial"/>
        </w:rPr>
        <w:t xml:space="preserve">the </w:t>
      </w:r>
      <w:r w:rsidRPr="00D179C2">
        <w:rPr>
          <w:rFonts w:cs="Arial"/>
          <w:b/>
        </w:rPr>
        <w:t>Instrument</w:t>
      </w:r>
      <w:r w:rsidRPr="000437A8">
        <w:rPr>
          <w:rFonts w:cs="Arial"/>
        </w:rPr>
        <w:t>).</w:t>
      </w:r>
      <w:r w:rsidRPr="00A94C87">
        <w:rPr>
          <w:rFonts w:cs="Arial"/>
        </w:rPr>
        <w:t xml:space="preserve"> </w:t>
      </w:r>
    </w:p>
    <w:p w:rsidR="00852FAE" w:rsidRDefault="00852FAE" w:rsidP="00852FAE">
      <w:pPr>
        <w:spacing w:after="80"/>
        <w:rPr>
          <w:rFonts w:cs="Arial"/>
        </w:rPr>
      </w:pPr>
      <w:r w:rsidRPr="00A94C87">
        <w:rPr>
          <w:rFonts w:cs="Arial"/>
        </w:rPr>
        <w:t xml:space="preserve">The ACMA </w:t>
      </w:r>
      <w:r>
        <w:rPr>
          <w:rFonts w:cs="Arial"/>
        </w:rPr>
        <w:t>made</w:t>
      </w:r>
      <w:r w:rsidRPr="00A94C87">
        <w:rPr>
          <w:rFonts w:cs="Arial"/>
        </w:rPr>
        <w:t xml:space="preserve"> the </w:t>
      </w:r>
      <w:r>
        <w:rPr>
          <w:rFonts w:cs="Arial"/>
        </w:rPr>
        <w:t>Instrument</w:t>
      </w:r>
      <w:r w:rsidRPr="00A92E42">
        <w:rPr>
          <w:rFonts w:cs="Arial"/>
        </w:rPr>
        <w:t xml:space="preserve"> </w:t>
      </w:r>
      <w:r w:rsidRPr="00A94C87">
        <w:rPr>
          <w:rFonts w:cs="Arial"/>
        </w:rPr>
        <w:t xml:space="preserve">under </w:t>
      </w:r>
      <w:r w:rsidRPr="000437A8">
        <w:rPr>
          <w:rFonts w:cs="Arial"/>
        </w:rPr>
        <w:t>subsection</w:t>
      </w:r>
      <w:r>
        <w:rPr>
          <w:rFonts w:cs="Arial"/>
        </w:rPr>
        <w:t>s</w:t>
      </w:r>
      <w:r w:rsidRPr="000437A8">
        <w:rPr>
          <w:rFonts w:cs="Arial"/>
        </w:rPr>
        <w:t xml:space="preserve"> </w:t>
      </w:r>
      <w:proofErr w:type="gramStart"/>
      <w:r w:rsidRPr="000437A8">
        <w:rPr>
          <w:rFonts w:cs="Arial"/>
        </w:rPr>
        <w:t>43</w:t>
      </w:r>
      <w:r>
        <w:rPr>
          <w:rFonts w:cs="Arial"/>
        </w:rPr>
        <w:t>C</w:t>
      </w:r>
      <w:r w:rsidRPr="000437A8">
        <w:rPr>
          <w:rFonts w:cs="Arial"/>
        </w:rPr>
        <w:t>(</w:t>
      </w:r>
      <w:proofErr w:type="gramEnd"/>
      <w:r w:rsidRPr="000437A8">
        <w:rPr>
          <w:rFonts w:cs="Arial"/>
        </w:rPr>
        <w:t>1</w:t>
      </w:r>
      <w:r>
        <w:rPr>
          <w:rFonts w:cs="Arial"/>
        </w:rPr>
        <w:t>A</w:t>
      </w:r>
      <w:r w:rsidRPr="000437A8">
        <w:rPr>
          <w:rFonts w:cs="Arial"/>
        </w:rPr>
        <w:t>)</w:t>
      </w:r>
      <w:r>
        <w:rPr>
          <w:rFonts w:cs="Arial"/>
        </w:rPr>
        <w:t xml:space="preserve"> and 61CD(2)</w:t>
      </w:r>
      <w:r w:rsidRPr="000437A8">
        <w:rPr>
          <w:rFonts w:cs="Arial"/>
        </w:rPr>
        <w:t xml:space="preserve"> of the </w:t>
      </w:r>
      <w:r w:rsidRPr="000437A8">
        <w:rPr>
          <w:rFonts w:cs="Arial"/>
          <w:i/>
        </w:rPr>
        <w:t>Broadcasting Services Act 1992</w:t>
      </w:r>
      <w:r w:rsidRPr="000437A8">
        <w:rPr>
          <w:rFonts w:cs="Arial"/>
        </w:rPr>
        <w:t xml:space="preserve"> (the </w:t>
      </w:r>
      <w:r>
        <w:rPr>
          <w:rFonts w:cs="Arial"/>
        </w:rPr>
        <w:t>Act</w:t>
      </w:r>
      <w:r w:rsidRPr="000437A8">
        <w:rPr>
          <w:rFonts w:cs="Arial"/>
        </w:rPr>
        <w:t>)</w:t>
      </w:r>
      <w:r>
        <w:rPr>
          <w:rFonts w:cs="Arial"/>
        </w:rPr>
        <w:t xml:space="preserve"> which</w:t>
      </w:r>
      <w:r w:rsidRPr="00A94C87">
        <w:rPr>
          <w:rFonts w:cs="Arial"/>
        </w:rPr>
        <w:t xml:space="preserve"> provide</w:t>
      </w:r>
      <w:r>
        <w:rPr>
          <w:rFonts w:cs="Arial"/>
        </w:rPr>
        <w:t>s</w:t>
      </w:r>
      <w:r w:rsidRPr="00A94C87">
        <w:rPr>
          <w:rFonts w:cs="Arial"/>
        </w:rPr>
        <w:t xml:space="preserve"> that</w:t>
      </w:r>
      <w:r>
        <w:rPr>
          <w:rFonts w:cs="Arial"/>
        </w:rPr>
        <w:t xml:space="preserve"> t</w:t>
      </w:r>
      <w:r w:rsidRPr="008F35BD">
        <w:rPr>
          <w:rFonts w:cs="Arial"/>
        </w:rPr>
        <w:t xml:space="preserve">he ACMA may, </w:t>
      </w:r>
      <w:r>
        <w:rPr>
          <w:rFonts w:cs="Arial"/>
        </w:rPr>
        <w:t xml:space="preserve">by legislative instrument, specify a five week period during which the obligations on regional commercial radio broadcasting </w:t>
      </w:r>
      <w:proofErr w:type="spellStart"/>
      <w:r>
        <w:rPr>
          <w:rFonts w:cs="Arial"/>
        </w:rPr>
        <w:t>licensees</w:t>
      </w:r>
      <w:proofErr w:type="spellEnd"/>
      <w:r>
        <w:rPr>
          <w:rFonts w:cs="Arial"/>
        </w:rPr>
        <w:t xml:space="preserve"> to provide required amounts of ‘material of local significance’ and to comply with the minimum service standards (local news and information) (together, </w:t>
      </w:r>
      <w:r w:rsidRPr="00D179C2">
        <w:rPr>
          <w:rFonts w:cs="Arial"/>
          <w:b/>
        </w:rPr>
        <w:t>local content</w:t>
      </w:r>
      <w:r>
        <w:rPr>
          <w:rFonts w:cs="Arial"/>
        </w:rPr>
        <w:t xml:space="preserve">) do not apply. </w:t>
      </w:r>
    </w:p>
    <w:p w:rsidR="00F74683" w:rsidRPr="00BA26F6" w:rsidRDefault="00F74683" w:rsidP="00D22F27">
      <w:pPr>
        <w:spacing w:before="120" w:after="120" w:line="240" w:lineRule="atLeast"/>
        <w:rPr>
          <w:rFonts w:cs="Arial"/>
          <w:b/>
        </w:rPr>
      </w:pPr>
      <w:r w:rsidRPr="00BA26F6">
        <w:rPr>
          <w:rFonts w:cs="Arial"/>
          <w:b/>
        </w:rPr>
        <w:t>Background</w:t>
      </w:r>
    </w:p>
    <w:p w:rsidR="00852FAE" w:rsidRPr="00220014" w:rsidRDefault="00852FAE" w:rsidP="00852FAE">
      <w:pPr>
        <w:spacing w:before="120" w:after="120" w:line="240" w:lineRule="atLeast"/>
        <w:rPr>
          <w:rFonts w:cs="Arial"/>
        </w:rPr>
      </w:pPr>
      <w:r w:rsidRPr="00220014">
        <w:rPr>
          <w:rFonts w:cs="Arial"/>
        </w:rPr>
        <w:t xml:space="preserve">In 2012, the </w:t>
      </w:r>
      <w:r w:rsidRPr="00220014">
        <w:rPr>
          <w:rFonts w:cs="Arial"/>
          <w:i/>
        </w:rPr>
        <w:t xml:space="preserve">Broadcasting Services Amendment (Regional Commercial Radio) Act 2012 </w:t>
      </w:r>
      <w:r w:rsidRPr="00220014">
        <w:rPr>
          <w:rFonts w:cs="Arial"/>
        </w:rPr>
        <w:t>amended the Act to provide a five week exemption period for regional commercial radio broadcasting licensees from the obligation to broadcast specified amounts of local content. The default exemption period commences on the second Monday in December (material of local significance) and the second Sunday in December (minimum service standards) each year.  The ACMA may, however, by legislative instrument, specify a different five week period in relation to one or more specified regional commercial radio broadcasting licensees.</w:t>
      </w:r>
    </w:p>
    <w:p w:rsidR="00852FAE" w:rsidRPr="00220014" w:rsidRDefault="00852FAE" w:rsidP="00852FAE">
      <w:pPr>
        <w:pStyle w:val="ACMABulletLevel1"/>
        <w:numPr>
          <w:ilvl w:val="0"/>
          <w:numId w:val="0"/>
        </w:numPr>
        <w:rPr>
          <w:rFonts w:ascii="Arial" w:hAnsi="Arial" w:cs="Arial"/>
          <w:b/>
          <w:sz w:val="20"/>
        </w:rPr>
      </w:pPr>
      <w:r w:rsidRPr="00220014">
        <w:rPr>
          <w:rFonts w:ascii="Arial" w:hAnsi="Arial" w:cs="Arial"/>
          <w:sz w:val="20"/>
        </w:rPr>
        <w:t>In September 2012</w:t>
      </w:r>
      <w:r w:rsidRPr="00220014">
        <w:rPr>
          <w:rFonts w:ascii="Arial" w:hAnsi="Arial" w:cs="Arial"/>
          <w:b/>
          <w:sz w:val="20"/>
        </w:rPr>
        <w:t xml:space="preserve"> </w:t>
      </w:r>
      <w:r w:rsidRPr="00220014">
        <w:rPr>
          <w:rFonts w:ascii="Arial" w:hAnsi="Arial" w:cs="Arial"/>
          <w:sz w:val="20"/>
        </w:rPr>
        <w:t xml:space="preserve">the ACMA received an application from Bathurst Broadcasters Pty Ltd to vary the period for its two licences in the Bathurst RA1 licence area. The request was for the exemption period to start in the fourth week of December, instead of the second week in December. </w:t>
      </w:r>
    </w:p>
    <w:p w:rsidR="00852FAE" w:rsidRPr="00BA26F6" w:rsidRDefault="00852FAE" w:rsidP="00852FAE">
      <w:pPr>
        <w:spacing w:before="120" w:after="120" w:line="240" w:lineRule="atLeast"/>
        <w:rPr>
          <w:rFonts w:cs="Arial"/>
          <w:b/>
        </w:rPr>
      </w:pPr>
      <w:bookmarkStart w:id="0" w:name="OLE_LINK23"/>
      <w:r w:rsidRPr="00BA26F6">
        <w:rPr>
          <w:rFonts w:cs="Arial"/>
          <w:b/>
        </w:rPr>
        <w:t xml:space="preserve">Intended impact </w:t>
      </w:r>
      <w:r>
        <w:rPr>
          <w:rFonts w:cs="Arial"/>
          <w:b/>
        </w:rPr>
        <w:t>of the Instrument</w:t>
      </w:r>
    </w:p>
    <w:p w:rsidR="00852FAE" w:rsidRDefault="00852FAE" w:rsidP="00852FAE">
      <w:pPr>
        <w:pStyle w:val="Default"/>
        <w:spacing w:after="120"/>
        <w:rPr>
          <w:sz w:val="20"/>
          <w:szCs w:val="20"/>
        </w:rPr>
      </w:pPr>
      <w:r>
        <w:rPr>
          <w:sz w:val="20"/>
          <w:szCs w:val="20"/>
        </w:rPr>
        <w:t>The Instrument specifies</w:t>
      </w:r>
      <w:r w:rsidRPr="001457DF">
        <w:rPr>
          <w:sz w:val="20"/>
          <w:szCs w:val="20"/>
        </w:rPr>
        <w:t xml:space="preserve"> </w:t>
      </w:r>
      <w:r>
        <w:rPr>
          <w:sz w:val="20"/>
          <w:szCs w:val="20"/>
        </w:rPr>
        <w:t>five</w:t>
      </w:r>
      <w:r w:rsidRPr="001457DF">
        <w:rPr>
          <w:sz w:val="20"/>
          <w:szCs w:val="20"/>
        </w:rPr>
        <w:t xml:space="preserve"> week exemption periods for </w:t>
      </w:r>
      <w:r>
        <w:rPr>
          <w:sz w:val="20"/>
          <w:szCs w:val="20"/>
        </w:rPr>
        <w:t>the</w:t>
      </w:r>
      <w:r w:rsidRPr="001457DF">
        <w:rPr>
          <w:sz w:val="20"/>
          <w:szCs w:val="20"/>
        </w:rPr>
        <w:t xml:space="preserve"> licensee</w:t>
      </w:r>
      <w:r>
        <w:rPr>
          <w:sz w:val="20"/>
          <w:szCs w:val="20"/>
        </w:rPr>
        <w:t xml:space="preserve"> of two regional commercial radio broadcasting licences during which the licensee is exempted from the obligation to broadcast specified amounts of ‘material of local significance’ and to comply with the minimum service standards for local news and information.  The five week periods for which the licensee is exempted from each of those obligations commence and finish on dates later than those specified in the Act.</w:t>
      </w:r>
    </w:p>
    <w:p w:rsidR="00852FAE" w:rsidRPr="00AA1235" w:rsidRDefault="00852FAE" w:rsidP="00852FAE">
      <w:pPr>
        <w:pStyle w:val="Default"/>
        <w:spacing w:after="120"/>
        <w:rPr>
          <w:sz w:val="20"/>
          <w:szCs w:val="20"/>
        </w:rPr>
      </w:pPr>
      <w:r w:rsidRPr="001457DF">
        <w:rPr>
          <w:sz w:val="20"/>
          <w:szCs w:val="20"/>
        </w:rPr>
        <w:t xml:space="preserve">The ACMA </w:t>
      </w:r>
      <w:r>
        <w:rPr>
          <w:sz w:val="20"/>
          <w:szCs w:val="20"/>
        </w:rPr>
        <w:t xml:space="preserve">does not otherwise </w:t>
      </w:r>
      <w:r w:rsidRPr="001457DF">
        <w:rPr>
          <w:sz w:val="20"/>
          <w:szCs w:val="20"/>
        </w:rPr>
        <w:t>intend</w:t>
      </w:r>
      <w:r>
        <w:rPr>
          <w:sz w:val="20"/>
          <w:szCs w:val="20"/>
        </w:rPr>
        <w:t xml:space="preserve"> that the impact and effect of </w:t>
      </w:r>
      <w:r w:rsidRPr="001457DF">
        <w:rPr>
          <w:sz w:val="20"/>
          <w:szCs w:val="20"/>
        </w:rPr>
        <w:t xml:space="preserve">the </w:t>
      </w:r>
      <w:r>
        <w:rPr>
          <w:sz w:val="20"/>
          <w:szCs w:val="20"/>
        </w:rPr>
        <w:t>I</w:t>
      </w:r>
      <w:r w:rsidRPr="001457DF">
        <w:rPr>
          <w:sz w:val="20"/>
          <w:szCs w:val="20"/>
        </w:rPr>
        <w:t>nstrument</w:t>
      </w:r>
      <w:r>
        <w:rPr>
          <w:sz w:val="20"/>
          <w:szCs w:val="20"/>
        </w:rPr>
        <w:t xml:space="preserve"> be any different from the legislated exemption period. To that extent, the Instrument</w:t>
      </w:r>
      <w:r w:rsidRPr="001457DF">
        <w:rPr>
          <w:sz w:val="20"/>
          <w:szCs w:val="20"/>
        </w:rPr>
        <w:t xml:space="preserve"> is consistent with the local content and minimum service standard obligations under </w:t>
      </w:r>
      <w:r w:rsidRPr="00AA1235">
        <w:rPr>
          <w:sz w:val="20"/>
          <w:szCs w:val="20"/>
        </w:rPr>
        <w:t xml:space="preserve">the </w:t>
      </w:r>
      <w:r>
        <w:rPr>
          <w:sz w:val="20"/>
          <w:szCs w:val="20"/>
        </w:rPr>
        <w:t>Act</w:t>
      </w:r>
      <w:r w:rsidRPr="00AA1235">
        <w:rPr>
          <w:sz w:val="20"/>
          <w:szCs w:val="20"/>
        </w:rPr>
        <w:t xml:space="preserve">. </w:t>
      </w:r>
    </w:p>
    <w:p w:rsidR="00852FAE" w:rsidRPr="001457DF" w:rsidRDefault="00852FAE" w:rsidP="00852FAE">
      <w:pPr>
        <w:keepNext/>
        <w:widowControl w:val="0"/>
        <w:autoSpaceDE w:val="0"/>
        <w:autoSpaceDN w:val="0"/>
        <w:adjustRightInd w:val="0"/>
        <w:spacing w:before="120" w:after="120" w:line="240" w:lineRule="atLeast"/>
        <w:rPr>
          <w:rFonts w:cs="Arial"/>
          <w:b/>
        </w:rPr>
      </w:pPr>
      <w:bookmarkStart w:id="1" w:name="OLE_LINK34"/>
      <w:r w:rsidRPr="001457DF">
        <w:rPr>
          <w:rFonts w:cs="Arial"/>
          <w:b/>
        </w:rPr>
        <w:t>Consultation</w:t>
      </w:r>
    </w:p>
    <w:p w:rsidR="00852FAE" w:rsidRPr="00F05F36" w:rsidRDefault="00852FAE" w:rsidP="00852FAE">
      <w:pPr>
        <w:pStyle w:val="ListParagraph"/>
        <w:spacing w:before="120" w:after="120" w:line="240" w:lineRule="atLeast"/>
        <w:ind w:left="0"/>
        <w:contextualSpacing w:val="0"/>
        <w:rPr>
          <w:rFonts w:cs="Arial"/>
        </w:rPr>
      </w:pPr>
      <w:r>
        <w:rPr>
          <w:rFonts w:cs="Arial"/>
        </w:rPr>
        <w:t>On 5 November 2012, t</w:t>
      </w:r>
      <w:r w:rsidRPr="00F05F36">
        <w:rPr>
          <w:rFonts w:cs="Arial"/>
        </w:rPr>
        <w:t>he ACMA place</w:t>
      </w:r>
      <w:r>
        <w:rPr>
          <w:rFonts w:cs="Arial"/>
        </w:rPr>
        <w:t>d</w:t>
      </w:r>
      <w:r w:rsidRPr="00F05F36">
        <w:rPr>
          <w:rFonts w:cs="Arial"/>
        </w:rPr>
        <w:t xml:space="preserve"> </w:t>
      </w:r>
      <w:r>
        <w:rPr>
          <w:rFonts w:cs="Arial"/>
        </w:rPr>
        <w:t xml:space="preserve">a </w:t>
      </w:r>
      <w:r w:rsidRPr="00F05F36">
        <w:rPr>
          <w:rFonts w:cs="Arial"/>
        </w:rPr>
        <w:t>cop</w:t>
      </w:r>
      <w:r>
        <w:rPr>
          <w:rFonts w:cs="Arial"/>
        </w:rPr>
        <w:t>y</w:t>
      </w:r>
      <w:r w:rsidRPr="00F05F36">
        <w:rPr>
          <w:rFonts w:cs="Arial"/>
        </w:rPr>
        <w:t xml:space="preserve"> of the draft </w:t>
      </w:r>
      <w:r>
        <w:rPr>
          <w:rFonts w:cs="Arial"/>
        </w:rPr>
        <w:t>I</w:t>
      </w:r>
      <w:r w:rsidRPr="00F05F36">
        <w:rPr>
          <w:rFonts w:cs="Arial"/>
        </w:rPr>
        <w:t xml:space="preserve">nstrument on the ACMA's website for public comment. </w:t>
      </w:r>
    </w:p>
    <w:p w:rsidR="00852FAE" w:rsidRPr="00F05F36" w:rsidRDefault="00852FAE" w:rsidP="00852FAE">
      <w:pPr>
        <w:pStyle w:val="ListParagraph"/>
        <w:spacing w:before="120" w:after="120" w:line="240" w:lineRule="atLeast"/>
        <w:ind w:left="0"/>
        <w:contextualSpacing w:val="0"/>
        <w:rPr>
          <w:rFonts w:cs="Arial"/>
        </w:rPr>
      </w:pPr>
      <w:r>
        <w:rPr>
          <w:rFonts w:cs="Arial"/>
        </w:rPr>
        <w:t>T</w:t>
      </w:r>
      <w:r w:rsidRPr="00F05F36">
        <w:rPr>
          <w:rFonts w:cs="Arial"/>
        </w:rPr>
        <w:t>he Minister for Broadband, Communications and the Digital Economy undertook</w:t>
      </w:r>
      <w:r>
        <w:rPr>
          <w:rFonts w:cs="Arial"/>
        </w:rPr>
        <w:t xml:space="preserve"> consultation on the policy underpinning the reduction from 52 to 47 weeks per year during which licensees must broadcast local content in the </w:t>
      </w:r>
      <w:r w:rsidRPr="00F05F36">
        <w:rPr>
          <w:rFonts w:cs="Arial"/>
        </w:rPr>
        <w:t xml:space="preserve">2010 </w:t>
      </w:r>
      <w:r w:rsidRPr="00F05F36">
        <w:rPr>
          <w:rFonts w:cs="Arial"/>
          <w:i/>
        </w:rPr>
        <w:t>Review of the Local Content Requirements for Regional Commercial Radio</w:t>
      </w:r>
      <w:r>
        <w:rPr>
          <w:rFonts w:cs="Arial"/>
          <w:i/>
        </w:rPr>
        <w:t xml:space="preserve">. </w:t>
      </w:r>
    </w:p>
    <w:p w:rsidR="00852FAE" w:rsidRPr="00F05F36" w:rsidRDefault="00852FAE" w:rsidP="00852FAE">
      <w:pPr>
        <w:spacing w:before="120" w:after="120" w:line="240" w:lineRule="atLeast"/>
        <w:rPr>
          <w:rFonts w:cs="Arial"/>
        </w:rPr>
      </w:pPr>
      <w:r w:rsidRPr="00F05F36">
        <w:rPr>
          <w:rFonts w:cs="Arial"/>
        </w:rPr>
        <w:t xml:space="preserve">The ACMA is satisfied that this consultation meets the requirements of section 43 of the </w:t>
      </w:r>
      <w:r>
        <w:rPr>
          <w:rFonts w:cs="Arial"/>
        </w:rPr>
        <w:t>Act</w:t>
      </w:r>
      <w:r w:rsidRPr="00F05F36">
        <w:rPr>
          <w:rFonts w:cs="Arial"/>
        </w:rPr>
        <w:t xml:space="preserve">, and the requirements of section 17 of the </w:t>
      </w:r>
      <w:r w:rsidRPr="00F05F36">
        <w:rPr>
          <w:rFonts w:cs="Arial"/>
          <w:i/>
        </w:rPr>
        <w:t>Legislative Instruments Act 2003</w:t>
      </w:r>
      <w:r w:rsidRPr="00F05F36">
        <w:rPr>
          <w:rFonts w:cs="Arial"/>
        </w:rPr>
        <w:t>.</w:t>
      </w:r>
    </w:p>
    <w:p w:rsidR="00F74683" w:rsidRPr="00F05F36" w:rsidRDefault="00F74683" w:rsidP="00D22F27">
      <w:pPr>
        <w:autoSpaceDE w:val="0"/>
        <w:autoSpaceDN w:val="0"/>
        <w:adjustRightInd w:val="0"/>
        <w:spacing w:before="120" w:after="120" w:line="240" w:lineRule="atLeast"/>
        <w:rPr>
          <w:rFonts w:cs="Arial"/>
          <w:b/>
        </w:rPr>
      </w:pPr>
      <w:r w:rsidRPr="00F05F36">
        <w:rPr>
          <w:rFonts w:cs="Arial"/>
          <w:b/>
        </w:rPr>
        <w:t>Regulatory Impact</w:t>
      </w:r>
    </w:p>
    <w:bookmarkEnd w:id="0"/>
    <w:bookmarkEnd w:id="1"/>
    <w:p w:rsidR="00F74683" w:rsidRPr="00F05F36" w:rsidRDefault="00F74683" w:rsidP="00D22F27">
      <w:pPr>
        <w:autoSpaceDE w:val="0"/>
        <w:autoSpaceDN w:val="0"/>
        <w:adjustRightInd w:val="0"/>
        <w:spacing w:before="120" w:after="120" w:line="240" w:lineRule="atLeast"/>
        <w:rPr>
          <w:rFonts w:cs="Arial"/>
        </w:rPr>
      </w:pPr>
      <w:r w:rsidRPr="00F05F36">
        <w:rPr>
          <w:rFonts w:cs="Arial"/>
        </w:rPr>
        <w:t>A regulatio</w:t>
      </w:r>
      <w:r w:rsidR="00617B56" w:rsidRPr="00F05F36">
        <w:rPr>
          <w:rFonts w:cs="Arial"/>
        </w:rPr>
        <w:t>n impact statement</w:t>
      </w:r>
      <w:r w:rsidRPr="00F05F36">
        <w:rPr>
          <w:rFonts w:cs="Arial"/>
        </w:rPr>
        <w:t xml:space="preserve"> titled </w:t>
      </w:r>
      <w:r w:rsidRPr="00F05F36">
        <w:rPr>
          <w:rFonts w:cs="Arial"/>
          <w:i/>
        </w:rPr>
        <w:t xml:space="preserve">Regulation Impact Statement – </w:t>
      </w:r>
      <w:r w:rsidR="00625363" w:rsidRPr="00F05F36">
        <w:rPr>
          <w:rFonts w:cs="Arial"/>
          <w:i/>
        </w:rPr>
        <w:t xml:space="preserve">Amendments to Local Content and Local Presence Requirements for Regional Commercial Radio </w:t>
      </w:r>
      <w:r w:rsidRPr="00F05F36">
        <w:rPr>
          <w:rFonts w:cs="Arial"/>
        </w:rPr>
        <w:t xml:space="preserve">was prepared by the </w:t>
      </w:r>
      <w:r w:rsidR="00617B56" w:rsidRPr="00F05F36">
        <w:rPr>
          <w:rFonts w:cs="Arial"/>
        </w:rPr>
        <w:t xml:space="preserve">DBCDE for </w:t>
      </w:r>
      <w:r w:rsidR="00617B56" w:rsidRPr="00F05F36">
        <w:rPr>
          <w:rFonts w:cs="Arial"/>
        </w:rPr>
        <w:lastRenderedPageBreak/>
        <w:t xml:space="preserve">the </w:t>
      </w:r>
      <w:r w:rsidR="00E65F5A">
        <w:rPr>
          <w:rFonts w:cs="Arial"/>
        </w:rPr>
        <w:t xml:space="preserve">2010 </w:t>
      </w:r>
      <w:r w:rsidR="000769DF" w:rsidRPr="000769DF">
        <w:rPr>
          <w:rFonts w:cs="Arial"/>
          <w:i/>
        </w:rPr>
        <w:t>Review of the Local Content Requirements for Regional Commercial Radio</w:t>
      </w:r>
      <w:r w:rsidRPr="00F05F36">
        <w:rPr>
          <w:rFonts w:cs="Arial"/>
        </w:rPr>
        <w:t xml:space="preserve">. The Office of Best Practice Regulation (the OBPR) reviewed the </w:t>
      </w:r>
      <w:r w:rsidR="00617B56" w:rsidRPr="00F05F36">
        <w:rPr>
          <w:rFonts w:cs="Arial"/>
        </w:rPr>
        <w:t>regulation impact statement</w:t>
      </w:r>
      <w:r w:rsidRPr="00F05F36">
        <w:rPr>
          <w:rFonts w:cs="Arial"/>
        </w:rPr>
        <w:t xml:space="preserve"> and assessed it as adequate under the Australian Government best pr</w:t>
      </w:r>
      <w:r w:rsidR="00544E0A" w:rsidRPr="00F05F36">
        <w:rPr>
          <w:rFonts w:cs="Arial"/>
        </w:rPr>
        <w:t>actice regulation requirements - OBPR reference number 10943.</w:t>
      </w:r>
    </w:p>
    <w:p w:rsidR="00544E0A" w:rsidRPr="001F0A23" w:rsidRDefault="00617B56" w:rsidP="00D22F27">
      <w:pPr>
        <w:autoSpaceDE w:val="0"/>
        <w:autoSpaceDN w:val="0"/>
        <w:adjustRightInd w:val="0"/>
        <w:spacing w:before="120" w:after="120" w:line="240" w:lineRule="atLeast"/>
        <w:rPr>
          <w:rFonts w:cs="Arial"/>
          <w:highlight w:val="yellow"/>
        </w:rPr>
      </w:pPr>
      <w:r w:rsidRPr="00890A69">
        <w:rPr>
          <w:rFonts w:cs="Arial"/>
        </w:rPr>
        <w:t xml:space="preserve">In addition, the ACMA prepared a preliminary assessment </w:t>
      </w:r>
      <w:r w:rsidR="00544E0A" w:rsidRPr="00890A69">
        <w:rPr>
          <w:rFonts w:cs="Arial"/>
        </w:rPr>
        <w:t xml:space="preserve">on </w:t>
      </w:r>
      <w:r w:rsidR="001E7A01">
        <w:rPr>
          <w:rFonts w:cs="Arial"/>
        </w:rPr>
        <w:t>2 July 2012</w:t>
      </w:r>
      <w:r w:rsidR="00544E0A" w:rsidRPr="00890A69">
        <w:rPr>
          <w:rFonts w:cs="Arial"/>
        </w:rPr>
        <w:t xml:space="preserve"> </w:t>
      </w:r>
      <w:r w:rsidR="00625363" w:rsidRPr="00890A69">
        <w:rPr>
          <w:rFonts w:cs="Arial"/>
        </w:rPr>
        <w:t xml:space="preserve">for the purposes of making the </w:t>
      </w:r>
      <w:r w:rsidR="00852FAE">
        <w:rPr>
          <w:rFonts w:cs="Arial"/>
        </w:rPr>
        <w:t>I</w:t>
      </w:r>
      <w:r w:rsidR="00F05F36" w:rsidRPr="001E7A01">
        <w:rPr>
          <w:rFonts w:cs="Arial"/>
        </w:rPr>
        <w:t>nstrument</w:t>
      </w:r>
      <w:r w:rsidR="00625363" w:rsidRPr="001E7A01">
        <w:rPr>
          <w:rFonts w:cs="Arial"/>
        </w:rPr>
        <w:t>.</w:t>
      </w:r>
      <w:r w:rsidRPr="001E7A01">
        <w:rPr>
          <w:rFonts w:cs="Arial"/>
        </w:rPr>
        <w:t xml:space="preserve"> </w:t>
      </w:r>
      <w:r w:rsidR="00544E0A" w:rsidRPr="001E7A01">
        <w:rPr>
          <w:rFonts w:cs="Arial"/>
        </w:rPr>
        <w:t xml:space="preserve">On </w:t>
      </w:r>
      <w:r w:rsidR="001E7A01" w:rsidRPr="001E7A01">
        <w:rPr>
          <w:rFonts w:cs="Arial"/>
        </w:rPr>
        <w:t>4 July 2012</w:t>
      </w:r>
      <w:r w:rsidR="00544E0A" w:rsidRPr="001E7A01">
        <w:rPr>
          <w:rFonts w:cs="Arial"/>
        </w:rPr>
        <w:t xml:space="preserve">, the OBPR considered that a separate Regulation Impact Statement from the ACMA was not required – OBPR reference number </w:t>
      </w:r>
      <w:r w:rsidR="001E7A01" w:rsidRPr="001E7A01">
        <w:rPr>
          <w:rFonts w:cs="Arial"/>
        </w:rPr>
        <w:t>14006</w:t>
      </w:r>
      <w:r w:rsidR="00544E0A" w:rsidRPr="001E7A01">
        <w:rPr>
          <w:rFonts w:cs="Arial"/>
        </w:rPr>
        <w:t>.</w:t>
      </w:r>
    </w:p>
    <w:p w:rsidR="005B4C90" w:rsidRPr="00890A69" w:rsidRDefault="005B4C90" w:rsidP="00D22F27">
      <w:pPr>
        <w:autoSpaceDE w:val="0"/>
        <w:autoSpaceDN w:val="0"/>
        <w:adjustRightInd w:val="0"/>
        <w:spacing w:before="120" w:after="120" w:line="240" w:lineRule="atLeast"/>
        <w:rPr>
          <w:rFonts w:cs="Arial"/>
        </w:rPr>
      </w:pPr>
      <w:r w:rsidRPr="00890A69">
        <w:rPr>
          <w:rFonts w:cs="Arial"/>
        </w:rPr>
        <w:t xml:space="preserve">As required under the </w:t>
      </w:r>
      <w:r w:rsidRPr="00890A69">
        <w:rPr>
          <w:rFonts w:cs="Arial"/>
          <w:i/>
        </w:rPr>
        <w:t>Human Rights (Parliamentary Scrutiny) Act 2011</w:t>
      </w:r>
      <w:r w:rsidR="00DF7E4F" w:rsidRPr="00890A69">
        <w:rPr>
          <w:rFonts w:cs="Arial"/>
          <w:i/>
        </w:rPr>
        <w:t>,</w:t>
      </w:r>
      <w:r w:rsidRPr="00890A69">
        <w:rPr>
          <w:rFonts w:cs="Arial"/>
        </w:rPr>
        <w:t xml:space="preserve"> a human rights compatibility statement has been prepared</w:t>
      </w:r>
      <w:r w:rsidR="00625363" w:rsidRPr="00890A69">
        <w:rPr>
          <w:rFonts w:cs="Arial"/>
        </w:rPr>
        <w:t xml:space="preserve"> by the ACMA</w:t>
      </w:r>
      <w:r w:rsidRPr="00890A69">
        <w:rPr>
          <w:rFonts w:cs="Arial"/>
        </w:rPr>
        <w:t xml:space="preserve"> </w:t>
      </w:r>
      <w:r w:rsidR="00DF7E4F" w:rsidRPr="00890A69">
        <w:rPr>
          <w:rFonts w:cs="Arial"/>
        </w:rPr>
        <w:t>and is attached.</w:t>
      </w:r>
      <w:r w:rsidRPr="00890A69">
        <w:rPr>
          <w:rFonts w:cs="Arial"/>
        </w:rPr>
        <w:t xml:space="preserve"> </w:t>
      </w:r>
    </w:p>
    <w:p w:rsidR="00F74683" w:rsidRPr="00890A69" w:rsidRDefault="00F74683" w:rsidP="00D22F27">
      <w:pPr>
        <w:spacing w:after="200" w:line="276" w:lineRule="auto"/>
        <w:rPr>
          <w:rFonts w:cs="Arial"/>
          <w:b/>
        </w:rPr>
      </w:pPr>
      <w:r w:rsidRPr="00890A69">
        <w:rPr>
          <w:rFonts w:cs="Arial"/>
          <w:b/>
        </w:rPr>
        <w:t>NOTES ON INSTRUMENT</w:t>
      </w:r>
    </w:p>
    <w:p w:rsidR="00852FAE" w:rsidRPr="00890A69" w:rsidRDefault="00852FAE" w:rsidP="00852FAE">
      <w:pPr>
        <w:autoSpaceDE w:val="0"/>
        <w:autoSpaceDN w:val="0"/>
        <w:adjustRightInd w:val="0"/>
        <w:spacing w:before="120" w:after="120" w:line="240" w:lineRule="atLeast"/>
        <w:rPr>
          <w:rFonts w:cs="Arial"/>
          <w:b/>
          <w:bCs/>
        </w:rPr>
      </w:pPr>
      <w:bookmarkStart w:id="2" w:name="OLE_LINK1"/>
      <w:bookmarkStart w:id="3" w:name="OLE_LINK2"/>
      <w:r w:rsidRPr="00890A69">
        <w:rPr>
          <w:rFonts w:cs="Arial"/>
          <w:b/>
          <w:bCs/>
        </w:rPr>
        <w:t>Section 1 – Name of instrument</w:t>
      </w:r>
    </w:p>
    <w:p w:rsidR="00852FAE" w:rsidRDefault="00852FAE" w:rsidP="00852FAE">
      <w:pPr>
        <w:spacing w:before="120" w:after="120" w:line="240" w:lineRule="atLeast"/>
        <w:rPr>
          <w:i/>
        </w:rPr>
      </w:pPr>
      <w:r w:rsidRPr="00890A69">
        <w:rPr>
          <w:rFonts w:cs="Arial"/>
        </w:rPr>
        <w:t xml:space="preserve">Section 1 provides that the name of the </w:t>
      </w:r>
      <w:r>
        <w:rPr>
          <w:rFonts w:cs="Arial"/>
        </w:rPr>
        <w:t>I</w:t>
      </w:r>
      <w:r w:rsidRPr="00890A69">
        <w:rPr>
          <w:rFonts w:cs="Arial"/>
        </w:rPr>
        <w:t>nstrument is the</w:t>
      </w:r>
      <w:r>
        <w:rPr>
          <w:rFonts w:cs="Arial"/>
        </w:rPr>
        <w:t xml:space="preserve"> </w:t>
      </w:r>
      <w:r w:rsidRPr="003D0ED4">
        <w:rPr>
          <w:rFonts w:cs="Arial"/>
          <w:i/>
        </w:rPr>
        <w:t xml:space="preserve">Broadcasting Services (Regional Commercial Radio – </w:t>
      </w:r>
      <w:r>
        <w:rPr>
          <w:rFonts w:cs="Arial"/>
          <w:i/>
        </w:rPr>
        <w:t>S</w:t>
      </w:r>
      <w:r w:rsidRPr="003D0ED4">
        <w:rPr>
          <w:rFonts w:cs="Arial"/>
          <w:i/>
        </w:rPr>
        <w:t xml:space="preserve">pecification of </w:t>
      </w:r>
      <w:r>
        <w:rPr>
          <w:rFonts w:cs="Arial"/>
          <w:i/>
        </w:rPr>
        <w:t>P</w:t>
      </w:r>
      <w:r w:rsidRPr="003D0ED4">
        <w:rPr>
          <w:rFonts w:cs="Arial"/>
          <w:i/>
        </w:rPr>
        <w:t>eriod</w:t>
      </w:r>
      <w:r>
        <w:rPr>
          <w:rFonts w:cs="Arial"/>
          <w:i/>
        </w:rPr>
        <w:t>s</w:t>
      </w:r>
      <w:r w:rsidRPr="003D0ED4">
        <w:rPr>
          <w:rFonts w:cs="Arial"/>
          <w:i/>
        </w:rPr>
        <w:t xml:space="preserve"> for </w:t>
      </w:r>
      <w:r>
        <w:rPr>
          <w:rFonts w:cs="Arial"/>
          <w:i/>
        </w:rPr>
        <w:t>S</w:t>
      </w:r>
      <w:r w:rsidRPr="003D0ED4">
        <w:rPr>
          <w:rFonts w:cs="Arial"/>
          <w:i/>
        </w:rPr>
        <w:t xml:space="preserve">ubsections </w:t>
      </w:r>
      <w:proofErr w:type="gramStart"/>
      <w:r w:rsidRPr="003D0ED4">
        <w:rPr>
          <w:rFonts w:cs="Arial"/>
          <w:i/>
        </w:rPr>
        <w:t>43C(</w:t>
      </w:r>
      <w:proofErr w:type="gramEnd"/>
      <w:r w:rsidRPr="003D0ED4">
        <w:rPr>
          <w:rFonts w:cs="Arial"/>
          <w:i/>
        </w:rPr>
        <w:t>1A) and 61CD(2)) Instrument 2012</w:t>
      </w:r>
      <w:r>
        <w:rPr>
          <w:rFonts w:cs="Arial"/>
          <w:i/>
        </w:rPr>
        <w:t>.</w:t>
      </w:r>
      <w:r w:rsidRPr="00890A69">
        <w:rPr>
          <w:rFonts w:cs="Arial"/>
        </w:rPr>
        <w:t xml:space="preserve"> </w:t>
      </w:r>
    </w:p>
    <w:p w:rsidR="00852FAE" w:rsidRPr="00890A69" w:rsidRDefault="00852FAE" w:rsidP="00852FAE">
      <w:pPr>
        <w:spacing w:before="120" w:after="120" w:line="240" w:lineRule="atLeast"/>
        <w:rPr>
          <w:rFonts w:cs="Arial"/>
          <w:b/>
          <w:bCs/>
        </w:rPr>
      </w:pPr>
      <w:r w:rsidRPr="00890A69">
        <w:rPr>
          <w:rFonts w:cs="Arial"/>
          <w:b/>
          <w:bCs/>
        </w:rPr>
        <w:t>Section 2 – Commencement</w:t>
      </w:r>
    </w:p>
    <w:p w:rsidR="00852FAE" w:rsidRPr="00890A69" w:rsidRDefault="00852FAE" w:rsidP="00852FAE">
      <w:pPr>
        <w:spacing w:before="120" w:after="120" w:line="240" w:lineRule="atLeast"/>
        <w:rPr>
          <w:rFonts w:cs="Arial"/>
        </w:rPr>
      </w:pPr>
      <w:r w:rsidRPr="00890A69">
        <w:rPr>
          <w:rFonts w:cs="Arial"/>
        </w:rPr>
        <w:t xml:space="preserve">This section provides that the </w:t>
      </w:r>
      <w:r>
        <w:rPr>
          <w:rFonts w:cs="Arial"/>
        </w:rPr>
        <w:t>I</w:t>
      </w:r>
      <w:r w:rsidRPr="00890A69">
        <w:rPr>
          <w:rFonts w:cs="Arial"/>
        </w:rPr>
        <w:t xml:space="preserve">nstrument commences on the day </w:t>
      </w:r>
      <w:r>
        <w:t>after it is registered on the Federal Register of Legislative Instruments</w:t>
      </w:r>
      <w:r>
        <w:rPr>
          <w:rFonts w:cs="Arial"/>
        </w:rPr>
        <w:t>.</w:t>
      </w:r>
    </w:p>
    <w:bookmarkEnd w:id="2"/>
    <w:bookmarkEnd w:id="3"/>
    <w:p w:rsidR="00852FAE" w:rsidRPr="0059708A" w:rsidRDefault="00852FAE" w:rsidP="00852FAE">
      <w:pPr>
        <w:autoSpaceDE w:val="0"/>
        <w:autoSpaceDN w:val="0"/>
        <w:adjustRightInd w:val="0"/>
        <w:spacing w:before="120" w:after="120" w:line="240" w:lineRule="atLeast"/>
        <w:rPr>
          <w:rFonts w:cs="Arial"/>
          <w:b/>
          <w:bCs/>
        </w:rPr>
      </w:pPr>
      <w:r w:rsidRPr="0059708A">
        <w:rPr>
          <w:rFonts w:cs="Arial"/>
          <w:b/>
          <w:bCs/>
        </w:rPr>
        <w:t>Section 3</w:t>
      </w:r>
      <w:r>
        <w:rPr>
          <w:rFonts w:cs="Arial"/>
          <w:b/>
          <w:bCs/>
        </w:rPr>
        <w:t xml:space="preserve"> </w:t>
      </w:r>
      <w:r w:rsidRPr="0059708A">
        <w:rPr>
          <w:rFonts w:cs="Arial"/>
          <w:b/>
          <w:bCs/>
        </w:rPr>
        <w:t>– Definitions</w:t>
      </w:r>
    </w:p>
    <w:p w:rsidR="00852FAE" w:rsidRPr="0059708A" w:rsidRDefault="00852FAE" w:rsidP="00852FAE">
      <w:pPr>
        <w:autoSpaceDE w:val="0"/>
        <w:autoSpaceDN w:val="0"/>
        <w:adjustRightInd w:val="0"/>
        <w:spacing w:before="120" w:after="120" w:line="240" w:lineRule="atLeast"/>
        <w:rPr>
          <w:rFonts w:cs="Arial"/>
          <w:bCs/>
        </w:rPr>
      </w:pPr>
      <w:r w:rsidRPr="0059708A">
        <w:rPr>
          <w:rFonts w:cs="Arial"/>
          <w:bCs/>
        </w:rPr>
        <w:t xml:space="preserve">This section defines terms used </w:t>
      </w:r>
      <w:r>
        <w:rPr>
          <w:rFonts w:cs="Arial"/>
          <w:bCs/>
        </w:rPr>
        <w:t>in</w:t>
      </w:r>
      <w:r w:rsidRPr="0059708A">
        <w:rPr>
          <w:rFonts w:cs="Arial"/>
          <w:bCs/>
        </w:rPr>
        <w:t xml:space="preserve"> the </w:t>
      </w:r>
      <w:r>
        <w:rPr>
          <w:rFonts w:cs="Arial"/>
          <w:bCs/>
        </w:rPr>
        <w:t>I</w:t>
      </w:r>
      <w:r w:rsidRPr="0059708A">
        <w:rPr>
          <w:rFonts w:cs="Arial"/>
          <w:bCs/>
        </w:rPr>
        <w:t>nstrument</w:t>
      </w:r>
      <w:r>
        <w:rPr>
          <w:rFonts w:cs="Arial"/>
          <w:bCs/>
        </w:rPr>
        <w:t xml:space="preserve"> and notes that the term ‘regional licence area’ is defined in the Act</w:t>
      </w:r>
      <w:r w:rsidRPr="0059708A">
        <w:rPr>
          <w:rFonts w:cs="Arial"/>
          <w:bCs/>
        </w:rPr>
        <w:t>.</w:t>
      </w:r>
    </w:p>
    <w:p w:rsidR="00451EBA" w:rsidRPr="0059708A" w:rsidRDefault="00451EBA" w:rsidP="00D22F27">
      <w:pPr>
        <w:autoSpaceDE w:val="0"/>
        <w:autoSpaceDN w:val="0"/>
        <w:adjustRightInd w:val="0"/>
        <w:spacing w:before="120" w:after="120" w:line="240" w:lineRule="atLeast"/>
        <w:rPr>
          <w:rFonts w:cs="Arial"/>
          <w:b/>
        </w:rPr>
      </w:pPr>
      <w:r w:rsidRPr="0059708A">
        <w:rPr>
          <w:rFonts w:cs="Arial"/>
          <w:b/>
        </w:rPr>
        <w:t xml:space="preserve">Section </w:t>
      </w:r>
      <w:r w:rsidR="003C4BAE">
        <w:rPr>
          <w:rFonts w:cs="Arial"/>
          <w:b/>
          <w:bCs/>
        </w:rPr>
        <w:t>4</w:t>
      </w:r>
      <w:r w:rsidRPr="0059708A">
        <w:rPr>
          <w:rFonts w:cs="Arial"/>
          <w:b/>
          <w:bCs/>
        </w:rPr>
        <w:t xml:space="preserve"> – </w:t>
      </w:r>
      <w:r w:rsidR="003C4BAE" w:rsidRPr="003C4BAE">
        <w:rPr>
          <w:b/>
        </w:rPr>
        <w:t xml:space="preserve">Periods under subsection </w:t>
      </w:r>
      <w:proofErr w:type="gramStart"/>
      <w:r w:rsidR="003C4BAE" w:rsidRPr="003C4BAE">
        <w:rPr>
          <w:b/>
        </w:rPr>
        <w:t>43C(</w:t>
      </w:r>
      <w:proofErr w:type="gramEnd"/>
      <w:r w:rsidR="003C4BAE" w:rsidRPr="003C4BAE">
        <w:rPr>
          <w:b/>
        </w:rPr>
        <w:t>1A) of the Act for specified licensees</w:t>
      </w:r>
      <w:r w:rsidR="0059708A" w:rsidRPr="0059708A">
        <w:rPr>
          <w:rFonts w:cs="Arial"/>
          <w:b/>
          <w:bCs/>
        </w:rPr>
        <w:t xml:space="preserve"> </w:t>
      </w:r>
    </w:p>
    <w:p w:rsidR="00D22F27" w:rsidRDefault="00D22F27" w:rsidP="00D22F27">
      <w:r>
        <w:t xml:space="preserve">This section provides that </w:t>
      </w:r>
      <w:r w:rsidR="00DC7DD0">
        <w:t>the licence holders in</w:t>
      </w:r>
      <w:r w:rsidR="00DC7DD0" w:rsidRPr="00DC7DD0">
        <w:t xml:space="preserve"> </w:t>
      </w:r>
      <w:r w:rsidR="00DC7DD0">
        <w:t xml:space="preserve">column 2 of Schedule 1 are exempt from the local content obligations for the period specified in column 3 of </w:t>
      </w:r>
      <w:r>
        <w:t>Schedule 1</w:t>
      </w:r>
      <w:r w:rsidR="00DC7DD0">
        <w:t>.</w:t>
      </w:r>
    </w:p>
    <w:p w:rsidR="00A84FA8" w:rsidRPr="003C4BAE" w:rsidRDefault="00A84FA8" w:rsidP="00D22F27">
      <w:pPr>
        <w:autoSpaceDE w:val="0"/>
        <w:autoSpaceDN w:val="0"/>
        <w:adjustRightInd w:val="0"/>
        <w:spacing w:before="120" w:after="120" w:line="240" w:lineRule="atLeast"/>
        <w:rPr>
          <w:rFonts w:cs="Arial"/>
          <w:b/>
        </w:rPr>
      </w:pPr>
      <w:r w:rsidRPr="003C4BAE">
        <w:rPr>
          <w:rFonts w:cs="Arial"/>
          <w:b/>
        </w:rPr>
        <w:t xml:space="preserve">Section </w:t>
      </w:r>
      <w:r w:rsidR="003C4BAE">
        <w:rPr>
          <w:rFonts w:cs="Arial"/>
          <w:b/>
          <w:bCs/>
        </w:rPr>
        <w:t>5</w:t>
      </w:r>
      <w:r w:rsidRPr="003C4BAE">
        <w:rPr>
          <w:rFonts w:cs="Arial"/>
          <w:b/>
          <w:bCs/>
        </w:rPr>
        <w:t xml:space="preserve"> – </w:t>
      </w:r>
      <w:r w:rsidR="003C4BAE" w:rsidRPr="003C4BAE">
        <w:rPr>
          <w:b/>
        </w:rPr>
        <w:t xml:space="preserve">Periods under subsection </w:t>
      </w:r>
      <w:proofErr w:type="gramStart"/>
      <w:r w:rsidR="003C4BAE" w:rsidRPr="003C4BAE">
        <w:rPr>
          <w:b/>
        </w:rPr>
        <w:t>61CD(</w:t>
      </w:r>
      <w:proofErr w:type="gramEnd"/>
      <w:r w:rsidR="003C4BAE" w:rsidRPr="003C4BAE">
        <w:rPr>
          <w:b/>
        </w:rPr>
        <w:t>2) of the Act for specified licensees</w:t>
      </w:r>
    </w:p>
    <w:p w:rsidR="00DC7DD0" w:rsidRDefault="00DC7DD0" w:rsidP="00DC7DD0">
      <w:r>
        <w:t>This section provides that the licence holders in</w:t>
      </w:r>
      <w:r w:rsidRPr="00DC7DD0">
        <w:t xml:space="preserve"> </w:t>
      </w:r>
      <w:r>
        <w:t>column 2 of Schedule 2 are exempt from the minimum service standard obligations for the period specified in column 3 of Schedule 2.</w:t>
      </w:r>
    </w:p>
    <w:p w:rsidR="00852FAE" w:rsidRPr="003C4BAE" w:rsidRDefault="00852FAE" w:rsidP="00852FAE">
      <w:pPr>
        <w:autoSpaceDE w:val="0"/>
        <w:autoSpaceDN w:val="0"/>
        <w:adjustRightInd w:val="0"/>
        <w:spacing w:before="120" w:after="120" w:line="240" w:lineRule="atLeast"/>
        <w:rPr>
          <w:rFonts w:cs="Arial"/>
          <w:b/>
        </w:rPr>
      </w:pPr>
      <w:r w:rsidRPr="003C4BAE">
        <w:rPr>
          <w:rFonts w:cs="Arial"/>
          <w:b/>
        </w:rPr>
        <w:t xml:space="preserve">Section </w:t>
      </w:r>
      <w:r>
        <w:rPr>
          <w:rFonts w:cs="Arial"/>
          <w:b/>
          <w:bCs/>
        </w:rPr>
        <w:t>6</w:t>
      </w:r>
      <w:r w:rsidRPr="003C4BAE">
        <w:rPr>
          <w:rFonts w:cs="Arial"/>
          <w:b/>
          <w:bCs/>
        </w:rPr>
        <w:t xml:space="preserve"> – </w:t>
      </w:r>
      <w:r>
        <w:rPr>
          <w:b/>
        </w:rPr>
        <w:t>Recurring Periods</w:t>
      </w:r>
    </w:p>
    <w:p w:rsidR="00852FAE" w:rsidRDefault="00852FAE" w:rsidP="00852FAE">
      <w:pPr>
        <w:rPr>
          <w:rFonts w:cs="Arial"/>
        </w:rPr>
      </w:pPr>
      <w:r w:rsidRPr="0059708A">
        <w:rPr>
          <w:rFonts w:cs="Arial"/>
        </w:rPr>
        <w:t xml:space="preserve">This section </w:t>
      </w:r>
      <w:r>
        <w:rPr>
          <w:rFonts w:cs="Arial"/>
        </w:rPr>
        <w:t>provides that the periods specified in sections 5 and 6 are recurring periods, that is, occurring at the same time every twelve months.</w:t>
      </w:r>
    </w:p>
    <w:p w:rsidR="00852FAE" w:rsidRPr="003C4BAE" w:rsidRDefault="00852FAE" w:rsidP="00852FAE">
      <w:pPr>
        <w:autoSpaceDE w:val="0"/>
        <w:autoSpaceDN w:val="0"/>
        <w:adjustRightInd w:val="0"/>
        <w:spacing w:before="120" w:after="120" w:line="240" w:lineRule="atLeast"/>
        <w:rPr>
          <w:rFonts w:cs="Arial"/>
          <w:b/>
          <w:bCs/>
        </w:rPr>
      </w:pPr>
      <w:r w:rsidRPr="0059708A">
        <w:rPr>
          <w:rFonts w:cs="Arial"/>
          <w:b/>
        </w:rPr>
        <w:t xml:space="preserve">Schedule 1 – </w:t>
      </w:r>
      <w:r w:rsidRPr="003C4BAE">
        <w:rPr>
          <w:rFonts w:cs="Arial"/>
          <w:b/>
          <w:bCs/>
        </w:rPr>
        <w:t xml:space="preserve">Periods under subsection </w:t>
      </w:r>
      <w:proofErr w:type="gramStart"/>
      <w:r w:rsidRPr="003C4BAE">
        <w:rPr>
          <w:rFonts w:cs="Arial"/>
          <w:b/>
          <w:bCs/>
        </w:rPr>
        <w:t>43C(</w:t>
      </w:r>
      <w:proofErr w:type="gramEnd"/>
      <w:r w:rsidRPr="003C4BAE">
        <w:rPr>
          <w:rFonts w:cs="Arial"/>
          <w:b/>
          <w:bCs/>
        </w:rPr>
        <w:t xml:space="preserve">1A) of the Act for licensees </w:t>
      </w:r>
    </w:p>
    <w:p w:rsidR="00852FAE" w:rsidRPr="0059708A" w:rsidRDefault="00852FAE" w:rsidP="00852FAE">
      <w:pPr>
        <w:rPr>
          <w:rFonts w:cs="Arial"/>
        </w:rPr>
      </w:pPr>
      <w:r w:rsidRPr="0059708A">
        <w:rPr>
          <w:rFonts w:cs="Arial"/>
        </w:rPr>
        <w:t xml:space="preserve">This schedule </w:t>
      </w:r>
      <w:r>
        <w:rPr>
          <w:rFonts w:cs="Arial"/>
        </w:rPr>
        <w:t>comprises</w:t>
      </w:r>
      <w:r w:rsidRPr="0059708A">
        <w:rPr>
          <w:rFonts w:cs="Arial"/>
        </w:rPr>
        <w:t xml:space="preserve"> a table listing </w:t>
      </w:r>
      <w:r>
        <w:rPr>
          <w:rFonts w:cs="Arial"/>
        </w:rPr>
        <w:t xml:space="preserve">the </w:t>
      </w:r>
      <w:r w:rsidRPr="000769DF">
        <w:rPr>
          <w:rFonts w:cs="Arial"/>
          <w:bCs/>
        </w:rPr>
        <w:t>Service Licence number</w:t>
      </w:r>
      <w:r>
        <w:rPr>
          <w:rFonts w:cs="Arial"/>
          <w:bCs/>
        </w:rPr>
        <w:t>,</w:t>
      </w:r>
      <w:r w:rsidRPr="000769DF">
        <w:rPr>
          <w:rFonts w:cs="Arial"/>
          <w:bCs/>
        </w:rPr>
        <w:t xml:space="preserve"> radio licence area</w:t>
      </w:r>
      <w:r w:rsidRPr="00520712">
        <w:rPr>
          <w:rFonts w:cs="Arial"/>
        </w:rPr>
        <w:t xml:space="preserve"> and</w:t>
      </w:r>
      <w:r>
        <w:rPr>
          <w:rFonts w:cs="Arial"/>
        </w:rPr>
        <w:t xml:space="preserve"> the </w:t>
      </w:r>
      <w:r w:rsidRPr="0059708A">
        <w:rPr>
          <w:rFonts w:cs="Arial"/>
        </w:rPr>
        <w:t xml:space="preserve">period </w:t>
      </w:r>
      <w:r>
        <w:rPr>
          <w:rFonts w:cs="Arial"/>
        </w:rPr>
        <w:t>during which</w:t>
      </w:r>
      <w:r w:rsidRPr="0059708A">
        <w:rPr>
          <w:rFonts w:cs="Arial"/>
        </w:rPr>
        <w:t xml:space="preserve"> </w:t>
      </w:r>
      <w:r>
        <w:rPr>
          <w:rFonts w:cs="Arial"/>
        </w:rPr>
        <w:t xml:space="preserve">the </w:t>
      </w:r>
      <w:r w:rsidRPr="0059708A">
        <w:rPr>
          <w:rFonts w:cs="Arial"/>
        </w:rPr>
        <w:t>specified licensees</w:t>
      </w:r>
      <w:r>
        <w:rPr>
          <w:rFonts w:cs="Arial"/>
        </w:rPr>
        <w:t xml:space="preserve"> are not required to broadcast material of local significance</w:t>
      </w:r>
      <w:r w:rsidRPr="0059708A">
        <w:rPr>
          <w:rFonts w:cs="Arial"/>
        </w:rPr>
        <w:t xml:space="preserve">. </w:t>
      </w:r>
    </w:p>
    <w:p w:rsidR="00852FAE" w:rsidRPr="003C4BAE" w:rsidRDefault="00852FAE" w:rsidP="00852FAE">
      <w:pPr>
        <w:autoSpaceDE w:val="0"/>
        <w:autoSpaceDN w:val="0"/>
        <w:adjustRightInd w:val="0"/>
        <w:spacing w:before="120" w:after="120" w:line="240" w:lineRule="atLeast"/>
        <w:rPr>
          <w:rFonts w:cs="Arial"/>
          <w:b/>
          <w:bCs/>
        </w:rPr>
      </w:pPr>
      <w:r w:rsidRPr="0059708A">
        <w:rPr>
          <w:rFonts w:cs="Arial"/>
          <w:b/>
        </w:rPr>
        <w:t xml:space="preserve">Schedule 2 – </w:t>
      </w:r>
      <w:r w:rsidRPr="003C4BAE">
        <w:rPr>
          <w:rFonts w:cs="Arial"/>
          <w:b/>
          <w:bCs/>
        </w:rPr>
        <w:t xml:space="preserve">Periods under subsection </w:t>
      </w:r>
      <w:proofErr w:type="gramStart"/>
      <w:r w:rsidRPr="003C4BAE">
        <w:rPr>
          <w:rFonts w:cs="Arial"/>
          <w:b/>
          <w:bCs/>
        </w:rPr>
        <w:t>61CD(</w:t>
      </w:r>
      <w:proofErr w:type="gramEnd"/>
      <w:r w:rsidRPr="003C4BAE">
        <w:rPr>
          <w:rFonts w:cs="Arial"/>
          <w:b/>
          <w:bCs/>
        </w:rPr>
        <w:t xml:space="preserve">2) of the Act for licensees </w:t>
      </w:r>
    </w:p>
    <w:p w:rsidR="00A84FA8" w:rsidRPr="0059708A" w:rsidRDefault="00852FAE" w:rsidP="00852FAE">
      <w:pPr>
        <w:rPr>
          <w:rFonts w:cs="Arial"/>
        </w:rPr>
      </w:pPr>
      <w:r w:rsidRPr="0059708A">
        <w:rPr>
          <w:rFonts w:cs="Arial"/>
        </w:rPr>
        <w:t xml:space="preserve">This schedule </w:t>
      </w:r>
      <w:r>
        <w:rPr>
          <w:rFonts w:cs="Arial"/>
        </w:rPr>
        <w:t>comprises</w:t>
      </w:r>
      <w:r w:rsidRPr="0059708A">
        <w:rPr>
          <w:rFonts w:cs="Arial"/>
        </w:rPr>
        <w:t xml:space="preserve"> a table listing </w:t>
      </w:r>
      <w:r>
        <w:rPr>
          <w:rFonts w:cs="Arial"/>
        </w:rPr>
        <w:t xml:space="preserve">the </w:t>
      </w:r>
      <w:r w:rsidRPr="00520712">
        <w:rPr>
          <w:rFonts w:cs="Arial"/>
          <w:bCs/>
        </w:rPr>
        <w:t>Service Licence number</w:t>
      </w:r>
      <w:r>
        <w:rPr>
          <w:rFonts w:cs="Arial"/>
          <w:bCs/>
        </w:rPr>
        <w:t>,</w:t>
      </w:r>
      <w:r w:rsidRPr="00520712">
        <w:rPr>
          <w:rFonts w:cs="Arial"/>
          <w:bCs/>
        </w:rPr>
        <w:t xml:space="preserve"> radio licence area</w:t>
      </w:r>
      <w:r w:rsidRPr="00520712">
        <w:rPr>
          <w:rFonts w:cs="Arial"/>
        </w:rPr>
        <w:t xml:space="preserve"> and</w:t>
      </w:r>
      <w:r>
        <w:rPr>
          <w:rFonts w:cs="Arial"/>
        </w:rPr>
        <w:t xml:space="preserve"> the </w:t>
      </w:r>
      <w:r w:rsidRPr="0059708A">
        <w:rPr>
          <w:rFonts w:cs="Arial"/>
        </w:rPr>
        <w:t xml:space="preserve">period </w:t>
      </w:r>
      <w:r>
        <w:rPr>
          <w:rFonts w:cs="Arial"/>
        </w:rPr>
        <w:t>during which the</w:t>
      </w:r>
      <w:r w:rsidRPr="002032AE">
        <w:rPr>
          <w:rFonts w:cs="Arial"/>
        </w:rPr>
        <w:t xml:space="preserve"> </w:t>
      </w:r>
      <w:r w:rsidRPr="0059708A">
        <w:rPr>
          <w:rFonts w:cs="Arial"/>
        </w:rPr>
        <w:t>specified licensees</w:t>
      </w:r>
      <w:r>
        <w:rPr>
          <w:rFonts w:cs="Arial"/>
        </w:rPr>
        <w:t xml:space="preserve"> are not required to meet </w:t>
      </w:r>
      <w:r w:rsidRPr="0059708A">
        <w:rPr>
          <w:rFonts w:cs="Arial"/>
        </w:rPr>
        <w:t>the minimum service standard</w:t>
      </w:r>
      <w:r>
        <w:rPr>
          <w:rFonts w:cs="Arial"/>
        </w:rPr>
        <w:t>s for local news and information.</w:t>
      </w:r>
    </w:p>
    <w:p w:rsidR="009052F3" w:rsidRPr="0019068D" w:rsidRDefault="009052F3" w:rsidP="00D22F27">
      <w:pPr>
        <w:spacing w:after="200" w:line="276" w:lineRule="auto"/>
        <w:jc w:val="center"/>
      </w:pPr>
      <w:r w:rsidRPr="001F0A23">
        <w:rPr>
          <w:rFonts w:cs="Arial"/>
          <w:highlight w:val="yellow"/>
        </w:rPr>
        <w:br w:type="page"/>
      </w:r>
      <w:bookmarkStart w:id="4" w:name="_Toc290210739"/>
      <w:r w:rsidRPr="0019068D">
        <w:rPr>
          <w:b/>
          <w:bCs/>
        </w:rPr>
        <w:lastRenderedPageBreak/>
        <w:t>Statement of Compatibility with Human Rights</w:t>
      </w:r>
    </w:p>
    <w:p w:rsidR="009052F3" w:rsidRPr="0019068D" w:rsidRDefault="009052F3" w:rsidP="00D22F27">
      <w:pPr>
        <w:pStyle w:val="Default"/>
        <w:spacing w:before="120" w:after="120"/>
        <w:jc w:val="center"/>
        <w:rPr>
          <w:sz w:val="20"/>
          <w:szCs w:val="20"/>
        </w:rPr>
      </w:pPr>
      <w:r w:rsidRPr="0019068D">
        <w:rPr>
          <w:i/>
          <w:iCs/>
          <w:sz w:val="20"/>
          <w:szCs w:val="20"/>
        </w:rPr>
        <w:t>Prepared in accordance with Part 3 of the Human Rights (Parliamentary Scrutiny) Act 2011</w:t>
      </w:r>
    </w:p>
    <w:p w:rsidR="009052F3" w:rsidRDefault="009052F3" w:rsidP="00D22F27">
      <w:pPr>
        <w:pStyle w:val="Default"/>
        <w:spacing w:before="120" w:after="120"/>
        <w:jc w:val="center"/>
        <w:rPr>
          <w:b/>
          <w:bCs/>
          <w:sz w:val="20"/>
          <w:szCs w:val="20"/>
        </w:rPr>
      </w:pPr>
    </w:p>
    <w:p w:rsidR="005726AF" w:rsidRPr="0019068D" w:rsidRDefault="005726AF" w:rsidP="00D22F27">
      <w:pPr>
        <w:pStyle w:val="Default"/>
        <w:spacing w:before="120" w:after="120"/>
        <w:jc w:val="center"/>
        <w:rPr>
          <w:b/>
          <w:bCs/>
          <w:sz w:val="20"/>
          <w:szCs w:val="20"/>
        </w:rPr>
      </w:pPr>
      <w:r>
        <w:rPr>
          <w:b/>
          <w:bCs/>
          <w:i/>
          <w:sz w:val="20"/>
          <w:szCs w:val="20"/>
        </w:rPr>
        <w:t>Broad</w:t>
      </w:r>
      <w:r w:rsidRPr="003C4BAE">
        <w:rPr>
          <w:b/>
          <w:bCs/>
          <w:i/>
          <w:sz w:val="20"/>
          <w:szCs w:val="20"/>
        </w:rPr>
        <w:t xml:space="preserve">casting Services (Regional Commercial Radio — Specification of Periods for Subsections </w:t>
      </w:r>
      <w:proofErr w:type="gramStart"/>
      <w:r w:rsidRPr="003C4BAE">
        <w:rPr>
          <w:b/>
          <w:bCs/>
          <w:i/>
          <w:sz w:val="20"/>
          <w:szCs w:val="20"/>
        </w:rPr>
        <w:t>43C(</w:t>
      </w:r>
      <w:proofErr w:type="gramEnd"/>
      <w:r w:rsidRPr="003C4BAE">
        <w:rPr>
          <w:b/>
          <w:bCs/>
          <w:i/>
          <w:sz w:val="20"/>
          <w:szCs w:val="20"/>
        </w:rPr>
        <w:t>1A) and 61CD(2)) Instrument 2012</w:t>
      </w:r>
    </w:p>
    <w:p w:rsidR="00852FAE" w:rsidRPr="0019068D" w:rsidRDefault="00852FAE" w:rsidP="00852FAE">
      <w:pPr>
        <w:pStyle w:val="Default"/>
        <w:spacing w:before="120" w:after="120" w:line="240" w:lineRule="atLeast"/>
        <w:rPr>
          <w:sz w:val="20"/>
          <w:szCs w:val="20"/>
        </w:rPr>
      </w:pPr>
      <w:r w:rsidRPr="0019068D">
        <w:rPr>
          <w:sz w:val="20"/>
          <w:szCs w:val="20"/>
        </w:rPr>
        <w:t xml:space="preserve">This </w:t>
      </w:r>
      <w:r>
        <w:rPr>
          <w:sz w:val="20"/>
          <w:szCs w:val="20"/>
        </w:rPr>
        <w:t>L</w:t>
      </w:r>
      <w:r w:rsidRPr="0019068D">
        <w:rPr>
          <w:sz w:val="20"/>
          <w:szCs w:val="20"/>
        </w:rPr>
        <w:t xml:space="preserve">egislative </w:t>
      </w:r>
      <w:r>
        <w:rPr>
          <w:sz w:val="20"/>
          <w:szCs w:val="20"/>
        </w:rPr>
        <w:t>I</w:t>
      </w:r>
      <w:r w:rsidRPr="0019068D">
        <w:rPr>
          <w:sz w:val="20"/>
          <w:szCs w:val="20"/>
        </w:rPr>
        <w:t xml:space="preserve">nstrument is compatible with the human rights and freedoms recognised or declared in the international instruments listed in section 3 of the </w:t>
      </w:r>
      <w:r w:rsidRPr="0019068D">
        <w:rPr>
          <w:i/>
          <w:iCs/>
          <w:sz w:val="20"/>
          <w:szCs w:val="20"/>
        </w:rPr>
        <w:t>Human Rights (Parliamentary Scrutiny) Act 2011</w:t>
      </w:r>
      <w:r w:rsidRPr="0019068D">
        <w:rPr>
          <w:sz w:val="20"/>
          <w:szCs w:val="20"/>
        </w:rPr>
        <w:t xml:space="preserve">. </w:t>
      </w:r>
    </w:p>
    <w:p w:rsidR="00852FAE" w:rsidRPr="0019068D" w:rsidRDefault="00852FAE" w:rsidP="00852FAE">
      <w:pPr>
        <w:pStyle w:val="Default"/>
        <w:spacing w:before="120" w:after="120" w:line="240" w:lineRule="atLeast"/>
        <w:rPr>
          <w:sz w:val="20"/>
          <w:szCs w:val="20"/>
        </w:rPr>
      </w:pPr>
      <w:r w:rsidRPr="0019068D">
        <w:rPr>
          <w:b/>
          <w:bCs/>
          <w:sz w:val="20"/>
          <w:szCs w:val="20"/>
        </w:rPr>
        <w:t xml:space="preserve">Overview of the Legislative Instrument </w:t>
      </w:r>
    </w:p>
    <w:p w:rsidR="00852FAE" w:rsidRDefault="00852FAE" w:rsidP="00852FAE">
      <w:pPr>
        <w:pStyle w:val="Default"/>
        <w:spacing w:before="120" w:after="120" w:line="240" w:lineRule="atLeast"/>
        <w:rPr>
          <w:sz w:val="20"/>
          <w:szCs w:val="20"/>
        </w:rPr>
      </w:pPr>
      <w:r>
        <w:rPr>
          <w:sz w:val="20"/>
          <w:szCs w:val="20"/>
        </w:rPr>
        <w:t>A</w:t>
      </w:r>
      <w:r w:rsidRPr="001E7A01">
        <w:rPr>
          <w:sz w:val="20"/>
          <w:szCs w:val="20"/>
        </w:rPr>
        <w:t xml:space="preserve">mendments to the </w:t>
      </w:r>
      <w:r w:rsidRPr="002F5118">
        <w:rPr>
          <w:bCs/>
          <w:i/>
          <w:sz w:val="20"/>
          <w:szCs w:val="20"/>
        </w:rPr>
        <w:t xml:space="preserve">Broadcasting Services Act 1992 </w:t>
      </w:r>
      <w:r w:rsidRPr="002F5118">
        <w:rPr>
          <w:bCs/>
          <w:sz w:val="20"/>
          <w:szCs w:val="20"/>
        </w:rPr>
        <w:t xml:space="preserve">(the </w:t>
      </w:r>
      <w:r w:rsidRPr="00D179C2">
        <w:rPr>
          <w:b/>
          <w:bCs/>
          <w:sz w:val="20"/>
          <w:szCs w:val="20"/>
        </w:rPr>
        <w:t>Act</w:t>
      </w:r>
      <w:r w:rsidRPr="002F5118">
        <w:rPr>
          <w:bCs/>
          <w:sz w:val="20"/>
          <w:szCs w:val="20"/>
        </w:rPr>
        <w:t>) w</w:t>
      </w:r>
      <w:r>
        <w:rPr>
          <w:bCs/>
          <w:sz w:val="20"/>
          <w:szCs w:val="20"/>
        </w:rPr>
        <w:t>hich commenced on 16 April 2012</w:t>
      </w:r>
      <w:r w:rsidRPr="001E7A01">
        <w:rPr>
          <w:sz w:val="20"/>
          <w:szCs w:val="20"/>
        </w:rPr>
        <w:t xml:space="preserve"> relax</w:t>
      </w:r>
      <w:r>
        <w:rPr>
          <w:sz w:val="20"/>
          <w:szCs w:val="20"/>
        </w:rPr>
        <w:t>ed</w:t>
      </w:r>
      <w:r w:rsidRPr="001E7A01">
        <w:rPr>
          <w:sz w:val="20"/>
          <w:szCs w:val="20"/>
        </w:rPr>
        <w:t xml:space="preserve"> some of the local</w:t>
      </w:r>
      <w:r>
        <w:rPr>
          <w:sz w:val="20"/>
          <w:szCs w:val="20"/>
        </w:rPr>
        <w:t xml:space="preserve"> content</w:t>
      </w:r>
      <w:r w:rsidRPr="001E7A01">
        <w:rPr>
          <w:sz w:val="20"/>
          <w:szCs w:val="20"/>
        </w:rPr>
        <w:t xml:space="preserve"> obligations </w:t>
      </w:r>
      <w:r>
        <w:rPr>
          <w:sz w:val="20"/>
          <w:szCs w:val="20"/>
        </w:rPr>
        <w:t>which apply to</w:t>
      </w:r>
      <w:r w:rsidRPr="001E7A01">
        <w:rPr>
          <w:sz w:val="20"/>
          <w:szCs w:val="20"/>
        </w:rPr>
        <w:t xml:space="preserve"> regional commercial radio broadcasters. The </w:t>
      </w:r>
      <w:r>
        <w:rPr>
          <w:sz w:val="20"/>
          <w:szCs w:val="20"/>
        </w:rPr>
        <w:t>amendments</w:t>
      </w:r>
      <w:r w:rsidRPr="001E7A01">
        <w:rPr>
          <w:sz w:val="20"/>
          <w:szCs w:val="20"/>
        </w:rPr>
        <w:t xml:space="preserve"> </w:t>
      </w:r>
      <w:r>
        <w:rPr>
          <w:sz w:val="20"/>
          <w:szCs w:val="20"/>
        </w:rPr>
        <w:t>have the effect</w:t>
      </w:r>
      <w:r w:rsidRPr="001E7A01">
        <w:rPr>
          <w:sz w:val="20"/>
          <w:szCs w:val="20"/>
        </w:rPr>
        <w:t xml:space="preserve"> </w:t>
      </w:r>
      <w:r>
        <w:rPr>
          <w:sz w:val="20"/>
          <w:szCs w:val="20"/>
        </w:rPr>
        <w:t xml:space="preserve">that, </w:t>
      </w:r>
      <w:r w:rsidRPr="001E7A01">
        <w:rPr>
          <w:sz w:val="20"/>
          <w:szCs w:val="20"/>
        </w:rPr>
        <w:t>for a five-week period each year</w:t>
      </w:r>
      <w:r>
        <w:rPr>
          <w:sz w:val="20"/>
          <w:szCs w:val="20"/>
        </w:rPr>
        <w:t>, a regional commercial radio broadcasting licensee is not required to comply with the obligation to provide specified amounts of material of local significance and local news and information</w:t>
      </w:r>
      <w:r w:rsidRPr="001E7A01">
        <w:rPr>
          <w:sz w:val="20"/>
          <w:szCs w:val="20"/>
        </w:rPr>
        <w:t xml:space="preserve">. The default period starts in the first week of December but the ACMA </w:t>
      </w:r>
      <w:r>
        <w:rPr>
          <w:sz w:val="20"/>
          <w:szCs w:val="20"/>
        </w:rPr>
        <w:t>may</w:t>
      </w:r>
      <w:r w:rsidRPr="001E7A01">
        <w:rPr>
          <w:sz w:val="20"/>
          <w:szCs w:val="20"/>
        </w:rPr>
        <w:t xml:space="preserve">, by legislative instrument, specify a different period for </w:t>
      </w:r>
      <w:r>
        <w:rPr>
          <w:sz w:val="20"/>
          <w:szCs w:val="20"/>
        </w:rPr>
        <w:t xml:space="preserve">one </w:t>
      </w:r>
      <w:r w:rsidRPr="001E7A01">
        <w:rPr>
          <w:sz w:val="20"/>
          <w:szCs w:val="20"/>
        </w:rPr>
        <w:t xml:space="preserve">or </w:t>
      </w:r>
      <w:r>
        <w:rPr>
          <w:sz w:val="20"/>
          <w:szCs w:val="20"/>
        </w:rPr>
        <w:t>more specified</w:t>
      </w:r>
      <w:r w:rsidRPr="001E7A01">
        <w:rPr>
          <w:sz w:val="20"/>
          <w:szCs w:val="20"/>
        </w:rPr>
        <w:t xml:space="preserve"> licensees.</w:t>
      </w:r>
    </w:p>
    <w:p w:rsidR="001E7A01" w:rsidRPr="001E7A01" w:rsidRDefault="00852FAE" w:rsidP="00852FAE">
      <w:pPr>
        <w:pStyle w:val="Default"/>
        <w:spacing w:before="120" w:after="120" w:line="240" w:lineRule="atLeast"/>
        <w:rPr>
          <w:sz w:val="20"/>
          <w:szCs w:val="20"/>
        </w:rPr>
      </w:pPr>
      <w:r w:rsidRPr="002F5118">
        <w:rPr>
          <w:sz w:val="20"/>
          <w:szCs w:val="20"/>
        </w:rPr>
        <w:t xml:space="preserve">The </w:t>
      </w:r>
      <w:r w:rsidRPr="003D0ED4">
        <w:rPr>
          <w:bCs/>
          <w:i/>
          <w:sz w:val="20"/>
          <w:szCs w:val="20"/>
        </w:rPr>
        <w:t xml:space="preserve">Broadcasting Services (Regional Commercial Radio – </w:t>
      </w:r>
      <w:r>
        <w:rPr>
          <w:bCs/>
          <w:i/>
          <w:sz w:val="20"/>
          <w:szCs w:val="20"/>
        </w:rPr>
        <w:t>S</w:t>
      </w:r>
      <w:r w:rsidRPr="003D0ED4">
        <w:rPr>
          <w:bCs/>
          <w:i/>
          <w:sz w:val="20"/>
          <w:szCs w:val="20"/>
        </w:rPr>
        <w:t xml:space="preserve">pecification of </w:t>
      </w:r>
      <w:r>
        <w:rPr>
          <w:bCs/>
          <w:i/>
          <w:sz w:val="20"/>
          <w:szCs w:val="20"/>
        </w:rPr>
        <w:t>P</w:t>
      </w:r>
      <w:r w:rsidRPr="003D0ED4">
        <w:rPr>
          <w:bCs/>
          <w:i/>
          <w:sz w:val="20"/>
          <w:szCs w:val="20"/>
        </w:rPr>
        <w:t>eriod</w:t>
      </w:r>
      <w:r>
        <w:rPr>
          <w:bCs/>
          <w:i/>
          <w:sz w:val="20"/>
          <w:szCs w:val="20"/>
        </w:rPr>
        <w:t>s for S</w:t>
      </w:r>
      <w:r w:rsidRPr="003D0ED4">
        <w:rPr>
          <w:bCs/>
          <w:i/>
          <w:sz w:val="20"/>
          <w:szCs w:val="20"/>
        </w:rPr>
        <w:t>ubsections 43C(1A) and 61CD(2)) Instrument 2012</w:t>
      </w:r>
      <w:r w:rsidRPr="002F5118">
        <w:rPr>
          <w:bCs/>
          <w:i/>
          <w:sz w:val="20"/>
          <w:szCs w:val="20"/>
        </w:rPr>
        <w:t xml:space="preserve"> </w:t>
      </w:r>
      <w:r w:rsidRPr="002F5118">
        <w:rPr>
          <w:bCs/>
          <w:sz w:val="20"/>
          <w:szCs w:val="20"/>
        </w:rPr>
        <w:t xml:space="preserve">(the </w:t>
      </w:r>
      <w:r w:rsidRPr="00D179C2">
        <w:rPr>
          <w:b/>
          <w:bCs/>
          <w:sz w:val="20"/>
          <w:szCs w:val="20"/>
        </w:rPr>
        <w:t>Instrument</w:t>
      </w:r>
      <w:r w:rsidRPr="002F5118">
        <w:rPr>
          <w:bCs/>
          <w:sz w:val="20"/>
          <w:szCs w:val="20"/>
        </w:rPr>
        <w:t>)</w:t>
      </w:r>
      <w:r w:rsidRPr="002F5118">
        <w:rPr>
          <w:bCs/>
          <w:i/>
          <w:sz w:val="20"/>
          <w:szCs w:val="20"/>
        </w:rPr>
        <w:t xml:space="preserve"> </w:t>
      </w:r>
      <w:r>
        <w:rPr>
          <w:bCs/>
          <w:sz w:val="20"/>
          <w:szCs w:val="20"/>
        </w:rPr>
        <w:t xml:space="preserve">specifies a later 5 week period for the </w:t>
      </w:r>
      <w:r>
        <w:rPr>
          <w:sz w:val="20"/>
          <w:szCs w:val="20"/>
        </w:rPr>
        <w:t>regional commercial radio broadcasting licensees identified in the Instrument.</w:t>
      </w:r>
    </w:p>
    <w:p w:rsidR="009052F3" w:rsidRPr="001E7A01" w:rsidRDefault="009052F3" w:rsidP="00593B39">
      <w:pPr>
        <w:pStyle w:val="Default"/>
        <w:spacing w:before="120" w:after="120" w:line="240" w:lineRule="atLeast"/>
        <w:rPr>
          <w:b/>
          <w:bCs/>
          <w:sz w:val="20"/>
          <w:szCs w:val="20"/>
        </w:rPr>
      </w:pPr>
      <w:r w:rsidRPr="001E7A01">
        <w:rPr>
          <w:b/>
          <w:bCs/>
          <w:sz w:val="20"/>
          <w:szCs w:val="20"/>
        </w:rPr>
        <w:t xml:space="preserve">Human Rights Implications </w:t>
      </w:r>
    </w:p>
    <w:p w:rsidR="00852FAE" w:rsidRPr="00852FAE" w:rsidRDefault="00852FAE" w:rsidP="00852FAE">
      <w:pPr>
        <w:spacing w:before="120" w:after="120"/>
        <w:rPr>
          <w:rFonts w:cs="Arial"/>
        </w:rPr>
      </w:pPr>
      <w:r w:rsidRPr="00852FAE">
        <w:rPr>
          <w:rFonts w:cs="Arial"/>
        </w:rPr>
        <w:t>This Legislative Instrument does not engage any of the applicable rights or freedoms.</w:t>
      </w:r>
    </w:p>
    <w:p w:rsidR="009052F3" w:rsidRPr="0036640D" w:rsidRDefault="009052F3" w:rsidP="00593B39">
      <w:pPr>
        <w:pStyle w:val="Default"/>
        <w:spacing w:before="120" w:after="120" w:line="240" w:lineRule="atLeast"/>
        <w:rPr>
          <w:b/>
          <w:bCs/>
          <w:sz w:val="20"/>
          <w:szCs w:val="20"/>
        </w:rPr>
      </w:pPr>
      <w:r w:rsidRPr="0036640D">
        <w:rPr>
          <w:b/>
          <w:bCs/>
          <w:sz w:val="20"/>
          <w:szCs w:val="20"/>
        </w:rPr>
        <w:t xml:space="preserve">Conclusion </w:t>
      </w:r>
    </w:p>
    <w:p w:rsidR="009052F3" w:rsidRPr="00A94C87" w:rsidRDefault="009052F3" w:rsidP="00593B39">
      <w:pPr>
        <w:pStyle w:val="Default"/>
        <w:spacing w:before="120" w:after="120" w:line="240" w:lineRule="atLeast"/>
        <w:rPr>
          <w:sz w:val="20"/>
          <w:szCs w:val="20"/>
        </w:rPr>
      </w:pPr>
      <w:r w:rsidRPr="0036640D">
        <w:rPr>
          <w:sz w:val="20"/>
          <w:szCs w:val="20"/>
        </w:rPr>
        <w:t xml:space="preserve">The </w:t>
      </w:r>
      <w:r w:rsidR="00852FAE">
        <w:rPr>
          <w:sz w:val="20"/>
          <w:szCs w:val="20"/>
        </w:rPr>
        <w:t>Legislative I</w:t>
      </w:r>
      <w:r w:rsidR="0036640D" w:rsidRPr="0036640D">
        <w:rPr>
          <w:sz w:val="20"/>
          <w:szCs w:val="20"/>
        </w:rPr>
        <w:t xml:space="preserve">nstrument is </w:t>
      </w:r>
      <w:r w:rsidRPr="0036640D">
        <w:rPr>
          <w:sz w:val="20"/>
          <w:szCs w:val="20"/>
        </w:rPr>
        <w:t xml:space="preserve">compatible with human rights </w:t>
      </w:r>
      <w:r w:rsidR="00852FAE">
        <w:rPr>
          <w:sz w:val="20"/>
          <w:szCs w:val="20"/>
        </w:rPr>
        <w:t>as it does not raise any human rights issues</w:t>
      </w:r>
      <w:r w:rsidRPr="0036640D">
        <w:rPr>
          <w:sz w:val="20"/>
          <w:szCs w:val="20"/>
        </w:rPr>
        <w:t>.</w:t>
      </w:r>
      <w:r w:rsidRPr="00A94C87">
        <w:rPr>
          <w:sz w:val="20"/>
          <w:szCs w:val="20"/>
        </w:rPr>
        <w:t xml:space="preserve"> </w:t>
      </w:r>
      <w:bookmarkEnd w:id="4"/>
    </w:p>
    <w:sectPr w:rsidR="009052F3" w:rsidRPr="00A94C87" w:rsidSect="00711C89">
      <w:footerReference w:type="default" r:id="rId9"/>
      <w:pgSz w:w="11906" w:h="16838"/>
      <w:pgMar w:top="1440" w:right="1440" w:bottom="1440" w:left="1440" w:header="45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DD0" w:rsidRDefault="00DC7DD0" w:rsidP="009238CA">
      <w:r>
        <w:separator/>
      </w:r>
    </w:p>
  </w:endnote>
  <w:endnote w:type="continuationSeparator" w:id="0">
    <w:p w:rsidR="00DC7DD0" w:rsidRDefault="00DC7DD0" w:rsidP="009238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Lt">
    <w:altName w:val="Cambria"/>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1387"/>
      <w:docPartObj>
        <w:docPartGallery w:val="Page Numbers (Bottom of Page)"/>
        <w:docPartUnique/>
      </w:docPartObj>
    </w:sdtPr>
    <w:sdtContent>
      <w:p w:rsidR="00DC7DD0" w:rsidRDefault="00D225BF">
        <w:pPr>
          <w:pStyle w:val="Footer"/>
          <w:jc w:val="right"/>
        </w:pPr>
        <w:fldSimple w:instr=" PAGE   \* MERGEFORMAT ">
          <w:r w:rsidR="00354F2D">
            <w:rPr>
              <w:noProof/>
            </w:rPr>
            <w:t>1</w:t>
          </w:r>
        </w:fldSimple>
      </w:p>
    </w:sdtContent>
  </w:sdt>
  <w:p w:rsidR="00DC7DD0" w:rsidRDefault="00DC7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DD0" w:rsidRDefault="00DC7DD0" w:rsidP="009238CA">
      <w:r>
        <w:separator/>
      </w:r>
    </w:p>
  </w:footnote>
  <w:footnote w:type="continuationSeparator" w:id="0">
    <w:p w:rsidR="00DC7DD0" w:rsidRDefault="00DC7DD0" w:rsidP="00923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22C"/>
    <w:multiLevelType w:val="hybridMultilevel"/>
    <w:tmpl w:val="B63CD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9E06AB"/>
    <w:multiLevelType w:val="hybridMultilevel"/>
    <w:tmpl w:val="F092CDA0"/>
    <w:lvl w:ilvl="0" w:tplc="62B67F5C">
      <w:start w:val="1"/>
      <w:numFmt w:val="lowerLetter"/>
      <w:lvlText w:val="(%1)"/>
      <w:lvlJc w:val="left"/>
      <w:pPr>
        <w:ind w:left="720" w:hanging="360"/>
      </w:pPr>
      <w:rPr>
        <w:rFonts w:hint="default"/>
      </w:rPr>
    </w:lvl>
    <w:lvl w:ilvl="1" w:tplc="948E8DD4" w:tentative="1">
      <w:start w:val="1"/>
      <w:numFmt w:val="bullet"/>
      <w:lvlText w:val="o"/>
      <w:lvlJc w:val="left"/>
      <w:pPr>
        <w:ind w:left="1440" w:hanging="360"/>
      </w:pPr>
      <w:rPr>
        <w:rFonts w:ascii="Courier New" w:hAnsi="Courier New" w:cs="Courier New" w:hint="default"/>
      </w:rPr>
    </w:lvl>
    <w:lvl w:ilvl="2" w:tplc="9A2CF14E" w:tentative="1">
      <w:start w:val="1"/>
      <w:numFmt w:val="bullet"/>
      <w:lvlText w:val=""/>
      <w:lvlJc w:val="left"/>
      <w:pPr>
        <w:ind w:left="2160" w:hanging="360"/>
      </w:pPr>
      <w:rPr>
        <w:rFonts w:ascii="Wingdings" w:hAnsi="Wingdings" w:hint="default"/>
      </w:rPr>
    </w:lvl>
    <w:lvl w:ilvl="3" w:tplc="FFBA1D48" w:tentative="1">
      <w:start w:val="1"/>
      <w:numFmt w:val="bullet"/>
      <w:lvlText w:val=""/>
      <w:lvlJc w:val="left"/>
      <w:pPr>
        <w:ind w:left="2880" w:hanging="360"/>
      </w:pPr>
      <w:rPr>
        <w:rFonts w:ascii="Symbol" w:hAnsi="Symbol" w:hint="default"/>
      </w:rPr>
    </w:lvl>
    <w:lvl w:ilvl="4" w:tplc="A8181454" w:tentative="1">
      <w:start w:val="1"/>
      <w:numFmt w:val="bullet"/>
      <w:lvlText w:val="o"/>
      <w:lvlJc w:val="left"/>
      <w:pPr>
        <w:ind w:left="3600" w:hanging="360"/>
      </w:pPr>
      <w:rPr>
        <w:rFonts w:ascii="Courier New" w:hAnsi="Courier New" w:cs="Courier New" w:hint="default"/>
      </w:rPr>
    </w:lvl>
    <w:lvl w:ilvl="5" w:tplc="351CC866" w:tentative="1">
      <w:start w:val="1"/>
      <w:numFmt w:val="bullet"/>
      <w:lvlText w:val=""/>
      <w:lvlJc w:val="left"/>
      <w:pPr>
        <w:ind w:left="4320" w:hanging="360"/>
      </w:pPr>
      <w:rPr>
        <w:rFonts w:ascii="Wingdings" w:hAnsi="Wingdings" w:hint="default"/>
      </w:rPr>
    </w:lvl>
    <w:lvl w:ilvl="6" w:tplc="8A00B03C" w:tentative="1">
      <w:start w:val="1"/>
      <w:numFmt w:val="bullet"/>
      <w:lvlText w:val=""/>
      <w:lvlJc w:val="left"/>
      <w:pPr>
        <w:ind w:left="5040" w:hanging="360"/>
      </w:pPr>
      <w:rPr>
        <w:rFonts w:ascii="Symbol" w:hAnsi="Symbol" w:hint="default"/>
      </w:rPr>
    </w:lvl>
    <w:lvl w:ilvl="7" w:tplc="9DAE8F4E" w:tentative="1">
      <w:start w:val="1"/>
      <w:numFmt w:val="bullet"/>
      <w:lvlText w:val="o"/>
      <w:lvlJc w:val="left"/>
      <w:pPr>
        <w:ind w:left="5760" w:hanging="360"/>
      </w:pPr>
      <w:rPr>
        <w:rFonts w:ascii="Courier New" w:hAnsi="Courier New" w:cs="Courier New" w:hint="default"/>
      </w:rPr>
    </w:lvl>
    <w:lvl w:ilvl="8" w:tplc="46D01728" w:tentative="1">
      <w:start w:val="1"/>
      <w:numFmt w:val="bullet"/>
      <w:lvlText w:val=""/>
      <w:lvlJc w:val="left"/>
      <w:pPr>
        <w:ind w:left="6480" w:hanging="360"/>
      </w:pPr>
      <w:rPr>
        <w:rFonts w:ascii="Wingdings" w:hAnsi="Wingdings" w:hint="default"/>
      </w:rPr>
    </w:lvl>
  </w:abstractNum>
  <w:abstractNum w:abstractNumId="2">
    <w:nsid w:val="14B62D5B"/>
    <w:multiLevelType w:val="hybridMultilevel"/>
    <w:tmpl w:val="920A1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8F1758"/>
    <w:multiLevelType w:val="hybridMultilevel"/>
    <w:tmpl w:val="782A72C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4">
    <w:nsid w:val="2A245AE9"/>
    <w:multiLevelType w:val="hybridMultilevel"/>
    <w:tmpl w:val="E9F272DE"/>
    <w:lvl w:ilvl="0" w:tplc="12826C4A">
      <w:start w:val="1"/>
      <w:numFmt w:val="decimal"/>
      <w:lvlText w:val="(%1)"/>
      <w:lvlJc w:val="right"/>
      <w:pPr>
        <w:ind w:left="1930" w:hanging="360"/>
      </w:pPr>
      <w:rPr>
        <w:rFonts w:hint="default"/>
      </w:rPr>
    </w:lvl>
    <w:lvl w:ilvl="1" w:tplc="0C090019">
      <w:start w:val="1"/>
      <w:numFmt w:val="lowerLetter"/>
      <w:lvlText w:val="%2."/>
      <w:lvlJc w:val="left"/>
      <w:pPr>
        <w:ind w:left="2650" w:hanging="360"/>
      </w:pPr>
    </w:lvl>
    <w:lvl w:ilvl="2" w:tplc="0C09001B" w:tentative="1">
      <w:start w:val="1"/>
      <w:numFmt w:val="lowerRoman"/>
      <w:lvlText w:val="%3."/>
      <w:lvlJc w:val="right"/>
      <w:pPr>
        <w:ind w:left="3370" w:hanging="180"/>
      </w:pPr>
    </w:lvl>
    <w:lvl w:ilvl="3" w:tplc="0C09000F" w:tentative="1">
      <w:start w:val="1"/>
      <w:numFmt w:val="decimal"/>
      <w:lvlText w:val="%4."/>
      <w:lvlJc w:val="left"/>
      <w:pPr>
        <w:ind w:left="4090" w:hanging="360"/>
      </w:pPr>
    </w:lvl>
    <w:lvl w:ilvl="4" w:tplc="0C090019" w:tentative="1">
      <w:start w:val="1"/>
      <w:numFmt w:val="lowerLetter"/>
      <w:lvlText w:val="%5."/>
      <w:lvlJc w:val="left"/>
      <w:pPr>
        <w:ind w:left="4810" w:hanging="360"/>
      </w:pPr>
    </w:lvl>
    <w:lvl w:ilvl="5" w:tplc="0C09001B" w:tentative="1">
      <w:start w:val="1"/>
      <w:numFmt w:val="lowerRoman"/>
      <w:lvlText w:val="%6."/>
      <w:lvlJc w:val="right"/>
      <w:pPr>
        <w:ind w:left="5530" w:hanging="180"/>
      </w:pPr>
    </w:lvl>
    <w:lvl w:ilvl="6" w:tplc="0C09000F" w:tentative="1">
      <w:start w:val="1"/>
      <w:numFmt w:val="decimal"/>
      <w:lvlText w:val="%7."/>
      <w:lvlJc w:val="left"/>
      <w:pPr>
        <w:ind w:left="6250" w:hanging="360"/>
      </w:pPr>
    </w:lvl>
    <w:lvl w:ilvl="7" w:tplc="0C090019" w:tentative="1">
      <w:start w:val="1"/>
      <w:numFmt w:val="lowerLetter"/>
      <w:lvlText w:val="%8."/>
      <w:lvlJc w:val="left"/>
      <w:pPr>
        <w:ind w:left="6970" w:hanging="360"/>
      </w:pPr>
    </w:lvl>
    <w:lvl w:ilvl="8" w:tplc="0C09001B" w:tentative="1">
      <w:start w:val="1"/>
      <w:numFmt w:val="lowerRoman"/>
      <w:lvlText w:val="%9."/>
      <w:lvlJc w:val="right"/>
      <w:pPr>
        <w:ind w:left="7690" w:hanging="180"/>
      </w:pPr>
    </w:lvl>
  </w:abstractNum>
  <w:abstractNum w:abstractNumId="5">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3EDE145E"/>
    <w:multiLevelType w:val="hybridMultilevel"/>
    <w:tmpl w:val="3CBA1EA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nsid w:val="44B34EEE"/>
    <w:multiLevelType w:val="hybridMultilevel"/>
    <w:tmpl w:val="98DE28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4EE3242D"/>
    <w:multiLevelType w:val="hybridMultilevel"/>
    <w:tmpl w:val="2ACC2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68458A7"/>
    <w:multiLevelType w:val="hybridMultilevel"/>
    <w:tmpl w:val="AA2E5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A287DF4"/>
    <w:multiLevelType w:val="hybridMultilevel"/>
    <w:tmpl w:val="8632A0D0"/>
    <w:lvl w:ilvl="0" w:tplc="1C5C52DE">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1">
    <w:nsid w:val="687D5D95"/>
    <w:multiLevelType w:val="hybridMultilevel"/>
    <w:tmpl w:val="08C2417A"/>
    <w:lvl w:ilvl="0" w:tplc="62B67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88B71FA"/>
    <w:multiLevelType w:val="hybridMultilevel"/>
    <w:tmpl w:val="5B901B00"/>
    <w:lvl w:ilvl="0" w:tplc="DA045E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6590F38"/>
    <w:multiLevelType w:val="hybridMultilevel"/>
    <w:tmpl w:val="9B0CB798"/>
    <w:lvl w:ilvl="0" w:tplc="1C5C52DE">
      <w:start w:val="1"/>
      <w:numFmt w:val="bullet"/>
      <w:lvlText w:val=""/>
      <w:lvlJc w:val="left"/>
      <w:pPr>
        <w:ind w:left="720" w:hanging="360"/>
      </w:pPr>
      <w:rPr>
        <w:rFonts w:ascii="Symbol" w:hAnsi="Symbol" w:hint="default"/>
      </w:rPr>
    </w:lvl>
    <w:lvl w:ilvl="1" w:tplc="948E8DD4" w:tentative="1">
      <w:start w:val="1"/>
      <w:numFmt w:val="bullet"/>
      <w:lvlText w:val="o"/>
      <w:lvlJc w:val="left"/>
      <w:pPr>
        <w:ind w:left="1440" w:hanging="360"/>
      </w:pPr>
      <w:rPr>
        <w:rFonts w:ascii="Courier New" w:hAnsi="Courier New" w:cs="Courier New" w:hint="default"/>
      </w:rPr>
    </w:lvl>
    <w:lvl w:ilvl="2" w:tplc="9A2CF14E" w:tentative="1">
      <w:start w:val="1"/>
      <w:numFmt w:val="bullet"/>
      <w:lvlText w:val=""/>
      <w:lvlJc w:val="left"/>
      <w:pPr>
        <w:ind w:left="2160" w:hanging="360"/>
      </w:pPr>
      <w:rPr>
        <w:rFonts w:ascii="Wingdings" w:hAnsi="Wingdings" w:hint="default"/>
      </w:rPr>
    </w:lvl>
    <w:lvl w:ilvl="3" w:tplc="FFBA1D48" w:tentative="1">
      <w:start w:val="1"/>
      <w:numFmt w:val="bullet"/>
      <w:lvlText w:val=""/>
      <w:lvlJc w:val="left"/>
      <w:pPr>
        <w:ind w:left="2880" w:hanging="360"/>
      </w:pPr>
      <w:rPr>
        <w:rFonts w:ascii="Symbol" w:hAnsi="Symbol" w:hint="default"/>
      </w:rPr>
    </w:lvl>
    <w:lvl w:ilvl="4" w:tplc="A8181454" w:tentative="1">
      <w:start w:val="1"/>
      <w:numFmt w:val="bullet"/>
      <w:lvlText w:val="o"/>
      <w:lvlJc w:val="left"/>
      <w:pPr>
        <w:ind w:left="3600" w:hanging="360"/>
      </w:pPr>
      <w:rPr>
        <w:rFonts w:ascii="Courier New" w:hAnsi="Courier New" w:cs="Courier New" w:hint="default"/>
      </w:rPr>
    </w:lvl>
    <w:lvl w:ilvl="5" w:tplc="351CC866" w:tentative="1">
      <w:start w:val="1"/>
      <w:numFmt w:val="bullet"/>
      <w:lvlText w:val=""/>
      <w:lvlJc w:val="left"/>
      <w:pPr>
        <w:ind w:left="4320" w:hanging="360"/>
      </w:pPr>
      <w:rPr>
        <w:rFonts w:ascii="Wingdings" w:hAnsi="Wingdings" w:hint="default"/>
      </w:rPr>
    </w:lvl>
    <w:lvl w:ilvl="6" w:tplc="8A00B03C" w:tentative="1">
      <w:start w:val="1"/>
      <w:numFmt w:val="bullet"/>
      <w:lvlText w:val=""/>
      <w:lvlJc w:val="left"/>
      <w:pPr>
        <w:ind w:left="5040" w:hanging="360"/>
      </w:pPr>
      <w:rPr>
        <w:rFonts w:ascii="Symbol" w:hAnsi="Symbol" w:hint="default"/>
      </w:rPr>
    </w:lvl>
    <w:lvl w:ilvl="7" w:tplc="9DAE8F4E" w:tentative="1">
      <w:start w:val="1"/>
      <w:numFmt w:val="bullet"/>
      <w:lvlText w:val="o"/>
      <w:lvlJc w:val="left"/>
      <w:pPr>
        <w:ind w:left="5760" w:hanging="360"/>
      </w:pPr>
      <w:rPr>
        <w:rFonts w:ascii="Courier New" w:hAnsi="Courier New" w:cs="Courier New" w:hint="default"/>
      </w:rPr>
    </w:lvl>
    <w:lvl w:ilvl="8" w:tplc="46D01728"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7"/>
  </w:num>
  <w:num w:numId="4">
    <w:abstractNumId w:val="6"/>
  </w:num>
  <w:num w:numId="5">
    <w:abstractNumId w:val="2"/>
  </w:num>
  <w:num w:numId="6">
    <w:abstractNumId w:val="8"/>
  </w:num>
  <w:num w:numId="7">
    <w:abstractNumId w:val="9"/>
  </w:num>
  <w:num w:numId="8">
    <w:abstractNumId w:val="0"/>
  </w:num>
  <w:num w:numId="9">
    <w:abstractNumId w:val="3"/>
  </w:num>
  <w:num w:numId="10">
    <w:abstractNumId w:val="11"/>
  </w:num>
  <w:num w:numId="11">
    <w:abstractNumId w:val="12"/>
  </w:num>
  <w:num w:numId="12">
    <w:abstractNumId w:val="10"/>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238CA"/>
    <w:rsid w:val="00004866"/>
    <w:rsid w:val="00005139"/>
    <w:rsid w:val="00015326"/>
    <w:rsid w:val="000206A4"/>
    <w:rsid w:val="00040D3A"/>
    <w:rsid w:val="000437A8"/>
    <w:rsid w:val="0005193C"/>
    <w:rsid w:val="000551E3"/>
    <w:rsid w:val="000769DF"/>
    <w:rsid w:val="00092F64"/>
    <w:rsid w:val="000B1AB0"/>
    <w:rsid w:val="000B4AF6"/>
    <w:rsid w:val="000B6CBE"/>
    <w:rsid w:val="000C42A0"/>
    <w:rsid w:val="000C6521"/>
    <w:rsid w:val="000C6980"/>
    <w:rsid w:val="000F51F6"/>
    <w:rsid w:val="000F7F21"/>
    <w:rsid w:val="00102100"/>
    <w:rsid w:val="001074E6"/>
    <w:rsid w:val="00115AE9"/>
    <w:rsid w:val="00121967"/>
    <w:rsid w:val="001223A8"/>
    <w:rsid w:val="001247A9"/>
    <w:rsid w:val="00124A96"/>
    <w:rsid w:val="00127690"/>
    <w:rsid w:val="00130FB0"/>
    <w:rsid w:val="001372E0"/>
    <w:rsid w:val="00142579"/>
    <w:rsid w:val="001457DF"/>
    <w:rsid w:val="00152351"/>
    <w:rsid w:val="00155B0E"/>
    <w:rsid w:val="00156B82"/>
    <w:rsid w:val="00163260"/>
    <w:rsid w:val="001634FB"/>
    <w:rsid w:val="0017709F"/>
    <w:rsid w:val="00177EC8"/>
    <w:rsid w:val="00183FD6"/>
    <w:rsid w:val="0019068D"/>
    <w:rsid w:val="00190BD2"/>
    <w:rsid w:val="001A1C22"/>
    <w:rsid w:val="001A65D9"/>
    <w:rsid w:val="001B51B8"/>
    <w:rsid w:val="001C62DD"/>
    <w:rsid w:val="001D54B7"/>
    <w:rsid w:val="001E3D1A"/>
    <w:rsid w:val="001E7A01"/>
    <w:rsid w:val="001F0A23"/>
    <w:rsid w:val="001F5960"/>
    <w:rsid w:val="00206B53"/>
    <w:rsid w:val="00207E3E"/>
    <w:rsid w:val="00223680"/>
    <w:rsid w:val="00227803"/>
    <w:rsid w:val="00227F1F"/>
    <w:rsid w:val="00231590"/>
    <w:rsid w:val="002319CF"/>
    <w:rsid w:val="00232F15"/>
    <w:rsid w:val="00233086"/>
    <w:rsid w:val="00234DCC"/>
    <w:rsid w:val="0023700A"/>
    <w:rsid w:val="00241B46"/>
    <w:rsid w:val="0024249E"/>
    <w:rsid w:val="00250E73"/>
    <w:rsid w:val="00251808"/>
    <w:rsid w:val="00252698"/>
    <w:rsid w:val="0025782A"/>
    <w:rsid w:val="00267718"/>
    <w:rsid w:val="00275907"/>
    <w:rsid w:val="00276312"/>
    <w:rsid w:val="002764E2"/>
    <w:rsid w:val="00284553"/>
    <w:rsid w:val="002874D8"/>
    <w:rsid w:val="002A0CCA"/>
    <w:rsid w:val="002A3067"/>
    <w:rsid w:val="002A7C4E"/>
    <w:rsid w:val="002B1B84"/>
    <w:rsid w:val="002B298B"/>
    <w:rsid w:val="002B57E9"/>
    <w:rsid w:val="002B7820"/>
    <w:rsid w:val="002C0720"/>
    <w:rsid w:val="002D5CD2"/>
    <w:rsid w:val="002E524A"/>
    <w:rsid w:val="002F5118"/>
    <w:rsid w:val="002F689D"/>
    <w:rsid w:val="003041FD"/>
    <w:rsid w:val="00304287"/>
    <w:rsid w:val="00323B2F"/>
    <w:rsid w:val="00324C63"/>
    <w:rsid w:val="00325000"/>
    <w:rsid w:val="003277FA"/>
    <w:rsid w:val="00331129"/>
    <w:rsid w:val="0033769A"/>
    <w:rsid w:val="00345EF4"/>
    <w:rsid w:val="00346432"/>
    <w:rsid w:val="003466C9"/>
    <w:rsid w:val="00350547"/>
    <w:rsid w:val="00353A5E"/>
    <w:rsid w:val="00354F2D"/>
    <w:rsid w:val="003622FD"/>
    <w:rsid w:val="0036640D"/>
    <w:rsid w:val="00377A0B"/>
    <w:rsid w:val="00381E7A"/>
    <w:rsid w:val="00382EE0"/>
    <w:rsid w:val="003852AE"/>
    <w:rsid w:val="00390508"/>
    <w:rsid w:val="00391D24"/>
    <w:rsid w:val="00396CC0"/>
    <w:rsid w:val="00397E21"/>
    <w:rsid w:val="003A1E3F"/>
    <w:rsid w:val="003A2C4D"/>
    <w:rsid w:val="003B1400"/>
    <w:rsid w:val="003B2C2D"/>
    <w:rsid w:val="003B62A7"/>
    <w:rsid w:val="003C28C5"/>
    <w:rsid w:val="003C2CBB"/>
    <w:rsid w:val="003C4BAE"/>
    <w:rsid w:val="003D0129"/>
    <w:rsid w:val="003D0ED4"/>
    <w:rsid w:val="003D1F32"/>
    <w:rsid w:val="003D5CCB"/>
    <w:rsid w:val="003D65A3"/>
    <w:rsid w:val="003D6A50"/>
    <w:rsid w:val="003E1C97"/>
    <w:rsid w:val="003E1DB4"/>
    <w:rsid w:val="003E3CB6"/>
    <w:rsid w:val="003F034D"/>
    <w:rsid w:val="003F1988"/>
    <w:rsid w:val="003F34FB"/>
    <w:rsid w:val="003F3A9F"/>
    <w:rsid w:val="003F4A44"/>
    <w:rsid w:val="003F6AEC"/>
    <w:rsid w:val="00402347"/>
    <w:rsid w:val="00411753"/>
    <w:rsid w:val="00411FC8"/>
    <w:rsid w:val="00412A07"/>
    <w:rsid w:val="00412B4B"/>
    <w:rsid w:val="00432CC3"/>
    <w:rsid w:val="004353E3"/>
    <w:rsid w:val="00437BCD"/>
    <w:rsid w:val="00446A36"/>
    <w:rsid w:val="00451EBA"/>
    <w:rsid w:val="00453BB9"/>
    <w:rsid w:val="004543C7"/>
    <w:rsid w:val="004637F6"/>
    <w:rsid w:val="00467839"/>
    <w:rsid w:val="0047334B"/>
    <w:rsid w:val="00477EA0"/>
    <w:rsid w:val="004974A1"/>
    <w:rsid w:val="004979EE"/>
    <w:rsid w:val="004B2A8D"/>
    <w:rsid w:val="004B4CF2"/>
    <w:rsid w:val="004B714D"/>
    <w:rsid w:val="004C68E1"/>
    <w:rsid w:val="004C6F04"/>
    <w:rsid w:val="004D0D35"/>
    <w:rsid w:val="004D57C6"/>
    <w:rsid w:val="004E09C5"/>
    <w:rsid w:val="004F039A"/>
    <w:rsid w:val="004F5FC2"/>
    <w:rsid w:val="005111C6"/>
    <w:rsid w:val="00520712"/>
    <w:rsid w:val="0052182D"/>
    <w:rsid w:val="0052525C"/>
    <w:rsid w:val="00530569"/>
    <w:rsid w:val="00534396"/>
    <w:rsid w:val="005409BA"/>
    <w:rsid w:val="00541FD9"/>
    <w:rsid w:val="00542B56"/>
    <w:rsid w:val="0054456A"/>
    <w:rsid w:val="00544E0A"/>
    <w:rsid w:val="005501A4"/>
    <w:rsid w:val="005515EA"/>
    <w:rsid w:val="00552965"/>
    <w:rsid w:val="00557630"/>
    <w:rsid w:val="00564582"/>
    <w:rsid w:val="00565256"/>
    <w:rsid w:val="005726AF"/>
    <w:rsid w:val="005744E2"/>
    <w:rsid w:val="00574DB1"/>
    <w:rsid w:val="005774E5"/>
    <w:rsid w:val="00580712"/>
    <w:rsid w:val="00582483"/>
    <w:rsid w:val="005846B2"/>
    <w:rsid w:val="00587F76"/>
    <w:rsid w:val="00590DC2"/>
    <w:rsid w:val="00590EB9"/>
    <w:rsid w:val="00593B39"/>
    <w:rsid w:val="0059708A"/>
    <w:rsid w:val="005A39FC"/>
    <w:rsid w:val="005A504C"/>
    <w:rsid w:val="005B295C"/>
    <w:rsid w:val="005B4726"/>
    <w:rsid w:val="005B4AC5"/>
    <w:rsid w:val="005B4C90"/>
    <w:rsid w:val="005D25F7"/>
    <w:rsid w:val="005D5214"/>
    <w:rsid w:val="005D5BEA"/>
    <w:rsid w:val="005E3320"/>
    <w:rsid w:val="005E4372"/>
    <w:rsid w:val="005E7B8D"/>
    <w:rsid w:val="005F1AC6"/>
    <w:rsid w:val="005F2DB1"/>
    <w:rsid w:val="00600715"/>
    <w:rsid w:val="00601D85"/>
    <w:rsid w:val="006030E2"/>
    <w:rsid w:val="00603B9F"/>
    <w:rsid w:val="0060433E"/>
    <w:rsid w:val="00606260"/>
    <w:rsid w:val="006153DF"/>
    <w:rsid w:val="00617B56"/>
    <w:rsid w:val="00623371"/>
    <w:rsid w:val="00625363"/>
    <w:rsid w:val="00626F70"/>
    <w:rsid w:val="00627F8C"/>
    <w:rsid w:val="00637A2E"/>
    <w:rsid w:val="00640D5B"/>
    <w:rsid w:val="0064516C"/>
    <w:rsid w:val="00645F12"/>
    <w:rsid w:val="0064676A"/>
    <w:rsid w:val="006567EC"/>
    <w:rsid w:val="0065754F"/>
    <w:rsid w:val="00660AAB"/>
    <w:rsid w:val="0066104D"/>
    <w:rsid w:val="006613F6"/>
    <w:rsid w:val="006651F8"/>
    <w:rsid w:val="00667CCF"/>
    <w:rsid w:val="00671765"/>
    <w:rsid w:val="0067550B"/>
    <w:rsid w:val="00676449"/>
    <w:rsid w:val="0067663A"/>
    <w:rsid w:val="00677A7E"/>
    <w:rsid w:val="00681DE9"/>
    <w:rsid w:val="00683893"/>
    <w:rsid w:val="006962F0"/>
    <w:rsid w:val="006B0826"/>
    <w:rsid w:val="006B1735"/>
    <w:rsid w:val="006B6B93"/>
    <w:rsid w:val="006B6FB5"/>
    <w:rsid w:val="006C0020"/>
    <w:rsid w:val="006C14E1"/>
    <w:rsid w:val="006C19C7"/>
    <w:rsid w:val="006D25B9"/>
    <w:rsid w:val="006D361B"/>
    <w:rsid w:val="006D5377"/>
    <w:rsid w:val="006E7AC2"/>
    <w:rsid w:val="006F19D0"/>
    <w:rsid w:val="00711C89"/>
    <w:rsid w:val="00714E05"/>
    <w:rsid w:val="007205C5"/>
    <w:rsid w:val="00730295"/>
    <w:rsid w:val="00731872"/>
    <w:rsid w:val="00736F76"/>
    <w:rsid w:val="007403C3"/>
    <w:rsid w:val="00743969"/>
    <w:rsid w:val="007518B5"/>
    <w:rsid w:val="0075492C"/>
    <w:rsid w:val="00756170"/>
    <w:rsid w:val="00760695"/>
    <w:rsid w:val="00760799"/>
    <w:rsid w:val="007609A0"/>
    <w:rsid w:val="007647EC"/>
    <w:rsid w:val="00772E9C"/>
    <w:rsid w:val="00780018"/>
    <w:rsid w:val="00781C86"/>
    <w:rsid w:val="00796444"/>
    <w:rsid w:val="00796BC2"/>
    <w:rsid w:val="00797481"/>
    <w:rsid w:val="007A371B"/>
    <w:rsid w:val="007B3132"/>
    <w:rsid w:val="007B3A8A"/>
    <w:rsid w:val="007B57C0"/>
    <w:rsid w:val="007B66D7"/>
    <w:rsid w:val="007B70A4"/>
    <w:rsid w:val="007C3A5C"/>
    <w:rsid w:val="007D71BA"/>
    <w:rsid w:val="007D740E"/>
    <w:rsid w:val="007E3862"/>
    <w:rsid w:val="007E6B7E"/>
    <w:rsid w:val="00802833"/>
    <w:rsid w:val="008111A5"/>
    <w:rsid w:val="00811362"/>
    <w:rsid w:val="0081624B"/>
    <w:rsid w:val="00817020"/>
    <w:rsid w:val="00817366"/>
    <w:rsid w:val="008228A4"/>
    <w:rsid w:val="00835BDD"/>
    <w:rsid w:val="00841360"/>
    <w:rsid w:val="00843395"/>
    <w:rsid w:val="008459CC"/>
    <w:rsid w:val="0085000D"/>
    <w:rsid w:val="00852FAE"/>
    <w:rsid w:val="00854A4F"/>
    <w:rsid w:val="0085704F"/>
    <w:rsid w:val="00865959"/>
    <w:rsid w:val="008722AE"/>
    <w:rsid w:val="00885084"/>
    <w:rsid w:val="00890A69"/>
    <w:rsid w:val="00893AB7"/>
    <w:rsid w:val="008A01A0"/>
    <w:rsid w:val="008A1A57"/>
    <w:rsid w:val="008A280E"/>
    <w:rsid w:val="008A43A0"/>
    <w:rsid w:val="008A5A1E"/>
    <w:rsid w:val="008A5B67"/>
    <w:rsid w:val="008B10C0"/>
    <w:rsid w:val="008B430D"/>
    <w:rsid w:val="008C1C7B"/>
    <w:rsid w:val="008C474A"/>
    <w:rsid w:val="008C6508"/>
    <w:rsid w:val="008D384E"/>
    <w:rsid w:val="008D4459"/>
    <w:rsid w:val="008D6455"/>
    <w:rsid w:val="008E27A2"/>
    <w:rsid w:val="008F35BD"/>
    <w:rsid w:val="009026CA"/>
    <w:rsid w:val="009052F3"/>
    <w:rsid w:val="00911617"/>
    <w:rsid w:val="00911DA5"/>
    <w:rsid w:val="00917EEC"/>
    <w:rsid w:val="009216A4"/>
    <w:rsid w:val="009238CA"/>
    <w:rsid w:val="00924C90"/>
    <w:rsid w:val="00936C38"/>
    <w:rsid w:val="009401B3"/>
    <w:rsid w:val="00945404"/>
    <w:rsid w:val="00945F17"/>
    <w:rsid w:val="009473A6"/>
    <w:rsid w:val="00957F5D"/>
    <w:rsid w:val="00965CCB"/>
    <w:rsid w:val="009710A3"/>
    <w:rsid w:val="00980528"/>
    <w:rsid w:val="00984432"/>
    <w:rsid w:val="00987955"/>
    <w:rsid w:val="009A237F"/>
    <w:rsid w:val="009B22B9"/>
    <w:rsid w:val="009B26F5"/>
    <w:rsid w:val="009B5994"/>
    <w:rsid w:val="009B789B"/>
    <w:rsid w:val="009C0541"/>
    <w:rsid w:val="009D07AC"/>
    <w:rsid w:val="009D7A6A"/>
    <w:rsid w:val="00A02D51"/>
    <w:rsid w:val="00A03A23"/>
    <w:rsid w:val="00A05772"/>
    <w:rsid w:val="00A15D18"/>
    <w:rsid w:val="00A161F8"/>
    <w:rsid w:val="00A17AD7"/>
    <w:rsid w:val="00A221D1"/>
    <w:rsid w:val="00A245DC"/>
    <w:rsid w:val="00A3006E"/>
    <w:rsid w:val="00A30EBD"/>
    <w:rsid w:val="00A37540"/>
    <w:rsid w:val="00A41C08"/>
    <w:rsid w:val="00A43755"/>
    <w:rsid w:val="00A475B6"/>
    <w:rsid w:val="00A476AD"/>
    <w:rsid w:val="00A67BF1"/>
    <w:rsid w:val="00A67FE3"/>
    <w:rsid w:val="00A723FC"/>
    <w:rsid w:val="00A76A87"/>
    <w:rsid w:val="00A80F70"/>
    <w:rsid w:val="00A82601"/>
    <w:rsid w:val="00A84070"/>
    <w:rsid w:val="00A84FA8"/>
    <w:rsid w:val="00A92E42"/>
    <w:rsid w:val="00A94C87"/>
    <w:rsid w:val="00A95595"/>
    <w:rsid w:val="00A958D3"/>
    <w:rsid w:val="00A970B9"/>
    <w:rsid w:val="00AA1235"/>
    <w:rsid w:val="00AB79D0"/>
    <w:rsid w:val="00AC09DB"/>
    <w:rsid w:val="00AC3537"/>
    <w:rsid w:val="00AD10D0"/>
    <w:rsid w:val="00AD3A6E"/>
    <w:rsid w:val="00AE4D9C"/>
    <w:rsid w:val="00AE5800"/>
    <w:rsid w:val="00AE73D7"/>
    <w:rsid w:val="00AF21C1"/>
    <w:rsid w:val="00AF5C1A"/>
    <w:rsid w:val="00AF62B2"/>
    <w:rsid w:val="00B0099A"/>
    <w:rsid w:val="00B05246"/>
    <w:rsid w:val="00B07631"/>
    <w:rsid w:val="00B23C48"/>
    <w:rsid w:val="00B35A23"/>
    <w:rsid w:val="00B35E72"/>
    <w:rsid w:val="00B36A8A"/>
    <w:rsid w:val="00B43633"/>
    <w:rsid w:val="00B50266"/>
    <w:rsid w:val="00B65B61"/>
    <w:rsid w:val="00B70CFB"/>
    <w:rsid w:val="00B71FF2"/>
    <w:rsid w:val="00B73484"/>
    <w:rsid w:val="00B87B63"/>
    <w:rsid w:val="00BA26F6"/>
    <w:rsid w:val="00BB1EE3"/>
    <w:rsid w:val="00BB2C81"/>
    <w:rsid w:val="00BB6FB5"/>
    <w:rsid w:val="00BC093F"/>
    <w:rsid w:val="00BC3843"/>
    <w:rsid w:val="00BC42E4"/>
    <w:rsid w:val="00BD1332"/>
    <w:rsid w:val="00BD1E58"/>
    <w:rsid w:val="00BD4C80"/>
    <w:rsid w:val="00BE1E6F"/>
    <w:rsid w:val="00BF1509"/>
    <w:rsid w:val="00BF461C"/>
    <w:rsid w:val="00C005BB"/>
    <w:rsid w:val="00C04466"/>
    <w:rsid w:val="00C04F53"/>
    <w:rsid w:val="00C117B2"/>
    <w:rsid w:val="00C11F3B"/>
    <w:rsid w:val="00C14662"/>
    <w:rsid w:val="00C2076D"/>
    <w:rsid w:val="00C24A76"/>
    <w:rsid w:val="00C27801"/>
    <w:rsid w:val="00C27BD2"/>
    <w:rsid w:val="00C34E4E"/>
    <w:rsid w:val="00C36F68"/>
    <w:rsid w:val="00C41E2F"/>
    <w:rsid w:val="00C45D03"/>
    <w:rsid w:val="00C50867"/>
    <w:rsid w:val="00C60CA9"/>
    <w:rsid w:val="00C63BF1"/>
    <w:rsid w:val="00C65A4B"/>
    <w:rsid w:val="00C65DA9"/>
    <w:rsid w:val="00C71FA8"/>
    <w:rsid w:val="00C766EA"/>
    <w:rsid w:val="00C80474"/>
    <w:rsid w:val="00C80B8B"/>
    <w:rsid w:val="00C81337"/>
    <w:rsid w:val="00C851DB"/>
    <w:rsid w:val="00C954E3"/>
    <w:rsid w:val="00CB6424"/>
    <w:rsid w:val="00CB7741"/>
    <w:rsid w:val="00CC2EF2"/>
    <w:rsid w:val="00CC4416"/>
    <w:rsid w:val="00CC62DC"/>
    <w:rsid w:val="00CC6742"/>
    <w:rsid w:val="00CC6768"/>
    <w:rsid w:val="00CC710C"/>
    <w:rsid w:val="00CD2D78"/>
    <w:rsid w:val="00CE2CEC"/>
    <w:rsid w:val="00CE6F47"/>
    <w:rsid w:val="00D13140"/>
    <w:rsid w:val="00D1524A"/>
    <w:rsid w:val="00D225BF"/>
    <w:rsid w:val="00D22DD8"/>
    <w:rsid w:val="00D22F27"/>
    <w:rsid w:val="00D2714C"/>
    <w:rsid w:val="00D30E11"/>
    <w:rsid w:val="00D31517"/>
    <w:rsid w:val="00D341CE"/>
    <w:rsid w:val="00D370DD"/>
    <w:rsid w:val="00D44DE3"/>
    <w:rsid w:val="00D506B8"/>
    <w:rsid w:val="00D50CF4"/>
    <w:rsid w:val="00D51060"/>
    <w:rsid w:val="00D534A1"/>
    <w:rsid w:val="00D53A71"/>
    <w:rsid w:val="00D54DDC"/>
    <w:rsid w:val="00D61826"/>
    <w:rsid w:val="00D61BAF"/>
    <w:rsid w:val="00D6775B"/>
    <w:rsid w:val="00D73F5F"/>
    <w:rsid w:val="00D85B6B"/>
    <w:rsid w:val="00D87670"/>
    <w:rsid w:val="00D90754"/>
    <w:rsid w:val="00D93AAC"/>
    <w:rsid w:val="00D968F7"/>
    <w:rsid w:val="00DA23DD"/>
    <w:rsid w:val="00DA4DC6"/>
    <w:rsid w:val="00DB3EE0"/>
    <w:rsid w:val="00DB6D71"/>
    <w:rsid w:val="00DC157C"/>
    <w:rsid w:val="00DC2B11"/>
    <w:rsid w:val="00DC4549"/>
    <w:rsid w:val="00DC4F10"/>
    <w:rsid w:val="00DC7DD0"/>
    <w:rsid w:val="00DD3567"/>
    <w:rsid w:val="00DD4782"/>
    <w:rsid w:val="00DD512D"/>
    <w:rsid w:val="00DD5E73"/>
    <w:rsid w:val="00DE178C"/>
    <w:rsid w:val="00DE228C"/>
    <w:rsid w:val="00DE3987"/>
    <w:rsid w:val="00DF65F4"/>
    <w:rsid w:val="00DF7E4F"/>
    <w:rsid w:val="00E00FDE"/>
    <w:rsid w:val="00E10F60"/>
    <w:rsid w:val="00E10F86"/>
    <w:rsid w:val="00E148E6"/>
    <w:rsid w:val="00E17912"/>
    <w:rsid w:val="00E209B7"/>
    <w:rsid w:val="00E3129E"/>
    <w:rsid w:val="00E44114"/>
    <w:rsid w:val="00E45F8D"/>
    <w:rsid w:val="00E47CC3"/>
    <w:rsid w:val="00E51E14"/>
    <w:rsid w:val="00E60BC3"/>
    <w:rsid w:val="00E60DD7"/>
    <w:rsid w:val="00E64C6E"/>
    <w:rsid w:val="00E65F5A"/>
    <w:rsid w:val="00E66F7A"/>
    <w:rsid w:val="00E73319"/>
    <w:rsid w:val="00E75378"/>
    <w:rsid w:val="00E84F5F"/>
    <w:rsid w:val="00E8509E"/>
    <w:rsid w:val="00E967D5"/>
    <w:rsid w:val="00E97563"/>
    <w:rsid w:val="00EA7CFC"/>
    <w:rsid w:val="00EC065B"/>
    <w:rsid w:val="00EC44B6"/>
    <w:rsid w:val="00ED54AD"/>
    <w:rsid w:val="00ED785D"/>
    <w:rsid w:val="00F04010"/>
    <w:rsid w:val="00F05006"/>
    <w:rsid w:val="00F05010"/>
    <w:rsid w:val="00F05F36"/>
    <w:rsid w:val="00F15E74"/>
    <w:rsid w:val="00F22C3D"/>
    <w:rsid w:val="00F23C3A"/>
    <w:rsid w:val="00F23CA2"/>
    <w:rsid w:val="00F34595"/>
    <w:rsid w:val="00F37D65"/>
    <w:rsid w:val="00F43A5D"/>
    <w:rsid w:val="00F62684"/>
    <w:rsid w:val="00F6335D"/>
    <w:rsid w:val="00F66351"/>
    <w:rsid w:val="00F66DDA"/>
    <w:rsid w:val="00F7014F"/>
    <w:rsid w:val="00F72071"/>
    <w:rsid w:val="00F72FB1"/>
    <w:rsid w:val="00F74683"/>
    <w:rsid w:val="00F87565"/>
    <w:rsid w:val="00F87FA6"/>
    <w:rsid w:val="00F96C26"/>
    <w:rsid w:val="00FA6FE4"/>
    <w:rsid w:val="00FB28E8"/>
    <w:rsid w:val="00FB2934"/>
    <w:rsid w:val="00FC0876"/>
    <w:rsid w:val="00FC4B2C"/>
    <w:rsid w:val="00FD04CE"/>
    <w:rsid w:val="00FD4671"/>
    <w:rsid w:val="00FE3BE5"/>
    <w:rsid w:val="00FF238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CA"/>
    <w:pPr>
      <w:spacing w:after="0" w:line="240" w:lineRule="auto"/>
    </w:pPr>
    <w:rPr>
      <w:rFonts w:ascii="Arial" w:eastAsia="Times New Roman" w:hAnsi="Arial" w:cs="Times New Roman"/>
      <w:sz w:val="20"/>
      <w:szCs w:val="20"/>
      <w:lang w:bidi="he-IL"/>
    </w:rPr>
  </w:style>
  <w:style w:type="paragraph" w:styleId="Heading1">
    <w:name w:val="heading 1"/>
    <w:basedOn w:val="Normal"/>
    <w:next w:val="Normal"/>
    <w:link w:val="Heading1Char"/>
    <w:qFormat/>
    <w:rsid w:val="009238CA"/>
    <w:pPr>
      <w:keepNext/>
      <w:suppressAutoHyphens/>
      <w:spacing w:before="320"/>
      <w:outlineLvl w:val="0"/>
    </w:pPr>
    <w:rPr>
      <w:rFonts w:cs="Arial"/>
      <w:b/>
      <w:bCs/>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8CA"/>
    <w:rPr>
      <w:rFonts w:ascii="Arial" w:eastAsia="Times New Roman" w:hAnsi="Arial" w:cs="Arial"/>
      <w:b/>
      <w:bCs/>
      <w:sz w:val="32"/>
      <w:szCs w:val="32"/>
      <w:lang w:val="en-US"/>
    </w:rPr>
  </w:style>
  <w:style w:type="character" w:styleId="FootnoteReference">
    <w:name w:val="footnote reference"/>
    <w:aliases w:val="(NECG) Footnote Reference,(NECG) Footnote Reference1,(NECG) Footnote Reference2,o"/>
    <w:basedOn w:val="DefaultParagraphFont"/>
    <w:rsid w:val="009238CA"/>
    <w:rPr>
      <w:rFonts w:ascii="Arial" w:hAnsi="Arial"/>
      <w:vertAlign w:val="superscript"/>
    </w:rPr>
  </w:style>
  <w:style w:type="paragraph" w:styleId="FootnoteText">
    <w:name w:val="footnote text"/>
    <w:aliases w:val="ACMA Footnote Text,ABA Footnote Text,ALTS FOOTNOTE,(NECG) Footnote Text,Footnote text,AR Footnote Text,AR Footnote Text Char Char Char Char Char,Footnote Text Char1 Char Char,Footnote Text Char Char Char Char Char Char,footnote text"/>
    <w:basedOn w:val="Normal"/>
    <w:link w:val="FootnoteTextChar"/>
    <w:rsid w:val="009238CA"/>
    <w:pPr>
      <w:spacing w:line="240" w:lineRule="atLeast"/>
    </w:pPr>
    <w:rPr>
      <w:rFonts w:ascii="HelveticaNeueLT Std Lt" w:hAnsi="HelveticaNeueLT Std Lt"/>
      <w:sz w:val="16"/>
      <w:szCs w:val="16"/>
      <w:lang w:eastAsia="en-AU" w:bidi="ar-SA"/>
    </w:rPr>
  </w:style>
  <w:style w:type="character" w:customStyle="1" w:styleId="FootnoteTextChar">
    <w:name w:val="Footnote Text Char"/>
    <w:aliases w:val="ACMA Footnote Text Char,ABA Footnote Text Char,ALTS FOOTNOTE Char,(NECG) Footnote Text Char,Footnote text Char,AR Footnote Text Char,AR Footnote Text Char Char Char Char Char Char,Footnote Text Char1 Char Char Char,footnote text Char"/>
    <w:basedOn w:val="DefaultParagraphFont"/>
    <w:link w:val="FootnoteText"/>
    <w:rsid w:val="009238CA"/>
    <w:rPr>
      <w:rFonts w:ascii="HelveticaNeueLT Std Lt" w:eastAsia="Times New Roman" w:hAnsi="HelveticaNeueLT Std Lt" w:cs="Times New Roman"/>
      <w:sz w:val="16"/>
      <w:szCs w:val="16"/>
      <w:lang w:eastAsia="en-AU"/>
    </w:rPr>
  </w:style>
  <w:style w:type="paragraph" w:styleId="BalloonText">
    <w:name w:val="Balloon Text"/>
    <w:basedOn w:val="Normal"/>
    <w:link w:val="BalloonTextChar"/>
    <w:uiPriority w:val="99"/>
    <w:semiHidden/>
    <w:unhideWhenUsed/>
    <w:rsid w:val="00EA7CFC"/>
    <w:rPr>
      <w:rFonts w:ascii="Tahoma" w:hAnsi="Tahoma" w:cs="Tahoma"/>
      <w:sz w:val="16"/>
      <w:szCs w:val="16"/>
    </w:rPr>
  </w:style>
  <w:style w:type="character" w:customStyle="1" w:styleId="BalloonTextChar">
    <w:name w:val="Balloon Text Char"/>
    <w:basedOn w:val="DefaultParagraphFont"/>
    <w:link w:val="BalloonText"/>
    <w:uiPriority w:val="99"/>
    <w:semiHidden/>
    <w:rsid w:val="00EA7CFC"/>
    <w:rPr>
      <w:rFonts w:ascii="Tahoma" w:eastAsia="Times New Roman" w:hAnsi="Tahoma" w:cs="Tahoma"/>
      <w:sz w:val="16"/>
      <w:szCs w:val="16"/>
      <w:lang w:bidi="he-IL"/>
    </w:rPr>
  </w:style>
  <w:style w:type="character" w:styleId="Hyperlink">
    <w:name w:val="Hyperlink"/>
    <w:basedOn w:val="DefaultParagraphFont"/>
    <w:uiPriority w:val="99"/>
    <w:unhideWhenUsed/>
    <w:rsid w:val="0065754F"/>
    <w:rPr>
      <w:color w:val="0000FF" w:themeColor="hyperlink"/>
      <w:u w:val="single"/>
    </w:rPr>
  </w:style>
  <w:style w:type="character" w:styleId="CommentReference">
    <w:name w:val="annotation reference"/>
    <w:basedOn w:val="DefaultParagraphFont"/>
    <w:semiHidden/>
    <w:unhideWhenUsed/>
    <w:rsid w:val="0065754F"/>
    <w:rPr>
      <w:sz w:val="16"/>
      <w:szCs w:val="16"/>
    </w:rPr>
  </w:style>
  <w:style w:type="paragraph" w:styleId="CommentText">
    <w:name w:val="annotation text"/>
    <w:basedOn w:val="Normal"/>
    <w:link w:val="CommentTextChar"/>
    <w:semiHidden/>
    <w:unhideWhenUsed/>
    <w:rsid w:val="0065754F"/>
  </w:style>
  <w:style w:type="character" w:customStyle="1" w:styleId="CommentTextChar">
    <w:name w:val="Comment Text Char"/>
    <w:basedOn w:val="DefaultParagraphFont"/>
    <w:link w:val="CommentText"/>
    <w:uiPriority w:val="99"/>
    <w:semiHidden/>
    <w:rsid w:val="0065754F"/>
    <w:rPr>
      <w:rFonts w:ascii="Arial" w:eastAsia="Times New Roman" w:hAnsi="Arial"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65754F"/>
    <w:rPr>
      <w:b/>
      <w:bCs/>
    </w:rPr>
  </w:style>
  <w:style w:type="character" w:customStyle="1" w:styleId="CommentSubjectChar">
    <w:name w:val="Comment Subject Char"/>
    <w:basedOn w:val="CommentTextChar"/>
    <w:link w:val="CommentSubject"/>
    <w:uiPriority w:val="99"/>
    <w:semiHidden/>
    <w:rsid w:val="0065754F"/>
    <w:rPr>
      <w:b/>
      <w:bCs/>
    </w:rPr>
  </w:style>
  <w:style w:type="paragraph" w:customStyle="1" w:styleId="Default">
    <w:name w:val="Default"/>
    <w:rsid w:val="006651F8"/>
    <w:pPr>
      <w:autoSpaceDE w:val="0"/>
      <w:autoSpaceDN w:val="0"/>
      <w:adjustRightInd w:val="0"/>
      <w:spacing w:after="0" w:line="240" w:lineRule="auto"/>
    </w:pPr>
    <w:rPr>
      <w:rFonts w:ascii="Arial" w:hAnsi="Arial" w:cs="Arial"/>
      <w:color w:val="000000"/>
      <w:sz w:val="24"/>
      <w:szCs w:val="24"/>
    </w:rPr>
  </w:style>
  <w:style w:type="paragraph" w:customStyle="1" w:styleId="definition">
    <w:name w:val="definition"/>
    <w:basedOn w:val="Normal"/>
    <w:rsid w:val="00F96C26"/>
    <w:pPr>
      <w:spacing w:before="80" w:line="260" w:lineRule="exact"/>
      <w:ind w:left="964"/>
      <w:jc w:val="both"/>
    </w:pPr>
    <w:rPr>
      <w:rFonts w:ascii="Times New Roman" w:hAnsi="Times New Roman"/>
      <w:sz w:val="24"/>
      <w:szCs w:val="24"/>
      <w:lang w:bidi="ar-SA"/>
    </w:rPr>
  </w:style>
  <w:style w:type="paragraph" w:customStyle="1" w:styleId="P1">
    <w:name w:val="P1"/>
    <w:aliases w:val="(a)"/>
    <w:basedOn w:val="Normal"/>
    <w:rsid w:val="00F96C26"/>
    <w:pPr>
      <w:tabs>
        <w:tab w:val="right" w:pos="1191"/>
      </w:tabs>
      <w:spacing w:before="60" w:line="260" w:lineRule="exact"/>
      <w:ind w:left="1418" w:hanging="1418"/>
      <w:jc w:val="both"/>
    </w:pPr>
    <w:rPr>
      <w:rFonts w:ascii="Times New Roman" w:hAnsi="Times New Roman"/>
      <w:sz w:val="24"/>
      <w:szCs w:val="24"/>
      <w:lang w:bidi="ar-SA"/>
    </w:rPr>
  </w:style>
  <w:style w:type="paragraph" w:styleId="ListParagraph">
    <w:name w:val="List Paragraph"/>
    <w:basedOn w:val="Normal"/>
    <w:uiPriority w:val="34"/>
    <w:qFormat/>
    <w:rsid w:val="00F96C26"/>
    <w:pPr>
      <w:ind w:left="720"/>
      <w:contextualSpacing/>
    </w:pPr>
  </w:style>
  <w:style w:type="paragraph" w:styleId="Header">
    <w:name w:val="header"/>
    <w:basedOn w:val="Normal"/>
    <w:link w:val="HeaderChar"/>
    <w:uiPriority w:val="99"/>
    <w:semiHidden/>
    <w:unhideWhenUsed/>
    <w:rsid w:val="005B4AC5"/>
    <w:pPr>
      <w:tabs>
        <w:tab w:val="center" w:pos="4513"/>
        <w:tab w:val="right" w:pos="9026"/>
      </w:tabs>
    </w:pPr>
  </w:style>
  <w:style w:type="character" w:customStyle="1" w:styleId="HeaderChar">
    <w:name w:val="Header Char"/>
    <w:basedOn w:val="DefaultParagraphFont"/>
    <w:link w:val="Header"/>
    <w:uiPriority w:val="99"/>
    <w:semiHidden/>
    <w:rsid w:val="005B4AC5"/>
    <w:rPr>
      <w:rFonts w:ascii="Arial" w:eastAsia="Times New Roman" w:hAnsi="Arial" w:cs="Times New Roman"/>
      <w:sz w:val="20"/>
      <w:szCs w:val="20"/>
      <w:lang w:bidi="he-IL"/>
    </w:rPr>
  </w:style>
  <w:style w:type="paragraph" w:styleId="Footer">
    <w:name w:val="footer"/>
    <w:basedOn w:val="Normal"/>
    <w:link w:val="FooterChar"/>
    <w:uiPriority w:val="99"/>
    <w:unhideWhenUsed/>
    <w:rsid w:val="005B4AC5"/>
    <w:pPr>
      <w:tabs>
        <w:tab w:val="center" w:pos="4513"/>
        <w:tab w:val="right" w:pos="9026"/>
      </w:tabs>
    </w:pPr>
  </w:style>
  <w:style w:type="character" w:customStyle="1" w:styleId="FooterChar">
    <w:name w:val="Footer Char"/>
    <w:basedOn w:val="DefaultParagraphFont"/>
    <w:link w:val="Footer"/>
    <w:uiPriority w:val="99"/>
    <w:rsid w:val="005B4AC5"/>
    <w:rPr>
      <w:rFonts w:ascii="Arial" w:eastAsia="Times New Roman" w:hAnsi="Arial" w:cs="Times New Roman"/>
      <w:sz w:val="20"/>
      <w:szCs w:val="20"/>
      <w:lang w:bidi="he-IL"/>
    </w:rPr>
  </w:style>
  <w:style w:type="paragraph" w:customStyle="1" w:styleId="Normalspace">
    <w:name w:val="Normal + space"/>
    <w:basedOn w:val="Normal"/>
    <w:uiPriority w:val="99"/>
    <w:rsid w:val="00660AAB"/>
    <w:pPr>
      <w:autoSpaceDE w:val="0"/>
      <w:autoSpaceDN w:val="0"/>
      <w:spacing w:after="240"/>
      <w:ind w:right="288"/>
    </w:pPr>
    <w:rPr>
      <w:rFonts w:ascii="CG Times (W1)" w:eastAsiaTheme="minorEastAsia" w:hAnsi="CG Times (W1)" w:cs="CG Times (W1)"/>
      <w:sz w:val="24"/>
      <w:szCs w:val="24"/>
      <w:lang w:bidi="ar-SA"/>
    </w:rPr>
  </w:style>
  <w:style w:type="paragraph" w:styleId="Revision">
    <w:name w:val="Revision"/>
    <w:hidden/>
    <w:uiPriority w:val="99"/>
    <w:semiHidden/>
    <w:rsid w:val="00660AAB"/>
    <w:pPr>
      <w:spacing w:after="0" w:line="240" w:lineRule="auto"/>
    </w:pPr>
    <w:rPr>
      <w:rFonts w:ascii="Arial" w:eastAsia="Times New Roman" w:hAnsi="Arial" w:cs="Times New Roman"/>
      <w:sz w:val="20"/>
      <w:szCs w:val="20"/>
      <w:lang w:bidi="he-IL"/>
    </w:rPr>
  </w:style>
  <w:style w:type="paragraph" w:customStyle="1" w:styleId="ACMABulletLevel1">
    <w:name w:val="ACMA Bullet Level 1"/>
    <w:rsid w:val="00852FAE"/>
    <w:pPr>
      <w:numPr>
        <w:numId w:val="14"/>
      </w:numPr>
      <w:spacing w:after="12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73225137">
      <w:bodyDiv w:val="1"/>
      <w:marLeft w:val="0"/>
      <w:marRight w:val="0"/>
      <w:marTop w:val="0"/>
      <w:marBottom w:val="0"/>
      <w:divBdr>
        <w:top w:val="none" w:sz="0" w:space="0" w:color="auto"/>
        <w:left w:val="none" w:sz="0" w:space="0" w:color="auto"/>
        <w:bottom w:val="none" w:sz="0" w:space="0" w:color="auto"/>
        <w:right w:val="none" w:sz="0" w:space="0" w:color="auto"/>
      </w:divBdr>
    </w:div>
    <w:div w:id="205262214">
      <w:bodyDiv w:val="1"/>
      <w:marLeft w:val="0"/>
      <w:marRight w:val="0"/>
      <w:marTop w:val="0"/>
      <w:marBottom w:val="0"/>
      <w:divBdr>
        <w:top w:val="none" w:sz="0" w:space="0" w:color="auto"/>
        <w:left w:val="none" w:sz="0" w:space="0" w:color="auto"/>
        <w:bottom w:val="none" w:sz="0" w:space="0" w:color="auto"/>
        <w:right w:val="none" w:sz="0" w:space="0" w:color="auto"/>
      </w:divBdr>
    </w:div>
    <w:div w:id="353843262">
      <w:bodyDiv w:val="1"/>
      <w:marLeft w:val="0"/>
      <w:marRight w:val="0"/>
      <w:marTop w:val="0"/>
      <w:marBottom w:val="0"/>
      <w:divBdr>
        <w:top w:val="none" w:sz="0" w:space="0" w:color="auto"/>
        <w:left w:val="none" w:sz="0" w:space="0" w:color="auto"/>
        <w:bottom w:val="none" w:sz="0" w:space="0" w:color="auto"/>
        <w:right w:val="none" w:sz="0" w:space="0" w:color="auto"/>
      </w:divBdr>
      <w:divsChild>
        <w:div w:id="873545606">
          <w:marLeft w:val="0"/>
          <w:marRight w:val="0"/>
          <w:marTop w:val="0"/>
          <w:marBottom w:val="0"/>
          <w:divBdr>
            <w:top w:val="none" w:sz="0" w:space="0" w:color="auto"/>
            <w:left w:val="none" w:sz="0" w:space="0" w:color="auto"/>
            <w:bottom w:val="none" w:sz="0" w:space="0" w:color="auto"/>
            <w:right w:val="none" w:sz="0" w:space="0" w:color="auto"/>
          </w:divBdr>
          <w:divsChild>
            <w:div w:id="1262296267">
              <w:marLeft w:val="0"/>
              <w:marRight w:val="0"/>
              <w:marTop w:val="0"/>
              <w:marBottom w:val="0"/>
              <w:divBdr>
                <w:top w:val="none" w:sz="0" w:space="0" w:color="auto"/>
                <w:left w:val="none" w:sz="0" w:space="0" w:color="auto"/>
                <w:bottom w:val="none" w:sz="0" w:space="0" w:color="auto"/>
                <w:right w:val="none" w:sz="0" w:space="0" w:color="auto"/>
              </w:divBdr>
              <w:divsChild>
                <w:div w:id="1296571102">
                  <w:marLeft w:val="0"/>
                  <w:marRight w:val="0"/>
                  <w:marTop w:val="0"/>
                  <w:marBottom w:val="0"/>
                  <w:divBdr>
                    <w:top w:val="none" w:sz="0" w:space="0" w:color="auto"/>
                    <w:left w:val="none" w:sz="0" w:space="0" w:color="auto"/>
                    <w:bottom w:val="none" w:sz="0" w:space="0" w:color="auto"/>
                    <w:right w:val="none" w:sz="0" w:space="0" w:color="auto"/>
                  </w:divBdr>
                  <w:divsChild>
                    <w:div w:id="2083870374">
                      <w:marLeft w:val="0"/>
                      <w:marRight w:val="0"/>
                      <w:marTop w:val="0"/>
                      <w:marBottom w:val="0"/>
                      <w:divBdr>
                        <w:top w:val="none" w:sz="0" w:space="0" w:color="auto"/>
                        <w:left w:val="none" w:sz="0" w:space="0" w:color="auto"/>
                        <w:bottom w:val="none" w:sz="0" w:space="0" w:color="auto"/>
                        <w:right w:val="none" w:sz="0" w:space="0" w:color="auto"/>
                      </w:divBdr>
                      <w:divsChild>
                        <w:div w:id="376662270">
                          <w:marLeft w:val="0"/>
                          <w:marRight w:val="0"/>
                          <w:marTop w:val="0"/>
                          <w:marBottom w:val="0"/>
                          <w:divBdr>
                            <w:top w:val="single" w:sz="6" w:space="0" w:color="828282"/>
                            <w:left w:val="single" w:sz="6" w:space="0" w:color="828282"/>
                            <w:bottom w:val="single" w:sz="6" w:space="0" w:color="828282"/>
                            <w:right w:val="single" w:sz="6" w:space="0" w:color="828282"/>
                          </w:divBdr>
                          <w:divsChild>
                            <w:div w:id="725492475">
                              <w:marLeft w:val="0"/>
                              <w:marRight w:val="0"/>
                              <w:marTop w:val="0"/>
                              <w:marBottom w:val="0"/>
                              <w:divBdr>
                                <w:top w:val="none" w:sz="0" w:space="0" w:color="auto"/>
                                <w:left w:val="none" w:sz="0" w:space="0" w:color="auto"/>
                                <w:bottom w:val="none" w:sz="0" w:space="0" w:color="auto"/>
                                <w:right w:val="none" w:sz="0" w:space="0" w:color="auto"/>
                              </w:divBdr>
                              <w:divsChild>
                                <w:div w:id="988633082">
                                  <w:marLeft w:val="0"/>
                                  <w:marRight w:val="0"/>
                                  <w:marTop w:val="0"/>
                                  <w:marBottom w:val="0"/>
                                  <w:divBdr>
                                    <w:top w:val="none" w:sz="0" w:space="0" w:color="auto"/>
                                    <w:left w:val="none" w:sz="0" w:space="0" w:color="auto"/>
                                    <w:bottom w:val="none" w:sz="0" w:space="0" w:color="auto"/>
                                    <w:right w:val="none" w:sz="0" w:space="0" w:color="auto"/>
                                  </w:divBdr>
                                  <w:divsChild>
                                    <w:div w:id="1583837273">
                                      <w:marLeft w:val="0"/>
                                      <w:marRight w:val="0"/>
                                      <w:marTop w:val="0"/>
                                      <w:marBottom w:val="0"/>
                                      <w:divBdr>
                                        <w:top w:val="none" w:sz="0" w:space="0" w:color="auto"/>
                                        <w:left w:val="none" w:sz="0" w:space="0" w:color="auto"/>
                                        <w:bottom w:val="none" w:sz="0" w:space="0" w:color="auto"/>
                                        <w:right w:val="none" w:sz="0" w:space="0" w:color="auto"/>
                                      </w:divBdr>
                                      <w:divsChild>
                                        <w:div w:id="1164055739">
                                          <w:marLeft w:val="0"/>
                                          <w:marRight w:val="0"/>
                                          <w:marTop w:val="0"/>
                                          <w:marBottom w:val="0"/>
                                          <w:divBdr>
                                            <w:top w:val="none" w:sz="0" w:space="0" w:color="auto"/>
                                            <w:left w:val="none" w:sz="0" w:space="0" w:color="auto"/>
                                            <w:bottom w:val="none" w:sz="0" w:space="0" w:color="auto"/>
                                            <w:right w:val="none" w:sz="0" w:space="0" w:color="auto"/>
                                          </w:divBdr>
                                          <w:divsChild>
                                            <w:div w:id="1179275668">
                                              <w:marLeft w:val="0"/>
                                              <w:marRight w:val="0"/>
                                              <w:marTop w:val="0"/>
                                              <w:marBottom w:val="0"/>
                                              <w:divBdr>
                                                <w:top w:val="none" w:sz="0" w:space="0" w:color="auto"/>
                                                <w:left w:val="none" w:sz="0" w:space="0" w:color="auto"/>
                                                <w:bottom w:val="none" w:sz="0" w:space="0" w:color="auto"/>
                                                <w:right w:val="none" w:sz="0" w:space="0" w:color="auto"/>
                                              </w:divBdr>
                                              <w:divsChild>
                                                <w:div w:id="3415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5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3D7B9-4166-40D5-B9D6-53121B508F1A}">
  <ds:schemaRefs>
    <ds:schemaRef ds:uri="http://schemas.openxmlformats.org/officeDocument/2006/bibliography"/>
  </ds:schemaRefs>
</ds:datastoreItem>
</file>

<file path=customXml/itemProps2.xml><?xml version="1.0" encoding="utf-8"?>
<ds:datastoreItem xmlns:ds="http://schemas.openxmlformats.org/officeDocument/2006/customXml" ds:itemID="{CC83A9A1-2A28-4FFB-865A-A6D07225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ahenson</dc:creator>
  <cp:lastModifiedBy>Helen Turnbull</cp:lastModifiedBy>
  <cp:revision>4</cp:revision>
  <cp:lastPrinted>2012-02-27T07:00:00Z</cp:lastPrinted>
  <dcterms:created xsi:type="dcterms:W3CDTF">2012-11-28T06:23:00Z</dcterms:created>
  <dcterms:modified xsi:type="dcterms:W3CDTF">2012-12-12T01:09:00Z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309643909</vt:i4>
  </property>
  <property fmtid="{D5CDD505-2E9C-101B-9397-08002B2CF9AE}" pid="3" name="_NewReviewCycle">
    <vt:lpwstr/>
  </property>
  <property fmtid="{D5CDD505-2E9C-101B-9397-08002B2CF9AE}" pid="4" name="_EmailSubject">
    <vt:lpwstr>Explanatory statements sent to FRLI</vt:lpwstr>
  </property>
  <property fmtid="{D5CDD505-2E9C-101B-9397-08002B2CF9AE}" pid="5" name="_AuthorEmail">
    <vt:lpwstr>Helen.Turnbull@acma.gov.au</vt:lpwstr>
  </property>
  <property fmtid="{D5CDD505-2E9C-101B-9397-08002B2CF9AE}" pid="6" name="_AuthorEmailDisplayName">
    <vt:lpwstr>Helen Turnbull</vt:lpwstr>
  </property>
  <property fmtid="{D5CDD505-2E9C-101B-9397-08002B2CF9AE}" pid="7" name="_ReviewingToolsShownOnce">
    <vt:lpwstr/>
  </property>
</Properties>
</file>