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BD" w:rsidRPr="009023F2" w:rsidRDefault="00F30F58" w:rsidP="002436BD">
      <w:pPr>
        <w:pStyle w:val="Heading"/>
        <w:spacing w:before="120"/>
        <w:jc w:val="center"/>
        <w:rPr>
          <w:rFonts w:ascii="Times New Roman" w:hAnsi="Times New Roman"/>
          <w:sz w:val="24"/>
          <w:szCs w:val="24"/>
        </w:rPr>
      </w:pPr>
      <w:r w:rsidRPr="009023F2">
        <w:rPr>
          <w:rFonts w:ascii="Times New Roman" w:hAnsi="Times New Roman"/>
          <w:sz w:val="24"/>
          <w:szCs w:val="24"/>
        </w:rPr>
        <w:t>Financial Sector</w:t>
      </w:r>
      <w:r w:rsidR="002436BD" w:rsidRPr="009023F2">
        <w:rPr>
          <w:rFonts w:ascii="Times New Roman" w:hAnsi="Times New Roman"/>
          <w:sz w:val="24"/>
          <w:szCs w:val="24"/>
        </w:rPr>
        <w:t xml:space="preserve"> </w:t>
      </w:r>
      <w:r w:rsidRPr="009023F2">
        <w:rPr>
          <w:rFonts w:ascii="Times New Roman" w:hAnsi="Times New Roman"/>
          <w:sz w:val="24"/>
          <w:szCs w:val="24"/>
        </w:rPr>
        <w:t xml:space="preserve">(Collection of Data) </w:t>
      </w:r>
      <w:r w:rsidR="002436BD" w:rsidRPr="009023F2">
        <w:rPr>
          <w:rFonts w:ascii="Times New Roman" w:hAnsi="Times New Roman"/>
          <w:sz w:val="24"/>
          <w:szCs w:val="24"/>
        </w:rPr>
        <w:t>(</w:t>
      </w:r>
      <w:r w:rsidRPr="009023F2">
        <w:rPr>
          <w:rFonts w:ascii="Times New Roman" w:hAnsi="Times New Roman"/>
          <w:sz w:val="24"/>
          <w:szCs w:val="24"/>
        </w:rPr>
        <w:t xml:space="preserve">reporting </w:t>
      </w:r>
      <w:r w:rsidR="002436BD" w:rsidRPr="009023F2">
        <w:rPr>
          <w:rFonts w:ascii="Times New Roman" w:hAnsi="Times New Roman"/>
          <w:sz w:val="24"/>
          <w:szCs w:val="24"/>
        </w:rPr>
        <w:t>standard) determination</w:t>
      </w:r>
      <w:r w:rsidRPr="009023F2">
        <w:rPr>
          <w:rFonts w:ascii="Times New Roman" w:hAnsi="Times New Roman"/>
          <w:sz w:val="24"/>
          <w:szCs w:val="24"/>
        </w:rPr>
        <w:t>s No. 5 to 13 of 2012</w:t>
      </w:r>
    </w:p>
    <w:p w:rsidR="002436BD" w:rsidRPr="009023F2" w:rsidRDefault="002436BD" w:rsidP="002436BD">
      <w:pPr>
        <w:pStyle w:val="Heading"/>
        <w:tabs>
          <w:tab w:val="left" w:pos="360"/>
        </w:tabs>
        <w:spacing w:before="120"/>
        <w:jc w:val="center"/>
        <w:rPr>
          <w:rFonts w:ascii="Times New Roman" w:hAnsi="Times New Roman"/>
          <w:sz w:val="24"/>
          <w:szCs w:val="24"/>
          <w:u w:val="single"/>
        </w:rPr>
      </w:pPr>
      <w:bookmarkStart w:id="0" w:name="bkInstrumentSubTitle"/>
      <w:bookmarkEnd w:id="0"/>
      <w:r w:rsidRPr="009023F2">
        <w:rPr>
          <w:rFonts w:ascii="Times New Roman" w:hAnsi="Times New Roman"/>
          <w:sz w:val="24"/>
          <w:szCs w:val="24"/>
          <w:u w:val="single"/>
        </w:rPr>
        <w:t>EXPLANATORY STATEMENT</w:t>
      </w:r>
    </w:p>
    <w:p w:rsidR="002436BD" w:rsidRPr="009023F2" w:rsidRDefault="002436BD" w:rsidP="002436BD">
      <w:pPr>
        <w:pStyle w:val="Heading"/>
        <w:spacing w:before="120"/>
        <w:jc w:val="center"/>
        <w:rPr>
          <w:rFonts w:ascii="Times New Roman" w:hAnsi="Times New Roman"/>
          <w:sz w:val="24"/>
          <w:szCs w:val="24"/>
        </w:rPr>
      </w:pPr>
      <w:r w:rsidRPr="009023F2">
        <w:rPr>
          <w:rFonts w:ascii="Times New Roman" w:hAnsi="Times New Roman"/>
          <w:sz w:val="24"/>
          <w:szCs w:val="24"/>
        </w:rPr>
        <w:t>Prepared by the Australian Prudential Regulation Authority (APRA)</w:t>
      </w:r>
    </w:p>
    <w:p w:rsidR="002436BD" w:rsidRPr="009023F2" w:rsidRDefault="00F30F58" w:rsidP="002436BD">
      <w:pPr>
        <w:pStyle w:val="Heading"/>
        <w:tabs>
          <w:tab w:val="left" w:pos="360"/>
        </w:tabs>
        <w:spacing w:before="120"/>
        <w:jc w:val="center"/>
        <w:rPr>
          <w:rFonts w:ascii="Times New Roman" w:hAnsi="Times New Roman"/>
          <w:b w:val="0"/>
          <w:sz w:val="24"/>
          <w:szCs w:val="24"/>
        </w:rPr>
      </w:pPr>
      <w:r w:rsidRPr="009023F2">
        <w:rPr>
          <w:rFonts w:ascii="Times New Roman" w:hAnsi="Times New Roman"/>
          <w:b w:val="0"/>
          <w:i/>
          <w:sz w:val="24"/>
          <w:szCs w:val="24"/>
        </w:rPr>
        <w:t>Financial Sector (Collection of Data) Act 2001</w:t>
      </w:r>
      <w:r w:rsidR="002436BD" w:rsidRPr="009023F2">
        <w:rPr>
          <w:rFonts w:ascii="Times New Roman" w:hAnsi="Times New Roman"/>
          <w:b w:val="0"/>
          <w:sz w:val="24"/>
          <w:szCs w:val="24"/>
        </w:rPr>
        <w:t xml:space="preserve">, </w:t>
      </w:r>
      <w:r w:rsidRPr="009023F2">
        <w:rPr>
          <w:rFonts w:ascii="Times New Roman" w:hAnsi="Times New Roman"/>
          <w:b w:val="0"/>
          <w:sz w:val="24"/>
          <w:szCs w:val="24"/>
        </w:rPr>
        <w:t>sections 13 and 15</w:t>
      </w:r>
    </w:p>
    <w:p w:rsidR="00BF2718" w:rsidRPr="009023F2" w:rsidRDefault="00BF2718" w:rsidP="002436BD">
      <w:pPr>
        <w:pStyle w:val="Heading"/>
        <w:tabs>
          <w:tab w:val="left" w:pos="360"/>
        </w:tabs>
        <w:spacing w:before="120"/>
        <w:jc w:val="center"/>
        <w:rPr>
          <w:rFonts w:ascii="Times New Roman" w:hAnsi="Times New Roman"/>
          <w:b w:val="0"/>
          <w:sz w:val="24"/>
          <w:szCs w:val="24"/>
        </w:rPr>
      </w:pPr>
      <w:r w:rsidRPr="009023F2">
        <w:rPr>
          <w:rFonts w:ascii="Times New Roman" w:hAnsi="Times New Roman"/>
          <w:b w:val="0"/>
          <w:i/>
          <w:sz w:val="24"/>
          <w:szCs w:val="24"/>
        </w:rPr>
        <w:t>Acts Interpretation Act 1901</w:t>
      </w:r>
      <w:r w:rsidRPr="009023F2">
        <w:rPr>
          <w:rFonts w:ascii="Times New Roman" w:hAnsi="Times New Roman"/>
          <w:b w:val="0"/>
          <w:sz w:val="24"/>
          <w:szCs w:val="24"/>
        </w:rPr>
        <w:t>, subsection 33(3)</w:t>
      </w:r>
    </w:p>
    <w:p w:rsidR="002436BD" w:rsidRPr="009023F2" w:rsidRDefault="002436BD" w:rsidP="002436BD">
      <w:pPr>
        <w:pStyle w:val="Heading"/>
        <w:tabs>
          <w:tab w:val="left" w:pos="360"/>
        </w:tabs>
        <w:spacing w:before="120"/>
        <w:jc w:val="center"/>
        <w:rPr>
          <w:rFonts w:ascii="Times New Roman" w:hAnsi="Times New Roman"/>
          <w:b w:val="0"/>
          <w:sz w:val="24"/>
          <w:szCs w:val="24"/>
        </w:rPr>
      </w:pPr>
    </w:p>
    <w:p w:rsidR="000B2870" w:rsidRPr="009023F2" w:rsidRDefault="00D12D91" w:rsidP="000B2870">
      <w:pPr>
        <w:widowControl w:val="0"/>
        <w:spacing w:before="120" w:after="60"/>
        <w:jc w:val="both"/>
        <w:rPr>
          <w:rFonts w:ascii="Times New Roman" w:hAnsi="Times New Roman"/>
          <w:sz w:val="24"/>
          <w:szCs w:val="24"/>
        </w:rPr>
      </w:pPr>
      <w:bookmarkStart w:id="1" w:name="bkAct"/>
      <w:bookmarkStart w:id="2" w:name="bkExplanatory"/>
      <w:bookmarkEnd w:id="1"/>
      <w:bookmarkEnd w:id="2"/>
      <w:r w:rsidRPr="009023F2">
        <w:rPr>
          <w:rFonts w:ascii="Times New Roman" w:hAnsi="Times New Roman"/>
          <w:sz w:val="24"/>
          <w:szCs w:val="24"/>
        </w:rPr>
        <w:t xml:space="preserve">Under </w:t>
      </w:r>
      <w:r w:rsidR="00F30F58" w:rsidRPr="009023F2">
        <w:rPr>
          <w:rFonts w:ascii="Times New Roman" w:hAnsi="Times New Roman"/>
          <w:sz w:val="24"/>
          <w:szCs w:val="24"/>
        </w:rPr>
        <w:t xml:space="preserve">paragraph 13(1)(a) </w:t>
      </w:r>
      <w:r w:rsidRPr="009023F2">
        <w:rPr>
          <w:rFonts w:ascii="Times New Roman" w:hAnsi="Times New Roman"/>
          <w:sz w:val="24"/>
          <w:szCs w:val="24"/>
        </w:rPr>
        <w:t xml:space="preserve">of the </w:t>
      </w:r>
      <w:r w:rsidR="00F30F58" w:rsidRPr="009023F2">
        <w:rPr>
          <w:rFonts w:ascii="Times New Roman" w:hAnsi="Times New Roman"/>
          <w:i/>
          <w:sz w:val="24"/>
          <w:szCs w:val="24"/>
        </w:rPr>
        <w:t xml:space="preserve">Financial Sector (Collection of Data) </w:t>
      </w:r>
      <w:r w:rsidRPr="009023F2">
        <w:rPr>
          <w:rFonts w:ascii="Times New Roman" w:hAnsi="Times New Roman"/>
          <w:i/>
          <w:sz w:val="24"/>
          <w:szCs w:val="24"/>
        </w:rPr>
        <w:t xml:space="preserve">Act </w:t>
      </w:r>
      <w:r w:rsidR="00F30F58" w:rsidRPr="009023F2">
        <w:rPr>
          <w:rFonts w:ascii="Times New Roman" w:hAnsi="Times New Roman"/>
          <w:i/>
          <w:sz w:val="24"/>
          <w:szCs w:val="24"/>
        </w:rPr>
        <w:t xml:space="preserve">2001 </w:t>
      </w:r>
      <w:r w:rsidRPr="009023F2">
        <w:rPr>
          <w:rFonts w:ascii="Times New Roman" w:hAnsi="Times New Roman"/>
          <w:sz w:val="24"/>
          <w:szCs w:val="24"/>
        </w:rPr>
        <w:t>(</w:t>
      </w:r>
      <w:r w:rsidR="000B2870" w:rsidRPr="009023F2">
        <w:rPr>
          <w:rFonts w:ascii="Times New Roman" w:hAnsi="Times New Roman"/>
          <w:i/>
          <w:sz w:val="24"/>
          <w:szCs w:val="24"/>
        </w:rPr>
        <w:t>the</w:t>
      </w:r>
      <w:r w:rsidRPr="009023F2">
        <w:rPr>
          <w:rFonts w:ascii="Times New Roman" w:hAnsi="Times New Roman"/>
          <w:b/>
          <w:i/>
          <w:sz w:val="24"/>
          <w:szCs w:val="24"/>
        </w:rPr>
        <w:t xml:space="preserve"> Act</w:t>
      </w:r>
      <w:r w:rsidRPr="009023F2">
        <w:rPr>
          <w:rFonts w:ascii="Times New Roman" w:hAnsi="Times New Roman"/>
          <w:sz w:val="24"/>
          <w:szCs w:val="24"/>
        </w:rPr>
        <w:t xml:space="preserve">), APRA has the power to determine </w:t>
      </w:r>
      <w:r w:rsidR="00F30F58" w:rsidRPr="009023F2">
        <w:rPr>
          <w:rFonts w:ascii="Times New Roman" w:hAnsi="Times New Roman"/>
          <w:sz w:val="24"/>
          <w:szCs w:val="24"/>
        </w:rPr>
        <w:t xml:space="preserve">reporting </w:t>
      </w:r>
      <w:r w:rsidRPr="009023F2">
        <w:rPr>
          <w:rFonts w:ascii="Times New Roman" w:hAnsi="Times New Roman"/>
          <w:sz w:val="24"/>
          <w:szCs w:val="24"/>
        </w:rPr>
        <w:t>standards (</w:t>
      </w:r>
      <w:r w:rsidR="00F30F58" w:rsidRPr="009023F2">
        <w:rPr>
          <w:rFonts w:ascii="Times New Roman" w:hAnsi="Times New Roman"/>
          <w:b/>
          <w:i/>
          <w:sz w:val="24"/>
          <w:szCs w:val="24"/>
        </w:rPr>
        <w:t xml:space="preserve">reporting </w:t>
      </w:r>
      <w:r w:rsidRPr="009023F2">
        <w:rPr>
          <w:rFonts w:ascii="Times New Roman" w:hAnsi="Times New Roman"/>
          <w:b/>
          <w:i/>
          <w:sz w:val="24"/>
          <w:szCs w:val="24"/>
        </w:rPr>
        <w:t>standards</w:t>
      </w:r>
      <w:r w:rsidRPr="009023F2">
        <w:rPr>
          <w:rFonts w:ascii="Times New Roman" w:hAnsi="Times New Roman"/>
          <w:sz w:val="24"/>
          <w:szCs w:val="24"/>
        </w:rPr>
        <w:t xml:space="preserve">), in writing, </w:t>
      </w:r>
      <w:r w:rsidR="00BC7843" w:rsidRPr="009023F2">
        <w:rPr>
          <w:rFonts w:ascii="Times New Roman" w:hAnsi="Times New Roman"/>
          <w:sz w:val="24"/>
          <w:szCs w:val="24"/>
        </w:rPr>
        <w:t xml:space="preserve">with which financial sector entities must comply.  Such standards relate to reporting financial or accounting data and other information regarding the business or activities of the entities. Subsection 33(3) of the </w:t>
      </w:r>
      <w:r w:rsidR="00BC7843" w:rsidRPr="009023F2">
        <w:rPr>
          <w:rFonts w:ascii="Times New Roman" w:hAnsi="Times New Roman"/>
          <w:i/>
          <w:iCs/>
          <w:sz w:val="24"/>
          <w:szCs w:val="24"/>
        </w:rPr>
        <w:t>Acts Interpretation Act 1901</w:t>
      </w:r>
      <w:r w:rsidR="00BC7843" w:rsidRPr="009023F2">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rsidR="00BC7843" w:rsidRPr="009023F2" w:rsidRDefault="00BC7843" w:rsidP="002436BD">
      <w:pPr>
        <w:widowControl w:val="0"/>
        <w:spacing w:before="120" w:after="60"/>
        <w:rPr>
          <w:rFonts w:ascii="Times New Roman" w:hAnsi="Times New Roman"/>
          <w:sz w:val="24"/>
          <w:szCs w:val="24"/>
        </w:rPr>
      </w:pPr>
    </w:p>
    <w:p w:rsidR="00246723" w:rsidRPr="009023F2" w:rsidRDefault="00246723" w:rsidP="00246723">
      <w:pPr>
        <w:rPr>
          <w:rFonts w:ascii="Times New Roman" w:hAnsi="Times New Roman"/>
          <w:sz w:val="24"/>
          <w:szCs w:val="24"/>
        </w:rPr>
      </w:pPr>
      <w:r w:rsidRPr="009023F2">
        <w:rPr>
          <w:rFonts w:ascii="Times New Roman" w:hAnsi="Times New Roman"/>
          <w:sz w:val="24"/>
          <w:szCs w:val="24"/>
        </w:rPr>
        <w:t xml:space="preserve">On </w:t>
      </w:r>
      <w:r w:rsidR="00784F56" w:rsidRPr="009023F2">
        <w:rPr>
          <w:rFonts w:ascii="Times New Roman" w:hAnsi="Times New Roman"/>
          <w:sz w:val="24"/>
          <w:szCs w:val="24"/>
        </w:rPr>
        <w:t>7</w:t>
      </w:r>
      <w:r w:rsidR="00667882" w:rsidRPr="009023F2">
        <w:rPr>
          <w:rFonts w:ascii="Times New Roman" w:hAnsi="Times New Roman"/>
          <w:sz w:val="24"/>
          <w:szCs w:val="24"/>
        </w:rPr>
        <w:t xml:space="preserve"> December 2012</w:t>
      </w:r>
      <w:r w:rsidRPr="009023F2">
        <w:rPr>
          <w:rFonts w:ascii="Times New Roman" w:hAnsi="Times New Roman"/>
          <w:sz w:val="24"/>
          <w:szCs w:val="24"/>
        </w:rPr>
        <w:t>, APRA made the following determinations (the instruments):</w:t>
      </w:r>
    </w:p>
    <w:p w:rsidR="000B2870" w:rsidRPr="009023F2" w:rsidRDefault="00AC7A56"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(1)</w:t>
      </w:r>
      <w:r w:rsidRPr="009023F2">
        <w:rPr>
          <w:rFonts w:ascii="Times New Roman" w:hAnsi="Times New Roman"/>
          <w:sz w:val="24"/>
          <w:szCs w:val="24"/>
        </w:rPr>
        <w:tab/>
      </w:r>
      <w:r w:rsidR="006D2FF3" w:rsidRPr="009023F2">
        <w:rPr>
          <w:rFonts w:ascii="Times New Roman" w:hAnsi="Times New Roman"/>
          <w:sz w:val="24"/>
          <w:szCs w:val="24"/>
        </w:rPr>
        <w:t xml:space="preserve">Financial Sector (Collection of Data) </w:t>
      </w:r>
      <w:r w:rsidR="00D12D91" w:rsidRPr="009023F2">
        <w:rPr>
          <w:rFonts w:ascii="Times New Roman" w:hAnsi="Times New Roman"/>
          <w:sz w:val="24"/>
          <w:szCs w:val="24"/>
        </w:rPr>
        <w:t>(</w:t>
      </w:r>
      <w:r w:rsidR="006D2FF3" w:rsidRPr="009023F2">
        <w:rPr>
          <w:rFonts w:ascii="Times New Roman" w:hAnsi="Times New Roman"/>
          <w:sz w:val="24"/>
          <w:szCs w:val="24"/>
        </w:rPr>
        <w:t>reporting standard) determination No. 5 of 2012</w:t>
      </w:r>
      <w:r w:rsidR="00D12D91" w:rsidRPr="009023F2">
        <w:rPr>
          <w:rFonts w:ascii="Times New Roman" w:hAnsi="Times New Roman"/>
          <w:sz w:val="24"/>
          <w:szCs w:val="24"/>
        </w:rPr>
        <w:t xml:space="preserve"> (the instrument) which revokes </w:t>
      </w:r>
      <w:r w:rsidR="006D2FF3" w:rsidRPr="009023F2">
        <w:rPr>
          <w:rFonts w:ascii="Times New Roman" w:hAnsi="Times New Roman"/>
          <w:i/>
          <w:sz w:val="24"/>
          <w:szCs w:val="24"/>
        </w:rPr>
        <w:t>Reporting Standard AR</w:t>
      </w:r>
      <w:r w:rsidR="00D12D91" w:rsidRPr="009023F2">
        <w:rPr>
          <w:rFonts w:ascii="Times New Roman" w:hAnsi="Times New Roman"/>
          <w:i/>
          <w:sz w:val="24"/>
          <w:szCs w:val="24"/>
        </w:rPr>
        <w:t xml:space="preserve">S </w:t>
      </w:r>
      <w:r w:rsidR="006D2FF3" w:rsidRPr="009023F2">
        <w:rPr>
          <w:rFonts w:ascii="Times New Roman" w:hAnsi="Times New Roman"/>
          <w:i/>
          <w:sz w:val="24"/>
          <w:szCs w:val="24"/>
        </w:rPr>
        <w:t xml:space="preserve">110.0 Capital Adequacy </w:t>
      </w:r>
      <w:r w:rsidR="008461C8" w:rsidRPr="009023F2">
        <w:rPr>
          <w:rFonts w:ascii="Times New Roman" w:hAnsi="Times New Roman"/>
          <w:sz w:val="24"/>
          <w:szCs w:val="24"/>
        </w:rPr>
        <w:t xml:space="preserve">made under Financial Sector (Collection of Data) (reporting standard) determination No. 4 of 2012, </w:t>
      </w:r>
      <w:r w:rsidR="00D12D91" w:rsidRPr="009023F2">
        <w:rPr>
          <w:rFonts w:ascii="Times New Roman" w:hAnsi="Times New Roman"/>
          <w:sz w:val="24"/>
          <w:szCs w:val="24"/>
        </w:rPr>
        <w:t xml:space="preserve">and determines a new </w:t>
      </w:r>
      <w:r w:rsidR="006D2FF3" w:rsidRPr="009023F2">
        <w:rPr>
          <w:rFonts w:ascii="Times New Roman" w:hAnsi="Times New Roman"/>
          <w:i/>
          <w:sz w:val="24"/>
          <w:szCs w:val="24"/>
        </w:rPr>
        <w:t xml:space="preserve">Reporting Standard ARS 110.0 Capital Adequacy </w:t>
      </w:r>
      <w:r w:rsidR="00D12D91" w:rsidRPr="009023F2">
        <w:rPr>
          <w:rFonts w:ascii="Times New Roman" w:hAnsi="Times New Roman"/>
          <w:sz w:val="24"/>
          <w:szCs w:val="24"/>
        </w:rPr>
        <w:t>(</w:t>
      </w:r>
      <w:r w:rsidR="006D2FF3" w:rsidRPr="009023F2">
        <w:rPr>
          <w:rFonts w:ascii="Times New Roman" w:hAnsi="Times New Roman"/>
          <w:sz w:val="24"/>
          <w:szCs w:val="24"/>
        </w:rPr>
        <w:t>ARS 110.0</w:t>
      </w:r>
      <w:r w:rsidR="00D12D91" w:rsidRPr="009023F2">
        <w:rPr>
          <w:rFonts w:ascii="Times New Roman" w:hAnsi="Times New Roman"/>
          <w:sz w:val="24"/>
          <w:szCs w:val="24"/>
        </w:rPr>
        <w:t>)</w:t>
      </w:r>
      <w:r w:rsidRPr="009023F2">
        <w:rPr>
          <w:rFonts w:ascii="Times New Roman" w:hAnsi="Times New Roman"/>
          <w:sz w:val="24"/>
          <w:szCs w:val="24"/>
        </w:rPr>
        <w:t>;</w:t>
      </w:r>
    </w:p>
    <w:p w:rsidR="000B2870" w:rsidRPr="009023F2" w:rsidRDefault="006D2FF3"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(2)</w:t>
      </w:r>
      <w:r w:rsidRPr="009023F2">
        <w:rPr>
          <w:rFonts w:ascii="Times New Roman" w:hAnsi="Times New Roman"/>
          <w:sz w:val="24"/>
          <w:szCs w:val="24"/>
        </w:rPr>
        <w:tab/>
        <w:t xml:space="preserve">Financial Sector (Collection of Data) (reporting standard) determination No. 6 of 2012 (the instrument) which determines a new </w:t>
      </w:r>
      <w:r w:rsidRPr="009023F2">
        <w:rPr>
          <w:rFonts w:ascii="Times New Roman" w:hAnsi="Times New Roman"/>
          <w:i/>
          <w:sz w:val="24"/>
          <w:szCs w:val="24"/>
        </w:rPr>
        <w:t xml:space="preserve">Reporting Standard ARS 111.0 Fair Values </w:t>
      </w:r>
      <w:r w:rsidRPr="009023F2">
        <w:rPr>
          <w:rFonts w:ascii="Times New Roman" w:hAnsi="Times New Roman"/>
          <w:sz w:val="24"/>
          <w:szCs w:val="24"/>
        </w:rPr>
        <w:t>(ARS 111.0);</w:t>
      </w:r>
    </w:p>
    <w:p w:rsidR="000B2870" w:rsidRPr="009023F2" w:rsidRDefault="00300DAB"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(3</w:t>
      </w:r>
      <w:r w:rsidR="006D2FF3" w:rsidRPr="009023F2">
        <w:rPr>
          <w:rFonts w:ascii="Times New Roman" w:hAnsi="Times New Roman"/>
          <w:sz w:val="24"/>
          <w:szCs w:val="24"/>
        </w:rPr>
        <w:t>)</w:t>
      </w:r>
      <w:r w:rsidR="006D2FF3" w:rsidRPr="009023F2">
        <w:rPr>
          <w:rFonts w:ascii="Times New Roman" w:hAnsi="Times New Roman"/>
          <w:sz w:val="24"/>
          <w:szCs w:val="24"/>
        </w:rPr>
        <w:tab/>
        <w:t xml:space="preserve">Financial Sector (Collection of Data) (reporting standard) determination No. 7 of 2012 (the instrument) which revokes </w:t>
      </w:r>
      <w:r w:rsidR="006D2FF3" w:rsidRPr="009023F2">
        <w:rPr>
          <w:rFonts w:ascii="Times New Roman" w:hAnsi="Times New Roman"/>
          <w:i/>
          <w:sz w:val="24"/>
          <w:szCs w:val="24"/>
        </w:rPr>
        <w:t xml:space="preserve">Reporting Standard ARS 112.1 Standardised Credit Risk – On-balance Sheet Assets </w:t>
      </w:r>
      <w:r w:rsidR="008461C8" w:rsidRPr="009023F2">
        <w:rPr>
          <w:rFonts w:ascii="Times New Roman" w:hAnsi="Times New Roman"/>
          <w:sz w:val="24"/>
          <w:szCs w:val="24"/>
        </w:rPr>
        <w:t xml:space="preserve">made under Financial Sector (Collection of Data) (reporting standard) determination No. 2 of 2008, </w:t>
      </w:r>
      <w:r w:rsidR="006D2FF3" w:rsidRPr="009023F2">
        <w:rPr>
          <w:rFonts w:ascii="Times New Roman" w:hAnsi="Times New Roman"/>
          <w:sz w:val="24"/>
          <w:szCs w:val="24"/>
        </w:rPr>
        <w:t xml:space="preserve">and determines a new </w:t>
      </w:r>
      <w:r w:rsidR="006D2FF3" w:rsidRPr="009023F2">
        <w:rPr>
          <w:rFonts w:ascii="Times New Roman" w:hAnsi="Times New Roman"/>
          <w:i/>
          <w:sz w:val="24"/>
          <w:szCs w:val="24"/>
        </w:rPr>
        <w:t>Reporting Standard ARS 112.1 Standardised Credit Risk – On-balance Sheet Assets</w:t>
      </w:r>
      <w:r w:rsidR="006D2FF3" w:rsidRPr="009023F2">
        <w:rPr>
          <w:rFonts w:ascii="Times New Roman" w:hAnsi="Times New Roman"/>
          <w:sz w:val="24"/>
          <w:szCs w:val="24"/>
        </w:rPr>
        <w:t xml:space="preserve"> (ARS 112.1);</w:t>
      </w:r>
    </w:p>
    <w:p w:rsidR="000B2870" w:rsidRPr="009023F2" w:rsidRDefault="00300DAB"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(4</w:t>
      </w:r>
      <w:r w:rsidR="006D2FF3" w:rsidRPr="009023F2">
        <w:rPr>
          <w:rFonts w:ascii="Times New Roman" w:hAnsi="Times New Roman"/>
          <w:sz w:val="24"/>
          <w:szCs w:val="24"/>
        </w:rPr>
        <w:t>)</w:t>
      </w:r>
      <w:r w:rsidR="006D2FF3" w:rsidRPr="009023F2">
        <w:rPr>
          <w:rFonts w:ascii="Times New Roman" w:hAnsi="Times New Roman"/>
          <w:sz w:val="24"/>
          <w:szCs w:val="24"/>
        </w:rPr>
        <w:tab/>
        <w:t>Financial Sector (Collection of Data) (reporting stan</w:t>
      </w:r>
      <w:r w:rsidR="00ED3E25" w:rsidRPr="009023F2">
        <w:rPr>
          <w:rFonts w:ascii="Times New Roman" w:hAnsi="Times New Roman"/>
          <w:sz w:val="24"/>
          <w:szCs w:val="24"/>
        </w:rPr>
        <w:t>dard) determination No. 8</w:t>
      </w:r>
      <w:r w:rsidR="006D2FF3" w:rsidRPr="009023F2">
        <w:rPr>
          <w:rFonts w:ascii="Times New Roman" w:hAnsi="Times New Roman"/>
          <w:sz w:val="24"/>
          <w:szCs w:val="24"/>
        </w:rPr>
        <w:t xml:space="preserve"> of 2012 (the instrument) which revokes </w:t>
      </w:r>
      <w:r w:rsidR="006D2FF3" w:rsidRPr="009023F2">
        <w:rPr>
          <w:rFonts w:ascii="Times New Roman" w:hAnsi="Times New Roman"/>
          <w:i/>
          <w:sz w:val="24"/>
          <w:szCs w:val="24"/>
        </w:rPr>
        <w:t xml:space="preserve">Reporting </w:t>
      </w:r>
      <w:r w:rsidR="00ED3E25" w:rsidRPr="009023F2">
        <w:rPr>
          <w:rFonts w:ascii="Times New Roman" w:hAnsi="Times New Roman"/>
          <w:i/>
          <w:sz w:val="24"/>
          <w:szCs w:val="24"/>
        </w:rPr>
        <w:t>Standard AR</w:t>
      </w:r>
      <w:r w:rsidR="006D2FF3" w:rsidRPr="009023F2">
        <w:rPr>
          <w:rFonts w:ascii="Times New Roman" w:hAnsi="Times New Roman"/>
          <w:i/>
          <w:sz w:val="24"/>
          <w:szCs w:val="24"/>
        </w:rPr>
        <w:t xml:space="preserve">S </w:t>
      </w:r>
      <w:r w:rsidR="00ED3E25" w:rsidRPr="009023F2">
        <w:rPr>
          <w:rFonts w:ascii="Times New Roman" w:hAnsi="Times New Roman"/>
          <w:i/>
          <w:sz w:val="24"/>
          <w:szCs w:val="24"/>
        </w:rPr>
        <w:t xml:space="preserve">112.2 Standardised Credit Risk – Off-balance Sheet Exposures </w:t>
      </w:r>
      <w:r w:rsidR="00883CFF" w:rsidRPr="009023F2">
        <w:rPr>
          <w:rFonts w:ascii="Times New Roman" w:hAnsi="Times New Roman"/>
          <w:sz w:val="24"/>
          <w:szCs w:val="24"/>
        </w:rPr>
        <w:t>made</w:t>
      </w:r>
      <w:r w:rsidR="00883CFF" w:rsidRPr="009023F2">
        <w:rPr>
          <w:rFonts w:ascii="Times New Roman" w:hAnsi="Times New Roman"/>
          <w:i/>
          <w:sz w:val="24"/>
          <w:szCs w:val="24"/>
        </w:rPr>
        <w:t xml:space="preserve"> </w:t>
      </w:r>
      <w:r w:rsidR="004B7430" w:rsidRPr="009023F2">
        <w:rPr>
          <w:rFonts w:ascii="Times New Roman" w:hAnsi="Times New Roman"/>
          <w:sz w:val="24"/>
          <w:szCs w:val="24"/>
        </w:rPr>
        <w:t xml:space="preserve">under Financial Sector (Collection of Data) (reporting standard) determination No. 3 of 2008, </w:t>
      </w:r>
      <w:r w:rsidR="006D2FF3" w:rsidRPr="009023F2">
        <w:rPr>
          <w:rFonts w:ascii="Times New Roman" w:hAnsi="Times New Roman"/>
          <w:sz w:val="24"/>
          <w:szCs w:val="24"/>
        </w:rPr>
        <w:t xml:space="preserve">and determines a new </w:t>
      </w:r>
      <w:r w:rsidR="006D2FF3" w:rsidRPr="009023F2">
        <w:rPr>
          <w:rFonts w:ascii="Times New Roman" w:hAnsi="Times New Roman"/>
          <w:i/>
          <w:sz w:val="24"/>
          <w:szCs w:val="24"/>
        </w:rPr>
        <w:t xml:space="preserve">Reporting Standard </w:t>
      </w:r>
      <w:r w:rsidR="00ED3E25" w:rsidRPr="009023F2">
        <w:rPr>
          <w:rFonts w:ascii="Times New Roman" w:hAnsi="Times New Roman"/>
          <w:i/>
          <w:sz w:val="24"/>
          <w:szCs w:val="24"/>
        </w:rPr>
        <w:t xml:space="preserve">ARS 112.2 Standardised Credit Risk – Off-balance Sheet Exposures </w:t>
      </w:r>
      <w:r w:rsidR="006D2FF3" w:rsidRPr="009023F2">
        <w:rPr>
          <w:rFonts w:ascii="Times New Roman" w:hAnsi="Times New Roman"/>
          <w:sz w:val="24"/>
          <w:szCs w:val="24"/>
        </w:rPr>
        <w:t>(</w:t>
      </w:r>
      <w:r w:rsidR="00ED3E25" w:rsidRPr="009023F2">
        <w:rPr>
          <w:rFonts w:ascii="Times New Roman" w:hAnsi="Times New Roman"/>
          <w:sz w:val="24"/>
          <w:szCs w:val="24"/>
        </w:rPr>
        <w:t>ARS 112.2</w:t>
      </w:r>
      <w:r w:rsidR="006D2FF3" w:rsidRPr="009023F2">
        <w:rPr>
          <w:rFonts w:ascii="Times New Roman" w:hAnsi="Times New Roman"/>
          <w:sz w:val="24"/>
          <w:szCs w:val="24"/>
        </w:rPr>
        <w:t>);</w:t>
      </w:r>
    </w:p>
    <w:p w:rsidR="000B2870" w:rsidRPr="009023F2" w:rsidRDefault="00883CFF"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(5</w:t>
      </w:r>
      <w:r w:rsidR="006D2FF3" w:rsidRPr="009023F2">
        <w:rPr>
          <w:rFonts w:ascii="Times New Roman" w:hAnsi="Times New Roman"/>
          <w:sz w:val="24"/>
          <w:szCs w:val="24"/>
        </w:rPr>
        <w:t>)</w:t>
      </w:r>
      <w:r w:rsidR="006D2FF3" w:rsidRPr="009023F2">
        <w:rPr>
          <w:rFonts w:ascii="Times New Roman" w:hAnsi="Times New Roman"/>
          <w:sz w:val="24"/>
          <w:szCs w:val="24"/>
        </w:rPr>
        <w:tab/>
        <w:t>Financial Sector (Collection of Data) (reporting stan</w:t>
      </w:r>
      <w:r w:rsidR="00ED3E25" w:rsidRPr="009023F2">
        <w:rPr>
          <w:rFonts w:ascii="Times New Roman" w:hAnsi="Times New Roman"/>
          <w:sz w:val="24"/>
          <w:szCs w:val="24"/>
        </w:rPr>
        <w:t>dard) determination No. 9</w:t>
      </w:r>
      <w:r w:rsidR="006D2FF3" w:rsidRPr="009023F2">
        <w:rPr>
          <w:rFonts w:ascii="Times New Roman" w:hAnsi="Times New Roman"/>
          <w:sz w:val="24"/>
          <w:szCs w:val="24"/>
        </w:rPr>
        <w:t xml:space="preserve"> of 2012 (the instrument) which revokes </w:t>
      </w:r>
      <w:r w:rsidR="004B7430" w:rsidRPr="009023F2">
        <w:rPr>
          <w:rFonts w:ascii="Times New Roman" w:hAnsi="Times New Roman"/>
          <w:i/>
          <w:sz w:val="24"/>
          <w:szCs w:val="24"/>
        </w:rPr>
        <w:t>Reporting Standar</w:t>
      </w:r>
      <w:r w:rsidR="00361A42" w:rsidRPr="009023F2">
        <w:rPr>
          <w:rFonts w:ascii="Times New Roman" w:hAnsi="Times New Roman"/>
          <w:i/>
          <w:sz w:val="24"/>
          <w:szCs w:val="24"/>
        </w:rPr>
        <w:t>d AR</w:t>
      </w:r>
      <w:r w:rsidR="004B7430" w:rsidRPr="009023F2">
        <w:rPr>
          <w:rFonts w:ascii="Times New Roman" w:hAnsi="Times New Roman"/>
          <w:i/>
          <w:sz w:val="24"/>
          <w:szCs w:val="24"/>
        </w:rPr>
        <w:t>S 113.4</w:t>
      </w:r>
      <w:r w:rsidR="006D2FF3" w:rsidRPr="009023F2">
        <w:rPr>
          <w:rFonts w:ascii="Times New Roman" w:hAnsi="Times New Roman"/>
          <w:i/>
          <w:sz w:val="24"/>
          <w:szCs w:val="24"/>
        </w:rPr>
        <w:t xml:space="preserve"> </w:t>
      </w:r>
      <w:r w:rsidR="004B7430" w:rsidRPr="009023F2">
        <w:rPr>
          <w:rFonts w:ascii="Times New Roman" w:hAnsi="Times New Roman"/>
          <w:i/>
          <w:sz w:val="24"/>
          <w:szCs w:val="24"/>
        </w:rPr>
        <w:t xml:space="preserve">Internal Ratings-based (IRB) Approach to Credit Risk – Other Assets, Claims and Exposures </w:t>
      </w:r>
      <w:r w:rsidR="00300DAB" w:rsidRPr="009023F2">
        <w:rPr>
          <w:rFonts w:ascii="Times New Roman" w:hAnsi="Times New Roman"/>
          <w:sz w:val="24"/>
          <w:szCs w:val="24"/>
        </w:rPr>
        <w:t>made</w:t>
      </w:r>
      <w:r w:rsidR="00300DAB" w:rsidRPr="009023F2">
        <w:rPr>
          <w:rFonts w:ascii="Times New Roman" w:hAnsi="Times New Roman"/>
          <w:i/>
          <w:sz w:val="24"/>
          <w:szCs w:val="24"/>
        </w:rPr>
        <w:t xml:space="preserve"> </w:t>
      </w:r>
      <w:r w:rsidR="004B7430" w:rsidRPr="009023F2">
        <w:rPr>
          <w:rFonts w:ascii="Times New Roman" w:hAnsi="Times New Roman"/>
          <w:sz w:val="24"/>
          <w:szCs w:val="24"/>
        </w:rPr>
        <w:t xml:space="preserve">under Financial </w:t>
      </w:r>
      <w:r w:rsidR="004B7430" w:rsidRPr="009023F2">
        <w:rPr>
          <w:rFonts w:ascii="Times New Roman" w:hAnsi="Times New Roman"/>
          <w:sz w:val="24"/>
          <w:szCs w:val="24"/>
        </w:rPr>
        <w:lastRenderedPageBreak/>
        <w:t xml:space="preserve">Sector (Collection of Data) (reporting standard) determination No. 8 of 2008, </w:t>
      </w:r>
      <w:r w:rsidR="006D2FF3" w:rsidRPr="009023F2">
        <w:rPr>
          <w:rFonts w:ascii="Times New Roman" w:hAnsi="Times New Roman"/>
          <w:sz w:val="24"/>
          <w:szCs w:val="24"/>
        </w:rPr>
        <w:t xml:space="preserve">and determines a new </w:t>
      </w:r>
      <w:r w:rsidR="00361A42" w:rsidRPr="009023F2">
        <w:rPr>
          <w:rFonts w:ascii="Times New Roman" w:hAnsi="Times New Roman"/>
          <w:i/>
          <w:sz w:val="24"/>
          <w:szCs w:val="24"/>
        </w:rPr>
        <w:t>Reporting Standard AR</w:t>
      </w:r>
      <w:r w:rsidR="006D2FF3" w:rsidRPr="009023F2">
        <w:rPr>
          <w:rFonts w:ascii="Times New Roman" w:hAnsi="Times New Roman"/>
          <w:i/>
          <w:sz w:val="24"/>
          <w:szCs w:val="24"/>
        </w:rPr>
        <w:t xml:space="preserve">S </w:t>
      </w:r>
      <w:r w:rsidR="004B7430" w:rsidRPr="009023F2">
        <w:rPr>
          <w:rFonts w:ascii="Times New Roman" w:hAnsi="Times New Roman"/>
          <w:i/>
          <w:sz w:val="24"/>
          <w:szCs w:val="24"/>
        </w:rPr>
        <w:t xml:space="preserve">113.4 Internal Ratings-based (IRB) Approach to Credit Risk – Other Assets, Claims and Exposures </w:t>
      </w:r>
      <w:r w:rsidR="006D2FF3" w:rsidRPr="009023F2">
        <w:rPr>
          <w:rFonts w:ascii="Times New Roman" w:hAnsi="Times New Roman"/>
          <w:sz w:val="24"/>
          <w:szCs w:val="24"/>
        </w:rPr>
        <w:t>(</w:t>
      </w:r>
      <w:r w:rsidR="004B7430" w:rsidRPr="009023F2">
        <w:rPr>
          <w:rFonts w:ascii="Times New Roman" w:hAnsi="Times New Roman"/>
          <w:sz w:val="24"/>
          <w:szCs w:val="24"/>
        </w:rPr>
        <w:t>ARS 113.4</w:t>
      </w:r>
      <w:r w:rsidR="006D2FF3" w:rsidRPr="009023F2">
        <w:rPr>
          <w:rFonts w:ascii="Times New Roman" w:hAnsi="Times New Roman"/>
          <w:sz w:val="24"/>
          <w:szCs w:val="24"/>
        </w:rPr>
        <w:t>);</w:t>
      </w:r>
    </w:p>
    <w:p w:rsidR="000B2870" w:rsidRPr="009023F2" w:rsidRDefault="000669BC"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(6</w:t>
      </w:r>
      <w:r w:rsidR="006D2FF3" w:rsidRPr="009023F2">
        <w:rPr>
          <w:rFonts w:ascii="Times New Roman" w:hAnsi="Times New Roman"/>
          <w:sz w:val="24"/>
          <w:szCs w:val="24"/>
        </w:rPr>
        <w:t>)</w:t>
      </w:r>
      <w:r w:rsidR="006D2FF3" w:rsidRPr="009023F2">
        <w:rPr>
          <w:rFonts w:ascii="Times New Roman" w:hAnsi="Times New Roman"/>
          <w:sz w:val="24"/>
          <w:szCs w:val="24"/>
        </w:rPr>
        <w:tab/>
        <w:t>Financial Sector (Collection of Data) (reporti</w:t>
      </w:r>
      <w:r w:rsidR="00300DAB" w:rsidRPr="009023F2">
        <w:rPr>
          <w:rFonts w:ascii="Times New Roman" w:hAnsi="Times New Roman"/>
          <w:sz w:val="24"/>
          <w:szCs w:val="24"/>
        </w:rPr>
        <w:t>ng standard) determination No. 10</w:t>
      </w:r>
      <w:r w:rsidR="006D2FF3" w:rsidRPr="009023F2">
        <w:rPr>
          <w:rFonts w:ascii="Times New Roman" w:hAnsi="Times New Roman"/>
          <w:sz w:val="24"/>
          <w:szCs w:val="24"/>
        </w:rPr>
        <w:t xml:space="preserve"> of 2012 (the instrument) which revokes </w:t>
      </w:r>
      <w:r w:rsidR="00361A42" w:rsidRPr="009023F2">
        <w:rPr>
          <w:rFonts w:ascii="Times New Roman" w:hAnsi="Times New Roman"/>
          <w:i/>
          <w:sz w:val="24"/>
          <w:szCs w:val="24"/>
        </w:rPr>
        <w:t>Reporting Standard AR</w:t>
      </w:r>
      <w:r w:rsidR="001E6A34" w:rsidRPr="009023F2">
        <w:rPr>
          <w:rFonts w:ascii="Times New Roman" w:hAnsi="Times New Roman"/>
          <w:i/>
          <w:sz w:val="24"/>
          <w:szCs w:val="24"/>
        </w:rPr>
        <w:t>S 116</w:t>
      </w:r>
      <w:r w:rsidR="006D2FF3" w:rsidRPr="009023F2">
        <w:rPr>
          <w:rFonts w:ascii="Times New Roman" w:hAnsi="Times New Roman"/>
          <w:i/>
          <w:sz w:val="24"/>
          <w:szCs w:val="24"/>
        </w:rPr>
        <w:t xml:space="preserve">.0 </w:t>
      </w:r>
      <w:r w:rsidR="001E6A34" w:rsidRPr="009023F2">
        <w:rPr>
          <w:rFonts w:ascii="Times New Roman" w:hAnsi="Times New Roman"/>
          <w:i/>
          <w:sz w:val="24"/>
          <w:szCs w:val="24"/>
        </w:rPr>
        <w:t xml:space="preserve">Market Risk </w:t>
      </w:r>
      <w:r w:rsidR="001E6A34" w:rsidRPr="009023F2">
        <w:rPr>
          <w:rFonts w:ascii="Times New Roman" w:hAnsi="Times New Roman"/>
          <w:sz w:val="24"/>
          <w:szCs w:val="24"/>
        </w:rPr>
        <w:t>made</w:t>
      </w:r>
      <w:r w:rsidR="001E6A34" w:rsidRPr="009023F2">
        <w:rPr>
          <w:rFonts w:ascii="Times New Roman" w:hAnsi="Times New Roman"/>
          <w:i/>
          <w:sz w:val="24"/>
          <w:szCs w:val="24"/>
        </w:rPr>
        <w:t xml:space="preserve"> </w:t>
      </w:r>
      <w:r w:rsidR="001E6A34" w:rsidRPr="009023F2">
        <w:rPr>
          <w:rFonts w:ascii="Times New Roman" w:hAnsi="Times New Roman"/>
          <w:sz w:val="24"/>
          <w:szCs w:val="24"/>
        </w:rPr>
        <w:t xml:space="preserve">under Financial Sector (Collection of Data) (reporting standard) determination No. 1 of 2012, </w:t>
      </w:r>
      <w:r w:rsidR="006D2FF3" w:rsidRPr="009023F2">
        <w:rPr>
          <w:rFonts w:ascii="Times New Roman" w:hAnsi="Times New Roman"/>
          <w:sz w:val="24"/>
          <w:szCs w:val="24"/>
        </w:rPr>
        <w:t xml:space="preserve">and determines a new </w:t>
      </w:r>
      <w:r w:rsidR="00361A42" w:rsidRPr="009023F2">
        <w:rPr>
          <w:rFonts w:ascii="Times New Roman" w:hAnsi="Times New Roman"/>
          <w:i/>
          <w:sz w:val="24"/>
          <w:szCs w:val="24"/>
        </w:rPr>
        <w:t>Reporting Standard AR</w:t>
      </w:r>
      <w:r w:rsidR="00300DAB" w:rsidRPr="009023F2">
        <w:rPr>
          <w:rFonts w:ascii="Times New Roman" w:hAnsi="Times New Roman"/>
          <w:i/>
          <w:sz w:val="24"/>
          <w:szCs w:val="24"/>
        </w:rPr>
        <w:t>S 116</w:t>
      </w:r>
      <w:r w:rsidR="006D2FF3" w:rsidRPr="009023F2">
        <w:rPr>
          <w:rFonts w:ascii="Times New Roman" w:hAnsi="Times New Roman"/>
          <w:i/>
          <w:sz w:val="24"/>
          <w:szCs w:val="24"/>
        </w:rPr>
        <w:t xml:space="preserve">.0 </w:t>
      </w:r>
      <w:r w:rsidR="00300DAB" w:rsidRPr="009023F2">
        <w:rPr>
          <w:rFonts w:ascii="Times New Roman" w:hAnsi="Times New Roman"/>
          <w:i/>
          <w:sz w:val="24"/>
          <w:szCs w:val="24"/>
        </w:rPr>
        <w:t xml:space="preserve">Market Risk </w:t>
      </w:r>
      <w:r w:rsidR="006D2FF3" w:rsidRPr="009023F2">
        <w:rPr>
          <w:rFonts w:ascii="Times New Roman" w:hAnsi="Times New Roman"/>
          <w:sz w:val="24"/>
          <w:szCs w:val="24"/>
        </w:rPr>
        <w:t>(</w:t>
      </w:r>
      <w:r w:rsidR="00300DAB" w:rsidRPr="009023F2">
        <w:rPr>
          <w:rFonts w:ascii="Times New Roman" w:hAnsi="Times New Roman"/>
          <w:sz w:val="24"/>
          <w:szCs w:val="24"/>
        </w:rPr>
        <w:t>ARS 116</w:t>
      </w:r>
      <w:r w:rsidR="006D2FF3" w:rsidRPr="009023F2">
        <w:rPr>
          <w:rFonts w:ascii="Times New Roman" w:hAnsi="Times New Roman"/>
          <w:sz w:val="24"/>
          <w:szCs w:val="24"/>
        </w:rPr>
        <w:t>.0);</w:t>
      </w:r>
    </w:p>
    <w:p w:rsidR="000B2870" w:rsidRPr="009023F2" w:rsidRDefault="007A579E"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(7)</w:t>
      </w:r>
      <w:r w:rsidRPr="009023F2">
        <w:rPr>
          <w:rFonts w:ascii="Times New Roman" w:hAnsi="Times New Roman"/>
          <w:sz w:val="24"/>
          <w:szCs w:val="24"/>
        </w:rPr>
        <w:tab/>
        <w:t xml:space="preserve">Financial Sector (Collection of Data) (reporting standard) determination No. 11 of 2012 (the instrument) which revokes </w:t>
      </w:r>
      <w:r w:rsidR="00361A42" w:rsidRPr="009023F2">
        <w:rPr>
          <w:rFonts w:ascii="Times New Roman" w:hAnsi="Times New Roman"/>
          <w:i/>
          <w:sz w:val="24"/>
          <w:szCs w:val="24"/>
        </w:rPr>
        <w:t>Reporting Standard AR</w:t>
      </w:r>
      <w:r w:rsidRPr="009023F2">
        <w:rPr>
          <w:rFonts w:ascii="Times New Roman" w:hAnsi="Times New Roman"/>
          <w:i/>
          <w:sz w:val="24"/>
          <w:szCs w:val="24"/>
        </w:rPr>
        <w:t xml:space="preserve">S 117.0 Repricing Analysis </w:t>
      </w:r>
      <w:r w:rsidRPr="009023F2">
        <w:rPr>
          <w:rFonts w:ascii="Times New Roman" w:hAnsi="Times New Roman"/>
          <w:sz w:val="24"/>
          <w:szCs w:val="24"/>
        </w:rPr>
        <w:t>made</w:t>
      </w:r>
      <w:r w:rsidRPr="009023F2">
        <w:rPr>
          <w:rFonts w:ascii="Times New Roman" w:hAnsi="Times New Roman"/>
          <w:i/>
          <w:sz w:val="24"/>
          <w:szCs w:val="24"/>
        </w:rPr>
        <w:t xml:space="preserve"> </w:t>
      </w:r>
      <w:r w:rsidRPr="009023F2">
        <w:rPr>
          <w:rFonts w:ascii="Times New Roman" w:hAnsi="Times New Roman"/>
          <w:sz w:val="24"/>
          <w:szCs w:val="24"/>
        </w:rPr>
        <w:t xml:space="preserve">under Financial Sector (Collection of Data) (reporting standard) determination No. 12 of 2008, and determines a new </w:t>
      </w:r>
      <w:r w:rsidRPr="009023F2">
        <w:rPr>
          <w:rFonts w:ascii="Times New Roman" w:hAnsi="Times New Roman"/>
          <w:i/>
          <w:sz w:val="24"/>
          <w:szCs w:val="24"/>
        </w:rPr>
        <w:t>Reporting Stand</w:t>
      </w:r>
      <w:r w:rsidR="00361A42" w:rsidRPr="009023F2">
        <w:rPr>
          <w:rFonts w:ascii="Times New Roman" w:hAnsi="Times New Roman"/>
          <w:i/>
          <w:sz w:val="24"/>
          <w:szCs w:val="24"/>
        </w:rPr>
        <w:t>ard AR</w:t>
      </w:r>
      <w:r w:rsidRPr="009023F2">
        <w:rPr>
          <w:rFonts w:ascii="Times New Roman" w:hAnsi="Times New Roman"/>
          <w:i/>
          <w:sz w:val="24"/>
          <w:szCs w:val="24"/>
        </w:rPr>
        <w:t xml:space="preserve">S 117.0 Repricing Analysis </w:t>
      </w:r>
      <w:r w:rsidRPr="009023F2">
        <w:rPr>
          <w:rFonts w:ascii="Times New Roman" w:hAnsi="Times New Roman"/>
          <w:sz w:val="24"/>
          <w:szCs w:val="24"/>
        </w:rPr>
        <w:t>(ARS 117.0);</w:t>
      </w:r>
      <w:r w:rsidR="003849CA" w:rsidRPr="009023F2">
        <w:rPr>
          <w:rFonts w:ascii="Times New Roman" w:hAnsi="Times New Roman"/>
          <w:sz w:val="24"/>
          <w:szCs w:val="24"/>
        </w:rPr>
        <w:t xml:space="preserve"> </w:t>
      </w:r>
    </w:p>
    <w:p w:rsidR="000B2870" w:rsidRPr="009023F2" w:rsidRDefault="00361A42"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(8)</w:t>
      </w:r>
      <w:r w:rsidRPr="009023F2">
        <w:rPr>
          <w:rFonts w:ascii="Times New Roman" w:hAnsi="Times New Roman"/>
          <w:sz w:val="24"/>
          <w:szCs w:val="24"/>
        </w:rPr>
        <w:tab/>
        <w:t>Financial Sector (Collection of Data) (reportin</w:t>
      </w:r>
      <w:r w:rsidR="00544566" w:rsidRPr="009023F2">
        <w:rPr>
          <w:rFonts w:ascii="Times New Roman" w:hAnsi="Times New Roman"/>
          <w:sz w:val="24"/>
          <w:szCs w:val="24"/>
        </w:rPr>
        <w:t>g standard) determination No. 12</w:t>
      </w:r>
      <w:r w:rsidRPr="009023F2">
        <w:rPr>
          <w:rFonts w:ascii="Times New Roman" w:hAnsi="Times New Roman"/>
          <w:sz w:val="24"/>
          <w:szCs w:val="24"/>
        </w:rPr>
        <w:t xml:space="preserve"> of 2012 (the instrument) which revokes </w:t>
      </w:r>
      <w:r w:rsidRPr="009023F2">
        <w:rPr>
          <w:rFonts w:ascii="Times New Roman" w:hAnsi="Times New Roman"/>
          <w:i/>
          <w:sz w:val="24"/>
          <w:szCs w:val="24"/>
        </w:rPr>
        <w:t>Reporting Standard ARS 120</w:t>
      </w:r>
      <w:r w:rsidR="00544566" w:rsidRPr="009023F2">
        <w:rPr>
          <w:rFonts w:ascii="Times New Roman" w:hAnsi="Times New Roman"/>
          <w:i/>
          <w:sz w:val="24"/>
          <w:szCs w:val="24"/>
        </w:rPr>
        <w:t>.0</w:t>
      </w:r>
      <w:r w:rsidRPr="009023F2">
        <w:rPr>
          <w:rFonts w:ascii="Times New Roman" w:hAnsi="Times New Roman"/>
          <w:i/>
          <w:sz w:val="24"/>
          <w:szCs w:val="24"/>
        </w:rPr>
        <w:t xml:space="preserve"> </w:t>
      </w:r>
      <w:r w:rsidR="00544566" w:rsidRPr="009023F2">
        <w:rPr>
          <w:rFonts w:ascii="Times New Roman" w:hAnsi="Times New Roman"/>
          <w:i/>
          <w:sz w:val="24"/>
          <w:szCs w:val="24"/>
        </w:rPr>
        <w:t xml:space="preserve">Standardised </w:t>
      </w:r>
      <w:r w:rsidRPr="009023F2">
        <w:rPr>
          <w:rFonts w:ascii="Times New Roman" w:hAnsi="Times New Roman"/>
          <w:i/>
          <w:sz w:val="24"/>
          <w:szCs w:val="24"/>
        </w:rPr>
        <w:t xml:space="preserve">Approach – Securitisation </w:t>
      </w:r>
      <w:r w:rsidRPr="009023F2">
        <w:rPr>
          <w:rFonts w:ascii="Times New Roman" w:hAnsi="Times New Roman"/>
          <w:sz w:val="24"/>
          <w:szCs w:val="24"/>
        </w:rPr>
        <w:t>made</w:t>
      </w:r>
      <w:r w:rsidRPr="009023F2">
        <w:rPr>
          <w:rFonts w:ascii="Times New Roman" w:hAnsi="Times New Roman"/>
          <w:i/>
          <w:sz w:val="24"/>
          <w:szCs w:val="24"/>
        </w:rPr>
        <w:t xml:space="preserve"> </w:t>
      </w:r>
      <w:r w:rsidRPr="009023F2">
        <w:rPr>
          <w:rFonts w:ascii="Times New Roman" w:hAnsi="Times New Roman"/>
          <w:sz w:val="24"/>
          <w:szCs w:val="24"/>
        </w:rPr>
        <w:t>under Financial Sector (Collection of Data) (reporting stand</w:t>
      </w:r>
      <w:r w:rsidR="00544566" w:rsidRPr="009023F2">
        <w:rPr>
          <w:rFonts w:ascii="Times New Roman" w:hAnsi="Times New Roman"/>
          <w:sz w:val="24"/>
          <w:szCs w:val="24"/>
        </w:rPr>
        <w:t>ard) determination No. 2 of 2012</w:t>
      </w:r>
      <w:r w:rsidRPr="009023F2">
        <w:rPr>
          <w:rFonts w:ascii="Times New Roman" w:hAnsi="Times New Roman"/>
          <w:sz w:val="24"/>
          <w:szCs w:val="24"/>
        </w:rPr>
        <w:t xml:space="preserve">, and determines a new </w:t>
      </w:r>
      <w:r w:rsidRPr="009023F2">
        <w:rPr>
          <w:rFonts w:ascii="Times New Roman" w:hAnsi="Times New Roman"/>
          <w:i/>
          <w:sz w:val="24"/>
          <w:szCs w:val="24"/>
        </w:rPr>
        <w:t>Reporting Standard ARS 120</w:t>
      </w:r>
      <w:r w:rsidR="00544566" w:rsidRPr="009023F2">
        <w:rPr>
          <w:rFonts w:ascii="Times New Roman" w:hAnsi="Times New Roman"/>
          <w:i/>
          <w:sz w:val="24"/>
          <w:szCs w:val="24"/>
        </w:rPr>
        <w:t>.0</w:t>
      </w:r>
      <w:r w:rsidRPr="009023F2">
        <w:rPr>
          <w:rFonts w:ascii="Times New Roman" w:hAnsi="Times New Roman"/>
          <w:i/>
          <w:sz w:val="24"/>
          <w:szCs w:val="24"/>
        </w:rPr>
        <w:t xml:space="preserve"> </w:t>
      </w:r>
      <w:r w:rsidR="00544566" w:rsidRPr="009023F2">
        <w:rPr>
          <w:rFonts w:ascii="Times New Roman" w:hAnsi="Times New Roman"/>
          <w:i/>
          <w:sz w:val="24"/>
          <w:szCs w:val="24"/>
        </w:rPr>
        <w:t xml:space="preserve">Standardised </w:t>
      </w:r>
      <w:r w:rsidRPr="009023F2">
        <w:rPr>
          <w:rFonts w:ascii="Times New Roman" w:hAnsi="Times New Roman"/>
          <w:i/>
          <w:sz w:val="24"/>
          <w:szCs w:val="24"/>
        </w:rPr>
        <w:t xml:space="preserve">Approach – Securitisation </w:t>
      </w:r>
      <w:r w:rsidRPr="009023F2">
        <w:rPr>
          <w:rFonts w:ascii="Times New Roman" w:hAnsi="Times New Roman"/>
          <w:sz w:val="24"/>
          <w:szCs w:val="24"/>
        </w:rPr>
        <w:t>(ARS 120</w:t>
      </w:r>
      <w:r w:rsidR="00544566" w:rsidRPr="009023F2">
        <w:rPr>
          <w:rFonts w:ascii="Times New Roman" w:hAnsi="Times New Roman"/>
          <w:sz w:val="24"/>
          <w:szCs w:val="24"/>
        </w:rPr>
        <w:t>.0</w:t>
      </w:r>
      <w:r w:rsidRPr="009023F2">
        <w:rPr>
          <w:rFonts w:ascii="Times New Roman" w:hAnsi="Times New Roman"/>
          <w:sz w:val="24"/>
          <w:szCs w:val="24"/>
        </w:rPr>
        <w:t>)</w:t>
      </w:r>
      <w:r w:rsidR="00544566" w:rsidRPr="009023F2">
        <w:rPr>
          <w:rFonts w:ascii="Times New Roman" w:hAnsi="Times New Roman"/>
          <w:sz w:val="24"/>
          <w:szCs w:val="24"/>
        </w:rPr>
        <w:t>; and</w:t>
      </w:r>
    </w:p>
    <w:p w:rsidR="000B2870" w:rsidRPr="009023F2" w:rsidRDefault="00544566" w:rsidP="000B2870">
      <w:pPr>
        <w:widowControl w:val="0"/>
        <w:spacing w:before="120" w:after="60"/>
        <w:ind w:left="1440" w:hanging="720"/>
        <w:jc w:val="both"/>
        <w:rPr>
          <w:rFonts w:ascii="Times New Roman" w:hAnsi="Times New Roman"/>
          <w:sz w:val="24"/>
          <w:szCs w:val="24"/>
        </w:rPr>
      </w:pPr>
      <w:r w:rsidRPr="009023F2">
        <w:rPr>
          <w:rFonts w:ascii="Times New Roman" w:hAnsi="Times New Roman"/>
          <w:sz w:val="24"/>
          <w:szCs w:val="24"/>
        </w:rPr>
        <w:t>(9)</w:t>
      </w:r>
      <w:r w:rsidRPr="009023F2">
        <w:rPr>
          <w:rFonts w:ascii="Times New Roman" w:hAnsi="Times New Roman"/>
          <w:sz w:val="24"/>
          <w:szCs w:val="24"/>
        </w:rPr>
        <w:tab/>
        <w:t xml:space="preserve">Financial Sector (Collection of Data) (reporting standard) determination No. 13 of 2012 (the instrument) which revokes </w:t>
      </w:r>
      <w:r w:rsidRPr="009023F2">
        <w:rPr>
          <w:rFonts w:ascii="Times New Roman" w:hAnsi="Times New Roman"/>
          <w:i/>
          <w:sz w:val="24"/>
          <w:szCs w:val="24"/>
        </w:rPr>
        <w:t xml:space="preserve">Reporting Standard ARS 120.1 Internal Ratings-based (IRB) Approach – Securitisation </w:t>
      </w:r>
      <w:r w:rsidRPr="009023F2">
        <w:rPr>
          <w:rFonts w:ascii="Times New Roman" w:hAnsi="Times New Roman"/>
          <w:sz w:val="24"/>
          <w:szCs w:val="24"/>
        </w:rPr>
        <w:t>made</w:t>
      </w:r>
      <w:r w:rsidRPr="009023F2">
        <w:rPr>
          <w:rFonts w:ascii="Times New Roman" w:hAnsi="Times New Roman"/>
          <w:i/>
          <w:sz w:val="24"/>
          <w:szCs w:val="24"/>
        </w:rPr>
        <w:t xml:space="preserve"> </w:t>
      </w:r>
      <w:r w:rsidRPr="009023F2">
        <w:rPr>
          <w:rFonts w:ascii="Times New Roman" w:hAnsi="Times New Roman"/>
          <w:sz w:val="24"/>
          <w:szCs w:val="24"/>
        </w:rPr>
        <w:t xml:space="preserve">under Financial Sector (Collection of Data) (reporting standard) determination No. 15 of 2011, and determines a new </w:t>
      </w:r>
      <w:r w:rsidRPr="009023F2">
        <w:rPr>
          <w:rFonts w:ascii="Times New Roman" w:hAnsi="Times New Roman"/>
          <w:i/>
          <w:sz w:val="24"/>
          <w:szCs w:val="24"/>
        </w:rPr>
        <w:t xml:space="preserve">Reporting Standard ARS 120.1 Internal Ratings-based (IRB) Approach – Securitisation </w:t>
      </w:r>
      <w:r w:rsidRPr="009023F2">
        <w:rPr>
          <w:rFonts w:ascii="Times New Roman" w:hAnsi="Times New Roman"/>
          <w:sz w:val="24"/>
          <w:szCs w:val="24"/>
        </w:rPr>
        <w:t>(ARS 120.1).</w:t>
      </w:r>
    </w:p>
    <w:p w:rsidR="00246723" w:rsidRPr="009023F2" w:rsidRDefault="00AC7A56" w:rsidP="00AC7A56">
      <w:pPr>
        <w:widowControl w:val="0"/>
        <w:spacing w:before="120" w:after="60"/>
        <w:rPr>
          <w:rFonts w:ascii="Times New Roman" w:hAnsi="Times New Roman"/>
          <w:sz w:val="24"/>
          <w:szCs w:val="24"/>
        </w:rPr>
      </w:pPr>
      <w:r w:rsidRPr="009023F2">
        <w:rPr>
          <w:rFonts w:ascii="Times New Roman" w:hAnsi="Times New Roman"/>
          <w:sz w:val="24"/>
          <w:szCs w:val="24"/>
        </w:rPr>
        <w:t xml:space="preserve">The instruments commence on </w:t>
      </w:r>
      <w:r w:rsidR="00537E26" w:rsidRPr="009023F2">
        <w:rPr>
          <w:rFonts w:ascii="Times New Roman" w:hAnsi="Times New Roman"/>
          <w:sz w:val="24"/>
          <w:szCs w:val="24"/>
        </w:rPr>
        <w:t>1 January 2013</w:t>
      </w:r>
      <w:r w:rsidRPr="009023F2">
        <w:rPr>
          <w:rFonts w:ascii="Times New Roman" w:hAnsi="Times New Roman"/>
          <w:sz w:val="24"/>
          <w:szCs w:val="24"/>
        </w:rPr>
        <w:t>.</w:t>
      </w:r>
      <w:r w:rsidRPr="009023F2">
        <w:rPr>
          <w:rFonts w:ascii="Times New Roman" w:hAnsi="Times New Roman"/>
          <w:sz w:val="24"/>
          <w:szCs w:val="24"/>
        </w:rPr>
        <w:tab/>
      </w:r>
    </w:p>
    <w:p w:rsidR="002436BD" w:rsidRPr="009023F2" w:rsidRDefault="002436BD" w:rsidP="002436BD">
      <w:pPr>
        <w:pStyle w:val="Heading"/>
        <w:keepNext/>
        <w:numPr>
          <w:ilvl w:val="0"/>
          <w:numId w:val="2"/>
        </w:numPr>
        <w:spacing w:before="240" w:after="60"/>
        <w:ind w:left="0" w:firstLine="0"/>
        <w:outlineLvl w:val="0"/>
        <w:rPr>
          <w:rFonts w:ascii="Times New Roman" w:hAnsi="Times New Roman"/>
          <w:sz w:val="24"/>
          <w:szCs w:val="24"/>
        </w:rPr>
      </w:pPr>
      <w:r w:rsidRPr="009023F2">
        <w:rPr>
          <w:rFonts w:ascii="Times New Roman" w:hAnsi="Times New Roman"/>
          <w:sz w:val="24"/>
          <w:szCs w:val="24"/>
        </w:rPr>
        <w:t>Background</w:t>
      </w:r>
    </w:p>
    <w:p w:rsidR="00B931A3" w:rsidRPr="009023F2" w:rsidRDefault="00B931A3" w:rsidP="00B931A3">
      <w:pPr>
        <w:pStyle w:val="Heading"/>
        <w:rPr>
          <w:rFonts w:ascii="Times New Roman" w:hAnsi="Times New Roman"/>
          <w:b w:val="0"/>
          <w:sz w:val="24"/>
          <w:szCs w:val="24"/>
        </w:rPr>
      </w:pPr>
      <w:r w:rsidRPr="009023F2">
        <w:rPr>
          <w:rFonts w:ascii="Times New Roman" w:hAnsi="Times New Roman"/>
          <w:b w:val="0"/>
          <w:sz w:val="24"/>
          <w:szCs w:val="24"/>
        </w:rPr>
        <w:t xml:space="preserve">A key component of APRA’s prudential framework is the suite of prudential standards that impose regulatory capital requirements on ADIs (the capital standards) for the purpose of ensuring ADIs hold sufficient capital to address the risks associated with their operations. The capital standards have their foundation in international capital standards as laid down by the Basel Committee of the Bank for International Settlements as set out in the 1998 Basel Capital Accord (Basel I) and the </w:t>
      </w:r>
      <w:r w:rsidR="000B2870" w:rsidRPr="009023F2">
        <w:rPr>
          <w:rFonts w:ascii="Times New Roman" w:hAnsi="Times New Roman"/>
          <w:b w:val="0"/>
          <w:i/>
          <w:sz w:val="24"/>
          <w:szCs w:val="24"/>
        </w:rPr>
        <w:t xml:space="preserve">International Convergence of Capital Measurement and Capital Standards </w:t>
      </w:r>
      <w:r w:rsidRPr="009023F2">
        <w:rPr>
          <w:rFonts w:ascii="Times New Roman" w:hAnsi="Times New Roman"/>
          <w:b w:val="0"/>
          <w:sz w:val="24"/>
          <w:szCs w:val="24"/>
        </w:rPr>
        <w:t>(Basel II) released in 2004 and Basel II enhancements introduced during the global financial crisis. The Basel III capital reforms announced in response to the global financial crisis seek to further strengthen the capital position of ADIs by addressing deficiencies identified during the global financial crisis. Changes to reporting standards will allow APRA to monitor new and revised capital requirements as part of the adoption of the Basel III capital framework.</w:t>
      </w:r>
    </w:p>
    <w:p w:rsidR="002436BD" w:rsidRPr="009023F2" w:rsidRDefault="002436BD" w:rsidP="002436BD">
      <w:pPr>
        <w:pStyle w:val="Heading"/>
        <w:keepNext/>
        <w:numPr>
          <w:ilvl w:val="0"/>
          <w:numId w:val="2"/>
        </w:numPr>
        <w:spacing w:before="240" w:after="60"/>
        <w:ind w:left="0" w:firstLine="0"/>
        <w:outlineLvl w:val="0"/>
        <w:rPr>
          <w:rFonts w:ascii="Times New Roman" w:hAnsi="Times New Roman"/>
          <w:sz w:val="24"/>
          <w:szCs w:val="24"/>
        </w:rPr>
      </w:pPr>
      <w:bookmarkStart w:id="3" w:name="bkBackground"/>
      <w:bookmarkEnd w:id="3"/>
      <w:r w:rsidRPr="009023F2">
        <w:rPr>
          <w:rFonts w:ascii="Times New Roman" w:hAnsi="Times New Roman"/>
          <w:sz w:val="24"/>
          <w:szCs w:val="24"/>
        </w:rPr>
        <w:lastRenderedPageBreak/>
        <w:t xml:space="preserve">Purpose </w:t>
      </w:r>
      <w:r w:rsidR="00DF524E" w:rsidRPr="009023F2">
        <w:rPr>
          <w:rFonts w:ascii="Times New Roman" w:hAnsi="Times New Roman"/>
          <w:sz w:val="24"/>
          <w:szCs w:val="24"/>
        </w:rPr>
        <w:t xml:space="preserve">and operation </w:t>
      </w:r>
      <w:r w:rsidRPr="009023F2">
        <w:rPr>
          <w:rFonts w:ascii="Times New Roman" w:hAnsi="Times New Roman"/>
          <w:sz w:val="24"/>
          <w:szCs w:val="24"/>
        </w:rPr>
        <w:t>of the instrument</w:t>
      </w:r>
    </w:p>
    <w:p w:rsidR="002436BD" w:rsidRPr="009023F2" w:rsidRDefault="002436BD" w:rsidP="002436BD">
      <w:pPr>
        <w:pStyle w:val="Heading"/>
        <w:rPr>
          <w:rFonts w:ascii="Times New Roman" w:hAnsi="Times New Roman"/>
          <w:b w:val="0"/>
          <w:sz w:val="24"/>
          <w:szCs w:val="24"/>
        </w:rPr>
      </w:pPr>
      <w:bookmarkStart w:id="4" w:name="bkPurpose"/>
      <w:bookmarkEnd w:id="4"/>
    </w:p>
    <w:p w:rsidR="00233B76" w:rsidRPr="009023F2" w:rsidRDefault="00233B76" w:rsidP="00233B76">
      <w:pPr>
        <w:pStyle w:val="Heading"/>
        <w:rPr>
          <w:rFonts w:ascii="Times New Roman" w:hAnsi="Times New Roman"/>
          <w:b w:val="0"/>
          <w:sz w:val="24"/>
          <w:szCs w:val="24"/>
        </w:rPr>
      </w:pPr>
      <w:r w:rsidRPr="009023F2">
        <w:rPr>
          <w:rFonts w:ascii="Times New Roman" w:hAnsi="Times New Roman"/>
          <w:b w:val="0"/>
          <w:i/>
          <w:sz w:val="24"/>
          <w:szCs w:val="24"/>
        </w:rPr>
        <w:t>Financial Sector (Collection of Data) (reporting standard) determination No. 5 of 2012</w:t>
      </w:r>
    </w:p>
    <w:p w:rsidR="00775AC9" w:rsidRPr="009023F2" w:rsidRDefault="00775AC9" w:rsidP="00233B76">
      <w:pPr>
        <w:pStyle w:val="Heading"/>
        <w:rPr>
          <w:rFonts w:ascii="Times New Roman" w:hAnsi="Times New Roman"/>
          <w:b w:val="0"/>
          <w:sz w:val="24"/>
          <w:szCs w:val="24"/>
        </w:rPr>
      </w:pPr>
    </w:p>
    <w:p w:rsidR="00775AC9" w:rsidRPr="009023F2" w:rsidRDefault="00775AC9" w:rsidP="00775AC9">
      <w:pPr>
        <w:pStyle w:val="Heading"/>
        <w:rPr>
          <w:rFonts w:ascii="Times New Roman" w:hAnsi="Times New Roman"/>
          <w:b w:val="0"/>
          <w:sz w:val="24"/>
          <w:szCs w:val="24"/>
        </w:rPr>
      </w:pPr>
      <w:r w:rsidRPr="009023F2">
        <w:rPr>
          <w:rFonts w:ascii="Times New Roman" w:hAnsi="Times New Roman"/>
          <w:b w:val="0"/>
          <w:sz w:val="24"/>
          <w:szCs w:val="24"/>
        </w:rPr>
        <w:t xml:space="preserve">The purpose of the instrument is to revoke ARS 110.0 and to replace it with </w:t>
      </w:r>
      <w:r w:rsidR="00646975" w:rsidRPr="009023F2">
        <w:rPr>
          <w:rFonts w:ascii="Times New Roman" w:hAnsi="Times New Roman"/>
          <w:b w:val="0"/>
          <w:sz w:val="24"/>
          <w:szCs w:val="24"/>
        </w:rPr>
        <w:t xml:space="preserve">a </w:t>
      </w:r>
      <w:r w:rsidRPr="009023F2">
        <w:rPr>
          <w:rFonts w:ascii="Times New Roman" w:hAnsi="Times New Roman"/>
          <w:b w:val="0"/>
          <w:sz w:val="24"/>
          <w:szCs w:val="24"/>
        </w:rPr>
        <w:t xml:space="preserve">new </w:t>
      </w:r>
      <w:r w:rsidR="00646975" w:rsidRPr="009023F2">
        <w:rPr>
          <w:rFonts w:ascii="Times New Roman" w:hAnsi="Times New Roman"/>
          <w:b w:val="0"/>
          <w:sz w:val="24"/>
          <w:szCs w:val="24"/>
        </w:rPr>
        <w:t xml:space="preserve">version of </w:t>
      </w:r>
      <w:r w:rsidRPr="009023F2">
        <w:rPr>
          <w:rFonts w:ascii="Times New Roman" w:hAnsi="Times New Roman"/>
          <w:b w:val="0"/>
          <w:sz w:val="24"/>
          <w:szCs w:val="24"/>
        </w:rPr>
        <w:t>ARS 110.0.</w:t>
      </w:r>
    </w:p>
    <w:p w:rsidR="00775AC9" w:rsidRPr="009023F2" w:rsidRDefault="00775AC9" w:rsidP="00233B76">
      <w:pPr>
        <w:pStyle w:val="Heading"/>
        <w:rPr>
          <w:rFonts w:ascii="Times New Roman" w:hAnsi="Times New Roman"/>
          <w:b w:val="0"/>
          <w:sz w:val="24"/>
          <w:szCs w:val="24"/>
        </w:rPr>
      </w:pPr>
    </w:p>
    <w:p w:rsidR="00233B76" w:rsidRPr="009023F2" w:rsidRDefault="00233B76" w:rsidP="00233B76">
      <w:pPr>
        <w:pStyle w:val="Heading"/>
        <w:rPr>
          <w:rFonts w:ascii="Times New Roman" w:hAnsi="Times New Roman"/>
          <w:b w:val="0"/>
          <w:sz w:val="24"/>
          <w:szCs w:val="24"/>
        </w:rPr>
      </w:pPr>
      <w:r w:rsidRPr="009023F2">
        <w:rPr>
          <w:rFonts w:ascii="Times New Roman" w:hAnsi="Times New Roman"/>
          <w:b w:val="0"/>
          <w:sz w:val="24"/>
          <w:szCs w:val="24"/>
        </w:rPr>
        <w:t xml:space="preserve">The new </w:t>
      </w:r>
      <w:r w:rsidR="00B0774B" w:rsidRPr="009023F2">
        <w:rPr>
          <w:rFonts w:ascii="Times New Roman" w:hAnsi="Times New Roman"/>
          <w:b w:val="0"/>
          <w:sz w:val="24"/>
          <w:szCs w:val="24"/>
        </w:rPr>
        <w:t xml:space="preserve">version of </w:t>
      </w:r>
      <w:r w:rsidRPr="009023F2">
        <w:rPr>
          <w:rFonts w:ascii="Times New Roman" w:hAnsi="Times New Roman"/>
          <w:b w:val="0"/>
          <w:sz w:val="24"/>
          <w:szCs w:val="24"/>
        </w:rPr>
        <w:t>ARS 110.0 contains a number of changes reflecting the adoption of the Basel III capital framework in Australia. These include:</w:t>
      </w:r>
    </w:p>
    <w:p w:rsidR="000B2870" w:rsidRPr="009023F2" w:rsidRDefault="0003411C" w:rsidP="000B2870">
      <w:pPr>
        <w:pStyle w:val="Heading"/>
        <w:keepNext/>
        <w:numPr>
          <w:ilvl w:val="0"/>
          <w:numId w:val="4"/>
        </w:numPr>
        <w:spacing w:before="240" w:after="60"/>
        <w:outlineLvl w:val="0"/>
        <w:rPr>
          <w:rFonts w:ascii="Times New Roman" w:hAnsi="Times New Roman"/>
          <w:b w:val="0"/>
          <w:sz w:val="24"/>
          <w:szCs w:val="24"/>
        </w:rPr>
      </w:pPr>
      <w:r w:rsidRPr="009023F2">
        <w:rPr>
          <w:rFonts w:ascii="Times New Roman" w:hAnsi="Times New Roman"/>
          <w:b w:val="0"/>
          <w:sz w:val="24"/>
          <w:szCs w:val="24"/>
        </w:rPr>
        <w:t xml:space="preserve">alterations </w:t>
      </w:r>
      <w:r w:rsidR="00233B76" w:rsidRPr="009023F2">
        <w:rPr>
          <w:rFonts w:ascii="Times New Roman" w:hAnsi="Times New Roman"/>
          <w:b w:val="0"/>
          <w:sz w:val="24"/>
          <w:szCs w:val="24"/>
        </w:rPr>
        <w:t>to reflect various proposed changes in the eligibility criteria of the components of regulatory capital under Basel III and the predomina</w:t>
      </w:r>
      <w:r w:rsidR="001B7501" w:rsidRPr="009023F2">
        <w:rPr>
          <w:rFonts w:ascii="Times New Roman" w:hAnsi="Times New Roman"/>
          <w:b w:val="0"/>
          <w:sz w:val="24"/>
          <w:szCs w:val="24"/>
        </w:rPr>
        <w:t>n</w:t>
      </w:r>
      <w:r w:rsidR="00233B76" w:rsidRPr="009023F2">
        <w:rPr>
          <w:rFonts w:ascii="Times New Roman" w:hAnsi="Times New Roman"/>
          <w:b w:val="0"/>
          <w:sz w:val="24"/>
          <w:szCs w:val="24"/>
        </w:rPr>
        <w:t>t focus on Common Equity Tier 1 Capital;</w:t>
      </w:r>
    </w:p>
    <w:p w:rsidR="00974F84" w:rsidRPr="009023F2" w:rsidRDefault="00233B76" w:rsidP="00233B76">
      <w:pPr>
        <w:pStyle w:val="Heading"/>
        <w:keepNext/>
        <w:numPr>
          <w:ilvl w:val="0"/>
          <w:numId w:val="4"/>
        </w:numPr>
        <w:spacing w:before="240" w:after="60"/>
        <w:jc w:val="left"/>
        <w:outlineLvl w:val="0"/>
        <w:rPr>
          <w:rFonts w:ascii="Times New Roman" w:hAnsi="Times New Roman"/>
          <w:b w:val="0"/>
          <w:sz w:val="24"/>
          <w:szCs w:val="24"/>
        </w:rPr>
      </w:pPr>
      <w:r w:rsidRPr="009023F2">
        <w:rPr>
          <w:rFonts w:ascii="Times New Roman" w:hAnsi="Times New Roman"/>
          <w:b w:val="0"/>
          <w:sz w:val="24"/>
          <w:szCs w:val="24"/>
        </w:rPr>
        <w:t xml:space="preserve">revisions to reflect the reduction in the number of categories of capital from four to three; and </w:t>
      </w:r>
    </w:p>
    <w:p w:rsidR="00233B76" w:rsidRPr="009023F2" w:rsidRDefault="00233B76" w:rsidP="00233B76">
      <w:pPr>
        <w:pStyle w:val="Heading"/>
        <w:keepNext/>
        <w:numPr>
          <w:ilvl w:val="0"/>
          <w:numId w:val="4"/>
        </w:numPr>
        <w:spacing w:before="240" w:after="60"/>
        <w:jc w:val="left"/>
        <w:outlineLvl w:val="0"/>
        <w:rPr>
          <w:rFonts w:ascii="Times New Roman" w:hAnsi="Times New Roman"/>
          <w:b w:val="0"/>
          <w:sz w:val="24"/>
          <w:szCs w:val="24"/>
        </w:rPr>
      </w:pPr>
      <w:r w:rsidRPr="009023F2">
        <w:rPr>
          <w:rFonts w:ascii="Times New Roman" w:hAnsi="Times New Roman"/>
          <w:b w:val="0"/>
          <w:sz w:val="24"/>
          <w:szCs w:val="24"/>
        </w:rPr>
        <w:t>changes to categories, with the new categories being Tier 1 Capital – consisting of Common Equity Tier 1 Capital and Additional Tier 1 Capital – and Tier 2 Capital.</w:t>
      </w:r>
    </w:p>
    <w:p w:rsidR="007352E4" w:rsidRPr="009023F2" w:rsidRDefault="007352E4" w:rsidP="00233B76">
      <w:pPr>
        <w:pStyle w:val="Heading"/>
        <w:ind w:left="3"/>
        <w:rPr>
          <w:rFonts w:ascii="Times New Roman" w:hAnsi="Times New Roman"/>
          <w:b w:val="0"/>
          <w:sz w:val="24"/>
          <w:szCs w:val="24"/>
        </w:rPr>
      </w:pPr>
    </w:p>
    <w:p w:rsidR="00233B76" w:rsidRPr="009023F2" w:rsidRDefault="00233B76" w:rsidP="00233B76">
      <w:pPr>
        <w:pStyle w:val="Heading"/>
        <w:ind w:left="3"/>
        <w:rPr>
          <w:rFonts w:ascii="Times New Roman" w:hAnsi="Times New Roman"/>
          <w:b w:val="0"/>
          <w:sz w:val="24"/>
          <w:szCs w:val="24"/>
        </w:rPr>
      </w:pPr>
      <w:r w:rsidRPr="009023F2">
        <w:rPr>
          <w:rFonts w:ascii="Times New Roman" w:hAnsi="Times New Roman"/>
          <w:b w:val="0"/>
          <w:sz w:val="24"/>
          <w:szCs w:val="24"/>
        </w:rPr>
        <w:t>In addition, ARS 110.0 includes revised standards and definition of terms that are consistent with the Government’s Standard Business Reporting programme and alignment of capital measures with those for the life and general insurance industries where appropriate. These changes include:</w:t>
      </w:r>
    </w:p>
    <w:p w:rsidR="00233B76" w:rsidRPr="009023F2" w:rsidRDefault="00233B76" w:rsidP="00775AC9">
      <w:pPr>
        <w:pStyle w:val="Heading"/>
        <w:numPr>
          <w:ilvl w:val="0"/>
          <w:numId w:val="5"/>
        </w:numPr>
        <w:spacing w:before="240" w:after="60"/>
        <w:jc w:val="left"/>
        <w:outlineLvl w:val="0"/>
        <w:rPr>
          <w:rFonts w:ascii="Times New Roman" w:hAnsi="Times New Roman"/>
          <w:b w:val="0"/>
          <w:sz w:val="24"/>
          <w:szCs w:val="24"/>
        </w:rPr>
      </w:pPr>
      <w:r w:rsidRPr="009023F2">
        <w:rPr>
          <w:rFonts w:ascii="Times New Roman" w:hAnsi="Times New Roman"/>
          <w:b w:val="0"/>
          <w:sz w:val="24"/>
          <w:szCs w:val="24"/>
        </w:rPr>
        <w:t>new data items capturing new categories of capital, capital eligible for transition arrangements under Basel III and accumulated other comprehensive income;</w:t>
      </w:r>
    </w:p>
    <w:p w:rsidR="00233B76" w:rsidRPr="009023F2" w:rsidRDefault="00233B76" w:rsidP="00775AC9">
      <w:pPr>
        <w:pStyle w:val="Heading"/>
        <w:numPr>
          <w:ilvl w:val="0"/>
          <w:numId w:val="5"/>
        </w:numPr>
        <w:spacing w:before="240" w:after="60"/>
        <w:jc w:val="left"/>
        <w:outlineLvl w:val="0"/>
        <w:rPr>
          <w:rFonts w:ascii="Times New Roman" w:hAnsi="Times New Roman"/>
          <w:b w:val="0"/>
          <w:sz w:val="24"/>
          <w:szCs w:val="24"/>
        </w:rPr>
      </w:pPr>
      <w:r w:rsidRPr="009023F2">
        <w:rPr>
          <w:rFonts w:ascii="Times New Roman" w:hAnsi="Times New Roman"/>
          <w:b w:val="0"/>
          <w:sz w:val="24"/>
          <w:szCs w:val="24"/>
        </w:rPr>
        <w:t>the use of ‘gross’ capital and ‘net’ capital has been removed</w:t>
      </w:r>
      <w:r w:rsidR="00974F84" w:rsidRPr="009023F2">
        <w:rPr>
          <w:rFonts w:ascii="Times New Roman" w:hAnsi="Times New Roman"/>
          <w:b w:val="0"/>
          <w:sz w:val="24"/>
          <w:szCs w:val="24"/>
        </w:rPr>
        <w:t>.</w:t>
      </w:r>
      <w:r w:rsidRPr="009023F2">
        <w:rPr>
          <w:rFonts w:ascii="Times New Roman" w:hAnsi="Times New Roman"/>
          <w:b w:val="0"/>
          <w:sz w:val="24"/>
          <w:szCs w:val="24"/>
        </w:rPr>
        <w:t xml:space="preserve"> </w:t>
      </w:r>
      <w:r w:rsidR="00974F84" w:rsidRPr="009023F2">
        <w:rPr>
          <w:rFonts w:ascii="Times New Roman" w:hAnsi="Times New Roman"/>
          <w:b w:val="0"/>
          <w:sz w:val="24"/>
          <w:szCs w:val="24"/>
        </w:rPr>
        <w:t>R</w:t>
      </w:r>
      <w:r w:rsidRPr="009023F2">
        <w:rPr>
          <w:rFonts w:ascii="Times New Roman" w:hAnsi="Times New Roman"/>
          <w:b w:val="0"/>
          <w:sz w:val="24"/>
          <w:szCs w:val="24"/>
        </w:rPr>
        <w:t xml:space="preserve">eferences </w:t>
      </w:r>
      <w:r w:rsidR="00974F84" w:rsidRPr="009023F2">
        <w:rPr>
          <w:rFonts w:ascii="Times New Roman" w:hAnsi="Times New Roman"/>
          <w:b w:val="0"/>
          <w:sz w:val="24"/>
          <w:szCs w:val="24"/>
        </w:rPr>
        <w:t xml:space="preserve">have been updated </w:t>
      </w:r>
      <w:r w:rsidRPr="009023F2">
        <w:rPr>
          <w:rFonts w:ascii="Times New Roman" w:hAnsi="Times New Roman"/>
          <w:b w:val="0"/>
          <w:sz w:val="24"/>
          <w:szCs w:val="24"/>
        </w:rPr>
        <w:t>to Total Capital, which is net of any eligible deductions;</w:t>
      </w:r>
    </w:p>
    <w:p w:rsidR="00233B76" w:rsidRPr="009023F2" w:rsidRDefault="00233B76" w:rsidP="00775AC9">
      <w:pPr>
        <w:pStyle w:val="Heading"/>
        <w:numPr>
          <w:ilvl w:val="0"/>
          <w:numId w:val="5"/>
        </w:numPr>
        <w:spacing w:before="240" w:after="60"/>
        <w:jc w:val="left"/>
        <w:outlineLvl w:val="0"/>
        <w:rPr>
          <w:rFonts w:ascii="Times New Roman" w:hAnsi="Times New Roman"/>
          <w:b w:val="0"/>
          <w:sz w:val="24"/>
          <w:szCs w:val="24"/>
        </w:rPr>
      </w:pPr>
      <w:r w:rsidRPr="009023F2">
        <w:rPr>
          <w:rFonts w:ascii="Times New Roman" w:hAnsi="Times New Roman"/>
          <w:b w:val="0"/>
          <w:sz w:val="24"/>
          <w:szCs w:val="24"/>
        </w:rPr>
        <w:t xml:space="preserve">changes to the Instructions to reflect the revised treatment of expected dividends; </w:t>
      </w:r>
    </w:p>
    <w:p w:rsidR="00233B76" w:rsidRPr="009023F2" w:rsidRDefault="00233B76" w:rsidP="00775AC9">
      <w:pPr>
        <w:pStyle w:val="Heading"/>
        <w:numPr>
          <w:ilvl w:val="0"/>
          <w:numId w:val="5"/>
        </w:numPr>
        <w:spacing w:before="240" w:after="60"/>
        <w:jc w:val="left"/>
        <w:outlineLvl w:val="0"/>
        <w:rPr>
          <w:rFonts w:ascii="Times New Roman" w:hAnsi="Times New Roman"/>
          <w:b w:val="0"/>
          <w:sz w:val="24"/>
          <w:szCs w:val="24"/>
        </w:rPr>
      </w:pPr>
      <w:r w:rsidRPr="009023F2">
        <w:rPr>
          <w:rFonts w:ascii="Times New Roman" w:hAnsi="Times New Roman"/>
          <w:b w:val="0"/>
          <w:sz w:val="24"/>
          <w:szCs w:val="24"/>
        </w:rPr>
        <w:t>the General Reserve for Credit Losses, previously included in Upper Tier 2 capital, to form part of Tier 2 Capital with the limit on the amount that can be recognised now based on total credit risk-weighted assets; and</w:t>
      </w:r>
    </w:p>
    <w:p w:rsidR="00233B76" w:rsidRPr="009023F2" w:rsidRDefault="00233B76" w:rsidP="00775AC9">
      <w:pPr>
        <w:pStyle w:val="Heading"/>
        <w:numPr>
          <w:ilvl w:val="0"/>
          <w:numId w:val="5"/>
        </w:numPr>
        <w:spacing w:before="240" w:after="60"/>
        <w:jc w:val="left"/>
        <w:outlineLvl w:val="0"/>
        <w:rPr>
          <w:rFonts w:ascii="Times New Roman" w:hAnsi="Times New Roman"/>
          <w:b w:val="0"/>
          <w:sz w:val="24"/>
          <w:szCs w:val="24"/>
        </w:rPr>
      </w:pPr>
      <w:r w:rsidRPr="009023F2">
        <w:rPr>
          <w:rFonts w:ascii="Times New Roman" w:hAnsi="Times New Roman"/>
          <w:b w:val="0"/>
          <w:sz w:val="24"/>
          <w:szCs w:val="24"/>
        </w:rPr>
        <w:t>change in terminology such that items which were formerly ‘deductions’ to capital replaced with the term ‘</w:t>
      </w:r>
      <w:r w:rsidR="00C80A41" w:rsidRPr="009023F2">
        <w:rPr>
          <w:rFonts w:ascii="Times New Roman" w:hAnsi="Times New Roman"/>
          <w:b w:val="0"/>
          <w:sz w:val="24"/>
          <w:szCs w:val="24"/>
        </w:rPr>
        <w:t xml:space="preserve">regulatory </w:t>
      </w:r>
      <w:r w:rsidRPr="009023F2">
        <w:rPr>
          <w:rFonts w:ascii="Times New Roman" w:hAnsi="Times New Roman"/>
          <w:b w:val="0"/>
          <w:sz w:val="24"/>
          <w:szCs w:val="24"/>
        </w:rPr>
        <w:t>adjustments’.</w:t>
      </w:r>
    </w:p>
    <w:p w:rsidR="00837DFF" w:rsidRPr="009023F2" w:rsidRDefault="00837DFF" w:rsidP="00775AC9">
      <w:pPr>
        <w:pStyle w:val="Heading"/>
        <w:ind w:left="3"/>
        <w:rPr>
          <w:rFonts w:ascii="Times New Roman" w:hAnsi="Times New Roman"/>
          <w:b w:val="0"/>
          <w:sz w:val="24"/>
          <w:szCs w:val="24"/>
        </w:rPr>
      </w:pPr>
    </w:p>
    <w:p w:rsidR="00233B76" w:rsidRPr="009023F2" w:rsidRDefault="00233B76" w:rsidP="00775AC9">
      <w:pPr>
        <w:pStyle w:val="Heading"/>
        <w:ind w:left="3"/>
        <w:rPr>
          <w:rFonts w:ascii="Times New Roman" w:hAnsi="Times New Roman"/>
          <w:b w:val="0"/>
          <w:sz w:val="24"/>
          <w:szCs w:val="24"/>
        </w:rPr>
      </w:pPr>
      <w:r w:rsidRPr="009023F2">
        <w:rPr>
          <w:rFonts w:ascii="Times New Roman" w:hAnsi="Times New Roman"/>
          <w:b w:val="0"/>
          <w:sz w:val="24"/>
          <w:szCs w:val="24"/>
        </w:rPr>
        <w:t xml:space="preserve">In addition, there are new line items to capture adjustments to Common Equity Tier 1 Capital for assets that are held in a covered bond pool. Finally, changes have been made to clarify the capital treatment and reporting of ‘joint arrangements’.  </w:t>
      </w:r>
    </w:p>
    <w:p w:rsidR="00775AC9" w:rsidRPr="009023F2" w:rsidRDefault="00775AC9" w:rsidP="00775AC9">
      <w:pPr>
        <w:pStyle w:val="Heading"/>
        <w:ind w:left="3"/>
        <w:rPr>
          <w:rFonts w:ascii="Times New Roman" w:hAnsi="Times New Roman"/>
          <w:b w:val="0"/>
          <w:i/>
          <w:sz w:val="24"/>
          <w:szCs w:val="24"/>
        </w:rPr>
      </w:pPr>
    </w:p>
    <w:p w:rsidR="00233B76" w:rsidRPr="009023F2" w:rsidRDefault="00233B76" w:rsidP="00425C4B">
      <w:pPr>
        <w:pStyle w:val="Heading"/>
        <w:keepNext/>
        <w:ind w:left="6"/>
        <w:rPr>
          <w:rFonts w:ascii="Times New Roman" w:hAnsi="Times New Roman"/>
          <w:b w:val="0"/>
          <w:sz w:val="24"/>
          <w:szCs w:val="24"/>
        </w:rPr>
      </w:pPr>
      <w:r w:rsidRPr="009023F2">
        <w:rPr>
          <w:rFonts w:ascii="Times New Roman" w:hAnsi="Times New Roman"/>
          <w:b w:val="0"/>
          <w:i/>
          <w:sz w:val="24"/>
          <w:szCs w:val="24"/>
        </w:rPr>
        <w:t>Financial Sector (Collection of Data) (reporting standard) determination No. 6 of 2012</w:t>
      </w:r>
    </w:p>
    <w:p w:rsidR="00775AC9" w:rsidRPr="009023F2" w:rsidRDefault="00775AC9" w:rsidP="00425C4B">
      <w:pPr>
        <w:pStyle w:val="Heading"/>
        <w:keepNext/>
        <w:ind w:left="6"/>
        <w:rPr>
          <w:rFonts w:ascii="Times New Roman" w:hAnsi="Times New Roman"/>
          <w:b w:val="0"/>
          <w:sz w:val="24"/>
          <w:szCs w:val="24"/>
        </w:rPr>
      </w:pPr>
    </w:p>
    <w:p w:rsidR="007352E4" w:rsidRPr="009023F2" w:rsidRDefault="007352E4" w:rsidP="007352E4">
      <w:pPr>
        <w:pStyle w:val="Heading"/>
        <w:rPr>
          <w:rFonts w:ascii="Times New Roman" w:hAnsi="Times New Roman"/>
          <w:b w:val="0"/>
          <w:sz w:val="24"/>
          <w:szCs w:val="24"/>
        </w:rPr>
      </w:pPr>
      <w:r w:rsidRPr="009023F2">
        <w:rPr>
          <w:rFonts w:ascii="Times New Roman" w:hAnsi="Times New Roman"/>
          <w:b w:val="0"/>
          <w:sz w:val="24"/>
          <w:szCs w:val="24"/>
        </w:rPr>
        <w:t>The purpose of the instrument is to determine the new ARS 111.0.</w:t>
      </w:r>
    </w:p>
    <w:p w:rsidR="007352E4" w:rsidRPr="009023F2" w:rsidRDefault="007352E4" w:rsidP="007352E4">
      <w:pPr>
        <w:pStyle w:val="Heading"/>
        <w:rPr>
          <w:rFonts w:ascii="Times New Roman" w:hAnsi="Times New Roman"/>
          <w:b w:val="0"/>
          <w:sz w:val="24"/>
          <w:szCs w:val="24"/>
        </w:rPr>
      </w:pPr>
    </w:p>
    <w:p w:rsidR="00233B76" w:rsidRPr="009023F2" w:rsidRDefault="00233B76" w:rsidP="00233B76">
      <w:pPr>
        <w:pStyle w:val="Heading"/>
        <w:ind w:left="3"/>
        <w:rPr>
          <w:rFonts w:ascii="Times New Roman" w:hAnsi="Times New Roman"/>
          <w:b w:val="0"/>
          <w:sz w:val="24"/>
          <w:szCs w:val="24"/>
        </w:rPr>
      </w:pPr>
      <w:r w:rsidRPr="009023F2">
        <w:rPr>
          <w:rFonts w:ascii="Times New Roman" w:hAnsi="Times New Roman"/>
          <w:b w:val="0"/>
          <w:sz w:val="24"/>
          <w:szCs w:val="24"/>
        </w:rPr>
        <w:lastRenderedPageBreak/>
        <w:t xml:space="preserve">ARS 111.0 is a new reporting standard that will collect information on fair value of assets and liabilities of ADIs. ARS 111.0 requires an ADI to report on fair values for both the stand-alone ADI as well as the group of which the ADI is a part, as appropriate. </w:t>
      </w:r>
    </w:p>
    <w:p w:rsidR="00E2319B" w:rsidRPr="009023F2" w:rsidRDefault="00E2319B" w:rsidP="002436BD">
      <w:pPr>
        <w:pStyle w:val="Heading"/>
        <w:rPr>
          <w:rFonts w:ascii="Times New Roman" w:hAnsi="Times New Roman"/>
          <w:b w:val="0"/>
          <w:sz w:val="24"/>
          <w:szCs w:val="24"/>
        </w:rPr>
      </w:pPr>
    </w:p>
    <w:p w:rsidR="00775AC9" w:rsidRPr="009023F2" w:rsidRDefault="00775AC9" w:rsidP="00775AC9">
      <w:pPr>
        <w:pStyle w:val="Heading"/>
        <w:ind w:left="3"/>
        <w:rPr>
          <w:rFonts w:ascii="Times New Roman" w:hAnsi="Times New Roman"/>
          <w:b w:val="0"/>
          <w:sz w:val="24"/>
          <w:szCs w:val="24"/>
        </w:rPr>
      </w:pPr>
      <w:r w:rsidRPr="009023F2">
        <w:rPr>
          <w:rFonts w:ascii="Times New Roman" w:hAnsi="Times New Roman"/>
          <w:b w:val="0"/>
          <w:i/>
          <w:sz w:val="24"/>
          <w:szCs w:val="24"/>
        </w:rPr>
        <w:t>Financial Sector (Collection of Data) (reporting standard) determination No. 7 of 2012</w:t>
      </w:r>
    </w:p>
    <w:p w:rsidR="00E2319B" w:rsidRPr="009023F2" w:rsidRDefault="00E2319B" w:rsidP="002436BD">
      <w:pPr>
        <w:pStyle w:val="Heading"/>
        <w:rPr>
          <w:rFonts w:ascii="Times New Roman" w:hAnsi="Times New Roman"/>
          <w:b w:val="0"/>
          <w:sz w:val="24"/>
          <w:szCs w:val="24"/>
        </w:rPr>
      </w:pPr>
    </w:p>
    <w:p w:rsidR="007352E4" w:rsidRPr="009023F2" w:rsidRDefault="007352E4" w:rsidP="007352E4">
      <w:pPr>
        <w:pStyle w:val="Heading"/>
        <w:rPr>
          <w:rFonts w:ascii="Times New Roman" w:hAnsi="Times New Roman"/>
          <w:b w:val="0"/>
          <w:sz w:val="24"/>
          <w:szCs w:val="24"/>
        </w:rPr>
      </w:pPr>
      <w:r w:rsidRPr="009023F2">
        <w:rPr>
          <w:rFonts w:ascii="Times New Roman" w:hAnsi="Times New Roman"/>
          <w:b w:val="0"/>
          <w:sz w:val="24"/>
          <w:szCs w:val="24"/>
        </w:rPr>
        <w:t xml:space="preserve">The purpose of the instrument is to revoke ARS 112.1 and to replace it with </w:t>
      </w:r>
      <w:r w:rsidR="00646975" w:rsidRPr="009023F2">
        <w:rPr>
          <w:rFonts w:ascii="Times New Roman" w:hAnsi="Times New Roman"/>
          <w:b w:val="0"/>
          <w:sz w:val="24"/>
          <w:szCs w:val="24"/>
        </w:rPr>
        <w:t xml:space="preserve">a </w:t>
      </w:r>
      <w:r w:rsidRPr="009023F2">
        <w:rPr>
          <w:rFonts w:ascii="Times New Roman" w:hAnsi="Times New Roman"/>
          <w:b w:val="0"/>
          <w:sz w:val="24"/>
          <w:szCs w:val="24"/>
        </w:rPr>
        <w:t xml:space="preserve">new </w:t>
      </w:r>
      <w:r w:rsidR="00646975" w:rsidRPr="009023F2">
        <w:rPr>
          <w:rFonts w:ascii="Times New Roman" w:hAnsi="Times New Roman"/>
          <w:b w:val="0"/>
          <w:sz w:val="24"/>
          <w:szCs w:val="24"/>
        </w:rPr>
        <w:t xml:space="preserve">version of </w:t>
      </w:r>
      <w:r w:rsidRPr="009023F2">
        <w:rPr>
          <w:rFonts w:ascii="Times New Roman" w:hAnsi="Times New Roman"/>
          <w:b w:val="0"/>
          <w:sz w:val="24"/>
          <w:szCs w:val="24"/>
        </w:rPr>
        <w:t>ARS 112.1.</w:t>
      </w:r>
    </w:p>
    <w:p w:rsidR="000D13BF" w:rsidRPr="009023F2" w:rsidRDefault="000D13BF" w:rsidP="000D13BF">
      <w:pPr>
        <w:pStyle w:val="Heading"/>
        <w:rPr>
          <w:rFonts w:ascii="Times New Roman" w:hAnsi="Times New Roman"/>
          <w:b w:val="0"/>
          <w:sz w:val="24"/>
          <w:szCs w:val="24"/>
        </w:rPr>
      </w:pPr>
    </w:p>
    <w:p w:rsidR="000D13BF" w:rsidRPr="009023F2" w:rsidRDefault="000D13BF" w:rsidP="000D13BF">
      <w:pPr>
        <w:pStyle w:val="Heading"/>
        <w:rPr>
          <w:rFonts w:ascii="Times New Roman" w:hAnsi="Times New Roman"/>
          <w:b w:val="0"/>
          <w:sz w:val="24"/>
          <w:szCs w:val="24"/>
        </w:rPr>
      </w:pPr>
      <w:r w:rsidRPr="009023F2">
        <w:rPr>
          <w:rFonts w:ascii="Times New Roman" w:hAnsi="Times New Roman"/>
          <w:b w:val="0"/>
          <w:sz w:val="24"/>
          <w:szCs w:val="24"/>
        </w:rPr>
        <w:t>ARS outlines the requirements for the provision of information to APRA relating to an authorised deposit-taking institution</w:t>
      </w:r>
      <w:r w:rsidR="00AB2A0C" w:rsidRPr="009023F2">
        <w:rPr>
          <w:rFonts w:ascii="Times New Roman" w:hAnsi="Times New Roman"/>
          <w:b w:val="0"/>
          <w:sz w:val="24"/>
          <w:szCs w:val="24"/>
        </w:rPr>
        <w:t xml:space="preserve"> (ADI)</w:t>
      </w:r>
      <w:r w:rsidRPr="009023F2">
        <w:rPr>
          <w:rFonts w:ascii="Times New Roman" w:hAnsi="Times New Roman"/>
          <w:b w:val="0"/>
          <w:sz w:val="24"/>
          <w:szCs w:val="24"/>
        </w:rPr>
        <w:t xml:space="preserve">’s on-balance sheet assets. </w:t>
      </w:r>
    </w:p>
    <w:p w:rsidR="000D13BF" w:rsidRPr="009023F2" w:rsidRDefault="000D13BF" w:rsidP="000D13BF">
      <w:pPr>
        <w:pStyle w:val="Heading"/>
        <w:rPr>
          <w:rFonts w:ascii="Times New Roman" w:hAnsi="Times New Roman"/>
          <w:b w:val="0"/>
          <w:sz w:val="24"/>
          <w:szCs w:val="24"/>
        </w:rPr>
      </w:pPr>
    </w:p>
    <w:p w:rsidR="00195353" w:rsidRPr="009023F2" w:rsidRDefault="00195353" w:rsidP="000D13BF">
      <w:pPr>
        <w:pStyle w:val="Heading"/>
        <w:rPr>
          <w:rFonts w:ascii="Times New Roman" w:hAnsi="Times New Roman"/>
          <w:b w:val="0"/>
          <w:sz w:val="24"/>
          <w:szCs w:val="24"/>
        </w:rPr>
      </w:pPr>
      <w:r w:rsidRPr="009023F2">
        <w:rPr>
          <w:rFonts w:ascii="Times New Roman" w:hAnsi="Times New Roman"/>
          <w:b w:val="0"/>
          <w:sz w:val="24"/>
          <w:szCs w:val="24"/>
        </w:rPr>
        <w:t>The instrument make</w:t>
      </w:r>
      <w:r w:rsidR="00E1315D" w:rsidRPr="009023F2">
        <w:rPr>
          <w:rFonts w:ascii="Times New Roman" w:hAnsi="Times New Roman"/>
          <w:b w:val="0"/>
          <w:sz w:val="24"/>
          <w:szCs w:val="24"/>
        </w:rPr>
        <w:t>s</w:t>
      </w:r>
      <w:r w:rsidRPr="009023F2">
        <w:rPr>
          <w:rFonts w:ascii="Times New Roman" w:hAnsi="Times New Roman"/>
          <w:b w:val="0"/>
          <w:sz w:val="24"/>
          <w:szCs w:val="24"/>
        </w:rPr>
        <w:t xml:space="preserve"> change</w:t>
      </w:r>
      <w:r w:rsidR="005B6ADD" w:rsidRPr="009023F2">
        <w:rPr>
          <w:rFonts w:ascii="Times New Roman" w:hAnsi="Times New Roman"/>
          <w:b w:val="0"/>
          <w:sz w:val="24"/>
          <w:szCs w:val="24"/>
        </w:rPr>
        <w:t>s</w:t>
      </w:r>
      <w:r w:rsidRPr="009023F2">
        <w:rPr>
          <w:rFonts w:ascii="Times New Roman" w:hAnsi="Times New Roman"/>
          <w:b w:val="0"/>
          <w:sz w:val="24"/>
          <w:szCs w:val="24"/>
        </w:rPr>
        <w:t xml:space="preserve"> to </w:t>
      </w:r>
      <w:r w:rsidR="00974F84" w:rsidRPr="009023F2">
        <w:rPr>
          <w:rFonts w:ascii="Times New Roman" w:hAnsi="Times New Roman"/>
          <w:b w:val="0"/>
          <w:sz w:val="24"/>
          <w:szCs w:val="24"/>
        </w:rPr>
        <w:t>ARS 112.1</w:t>
      </w:r>
      <w:r w:rsidRPr="009023F2">
        <w:rPr>
          <w:rFonts w:ascii="Times New Roman" w:hAnsi="Times New Roman"/>
          <w:b w:val="0"/>
          <w:sz w:val="24"/>
          <w:szCs w:val="24"/>
        </w:rPr>
        <w:t xml:space="preserve"> commensurate with the Basel capital framework by:</w:t>
      </w:r>
    </w:p>
    <w:p w:rsidR="00195353" w:rsidRPr="009023F2" w:rsidRDefault="00195353" w:rsidP="000D13BF">
      <w:pPr>
        <w:pStyle w:val="Heading"/>
        <w:rPr>
          <w:rFonts w:ascii="Times New Roman" w:hAnsi="Times New Roman"/>
          <w:b w:val="0"/>
          <w:sz w:val="24"/>
          <w:szCs w:val="24"/>
        </w:rPr>
      </w:pPr>
    </w:p>
    <w:p w:rsidR="00195353" w:rsidRPr="009023F2" w:rsidRDefault="000D13BF" w:rsidP="00195353">
      <w:pPr>
        <w:pStyle w:val="Heading"/>
        <w:numPr>
          <w:ilvl w:val="0"/>
          <w:numId w:val="7"/>
        </w:numPr>
        <w:rPr>
          <w:rFonts w:ascii="Times New Roman" w:hAnsi="Times New Roman"/>
          <w:b w:val="0"/>
          <w:sz w:val="24"/>
          <w:szCs w:val="24"/>
        </w:rPr>
      </w:pPr>
      <w:r w:rsidRPr="009023F2">
        <w:rPr>
          <w:rFonts w:ascii="Times New Roman" w:hAnsi="Times New Roman"/>
          <w:b w:val="0"/>
          <w:sz w:val="24"/>
          <w:szCs w:val="24"/>
        </w:rPr>
        <w:t>more closely align</w:t>
      </w:r>
      <w:r w:rsidR="00AD36FA" w:rsidRPr="009023F2">
        <w:rPr>
          <w:rFonts w:ascii="Times New Roman" w:hAnsi="Times New Roman"/>
          <w:b w:val="0"/>
          <w:sz w:val="24"/>
          <w:szCs w:val="24"/>
        </w:rPr>
        <w:t>ing</w:t>
      </w:r>
      <w:r w:rsidRPr="009023F2">
        <w:rPr>
          <w:rFonts w:ascii="Times New Roman" w:hAnsi="Times New Roman"/>
          <w:b w:val="0"/>
          <w:sz w:val="24"/>
          <w:szCs w:val="24"/>
        </w:rPr>
        <w:t xml:space="preserve"> the risk-weighting of claims on central banks with sovereign claims</w:t>
      </w:r>
      <w:r w:rsidR="00195353" w:rsidRPr="009023F2">
        <w:rPr>
          <w:rFonts w:ascii="Times New Roman" w:hAnsi="Times New Roman"/>
          <w:b w:val="0"/>
          <w:sz w:val="24"/>
          <w:szCs w:val="24"/>
        </w:rPr>
        <w:t>;</w:t>
      </w:r>
    </w:p>
    <w:p w:rsidR="000D13BF" w:rsidRPr="009023F2" w:rsidRDefault="00195353" w:rsidP="00195353">
      <w:pPr>
        <w:pStyle w:val="Heading"/>
        <w:numPr>
          <w:ilvl w:val="0"/>
          <w:numId w:val="7"/>
        </w:numPr>
        <w:rPr>
          <w:rFonts w:ascii="Times New Roman" w:hAnsi="Times New Roman"/>
          <w:b w:val="0"/>
          <w:sz w:val="24"/>
          <w:szCs w:val="24"/>
        </w:rPr>
      </w:pPr>
      <w:r w:rsidRPr="009023F2">
        <w:rPr>
          <w:rFonts w:ascii="Times New Roman" w:hAnsi="Times New Roman"/>
          <w:b w:val="0"/>
          <w:sz w:val="24"/>
          <w:szCs w:val="24"/>
        </w:rPr>
        <w:t>requiring certain items to be risk-weighted at 1250 per cent that were previously deducted 50:50 from Tier 1 and Tier 2 capital; and</w:t>
      </w:r>
    </w:p>
    <w:p w:rsidR="00195353" w:rsidRPr="009023F2" w:rsidRDefault="00195353" w:rsidP="00195353">
      <w:pPr>
        <w:pStyle w:val="Heading"/>
        <w:numPr>
          <w:ilvl w:val="0"/>
          <w:numId w:val="7"/>
        </w:numPr>
        <w:rPr>
          <w:rFonts w:ascii="Times New Roman" w:hAnsi="Times New Roman"/>
          <w:b w:val="0"/>
          <w:sz w:val="24"/>
          <w:szCs w:val="24"/>
        </w:rPr>
      </w:pPr>
      <w:r w:rsidRPr="009023F2">
        <w:rPr>
          <w:rFonts w:ascii="Times New Roman" w:hAnsi="Times New Roman"/>
          <w:b w:val="0"/>
          <w:sz w:val="24"/>
          <w:szCs w:val="24"/>
        </w:rPr>
        <w:t xml:space="preserve">making minor </w:t>
      </w:r>
      <w:r w:rsidR="0003411C" w:rsidRPr="009023F2">
        <w:rPr>
          <w:rFonts w:ascii="Times New Roman" w:hAnsi="Times New Roman"/>
          <w:b w:val="0"/>
          <w:sz w:val="24"/>
          <w:szCs w:val="24"/>
        </w:rPr>
        <w:t xml:space="preserve">alterations </w:t>
      </w:r>
      <w:r w:rsidRPr="009023F2">
        <w:rPr>
          <w:rFonts w:ascii="Times New Roman" w:hAnsi="Times New Roman"/>
          <w:b w:val="0"/>
          <w:sz w:val="24"/>
          <w:szCs w:val="24"/>
        </w:rPr>
        <w:t>to align with Basel III terminology.</w:t>
      </w:r>
    </w:p>
    <w:p w:rsidR="000D13BF" w:rsidRPr="009023F2" w:rsidRDefault="000D13BF" w:rsidP="000D13BF">
      <w:pPr>
        <w:pStyle w:val="Heading"/>
        <w:rPr>
          <w:rFonts w:ascii="Times New Roman" w:hAnsi="Times New Roman"/>
          <w:b w:val="0"/>
          <w:sz w:val="24"/>
          <w:szCs w:val="24"/>
        </w:rPr>
      </w:pPr>
    </w:p>
    <w:p w:rsidR="00FE40EB" w:rsidRPr="009023F2" w:rsidRDefault="00FE40EB" w:rsidP="00FE40EB">
      <w:pPr>
        <w:pStyle w:val="Heading"/>
        <w:ind w:left="3"/>
        <w:rPr>
          <w:rFonts w:ascii="Times New Roman" w:hAnsi="Times New Roman"/>
          <w:b w:val="0"/>
          <w:sz w:val="24"/>
          <w:szCs w:val="24"/>
        </w:rPr>
      </w:pPr>
      <w:r w:rsidRPr="009023F2">
        <w:rPr>
          <w:rFonts w:ascii="Times New Roman" w:hAnsi="Times New Roman"/>
          <w:b w:val="0"/>
          <w:i/>
          <w:sz w:val="24"/>
          <w:szCs w:val="24"/>
        </w:rPr>
        <w:t>Financial Sector (Collection of Data) (reporting standard) determination No. 8 of 2012</w:t>
      </w:r>
    </w:p>
    <w:p w:rsidR="00FE40EB" w:rsidRPr="009023F2" w:rsidRDefault="00FE40EB" w:rsidP="00FE40EB">
      <w:pPr>
        <w:pStyle w:val="Heading"/>
        <w:rPr>
          <w:rFonts w:ascii="Times New Roman" w:hAnsi="Times New Roman"/>
          <w:b w:val="0"/>
          <w:sz w:val="24"/>
          <w:szCs w:val="24"/>
        </w:rPr>
      </w:pPr>
    </w:p>
    <w:p w:rsidR="00FE40EB" w:rsidRPr="009023F2" w:rsidRDefault="00FE40EB" w:rsidP="00FE40EB">
      <w:pPr>
        <w:pStyle w:val="Heading"/>
        <w:rPr>
          <w:rFonts w:ascii="Times New Roman" w:hAnsi="Times New Roman"/>
          <w:b w:val="0"/>
          <w:sz w:val="24"/>
          <w:szCs w:val="24"/>
        </w:rPr>
      </w:pPr>
      <w:r w:rsidRPr="009023F2">
        <w:rPr>
          <w:rFonts w:ascii="Times New Roman" w:hAnsi="Times New Roman"/>
          <w:b w:val="0"/>
          <w:sz w:val="24"/>
          <w:szCs w:val="24"/>
        </w:rPr>
        <w:t xml:space="preserve">The purpose of the instrument is to revoke ARS 112.2 and to replace it with </w:t>
      </w:r>
      <w:r w:rsidR="00646975" w:rsidRPr="009023F2">
        <w:rPr>
          <w:rFonts w:ascii="Times New Roman" w:hAnsi="Times New Roman"/>
          <w:b w:val="0"/>
          <w:sz w:val="24"/>
          <w:szCs w:val="24"/>
        </w:rPr>
        <w:t xml:space="preserve">a </w:t>
      </w:r>
      <w:r w:rsidRPr="009023F2">
        <w:rPr>
          <w:rFonts w:ascii="Times New Roman" w:hAnsi="Times New Roman"/>
          <w:b w:val="0"/>
          <w:sz w:val="24"/>
          <w:szCs w:val="24"/>
        </w:rPr>
        <w:t>new</w:t>
      </w:r>
      <w:r w:rsidR="00AA4D4F" w:rsidRPr="009023F2">
        <w:rPr>
          <w:rFonts w:ascii="Times New Roman" w:hAnsi="Times New Roman"/>
          <w:b w:val="0"/>
          <w:sz w:val="24"/>
          <w:szCs w:val="24"/>
        </w:rPr>
        <w:t xml:space="preserve"> version of</w:t>
      </w:r>
      <w:r w:rsidRPr="009023F2">
        <w:rPr>
          <w:rFonts w:ascii="Times New Roman" w:hAnsi="Times New Roman"/>
          <w:b w:val="0"/>
          <w:sz w:val="24"/>
          <w:szCs w:val="24"/>
        </w:rPr>
        <w:t xml:space="preserve"> ARS 112.2.</w:t>
      </w:r>
    </w:p>
    <w:p w:rsidR="00FE40EB" w:rsidRPr="009023F2" w:rsidRDefault="00FE40EB" w:rsidP="00FE40EB">
      <w:pPr>
        <w:pStyle w:val="Heading"/>
        <w:rPr>
          <w:rFonts w:ascii="Times New Roman" w:hAnsi="Times New Roman"/>
          <w:b w:val="0"/>
          <w:sz w:val="24"/>
          <w:szCs w:val="24"/>
        </w:rPr>
      </w:pPr>
    </w:p>
    <w:p w:rsidR="00167C63" w:rsidRPr="009023F2" w:rsidRDefault="00167C63" w:rsidP="00FE40EB">
      <w:pPr>
        <w:pStyle w:val="Heading"/>
        <w:rPr>
          <w:rFonts w:ascii="Times New Roman" w:hAnsi="Times New Roman"/>
          <w:sz w:val="24"/>
          <w:szCs w:val="24"/>
        </w:rPr>
      </w:pPr>
      <w:r w:rsidRPr="009023F2">
        <w:rPr>
          <w:rFonts w:ascii="Times New Roman" w:hAnsi="Times New Roman"/>
          <w:b w:val="0"/>
          <w:sz w:val="24"/>
          <w:szCs w:val="24"/>
        </w:rPr>
        <w:t xml:space="preserve">ARS 112.2 outlines the overall requirements for the provision of information to APRA relating to an </w:t>
      </w:r>
      <w:r w:rsidR="00AB2A0C" w:rsidRPr="009023F2">
        <w:rPr>
          <w:rFonts w:ascii="Times New Roman" w:hAnsi="Times New Roman"/>
          <w:b w:val="0"/>
          <w:sz w:val="24"/>
          <w:szCs w:val="24"/>
        </w:rPr>
        <w:t>ADI</w:t>
      </w:r>
      <w:r w:rsidRPr="009023F2">
        <w:rPr>
          <w:rFonts w:ascii="Times New Roman" w:hAnsi="Times New Roman"/>
          <w:b w:val="0"/>
          <w:sz w:val="24"/>
          <w:szCs w:val="24"/>
        </w:rPr>
        <w:t>’s off-balance sheet exposures</w:t>
      </w:r>
      <w:r w:rsidRPr="009023F2">
        <w:rPr>
          <w:rFonts w:ascii="Times New Roman" w:hAnsi="Times New Roman"/>
          <w:sz w:val="24"/>
          <w:szCs w:val="24"/>
        </w:rPr>
        <w:t>.</w:t>
      </w:r>
    </w:p>
    <w:p w:rsidR="00167C63" w:rsidRPr="009023F2" w:rsidRDefault="00167C63" w:rsidP="00FE40EB">
      <w:pPr>
        <w:pStyle w:val="Heading"/>
        <w:rPr>
          <w:rFonts w:ascii="Times New Roman" w:hAnsi="Times New Roman"/>
          <w:sz w:val="24"/>
          <w:szCs w:val="24"/>
        </w:rPr>
      </w:pPr>
    </w:p>
    <w:p w:rsidR="00FE40EB" w:rsidRPr="009023F2" w:rsidRDefault="00167C63" w:rsidP="00FE40EB">
      <w:pPr>
        <w:pStyle w:val="Heading"/>
        <w:rPr>
          <w:rFonts w:ascii="Times New Roman" w:hAnsi="Times New Roman"/>
          <w:b w:val="0"/>
          <w:sz w:val="24"/>
          <w:szCs w:val="24"/>
        </w:rPr>
      </w:pPr>
      <w:r w:rsidRPr="009023F2">
        <w:rPr>
          <w:rFonts w:ascii="Times New Roman" w:hAnsi="Times New Roman"/>
          <w:b w:val="0"/>
          <w:sz w:val="24"/>
          <w:szCs w:val="24"/>
        </w:rPr>
        <w:t>The instrument makes changes to ARS 112.2 commensurate with the Basel III capital framework by</w:t>
      </w:r>
      <w:r w:rsidR="00E1315D" w:rsidRPr="009023F2">
        <w:rPr>
          <w:rFonts w:ascii="Times New Roman" w:hAnsi="Times New Roman"/>
          <w:b w:val="0"/>
          <w:sz w:val="24"/>
          <w:szCs w:val="24"/>
        </w:rPr>
        <w:t>:</w:t>
      </w:r>
    </w:p>
    <w:p w:rsidR="006B0006" w:rsidRPr="009023F2" w:rsidRDefault="000B2870" w:rsidP="006B0006">
      <w:pPr>
        <w:pStyle w:val="Heading"/>
        <w:numPr>
          <w:ilvl w:val="0"/>
          <w:numId w:val="9"/>
        </w:numPr>
        <w:rPr>
          <w:rFonts w:ascii="Times New Roman" w:hAnsi="Times New Roman"/>
          <w:b w:val="0"/>
          <w:sz w:val="24"/>
          <w:szCs w:val="24"/>
        </w:rPr>
      </w:pPr>
      <w:r w:rsidRPr="009023F2">
        <w:rPr>
          <w:rFonts w:ascii="Times New Roman" w:hAnsi="Times New Roman"/>
          <w:b w:val="0"/>
          <w:sz w:val="24"/>
          <w:szCs w:val="24"/>
        </w:rPr>
        <w:t>collecting the credit value adjustment (CVA) risk capital information to validate the calculation of the risk-weighted assets for CVA;</w:t>
      </w:r>
    </w:p>
    <w:p w:rsidR="006B0006" w:rsidRPr="009023F2" w:rsidRDefault="000B2870" w:rsidP="006B0006">
      <w:pPr>
        <w:pStyle w:val="Heading"/>
        <w:numPr>
          <w:ilvl w:val="0"/>
          <w:numId w:val="9"/>
        </w:numPr>
        <w:rPr>
          <w:rFonts w:ascii="Times New Roman" w:hAnsi="Times New Roman"/>
          <w:b w:val="0"/>
          <w:sz w:val="24"/>
          <w:szCs w:val="24"/>
        </w:rPr>
      </w:pPr>
      <w:r w:rsidRPr="009023F2">
        <w:rPr>
          <w:rFonts w:ascii="Times New Roman" w:hAnsi="Times New Roman"/>
          <w:b w:val="0"/>
          <w:sz w:val="24"/>
          <w:szCs w:val="24"/>
        </w:rPr>
        <w:t>collecting trade exposure with all central counterparties;</w:t>
      </w:r>
    </w:p>
    <w:p w:rsidR="006B0006" w:rsidRPr="009023F2" w:rsidRDefault="000B2870" w:rsidP="006B0006">
      <w:pPr>
        <w:pStyle w:val="Heading"/>
        <w:numPr>
          <w:ilvl w:val="0"/>
          <w:numId w:val="9"/>
        </w:numPr>
        <w:rPr>
          <w:rFonts w:ascii="Times New Roman" w:hAnsi="Times New Roman"/>
          <w:b w:val="0"/>
          <w:sz w:val="24"/>
          <w:szCs w:val="24"/>
        </w:rPr>
      </w:pPr>
      <w:r w:rsidRPr="009023F2">
        <w:rPr>
          <w:rFonts w:ascii="Times New Roman" w:hAnsi="Times New Roman"/>
          <w:b w:val="0"/>
          <w:sz w:val="24"/>
          <w:szCs w:val="24"/>
        </w:rPr>
        <w:t>collecting pre-funded and unfunded default fund contributions to qualifying and non-qualifying central counterparties, in order to validate the calculation of the risk-weighted assets for default fund; and</w:t>
      </w:r>
    </w:p>
    <w:p w:rsidR="000B2870" w:rsidRPr="009023F2" w:rsidRDefault="000B2870" w:rsidP="000B2870">
      <w:pPr>
        <w:pStyle w:val="Heading"/>
        <w:numPr>
          <w:ilvl w:val="0"/>
          <w:numId w:val="9"/>
        </w:numPr>
        <w:rPr>
          <w:rFonts w:ascii="Times New Roman" w:hAnsi="Times New Roman"/>
          <w:b w:val="0"/>
          <w:sz w:val="24"/>
          <w:szCs w:val="24"/>
        </w:rPr>
      </w:pPr>
      <w:r w:rsidRPr="009023F2">
        <w:rPr>
          <w:rFonts w:ascii="Times New Roman" w:hAnsi="Times New Roman"/>
          <w:b w:val="0"/>
          <w:sz w:val="24"/>
          <w:szCs w:val="24"/>
        </w:rPr>
        <w:t>updating the total credit equivalent amount and the risk-weighted assets for all (market-related) off-balance sheet exposures.</w:t>
      </w:r>
    </w:p>
    <w:p w:rsidR="00FE40EB" w:rsidRPr="009023F2" w:rsidRDefault="00FE40EB" w:rsidP="00FE40EB">
      <w:pPr>
        <w:pStyle w:val="Heading"/>
        <w:rPr>
          <w:rFonts w:ascii="Times New Roman" w:hAnsi="Times New Roman"/>
          <w:b w:val="0"/>
          <w:sz w:val="24"/>
          <w:szCs w:val="24"/>
        </w:rPr>
      </w:pPr>
    </w:p>
    <w:p w:rsidR="000B2870" w:rsidRPr="009023F2" w:rsidRDefault="00FE40EB" w:rsidP="000B2870">
      <w:pPr>
        <w:pStyle w:val="Heading"/>
        <w:keepNext/>
        <w:ind w:left="3"/>
        <w:rPr>
          <w:rFonts w:ascii="Times New Roman" w:hAnsi="Times New Roman"/>
          <w:b w:val="0"/>
          <w:sz w:val="24"/>
          <w:szCs w:val="24"/>
        </w:rPr>
      </w:pPr>
      <w:r w:rsidRPr="009023F2">
        <w:rPr>
          <w:rFonts w:ascii="Times New Roman" w:hAnsi="Times New Roman"/>
          <w:b w:val="0"/>
          <w:i/>
          <w:sz w:val="24"/>
          <w:szCs w:val="24"/>
        </w:rPr>
        <w:t>Financial Sector (Collection of Data) (reporting standard) determination No. 9 of 2012</w:t>
      </w:r>
    </w:p>
    <w:p w:rsidR="000B2870" w:rsidRPr="009023F2" w:rsidRDefault="000B2870" w:rsidP="000B2870">
      <w:pPr>
        <w:pStyle w:val="Heading"/>
        <w:keepNext/>
        <w:rPr>
          <w:rFonts w:ascii="Times New Roman" w:hAnsi="Times New Roman"/>
          <w:b w:val="0"/>
          <w:sz w:val="24"/>
          <w:szCs w:val="24"/>
        </w:rPr>
      </w:pPr>
    </w:p>
    <w:p w:rsidR="00FE40EB" w:rsidRPr="009023F2" w:rsidRDefault="00FE40EB" w:rsidP="00FE40EB">
      <w:pPr>
        <w:pStyle w:val="Heading"/>
        <w:rPr>
          <w:rFonts w:ascii="Times New Roman" w:hAnsi="Times New Roman"/>
          <w:b w:val="0"/>
          <w:sz w:val="24"/>
          <w:szCs w:val="24"/>
        </w:rPr>
      </w:pPr>
      <w:r w:rsidRPr="009023F2">
        <w:rPr>
          <w:rFonts w:ascii="Times New Roman" w:hAnsi="Times New Roman"/>
          <w:b w:val="0"/>
          <w:sz w:val="24"/>
          <w:szCs w:val="24"/>
        </w:rPr>
        <w:t xml:space="preserve">The purpose of the instrument is to revoke ARS 113.4 and to replace it with </w:t>
      </w:r>
      <w:r w:rsidR="001C77D9" w:rsidRPr="009023F2">
        <w:rPr>
          <w:rFonts w:ascii="Times New Roman" w:hAnsi="Times New Roman"/>
          <w:b w:val="0"/>
          <w:sz w:val="24"/>
          <w:szCs w:val="24"/>
        </w:rPr>
        <w:t xml:space="preserve">a </w:t>
      </w:r>
      <w:r w:rsidRPr="009023F2">
        <w:rPr>
          <w:rFonts w:ascii="Times New Roman" w:hAnsi="Times New Roman"/>
          <w:b w:val="0"/>
          <w:sz w:val="24"/>
          <w:szCs w:val="24"/>
        </w:rPr>
        <w:t xml:space="preserve">new </w:t>
      </w:r>
      <w:r w:rsidR="001C77D9" w:rsidRPr="009023F2">
        <w:rPr>
          <w:rFonts w:ascii="Times New Roman" w:hAnsi="Times New Roman"/>
          <w:b w:val="0"/>
          <w:sz w:val="24"/>
          <w:szCs w:val="24"/>
        </w:rPr>
        <w:t xml:space="preserve">version of </w:t>
      </w:r>
      <w:r w:rsidRPr="009023F2">
        <w:rPr>
          <w:rFonts w:ascii="Times New Roman" w:hAnsi="Times New Roman"/>
          <w:b w:val="0"/>
          <w:sz w:val="24"/>
          <w:szCs w:val="24"/>
        </w:rPr>
        <w:t>ARS 113.4.</w:t>
      </w:r>
    </w:p>
    <w:p w:rsidR="00FE40EB" w:rsidRPr="009023F2" w:rsidRDefault="00FE40EB" w:rsidP="00FE40EB">
      <w:pPr>
        <w:pStyle w:val="Heading"/>
        <w:rPr>
          <w:rFonts w:ascii="Times New Roman" w:hAnsi="Times New Roman"/>
          <w:b w:val="0"/>
          <w:sz w:val="24"/>
          <w:szCs w:val="24"/>
        </w:rPr>
      </w:pPr>
    </w:p>
    <w:p w:rsidR="00195353" w:rsidRPr="009023F2" w:rsidRDefault="00195353" w:rsidP="00195353">
      <w:pPr>
        <w:pStyle w:val="Heading"/>
        <w:rPr>
          <w:rFonts w:ascii="Times New Roman" w:hAnsi="Times New Roman"/>
          <w:b w:val="0"/>
          <w:sz w:val="24"/>
          <w:szCs w:val="24"/>
        </w:rPr>
      </w:pPr>
      <w:r w:rsidRPr="009023F2">
        <w:rPr>
          <w:rFonts w:ascii="Times New Roman" w:hAnsi="Times New Roman"/>
          <w:b w:val="0"/>
          <w:sz w:val="24"/>
          <w:szCs w:val="24"/>
        </w:rPr>
        <w:lastRenderedPageBreak/>
        <w:t xml:space="preserve">ARS 113.4 outlines the overall requirements for the provision of information to APRA in relation to an </w:t>
      </w:r>
      <w:r w:rsidR="00AB2A0C" w:rsidRPr="009023F2">
        <w:rPr>
          <w:rFonts w:ascii="Times New Roman" w:hAnsi="Times New Roman"/>
          <w:b w:val="0"/>
          <w:sz w:val="24"/>
          <w:szCs w:val="24"/>
        </w:rPr>
        <w:t>ADI</w:t>
      </w:r>
      <w:r w:rsidRPr="009023F2">
        <w:rPr>
          <w:rFonts w:ascii="Times New Roman" w:hAnsi="Times New Roman"/>
          <w:b w:val="0"/>
          <w:sz w:val="24"/>
          <w:szCs w:val="24"/>
        </w:rPr>
        <w:t xml:space="preserve">’s other assets, claims and exposures that are not otherwise defined in </w:t>
      </w:r>
      <w:r w:rsidRPr="009023F2">
        <w:rPr>
          <w:rFonts w:ascii="Times New Roman" w:hAnsi="Times New Roman"/>
          <w:b w:val="0"/>
          <w:i/>
          <w:sz w:val="24"/>
          <w:szCs w:val="24"/>
        </w:rPr>
        <w:t xml:space="preserve">Prudential Standard </w:t>
      </w:r>
      <w:smartTag w:uri="urn:schemas-microsoft-com:office:smarttags" w:element="stockticker">
        <w:r w:rsidRPr="009023F2">
          <w:rPr>
            <w:rFonts w:ascii="Times New Roman" w:hAnsi="Times New Roman"/>
            <w:b w:val="0"/>
            <w:i/>
            <w:sz w:val="24"/>
            <w:szCs w:val="24"/>
          </w:rPr>
          <w:t>APS</w:t>
        </w:r>
      </w:smartTag>
      <w:r w:rsidRPr="009023F2">
        <w:rPr>
          <w:rFonts w:ascii="Times New Roman" w:hAnsi="Times New Roman"/>
          <w:b w:val="0"/>
          <w:i/>
          <w:sz w:val="24"/>
          <w:szCs w:val="24"/>
        </w:rPr>
        <w:t xml:space="preserve"> 113 Capital Adequacy:  Internal Ratings-based Approach to Credit </w:t>
      </w:r>
      <w:r w:rsidR="000B2870" w:rsidRPr="009023F2">
        <w:rPr>
          <w:rFonts w:ascii="Times New Roman" w:hAnsi="Times New Roman"/>
          <w:b w:val="0"/>
          <w:i/>
          <w:sz w:val="24"/>
          <w:szCs w:val="24"/>
        </w:rPr>
        <w:t>Risk</w:t>
      </w:r>
      <w:r w:rsidRPr="009023F2">
        <w:rPr>
          <w:rFonts w:ascii="Times New Roman" w:hAnsi="Times New Roman"/>
          <w:b w:val="0"/>
          <w:sz w:val="24"/>
          <w:szCs w:val="24"/>
        </w:rPr>
        <w:t xml:space="preserve">. </w:t>
      </w:r>
    </w:p>
    <w:p w:rsidR="00195353" w:rsidRPr="009023F2" w:rsidRDefault="00195353" w:rsidP="00195353">
      <w:pPr>
        <w:pStyle w:val="Heading"/>
        <w:rPr>
          <w:rFonts w:ascii="Times New Roman" w:hAnsi="Times New Roman"/>
          <w:b w:val="0"/>
          <w:sz w:val="24"/>
          <w:szCs w:val="24"/>
        </w:rPr>
      </w:pPr>
    </w:p>
    <w:p w:rsidR="00195353" w:rsidRPr="009023F2" w:rsidRDefault="00195353" w:rsidP="00195353">
      <w:pPr>
        <w:pStyle w:val="Heading"/>
        <w:rPr>
          <w:rFonts w:ascii="Times New Roman" w:hAnsi="Times New Roman"/>
          <w:b w:val="0"/>
          <w:sz w:val="24"/>
          <w:szCs w:val="24"/>
        </w:rPr>
      </w:pPr>
      <w:r w:rsidRPr="009023F2">
        <w:rPr>
          <w:rFonts w:ascii="Times New Roman" w:hAnsi="Times New Roman"/>
          <w:b w:val="0"/>
          <w:sz w:val="24"/>
          <w:szCs w:val="24"/>
        </w:rPr>
        <w:t>The instrument makes changes commensurate with the Basel III framework under which certain items, previously deducted 50:50 from Tier 1 and Tier 2 capital, are to be risk-weighted at 1250 per cent.</w:t>
      </w:r>
    </w:p>
    <w:p w:rsidR="00FE40EB" w:rsidRPr="009023F2" w:rsidRDefault="00FE40EB" w:rsidP="00FE40EB">
      <w:pPr>
        <w:pStyle w:val="Heading"/>
        <w:rPr>
          <w:rFonts w:ascii="Times New Roman" w:hAnsi="Times New Roman"/>
          <w:b w:val="0"/>
          <w:sz w:val="24"/>
          <w:szCs w:val="24"/>
        </w:rPr>
      </w:pPr>
    </w:p>
    <w:p w:rsidR="00FE40EB" w:rsidRPr="009023F2" w:rsidRDefault="00FE40EB" w:rsidP="00FE40EB">
      <w:pPr>
        <w:pStyle w:val="Heading"/>
        <w:ind w:left="3"/>
        <w:rPr>
          <w:rFonts w:ascii="Times New Roman" w:hAnsi="Times New Roman"/>
          <w:b w:val="0"/>
          <w:sz w:val="24"/>
          <w:szCs w:val="24"/>
        </w:rPr>
      </w:pPr>
      <w:r w:rsidRPr="009023F2">
        <w:rPr>
          <w:rFonts w:ascii="Times New Roman" w:hAnsi="Times New Roman"/>
          <w:b w:val="0"/>
          <w:i/>
          <w:sz w:val="24"/>
          <w:szCs w:val="24"/>
        </w:rPr>
        <w:t>Financial Sector (Collection of Data) (reporting standard) determination No. 10 of 2012</w:t>
      </w:r>
    </w:p>
    <w:p w:rsidR="00FE40EB" w:rsidRPr="009023F2" w:rsidRDefault="00FE40EB" w:rsidP="00FE40EB">
      <w:pPr>
        <w:pStyle w:val="Heading"/>
        <w:rPr>
          <w:rFonts w:ascii="Times New Roman" w:hAnsi="Times New Roman"/>
          <w:b w:val="0"/>
          <w:sz w:val="24"/>
          <w:szCs w:val="24"/>
        </w:rPr>
      </w:pPr>
    </w:p>
    <w:p w:rsidR="00FE40EB" w:rsidRPr="009023F2" w:rsidRDefault="00FE40EB" w:rsidP="00FE40EB">
      <w:pPr>
        <w:pStyle w:val="Heading"/>
        <w:rPr>
          <w:rFonts w:ascii="Times New Roman" w:hAnsi="Times New Roman"/>
          <w:b w:val="0"/>
          <w:sz w:val="24"/>
          <w:szCs w:val="24"/>
        </w:rPr>
      </w:pPr>
      <w:r w:rsidRPr="009023F2">
        <w:rPr>
          <w:rFonts w:ascii="Times New Roman" w:hAnsi="Times New Roman"/>
          <w:b w:val="0"/>
          <w:sz w:val="24"/>
          <w:szCs w:val="24"/>
        </w:rPr>
        <w:t xml:space="preserve">The purpose of the instrument is to revoke ARS 116.0 and to replace it with </w:t>
      </w:r>
      <w:r w:rsidR="001C77D9" w:rsidRPr="009023F2">
        <w:rPr>
          <w:rFonts w:ascii="Times New Roman" w:hAnsi="Times New Roman"/>
          <w:b w:val="0"/>
          <w:sz w:val="24"/>
          <w:szCs w:val="24"/>
        </w:rPr>
        <w:t xml:space="preserve">a </w:t>
      </w:r>
      <w:r w:rsidRPr="009023F2">
        <w:rPr>
          <w:rFonts w:ascii="Times New Roman" w:hAnsi="Times New Roman"/>
          <w:b w:val="0"/>
          <w:sz w:val="24"/>
          <w:szCs w:val="24"/>
        </w:rPr>
        <w:t xml:space="preserve">new </w:t>
      </w:r>
      <w:r w:rsidR="001C77D9" w:rsidRPr="009023F2">
        <w:rPr>
          <w:rFonts w:ascii="Times New Roman" w:hAnsi="Times New Roman"/>
          <w:b w:val="0"/>
          <w:sz w:val="24"/>
          <w:szCs w:val="24"/>
        </w:rPr>
        <w:t xml:space="preserve">version of </w:t>
      </w:r>
      <w:r w:rsidRPr="009023F2">
        <w:rPr>
          <w:rFonts w:ascii="Times New Roman" w:hAnsi="Times New Roman"/>
          <w:b w:val="0"/>
          <w:sz w:val="24"/>
          <w:szCs w:val="24"/>
        </w:rPr>
        <w:t>ARS 116.0.</w:t>
      </w:r>
    </w:p>
    <w:p w:rsidR="00FE40EB" w:rsidRPr="009023F2" w:rsidRDefault="00FE40EB" w:rsidP="00FE40EB">
      <w:pPr>
        <w:pStyle w:val="Heading"/>
        <w:rPr>
          <w:rFonts w:ascii="Times New Roman" w:hAnsi="Times New Roman"/>
          <w:b w:val="0"/>
          <w:sz w:val="24"/>
          <w:szCs w:val="24"/>
        </w:rPr>
      </w:pPr>
    </w:p>
    <w:p w:rsidR="00FE40EB" w:rsidRPr="009023F2" w:rsidRDefault="00195353" w:rsidP="00FE40EB">
      <w:pPr>
        <w:pStyle w:val="Heading"/>
        <w:rPr>
          <w:rFonts w:ascii="Times New Roman" w:hAnsi="Times New Roman"/>
          <w:b w:val="0"/>
          <w:sz w:val="24"/>
          <w:szCs w:val="24"/>
        </w:rPr>
      </w:pPr>
      <w:r w:rsidRPr="009023F2">
        <w:rPr>
          <w:rFonts w:ascii="Times New Roman" w:hAnsi="Times New Roman"/>
          <w:b w:val="0"/>
          <w:sz w:val="24"/>
          <w:szCs w:val="24"/>
        </w:rPr>
        <w:t>A</w:t>
      </w:r>
      <w:r w:rsidR="00A6571D" w:rsidRPr="009023F2">
        <w:rPr>
          <w:rFonts w:ascii="Times New Roman" w:hAnsi="Times New Roman"/>
          <w:b w:val="0"/>
          <w:sz w:val="24"/>
          <w:szCs w:val="24"/>
        </w:rPr>
        <w:t>R</w:t>
      </w:r>
      <w:r w:rsidRPr="009023F2">
        <w:rPr>
          <w:rFonts w:ascii="Times New Roman" w:hAnsi="Times New Roman"/>
          <w:b w:val="0"/>
          <w:sz w:val="24"/>
          <w:szCs w:val="24"/>
        </w:rPr>
        <w:t xml:space="preserve">S 116.0 outlines the overall requirements for the provision of information to APRA relating to an </w:t>
      </w:r>
      <w:r w:rsidR="00AB2A0C" w:rsidRPr="009023F2">
        <w:rPr>
          <w:rFonts w:ascii="Times New Roman" w:hAnsi="Times New Roman"/>
          <w:b w:val="0"/>
          <w:sz w:val="24"/>
          <w:szCs w:val="24"/>
        </w:rPr>
        <w:t>ADI</w:t>
      </w:r>
      <w:r w:rsidRPr="009023F2">
        <w:rPr>
          <w:rFonts w:ascii="Times New Roman" w:hAnsi="Times New Roman"/>
          <w:b w:val="0"/>
          <w:sz w:val="24"/>
          <w:szCs w:val="24"/>
        </w:rPr>
        <w:t>’s market risk.</w:t>
      </w:r>
    </w:p>
    <w:p w:rsidR="00195353" w:rsidRPr="009023F2" w:rsidRDefault="00195353" w:rsidP="00FE40EB">
      <w:pPr>
        <w:pStyle w:val="Heading"/>
        <w:rPr>
          <w:rFonts w:ascii="Times New Roman" w:hAnsi="Times New Roman"/>
          <w:b w:val="0"/>
          <w:sz w:val="24"/>
          <w:szCs w:val="24"/>
        </w:rPr>
      </w:pPr>
    </w:p>
    <w:p w:rsidR="00195353" w:rsidRPr="009023F2" w:rsidRDefault="00195353" w:rsidP="00195353">
      <w:pPr>
        <w:pStyle w:val="Heading"/>
        <w:rPr>
          <w:rFonts w:ascii="Times New Roman" w:hAnsi="Times New Roman"/>
          <w:b w:val="0"/>
          <w:sz w:val="24"/>
          <w:szCs w:val="24"/>
        </w:rPr>
      </w:pPr>
      <w:r w:rsidRPr="009023F2">
        <w:rPr>
          <w:rFonts w:ascii="Times New Roman" w:hAnsi="Times New Roman"/>
          <w:b w:val="0"/>
          <w:sz w:val="24"/>
          <w:szCs w:val="24"/>
        </w:rPr>
        <w:t>The instrument makes changes commensurate with the Basel III framework by requiring certain securitisation exposures where no due diligence on underlying collateral is undertaken (items previously deducted 50:50 from Tier 1 and Tier 2 capital) are to be subject to a 100 per cent risk capital charge.</w:t>
      </w:r>
    </w:p>
    <w:p w:rsidR="00FE40EB" w:rsidRPr="009023F2" w:rsidRDefault="00FE40EB" w:rsidP="00FE40EB">
      <w:pPr>
        <w:pStyle w:val="Heading"/>
        <w:rPr>
          <w:rFonts w:ascii="Times New Roman" w:hAnsi="Times New Roman"/>
          <w:b w:val="0"/>
          <w:sz w:val="24"/>
          <w:szCs w:val="24"/>
        </w:rPr>
      </w:pPr>
    </w:p>
    <w:p w:rsidR="00FE40EB" w:rsidRPr="009023F2" w:rsidRDefault="00FE40EB" w:rsidP="00FE40EB">
      <w:pPr>
        <w:pStyle w:val="Heading"/>
        <w:ind w:left="3"/>
        <w:rPr>
          <w:rFonts w:ascii="Times New Roman" w:hAnsi="Times New Roman"/>
          <w:b w:val="0"/>
          <w:sz w:val="24"/>
          <w:szCs w:val="24"/>
        </w:rPr>
      </w:pPr>
      <w:r w:rsidRPr="009023F2">
        <w:rPr>
          <w:rFonts w:ascii="Times New Roman" w:hAnsi="Times New Roman"/>
          <w:b w:val="0"/>
          <w:i/>
          <w:sz w:val="24"/>
          <w:szCs w:val="24"/>
        </w:rPr>
        <w:t>Financial Sector (Collection of Data) (reporting standard) determination No. 11 of 2012</w:t>
      </w:r>
    </w:p>
    <w:p w:rsidR="00FE40EB" w:rsidRPr="009023F2" w:rsidRDefault="00FE40EB" w:rsidP="00FE40EB">
      <w:pPr>
        <w:pStyle w:val="Heading"/>
        <w:rPr>
          <w:rFonts w:ascii="Times New Roman" w:hAnsi="Times New Roman"/>
          <w:b w:val="0"/>
          <w:sz w:val="24"/>
          <w:szCs w:val="24"/>
        </w:rPr>
      </w:pPr>
    </w:p>
    <w:p w:rsidR="00FE40EB" w:rsidRPr="009023F2" w:rsidRDefault="00FE40EB" w:rsidP="00FE40EB">
      <w:pPr>
        <w:pStyle w:val="Heading"/>
        <w:rPr>
          <w:rFonts w:ascii="Times New Roman" w:hAnsi="Times New Roman"/>
          <w:b w:val="0"/>
          <w:sz w:val="24"/>
          <w:szCs w:val="24"/>
        </w:rPr>
      </w:pPr>
      <w:r w:rsidRPr="009023F2">
        <w:rPr>
          <w:rFonts w:ascii="Times New Roman" w:hAnsi="Times New Roman"/>
          <w:b w:val="0"/>
          <w:sz w:val="24"/>
          <w:szCs w:val="24"/>
        </w:rPr>
        <w:t xml:space="preserve">The purpose of the instrument is to revoke ARS 117.0 and to replace it with </w:t>
      </w:r>
      <w:r w:rsidR="001C77D9" w:rsidRPr="009023F2">
        <w:rPr>
          <w:rFonts w:ascii="Times New Roman" w:hAnsi="Times New Roman"/>
          <w:b w:val="0"/>
          <w:sz w:val="24"/>
          <w:szCs w:val="24"/>
        </w:rPr>
        <w:t xml:space="preserve">a </w:t>
      </w:r>
      <w:r w:rsidRPr="009023F2">
        <w:rPr>
          <w:rFonts w:ascii="Times New Roman" w:hAnsi="Times New Roman"/>
          <w:b w:val="0"/>
          <w:sz w:val="24"/>
          <w:szCs w:val="24"/>
        </w:rPr>
        <w:t xml:space="preserve">new </w:t>
      </w:r>
      <w:r w:rsidR="001C77D9" w:rsidRPr="009023F2">
        <w:rPr>
          <w:rFonts w:ascii="Times New Roman" w:hAnsi="Times New Roman"/>
          <w:b w:val="0"/>
          <w:sz w:val="24"/>
          <w:szCs w:val="24"/>
        </w:rPr>
        <w:t xml:space="preserve">version of </w:t>
      </w:r>
      <w:r w:rsidRPr="009023F2">
        <w:rPr>
          <w:rFonts w:ascii="Times New Roman" w:hAnsi="Times New Roman"/>
          <w:b w:val="0"/>
          <w:sz w:val="24"/>
          <w:szCs w:val="24"/>
        </w:rPr>
        <w:t>ARS 117.0.</w:t>
      </w:r>
    </w:p>
    <w:p w:rsidR="00FE40EB" w:rsidRPr="009023F2" w:rsidRDefault="00FE40EB" w:rsidP="00FE40EB">
      <w:pPr>
        <w:pStyle w:val="Heading"/>
        <w:rPr>
          <w:rFonts w:ascii="Times New Roman" w:hAnsi="Times New Roman"/>
          <w:b w:val="0"/>
          <w:sz w:val="24"/>
          <w:szCs w:val="24"/>
        </w:rPr>
      </w:pPr>
    </w:p>
    <w:p w:rsidR="00FE40EB" w:rsidRPr="009023F2" w:rsidRDefault="00195353" w:rsidP="00FE40EB">
      <w:pPr>
        <w:pStyle w:val="Heading"/>
        <w:rPr>
          <w:rFonts w:ascii="Times New Roman" w:hAnsi="Times New Roman"/>
          <w:b w:val="0"/>
          <w:sz w:val="24"/>
          <w:szCs w:val="24"/>
        </w:rPr>
      </w:pPr>
      <w:r w:rsidRPr="009023F2">
        <w:rPr>
          <w:rFonts w:ascii="Times New Roman" w:hAnsi="Times New Roman"/>
          <w:b w:val="0"/>
          <w:sz w:val="24"/>
          <w:szCs w:val="24"/>
        </w:rPr>
        <w:t xml:space="preserve">ARS 117.0 outlines the overall requirements for the provision of information to APRA in relation to an </w:t>
      </w:r>
      <w:r w:rsidR="00AB2A0C" w:rsidRPr="009023F2">
        <w:rPr>
          <w:rFonts w:ascii="Times New Roman" w:hAnsi="Times New Roman"/>
          <w:b w:val="0"/>
          <w:sz w:val="24"/>
          <w:szCs w:val="24"/>
        </w:rPr>
        <w:t>ADI</w:t>
      </w:r>
      <w:r w:rsidRPr="009023F2">
        <w:rPr>
          <w:rFonts w:ascii="Times New Roman" w:hAnsi="Times New Roman"/>
          <w:b w:val="0"/>
          <w:sz w:val="24"/>
          <w:szCs w:val="24"/>
        </w:rPr>
        <w:t>’s repricing profile.</w:t>
      </w:r>
    </w:p>
    <w:p w:rsidR="006920CF" w:rsidRPr="009023F2" w:rsidRDefault="006920CF" w:rsidP="00FE40EB">
      <w:pPr>
        <w:pStyle w:val="Heading"/>
        <w:rPr>
          <w:rFonts w:ascii="Times New Roman" w:hAnsi="Times New Roman"/>
          <w:b w:val="0"/>
          <w:sz w:val="24"/>
          <w:szCs w:val="24"/>
        </w:rPr>
      </w:pPr>
    </w:p>
    <w:p w:rsidR="006920CF" w:rsidRPr="009023F2" w:rsidRDefault="006920CF" w:rsidP="006920CF">
      <w:pPr>
        <w:pStyle w:val="Heading"/>
        <w:rPr>
          <w:rFonts w:ascii="Times New Roman" w:hAnsi="Times New Roman"/>
          <w:b w:val="0"/>
          <w:sz w:val="24"/>
          <w:szCs w:val="24"/>
        </w:rPr>
      </w:pPr>
      <w:r w:rsidRPr="009023F2">
        <w:rPr>
          <w:rFonts w:ascii="Times New Roman" w:hAnsi="Times New Roman"/>
          <w:b w:val="0"/>
          <w:sz w:val="24"/>
          <w:szCs w:val="24"/>
        </w:rPr>
        <w:t xml:space="preserve">The instrument makes minor </w:t>
      </w:r>
      <w:r w:rsidR="0003411C" w:rsidRPr="009023F2">
        <w:rPr>
          <w:rFonts w:ascii="Times New Roman" w:hAnsi="Times New Roman"/>
          <w:b w:val="0"/>
          <w:sz w:val="24"/>
          <w:szCs w:val="24"/>
        </w:rPr>
        <w:t xml:space="preserve">alterations </w:t>
      </w:r>
      <w:r w:rsidRPr="009023F2">
        <w:rPr>
          <w:rFonts w:ascii="Times New Roman" w:hAnsi="Times New Roman"/>
          <w:b w:val="0"/>
          <w:sz w:val="24"/>
          <w:szCs w:val="24"/>
        </w:rPr>
        <w:t>to ARS 117.0 to align with Basel III terminology.</w:t>
      </w:r>
    </w:p>
    <w:p w:rsidR="006920CF" w:rsidRPr="009023F2" w:rsidRDefault="006920CF" w:rsidP="006920CF">
      <w:pPr>
        <w:pStyle w:val="Heading"/>
        <w:rPr>
          <w:rFonts w:ascii="Times New Roman" w:hAnsi="Times New Roman"/>
          <w:sz w:val="24"/>
          <w:szCs w:val="24"/>
        </w:rPr>
      </w:pPr>
    </w:p>
    <w:p w:rsidR="007F45FB" w:rsidRPr="009023F2" w:rsidRDefault="00FE40EB" w:rsidP="007F45FB">
      <w:pPr>
        <w:pStyle w:val="Heading"/>
        <w:ind w:left="3"/>
        <w:rPr>
          <w:rFonts w:ascii="Times New Roman" w:hAnsi="Times New Roman"/>
          <w:b w:val="0"/>
          <w:sz w:val="24"/>
          <w:szCs w:val="24"/>
        </w:rPr>
      </w:pPr>
      <w:r w:rsidRPr="009023F2">
        <w:rPr>
          <w:rFonts w:ascii="Times New Roman" w:hAnsi="Times New Roman"/>
          <w:b w:val="0"/>
          <w:i/>
          <w:sz w:val="24"/>
          <w:szCs w:val="24"/>
        </w:rPr>
        <w:t>Financial Sector (Collection of Data) (reporting standard) determination No. 12 of 2012</w:t>
      </w:r>
      <w:r w:rsidR="007F45FB" w:rsidRPr="009023F2">
        <w:rPr>
          <w:rFonts w:ascii="Times New Roman" w:hAnsi="Times New Roman"/>
          <w:b w:val="0"/>
          <w:i/>
          <w:sz w:val="24"/>
          <w:szCs w:val="24"/>
        </w:rPr>
        <w:t xml:space="preserve"> </w:t>
      </w:r>
      <w:r w:rsidR="007F45FB" w:rsidRPr="009023F2">
        <w:rPr>
          <w:rFonts w:ascii="Times New Roman" w:hAnsi="Times New Roman"/>
          <w:b w:val="0"/>
          <w:sz w:val="24"/>
          <w:szCs w:val="24"/>
        </w:rPr>
        <w:t xml:space="preserve">and </w:t>
      </w:r>
      <w:r w:rsidR="007F45FB" w:rsidRPr="009023F2">
        <w:rPr>
          <w:rFonts w:ascii="Times New Roman" w:hAnsi="Times New Roman"/>
          <w:b w:val="0"/>
          <w:i/>
          <w:sz w:val="24"/>
          <w:szCs w:val="24"/>
        </w:rPr>
        <w:t>Financial Sector (Collection of Data) (reporting standard) determination No. 13 of 2012</w:t>
      </w:r>
    </w:p>
    <w:p w:rsidR="00FE40EB" w:rsidRPr="009023F2" w:rsidRDefault="00FE40EB" w:rsidP="00FE40EB">
      <w:pPr>
        <w:pStyle w:val="Heading"/>
        <w:ind w:left="3"/>
        <w:rPr>
          <w:rFonts w:ascii="Times New Roman" w:hAnsi="Times New Roman"/>
          <w:b w:val="0"/>
          <w:sz w:val="24"/>
          <w:szCs w:val="24"/>
        </w:rPr>
      </w:pPr>
    </w:p>
    <w:p w:rsidR="00FE40EB" w:rsidRPr="009023F2" w:rsidRDefault="00FE40EB" w:rsidP="00FE40EB">
      <w:pPr>
        <w:pStyle w:val="Heading"/>
        <w:rPr>
          <w:rFonts w:ascii="Times New Roman" w:hAnsi="Times New Roman"/>
          <w:b w:val="0"/>
          <w:sz w:val="24"/>
          <w:szCs w:val="24"/>
        </w:rPr>
      </w:pPr>
      <w:r w:rsidRPr="009023F2">
        <w:rPr>
          <w:rFonts w:ascii="Times New Roman" w:hAnsi="Times New Roman"/>
          <w:b w:val="0"/>
          <w:sz w:val="24"/>
          <w:szCs w:val="24"/>
        </w:rPr>
        <w:t>The purpose of the instrument</w:t>
      </w:r>
      <w:r w:rsidR="007F45FB" w:rsidRPr="009023F2">
        <w:rPr>
          <w:rFonts w:ascii="Times New Roman" w:hAnsi="Times New Roman"/>
          <w:b w:val="0"/>
          <w:sz w:val="24"/>
          <w:szCs w:val="24"/>
        </w:rPr>
        <w:t>s</w:t>
      </w:r>
      <w:r w:rsidRPr="009023F2">
        <w:rPr>
          <w:rFonts w:ascii="Times New Roman" w:hAnsi="Times New Roman"/>
          <w:b w:val="0"/>
          <w:sz w:val="24"/>
          <w:szCs w:val="24"/>
        </w:rPr>
        <w:t xml:space="preserve"> </w:t>
      </w:r>
      <w:r w:rsidR="00646A47" w:rsidRPr="009023F2">
        <w:rPr>
          <w:rFonts w:ascii="Times New Roman" w:hAnsi="Times New Roman"/>
          <w:b w:val="0"/>
          <w:sz w:val="24"/>
          <w:szCs w:val="24"/>
        </w:rPr>
        <w:t xml:space="preserve">is </w:t>
      </w:r>
      <w:r w:rsidRPr="009023F2">
        <w:rPr>
          <w:rFonts w:ascii="Times New Roman" w:hAnsi="Times New Roman"/>
          <w:b w:val="0"/>
          <w:sz w:val="24"/>
          <w:szCs w:val="24"/>
        </w:rPr>
        <w:t xml:space="preserve">to revoke </w:t>
      </w:r>
      <w:r w:rsidR="00CE52CA" w:rsidRPr="009023F2">
        <w:rPr>
          <w:rFonts w:ascii="Times New Roman" w:hAnsi="Times New Roman"/>
          <w:b w:val="0"/>
          <w:sz w:val="24"/>
          <w:szCs w:val="24"/>
        </w:rPr>
        <w:t>ARS 120.0</w:t>
      </w:r>
      <w:r w:rsidRPr="009023F2">
        <w:rPr>
          <w:rFonts w:ascii="Times New Roman" w:hAnsi="Times New Roman"/>
          <w:b w:val="0"/>
          <w:sz w:val="24"/>
          <w:szCs w:val="24"/>
        </w:rPr>
        <w:t xml:space="preserve"> </w:t>
      </w:r>
      <w:r w:rsidR="007F45FB" w:rsidRPr="009023F2">
        <w:rPr>
          <w:rFonts w:ascii="Times New Roman" w:hAnsi="Times New Roman"/>
          <w:b w:val="0"/>
          <w:sz w:val="24"/>
          <w:szCs w:val="24"/>
        </w:rPr>
        <w:t xml:space="preserve">and ARS 120.1 </w:t>
      </w:r>
      <w:r w:rsidRPr="009023F2">
        <w:rPr>
          <w:rFonts w:ascii="Times New Roman" w:hAnsi="Times New Roman"/>
          <w:b w:val="0"/>
          <w:sz w:val="24"/>
          <w:szCs w:val="24"/>
        </w:rPr>
        <w:t>and to r</w:t>
      </w:r>
      <w:r w:rsidR="00CE52CA" w:rsidRPr="009023F2">
        <w:rPr>
          <w:rFonts w:ascii="Times New Roman" w:hAnsi="Times New Roman"/>
          <w:b w:val="0"/>
          <w:sz w:val="24"/>
          <w:szCs w:val="24"/>
        </w:rPr>
        <w:t xml:space="preserve">eplace </w:t>
      </w:r>
      <w:r w:rsidR="001C77D9" w:rsidRPr="009023F2">
        <w:rPr>
          <w:rFonts w:ascii="Times New Roman" w:hAnsi="Times New Roman"/>
          <w:b w:val="0"/>
          <w:sz w:val="24"/>
          <w:szCs w:val="24"/>
        </w:rPr>
        <w:t xml:space="preserve">them </w:t>
      </w:r>
      <w:r w:rsidR="00CE52CA" w:rsidRPr="009023F2">
        <w:rPr>
          <w:rFonts w:ascii="Times New Roman" w:hAnsi="Times New Roman"/>
          <w:b w:val="0"/>
          <w:sz w:val="24"/>
          <w:szCs w:val="24"/>
        </w:rPr>
        <w:t xml:space="preserve">with new </w:t>
      </w:r>
      <w:r w:rsidR="001C77D9" w:rsidRPr="009023F2">
        <w:rPr>
          <w:rFonts w:ascii="Times New Roman" w:hAnsi="Times New Roman"/>
          <w:b w:val="0"/>
          <w:sz w:val="24"/>
          <w:szCs w:val="24"/>
        </w:rPr>
        <w:t xml:space="preserve">versions of </w:t>
      </w:r>
      <w:r w:rsidR="00CE52CA" w:rsidRPr="009023F2">
        <w:rPr>
          <w:rFonts w:ascii="Times New Roman" w:hAnsi="Times New Roman"/>
          <w:b w:val="0"/>
          <w:sz w:val="24"/>
          <w:szCs w:val="24"/>
        </w:rPr>
        <w:t>ARS 120.0</w:t>
      </w:r>
      <w:r w:rsidR="007F45FB" w:rsidRPr="009023F2">
        <w:rPr>
          <w:rFonts w:ascii="Times New Roman" w:hAnsi="Times New Roman"/>
          <w:b w:val="0"/>
          <w:sz w:val="24"/>
          <w:szCs w:val="24"/>
        </w:rPr>
        <w:t xml:space="preserve"> and ARS 120.1, respectively</w:t>
      </w:r>
      <w:r w:rsidRPr="009023F2">
        <w:rPr>
          <w:rFonts w:ascii="Times New Roman" w:hAnsi="Times New Roman"/>
          <w:b w:val="0"/>
          <w:sz w:val="24"/>
          <w:szCs w:val="24"/>
        </w:rPr>
        <w:t>.</w:t>
      </w:r>
    </w:p>
    <w:p w:rsidR="00FE40EB" w:rsidRPr="009023F2" w:rsidRDefault="00FE40EB" w:rsidP="00FE40EB">
      <w:pPr>
        <w:pStyle w:val="Heading"/>
        <w:rPr>
          <w:rFonts w:ascii="Times New Roman" w:hAnsi="Times New Roman"/>
          <w:b w:val="0"/>
          <w:sz w:val="24"/>
          <w:szCs w:val="24"/>
        </w:rPr>
      </w:pPr>
    </w:p>
    <w:p w:rsidR="00FE40EB" w:rsidRPr="009023F2" w:rsidRDefault="006920CF" w:rsidP="00FE40EB">
      <w:pPr>
        <w:pStyle w:val="Heading"/>
        <w:rPr>
          <w:rFonts w:ascii="Times New Roman" w:hAnsi="Times New Roman"/>
          <w:b w:val="0"/>
          <w:sz w:val="24"/>
          <w:szCs w:val="24"/>
        </w:rPr>
      </w:pPr>
      <w:r w:rsidRPr="009023F2">
        <w:rPr>
          <w:rFonts w:ascii="Times New Roman" w:hAnsi="Times New Roman"/>
          <w:b w:val="0"/>
          <w:sz w:val="24"/>
          <w:szCs w:val="24"/>
        </w:rPr>
        <w:t xml:space="preserve">ARS 120.0 </w:t>
      </w:r>
      <w:r w:rsidR="007F45FB" w:rsidRPr="009023F2">
        <w:rPr>
          <w:rFonts w:ascii="Times New Roman" w:hAnsi="Times New Roman"/>
          <w:b w:val="0"/>
          <w:sz w:val="24"/>
          <w:szCs w:val="24"/>
        </w:rPr>
        <w:t xml:space="preserve">and ARS 120.1 outline the overall requirements for the provision of information </w:t>
      </w:r>
      <w:bookmarkStart w:id="5" w:name="OLE_LINK3"/>
      <w:r w:rsidR="007F45FB" w:rsidRPr="009023F2">
        <w:rPr>
          <w:rFonts w:ascii="Times New Roman" w:hAnsi="Times New Roman"/>
          <w:b w:val="0"/>
          <w:sz w:val="24"/>
          <w:szCs w:val="24"/>
        </w:rPr>
        <w:t xml:space="preserve">to APRA in relation to an </w:t>
      </w:r>
      <w:r w:rsidR="00AB2A0C" w:rsidRPr="009023F2">
        <w:rPr>
          <w:rFonts w:ascii="Times New Roman" w:hAnsi="Times New Roman"/>
          <w:b w:val="0"/>
          <w:sz w:val="24"/>
          <w:szCs w:val="24"/>
        </w:rPr>
        <w:t>ADI</w:t>
      </w:r>
      <w:r w:rsidR="007F45FB" w:rsidRPr="009023F2">
        <w:rPr>
          <w:rFonts w:ascii="Times New Roman" w:hAnsi="Times New Roman"/>
          <w:b w:val="0"/>
          <w:sz w:val="24"/>
          <w:szCs w:val="24"/>
        </w:rPr>
        <w:t>’s securitisation exposures</w:t>
      </w:r>
      <w:bookmarkEnd w:id="5"/>
      <w:r w:rsidR="007F45FB" w:rsidRPr="009023F2">
        <w:rPr>
          <w:rFonts w:ascii="Times New Roman" w:hAnsi="Times New Roman"/>
          <w:b w:val="0"/>
          <w:sz w:val="24"/>
          <w:szCs w:val="24"/>
        </w:rPr>
        <w:t xml:space="preserve">. ARS 120.0 applies to an </w:t>
      </w:r>
      <w:r w:rsidR="00AB2A0C" w:rsidRPr="009023F2">
        <w:rPr>
          <w:rFonts w:ascii="Times New Roman" w:hAnsi="Times New Roman"/>
          <w:b w:val="0"/>
          <w:sz w:val="24"/>
          <w:szCs w:val="24"/>
        </w:rPr>
        <w:t xml:space="preserve">ADI </w:t>
      </w:r>
      <w:r w:rsidR="007F45FB" w:rsidRPr="009023F2">
        <w:rPr>
          <w:rFonts w:ascii="Times New Roman" w:hAnsi="Times New Roman"/>
          <w:b w:val="0"/>
          <w:sz w:val="24"/>
          <w:szCs w:val="24"/>
        </w:rPr>
        <w:t xml:space="preserve">that uses the standardised approach to credit risk and ARS 120.1 applies to an </w:t>
      </w:r>
      <w:r w:rsidR="00AB2A0C" w:rsidRPr="009023F2">
        <w:rPr>
          <w:rFonts w:ascii="Times New Roman" w:hAnsi="Times New Roman"/>
          <w:b w:val="0"/>
          <w:sz w:val="24"/>
          <w:szCs w:val="24"/>
        </w:rPr>
        <w:t xml:space="preserve">ADI </w:t>
      </w:r>
      <w:r w:rsidR="007F45FB" w:rsidRPr="009023F2">
        <w:rPr>
          <w:rFonts w:ascii="Times New Roman" w:hAnsi="Times New Roman"/>
          <w:b w:val="0"/>
          <w:sz w:val="24"/>
          <w:szCs w:val="24"/>
        </w:rPr>
        <w:t>that has approval to use an internal ratings-based approach.</w:t>
      </w:r>
    </w:p>
    <w:p w:rsidR="006920CF" w:rsidRPr="009023F2" w:rsidRDefault="006920CF" w:rsidP="00FE40EB">
      <w:pPr>
        <w:pStyle w:val="Heading"/>
        <w:rPr>
          <w:rFonts w:ascii="Times New Roman" w:hAnsi="Times New Roman"/>
          <w:b w:val="0"/>
          <w:sz w:val="24"/>
          <w:szCs w:val="24"/>
        </w:rPr>
      </w:pPr>
    </w:p>
    <w:p w:rsidR="006920CF" w:rsidRPr="009023F2" w:rsidRDefault="006920CF" w:rsidP="006920CF">
      <w:pPr>
        <w:pStyle w:val="Heading"/>
        <w:rPr>
          <w:rFonts w:ascii="Times New Roman" w:hAnsi="Times New Roman"/>
          <w:b w:val="0"/>
          <w:sz w:val="24"/>
          <w:szCs w:val="24"/>
        </w:rPr>
      </w:pPr>
      <w:r w:rsidRPr="009023F2">
        <w:rPr>
          <w:rFonts w:ascii="Times New Roman" w:hAnsi="Times New Roman"/>
          <w:b w:val="0"/>
          <w:sz w:val="24"/>
          <w:szCs w:val="24"/>
        </w:rPr>
        <w:t>The instrument</w:t>
      </w:r>
      <w:r w:rsidR="007F45FB" w:rsidRPr="009023F2">
        <w:rPr>
          <w:rFonts w:ascii="Times New Roman" w:hAnsi="Times New Roman"/>
          <w:b w:val="0"/>
          <w:sz w:val="24"/>
          <w:szCs w:val="24"/>
        </w:rPr>
        <w:t>s</w:t>
      </w:r>
      <w:r w:rsidRPr="009023F2">
        <w:rPr>
          <w:rFonts w:ascii="Times New Roman" w:hAnsi="Times New Roman"/>
          <w:b w:val="0"/>
          <w:sz w:val="24"/>
          <w:szCs w:val="24"/>
        </w:rPr>
        <w:t xml:space="preserve"> make changes commensurate with the Basel III framework by requiring certain items, previously deducted 50:50 from Tier 1 and Tier 2 capital, to be risk-weighted at 1250 per cent or deducted from Common Equity Tier 1 Capital.</w:t>
      </w:r>
    </w:p>
    <w:p w:rsidR="002436BD" w:rsidRPr="009023F2" w:rsidRDefault="002436BD" w:rsidP="002436BD">
      <w:pPr>
        <w:pStyle w:val="Heading"/>
        <w:numPr>
          <w:ilvl w:val="0"/>
          <w:numId w:val="2"/>
        </w:numPr>
        <w:rPr>
          <w:rFonts w:ascii="Times New Roman" w:hAnsi="Times New Roman"/>
          <w:sz w:val="24"/>
          <w:szCs w:val="24"/>
        </w:rPr>
      </w:pPr>
      <w:bookmarkStart w:id="6" w:name="bkoperation"/>
      <w:bookmarkStart w:id="7" w:name="bkConsultationNo"/>
      <w:bookmarkEnd w:id="6"/>
      <w:bookmarkEnd w:id="7"/>
      <w:r w:rsidRPr="009023F2">
        <w:rPr>
          <w:rFonts w:ascii="Times New Roman" w:hAnsi="Times New Roman"/>
          <w:sz w:val="24"/>
          <w:szCs w:val="24"/>
        </w:rPr>
        <w:lastRenderedPageBreak/>
        <w:t>Consultation</w:t>
      </w:r>
    </w:p>
    <w:p w:rsidR="002436BD" w:rsidRPr="009023F2" w:rsidRDefault="002436BD" w:rsidP="002436BD">
      <w:pPr>
        <w:pStyle w:val="Heading"/>
        <w:tabs>
          <w:tab w:val="left" w:pos="360"/>
        </w:tabs>
        <w:rPr>
          <w:rFonts w:ascii="Times New Roman" w:hAnsi="Times New Roman"/>
          <w:b w:val="0"/>
          <w:sz w:val="24"/>
          <w:szCs w:val="24"/>
        </w:rPr>
      </w:pPr>
      <w:r w:rsidRPr="009023F2">
        <w:rPr>
          <w:rFonts w:ascii="Times New Roman" w:hAnsi="Times New Roman"/>
          <w:sz w:val="24"/>
          <w:szCs w:val="24"/>
        </w:rPr>
        <w:tab/>
      </w:r>
    </w:p>
    <w:p w:rsidR="00775AC9" w:rsidRPr="009023F2" w:rsidRDefault="00775AC9" w:rsidP="00775AC9">
      <w:pPr>
        <w:pStyle w:val="Heading"/>
        <w:rPr>
          <w:rFonts w:ascii="Times New Roman" w:hAnsi="Times New Roman"/>
          <w:b w:val="0"/>
          <w:sz w:val="24"/>
          <w:szCs w:val="24"/>
        </w:rPr>
      </w:pPr>
      <w:r w:rsidRPr="009023F2">
        <w:rPr>
          <w:rFonts w:ascii="Times New Roman" w:hAnsi="Times New Roman"/>
          <w:b w:val="0"/>
          <w:sz w:val="24"/>
          <w:szCs w:val="24"/>
        </w:rPr>
        <w:t>APRA undertook extensive consultation on the proposed implementation of the Basel III capital reforms over the course of 2011 and 2012. This has involved formal consultation with industry as well as meetings with parties affected by the proposals and speeches in various forums by senior APRA staff.  Consultation packages have included:</w:t>
      </w:r>
    </w:p>
    <w:p w:rsidR="007F45FB" w:rsidRPr="009023F2" w:rsidRDefault="007F45FB" w:rsidP="007F45FB">
      <w:pPr>
        <w:pStyle w:val="Heading"/>
        <w:numPr>
          <w:ilvl w:val="0"/>
          <w:numId w:val="8"/>
        </w:numPr>
        <w:tabs>
          <w:tab w:val="clear" w:pos="360"/>
          <w:tab w:val="num" w:pos="720"/>
        </w:tabs>
        <w:spacing w:before="240" w:after="60"/>
        <w:ind w:left="720"/>
        <w:outlineLvl w:val="0"/>
        <w:rPr>
          <w:rFonts w:ascii="Times New Roman" w:hAnsi="Times New Roman"/>
          <w:b w:val="0"/>
          <w:sz w:val="24"/>
          <w:szCs w:val="24"/>
        </w:rPr>
      </w:pPr>
      <w:r w:rsidRPr="009023F2">
        <w:rPr>
          <w:rFonts w:ascii="Times New Roman" w:hAnsi="Times New Roman"/>
          <w:b w:val="0"/>
          <w:sz w:val="24"/>
          <w:szCs w:val="24"/>
        </w:rPr>
        <w:t>Discussion paper,</w:t>
      </w:r>
      <w:r w:rsidRPr="009023F2">
        <w:rPr>
          <w:rFonts w:ascii="Times New Roman" w:hAnsi="Times New Roman"/>
          <w:b w:val="0"/>
          <w:i/>
          <w:sz w:val="24"/>
          <w:szCs w:val="24"/>
        </w:rPr>
        <w:t xml:space="preserve"> Implementing Basel III Capital Reforms in Australia</w:t>
      </w:r>
      <w:r w:rsidRPr="009023F2">
        <w:rPr>
          <w:rFonts w:ascii="Times New Roman" w:hAnsi="Times New Roman"/>
          <w:b w:val="0"/>
          <w:sz w:val="24"/>
          <w:szCs w:val="24"/>
        </w:rPr>
        <w:t xml:space="preserve"> (September 2011); </w:t>
      </w:r>
    </w:p>
    <w:p w:rsidR="007F45FB" w:rsidRPr="009023F2" w:rsidRDefault="007F45FB" w:rsidP="007F45FB">
      <w:pPr>
        <w:pStyle w:val="Heading"/>
        <w:numPr>
          <w:ilvl w:val="0"/>
          <w:numId w:val="8"/>
        </w:numPr>
        <w:spacing w:before="240" w:after="60"/>
        <w:ind w:left="720"/>
        <w:outlineLvl w:val="0"/>
        <w:rPr>
          <w:rFonts w:ascii="Times New Roman" w:hAnsi="Times New Roman"/>
          <w:b w:val="0"/>
          <w:sz w:val="24"/>
          <w:szCs w:val="24"/>
        </w:rPr>
      </w:pPr>
      <w:r w:rsidRPr="009023F2">
        <w:rPr>
          <w:rFonts w:ascii="Times New Roman" w:hAnsi="Times New Roman"/>
          <w:b w:val="0"/>
          <w:sz w:val="24"/>
          <w:szCs w:val="24"/>
        </w:rPr>
        <w:t xml:space="preserve">Response paper, </w:t>
      </w:r>
      <w:r w:rsidRPr="009023F2">
        <w:rPr>
          <w:rFonts w:ascii="Times New Roman" w:hAnsi="Times New Roman"/>
          <w:b w:val="0"/>
          <w:i/>
          <w:sz w:val="24"/>
          <w:szCs w:val="24"/>
        </w:rPr>
        <w:t>Implementing Basel III Capital Reforms in Australia</w:t>
      </w:r>
      <w:r w:rsidRPr="009023F2">
        <w:rPr>
          <w:rFonts w:ascii="Times New Roman" w:hAnsi="Times New Roman"/>
          <w:b w:val="0"/>
          <w:sz w:val="24"/>
          <w:szCs w:val="24"/>
        </w:rPr>
        <w:t xml:space="preserve"> (March 2012);</w:t>
      </w:r>
    </w:p>
    <w:p w:rsidR="007F45FB" w:rsidRPr="009023F2" w:rsidRDefault="007F45FB" w:rsidP="007F45FB">
      <w:pPr>
        <w:pStyle w:val="Heading"/>
        <w:numPr>
          <w:ilvl w:val="0"/>
          <w:numId w:val="8"/>
        </w:numPr>
        <w:tabs>
          <w:tab w:val="clear" w:pos="360"/>
          <w:tab w:val="num" w:pos="720"/>
        </w:tabs>
        <w:spacing w:before="240" w:after="60"/>
        <w:ind w:left="720"/>
        <w:outlineLvl w:val="0"/>
        <w:rPr>
          <w:rFonts w:ascii="Times New Roman" w:hAnsi="Times New Roman"/>
          <w:b w:val="0"/>
          <w:i/>
          <w:sz w:val="24"/>
          <w:szCs w:val="24"/>
        </w:rPr>
      </w:pPr>
      <w:r w:rsidRPr="009023F2">
        <w:rPr>
          <w:rFonts w:ascii="Times New Roman" w:hAnsi="Times New Roman"/>
          <w:b w:val="0"/>
          <w:iCs/>
          <w:sz w:val="24"/>
          <w:szCs w:val="24"/>
        </w:rPr>
        <w:t>Discussion paper,</w:t>
      </w:r>
      <w:r w:rsidRPr="009023F2">
        <w:rPr>
          <w:rFonts w:ascii="Times New Roman" w:hAnsi="Times New Roman"/>
          <w:b w:val="0"/>
          <w:i/>
          <w:iCs/>
          <w:sz w:val="24"/>
          <w:szCs w:val="24"/>
        </w:rPr>
        <w:t xml:space="preserve"> Basel III capital reforms reporting requirements</w:t>
      </w:r>
      <w:r w:rsidRPr="009023F2">
        <w:rPr>
          <w:rFonts w:ascii="Times New Roman" w:hAnsi="Times New Roman"/>
          <w:b w:val="0"/>
          <w:i/>
          <w:sz w:val="24"/>
          <w:szCs w:val="24"/>
        </w:rPr>
        <w:t xml:space="preserve"> </w:t>
      </w:r>
      <w:r w:rsidRPr="009023F2">
        <w:rPr>
          <w:rFonts w:ascii="Times New Roman" w:hAnsi="Times New Roman"/>
          <w:b w:val="0"/>
          <w:sz w:val="24"/>
          <w:szCs w:val="24"/>
        </w:rPr>
        <w:t>(June 2012)</w:t>
      </w:r>
      <w:r w:rsidRPr="009023F2">
        <w:rPr>
          <w:rFonts w:ascii="Times New Roman" w:hAnsi="Times New Roman"/>
          <w:b w:val="0"/>
          <w:i/>
          <w:sz w:val="24"/>
          <w:szCs w:val="24"/>
        </w:rPr>
        <w:t>;</w:t>
      </w:r>
    </w:p>
    <w:p w:rsidR="007F45FB" w:rsidRPr="009023F2" w:rsidRDefault="007F45FB" w:rsidP="007F45FB">
      <w:pPr>
        <w:pStyle w:val="Heading"/>
        <w:numPr>
          <w:ilvl w:val="0"/>
          <w:numId w:val="8"/>
        </w:numPr>
        <w:tabs>
          <w:tab w:val="clear" w:pos="360"/>
          <w:tab w:val="num" w:pos="720"/>
        </w:tabs>
        <w:spacing w:before="240" w:after="60"/>
        <w:ind w:left="720"/>
        <w:outlineLvl w:val="0"/>
        <w:rPr>
          <w:rFonts w:ascii="Times New Roman" w:hAnsi="Times New Roman"/>
          <w:b w:val="0"/>
          <w:i/>
          <w:sz w:val="24"/>
          <w:szCs w:val="24"/>
        </w:rPr>
      </w:pPr>
      <w:r w:rsidRPr="009023F2">
        <w:rPr>
          <w:rFonts w:ascii="Times New Roman" w:hAnsi="Times New Roman"/>
          <w:b w:val="0"/>
          <w:sz w:val="24"/>
          <w:szCs w:val="24"/>
        </w:rPr>
        <w:t>Letter to industry,</w:t>
      </w:r>
      <w:r w:rsidRPr="009023F2">
        <w:rPr>
          <w:rFonts w:ascii="Times New Roman" w:hAnsi="Times New Roman"/>
          <w:b w:val="0"/>
          <w:i/>
          <w:sz w:val="24"/>
          <w:szCs w:val="24"/>
        </w:rPr>
        <w:t xml:space="preserve"> </w:t>
      </w:r>
      <w:r w:rsidRPr="009023F2">
        <w:rPr>
          <w:rFonts w:ascii="Times New Roman" w:hAnsi="Times New Roman"/>
          <w:b w:val="0"/>
          <w:i/>
          <w:iCs/>
          <w:sz w:val="24"/>
          <w:szCs w:val="24"/>
        </w:rPr>
        <w:t>Basel III Capital - Governing law and joint arrangements</w:t>
      </w:r>
      <w:r w:rsidRPr="009023F2">
        <w:rPr>
          <w:rFonts w:ascii="Times New Roman" w:hAnsi="Times New Roman"/>
          <w:b w:val="0"/>
          <w:i/>
          <w:sz w:val="24"/>
          <w:szCs w:val="24"/>
        </w:rPr>
        <w:t xml:space="preserve"> </w:t>
      </w:r>
      <w:r w:rsidRPr="009023F2">
        <w:rPr>
          <w:rFonts w:ascii="Times New Roman" w:hAnsi="Times New Roman"/>
          <w:b w:val="0"/>
          <w:sz w:val="24"/>
          <w:szCs w:val="24"/>
        </w:rPr>
        <w:t>(June 2012);</w:t>
      </w:r>
    </w:p>
    <w:p w:rsidR="007F45FB" w:rsidRPr="009023F2" w:rsidRDefault="007F45FB" w:rsidP="007F45FB">
      <w:pPr>
        <w:pStyle w:val="Heading"/>
        <w:numPr>
          <w:ilvl w:val="0"/>
          <w:numId w:val="8"/>
        </w:numPr>
        <w:tabs>
          <w:tab w:val="clear" w:pos="360"/>
          <w:tab w:val="num" w:pos="720"/>
        </w:tabs>
        <w:spacing w:before="240" w:after="60"/>
        <w:ind w:left="720"/>
        <w:outlineLvl w:val="0"/>
        <w:rPr>
          <w:rFonts w:ascii="Times New Roman" w:hAnsi="Times New Roman"/>
          <w:b w:val="0"/>
          <w:sz w:val="24"/>
          <w:szCs w:val="24"/>
        </w:rPr>
      </w:pPr>
      <w:r w:rsidRPr="009023F2">
        <w:rPr>
          <w:rFonts w:ascii="Times New Roman" w:hAnsi="Times New Roman"/>
          <w:b w:val="0"/>
          <w:iCs/>
          <w:sz w:val="24"/>
          <w:szCs w:val="24"/>
        </w:rPr>
        <w:t xml:space="preserve">Discussion paper, </w:t>
      </w:r>
      <w:r w:rsidRPr="009023F2">
        <w:rPr>
          <w:rFonts w:ascii="Times New Roman" w:hAnsi="Times New Roman"/>
          <w:b w:val="0"/>
          <w:i/>
          <w:iCs/>
          <w:sz w:val="24"/>
          <w:szCs w:val="24"/>
        </w:rPr>
        <w:t>Basel III capital: counterparty credit risk and other measures</w:t>
      </w:r>
      <w:r w:rsidRPr="009023F2">
        <w:rPr>
          <w:rFonts w:ascii="Times New Roman" w:hAnsi="Times New Roman"/>
          <w:b w:val="0"/>
          <w:i/>
          <w:sz w:val="24"/>
          <w:szCs w:val="24"/>
        </w:rPr>
        <w:t xml:space="preserve"> </w:t>
      </w:r>
      <w:r w:rsidRPr="009023F2">
        <w:rPr>
          <w:rFonts w:ascii="Times New Roman" w:hAnsi="Times New Roman"/>
          <w:b w:val="0"/>
          <w:sz w:val="24"/>
          <w:szCs w:val="24"/>
        </w:rPr>
        <w:t>(August 2012);</w:t>
      </w:r>
    </w:p>
    <w:p w:rsidR="007F45FB" w:rsidRPr="009023F2" w:rsidRDefault="007F45FB" w:rsidP="007F45FB">
      <w:pPr>
        <w:pStyle w:val="Heading"/>
        <w:numPr>
          <w:ilvl w:val="0"/>
          <w:numId w:val="8"/>
        </w:numPr>
        <w:tabs>
          <w:tab w:val="clear" w:pos="360"/>
          <w:tab w:val="num" w:pos="720"/>
        </w:tabs>
        <w:spacing w:before="240" w:after="60"/>
        <w:ind w:left="720"/>
        <w:outlineLvl w:val="0"/>
        <w:rPr>
          <w:rFonts w:ascii="Times New Roman" w:hAnsi="Times New Roman"/>
          <w:b w:val="0"/>
          <w:sz w:val="24"/>
          <w:szCs w:val="24"/>
        </w:rPr>
      </w:pPr>
      <w:r w:rsidRPr="009023F2">
        <w:rPr>
          <w:rFonts w:ascii="Times New Roman" w:hAnsi="Times New Roman"/>
          <w:b w:val="0"/>
          <w:sz w:val="24"/>
          <w:szCs w:val="24"/>
        </w:rPr>
        <w:t>Response paper:</w:t>
      </w:r>
      <w:r w:rsidRPr="009023F2">
        <w:rPr>
          <w:rFonts w:ascii="Times New Roman" w:hAnsi="Times New Roman"/>
          <w:b w:val="0"/>
          <w:i/>
          <w:sz w:val="24"/>
          <w:szCs w:val="24"/>
        </w:rPr>
        <w:t xml:space="preserve"> </w:t>
      </w:r>
      <w:r w:rsidRPr="009023F2">
        <w:rPr>
          <w:rFonts w:ascii="Times New Roman" w:hAnsi="Times New Roman"/>
          <w:b w:val="0"/>
          <w:i/>
          <w:iCs/>
          <w:sz w:val="24"/>
          <w:szCs w:val="24"/>
        </w:rPr>
        <w:t>Implementing Basel III capital reforms in Australia</w:t>
      </w:r>
      <w:r w:rsidRPr="009023F2">
        <w:rPr>
          <w:rFonts w:ascii="Times New Roman" w:hAnsi="Times New Roman"/>
          <w:b w:val="0"/>
          <w:i/>
          <w:sz w:val="24"/>
          <w:szCs w:val="24"/>
        </w:rPr>
        <w:t xml:space="preserve"> </w:t>
      </w:r>
      <w:r w:rsidRPr="009023F2">
        <w:rPr>
          <w:rFonts w:ascii="Times New Roman" w:hAnsi="Times New Roman"/>
          <w:b w:val="0"/>
          <w:sz w:val="24"/>
          <w:szCs w:val="24"/>
        </w:rPr>
        <w:t>(September 2012); and</w:t>
      </w:r>
    </w:p>
    <w:p w:rsidR="007F45FB" w:rsidRPr="009023F2" w:rsidRDefault="007F45FB" w:rsidP="007F45FB">
      <w:pPr>
        <w:pStyle w:val="Heading"/>
        <w:numPr>
          <w:ilvl w:val="0"/>
          <w:numId w:val="8"/>
        </w:numPr>
        <w:tabs>
          <w:tab w:val="clear" w:pos="360"/>
          <w:tab w:val="num" w:pos="720"/>
        </w:tabs>
        <w:spacing w:before="240" w:after="60"/>
        <w:ind w:left="720"/>
        <w:outlineLvl w:val="0"/>
        <w:rPr>
          <w:b w:val="0"/>
        </w:rPr>
      </w:pPr>
      <w:r w:rsidRPr="009023F2">
        <w:rPr>
          <w:rFonts w:ascii="Times New Roman" w:hAnsi="Times New Roman"/>
          <w:b w:val="0"/>
          <w:sz w:val="24"/>
          <w:szCs w:val="24"/>
        </w:rPr>
        <w:t>Response paper,</w:t>
      </w:r>
      <w:r w:rsidRPr="009023F2">
        <w:rPr>
          <w:rFonts w:ascii="Times New Roman" w:hAnsi="Times New Roman"/>
          <w:b w:val="0"/>
          <w:i/>
          <w:sz w:val="24"/>
          <w:szCs w:val="24"/>
        </w:rPr>
        <w:t xml:space="preserve"> Implementing Basel III capital reforms in Australia – counterparty credit risk and other measures </w:t>
      </w:r>
      <w:r w:rsidRPr="009023F2">
        <w:rPr>
          <w:rFonts w:ascii="Times New Roman" w:hAnsi="Times New Roman"/>
          <w:b w:val="0"/>
          <w:sz w:val="24"/>
          <w:szCs w:val="24"/>
        </w:rPr>
        <w:t>(November 2012)</w:t>
      </w:r>
      <w:r w:rsidRPr="009023F2">
        <w:rPr>
          <w:rFonts w:ascii="Times New Roman" w:hAnsi="Times New Roman"/>
          <w:b w:val="0"/>
          <w:i/>
          <w:sz w:val="24"/>
          <w:szCs w:val="24"/>
        </w:rPr>
        <w:t>.</w:t>
      </w:r>
    </w:p>
    <w:p w:rsidR="00AA4D4F" w:rsidRPr="009023F2" w:rsidRDefault="00AA4D4F" w:rsidP="00775AC9">
      <w:pPr>
        <w:pStyle w:val="Heading"/>
        <w:rPr>
          <w:rFonts w:ascii="Times New Roman" w:hAnsi="Times New Roman"/>
          <w:b w:val="0"/>
          <w:sz w:val="24"/>
          <w:szCs w:val="24"/>
        </w:rPr>
      </w:pPr>
    </w:p>
    <w:p w:rsidR="00775AC9" w:rsidRPr="009023F2" w:rsidRDefault="00775AC9" w:rsidP="00775AC9">
      <w:pPr>
        <w:pStyle w:val="Heading"/>
        <w:rPr>
          <w:rFonts w:ascii="Times New Roman" w:hAnsi="Times New Roman"/>
          <w:b w:val="0"/>
          <w:sz w:val="24"/>
          <w:szCs w:val="24"/>
        </w:rPr>
      </w:pPr>
      <w:r w:rsidRPr="009023F2">
        <w:rPr>
          <w:rFonts w:ascii="Times New Roman" w:hAnsi="Times New Roman"/>
          <w:b w:val="0"/>
          <w:sz w:val="24"/>
          <w:szCs w:val="24"/>
        </w:rPr>
        <w:t xml:space="preserve">The attached Regulation Impact Statement discusses in detail the consultation undertaken by APRA in relation to the Basel III capital reforms and the associated changes to reporting standards. </w:t>
      </w:r>
    </w:p>
    <w:p w:rsidR="00775AC9" w:rsidRPr="009023F2" w:rsidRDefault="00775AC9" w:rsidP="002436BD">
      <w:pPr>
        <w:pStyle w:val="Heading"/>
        <w:tabs>
          <w:tab w:val="left" w:pos="360"/>
        </w:tabs>
        <w:rPr>
          <w:rFonts w:ascii="Times New Roman" w:hAnsi="Times New Roman"/>
          <w:b w:val="0"/>
          <w:sz w:val="24"/>
          <w:szCs w:val="24"/>
        </w:rPr>
      </w:pPr>
    </w:p>
    <w:p w:rsidR="002436BD" w:rsidRPr="009023F2" w:rsidRDefault="00DF524E" w:rsidP="002436BD">
      <w:pPr>
        <w:pStyle w:val="Heading"/>
        <w:tabs>
          <w:tab w:val="left" w:pos="360"/>
        </w:tabs>
        <w:rPr>
          <w:rFonts w:ascii="Times New Roman" w:hAnsi="Times New Roman"/>
          <w:sz w:val="24"/>
          <w:szCs w:val="24"/>
        </w:rPr>
      </w:pPr>
      <w:bookmarkStart w:id="8" w:name="bkConsultation"/>
      <w:bookmarkStart w:id="9" w:name="bkRISNO"/>
      <w:bookmarkStart w:id="10" w:name="bkRIS"/>
      <w:bookmarkEnd w:id="8"/>
      <w:bookmarkEnd w:id="9"/>
      <w:r w:rsidRPr="009023F2">
        <w:rPr>
          <w:rFonts w:ascii="Times New Roman" w:hAnsi="Times New Roman"/>
          <w:sz w:val="24"/>
          <w:szCs w:val="24"/>
        </w:rPr>
        <w:t>4</w:t>
      </w:r>
      <w:r w:rsidR="002436BD" w:rsidRPr="009023F2">
        <w:rPr>
          <w:rFonts w:ascii="Times New Roman" w:hAnsi="Times New Roman"/>
          <w:sz w:val="24"/>
          <w:szCs w:val="24"/>
        </w:rPr>
        <w:t xml:space="preserve">. </w:t>
      </w:r>
      <w:r w:rsidR="002436BD" w:rsidRPr="009023F2">
        <w:rPr>
          <w:rFonts w:ascii="Times New Roman" w:hAnsi="Times New Roman"/>
          <w:sz w:val="24"/>
          <w:szCs w:val="24"/>
        </w:rPr>
        <w:tab/>
        <w:t>Regulation Impact Statement</w:t>
      </w:r>
    </w:p>
    <w:p w:rsidR="002436BD" w:rsidRPr="009023F2" w:rsidRDefault="002436BD" w:rsidP="002436BD">
      <w:pPr>
        <w:pStyle w:val="Heading"/>
        <w:tabs>
          <w:tab w:val="left" w:pos="360"/>
        </w:tabs>
        <w:rPr>
          <w:rFonts w:ascii="Times New Roman" w:hAnsi="Times New Roman"/>
          <w:sz w:val="24"/>
          <w:szCs w:val="24"/>
        </w:rPr>
      </w:pPr>
    </w:p>
    <w:p w:rsidR="002436BD" w:rsidRPr="009023F2" w:rsidRDefault="002436BD" w:rsidP="002436BD">
      <w:pPr>
        <w:pStyle w:val="Heading"/>
        <w:rPr>
          <w:rFonts w:ascii="Times New Roman" w:hAnsi="Times New Roman"/>
          <w:b w:val="0"/>
          <w:sz w:val="24"/>
          <w:szCs w:val="24"/>
        </w:rPr>
      </w:pPr>
      <w:r w:rsidRPr="009023F2">
        <w:rPr>
          <w:rFonts w:ascii="Times New Roman" w:hAnsi="Times New Roman"/>
          <w:b w:val="0"/>
          <w:sz w:val="24"/>
          <w:szCs w:val="24"/>
        </w:rPr>
        <w:t>A</w:t>
      </w:r>
      <w:r w:rsidR="00B64B2E" w:rsidRPr="009023F2">
        <w:rPr>
          <w:rFonts w:ascii="Times New Roman" w:hAnsi="Times New Roman"/>
          <w:b w:val="0"/>
          <w:sz w:val="24"/>
          <w:szCs w:val="24"/>
        </w:rPr>
        <w:t>PRA prepared a</w:t>
      </w:r>
      <w:r w:rsidRPr="009023F2">
        <w:rPr>
          <w:rFonts w:ascii="Times New Roman" w:hAnsi="Times New Roman"/>
          <w:b w:val="0"/>
          <w:sz w:val="24"/>
          <w:szCs w:val="24"/>
        </w:rPr>
        <w:t xml:space="preserve"> Regulation Impact Statement</w:t>
      </w:r>
      <w:r w:rsidR="00B64B2E" w:rsidRPr="009023F2">
        <w:rPr>
          <w:rFonts w:ascii="Times New Roman" w:hAnsi="Times New Roman"/>
          <w:b w:val="0"/>
          <w:sz w:val="24"/>
          <w:szCs w:val="24"/>
        </w:rPr>
        <w:t>, which</w:t>
      </w:r>
      <w:r w:rsidRPr="009023F2">
        <w:rPr>
          <w:rFonts w:ascii="Times New Roman" w:hAnsi="Times New Roman"/>
          <w:b w:val="0"/>
          <w:sz w:val="24"/>
          <w:szCs w:val="24"/>
        </w:rPr>
        <w:t xml:space="preserve"> is attached.</w:t>
      </w:r>
      <w:bookmarkEnd w:id="10"/>
    </w:p>
    <w:p w:rsidR="002436BD" w:rsidRPr="009023F2" w:rsidRDefault="002436BD" w:rsidP="002436BD">
      <w:pPr>
        <w:pStyle w:val="Heading"/>
        <w:rPr>
          <w:rFonts w:ascii="Times New Roman" w:hAnsi="Times New Roman"/>
          <w:b w:val="0"/>
          <w:sz w:val="24"/>
          <w:szCs w:val="24"/>
        </w:rPr>
      </w:pPr>
    </w:p>
    <w:p w:rsidR="00794B98" w:rsidRPr="009023F2" w:rsidRDefault="00DF524E">
      <w:pPr>
        <w:pStyle w:val="Heading"/>
        <w:keepNext/>
        <w:tabs>
          <w:tab w:val="left" w:pos="360"/>
        </w:tabs>
        <w:rPr>
          <w:rFonts w:ascii="Times New Roman" w:hAnsi="Times New Roman"/>
          <w:sz w:val="24"/>
          <w:szCs w:val="24"/>
        </w:rPr>
      </w:pPr>
      <w:r w:rsidRPr="009023F2">
        <w:rPr>
          <w:rFonts w:ascii="Times New Roman" w:hAnsi="Times New Roman"/>
          <w:sz w:val="24"/>
          <w:szCs w:val="24"/>
        </w:rPr>
        <w:t>5</w:t>
      </w:r>
      <w:r w:rsidR="002436BD" w:rsidRPr="009023F2">
        <w:rPr>
          <w:rFonts w:ascii="Times New Roman" w:hAnsi="Times New Roman"/>
          <w:sz w:val="24"/>
          <w:szCs w:val="24"/>
        </w:rPr>
        <w:t>.</w:t>
      </w:r>
      <w:r w:rsidR="002436BD" w:rsidRPr="009023F2">
        <w:rPr>
          <w:rFonts w:ascii="Times New Roman" w:hAnsi="Times New Roman"/>
          <w:sz w:val="24"/>
          <w:szCs w:val="24"/>
        </w:rPr>
        <w:tab/>
        <w:t>Statement of compatibility prepared in accordance with Part 3 of the Human Rights (Parliamentary Scrutiny) Act 2011</w:t>
      </w:r>
    </w:p>
    <w:p w:rsidR="00794B98" w:rsidRPr="009023F2" w:rsidRDefault="00794B98">
      <w:pPr>
        <w:pStyle w:val="Heading"/>
        <w:keepNext/>
        <w:rPr>
          <w:rFonts w:ascii="Times New Roman" w:hAnsi="Times New Roman"/>
          <w:b w:val="0"/>
          <w:sz w:val="24"/>
          <w:szCs w:val="24"/>
        </w:rPr>
      </w:pPr>
    </w:p>
    <w:p w:rsidR="00794B98" w:rsidRPr="009023F2" w:rsidRDefault="002436BD">
      <w:pPr>
        <w:pStyle w:val="Heading"/>
        <w:keepNext/>
        <w:rPr>
          <w:rFonts w:ascii="Times New Roman" w:hAnsi="Times New Roman"/>
          <w:b w:val="0"/>
          <w:sz w:val="24"/>
          <w:szCs w:val="24"/>
        </w:rPr>
      </w:pPr>
      <w:r w:rsidRPr="009023F2">
        <w:rPr>
          <w:rFonts w:ascii="Times New Roman" w:hAnsi="Times New Roman"/>
          <w:b w:val="0"/>
          <w:sz w:val="24"/>
          <w:szCs w:val="24"/>
        </w:rPr>
        <w:t>The instrument</w:t>
      </w:r>
      <w:r w:rsidR="00AD36FA" w:rsidRPr="009023F2">
        <w:rPr>
          <w:rFonts w:ascii="Times New Roman" w:hAnsi="Times New Roman"/>
          <w:b w:val="0"/>
          <w:sz w:val="24"/>
          <w:szCs w:val="24"/>
        </w:rPr>
        <w:t>s</w:t>
      </w:r>
      <w:r w:rsidRPr="009023F2">
        <w:rPr>
          <w:rFonts w:ascii="Times New Roman" w:hAnsi="Times New Roman"/>
          <w:b w:val="0"/>
          <w:sz w:val="24"/>
          <w:szCs w:val="24"/>
        </w:rPr>
        <w:t xml:space="preserve"> do not engage any of the applicable rights or freedoms recognised or declared in the international instruments listed in section 3 of the </w:t>
      </w:r>
      <w:r w:rsidRPr="009023F2">
        <w:rPr>
          <w:rFonts w:ascii="Times New Roman" w:hAnsi="Times New Roman"/>
          <w:b w:val="0"/>
          <w:i/>
          <w:sz w:val="24"/>
          <w:szCs w:val="24"/>
        </w:rPr>
        <w:t>Human Rights (Parliamentary Scrutiny) Act 2011</w:t>
      </w:r>
      <w:r w:rsidRPr="009023F2">
        <w:rPr>
          <w:rFonts w:ascii="Times New Roman" w:hAnsi="Times New Roman"/>
          <w:b w:val="0"/>
          <w:sz w:val="24"/>
          <w:szCs w:val="24"/>
        </w:rPr>
        <w:t xml:space="preserve">. Accordingly, in APRA’s assessment, </w:t>
      </w:r>
      <w:r w:rsidR="00AD36FA" w:rsidRPr="009023F2">
        <w:rPr>
          <w:rFonts w:ascii="Times New Roman" w:hAnsi="Times New Roman"/>
          <w:b w:val="0"/>
          <w:sz w:val="24"/>
          <w:szCs w:val="24"/>
        </w:rPr>
        <w:t xml:space="preserve">the </w:t>
      </w:r>
      <w:r w:rsidRPr="009023F2">
        <w:rPr>
          <w:rFonts w:ascii="Times New Roman" w:hAnsi="Times New Roman"/>
          <w:b w:val="0"/>
          <w:sz w:val="24"/>
          <w:szCs w:val="24"/>
        </w:rPr>
        <w:t>instrument</w:t>
      </w:r>
      <w:r w:rsidR="00AD36FA" w:rsidRPr="009023F2">
        <w:rPr>
          <w:rFonts w:ascii="Times New Roman" w:hAnsi="Times New Roman"/>
          <w:b w:val="0"/>
          <w:sz w:val="24"/>
          <w:szCs w:val="24"/>
        </w:rPr>
        <w:t xml:space="preserve">s are </w:t>
      </w:r>
      <w:r w:rsidRPr="009023F2">
        <w:rPr>
          <w:rFonts w:ascii="Times New Roman" w:hAnsi="Times New Roman"/>
          <w:b w:val="0"/>
          <w:sz w:val="24"/>
          <w:szCs w:val="24"/>
        </w:rPr>
        <w:t>compatible with human rights.</w:t>
      </w:r>
    </w:p>
    <w:p w:rsidR="00A6571D" w:rsidRPr="009023F2" w:rsidRDefault="00A6571D">
      <w:r w:rsidRPr="009023F2">
        <w:br w:type="page"/>
      </w:r>
    </w:p>
    <w:p w:rsidR="00A6571D" w:rsidRPr="009023F2" w:rsidRDefault="00A6571D" w:rsidP="00A6571D">
      <w:pPr>
        <w:keepNext/>
        <w:spacing w:before="720" w:after="120"/>
        <w:outlineLvl w:val="0"/>
        <w:rPr>
          <w:rFonts w:ascii="Times New Roman" w:hAnsi="Times New Roman"/>
          <w:b/>
          <w:bCs/>
          <w:kern w:val="32"/>
          <w:sz w:val="32"/>
          <w:szCs w:val="32"/>
          <w:lang w:val="en-US" w:eastAsia="en-US"/>
        </w:rPr>
      </w:pPr>
      <w:r w:rsidRPr="009023F2">
        <w:rPr>
          <w:rFonts w:ascii="Times New Roman" w:hAnsi="Times New Roman"/>
          <w:b/>
          <w:bCs/>
          <w:noProof/>
          <w:kern w:val="32"/>
          <w:sz w:val="32"/>
          <w:szCs w:val="32"/>
        </w:rPr>
        <w:lastRenderedPageBreak/>
        <w:drawing>
          <wp:inline distT="0" distB="0" distL="0" distR="0">
            <wp:extent cx="1438275" cy="1066800"/>
            <wp:effectExtent l="19050" t="0" r="9525" b="0"/>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38275" cy="1066800"/>
                    </a:xfrm>
                    <a:prstGeom prst="rect">
                      <a:avLst/>
                    </a:prstGeom>
                    <a:noFill/>
                    <a:ln w="9525">
                      <a:noFill/>
                      <a:miter lim="800000"/>
                      <a:headEnd/>
                      <a:tailEnd/>
                    </a:ln>
                  </pic:spPr>
                </pic:pic>
              </a:graphicData>
            </a:graphic>
          </wp:inline>
        </w:drawing>
      </w:r>
    </w:p>
    <w:p w:rsidR="00A6571D" w:rsidRPr="009023F2" w:rsidRDefault="00A6571D" w:rsidP="00A6571D">
      <w:pPr>
        <w:keepNext/>
        <w:spacing w:before="720" w:after="120"/>
        <w:jc w:val="both"/>
        <w:outlineLvl w:val="0"/>
        <w:rPr>
          <w:rFonts w:ascii="Times New Roman" w:hAnsi="Times New Roman"/>
          <w:bCs/>
          <w:kern w:val="32"/>
          <w:sz w:val="40"/>
          <w:szCs w:val="40"/>
          <w:lang w:val="en-US" w:eastAsia="en-US"/>
        </w:rPr>
      </w:pPr>
      <w:r w:rsidRPr="009023F2">
        <w:rPr>
          <w:rFonts w:ascii="Times New Roman" w:hAnsi="Times New Roman"/>
          <w:b/>
          <w:bCs/>
          <w:kern w:val="32"/>
          <w:sz w:val="40"/>
          <w:szCs w:val="40"/>
          <w:lang w:val="en-US" w:eastAsia="en-US"/>
        </w:rPr>
        <w:t>Regulation Impact Statement</w:t>
      </w:r>
    </w:p>
    <w:p w:rsidR="00A6571D" w:rsidRPr="009023F2" w:rsidRDefault="00A6571D" w:rsidP="00A6571D">
      <w:pPr>
        <w:spacing w:before="1080" w:after="480"/>
        <w:jc w:val="both"/>
        <w:outlineLvl w:val="1"/>
        <w:rPr>
          <w:rFonts w:ascii="Times New Roman" w:hAnsi="Times New Roman"/>
          <w:b/>
          <w:sz w:val="32"/>
          <w:szCs w:val="32"/>
          <w:lang w:val="en-GB"/>
        </w:rPr>
      </w:pPr>
      <w:r w:rsidRPr="009023F2">
        <w:rPr>
          <w:rFonts w:ascii="Times New Roman" w:hAnsi="Times New Roman"/>
          <w:b/>
          <w:sz w:val="32"/>
          <w:szCs w:val="32"/>
          <w:lang w:val="en-GB"/>
        </w:rPr>
        <w:t>Implementing Basel III capital reforms in Australia</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(OBPR ID: 2012/13813)</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This </w:t>
      </w:r>
      <w:r w:rsidRPr="009023F2">
        <w:rPr>
          <w:rFonts w:ascii="Times New Roman" w:eastAsia="Calibri" w:hAnsi="Times New Roman"/>
          <w:sz w:val="24"/>
          <w:szCs w:val="22"/>
          <w:lang w:val="en-US" w:eastAsia="en-US"/>
        </w:rPr>
        <w:t>Regulation Impact Statement (</w:t>
      </w:r>
      <w:r w:rsidRPr="009023F2">
        <w:rPr>
          <w:rFonts w:ascii="Times New Roman" w:eastAsia="Calibri" w:hAnsi="Times New Roman"/>
          <w:sz w:val="24"/>
          <w:szCs w:val="22"/>
          <w:lang w:val="en-GB" w:eastAsia="en-US"/>
        </w:rPr>
        <w:t>RIS) addresses the Australian Prudential Regulation Authority’s (APRA’s) proposed changes to prudential and reporting standards applying to authorised deposit-taking institutions (ADIs). These changes would implement the capital adequacy requirements known as Basel III</w:t>
      </w:r>
      <w:r w:rsidRPr="009023F2">
        <w:rPr>
          <w:rFonts w:ascii="Times New Roman" w:eastAsia="Calibri" w:hAnsi="Times New Roman"/>
          <w:sz w:val="24"/>
          <w:szCs w:val="22"/>
          <w:vertAlign w:val="superscript"/>
          <w:lang w:val="en-US" w:eastAsia="en-US"/>
        </w:rPr>
        <w:footnoteReference w:id="1"/>
      </w:r>
      <w:r w:rsidRPr="009023F2">
        <w:rPr>
          <w:rFonts w:ascii="Times New Roman" w:eastAsia="Calibri" w:hAnsi="Times New Roman"/>
          <w:sz w:val="24"/>
          <w:szCs w:val="22"/>
          <w:lang w:val="en-GB" w:eastAsia="en-US"/>
        </w:rPr>
        <w:t xml:space="preserve"> issued by the Basel Committee on Banking Supervision (Basel Committee) and </w:t>
      </w:r>
      <w:r w:rsidRPr="009023F2">
        <w:rPr>
          <w:rFonts w:ascii="Times New Roman" w:eastAsia="Calibri" w:hAnsi="Times New Roman"/>
          <w:sz w:val="24"/>
          <w:szCs w:val="22"/>
          <w:lang w:val="en-US" w:eastAsia="en-US"/>
        </w:rPr>
        <w:t>endorsed prior to release by the Group of 20 (G20). Australia is a member of both the Basel Committee and the G20.</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multi-layered prudential framework that encompasses licensing and supervision of institutions. In the case of the banking industry, APRA is empowered under the </w:t>
      </w:r>
      <w:r w:rsidRPr="009023F2">
        <w:rPr>
          <w:rFonts w:ascii="Times New Roman" w:eastAsia="Calibri" w:hAnsi="Times New Roman"/>
          <w:i/>
          <w:iCs/>
          <w:sz w:val="24"/>
          <w:szCs w:val="22"/>
          <w:lang w:val="en-US" w:eastAsia="en-US"/>
        </w:rPr>
        <w:t>Banking Act 1959</w:t>
      </w:r>
      <w:r w:rsidRPr="009023F2">
        <w:rPr>
          <w:rFonts w:ascii="Times New Roman" w:eastAsia="Calibri" w:hAnsi="Times New Roman"/>
          <w:sz w:val="24"/>
          <w:szCs w:val="22"/>
          <w:lang w:val="en-US" w:eastAsia="en-US"/>
        </w:rPr>
        <w:t xml:space="preserve"> (the Banking Act) to issue legally binding prudential standards that set out specific requirements with which ADIs must comply. These standards are supported by prudential practice guides (PPGs), which clarify APRA’s expectations with regard to prudential requirements.</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APRA is also empowered under the </w:t>
      </w:r>
      <w:r w:rsidRPr="009023F2">
        <w:rPr>
          <w:rFonts w:ascii="Times New Roman" w:eastAsia="Calibri" w:hAnsi="Times New Roman"/>
          <w:i/>
          <w:iCs/>
          <w:sz w:val="24"/>
          <w:szCs w:val="22"/>
          <w:lang w:val="en-US" w:eastAsia="en-US"/>
        </w:rPr>
        <w:t>Financial Sector (Collection of Data) Act 2001</w:t>
      </w:r>
      <w:r w:rsidRPr="009023F2">
        <w:rPr>
          <w:rFonts w:ascii="Times New Roman" w:eastAsia="Calibri" w:hAnsi="Times New Roman"/>
          <w:sz w:val="24"/>
          <w:szCs w:val="22"/>
          <w:lang w:val="en-US" w:eastAsia="en-US"/>
        </w:rPr>
        <w:t xml:space="preserve"> (FSCODA) to make reporting standards requiring regulated entities to submit specified data through various reporting forms. Data from these forms are used internally to assist APRA’s supervisory functions. Under FSCODA, APRA also collects and refers data to other agencies such as the Reserve Bank of Australia (RBA) and the Australian Bureau of Statistics (ABS).</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APRA regularly reviews its prudential and reporting requirements, making amendments as a result of a number of factors including: </w:t>
      </w:r>
    </w:p>
    <w:p w:rsidR="00A6571D" w:rsidRPr="009023F2" w:rsidRDefault="00A6571D" w:rsidP="00A6571D">
      <w:pPr>
        <w:numPr>
          <w:ilvl w:val="0"/>
          <w:numId w:val="14"/>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 xml:space="preserve">international developments; </w:t>
      </w:r>
    </w:p>
    <w:p w:rsidR="00A6571D" w:rsidRPr="009023F2" w:rsidRDefault="00A6571D" w:rsidP="00A6571D">
      <w:pPr>
        <w:numPr>
          <w:ilvl w:val="0"/>
          <w:numId w:val="14"/>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changes in financial market conditions or changes in risk management practices;</w:t>
      </w:r>
    </w:p>
    <w:p w:rsidR="00A6571D" w:rsidRPr="009023F2" w:rsidRDefault="00A6571D" w:rsidP="00A6571D">
      <w:pPr>
        <w:numPr>
          <w:ilvl w:val="0"/>
          <w:numId w:val="14"/>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lastRenderedPageBreak/>
        <w:t>in response to identified weaknesses in the prudential framework; and/or</w:t>
      </w:r>
    </w:p>
    <w:p w:rsidR="00A6571D" w:rsidRPr="009023F2" w:rsidRDefault="00A6571D" w:rsidP="00A6571D">
      <w:pPr>
        <w:numPr>
          <w:ilvl w:val="0"/>
          <w:numId w:val="14"/>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to reduce potential negative impacts of emerging industry issues. </w:t>
      </w:r>
    </w:p>
    <w:p w:rsidR="00A6571D" w:rsidRPr="009023F2" w:rsidRDefault="00A6571D" w:rsidP="00A6571D">
      <w:pPr>
        <w:spacing w:before="240" w:after="120"/>
        <w:jc w:val="both"/>
        <w:outlineLvl w:val="2"/>
        <w:rPr>
          <w:rFonts w:ascii="Times New Roman" w:eastAsia="Calibri" w:hAnsi="Times New Roman"/>
          <w:b/>
          <w:sz w:val="28"/>
          <w:szCs w:val="28"/>
          <w:lang w:val="en-GB" w:eastAsia="en-US"/>
        </w:rPr>
      </w:pPr>
      <w:r w:rsidRPr="009023F2">
        <w:rPr>
          <w:rFonts w:ascii="Times New Roman" w:eastAsia="Calibri" w:hAnsi="Times New Roman"/>
          <w:b/>
          <w:sz w:val="28"/>
          <w:szCs w:val="28"/>
          <w:lang w:val="en-GB" w:eastAsia="en-US"/>
        </w:rPr>
        <w:t>Problem</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b/>
          <w:sz w:val="24"/>
          <w:szCs w:val="22"/>
          <w:lang w:val="en-US" w:eastAsia="en-US"/>
        </w:rPr>
      </w:pPr>
      <w:r w:rsidRPr="009023F2">
        <w:rPr>
          <w:rFonts w:ascii="Times New Roman" w:eastAsia="Calibri" w:hAnsi="Times New Roman"/>
          <w:b/>
          <w:sz w:val="24"/>
          <w:szCs w:val="22"/>
          <w:lang w:val="en-US" w:eastAsia="en-US"/>
        </w:rPr>
        <w:t>Background: APRA’s existing capital framework</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One of the key components of APRA’s prudential framework is the suite of prudential standards that require ADIs to hold regulatory capital as a buffer against the risks that they undertake (capital standards). APRA’s capital standards for ADIs follow closely those set by the Basel Committee. In particular, they give effect to two international capital accords: the 1988 Basel Capital Accord (Basel I) and the </w:t>
      </w:r>
      <w:r w:rsidRPr="009023F2">
        <w:rPr>
          <w:rFonts w:ascii="Times New Roman" w:eastAsia="Calibri" w:hAnsi="Times New Roman"/>
          <w:i/>
          <w:iCs/>
          <w:sz w:val="24"/>
          <w:szCs w:val="22"/>
          <w:lang w:val="en-US" w:eastAsia="en-US"/>
        </w:rPr>
        <w:t>International Convergence of Capital Measurement and Capital Standards</w:t>
      </w:r>
      <w:r w:rsidRPr="009023F2">
        <w:rPr>
          <w:rFonts w:ascii="Times New Roman" w:eastAsia="Calibri" w:hAnsi="Times New Roman"/>
          <w:sz w:val="24"/>
          <w:szCs w:val="22"/>
          <w:lang w:val="en-US" w:eastAsia="en-US"/>
        </w:rPr>
        <w:t xml:space="preserve"> (Basel II), which was first released in 2004. The capital regime outlined in these accords was always intended to be evolutionary in nature and subject to ongoing review to take account of market developments and other factors. Both Basel I and Basel II were designed to increase the harmonisation of regulatory capital requirements around the world and to make them more sensitive to risk. The move from Basel I to Basel II represented a substantial shift in the global approach to capital management. </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APRA implemented the Basel II framework through prudential standards and PPGs that took effect from 1 January 2008. Further measures (the Basel II enhancements) introduced by the Basel Committee soon after the global financial crisis refined the existing framework and came into effect in Australia on 1 January 2012. </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There are three ‘Pillars’ of the Basel II framework: Pillar 1 sets out minimum capital requirements to address credit, operational and market risk; Pillar 2 outlines the supervisory review process (including supervisory discretion to set higher capital requirements where necessary); and Pillar 3 seeks to impose market discipline through disclosure requirements. </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As at June 2012, there were 128 locally-incorporated ADIs subject to APRA’s capital framework.</w:t>
      </w:r>
    </w:p>
    <w:p w:rsidR="00A6571D" w:rsidRPr="009023F2" w:rsidRDefault="00A6571D" w:rsidP="00A6571D">
      <w:pPr>
        <w:autoSpaceDE w:val="0"/>
        <w:autoSpaceDN w:val="0"/>
        <w:adjustRightInd w:val="0"/>
        <w:spacing w:after="120"/>
        <w:jc w:val="both"/>
        <w:rPr>
          <w:rFonts w:ascii="Times New Roman" w:eastAsia="Calibri" w:hAnsi="Times New Roman"/>
          <w:sz w:val="24"/>
          <w:szCs w:val="22"/>
          <w:lang w:val="en-US" w:eastAsia="en-US"/>
        </w:rPr>
      </w:pPr>
      <w:r w:rsidRPr="009023F2">
        <w:rPr>
          <w:rFonts w:ascii="Times New Roman" w:eastAsia="Calibri" w:hAnsi="Times New Roman"/>
          <w:b/>
          <w:sz w:val="24"/>
          <w:szCs w:val="22"/>
          <w:lang w:val="en-US" w:eastAsia="en-US"/>
        </w:rPr>
        <w:t>The global financial crisis</w:t>
      </w:r>
      <w:r w:rsidRPr="009023F2">
        <w:rPr>
          <w:rFonts w:ascii="Times New Roman" w:eastAsia="Calibri" w:hAnsi="Times New Roman"/>
          <w:sz w:val="24"/>
          <w:szCs w:val="22"/>
          <w:vertAlign w:val="superscript"/>
          <w:lang w:val="en-US" w:eastAsia="en-US"/>
        </w:rPr>
        <w:footnoteReference w:id="2"/>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 strong and resilient banking system is the foundation for sustainable economic growth as banks are at the centre of the credit intermediation process between savers and investors. Moreover, banking institutions provide critical services to consumers, small and medium-sized enterprises, large corporate firms and government who rely on them to conduct their daily business, both at a domestic and international level.</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One of the main reasons the economic and financial crisis, which began in 2007, became so severe was that the banking sectors of many countries had built up excessive on- and off-balance sheet leverage. This was accompanied by a gradual erosion of the level and quality of the capital base. At the same time, many banking institutions were holding insufficient liquidity buffers. Banking systems therefore were not able to absorb trading and credit losses. The crisis was further amplified by a pro-cyclical deleveraging process and by the interconnectedness of systemic institutions through an array of complex transactions. At the height of the crisis, the market lost confidence in the solvency and liquidity of many banks. Weaknesses in a number of banking systems were rapidly transmitted to the rest of the financial system </w:t>
      </w:r>
      <w:r w:rsidRPr="009023F2">
        <w:rPr>
          <w:rFonts w:ascii="Times New Roman" w:eastAsia="Calibri" w:hAnsi="Times New Roman"/>
          <w:sz w:val="24"/>
          <w:szCs w:val="22"/>
          <w:lang w:val="en-US" w:eastAsia="en-US"/>
        </w:rPr>
        <w:lastRenderedPageBreak/>
        <w:t>and the real economy, resulting in a massive contraction of liquidity and credit availability. In many countries, the public sector had to intervene with unprecedented injections of liquidity, capital support and guarantees, exposing taxpayers to large contingent liabilities and losses.</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The effect on banks, financial systems and economies at the</w:t>
      </w:r>
      <w:r w:rsidRPr="009023F2">
        <w:rPr>
          <w:rFonts w:ascii="Times New Roman" w:eastAsia="Calibri" w:hAnsi="Times New Roman"/>
          <w:sz w:val="24"/>
          <w:szCs w:val="22"/>
          <w:lang w:eastAsia="en-US"/>
        </w:rPr>
        <w:t xml:space="preserve"> epicentre</w:t>
      </w:r>
      <w:r w:rsidRPr="009023F2">
        <w:rPr>
          <w:rFonts w:ascii="Times New Roman" w:eastAsia="Calibri" w:hAnsi="Times New Roman"/>
          <w:sz w:val="24"/>
          <w:szCs w:val="22"/>
          <w:lang w:val="en-US" w:eastAsia="en-US"/>
        </w:rPr>
        <w:t xml:space="preserve"> of the crisis was immediate. However, the crisis also spread to a wider circle of countries around the globe. For these countries, the transmission channels were less direct, resulting from a severe contraction in global liquidity, cross-border credit availability and demand for exports. </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Australia was not immune from these impacts, although the root causes of the crisis – lax underwriting standards in the United States sub-prime mortgage sector and poor risk management of exposures to complex structured securities </w:t>
      </w:r>
      <w:proofErr w:type="spellStart"/>
      <w:r w:rsidRPr="009023F2">
        <w:rPr>
          <w:rFonts w:ascii="Times New Roman" w:eastAsia="Calibri" w:hAnsi="Times New Roman"/>
          <w:sz w:val="24"/>
          <w:szCs w:val="22"/>
          <w:lang w:val="en-US" w:eastAsia="en-US"/>
        </w:rPr>
        <w:t>collateralised</w:t>
      </w:r>
      <w:proofErr w:type="spellEnd"/>
      <w:r w:rsidRPr="009023F2">
        <w:rPr>
          <w:rFonts w:ascii="Times New Roman" w:eastAsia="Calibri" w:hAnsi="Times New Roman"/>
          <w:sz w:val="24"/>
          <w:szCs w:val="22"/>
          <w:lang w:val="en-US" w:eastAsia="en-US"/>
        </w:rPr>
        <w:t xml:space="preserve"> by sub-prime mortgages – had no widespread parallels in Australia. Australia’s experience of the global financial crisis was also supported by a combination of factors including a strong pre-crisis economy, powerful and timely fiscal and monetary policy actions, and a prudential framework in which APRA engaged in strong supervision backed by a Basel II implementation with a small number of more conservative modifications, some of which would later be adopted within the Basel III framework. </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US" w:eastAsia="en-US"/>
        </w:rPr>
        <w:t xml:space="preserve">For </w:t>
      </w:r>
      <w:r w:rsidRPr="009023F2">
        <w:rPr>
          <w:rFonts w:ascii="Times New Roman" w:eastAsia="Calibri" w:hAnsi="Times New Roman"/>
          <w:sz w:val="24"/>
          <w:szCs w:val="22"/>
          <w:lang w:val="en-GB" w:eastAsia="en-US"/>
        </w:rPr>
        <w:t>ADIs in Australia, the crisis was mainly a liquidity crisis, resulting from the severe contraction in global liquidity mentioned above. This crisis was initially managed by extraordinary intervention by the RBA. By October 2008, however, it was necessary for the Commonwealth to provide a guarantee of deposits and wholesale funding.</w:t>
      </w:r>
      <w:r w:rsidRPr="009023F2">
        <w:rPr>
          <w:rFonts w:ascii="Times New Roman" w:eastAsia="Calibri" w:hAnsi="Times New Roman"/>
          <w:sz w:val="24"/>
          <w:szCs w:val="22"/>
          <w:lang w:val="en-US" w:eastAsia="en-US"/>
        </w:rPr>
        <w:t xml:space="preserve"> This guarantee proved pivotal in assuring ADIs’ access to funding and ADIs raised over $155 billion in government-guaranteed large deposits and wholesale funding</w:t>
      </w:r>
      <w:r w:rsidRPr="009023F2">
        <w:rPr>
          <w:rFonts w:ascii="Times New Roman" w:eastAsia="Calibri" w:hAnsi="Times New Roman"/>
          <w:sz w:val="24"/>
          <w:szCs w:val="22"/>
          <w:lang w:val="en-GB" w:eastAsia="en-US"/>
        </w:rPr>
        <w:t xml:space="preserve">. Eventually, as markets stabilised, the guarantee was removed for new liabilities from March 2010. </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A legacy of the crisis is significantly higher wholesale funding costs for ADIs. Before the crisis, a number of ADIs became more dependent on offshore wholesale funding to augment traditional retail deposit bases and some ADIs made extensive use of securitisation markets to fund their residential mortgage lending. The global souring of confidence in banks and in structured credit arrangements has resulted in large increases in wholesale funding costs, particularly for longer maturities, and reduced access to longer-term funding sources, other than for the most highly rated banks. During the crisis, securitisation markets virtually ceased to function, and have not yet returned to normal. To maintain some level of securitisation activity, particularly for smaller ADIs and non-ADI mortgage lenders, the Treasurer has directed the Australian Office of Financial Management (AOFM) to invest up to $20 billion to support securitisation markets.</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During the crisis certain types of instruments that were included in Basel II regulatory capital did not behave as intended. Capital is intended to absorb losses and allow an institution to remain viable. Under the Basel II framework, substantial proportions of the capital requirement can be met by lower quality capital instruments such as various forms of preference equity and subordinated debt. Under stress, particularly for those institutions that were bailed out by governments, these instruments did not absorb losses and thus the level of protection afforded by a given level of capital was lower than it appeared before the crisis.</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lastRenderedPageBreak/>
        <w:t>Some of the fundamental factors that contributed to the global financial crisis – insufficient regulatory capital and poor quality loss absorption of the capital base – are direct results of weaknesses now exposed in the existing global regulatory framework, Basel II.</w:t>
      </w:r>
      <w:r w:rsidRPr="009023F2">
        <w:rPr>
          <w:rFonts w:ascii="Times New Roman" w:eastAsia="Calibri" w:hAnsi="Times New Roman"/>
          <w:sz w:val="24"/>
          <w:szCs w:val="22"/>
          <w:lang w:val="en-GB" w:eastAsia="en-US"/>
        </w:rPr>
        <w:t xml:space="preserve"> Given the impact of financial crises and the global nature of the financial system, it is critical that all countries, including Australia, raise the resilience of their banking sectors to both internal and external shocks. </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APRA notes that these weaknesses in the Basel II framework were not exposed in Australia, primarily due to the underlying strength of the Australian economy and the fiscal and monetary policy actions by which Australia avoided a recession and thus avoided the severe losses incurred by banks in other jurisdictions. The Basel II flaws mentioned above only become obvious when banks suffer severe, typically credit-related, losses.</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Further, the Australian banking system is highly regarded internationally, in part because of APRA’s comprehensive and timely adoption of previous iterations of the Basel capital framework. The four major Australian banks are in the top 20 international banks by market capitalisation and are among the most highly rated in the world. This reputation would be at risk if Australia did not adopt international best practice prudential rules. A likely consequence would be higher funding costs as investors demand greater return for what would be perceived to be a higher risk investment. Such an outcome may occur regardless of whether an issuing ADI is in financial difficulty or whether there is an economic crisis. </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9023F2">
        <w:rPr>
          <w:rFonts w:ascii="Times New Roman" w:eastAsia="Calibri" w:hAnsi="Times New Roman"/>
          <w:b/>
          <w:sz w:val="24"/>
          <w:szCs w:val="22"/>
          <w:lang w:val="en-GB" w:eastAsia="en-US"/>
        </w:rPr>
        <w:t>Basel III</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The Basel III capital reforms are international banking supervisors’ response to deficiencies in the regulatory capital framework identified during the global financial crisis. These reforms were endorsed prior to release by the G20</w:t>
      </w:r>
      <w:r w:rsidRPr="009023F2">
        <w:rPr>
          <w:rFonts w:ascii="Times New Roman" w:eastAsia="Calibri" w:hAnsi="Times New Roman"/>
          <w:sz w:val="24"/>
          <w:szCs w:val="22"/>
          <w:vertAlign w:val="superscript"/>
          <w:lang w:val="en-US" w:eastAsia="en-US"/>
        </w:rPr>
        <w:footnoteReference w:id="3"/>
      </w:r>
      <w:r w:rsidRPr="009023F2">
        <w:rPr>
          <w:rFonts w:ascii="Times New Roman" w:eastAsia="Calibri" w:hAnsi="Times New Roman"/>
          <w:sz w:val="24"/>
          <w:szCs w:val="22"/>
          <w:lang w:val="en-US" w:eastAsia="en-US"/>
        </w:rPr>
        <w:t>, of which Australia is a member. APRA, as a member of the Basel Committee, played an active role in formulating the Basel III measures.</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Basel III is not a wholesale reworking of the international capital framework. The underlying principle – that regulatory capital is determined by reference to the risks ADIs face and the assets they hold – remains the same. In other words, the framework remains risk-based and continues to require banking institutions to hold minimum levels of capital that meet specific criteria. However, Basel III addresses deficiencies in the Basel II framework identified during the global financial crisis by introducing more stringent criteria for inclusion in regulatory capital and by requiring higher minimum levels of that capital to be held against risk. An important new element of the regulatory capital qualifying criteria for preference equity and subordinated debt is that Basel III seeks to protect the potential investment of public money in an ailing ADI, by requiring investors in such capital instruments to bear losses through conversion or write-off provisions before the injection of public funds. </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Basel III also includes measures to:</w:t>
      </w:r>
    </w:p>
    <w:p w:rsidR="00A6571D" w:rsidRPr="009023F2" w:rsidRDefault="00A6571D" w:rsidP="00A6571D">
      <w:pPr>
        <w:numPr>
          <w:ilvl w:val="0"/>
          <w:numId w:val="13"/>
        </w:numPr>
        <w:spacing w:after="120"/>
        <w:ind w:left="567" w:hanging="425"/>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 xml:space="preserve">improve the risk coverage of the Basel II framework by strengthening the capital requirements for counterparty credit risk exposures arising from derivatives, repurchase transactions and securities financing activities; </w:t>
      </w:r>
    </w:p>
    <w:p w:rsidR="00A6571D" w:rsidRPr="009023F2" w:rsidRDefault="00A6571D" w:rsidP="00A6571D">
      <w:pPr>
        <w:numPr>
          <w:ilvl w:val="0"/>
          <w:numId w:val="13"/>
        </w:numPr>
        <w:spacing w:after="120"/>
        <w:ind w:left="567" w:hanging="425"/>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lastRenderedPageBreak/>
        <w:t>introduce a leverage ratio as a supplementary measure to the risk-based Basel II framework to help contain the build-up of excessive leverage in the banking system and safeguard against model risk and measurement error; and</w:t>
      </w:r>
    </w:p>
    <w:p w:rsidR="00A6571D" w:rsidRPr="009023F2" w:rsidRDefault="00A6571D" w:rsidP="00A6571D">
      <w:pPr>
        <w:numPr>
          <w:ilvl w:val="0"/>
          <w:numId w:val="13"/>
        </w:numPr>
        <w:spacing w:after="120"/>
        <w:ind w:left="567" w:hanging="425"/>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introduce a series of measures to promote the build-up of capital buffers in good times that can be drawn upon in periods of stress.</w:t>
      </w:r>
    </w:p>
    <w:p w:rsidR="00A6571D" w:rsidRPr="009023F2" w:rsidRDefault="00A6571D" w:rsidP="00A6571D">
      <w:pPr>
        <w:spacing w:before="240" w:after="120"/>
        <w:jc w:val="both"/>
        <w:outlineLvl w:val="2"/>
        <w:rPr>
          <w:rFonts w:ascii="Times New Roman" w:eastAsia="Calibri" w:hAnsi="Times New Roman"/>
          <w:b/>
          <w:sz w:val="28"/>
          <w:szCs w:val="28"/>
          <w:lang w:val="en-GB" w:eastAsia="en-US"/>
        </w:rPr>
      </w:pPr>
      <w:r w:rsidRPr="009023F2">
        <w:rPr>
          <w:rFonts w:ascii="Times New Roman" w:eastAsia="Calibri" w:hAnsi="Times New Roman"/>
          <w:b/>
          <w:sz w:val="28"/>
          <w:szCs w:val="28"/>
          <w:lang w:val="en-GB" w:eastAsia="en-US"/>
        </w:rPr>
        <w:t>Objectives of APRA’s initiative</w:t>
      </w:r>
    </w:p>
    <w:p w:rsidR="00A6571D" w:rsidRPr="009023F2" w:rsidRDefault="00A6571D" w:rsidP="00A6571D">
      <w:pPr>
        <w:keepNext/>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By adopting Basel III in Australia, APRA’s objectives are to give effect to Australia’s G20 commitment and, in particular, to:</w:t>
      </w:r>
    </w:p>
    <w:p w:rsidR="00A6571D" w:rsidRPr="009023F2" w:rsidRDefault="00A6571D" w:rsidP="00A6571D">
      <w:pPr>
        <w:numPr>
          <w:ilvl w:val="0"/>
          <w:numId w:val="13"/>
        </w:numPr>
        <w:spacing w:after="120"/>
        <w:ind w:left="567" w:hanging="425"/>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 xml:space="preserve">address deficiencies in the Basel II capital framework highlighted by the global financial crisis with a view to reducing the risk of ADI failure and promoting financial system stability; </w:t>
      </w:r>
    </w:p>
    <w:p w:rsidR="00A6571D" w:rsidRPr="009023F2" w:rsidRDefault="00A6571D" w:rsidP="00A6571D">
      <w:pPr>
        <w:numPr>
          <w:ilvl w:val="0"/>
          <w:numId w:val="13"/>
        </w:numPr>
        <w:spacing w:after="120"/>
        <w:ind w:left="567" w:hanging="425"/>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continue to align APRA’s capital adequacy regime with international best practice, maintain the high international reputation of the Australian banking system and thus ensure continued participation by ADIs in overseas funding markets; and</w:t>
      </w:r>
    </w:p>
    <w:p w:rsidR="00A6571D" w:rsidRPr="009023F2" w:rsidRDefault="00A6571D" w:rsidP="00A6571D">
      <w:pPr>
        <w:numPr>
          <w:ilvl w:val="0"/>
          <w:numId w:val="13"/>
        </w:numPr>
        <w:spacing w:after="120"/>
        <w:ind w:left="567" w:hanging="425"/>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reduce the likelihood of the need for (and degree of) government intervention or support for ADIs in any future financial crisis.</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Measures to improve the quality of capital such that it is more loss absorbing in any future crisis are:</w:t>
      </w:r>
    </w:p>
    <w:p w:rsidR="00A6571D" w:rsidRPr="009023F2" w:rsidRDefault="00A6571D" w:rsidP="00A6571D">
      <w:pPr>
        <w:numPr>
          <w:ilvl w:val="0"/>
          <w:numId w:val="13"/>
        </w:numPr>
        <w:spacing w:after="120"/>
        <w:ind w:left="567" w:hanging="425"/>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an increase in the proportion of regulatory capital that must be met by common equity;</w:t>
      </w:r>
    </w:p>
    <w:p w:rsidR="00A6571D" w:rsidRPr="009023F2" w:rsidRDefault="00A6571D" w:rsidP="00A6571D">
      <w:pPr>
        <w:numPr>
          <w:ilvl w:val="0"/>
          <w:numId w:val="13"/>
        </w:numPr>
        <w:spacing w:after="120"/>
        <w:ind w:left="567" w:hanging="425"/>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conversion or write-off triggers on non common equity regulatory capital to ensure such capital is loss absorbing when an ADI is in serious financial difficulty; and</w:t>
      </w:r>
    </w:p>
    <w:p w:rsidR="00A6571D" w:rsidRPr="009023F2" w:rsidRDefault="00A6571D" w:rsidP="00A6571D">
      <w:pPr>
        <w:numPr>
          <w:ilvl w:val="0"/>
          <w:numId w:val="13"/>
        </w:numPr>
        <w:spacing w:after="120"/>
        <w:ind w:left="567" w:hanging="425"/>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a stricter approach to regulatory adjustments (e.g. for intangible assets) under which deductions are to be from common equity rather than mostly from non-common equity capital under Basel II.</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Measures to increase capital levels as buffers against ADI losses and financial instability in a crisis are:</w:t>
      </w:r>
    </w:p>
    <w:p w:rsidR="00A6571D" w:rsidRPr="009023F2" w:rsidRDefault="00A6571D" w:rsidP="00A6571D">
      <w:pPr>
        <w:numPr>
          <w:ilvl w:val="0"/>
          <w:numId w:val="13"/>
        </w:numPr>
        <w:spacing w:after="120"/>
        <w:ind w:left="567" w:hanging="425"/>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increasing the minimum amounts of capital ADIs must hold against the risks they face. Common equity must be at least 4.5 per cent of risk-weighted assets and the Tier 1 capital ratio (which includes common equity) must be six per cent. (This compares with minima of two</w:t>
      </w:r>
      <w:r w:rsidRPr="009023F2">
        <w:rPr>
          <w:rFonts w:ascii="Times New Roman" w:eastAsia="Calibri" w:hAnsi="Times New Roman"/>
          <w:sz w:val="24"/>
          <w:szCs w:val="22"/>
          <w:vertAlign w:val="superscript"/>
          <w:lang w:val="en-GB" w:eastAsia="en-US"/>
        </w:rPr>
        <w:footnoteReference w:id="4"/>
      </w:r>
      <w:r w:rsidRPr="009023F2">
        <w:rPr>
          <w:rFonts w:ascii="Times New Roman" w:eastAsia="Calibri" w:hAnsi="Times New Roman"/>
          <w:sz w:val="24"/>
          <w:szCs w:val="22"/>
          <w:lang w:val="en-GB" w:eastAsia="en-US"/>
        </w:rPr>
        <w:t xml:space="preserve"> and four per cent, respectively, that apply currently under Basel II.) The total capital ratio remains unchanged at eight per cent by including at most two per cent of so called Tier 2 capital; and</w:t>
      </w:r>
    </w:p>
    <w:p w:rsidR="00A6571D" w:rsidRPr="009023F2" w:rsidRDefault="00A6571D" w:rsidP="00A6571D">
      <w:pPr>
        <w:numPr>
          <w:ilvl w:val="0"/>
          <w:numId w:val="13"/>
        </w:numPr>
        <w:spacing w:after="120"/>
        <w:ind w:left="567" w:hanging="425"/>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a new capital conservation buffer set at 2.5 per cent above these minima, to be met by common equity. When capital levels fall within the buffer range, ADIs will be subject to constraints on capital distribution that increase in severity as the buffer reduces.</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A countercyclical buffer of up to a further 2.5 per cent (again to be met by common equity) will apply when excessive credit growth and other indicators point to a </w:t>
      </w:r>
      <w:r w:rsidRPr="009023F2">
        <w:rPr>
          <w:rFonts w:ascii="Times New Roman" w:eastAsia="Calibri" w:hAnsi="Times New Roman"/>
          <w:sz w:val="24"/>
          <w:szCs w:val="22"/>
          <w:lang w:val="en-US" w:eastAsia="en-US"/>
        </w:rPr>
        <w:lastRenderedPageBreak/>
        <w:t xml:space="preserve">system-wide build-up of risk. This buffer is designed to address excessive and rapid credit growth that can contribute to any future economic and financial crisis. </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To prevent the build-up of excessive on- and off-balance sheet leverage, Basel III proposes a simple maximum leverage ratio of three per cent, based on Tier 1 capital, to augment the risk-based approach to regulatory capital. </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Basel III also introduces an additional capital charge, known as the Credit Value Adjustment (CVA) risk capital charge for derivatives, repurchase transactions and securities financing activities, to address problems that arose during the global financial crisis where capital requirements for counterparty credit risk were found to be insufficient.</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US" w:eastAsia="en-US"/>
        </w:rPr>
        <w:t xml:space="preserve">Basel III provides national supervisors with discretion to provide some limited recognition of certain items in calculating common equity regulatory capital. These items are deferred tax assets relating to timing differences, significant investments in the common shares of non-consolidated financial institutions and mortgage servicing rights. APRA does not propose to exercise this discretion (known in Basel III as ‘the threshold treatment’) but to require that these items be deducted in full from common equity. </w:t>
      </w:r>
      <w:r w:rsidRPr="009023F2">
        <w:rPr>
          <w:rFonts w:ascii="Times New Roman" w:eastAsia="Calibri" w:hAnsi="Times New Roman"/>
          <w:sz w:val="24"/>
          <w:szCs w:val="22"/>
          <w:lang w:val="en-GB" w:eastAsia="en-US"/>
        </w:rPr>
        <w:t xml:space="preserve">A principal objective of APRA’s prudential capital framework is to ensure that, for the protection of depositors and the stability of the financial system, capital must be available to absorb losses in a gone-concern scenario (or leading up to that point). In addition, APRA’s framework seeks to ensure that there is no double-counting of capital in the financial system. The threshold treatment would not be consistent with those objectives. </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APRA is also proposing an accelerated implementation timetable for some aspects of the Basel III reforms. To accommodate the varying Basel II implementations in place around the world and the health or otherwise of various banking systems, the Basel Committee allows many of the reforms to be introduced over a period of years from January 2013. However, national supervisors are encouraged to introduce the reforms earlier where this is appropriate. In APRA’s view, ADIs in Australia should have little difficulty in meeting many of the new requirements and thus APRA intends an accelerated implementation timetable for the minimum amounts of capital, regulatory adjustments and the capital conservation buffer.</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To implement the Basel III capital reforms in Australia, changes are required to be made to the following prudential standards and related reporting standards: </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i/>
          <w:iCs/>
          <w:sz w:val="24"/>
          <w:szCs w:val="22"/>
          <w:lang w:val="en-GB" w:eastAsia="en-US"/>
        </w:rPr>
        <w:t xml:space="preserve">Prudential </w:t>
      </w:r>
      <w:r w:rsidRPr="009023F2">
        <w:rPr>
          <w:rFonts w:ascii="Times New Roman" w:eastAsia="Calibri" w:hAnsi="Times New Roman"/>
          <w:i/>
          <w:sz w:val="24"/>
          <w:szCs w:val="22"/>
          <w:lang w:val="en-GB" w:eastAsia="en-US"/>
        </w:rPr>
        <w:t>Standard APS 110 Capital Adequacy</w:t>
      </w:r>
      <w:r w:rsidRPr="009023F2">
        <w:rPr>
          <w:rFonts w:ascii="Times New Roman" w:eastAsia="Calibri" w:hAnsi="Times New Roman"/>
          <w:sz w:val="24"/>
          <w:szCs w:val="22"/>
          <w:lang w:val="en-GB" w:eastAsia="en-US"/>
        </w:rPr>
        <w:t xml:space="preserve"> (APS 110); </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i/>
          <w:sz w:val="24"/>
          <w:szCs w:val="22"/>
          <w:lang w:val="en-GB" w:eastAsia="en-US"/>
        </w:rPr>
        <w:t>Prudential Standard APS 111 Capital Adequacy: Measurement of Capital</w:t>
      </w:r>
      <w:r w:rsidRPr="009023F2">
        <w:rPr>
          <w:rFonts w:ascii="Times New Roman" w:eastAsia="Calibri" w:hAnsi="Times New Roman"/>
          <w:sz w:val="24"/>
          <w:szCs w:val="22"/>
          <w:lang w:val="en-GB" w:eastAsia="en-US"/>
        </w:rPr>
        <w:t xml:space="preserve"> (APS 111); </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i/>
          <w:sz w:val="24"/>
          <w:szCs w:val="22"/>
          <w:lang w:val="en-GB" w:eastAsia="en-US"/>
        </w:rPr>
        <w:t>Prudential Standard APS 112 Capital Adequacy: Standardised Approach to Credit Risk</w:t>
      </w:r>
      <w:r w:rsidRPr="009023F2">
        <w:rPr>
          <w:rFonts w:ascii="Times New Roman" w:eastAsia="Calibri" w:hAnsi="Times New Roman"/>
          <w:sz w:val="24"/>
          <w:szCs w:val="22"/>
          <w:lang w:val="en-GB" w:eastAsia="en-US"/>
        </w:rPr>
        <w:t xml:space="preserve"> (APS 112); </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i/>
          <w:sz w:val="24"/>
          <w:szCs w:val="22"/>
          <w:lang w:val="en-GB" w:eastAsia="en-US"/>
        </w:rPr>
        <w:t>Prudential Standard APS 113 Capital Adequacy: Internal Ratings Based Approach to Credit Risk</w:t>
      </w:r>
      <w:r w:rsidRPr="009023F2">
        <w:rPr>
          <w:rFonts w:ascii="Times New Roman" w:eastAsia="Calibri" w:hAnsi="Times New Roman"/>
          <w:sz w:val="24"/>
          <w:szCs w:val="22"/>
          <w:lang w:val="en-GB" w:eastAsia="en-US"/>
        </w:rPr>
        <w:t xml:space="preserve"> (APS 113); </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i/>
          <w:sz w:val="24"/>
          <w:szCs w:val="22"/>
          <w:lang w:val="en-GB" w:eastAsia="en-US"/>
        </w:rPr>
        <w:t xml:space="preserve">Prudential Standard APS 116 Capital Adequacy: Market Risk </w:t>
      </w:r>
      <w:r w:rsidRPr="009023F2">
        <w:rPr>
          <w:rFonts w:ascii="Times New Roman" w:eastAsia="Calibri" w:hAnsi="Times New Roman"/>
          <w:sz w:val="24"/>
          <w:szCs w:val="22"/>
          <w:lang w:val="en-GB" w:eastAsia="en-US"/>
        </w:rPr>
        <w:t>(APS 116);</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i/>
          <w:sz w:val="24"/>
          <w:szCs w:val="22"/>
          <w:lang w:val="en-GB" w:eastAsia="en-US"/>
        </w:rPr>
        <w:t>Prudential Standard APS 117 Capital Adequacy: Interest Rate Risk in the Banking Book (Advanced ADIs)</w:t>
      </w:r>
      <w:r w:rsidRPr="009023F2">
        <w:rPr>
          <w:rFonts w:ascii="Times New Roman" w:eastAsia="Calibri" w:hAnsi="Times New Roman"/>
          <w:sz w:val="24"/>
          <w:szCs w:val="22"/>
          <w:lang w:val="en-GB" w:eastAsia="en-US"/>
        </w:rPr>
        <w:t xml:space="preserve"> (APS 117); </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i/>
          <w:sz w:val="24"/>
          <w:szCs w:val="22"/>
          <w:lang w:val="en-GB" w:eastAsia="en-US"/>
        </w:rPr>
        <w:t>Prudential Standard APS 120 Securitisation</w:t>
      </w:r>
      <w:r w:rsidRPr="009023F2">
        <w:rPr>
          <w:rFonts w:ascii="Times New Roman" w:eastAsia="Calibri" w:hAnsi="Times New Roman"/>
          <w:sz w:val="24"/>
          <w:szCs w:val="22"/>
          <w:lang w:val="en-GB" w:eastAsia="en-US"/>
        </w:rPr>
        <w:t xml:space="preserve"> (APS 120); and</w:t>
      </w:r>
    </w:p>
    <w:p w:rsidR="00A6571D" w:rsidRPr="009023F2" w:rsidRDefault="00A6571D" w:rsidP="00A6571D">
      <w:pPr>
        <w:numPr>
          <w:ilvl w:val="0"/>
          <w:numId w:val="12"/>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i/>
          <w:sz w:val="24"/>
          <w:szCs w:val="22"/>
          <w:lang w:val="en-GB" w:eastAsia="en-US"/>
        </w:rPr>
        <w:lastRenderedPageBreak/>
        <w:t>Prudential Standard AP</w:t>
      </w:r>
      <w:r w:rsidRPr="009023F2">
        <w:rPr>
          <w:rFonts w:ascii="Times New Roman" w:eastAsia="Calibri" w:hAnsi="Times New Roman"/>
          <w:i/>
          <w:iCs/>
          <w:sz w:val="24"/>
          <w:szCs w:val="22"/>
          <w:lang w:val="en-GB" w:eastAsia="en-US"/>
        </w:rPr>
        <w:t>S 330 Capital Adequacy: Public Disclosure of Prudential Information</w:t>
      </w:r>
      <w:r w:rsidRPr="009023F2">
        <w:rPr>
          <w:rFonts w:ascii="Times New Roman" w:eastAsia="Calibri" w:hAnsi="Times New Roman"/>
          <w:sz w:val="24"/>
          <w:szCs w:val="22"/>
          <w:lang w:val="en-GB" w:eastAsia="en-US"/>
        </w:rPr>
        <w:t xml:space="preserve"> (APS 330).</w:t>
      </w:r>
    </w:p>
    <w:p w:rsidR="00A6571D" w:rsidRPr="009023F2" w:rsidRDefault="00A6571D" w:rsidP="00A6571D">
      <w:pPr>
        <w:spacing w:after="120"/>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US" w:eastAsia="en-US"/>
        </w:rPr>
        <w:t xml:space="preserve">The introduction of Basel III in Australia also necessitates a new reporting standard, </w:t>
      </w:r>
      <w:r w:rsidRPr="009023F2">
        <w:rPr>
          <w:rFonts w:ascii="Times New Roman" w:eastAsia="Calibri" w:hAnsi="Times New Roman"/>
          <w:i/>
          <w:iCs/>
          <w:sz w:val="24"/>
          <w:szCs w:val="22"/>
          <w:lang w:val="en-US" w:eastAsia="en-US"/>
        </w:rPr>
        <w:t>Reporting Standard ARS 111 Fair Values</w:t>
      </w:r>
      <w:r w:rsidRPr="009023F2">
        <w:rPr>
          <w:rFonts w:ascii="Times New Roman" w:eastAsia="Calibri" w:hAnsi="Times New Roman"/>
          <w:i/>
          <w:sz w:val="24"/>
          <w:szCs w:val="22"/>
          <w:lang w:val="en-US" w:eastAsia="en-US"/>
        </w:rPr>
        <w:t xml:space="preserve"> </w:t>
      </w:r>
      <w:r w:rsidRPr="009023F2">
        <w:rPr>
          <w:rFonts w:ascii="Times New Roman" w:eastAsia="Calibri" w:hAnsi="Times New Roman"/>
          <w:sz w:val="24"/>
          <w:szCs w:val="22"/>
          <w:lang w:val="en-US" w:eastAsia="en-US"/>
        </w:rPr>
        <w:t xml:space="preserve">(ARS 111) and minor changes to many other prudential and reporting standards. </w:t>
      </w:r>
    </w:p>
    <w:p w:rsidR="00A6571D" w:rsidRPr="009023F2" w:rsidRDefault="00A6571D" w:rsidP="00A6571D">
      <w:pPr>
        <w:spacing w:before="240" w:after="120"/>
        <w:jc w:val="both"/>
        <w:outlineLvl w:val="2"/>
        <w:rPr>
          <w:rFonts w:ascii="Times New Roman" w:eastAsia="Calibri" w:hAnsi="Times New Roman"/>
          <w:b/>
          <w:sz w:val="28"/>
          <w:szCs w:val="28"/>
          <w:lang w:val="en-GB" w:eastAsia="en-US"/>
        </w:rPr>
      </w:pPr>
      <w:r w:rsidRPr="009023F2">
        <w:rPr>
          <w:rFonts w:ascii="Times New Roman" w:eastAsia="Calibri" w:hAnsi="Times New Roman"/>
          <w:b/>
          <w:sz w:val="28"/>
          <w:szCs w:val="28"/>
          <w:lang w:val="en-GB" w:eastAsia="en-US"/>
        </w:rPr>
        <w:t>Options</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APRA has identified four options:</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 xml:space="preserve">maintain APRA’s existing prudential framework; </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 xml:space="preserve">implement some of the Basel III measures; </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fully implement Basel III; or</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implement stronger measures than proposed by Basel III.</w:t>
      </w:r>
    </w:p>
    <w:p w:rsidR="00A6571D" w:rsidRPr="009023F2" w:rsidRDefault="00A6571D" w:rsidP="00A6571D">
      <w:pPr>
        <w:spacing w:before="240" w:after="120"/>
        <w:jc w:val="both"/>
        <w:outlineLvl w:val="2"/>
        <w:rPr>
          <w:rFonts w:ascii="Times New Roman" w:eastAsia="Calibri" w:hAnsi="Times New Roman"/>
          <w:b/>
          <w:sz w:val="28"/>
          <w:szCs w:val="28"/>
          <w:lang w:val="en-GB" w:eastAsia="en-US"/>
        </w:rPr>
      </w:pPr>
      <w:r w:rsidRPr="009023F2">
        <w:rPr>
          <w:rFonts w:ascii="Times New Roman" w:eastAsia="Calibri" w:hAnsi="Times New Roman"/>
          <w:b/>
          <w:sz w:val="28"/>
          <w:szCs w:val="28"/>
          <w:lang w:val="en-GB" w:eastAsia="en-US"/>
        </w:rPr>
        <w:t>Impact analysis</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9023F2">
        <w:rPr>
          <w:rFonts w:ascii="Times New Roman" w:eastAsia="Calibri" w:hAnsi="Times New Roman"/>
          <w:b/>
          <w:sz w:val="24"/>
          <w:szCs w:val="22"/>
          <w:lang w:val="en-GB" w:eastAsia="en-US"/>
        </w:rPr>
        <w:t>Assessment of costs and benefits</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There are two types of cost for ADIs that are relevant to any discussion on implementing Basel III: the cost of increased loss-absorbing capital and compliance costs. As part of the consultation process, APRA invited submissions on the impact of implementing Basel III in these two areas, including a specific invitation to use the OBPR’s Business Cost Calculator (BCC). APRA received minimal cost/benefit feedback from affected institutions and no ADI used the BCC. Other information was submitted by larger ADIs through a number of Quantitative Impact Studies (QIS) initiated by the Basel Committee.</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In the absence of data provided by ADIs, it is difficult for APRA to be able to estimate the compliance costs of adjusting to the Basel III capital reforms. APRA notes, however, that the Basel III capital regime, while more restrictive than the Basel II regime in some aspects, is not in totality materially more complex. Thus, APRA does not expect that ADIs would incur materially higher compliance costs under APRA’s Basel III proposals.</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However, increased levels of loss-absorbing capital do potentially impose business costs that ADIs may seek to pass onto customers. APRA’s view is that these costs are minor relative to the potential benefits from a safer financial system.  </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9023F2">
        <w:rPr>
          <w:rFonts w:ascii="Times New Roman" w:eastAsia="Calibri" w:hAnsi="Times New Roman"/>
          <w:b/>
          <w:sz w:val="24"/>
          <w:szCs w:val="22"/>
          <w:lang w:val="en-GB" w:eastAsia="en-US"/>
        </w:rPr>
        <w:t>Option 1 – maintain APRA’s existing prudential framework</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The potential costs of this option are extreme, but long term and latent as they are not immediately ascertainable.</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The global financial crisis exposed weaknesses in the Basel II regulatory framework that strongly contributed to the severity of the crisis. Australia’s current prudential framework is closely aligned with Basel II and contains those same weaknesses. Whilst, for a variety of reasons, Australia’s experience of the crisis was less severe than some jurisdictions, Australia should not rely on those same factors being present for the next crisis. The weaknesses in Australia’s prudential framework need to be addressed.</w:t>
      </w:r>
    </w:p>
    <w:p w:rsidR="00A6571D" w:rsidRPr="009023F2" w:rsidRDefault="00A6571D" w:rsidP="00A6571D">
      <w:pPr>
        <w:autoSpaceDE w:val="0"/>
        <w:autoSpaceDN w:val="0"/>
        <w:adjustRightInd w:val="0"/>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US" w:eastAsia="en-US"/>
        </w:rPr>
        <w:t xml:space="preserve">Furthermore, this option would be at odds with Australia’s G20 commitment to implement the Basel III reforms no later than the internationally agreed timeframe; </w:t>
      </w:r>
      <w:r w:rsidRPr="009023F2">
        <w:rPr>
          <w:rFonts w:ascii="Times New Roman" w:eastAsia="Calibri" w:hAnsi="Times New Roman"/>
          <w:sz w:val="24"/>
          <w:szCs w:val="22"/>
          <w:lang w:val="en-US" w:eastAsia="en-US"/>
        </w:rPr>
        <w:lastRenderedPageBreak/>
        <w:t>leaving Australia as the only member of the G20 that would not follow through on the commitment made at the Seoul summit of November 2010.</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Also, if Option 1 were pursued, internationally active ADIs would likely suffer increased funding costs because Australia’s regulatory regime would be less robust than international best practice and global investors would seek higher returns to compensate for the increased risk. Such higher funding costs would negatively affect ADI profitability or be passed onto customers. </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In addition, foreign bank branches operating in Australia would potentially be at a competitive disadvantage compared to Australian ADIs (whether internationally active or not) as foreign bank branches will effectively be subject to Basel III via their home jurisdictions.</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Maintaining APRA’s current prudential regime would only have an immediate flow-on effect to ADI customers via potentially increased funding costs as outlined above, but would expose ADI customers to a greater risk of institutional failure and expose Australians generally to a greater risk of systemic instability. As can currently be observed in other jurisdictions (e.g. Spain, Ireland, UK), those costs can be extreme.</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9023F2">
        <w:rPr>
          <w:rFonts w:ascii="Times New Roman" w:eastAsia="Calibri" w:hAnsi="Times New Roman"/>
          <w:b/>
          <w:sz w:val="24"/>
          <w:szCs w:val="22"/>
          <w:lang w:val="en-GB" w:eastAsia="en-US"/>
        </w:rPr>
        <w:t xml:space="preserve">Option 2 – partially implement Basel III </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APRA is of the view that partially implementing Basel III would not present material advantages to ADIs or the community in general. The Basel III measures address interlinked weaknesses in the current prudential framework. Failure to implement one element of the package would undermine the effectiveness of those elements which were implemented. </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9023F2">
        <w:rPr>
          <w:rFonts w:ascii="Times New Roman" w:eastAsia="Calibri" w:hAnsi="Times New Roman"/>
          <w:b/>
          <w:sz w:val="24"/>
          <w:szCs w:val="22"/>
          <w:lang w:val="en-GB" w:eastAsia="en-US"/>
        </w:rPr>
        <w:t>Option 3 – fully implement Basel III</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APRA’s analysis is that ADIs are well placed to meet the new requirements from 1 January 2013. For example, most ADIs already meet the higher minimum common equity requirements and will have until January 2016 to raise the capital necessary to meet the capital conservation buffer. This extra capital requirement will be largely generated by retained earnings without serious erosion of dividend pay-out ratios. Further, APRA is allowing long transition arrangements for some aspects, such as the regulatory treatment of instruments that qualified as capital under Basel II but do not qualify under Basel III.</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APRA acknowledges that adjusting to the reforms will also impose some compliance costs as ADIs change their current processes and systems, but these are not seen as material. Changes to existing reporting requirements are minimal and only one new form will be introduced. Once these adjusted processes and systems are in place, however, there should be little difference in on-going compliance costs from those arising now.</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There is a long-term economic impact of the Basel III reforms</w:t>
      </w:r>
      <w:r w:rsidRPr="009023F2">
        <w:rPr>
          <w:rFonts w:ascii="Times New Roman" w:eastAsia="Calibri" w:hAnsi="Times New Roman"/>
          <w:sz w:val="24"/>
          <w:szCs w:val="22"/>
          <w:vertAlign w:val="superscript"/>
          <w:lang w:val="en-GB" w:eastAsia="en-US"/>
        </w:rPr>
        <w:footnoteReference w:id="5"/>
      </w:r>
      <w:r w:rsidRPr="009023F2">
        <w:rPr>
          <w:rFonts w:ascii="Times New Roman" w:eastAsia="Calibri" w:hAnsi="Times New Roman"/>
          <w:sz w:val="24"/>
          <w:szCs w:val="22"/>
          <w:lang w:val="en-GB" w:eastAsia="en-US"/>
        </w:rPr>
        <w:t>. The ‘cost’ impact in the chain of economic effects of higher regulatory capital ratios is:</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higher equity ratios for ADIs;</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higher weighted funding costs (including debt and equity funding) and lower return on equity;</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lastRenderedPageBreak/>
        <w:t>banking institutions increase lending rates to restore some of their lost return on equity;</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borrowers increase their aggregate borrowings more slowly than would otherwise have been the case; and</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gross domestic product (GDP) grows more slowly than would otherwise have been the case, for most of the business cycle.</w:t>
      </w:r>
    </w:p>
    <w:p w:rsidR="00A6571D" w:rsidRPr="009023F2" w:rsidRDefault="00A6571D" w:rsidP="00A6571D">
      <w:pPr>
        <w:spacing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The ‘benefit’ chain is:</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higher equity ratios for ADIs;</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safer ADIs, which can therefore borrow funds and raise capital more cheaply;</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reduced failure of ADIs and impairment rates; and</w:t>
      </w:r>
    </w:p>
    <w:p w:rsidR="00A6571D" w:rsidRPr="009023F2" w:rsidRDefault="00A6571D" w:rsidP="00A6571D">
      <w:pPr>
        <w:numPr>
          <w:ilvl w:val="0"/>
          <w:numId w:val="12"/>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reduced risk and potential depths of financial crises.</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9023F2">
        <w:rPr>
          <w:rFonts w:ascii="Times New Roman" w:eastAsia="Calibri" w:hAnsi="Times New Roman"/>
          <w:sz w:val="24"/>
          <w:szCs w:val="22"/>
          <w:lang w:val="en-US" w:eastAsia="en-US"/>
        </w:rPr>
        <w:t>To assist in this analysis,</w:t>
      </w:r>
      <w:r w:rsidRPr="009023F2">
        <w:rPr>
          <w:rFonts w:ascii="Times New Roman" w:eastAsia="Calibri" w:hAnsi="Times New Roman"/>
          <w:sz w:val="24"/>
          <w:szCs w:val="22"/>
          <w:lang w:val="en-GB" w:eastAsia="en-US"/>
        </w:rPr>
        <w:t xml:space="preserve"> APRA specifically invited ADIs to determine the expected impact on loan pricing as a result of an increase in the minimum required common equity capital ratio. ADIs responded with estimates on the increased cost to a typical mortgage of around 10 basis points if the required common equity capital requirement increased by 200 basis points. However, APRA estimates that the cost to a typical mortgage would be (at most) around five basis points on a full cost-recovery basis. APRA’s analysis is included in Attachment A</w:t>
      </w:r>
      <w:r w:rsidRPr="009023F2">
        <w:rPr>
          <w:rFonts w:ascii="Times New Roman" w:eastAsia="Calibri" w:hAnsi="Times New Roman"/>
          <w:sz w:val="24"/>
          <w:szCs w:val="22"/>
          <w:vertAlign w:val="superscript"/>
          <w:lang w:val="en-GB" w:eastAsia="en-US"/>
        </w:rPr>
        <w:footnoteReference w:id="6"/>
      </w:r>
      <w:r w:rsidRPr="009023F2">
        <w:rPr>
          <w:rFonts w:ascii="Times New Roman" w:eastAsia="Calibri" w:hAnsi="Times New Roman"/>
          <w:sz w:val="24"/>
          <w:szCs w:val="22"/>
          <w:lang w:val="en-GB" w:eastAsia="en-US"/>
        </w:rPr>
        <w:t>.</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Against this, higher regulatory capital requirements are designed to make Australia’s banking institutions safer and, accordingly, enjoy comparatively lower funding costs, more access to funding and, to some extent, a lower required return on equity. These benefits are appreciable but difficult to calculate in the context of any specific banking institution’s cost of equity and cost of funding. These issues should be considered in the context of Basel Committee estimates that a financial crisis occurs every 20 to 25 years, resulting in estimated losses of between 10 to 50 per cent of GDP. APRA notes that Australia’s experience does not accord with these estimates: the last systemic banking crisis occurred in the 1890s while the last banking failures (which were outside the prudential regulation system applicable then) were in the early 1990s. </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Statistically, Australia’s economy and banking system will be more often exposed to a typical recession rather than an atypical crisis. However, in the event of a recession, a more strongly capitalised banking industry will be materially better placed to maintain its funding and capital access, which in turn will better support those who rely upon the banking system for their own funding and savings needs.</w:t>
      </w:r>
    </w:p>
    <w:p w:rsidR="00A6571D" w:rsidRPr="009023F2" w:rsidRDefault="00A6571D" w:rsidP="00A6571D">
      <w:pPr>
        <w:autoSpaceDE w:val="0"/>
        <w:autoSpaceDN w:val="0"/>
        <w:adjustRightInd w:val="0"/>
        <w:spacing w:after="120"/>
        <w:jc w:val="both"/>
        <w:rPr>
          <w:rFonts w:ascii="Times New Roman" w:eastAsia="AGaramondPro-Regular" w:hAnsi="Times New Roman"/>
          <w:b/>
          <w:sz w:val="24"/>
          <w:szCs w:val="22"/>
          <w:lang w:val="en-US" w:eastAsia="en-US"/>
        </w:rPr>
      </w:pPr>
      <w:r w:rsidRPr="009023F2">
        <w:rPr>
          <w:rFonts w:ascii="Times New Roman" w:eastAsia="Calibri" w:hAnsi="Times New Roman"/>
          <w:sz w:val="24"/>
          <w:szCs w:val="22"/>
          <w:lang w:val="en-GB" w:eastAsia="en-US"/>
        </w:rPr>
        <w:t>APRA notes the view of the International Monetary Fund (IMF), expressed in Chapter 3 of its recent Global Financial Stability Review</w:t>
      </w:r>
      <w:r w:rsidRPr="009023F2">
        <w:rPr>
          <w:rFonts w:ascii="Times New Roman" w:eastAsia="Calibri" w:hAnsi="Times New Roman"/>
          <w:sz w:val="24"/>
          <w:szCs w:val="22"/>
          <w:vertAlign w:val="superscript"/>
          <w:lang w:val="en-GB" w:eastAsia="en-US"/>
        </w:rPr>
        <w:footnoteReference w:id="7"/>
      </w:r>
      <w:r w:rsidRPr="009023F2">
        <w:rPr>
          <w:rFonts w:ascii="Times New Roman" w:eastAsia="Calibri" w:hAnsi="Times New Roman"/>
          <w:sz w:val="24"/>
          <w:szCs w:val="22"/>
          <w:lang w:val="en-GB" w:eastAsia="en-US"/>
        </w:rPr>
        <w:t>, that ‘</w:t>
      </w:r>
      <w:r w:rsidRPr="009023F2">
        <w:rPr>
          <w:rFonts w:ascii="Times New Roman" w:eastAsia="AGaramondPro-Regular" w:hAnsi="Times New Roman"/>
          <w:sz w:val="24"/>
          <w:szCs w:val="22"/>
          <w:lang w:val="en-US" w:eastAsia="en-US"/>
        </w:rPr>
        <w:t>assessments of the economic costs and benefits, both transitional and long term, of the Basel III capital and liquidity standards have shown that the long-term benefits vastly exceed the transitional costs’. Nevertheless, the IMF has observed that banks may respond to regulatory change with innovative product design in an attempt to circumvent the new requirements and that, in addition, some risk-taking activities may move to the non-</w:t>
      </w:r>
      <w:r w:rsidRPr="009023F2">
        <w:rPr>
          <w:rFonts w:ascii="Times New Roman" w:eastAsia="AGaramondPro-Regular" w:hAnsi="Times New Roman"/>
          <w:sz w:val="24"/>
          <w:szCs w:val="22"/>
          <w:lang w:val="en-US" w:eastAsia="en-US"/>
        </w:rPr>
        <w:lastRenderedPageBreak/>
        <w:t>bank sector. APRA acknowledges that these risks are attached to any change in the regulatory framework and APRA is watchful of such developments. In APRA’s view, these risks are less prominent in Australia — given the structure of the financial system — than in many other jurisdictions, where, for example, shadow banking has a significant and long standing presence.</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APRA’s view accords with that of the IMF in that the immediate costs are minor and outweighed by the benefits of maintaining an appropriately conservative level of banking regulation in Australia. The Basel III reforms were developed in response to deficiencies in the current capital framework identified during the global financial crisis, which saw the collapse of banking institutions across the world and significant detriment to individual economies. APRA agrees with the Basel Committee’s assessment of these deficiencies and is of the view that implementing the reform measures in Australia will make the Australian banking system more resilient to future financial crises. Preventing ADI failure is of direct benefit to depositors and shareholders of the institution involved while protecting the banking system is of benefit to the whole community. </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The reforms will benefit ADIs in other ways. The global financial crisis demonstrated the importance of market sentiment in maintaining the banking sector. Choosing not to implement Basel III in circumstances where other jurisdictions do implement these reforms would probably lead to the market perception that Australian ADIs were exposed to higher risk. This perception would place these ADIs at a competitive disadvantage relative to overseas peers and result in lower credit ratings and increased wholesale borrowing costs. Adopting the new minimum capital levels and regulatory adjustment requirements at the earliest start dates applicable under the Basel III timetable benefits ADIs in demonstrating their already sound capital position. </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9023F2">
        <w:rPr>
          <w:rFonts w:ascii="Times New Roman" w:eastAsia="Calibri" w:hAnsi="Times New Roman"/>
          <w:b/>
          <w:sz w:val="24"/>
          <w:szCs w:val="22"/>
          <w:lang w:val="en-GB" w:eastAsia="en-US"/>
        </w:rPr>
        <w:t>Option 4 - implement stronger measures than proposed by the Basel Committee</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APRA’s general regulatory approach is to at least adopt the minimum standards applicable globally, and where there is good reason to do so, adopt a relatively conservative application of these standards. In the case of Basel III, however, APRA has in general elected to implement the international standard as-is, albeit exercising the discretions available within Basel III to ensure that Australia remains positioned relatively conservatively in global terms.</w:t>
      </w:r>
    </w:p>
    <w:p w:rsidR="00A6571D" w:rsidRPr="009023F2" w:rsidRDefault="00A6571D" w:rsidP="00A6571D">
      <w:pPr>
        <w:spacing w:after="120"/>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APRA is comfortable that its proposed implementation of Basel III sufficiently addresses the weaknesses identified in the existing capital standards. APRA needs to maintain a balance between the need for prudential safety and economic efficiency for ADIs. If APRA was to impose significantly more conservative standards than Basel III, which would further increase the capital levels of ADIs, this may discourage foreign ADI subsidiaries from entering or continuing their business in Australia. In addition, the incremental costs of the extra conservatism may not be offset by the need to address residual deficiencies in the regulatory framework. APRA does not believe it is appropriate to implement requirements that become economically prohibitive.</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9023F2">
        <w:rPr>
          <w:rFonts w:ascii="Times New Roman" w:eastAsia="Calibri" w:hAnsi="Times New Roman"/>
          <w:b/>
          <w:sz w:val="24"/>
          <w:szCs w:val="22"/>
          <w:lang w:val="en-GB" w:eastAsia="en-US"/>
        </w:rPr>
        <w:t>Consultation</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During its review of the current capital adequacy framework, the Basel Committee invited public comment and sought quantitative data on its proposals. Of a series of consultative documents issued publicly, the December 2009 </w:t>
      </w:r>
      <w:r w:rsidRPr="009023F2">
        <w:rPr>
          <w:rFonts w:ascii="Times New Roman" w:eastAsia="Calibri" w:hAnsi="Times New Roman"/>
          <w:i/>
          <w:iCs/>
          <w:sz w:val="24"/>
          <w:szCs w:val="22"/>
          <w:lang w:val="en-US" w:eastAsia="en-US"/>
        </w:rPr>
        <w:t xml:space="preserve">Strengthening the </w:t>
      </w:r>
      <w:r w:rsidRPr="009023F2">
        <w:rPr>
          <w:rFonts w:ascii="Times New Roman" w:eastAsia="Calibri" w:hAnsi="Times New Roman"/>
          <w:i/>
          <w:iCs/>
          <w:sz w:val="24"/>
          <w:szCs w:val="22"/>
          <w:lang w:val="en-US" w:eastAsia="en-US"/>
        </w:rPr>
        <w:lastRenderedPageBreak/>
        <w:t>resilience of the banking sector</w:t>
      </w:r>
      <w:r w:rsidRPr="009023F2">
        <w:rPr>
          <w:rFonts w:ascii="Times New Roman" w:eastAsia="Calibri" w:hAnsi="Times New Roman"/>
          <w:sz w:val="24"/>
          <w:szCs w:val="22"/>
          <w:vertAlign w:val="superscript"/>
          <w:lang w:val="en-US" w:eastAsia="en-US"/>
        </w:rPr>
        <w:footnoteReference w:id="8"/>
      </w:r>
      <w:r w:rsidRPr="009023F2">
        <w:rPr>
          <w:rFonts w:ascii="Times New Roman" w:eastAsia="Calibri" w:hAnsi="Times New Roman"/>
          <w:sz w:val="24"/>
          <w:szCs w:val="22"/>
          <w:lang w:val="en-GB" w:eastAsia="en-US"/>
        </w:rPr>
        <w:t xml:space="preserve"> set out in detail the proposed capital reforms. Over 200 submissions received through this process (including from ADIs in Australia and Australian industry groups) were published in April 2010</w:t>
      </w:r>
      <w:r w:rsidRPr="009023F2">
        <w:rPr>
          <w:rFonts w:ascii="Times New Roman" w:eastAsia="Calibri" w:hAnsi="Times New Roman"/>
          <w:sz w:val="24"/>
          <w:szCs w:val="22"/>
          <w:vertAlign w:val="superscript"/>
          <w:lang w:val="en-US" w:eastAsia="en-US"/>
        </w:rPr>
        <w:footnoteReference w:id="9"/>
      </w:r>
      <w:r w:rsidRPr="009023F2">
        <w:rPr>
          <w:rFonts w:ascii="Times New Roman" w:eastAsia="Calibri" w:hAnsi="Times New Roman"/>
          <w:sz w:val="24"/>
          <w:szCs w:val="22"/>
          <w:lang w:val="en-GB" w:eastAsia="en-US"/>
        </w:rPr>
        <w:t>.</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APRA has also undertaken extensive consultation on the proposed implementation of the Basel III capital reforms in Australia, beginning with a series of letters to the ADI industry in 2009.</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APRA’s formal public consultation consisted of the following:</w:t>
      </w:r>
    </w:p>
    <w:p w:rsidR="00A6571D" w:rsidRPr="009023F2" w:rsidRDefault="00A6571D" w:rsidP="00A6571D">
      <w:pPr>
        <w:numPr>
          <w:ilvl w:val="0"/>
          <w:numId w:val="11"/>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September 2011: </w:t>
      </w:r>
      <w:r w:rsidRPr="009023F2">
        <w:rPr>
          <w:rFonts w:ascii="Times New Roman" w:eastAsia="Calibri" w:hAnsi="Times New Roman"/>
          <w:i/>
          <w:iCs/>
          <w:sz w:val="24"/>
          <w:szCs w:val="22"/>
          <w:lang w:val="en-GB" w:eastAsia="en-US"/>
        </w:rPr>
        <w:t>Implementing Basel III capital reforms in Australia</w:t>
      </w:r>
      <w:r w:rsidRPr="009023F2">
        <w:rPr>
          <w:rFonts w:ascii="Times New Roman" w:eastAsia="Calibri" w:hAnsi="Times New Roman"/>
          <w:sz w:val="24"/>
          <w:szCs w:val="22"/>
          <w:lang w:val="en-GB" w:eastAsia="en-US"/>
        </w:rPr>
        <w:t xml:space="preserve"> (discussion paper);</w:t>
      </w:r>
    </w:p>
    <w:p w:rsidR="00A6571D" w:rsidRPr="009023F2" w:rsidRDefault="00A6571D" w:rsidP="00A6571D">
      <w:pPr>
        <w:numPr>
          <w:ilvl w:val="0"/>
          <w:numId w:val="11"/>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March 2012: </w:t>
      </w:r>
      <w:r w:rsidRPr="009023F2">
        <w:rPr>
          <w:rFonts w:ascii="Times New Roman" w:eastAsia="Calibri" w:hAnsi="Times New Roman"/>
          <w:i/>
          <w:iCs/>
          <w:sz w:val="24"/>
          <w:szCs w:val="22"/>
          <w:lang w:val="en-GB" w:eastAsia="en-US"/>
        </w:rPr>
        <w:t>Implementing Basel III capital reforms in Australia</w:t>
      </w:r>
      <w:r w:rsidRPr="009023F2">
        <w:rPr>
          <w:rFonts w:ascii="Times New Roman" w:eastAsia="Calibri" w:hAnsi="Times New Roman"/>
          <w:sz w:val="24"/>
          <w:szCs w:val="22"/>
          <w:lang w:val="en-GB" w:eastAsia="en-US"/>
        </w:rPr>
        <w:t xml:space="preserve"> (first response to submissions paper and draft prudential standards); </w:t>
      </w:r>
    </w:p>
    <w:p w:rsidR="00A6571D" w:rsidRPr="009023F2" w:rsidRDefault="00A6571D" w:rsidP="00A6571D">
      <w:pPr>
        <w:numPr>
          <w:ilvl w:val="0"/>
          <w:numId w:val="11"/>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June 2012: </w:t>
      </w:r>
      <w:r w:rsidRPr="009023F2">
        <w:rPr>
          <w:rFonts w:ascii="Times New Roman" w:eastAsia="Calibri" w:hAnsi="Times New Roman"/>
          <w:i/>
          <w:iCs/>
          <w:sz w:val="24"/>
          <w:szCs w:val="22"/>
          <w:lang w:val="en-GB" w:eastAsia="en-US"/>
        </w:rPr>
        <w:t>Basel III capital reforms reporting requirements</w:t>
      </w:r>
      <w:r w:rsidRPr="009023F2">
        <w:rPr>
          <w:rFonts w:ascii="Times New Roman" w:eastAsia="Calibri" w:hAnsi="Times New Roman"/>
          <w:sz w:val="24"/>
          <w:szCs w:val="22"/>
          <w:lang w:val="en-GB" w:eastAsia="en-US"/>
        </w:rPr>
        <w:t xml:space="preserve"> (discussion paper and draft reporting standards);</w:t>
      </w:r>
    </w:p>
    <w:p w:rsidR="00A6571D" w:rsidRPr="009023F2" w:rsidRDefault="00A6571D" w:rsidP="00A6571D">
      <w:pPr>
        <w:numPr>
          <w:ilvl w:val="0"/>
          <w:numId w:val="11"/>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June 2012: </w:t>
      </w:r>
      <w:r w:rsidRPr="009023F2">
        <w:rPr>
          <w:rFonts w:ascii="Times New Roman" w:eastAsia="Calibri" w:hAnsi="Times New Roman"/>
          <w:i/>
          <w:iCs/>
          <w:sz w:val="24"/>
          <w:szCs w:val="22"/>
          <w:lang w:val="en-GB" w:eastAsia="en-US"/>
        </w:rPr>
        <w:t>Basel III Capital - Governing law and joint arrangements</w:t>
      </w:r>
      <w:r w:rsidRPr="009023F2">
        <w:rPr>
          <w:rFonts w:ascii="Times New Roman" w:eastAsia="Calibri" w:hAnsi="Times New Roman"/>
          <w:sz w:val="24"/>
          <w:szCs w:val="22"/>
          <w:lang w:val="en-GB" w:eastAsia="en-US"/>
        </w:rPr>
        <w:t xml:space="preserve"> (letter to industry); </w:t>
      </w:r>
    </w:p>
    <w:p w:rsidR="00A6571D" w:rsidRPr="009023F2" w:rsidRDefault="00A6571D" w:rsidP="00A6571D">
      <w:pPr>
        <w:numPr>
          <w:ilvl w:val="0"/>
          <w:numId w:val="11"/>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August 2012: </w:t>
      </w:r>
      <w:r w:rsidRPr="009023F2">
        <w:rPr>
          <w:rFonts w:ascii="Times New Roman" w:eastAsia="Calibri" w:hAnsi="Times New Roman"/>
          <w:i/>
          <w:iCs/>
          <w:sz w:val="24"/>
          <w:szCs w:val="22"/>
          <w:lang w:val="en-GB" w:eastAsia="en-US"/>
        </w:rPr>
        <w:t>Basel III capital: counterparty credit risk and other measures</w:t>
      </w:r>
      <w:r w:rsidRPr="009023F2">
        <w:rPr>
          <w:rFonts w:ascii="Times New Roman" w:eastAsia="Calibri" w:hAnsi="Times New Roman"/>
          <w:sz w:val="24"/>
          <w:szCs w:val="22"/>
          <w:lang w:val="en-GB" w:eastAsia="en-US"/>
        </w:rPr>
        <w:t xml:space="preserve"> (discussion paper, draft prudential standards and reporting standards);</w:t>
      </w:r>
    </w:p>
    <w:p w:rsidR="00A6571D" w:rsidRPr="009023F2" w:rsidRDefault="00A6571D" w:rsidP="00A6571D">
      <w:pPr>
        <w:numPr>
          <w:ilvl w:val="0"/>
          <w:numId w:val="11"/>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August 2012: </w:t>
      </w:r>
      <w:r w:rsidRPr="009023F2">
        <w:rPr>
          <w:rFonts w:ascii="Times New Roman" w:eastAsia="Calibri" w:hAnsi="Times New Roman"/>
          <w:i/>
          <w:iCs/>
          <w:sz w:val="24"/>
          <w:szCs w:val="22"/>
          <w:lang w:val="en-GB" w:eastAsia="en-US"/>
        </w:rPr>
        <w:t>Basel III capital – reductions in capital</w:t>
      </w:r>
      <w:r w:rsidRPr="009023F2">
        <w:rPr>
          <w:rFonts w:ascii="Times New Roman" w:eastAsia="Calibri" w:hAnsi="Times New Roman"/>
          <w:sz w:val="24"/>
          <w:szCs w:val="22"/>
          <w:lang w:val="en-GB" w:eastAsia="en-US"/>
        </w:rPr>
        <w:t xml:space="preserve"> (letter to industry); </w:t>
      </w:r>
    </w:p>
    <w:p w:rsidR="00A6571D" w:rsidRPr="009023F2" w:rsidRDefault="00A6571D" w:rsidP="00A6571D">
      <w:pPr>
        <w:numPr>
          <w:ilvl w:val="0"/>
          <w:numId w:val="11"/>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September 2012: </w:t>
      </w:r>
      <w:r w:rsidRPr="009023F2">
        <w:rPr>
          <w:rFonts w:ascii="Times New Roman" w:eastAsia="Calibri" w:hAnsi="Times New Roman"/>
          <w:i/>
          <w:iCs/>
          <w:sz w:val="24"/>
          <w:szCs w:val="22"/>
          <w:lang w:val="en-GB" w:eastAsia="en-US"/>
        </w:rPr>
        <w:t>Implementing Basel III capital reforms in Australia</w:t>
      </w:r>
      <w:r w:rsidRPr="009023F2">
        <w:rPr>
          <w:rFonts w:ascii="Times New Roman" w:eastAsia="Calibri" w:hAnsi="Times New Roman"/>
          <w:sz w:val="24"/>
          <w:szCs w:val="22"/>
          <w:lang w:val="en-GB" w:eastAsia="en-US"/>
        </w:rPr>
        <w:t xml:space="preserve"> (second response to submissions paper, prudential and reporting standards); and</w:t>
      </w:r>
    </w:p>
    <w:p w:rsidR="00A6571D" w:rsidRPr="009023F2" w:rsidRDefault="00A6571D" w:rsidP="00A6571D">
      <w:pPr>
        <w:numPr>
          <w:ilvl w:val="0"/>
          <w:numId w:val="11"/>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November 2012: </w:t>
      </w:r>
      <w:r w:rsidRPr="009023F2">
        <w:rPr>
          <w:rFonts w:ascii="Times New Roman" w:eastAsia="Calibri" w:hAnsi="Times New Roman"/>
          <w:i/>
          <w:iCs/>
          <w:sz w:val="24"/>
          <w:szCs w:val="22"/>
          <w:lang w:val="en-GB" w:eastAsia="en-US"/>
        </w:rPr>
        <w:t>Implementing Basel III capital reforms in Australia – counterparty credit risk and other measures</w:t>
      </w:r>
      <w:r w:rsidRPr="009023F2">
        <w:rPr>
          <w:rFonts w:ascii="Times New Roman" w:eastAsia="Calibri" w:hAnsi="Times New Roman"/>
          <w:i/>
          <w:sz w:val="24"/>
          <w:szCs w:val="22"/>
          <w:lang w:val="en-GB" w:eastAsia="en-US"/>
        </w:rPr>
        <w:t xml:space="preserve"> </w:t>
      </w:r>
      <w:r w:rsidRPr="009023F2">
        <w:rPr>
          <w:rFonts w:ascii="Times New Roman" w:eastAsia="Calibri" w:hAnsi="Times New Roman"/>
          <w:sz w:val="24"/>
          <w:szCs w:val="22"/>
          <w:lang w:val="en-GB" w:eastAsia="en-US"/>
        </w:rPr>
        <w:t xml:space="preserve">(response to submissions paper, prudential and reporting standards, prudential practice guides and revised </w:t>
      </w:r>
      <w:r w:rsidRPr="009023F2">
        <w:rPr>
          <w:rFonts w:ascii="Times New Roman" w:eastAsia="Calibri" w:hAnsi="Times New Roman"/>
          <w:i/>
          <w:iCs/>
          <w:sz w:val="24"/>
          <w:szCs w:val="22"/>
          <w:lang w:val="en-GB" w:eastAsia="en-US"/>
        </w:rPr>
        <w:t>Guidelines on Recognition of an External Credit Assessment Institution</w:t>
      </w:r>
      <w:r w:rsidRPr="009023F2">
        <w:rPr>
          <w:rFonts w:ascii="Times New Roman" w:eastAsia="Calibri" w:hAnsi="Times New Roman"/>
          <w:sz w:val="24"/>
          <w:szCs w:val="22"/>
          <w:lang w:val="en-GB" w:eastAsia="en-US"/>
        </w:rPr>
        <w:t>).</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APRA engaged directly with relevant industry associations as part of the consultation process, made presentations at industry conferences and held industry seminars on Basel III in conjunction with the Financial Services Institute of Australasia (</w:t>
      </w:r>
      <w:proofErr w:type="spellStart"/>
      <w:r w:rsidRPr="009023F2">
        <w:rPr>
          <w:rFonts w:ascii="Times New Roman" w:eastAsia="Calibri" w:hAnsi="Times New Roman"/>
          <w:sz w:val="24"/>
          <w:szCs w:val="22"/>
          <w:lang w:val="en-US" w:eastAsia="en-US"/>
        </w:rPr>
        <w:t>Finsia</w:t>
      </w:r>
      <w:proofErr w:type="spellEnd"/>
      <w:r w:rsidRPr="009023F2">
        <w:rPr>
          <w:rFonts w:ascii="Times New Roman" w:eastAsia="Calibri" w:hAnsi="Times New Roman"/>
          <w:sz w:val="24"/>
          <w:szCs w:val="22"/>
          <w:lang w:val="en-US" w:eastAsia="en-US"/>
        </w:rPr>
        <w:t xml:space="preserve">). </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APRA has also consulted on the proposed amendments to the reporting standards with the RBA and ABS. No concerns were raised by these agencies.</w:t>
      </w:r>
    </w:p>
    <w:p w:rsidR="00A6571D" w:rsidRPr="009023F2" w:rsidRDefault="00A6571D" w:rsidP="00A6571D">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Industry supports APRA’s implementation of Basel III and few written submissions were received on the various consultation packages. There were requests for clarification on a number of technical aspects. More significant matters raised in submissions were:</w:t>
      </w:r>
    </w:p>
    <w:p w:rsidR="00A6571D" w:rsidRPr="009023F2" w:rsidRDefault="00A6571D" w:rsidP="00A6571D">
      <w:pPr>
        <w:numPr>
          <w:ilvl w:val="0"/>
          <w:numId w:val="10"/>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requests for APRA to facilitate cross-border comparisons of ADIs’ capital ratios. Basel II and Basel III provide national supervisors with discretion over the approach to particular technical matters. APRA has traditionally taken a conservative approach to the exercise of these discretions, which served the Australian banking sector well during the global financial crisis but means that ADIs appear to be less well capitalised than they would if operating in other countries that took a different stance on these discretions. The Basel Committee </w:t>
      </w:r>
      <w:r w:rsidRPr="009023F2">
        <w:rPr>
          <w:rFonts w:ascii="Times New Roman" w:eastAsia="Calibri" w:hAnsi="Times New Roman"/>
          <w:sz w:val="24"/>
          <w:szCs w:val="22"/>
          <w:lang w:val="en-GB" w:eastAsia="en-US"/>
        </w:rPr>
        <w:lastRenderedPageBreak/>
        <w:t>has released a common template to enable international comparability, which APRA proposes to implement in June 2013;</w:t>
      </w:r>
    </w:p>
    <w:p w:rsidR="00A6571D" w:rsidRPr="009023F2" w:rsidRDefault="00A6571D" w:rsidP="00A6571D">
      <w:pPr>
        <w:numPr>
          <w:ilvl w:val="0"/>
          <w:numId w:val="10"/>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 xml:space="preserve">APRA’s </w:t>
      </w:r>
      <w:r w:rsidRPr="009023F2">
        <w:rPr>
          <w:rFonts w:ascii="Times New Roman" w:eastAsia="Calibri" w:hAnsi="Times New Roman"/>
          <w:i/>
          <w:iCs/>
          <w:sz w:val="24"/>
          <w:szCs w:val="22"/>
          <w:lang w:val="en-GB" w:eastAsia="en-US"/>
        </w:rPr>
        <w:t>in-principle</w:t>
      </w:r>
      <w:r w:rsidRPr="009023F2">
        <w:rPr>
          <w:rFonts w:ascii="Times New Roman" w:eastAsia="Calibri" w:hAnsi="Times New Roman"/>
          <w:i/>
          <w:sz w:val="24"/>
          <w:szCs w:val="22"/>
          <w:lang w:val="en-GB" w:eastAsia="en-US"/>
        </w:rPr>
        <w:t xml:space="preserve"> </w:t>
      </w:r>
      <w:r w:rsidRPr="009023F2">
        <w:rPr>
          <w:rFonts w:ascii="Times New Roman" w:eastAsia="Calibri" w:hAnsi="Times New Roman"/>
          <w:sz w:val="24"/>
          <w:szCs w:val="22"/>
          <w:lang w:val="en-GB" w:eastAsia="en-US"/>
        </w:rPr>
        <w:t>decision not to exercise its discretion and adopt the threshold treatment of investments in non-consolidated financial institutions and deferred tax assets. APRA’s view is that capital should be available to absorb losses and should not be double-counted; and</w:t>
      </w:r>
    </w:p>
    <w:p w:rsidR="00A6571D" w:rsidRPr="009023F2" w:rsidRDefault="00A6571D" w:rsidP="00A6571D">
      <w:pPr>
        <w:numPr>
          <w:ilvl w:val="0"/>
          <w:numId w:val="10"/>
        </w:numPr>
        <w:spacing w:after="120"/>
        <w:ind w:left="567" w:hanging="567"/>
        <w:jc w:val="both"/>
        <w:rPr>
          <w:rFonts w:ascii="Times New Roman" w:eastAsia="Calibri" w:hAnsi="Times New Roman"/>
          <w:b/>
          <w:sz w:val="24"/>
          <w:szCs w:val="22"/>
          <w:lang w:val="en-GB" w:eastAsia="en-US"/>
        </w:rPr>
      </w:pPr>
      <w:r w:rsidRPr="009023F2">
        <w:rPr>
          <w:rFonts w:ascii="Times New Roman" w:eastAsia="Calibri" w:hAnsi="Times New Roman"/>
          <w:sz w:val="24"/>
          <w:szCs w:val="22"/>
          <w:lang w:val="en-GB" w:eastAsia="en-US"/>
        </w:rPr>
        <w:t>the particular difficulties faced by ADIs with a mutual corporate structure, which are unable to issue ordinary shares. APRA acknowledges this concern and is consulting separately with mutual ADIs.</w:t>
      </w:r>
    </w:p>
    <w:p w:rsidR="00A6571D" w:rsidRPr="009023F2" w:rsidRDefault="00A6571D" w:rsidP="00A6571D">
      <w:pPr>
        <w:autoSpaceDE w:val="0"/>
        <w:autoSpaceDN w:val="0"/>
        <w:adjustRightInd w:val="0"/>
        <w:jc w:val="both"/>
        <w:rPr>
          <w:rFonts w:ascii="Times New Roman" w:hAnsi="Times New Roman"/>
          <w:sz w:val="24"/>
          <w:szCs w:val="24"/>
        </w:rPr>
      </w:pPr>
      <w:r w:rsidRPr="009023F2">
        <w:rPr>
          <w:rFonts w:ascii="Times New Roman" w:hAnsi="Times New Roman"/>
          <w:sz w:val="24"/>
          <w:szCs w:val="24"/>
        </w:rPr>
        <w:t xml:space="preserve">The proposal to amend APS 120 in relation to subordinated tranches was included as a separate chapter in APRA’s November 2011 Discussion Paper </w:t>
      </w:r>
      <w:r w:rsidRPr="009023F2">
        <w:rPr>
          <w:rFonts w:ascii="Times New Roman" w:hAnsi="Times New Roman"/>
          <w:i/>
          <w:sz w:val="24"/>
          <w:szCs w:val="24"/>
        </w:rPr>
        <w:t>Covered bonds and securitisation matters</w:t>
      </w:r>
      <w:r w:rsidRPr="009023F2">
        <w:rPr>
          <w:rFonts w:ascii="Times New Roman" w:hAnsi="Times New Roman"/>
          <w:sz w:val="24"/>
          <w:szCs w:val="24"/>
        </w:rPr>
        <w:t xml:space="preserve"> and the proposed text of APS 120 was included in the July 2012 paper, </w:t>
      </w:r>
      <w:r w:rsidRPr="009023F2">
        <w:rPr>
          <w:rFonts w:ascii="Times New Roman" w:hAnsi="Times New Roman"/>
          <w:i/>
          <w:sz w:val="24"/>
          <w:szCs w:val="24"/>
        </w:rPr>
        <w:t>Response to Submissions Covered bonds and securitisation matters</w:t>
      </w:r>
      <w:r w:rsidRPr="009023F2">
        <w:rPr>
          <w:rFonts w:ascii="Times New Roman" w:hAnsi="Times New Roman"/>
          <w:sz w:val="24"/>
          <w:szCs w:val="24"/>
        </w:rPr>
        <w:t xml:space="preserve"> It was also included in the August 2012 discussion paper </w:t>
      </w:r>
      <w:r w:rsidRPr="009023F2">
        <w:rPr>
          <w:rFonts w:ascii="Times New Roman" w:hAnsi="Times New Roman"/>
          <w:i/>
          <w:sz w:val="24"/>
          <w:szCs w:val="24"/>
        </w:rPr>
        <w:t>Implementing Basel III Capital Reforms in Australia – counterparty credit risk and other measures</w:t>
      </w:r>
      <w:r w:rsidRPr="009023F2">
        <w:rPr>
          <w:rFonts w:ascii="Times New Roman" w:hAnsi="Times New Roman"/>
          <w:sz w:val="24"/>
          <w:szCs w:val="24"/>
        </w:rPr>
        <w:t>.</w:t>
      </w:r>
    </w:p>
    <w:p w:rsidR="00A6571D" w:rsidRPr="009023F2" w:rsidRDefault="00A6571D" w:rsidP="00A6571D">
      <w:pPr>
        <w:spacing w:after="120"/>
        <w:jc w:val="both"/>
        <w:rPr>
          <w:rFonts w:ascii="Times New Roman" w:eastAsia="Calibri" w:hAnsi="Times New Roman"/>
          <w:b/>
          <w:sz w:val="24"/>
          <w:szCs w:val="22"/>
          <w:lang w:val="en-GB" w:eastAsia="en-US"/>
        </w:rPr>
      </w:pPr>
    </w:p>
    <w:p w:rsidR="00A6571D" w:rsidRPr="009023F2" w:rsidRDefault="00A6571D" w:rsidP="00A6571D">
      <w:pPr>
        <w:spacing w:before="240" w:after="120"/>
        <w:jc w:val="both"/>
        <w:outlineLvl w:val="2"/>
        <w:rPr>
          <w:rFonts w:ascii="Times New Roman" w:eastAsia="Calibri" w:hAnsi="Times New Roman"/>
          <w:b/>
          <w:sz w:val="28"/>
          <w:szCs w:val="28"/>
          <w:lang w:val="en-GB" w:eastAsia="en-US"/>
        </w:rPr>
      </w:pPr>
      <w:r w:rsidRPr="009023F2">
        <w:rPr>
          <w:rFonts w:ascii="Times New Roman" w:eastAsia="Calibri" w:hAnsi="Times New Roman"/>
          <w:b/>
          <w:sz w:val="28"/>
          <w:szCs w:val="28"/>
          <w:lang w:val="en-GB" w:eastAsia="en-US"/>
        </w:rPr>
        <w:t>Conclusion and recommended option</w:t>
      </w:r>
    </w:p>
    <w:p w:rsidR="00A6571D" w:rsidRPr="009023F2" w:rsidRDefault="00A6571D" w:rsidP="00A6571D">
      <w:pPr>
        <w:keepNext/>
        <w:spacing w:before="240"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During the global financial crisis, deficiencies in the Basel II framework led to significant institutional failure and financial instability across a number of overseas jurisdictions. Fortunately, there was no Australian financial crisis and, in particular, no Australian banking crisis. The absence of an Australian banking crisis is explained, firstly, by preventive action in the years before 2008 and, secondly, by extraordinary public sector intervention from 2008.</w:t>
      </w:r>
    </w:p>
    <w:p w:rsidR="00A6571D" w:rsidRPr="009023F2" w:rsidRDefault="00A6571D" w:rsidP="00A6571D">
      <w:pPr>
        <w:keepNext/>
        <w:spacing w:before="240"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The major preventive actions included:</w:t>
      </w:r>
    </w:p>
    <w:p w:rsidR="00A6571D" w:rsidRPr="009023F2" w:rsidRDefault="00A6571D" w:rsidP="00A6571D">
      <w:pPr>
        <w:numPr>
          <w:ilvl w:val="0"/>
          <w:numId w:val="10"/>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a relatively benign economic environment;</w:t>
      </w:r>
    </w:p>
    <w:p w:rsidR="00A6571D" w:rsidRPr="009023F2" w:rsidRDefault="00A6571D" w:rsidP="00A6571D">
      <w:pPr>
        <w:numPr>
          <w:ilvl w:val="0"/>
          <w:numId w:val="10"/>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the generally sound management of Australian ADIs, which did not seek to add unsustainably risky assets to their balance sheets or engage in the type of lax lending practice that occurred overseas;</w:t>
      </w:r>
    </w:p>
    <w:p w:rsidR="00A6571D" w:rsidRPr="009023F2" w:rsidRDefault="00A6571D" w:rsidP="00A6571D">
      <w:pPr>
        <w:numPr>
          <w:ilvl w:val="0"/>
          <w:numId w:val="10"/>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proactive APRA supervision, with a focus upon maintaining sound asset quality and adequate capital strength; and</w:t>
      </w:r>
    </w:p>
    <w:p w:rsidR="00A6571D" w:rsidRPr="009023F2" w:rsidRDefault="00A6571D" w:rsidP="00A6571D">
      <w:pPr>
        <w:numPr>
          <w:ilvl w:val="0"/>
          <w:numId w:val="10"/>
        </w:num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a more conservative adoption of the Basel II requirements, many of which are reflected in the Basel III measures.</w:t>
      </w:r>
    </w:p>
    <w:p w:rsidR="00A6571D" w:rsidRPr="009023F2" w:rsidRDefault="00A6571D" w:rsidP="00A6571D">
      <w:pPr>
        <w:spacing w:before="240"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The major public sector interventions during the crisis, including RBA liquidity support and Government guarantee programs, were in response to the impact on liquidity on the Australian banking system caused by the global crisis while other monetary and fiscal actions assisted the economy more broadly. </w:t>
      </w:r>
    </w:p>
    <w:p w:rsidR="00A6571D" w:rsidRPr="009023F2" w:rsidRDefault="00A6571D" w:rsidP="00A6571D">
      <w:pPr>
        <w:spacing w:before="240"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Future adversity may well arise during or due to material reverses in the Australian economy, such as a severe or lengthy recession. Under such conditions, the capital stress upon Australian ADIs would likely be much higher than was the case in the global financial crisis, and the current Australian Basel II framework may be insufficient to withstand this stress. The Basel III framework provides both more </w:t>
      </w:r>
      <w:r w:rsidRPr="009023F2">
        <w:rPr>
          <w:rFonts w:ascii="Times New Roman" w:eastAsia="Calibri" w:hAnsi="Times New Roman"/>
          <w:sz w:val="24"/>
          <w:szCs w:val="22"/>
          <w:lang w:val="en-US" w:eastAsia="en-US"/>
        </w:rPr>
        <w:lastRenderedPageBreak/>
        <w:t>capital, and higher quality capital, in a fashion that will lift the safety and systemic stability of Australia’s ADIs in any future Australian economic adversity.</w:t>
      </w:r>
    </w:p>
    <w:p w:rsidR="00A6571D" w:rsidRPr="009023F2" w:rsidRDefault="00A6571D" w:rsidP="00A6571D">
      <w:pPr>
        <w:spacing w:before="240" w:after="120"/>
        <w:jc w:val="both"/>
        <w:rPr>
          <w:rFonts w:ascii="Times New Roman" w:eastAsia="Calibri" w:hAnsi="Times New Roman"/>
          <w:b/>
          <w:sz w:val="24"/>
          <w:szCs w:val="22"/>
          <w:lang w:val="en-US" w:eastAsia="en-US"/>
        </w:rPr>
      </w:pPr>
      <w:r w:rsidRPr="009023F2">
        <w:rPr>
          <w:rFonts w:ascii="Times New Roman" w:eastAsia="Calibri" w:hAnsi="Times New Roman"/>
          <w:sz w:val="24"/>
          <w:szCs w:val="22"/>
          <w:lang w:val="en-US" w:eastAsia="en-US"/>
        </w:rPr>
        <w:t xml:space="preserve">Although APRA was more conservative than other countries in its implementation of the Basel II framework, the shortcomings of Basel II are reflected in the current capital requirements applying to ADIs in Australia. There is no guarantee that the same factors that protected the Australian banking system during the recent crisis would be relevant in a future financial crisis. </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It is also important that the Australian banking system remains in step with international requirements. If the Australian regulatory framework is judged to be weaker than international norms, the cost of funding for Australian ADIs may increase, leading to flow-through costs to Australian investors and depositors. ADIs cannot simultaneously rely on cross-border funding </w:t>
      </w:r>
      <w:r w:rsidRPr="009023F2">
        <w:rPr>
          <w:rFonts w:ascii="Times New Roman" w:eastAsia="Calibri" w:hAnsi="Times New Roman"/>
          <w:i/>
          <w:sz w:val="24"/>
          <w:szCs w:val="22"/>
          <w:lang w:val="en-US" w:eastAsia="en-US"/>
        </w:rPr>
        <w:t>and</w:t>
      </w:r>
      <w:r w:rsidRPr="009023F2">
        <w:rPr>
          <w:rFonts w:ascii="Times New Roman" w:eastAsia="Calibri" w:hAnsi="Times New Roman"/>
          <w:sz w:val="24"/>
          <w:szCs w:val="22"/>
          <w:lang w:val="en-US" w:eastAsia="en-US"/>
        </w:rPr>
        <w:t xml:space="preserve"> seek to be exempted from some or all of the internationally applicable regulatory reforms. Failing to adopt Basel III would also send negative messages to overseas markets and ratings agencies. It is possible that ADIs would experience ratings downgrades and loss of investor confidence, which would also increase funding costs. </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None of these benefits has been quantified but they are likely to be material. However, the benefits need to be balanced against the fact that the proposed adoption of Basel III could impose costs on borrowers in the form of an increase in lending rates of between 5 and 10 basis points, at most, since these estimates do not account for any reduction in risk </w:t>
      </w:r>
      <w:proofErr w:type="spellStart"/>
      <w:r w:rsidRPr="009023F2">
        <w:rPr>
          <w:rFonts w:ascii="Times New Roman" w:eastAsia="Calibri" w:hAnsi="Times New Roman"/>
          <w:sz w:val="24"/>
          <w:szCs w:val="22"/>
          <w:lang w:val="en-US" w:eastAsia="en-US"/>
        </w:rPr>
        <w:t>premia</w:t>
      </w:r>
      <w:proofErr w:type="spellEnd"/>
      <w:r w:rsidRPr="009023F2">
        <w:rPr>
          <w:rFonts w:ascii="Times New Roman" w:eastAsia="Calibri" w:hAnsi="Times New Roman"/>
          <w:sz w:val="24"/>
          <w:szCs w:val="22"/>
          <w:lang w:val="en-US" w:eastAsia="en-US"/>
        </w:rPr>
        <w:t>.</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APRA therefore does not support retaining the existing Basel II framework and notes that this is also industry’s position. There is also no appetite for partially implementing the new measures: doing so would achieve little as the Basel III reforms are an interlinked package. Nor is there presently a rationale for introducing new measures beyond those included in the Basel III package. APRA therefore proposes to adopt Option 3. </w:t>
      </w:r>
    </w:p>
    <w:p w:rsidR="00A6571D" w:rsidRPr="009023F2" w:rsidRDefault="00A6571D" w:rsidP="00A6571D">
      <w:pPr>
        <w:spacing w:before="240" w:after="120"/>
        <w:jc w:val="both"/>
        <w:outlineLvl w:val="2"/>
        <w:rPr>
          <w:rFonts w:ascii="Times New Roman" w:eastAsia="Calibri" w:hAnsi="Times New Roman"/>
          <w:b/>
          <w:sz w:val="28"/>
          <w:szCs w:val="28"/>
          <w:lang w:val="en-GB" w:eastAsia="en-US"/>
        </w:rPr>
      </w:pPr>
      <w:r w:rsidRPr="009023F2">
        <w:rPr>
          <w:rFonts w:ascii="Times New Roman" w:eastAsia="Calibri" w:hAnsi="Times New Roman"/>
          <w:b/>
          <w:sz w:val="28"/>
          <w:szCs w:val="28"/>
          <w:lang w:val="en-GB" w:eastAsia="en-US"/>
        </w:rPr>
        <w:t>Implementation and Review</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The Basel III capital reforms will be implemented from 1 January 2013 through prudential standards, reporting requirements and PPGs applying to ADIs in Australia. </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APRA’s prudential requirements will be reviewed as necessary to ensure they continue to reflect good practice and remain relevant and effective.</w:t>
      </w:r>
    </w:p>
    <w:p w:rsidR="00A6571D" w:rsidRPr="009023F2" w:rsidRDefault="00A6571D" w:rsidP="00A6571D">
      <w:pPr>
        <w:rPr>
          <w:rFonts w:ascii="Times New Roman" w:eastAsia="Calibri" w:hAnsi="Times New Roman"/>
          <w:b/>
          <w:sz w:val="28"/>
          <w:szCs w:val="28"/>
          <w:lang w:val="en-GB" w:eastAsia="en-US"/>
        </w:rPr>
      </w:pPr>
      <w:r w:rsidRPr="009023F2">
        <w:rPr>
          <w:rFonts w:ascii="Times New Roman" w:eastAsia="Calibri" w:hAnsi="Times New Roman"/>
          <w:b/>
          <w:sz w:val="28"/>
          <w:szCs w:val="28"/>
          <w:lang w:val="en-GB" w:eastAsia="en-US"/>
        </w:rPr>
        <w:br w:type="page"/>
      </w:r>
    </w:p>
    <w:p w:rsidR="00A6571D" w:rsidRPr="009023F2" w:rsidRDefault="00A6571D" w:rsidP="00A6571D">
      <w:pPr>
        <w:spacing w:before="240" w:after="120"/>
        <w:jc w:val="both"/>
        <w:outlineLvl w:val="2"/>
        <w:rPr>
          <w:rFonts w:ascii="Times New Roman" w:eastAsia="Calibri" w:hAnsi="Times New Roman"/>
          <w:b/>
          <w:sz w:val="28"/>
          <w:szCs w:val="28"/>
          <w:lang w:val="en-GB" w:eastAsia="en-US"/>
        </w:rPr>
      </w:pPr>
      <w:r w:rsidRPr="009023F2">
        <w:rPr>
          <w:rFonts w:ascii="Times New Roman" w:eastAsia="Calibri" w:hAnsi="Times New Roman"/>
          <w:b/>
          <w:sz w:val="28"/>
          <w:szCs w:val="28"/>
          <w:lang w:val="en-GB" w:eastAsia="en-US"/>
        </w:rPr>
        <w:lastRenderedPageBreak/>
        <w:t>Attachment A: Loan pricing effects of Basel III implementation</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9023F2">
        <w:rPr>
          <w:rFonts w:ascii="Times New Roman" w:eastAsia="Calibri" w:hAnsi="Times New Roman"/>
          <w:i/>
          <w:iCs/>
          <w:sz w:val="24"/>
          <w:szCs w:val="22"/>
          <w:lang w:val="en-US" w:eastAsia="en-US"/>
        </w:rPr>
        <w:t>Cost of equity</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In considering the cost of equity, it is important to distinguish between a banking institution’s cost of equity and its </w:t>
      </w:r>
      <w:proofErr w:type="spellStart"/>
      <w:r w:rsidRPr="009023F2">
        <w:rPr>
          <w:rFonts w:ascii="Times New Roman" w:eastAsia="Calibri" w:hAnsi="Times New Roman"/>
          <w:sz w:val="24"/>
          <w:szCs w:val="22"/>
          <w:lang w:val="en-US" w:eastAsia="en-US"/>
        </w:rPr>
        <w:t>aspirational</w:t>
      </w:r>
      <w:proofErr w:type="spellEnd"/>
      <w:r w:rsidRPr="009023F2">
        <w:rPr>
          <w:rFonts w:ascii="Times New Roman" w:eastAsia="Calibri" w:hAnsi="Times New Roman"/>
          <w:sz w:val="24"/>
          <w:szCs w:val="22"/>
          <w:lang w:val="en-US" w:eastAsia="en-US"/>
        </w:rPr>
        <w:t xml:space="preserve"> return on equity. Broadly, the cost of equity is the rate of return necessary to meet shareholder expectations; this could also be thought of as the return necessary to avoid a reduction in share price. The </w:t>
      </w:r>
      <w:proofErr w:type="spellStart"/>
      <w:r w:rsidRPr="009023F2">
        <w:rPr>
          <w:rFonts w:ascii="Times New Roman" w:eastAsia="Calibri" w:hAnsi="Times New Roman"/>
          <w:sz w:val="24"/>
          <w:szCs w:val="22"/>
          <w:lang w:val="en-US" w:eastAsia="en-US"/>
        </w:rPr>
        <w:t>aspirational</w:t>
      </w:r>
      <w:proofErr w:type="spellEnd"/>
      <w:r w:rsidRPr="009023F2">
        <w:rPr>
          <w:rFonts w:ascii="Times New Roman" w:eastAsia="Calibri" w:hAnsi="Times New Roman"/>
          <w:sz w:val="24"/>
          <w:szCs w:val="22"/>
          <w:lang w:val="en-US" w:eastAsia="en-US"/>
        </w:rPr>
        <w:t xml:space="preserve"> return on equity is the amount that a banking institution seeks to earn in order to create additional wealth for shareholders. </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This raises the question that, when faced with a regulatory imposition of more equity than the banking institution would otherwise hold, should the resultant loan pricing reflect the cost of equity, or the </w:t>
      </w:r>
      <w:proofErr w:type="spellStart"/>
      <w:r w:rsidRPr="009023F2">
        <w:rPr>
          <w:rFonts w:ascii="Times New Roman" w:eastAsia="Calibri" w:hAnsi="Times New Roman"/>
          <w:sz w:val="24"/>
          <w:szCs w:val="22"/>
          <w:lang w:val="en-US" w:eastAsia="en-US"/>
        </w:rPr>
        <w:t>aspirational</w:t>
      </w:r>
      <w:proofErr w:type="spellEnd"/>
      <w:r w:rsidRPr="009023F2">
        <w:rPr>
          <w:rFonts w:ascii="Times New Roman" w:eastAsia="Calibri" w:hAnsi="Times New Roman"/>
          <w:sz w:val="24"/>
          <w:szCs w:val="22"/>
          <w:lang w:val="en-US" w:eastAsia="en-US"/>
        </w:rPr>
        <w:t xml:space="preserve"> return on equity? In APRA’s view, the appropriate basis for any increases in lending rates arising from such a regulatory imposition should be the cost of, not the </w:t>
      </w:r>
      <w:proofErr w:type="spellStart"/>
      <w:r w:rsidRPr="009023F2">
        <w:rPr>
          <w:rFonts w:ascii="Times New Roman" w:eastAsia="Calibri" w:hAnsi="Times New Roman"/>
          <w:sz w:val="24"/>
          <w:szCs w:val="22"/>
          <w:lang w:val="en-US" w:eastAsia="en-US"/>
        </w:rPr>
        <w:t>aspirational</w:t>
      </w:r>
      <w:proofErr w:type="spellEnd"/>
      <w:r w:rsidRPr="009023F2">
        <w:rPr>
          <w:rFonts w:ascii="Times New Roman" w:eastAsia="Calibri" w:hAnsi="Times New Roman"/>
          <w:sz w:val="24"/>
          <w:szCs w:val="22"/>
          <w:lang w:val="en-US" w:eastAsia="en-US"/>
        </w:rPr>
        <w:t xml:space="preserve"> return on, that extra equity.</w:t>
      </w:r>
      <w:r w:rsidRPr="009023F2">
        <w:rPr>
          <w:rFonts w:ascii="Times New Roman" w:eastAsia="Calibri" w:hAnsi="Times New Roman"/>
          <w:sz w:val="24"/>
          <w:szCs w:val="22"/>
          <w:vertAlign w:val="superscript"/>
          <w:lang w:val="en-US" w:eastAsia="en-US"/>
        </w:rPr>
        <w:footnoteReference w:id="10"/>
      </w:r>
      <w:r w:rsidRPr="009023F2">
        <w:rPr>
          <w:rFonts w:ascii="Times New Roman" w:eastAsia="Calibri" w:hAnsi="Times New Roman"/>
          <w:sz w:val="24"/>
          <w:szCs w:val="22"/>
          <w:lang w:val="en-US" w:eastAsia="en-US"/>
        </w:rPr>
        <w:t xml:space="preserve"> This is the approach APRA is taking in its cost/benefit calculations. Based on indications from the larger banking institutions, the cost of equity is assumed to be around 16 per </w:t>
      </w:r>
      <w:bookmarkStart w:id="11" w:name="_GoBack"/>
      <w:bookmarkEnd w:id="11"/>
      <w:r w:rsidRPr="009023F2">
        <w:rPr>
          <w:rFonts w:ascii="Times New Roman" w:eastAsia="Calibri" w:hAnsi="Times New Roman"/>
          <w:sz w:val="24"/>
          <w:szCs w:val="22"/>
          <w:lang w:val="en-US" w:eastAsia="en-US"/>
        </w:rPr>
        <w:t>cent pre</w:t>
      </w:r>
      <w:r w:rsidRPr="009023F2">
        <w:rPr>
          <w:rFonts w:ascii="Times New Roman" w:eastAsia="Calibri" w:hAnsi="Times New Roman"/>
          <w:sz w:val="24"/>
          <w:szCs w:val="22"/>
          <w:lang w:val="en-US" w:eastAsia="en-US"/>
        </w:rPr>
        <w:noBreakHyphen/>
        <w:t xml:space="preserve">tax. </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9023F2">
        <w:rPr>
          <w:rFonts w:ascii="Times New Roman" w:eastAsia="Calibri" w:hAnsi="Times New Roman"/>
          <w:i/>
          <w:iCs/>
          <w:sz w:val="24"/>
          <w:szCs w:val="22"/>
          <w:lang w:val="en-US" w:eastAsia="en-US"/>
        </w:rPr>
        <w:t>Saved debt funding cost</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As an example, assume that a banking institution before Basel III is funding loans with $93 in borrowings and $7 in equity, and after Basel III it will fund with $91 in borrowings and $9 in equity. This institution needs to find $2 in additional equity, which will have its costs, but can forego the need for $2 in borrowings, which saves the interest that would otherwise be paid on those borrowings.</w:t>
      </w:r>
    </w:p>
    <w:p w:rsidR="00A6571D" w:rsidRPr="009023F2" w:rsidRDefault="00A6571D" w:rsidP="00A6571D">
      <w:pPr>
        <w:spacing w:after="120"/>
        <w:jc w:val="both"/>
        <w:rPr>
          <w:rFonts w:ascii="Times New Roman" w:eastAsia="Calibri" w:hAnsi="Times New Roman"/>
          <w:sz w:val="24"/>
          <w:szCs w:val="22"/>
          <w:lang w:val="en-US" w:eastAsia="en-US"/>
        </w:rPr>
      </w:pP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free</w:t>
      </w:r>
      <w:proofErr w:type="spellEnd"/>
      <w:r w:rsidRPr="009023F2">
        <w:rPr>
          <w:rFonts w:ascii="Times New Roman" w:eastAsia="Calibri" w:hAnsi="Times New Roman"/>
          <w:sz w:val="24"/>
          <w:szCs w:val="22"/>
          <w:lang w:val="en-US" w:eastAsia="en-US"/>
        </w:rPr>
        <w:t xml:space="preserve"> rates in Australia have fallen recently, but the incremental cost of bank borrowing over the </w:t>
      </w: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free</w:t>
      </w:r>
      <w:proofErr w:type="spellEnd"/>
      <w:r w:rsidRPr="009023F2">
        <w:rPr>
          <w:rFonts w:ascii="Times New Roman" w:eastAsia="Calibri" w:hAnsi="Times New Roman"/>
          <w:sz w:val="24"/>
          <w:szCs w:val="22"/>
          <w:lang w:val="en-US" w:eastAsia="en-US"/>
        </w:rPr>
        <w:t xml:space="preserve"> rate has increased. For illustrative purposes, assume that the incremental cost of borrowing saved by an increase in equity funding is six per cent per annum pre</w:t>
      </w:r>
      <w:r w:rsidRPr="009023F2">
        <w:rPr>
          <w:rFonts w:ascii="Times New Roman" w:eastAsia="Calibri" w:hAnsi="Times New Roman"/>
          <w:sz w:val="24"/>
          <w:szCs w:val="22"/>
          <w:lang w:val="en-US" w:eastAsia="en-US"/>
        </w:rPr>
        <w:noBreakHyphen/>
        <w:t>tax. The cost saved is not the bank’s average borrowing cost but its most expensive incremental borrowing source.</w:t>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9023F2">
        <w:rPr>
          <w:rFonts w:ascii="Times New Roman" w:eastAsia="Calibri" w:hAnsi="Times New Roman"/>
          <w:i/>
          <w:iCs/>
          <w:sz w:val="24"/>
          <w:szCs w:val="22"/>
          <w:lang w:val="en-US" w:eastAsia="en-US"/>
        </w:rPr>
        <w:t>The assets to ‘risk-weighted assets’ adjustment</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Under Basel II and Basel III, all banking institution exposures are adjusted to a </w:t>
      </w: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weighted</w:t>
      </w:r>
      <w:proofErr w:type="spellEnd"/>
      <w:r w:rsidRPr="009023F2">
        <w:rPr>
          <w:rFonts w:ascii="Times New Roman" w:eastAsia="Calibri" w:hAnsi="Times New Roman"/>
          <w:sz w:val="24"/>
          <w:szCs w:val="22"/>
          <w:lang w:val="en-US" w:eastAsia="en-US"/>
        </w:rPr>
        <w:t xml:space="preserve"> asset equivalent. The mechanics of this adjustment are beyond the scope of this RIS but, in aggregate, </w:t>
      </w: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weightings</w:t>
      </w:r>
      <w:proofErr w:type="spellEnd"/>
      <w:r w:rsidRPr="009023F2">
        <w:rPr>
          <w:rFonts w:ascii="Times New Roman" w:eastAsia="Calibri" w:hAnsi="Times New Roman"/>
          <w:sz w:val="24"/>
          <w:szCs w:val="22"/>
          <w:lang w:val="en-US" w:eastAsia="en-US"/>
        </w:rPr>
        <w:t xml:space="preserve"> are considerably less than the actual loan amounts. For the larger banks, average </w:t>
      </w: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weightings</w:t>
      </w:r>
      <w:proofErr w:type="spellEnd"/>
      <w:r w:rsidRPr="009023F2">
        <w:rPr>
          <w:rFonts w:ascii="Times New Roman" w:eastAsia="Calibri" w:hAnsi="Times New Roman"/>
          <w:sz w:val="24"/>
          <w:szCs w:val="22"/>
          <w:lang w:val="en-US" w:eastAsia="en-US"/>
        </w:rPr>
        <w:t xml:space="preserve"> are on the order of about 20 per cent of the loan amount for home loans and around 50 per cent for other loans.</w:t>
      </w:r>
      <w:r w:rsidRPr="009023F2">
        <w:rPr>
          <w:rFonts w:ascii="Times New Roman" w:eastAsia="Calibri" w:hAnsi="Times New Roman"/>
          <w:sz w:val="24"/>
          <w:szCs w:val="22"/>
          <w:vertAlign w:val="superscript"/>
          <w:lang w:val="en-US" w:eastAsia="en-US"/>
        </w:rPr>
        <w:footnoteReference w:id="11"/>
      </w:r>
    </w:p>
    <w:p w:rsidR="00A6571D" w:rsidRPr="009023F2" w:rsidRDefault="00A6571D" w:rsidP="00A6571D">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9023F2">
        <w:rPr>
          <w:rFonts w:ascii="Times New Roman" w:eastAsia="Calibri" w:hAnsi="Times New Roman"/>
          <w:i/>
          <w:iCs/>
          <w:sz w:val="24"/>
          <w:szCs w:val="22"/>
          <w:lang w:val="en-US" w:eastAsia="en-US"/>
        </w:rPr>
        <w:t>Loan pricing arithmetic</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From the previous sections, the necessary arithmetic to calculate incremental loan pricing effects from APRA’s Basel III implementation can be assembled. The calculation for this illustration is:</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Loan rate increase = Extra equity x (Cost of equity – saved funding cost) x </w:t>
      </w: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weighting</w:t>
      </w:r>
      <w:proofErr w:type="spellEnd"/>
      <w:r w:rsidRPr="009023F2">
        <w:rPr>
          <w:rFonts w:ascii="Times New Roman" w:eastAsia="Calibri" w:hAnsi="Times New Roman"/>
          <w:sz w:val="24"/>
          <w:szCs w:val="22"/>
          <w:lang w:val="en-US" w:eastAsia="en-US"/>
        </w:rPr>
        <w:t>.</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lastRenderedPageBreak/>
        <w:t>On the assumptions made in this paper, for the average non-housing loan this calculation generates:</w:t>
      </w:r>
    </w:p>
    <w:p w:rsidR="00A6571D" w:rsidRPr="009023F2" w:rsidRDefault="00A6571D" w:rsidP="00A6571D">
      <w:p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2% x (16 – 6)% x 50% = 0.10% per annum.</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For a home loan with a 20 per cent </w:t>
      </w: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weighting</w:t>
      </w:r>
      <w:proofErr w:type="spellEnd"/>
      <w:r w:rsidRPr="009023F2">
        <w:rPr>
          <w:rFonts w:ascii="Times New Roman" w:eastAsia="Calibri" w:hAnsi="Times New Roman"/>
          <w:sz w:val="24"/>
          <w:szCs w:val="22"/>
          <w:lang w:val="en-US" w:eastAsia="en-US"/>
        </w:rPr>
        <w:t>, the calculation would be:</w:t>
      </w:r>
    </w:p>
    <w:p w:rsidR="00A6571D" w:rsidRPr="009023F2" w:rsidRDefault="00A6571D" w:rsidP="00A6571D">
      <w:pPr>
        <w:spacing w:after="120"/>
        <w:ind w:left="567" w:hanging="567"/>
        <w:jc w:val="both"/>
        <w:rPr>
          <w:rFonts w:ascii="Times New Roman" w:eastAsia="Calibri" w:hAnsi="Times New Roman"/>
          <w:sz w:val="24"/>
          <w:szCs w:val="22"/>
          <w:lang w:val="en-GB" w:eastAsia="en-US"/>
        </w:rPr>
      </w:pPr>
      <w:r w:rsidRPr="009023F2">
        <w:rPr>
          <w:rFonts w:ascii="Times New Roman" w:eastAsia="Calibri" w:hAnsi="Times New Roman"/>
          <w:sz w:val="24"/>
          <w:szCs w:val="22"/>
          <w:lang w:val="en-GB" w:eastAsia="en-US"/>
        </w:rPr>
        <w:t>2% x (16 – 6)% x 20% = 0.04% per annum.</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From the above formulae, the estimated loan rate increase attaching to a two per cent common equity ratio increase, for an average loan in a large Australian bank’s portfolio, would be on the order of 0.10 per cent per annum. The increase for a home loan on typical </w:t>
      </w: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weightings</w:t>
      </w:r>
      <w:proofErr w:type="spellEnd"/>
      <w:r w:rsidRPr="009023F2">
        <w:rPr>
          <w:rFonts w:ascii="Times New Roman" w:eastAsia="Calibri" w:hAnsi="Times New Roman"/>
          <w:sz w:val="24"/>
          <w:szCs w:val="22"/>
          <w:lang w:val="en-US" w:eastAsia="en-US"/>
        </w:rPr>
        <w:t xml:space="preserve"> would be around 0.04 per cent per annum. </w:t>
      </w:r>
    </w:p>
    <w:p w:rsidR="00A6571D" w:rsidRPr="009023F2" w:rsidRDefault="00A6571D" w:rsidP="00A6571D">
      <w:pPr>
        <w:spacing w:after="120"/>
        <w:jc w:val="both"/>
        <w:rPr>
          <w:rFonts w:ascii="Times New Roman" w:eastAsia="Calibri" w:hAnsi="Times New Roman"/>
          <w:sz w:val="24"/>
          <w:szCs w:val="22"/>
          <w:lang w:val="en-US" w:eastAsia="en-US"/>
        </w:rPr>
      </w:pPr>
      <w:r w:rsidRPr="009023F2">
        <w:rPr>
          <w:rFonts w:ascii="Times New Roman" w:eastAsia="Calibri" w:hAnsi="Times New Roman"/>
          <w:sz w:val="24"/>
          <w:szCs w:val="22"/>
          <w:lang w:val="en-US" w:eastAsia="en-US"/>
        </w:rPr>
        <w:t xml:space="preserve">Differing assumptions could be used for the above calculations. Whatever assumptions are made, however, the critical outcome is that the loan pricing effects of APRA’s requirement that banks hold more capital than they might prefer are very small. The changes in the risk-free rate, and recently the changes in funding costs over the </w:t>
      </w:r>
      <w:proofErr w:type="spellStart"/>
      <w:r w:rsidRPr="009023F2">
        <w:rPr>
          <w:rFonts w:ascii="Times New Roman" w:eastAsia="Calibri" w:hAnsi="Times New Roman"/>
          <w:sz w:val="24"/>
          <w:szCs w:val="22"/>
          <w:lang w:val="en-US" w:eastAsia="en-US"/>
        </w:rPr>
        <w:t>risk</w:t>
      </w:r>
      <w:r w:rsidRPr="009023F2">
        <w:rPr>
          <w:rFonts w:ascii="Times New Roman" w:eastAsia="Calibri" w:hAnsi="Times New Roman"/>
          <w:sz w:val="24"/>
          <w:szCs w:val="22"/>
          <w:lang w:val="en-US" w:eastAsia="en-US"/>
        </w:rPr>
        <w:noBreakHyphen/>
        <w:t>free</w:t>
      </w:r>
      <w:proofErr w:type="spellEnd"/>
      <w:r w:rsidRPr="009023F2">
        <w:rPr>
          <w:rFonts w:ascii="Times New Roman" w:eastAsia="Calibri" w:hAnsi="Times New Roman"/>
          <w:sz w:val="24"/>
          <w:szCs w:val="22"/>
          <w:lang w:val="en-US" w:eastAsia="en-US"/>
        </w:rPr>
        <w:t xml:space="preserve"> rate, dwarf any reasonable estimate of the loan pricing effects associated with additional capital requirements.</w:t>
      </w:r>
    </w:p>
    <w:p w:rsidR="00A6571D" w:rsidRPr="009023F2" w:rsidRDefault="00A6571D" w:rsidP="00A6571D">
      <w:pPr>
        <w:jc w:val="both"/>
      </w:pPr>
    </w:p>
    <w:p w:rsidR="00B04B20" w:rsidRPr="009023F2" w:rsidRDefault="00B04B20" w:rsidP="002436BD"/>
    <w:sectPr w:rsidR="00B04B20" w:rsidRPr="009023F2" w:rsidSect="003D5032">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4AF" w:rsidRDefault="008E24AF" w:rsidP="00A6571D">
      <w:r>
        <w:separator/>
      </w:r>
    </w:p>
  </w:endnote>
  <w:endnote w:type="continuationSeparator" w:id="0">
    <w:p w:rsidR="008E24AF" w:rsidRDefault="008E24AF" w:rsidP="00A657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4AF" w:rsidRDefault="008E24AF" w:rsidP="00A6571D">
      <w:r>
        <w:separator/>
      </w:r>
    </w:p>
  </w:footnote>
  <w:footnote w:type="continuationSeparator" w:id="0">
    <w:p w:rsidR="008E24AF" w:rsidRDefault="008E24AF" w:rsidP="00A6571D">
      <w:r>
        <w:continuationSeparator/>
      </w:r>
    </w:p>
  </w:footnote>
  <w:footnote w:id="1">
    <w:p w:rsidR="008E24AF" w:rsidRPr="00A40247" w:rsidRDefault="008E24AF" w:rsidP="00A6571D">
      <w:pPr>
        <w:pStyle w:val="FootnoteText"/>
        <w:rPr>
          <w:b/>
        </w:rPr>
      </w:pPr>
      <w:r w:rsidRPr="004523D4">
        <w:rPr>
          <w:rStyle w:val="FootnoteReference"/>
        </w:rPr>
        <w:footnoteRef/>
      </w:r>
      <w:r w:rsidRPr="004523D4">
        <w:t xml:space="preserve"> </w:t>
      </w:r>
      <w:r w:rsidRPr="009A3575">
        <w:t xml:space="preserve">Basel Committee, </w:t>
      </w:r>
      <w:r w:rsidRPr="009A3575">
        <w:rPr>
          <w:rStyle w:val="Emphasis"/>
        </w:rPr>
        <w:t>Basel III: A global regulatory framework for more resilient banks and banking systems</w:t>
      </w:r>
      <w:r w:rsidRPr="009A3575">
        <w:t xml:space="preserve">, revised version June 2011: </w:t>
      </w:r>
      <w:hyperlink r:id="rId1" w:history="1">
        <w:r w:rsidRPr="00F72EDE">
          <w:rPr>
            <w:rStyle w:val="Hyperlink"/>
          </w:rPr>
          <w:t>http://www.bis.org/publ/bcbs189.pdf</w:t>
        </w:r>
      </w:hyperlink>
      <w:r w:rsidRPr="009A3575">
        <w:t xml:space="preserve"> (Basel III or Basel rules text).</w:t>
      </w:r>
    </w:p>
  </w:footnote>
  <w:footnote w:id="2">
    <w:p w:rsidR="008E24AF" w:rsidRDefault="008E24AF" w:rsidP="00A6571D">
      <w:pPr>
        <w:pStyle w:val="FootnoteText"/>
      </w:pPr>
      <w:r>
        <w:rPr>
          <w:rStyle w:val="FootnoteReference"/>
        </w:rPr>
        <w:footnoteRef/>
      </w:r>
      <w:r>
        <w:t xml:space="preserve"> The following section is based on the introduction to the</w:t>
      </w:r>
      <w:r w:rsidRPr="00C37254">
        <w:t xml:space="preserve"> Basel rules text, paragraphs 1-5</w:t>
      </w:r>
      <w:r>
        <w:t>.</w:t>
      </w:r>
    </w:p>
  </w:footnote>
  <w:footnote w:id="3">
    <w:p w:rsidR="008E24AF" w:rsidRPr="00545FCD" w:rsidRDefault="008E24AF" w:rsidP="00A6571D">
      <w:pPr>
        <w:pStyle w:val="FootnoteText"/>
        <w:rPr>
          <w:b/>
        </w:rPr>
      </w:pPr>
      <w:r w:rsidRPr="00545FCD">
        <w:rPr>
          <w:rStyle w:val="FootnoteReference"/>
        </w:rPr>
        <w:footnoteRef/>
      </w:r>
      <w:r w:rsidRPr="00545FCD">
        <w:t xml:space="preserve"> At the Seoul summit of </w:t>
      </w:r>
      <w:r>
        <w:t xml:space="preserve">12 </w:t>
      </w:r>
      <w:r w:rsidRPr="00545FCD">
        <w:t xml:space="preserve">November 2010: </w:t>
      </w:r>
      <w:hyperlink r:id="rId2" w:history="1">
        <w:r w:rsidRPr="00F72EDE">
          <w:rPr>
            <w:rStyle w:val="Hyperlink"/>
          </w:rPr>
          <w:t>http://www.g20.utoronto.ca/2010/g20seoul.html</w:t>
        </w:r>
      </w:hyperlink>
      <w:r>
        <w:t xml:space="preserve"> </w:t>
      </w:r>
    </w:p>
  </w:footnote>
  <w:footnote w:id="4">
    <w:p w:rsidR="008E24AF" w:rsidRPr="00493745" w:rsidRDefault="008E24AF" w:rsidP="00A6571D">
      <w:pPr>
        <w:pStyle w:val="FootnoteText"/>
        <w:rPr>
          <w:b/>
        </w:rPr>
      </w:pPr>
      <w:r w:rsidRPr="00493745">
        <w:rPr>
          <w:rStyle w:val="FootnoteReference"/>
        </w:rPr>
        <w:footnoteRef/>
      </w:r>
      <w:r w:rsidRPr="00493745">
        <w:t xml:space="preserve"> </w:t>
      </w:r>
      <w:r>
        <w:t>A</w:t>
      </w:r>
      <w:r w:rsidRPr="00493745">
        <w:t>PRA’s Basel II implementation requires three per cent common equity.</w:t>
      </w:r>
    </w:p>
  </w:footnote>
  <w:footnote w:id="5">
    <w:p w:rsidR="008E24AF" w:rsidRPr="00783EC9" w:rsidRDefault="008E24AF" w:rsidP="00A6571D">
      <w:pPr>
        <w:pStyle w:val="FootnoteText"/>
        <w:rPr>
          <w:b/>
        </w:rPr>
      </w:pPr>
      <w:r w:rsidRPr="00783EC9">
        <w:rPr>
          <w:rStyle w:val="FootnoteReference"/>
        </w:rPr>
        <w:footnoteRef/>
      </w:r>
      <w:r w:rsidRPr="00783EC9">
        <w:t xml:space="preserve"> Refer to Basel Committee, </w:t>
      </w:r>
      <w:r w:rsidRPr="00652E92">
        <w:rPr>
          <w:rStyle w:val="Emphasis"/>
        </w:rPr>
        <w:t>An assessment of the long-term economic impact of the new regulatory framework</w:t>
      </w:r>
      <w:r w:rsidRPr="00783EC9">
        <w:rPr>
          <w:i/>
        </w:rPr>
        <w:t xml:space="preserve">, </w:t>
      </w:r>
      <w:r w:rsidRPr="00783EC9">
        <w:t xml:space="preserve">August 2010, </w:t>
      </w:r>
      <w:r w:rsidRPr="00652E92">
        <w:rPr>
          <w:rStyle w:val="Hyperlink"/>
        </w:rPr>
        <w:t>http://www.bis.org/publ/bcbs173.pdf</w:t>
      </w:r>
    </w:p>
  </w:footnote>
  <w:footnote w:id="6">
    <w:p w:rsidR="008E24AF" w:rsidRPr="00E37504" w:rsidRDefault="008E24AF" w:rsidP="00A6571D">
      <w:pPr>
        <w:pStyle w:val="FootnoteText"/>
        <w:rPr>
          <w:b/>
        </w:rPr>
      </w:pPr>
      <w:r w:rsidRPr="00E37504">
        <w:rPr>
          <w:rStyle w:val="FootnoteReference"/>
        </w:rPr>
        <w:footnoteRef/>
      </w:r>
      <w:r w:rsidRPr="00E37504">
        <w:t xml:space="preserve"> See also </w:t>
      </w:r>
      <w:r w:rsidRPr="00652E92">
        <w:rPr>
          <w:rStyle w:val="Emphasis"/>
        </w:rPr>
        <w:t>The Impact of the Basel III Capital Reforms in Australia</w:t>
      </w:r>
      <w:r>
        <w:t xml:space="preserve">, </w:t>
      </w:r>
      <w:r w:rsidRPr="00E37504">
        <w:t xml:space="preserve">APRA </w:t>
      </w:r>
      <w:r w:rsidRPr="00652E92">
        <w:rPr>
          <w:rStyle w:val="Emphasis"/>
        </w:rPr>
        <w:t>Insight</w:t>
      </w:r>
      <w:r w:rsidRPr="00E37504">
        <w:t xml:space="preserve"> Issue 2 2012</w:t>
      </w:r>
      <w:r>
        <w:t xml:space="preserve">, </w:t>
      </w:r>
      <w:r w:rsidRPr="00652E92">
        <w:rPr>
          <w:rStyle w:val="Hyperlink"/>
        </w:rPr>
        <w:t>http://www.apra.gov.au/Insight/Pages/default.aspx</w:t>
      </w:r>
      <w:r>
        <w:t xml:space="preserve"> </w:t>
      </w:r>
    </w:p>
  </w:footnote>
  <w:footnote w:id="7">
    <w:p w:rsidR="008E24AF" w:rsidRPr="00364C69" w:rsidRDefault="008E24AF" w:rsidP="00A6571D">
      <w:pPr>
        <w:pStyle w:val="FootnoteText"/>
        <w:rPr>
          <w:b/>
        </w:rPr>
      </w:pPr>
      <w:r w:rsidRPr="00364C69">
        <w:rPr>
          <w:rStyle w:val="FootnoteReference"/>
        </w:rPr>
        <w:footnoteRef/>
      </w:r>
      <w:r w:rsidRPr="00364C69">
        <w:t xml:space="preserve"> Refer to IMF </w:t>
      </w:r>
      <w:r w:rsidRPr="00652E92">
        <w:rPr>
          <w:rStyle w:val="Emphasis"/>
        </w:rPr>
        <w:t>Global Financial Stability Report: Restoring Confidence and Progressing on Reforms</w:t>
      </w:r>
      <w:r w:rsidRPr="00364C69">
        <w:rPr>
          <w:i/>
        </w:rPr>
        <w:t xml:space="preserve">, </w:t>
      </w:r>
      <w:r w:rsidRPr="00364C69">
        <w:t xml:space="preserve">October 2012, chapter 3: </w:t>
      </w:r>
      <w:hyperlink r:id="rId3" w:history="1">
        <w:r w:rsidRPr="00652E92">
          <w:rPr>
            <w:rStyle w:val="Hyperlink"/>
          </w:rPr>
          <w:t>http://www.imf.org/External/Pubs/FT/GFSR/2012/02/pdf/c3.pdf</w:t>
        </w:r>
      </w:hyperlink>
    </w:p>
  </w:footnote>
  <w:footnote w:id="8">
    <w:p w:rsidR="008E24AF" w:rsidRDefault="008E24AF" w:rsidP="00A6571D">
      <w:pPr>
        <w:pStyle w:val="FootnoteText"/>
      </w:pPr>
      <w:r w:rsidRPr="00183B92">
        <w:rPr>
          <w:rStyle w:val="FootnoteReference"/>
        </w:rPr>
        <w:footnoteRef/>
      </w:r>
      <w:r>
        <w:t xml:space="preserve"> </w:t>
      </w:r>
      <w:hyperlink r:id="rId4" w:history="1">
        <w:r w:rsidRPr="00652E92">
          <w:rPr>
            <w:rStyle w:val="Hyperlink"/>
          </w:rPr>
          <w:t>http://www.bis.org/publ/bcbs189.htm</w:t>
        </w:r>
      </w:hyperlink>
      <w:r>
        <w:t xml:space="preserve"> </w:t>
      </w:r>
    </w:p>
  </w:footnote>
  <w:footnote w:id="9">
    <w:p w:rsidR="008E24AF" w:rsidRDefault="008E24AF" w:rsidP="00A6571D">
      <w:pPr>
        <w:pStyle w:val="FootnoteText"/>
      </w:pPr>
      <w:r w:rsidRPr="00183B92">
        <w:rPr>
          <w:rStyle w:val="FootnoteReference"/>
        </w:rPr>
        <w:footnoteRef/>
      </w:r>
      <w:r>
        <w:t xml:space="preserve"> </w:t>
      </w:r>
      <w:hyperlink r:id="rId5" w:history="1">
        <w:r w:rsidRPr="00652E92">
          <w:rPr>
            <w:rStyle w:val="Hyperlink"/>
          </w:rPr>
          <w:t>http://www.bis.org/publ/bcbs165/cacomments.htm</w:t>
        </w:r>
      </w:hyperlink>
      <w:r>
        <w:t xml:space="preserve"> </w:t>
      </w:r>
    </w:p>
  </w:footnote>
  <w:footnote w:id="10">
    <w:p w:rsidR="008E24AF" w:rsidRPr="00183B92" w:rsidRDefault="008E24AF" w:rsidP="00A6571D">
      <w:pPr>
        <w:pStyle w:val="FootnoteText"/>
        <w:rPr>
          <w:b/>
        </w:rPr>
      </w:pPr>
      <w:r w:rsidRPr="00617EED">
        <w:rPr>
          <w:rStyle w:val="FootnoteReference"/>
        </w:rPr>
        <w:footnoteRef/>
      </w:r>
      <w:r w:rsidRPr="00183B92">
        <w:t xml:space="preserve"> Assuming banks can pass on in full the costs of equity between borrowers and depositors, the costs should be borne by borrowers </w:t>
      </w:r>
      <w:r>
        <w:t xml:space="preserve">or shareholders </w:t>
      </w:r>
      <w:r w:rsidRPr="00183B92">
        <w:t xml:space="preserve">as no capital requirement is imposed for deposits. Note that the costs may not be passed on in full, depending upon the degree of competition within lending markets. </w:t>
      </w:r>
    </w:p>
  </w:footnote>
  <w:footnote w:id="11">
    <w:p w:rsidR="008E24AF" w:rsidRDefault="008E24AF" w:rsidP="00A6571D">
      <w:pPr>
        <w:pStyle w:val="FootnoteText"/>
      </w:pPr>
      <w:r w:rsidRPr="00617EED">
        <w:rPr>
          <w:rStyle w:val="FootnoteReference"/>
        </w:rPr>
        <w:footnoteRef/>
      </w:r>
      <w:r w:rsidRPr="00183B92">
        <w:t xml:space="preserve"> Estimates taken from APRA statistical data.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D53DA"/>
    <w:multiLevelType w:val="hybridMultilevel"/>
    <w:tmpl w:val="400A211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D5416F"/>
    <w:multiLevelType w:val="hybridMultilevel"/>
    <w:tmpl w:val="13781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9D2369"/>
    <w:multiLevelType w:val="hybridMultilevel"/>
    <w:tmpl w:val="56C8BCC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nsid w:val="4E426EE4"/>
    <w:multiLevelType w:val="hybridMultilevel"/>
    <w:tmpl w:val="D44AA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206A5D"/>
    <w:multiLevelType w:val="hybridMultilevel"/>
    <w:tmpl w:val="97AC3506"/>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7"/>
  </w:num>
  <w:num w:numId="5">
    <w:abstractNumId w:val="1"/>
  </w:num>
  <w:num w:numId="6">
    <w:abstractNumId w:val="13"/>
  </w:num>
  <w:num w:numId="7">
    <w:abstractNumId w:val="10"/>
  </w:num>
  <w:num w:numId="8">
    <w:abstractNumId w:val="4"/>
  </w:num>
  <w:num w:numId="9">
    <w:abstractNumId w:val="11"/>
  </w:num>
  <w:num w:numId="10">
    <w:abstractNumId w:val="6"/>
  </w:num>
  <w:num w:numId="11">
    <w:abstractNumId w:val="5"/>
  </w:num>
  <w:num w:numId="12">
    <w:abstractNumId w:val="0"/>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36BD"/>
    <w:rsid w:val="0003411C"/>
    <w:rsid w:val="000669BC"/>
    <w:rsid w:val="000B2870"/>
    <w:rsid w:val="000D13BF"/>
    <w:rsid w:val="000E369C"/>
    <w:rsid w:val="00167C63"/>
    <w:rsid w:val="00182FA1"/>
    <w:rsid w:val="00195353"/>
    <w:rsid w:val="001B7501"/>
    <w:rsid w:val="001C77D9"/>
    <w:rsid w:val="001E6A34"/>
    <w:rsid w:val="00233B76"/>
    <w:rsid w:val="002436BD"/>
    <w:rsid w:val="00246723"/>
    <w:rsid w:val="002835BC"/>
    <w:rsid w:val="002A73BD"/>
    <w:rsid w:val="00300DAB"/>
    <w:rsid w:val="00343A24"/>
    <w:rsid w:val="003523CA"/>
    <w:rsid w:val="00361A42"/>
    <w:rsid w:val="00374A12"/>
    <w:rsid w:val="003849CA"/>
    <w:rsid w:val="003D5032"/>
    <w:rsid w:val="00425C4B"/>
    <w:rsid w:val="00443A02"/>
    <w:rsid w:val="004B7430"/>
    <w:rsid w:val="004C3D07"/>
    <w:rsid w:val="004D4E23"/>
    <w:rsid w:val="004F3974"/>
    <w:rsid w:val="00537E26"/>
    <w:rsid w:val="00544566"/>
    <w:rsid w:val="0056141D"/>
    <w:rsid w:val="005907AD"/>
    <w:rsid w:val="005B6ADD"/>
    <w:rsid w:val="005E5910"/>
    <w:rsid w:val="005F4DE1"/>
    <w:rsid w:val="00617746"/>
    <w:rsid w:val="00621B6C"/>
    <w:rsid w:val="00622480"/>
    <w:rsid w:val="00646975"/>
    <w:rsid w:val="00646A47"/>
    <w:rsid w:val="00647D58"/>
    <w:rsid w:val="00657678"/>
    <w:rsid w:val="00667882"/>
    <w:rsid w:val="00684F73"/>
    <w:rsid w:val="006920CF"/>
    <w:rsid w:val="006B0006"/>
    <w:rsid w:val="006D2FF3"/>
    <w:rsid w:val="007031F4"/>
    <w:rsid w:val="007352E4"/>
    <w:rsid w:val="007368AD"/>
    <w:rsid w:val="00747AFF"/>
    <w:rsid w:val="00775AC9"/>
    <w:rsid w:val="00784F56"/>
    <w:rsid w:val="00785CDC"/>
    <w:rsid w:val="00794B98"/>
    <w:rsid w:val="007A579E"/>
    <w:rsid w:val="007D6BDD"/>
    <w:rsid w:val="007E4B2A"/>
    <w:rsid w:val="007F45FB"/>
    <w:rsid w:val="00813E78"/>
    <w:rsid w:val="00837DFF"/>
    <w:rsid w:val="00840483"/>
    <w:rsid w:val="008461C8"/>
    <w:rsid w:val="00883CFF"/>
    <w:rsid w:val="008A120F"/>
    <w:rsid w:val="008B25E5"/>
    <w:rsid w:val="008E24AF"/>
    <w:rsid w:val="009023F2"/>
    <w:rsid w:val="00932EFA"/>
    <w:rsid w:val="00974F84"/>
    <w:rsid w:val="009C5368"/>
    <w:rsid w:val="009D41D7"/>
    <w:rsid w:val="00A3615B"/>
    <w:rsid w:val="00A4133B"/>
    <w:rsid w:val="00A63A2B"/>
    <w:rsid w:val="00A653D6"/>
    <w:rsid w:val="00A6571D"/>
    <w:rsid w:val="00AA4D4F"/>
    <w:rsid w:val="00AB2A0C"/>
    <w:rsid w:val="00AC2517"/>
    <w:rsid w:val="00AC7A56"/>
    <w:rsid w:val="00AD36FA"/>
    <w:rsid w:val="00AE03D4"/>
    <w:rsid w:val="00B04B20"/>
    <w:rsid w:val="00B0774B"/>
    <w:rsid w:val="00B54973"/>
    <w:rsid w:val="00B64B2E"/>
    <w:rsid w:val="00B931A3"/>
    <w:rsid w:val="00BB1678"/>
    <w:rsid w:val="00BC7843"/>
    <w:rsid w:val="00BF2718"/>
    <w:rsid w:val="00C302FA"/>
    <w:rsid w:val="00C80A41"/>
    <w:rsid w:val="00C948AA"/>
    <w:rsid w:val="00C97E6A"/>
    <w:rsid w:val="00CA6CB3"/>
    <w:rsid w:val="00CD1947"/>
    <w:rsid w:val="00CE52CA"/>
    <w:rsid w:val="00CF63C3"/>
    <w:rsid w:val="00CF7618"/>
    <w:rsid w:val="00D12D91"/>
    <w:rsid w:val="00D61676"/>
    <w:rsid w:val="00D64906"/>
    <w:rsid w:val="00DF1552"/>
    <w:rsid w:val="00DF524E"/>
    <w:rsid w:val="00E1315D"/>
    <w:rsid w:val="00E15497"/>
    <w:rsid w:val="00E16789"/>
    <w:rsid w:val="00E201A8"/>
    <w:rsid w:val="00E2319B"/>
    <w:rsid w:val="00E90C89"/>
    <w:rsid w:val="00EC5653"/>
    <w:rsid w:val="00ED3E25"/>
    <w:rsid w:val="00F10382"/>
    <w:rsid w:val="00F30F58"/>
    <w:rsid w:val="00F436BC"/>
    <w:rsid w:val="00F7706D"/>
    <w:rsid w:val="00FA5345"/>
    <w:rsid w:val="00FC696E"/>
    <w:rsid w:val="00FE40EB"/>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basedOn w:val="DefaultParagraphFont"/>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basedOn w:val="DefaultParagraphFont"/>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b/>
      <w:bCs/>
    </w:rPr>
  </w:style>
  <w:style w:type="character" w:styleId="Emphasis">
    <w:name w:val="Emphasis"/>
    <w:uiPriority w:val="20"/>
    <w:qFormat/>
    <w:rsid w:val="00A6571D"/>
    <w:rPr>
      <w:i/>
      <w:iCs/>
    </w:rPr>
  </w:style>
  <w:style w:type="paragraph" w:styleId="FootnoteText">
    <w:name w:val="footnote text"/>
    <w:basedOn w:val="Normal"/>
    <w:link w:val="FootnoteTextChar"/>
    <w:uiPriority w:val="99"/>
    <w:semiHidden/>
    <w:rsid w:val="00A6571D"/>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A6571D"/>
    <w:rPr>
      <w:rFonts w:ascii="Times New Roman" w:eastAsia="Times New Roman" w:hAnsi="Times New Roman"/>
    </w:rPr>
  </w:style>
  <w:style w:type="character" w:styleId="FootnoteReference">
    <w:name w:val="footnote reference"/>
    <w:uiPriority w:val="99"/>
    <w:semiHidden/>
    <w:rsid w:val="00A6571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89549382">
      <w:bodyDiv w:val="1"/>
      <w:marLeft w:val="0"/>
      <w:marRight w:val="0"/>
      <w:marTop w:val="0"/>
      <w:marBottom w:val="0"/>
      <w:divBdr>
        <w:top w:val="none" w:sz="0" w:space="0" w:color="auto"/>
        <w:left w:val="none" w:sz="0" w:space="0" w:color="auto"/>
        <w:bottom w:val="none" w:sz="0" w:space="0" w:color="auto"/>
        <w:right w:val="none" w:sz="0" w:space="0" w:color="auto"/>
      </w:divBdr>
    </w:div>
    <w:div w:id="1455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mf.org/External/Pubs/FT/GFSR/2012/02/pdf/c3.pdf" TargetMode="External"/><Relationship Id="rId2" Type="http://schemas.openxmlformats.org/officeDocument/2006/relationships/hyperlink" Target="http://www.g20.utoronto.ca/2010/g20seoul.html" TargetMode="External"/><Relationship Id="rId1" Type="http://schemas.openxmlformats.org/officeDocument/2006/relationships/hyperlink" Target="http://www.bis.org/publ/bcbs189.pdf" TargetMode="External"/><Relationship Id="rId5" Type="http://schemas.openxmlformats.org/officeDocument/2006/relationships/hyperlink" Target="http://www.bis.org/publ/bcbs165/cacomments.htm" TargetMode="External"/><Relationship Id="rId4" Type="http://schemas.openxmlformats.org/officeDocument/2006/relationships/hyperlink" Target="http://www.bis.org/publ/bcbs1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FDC2-6C92-4357-8F55-EA57063C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21</Pages>
  <Words>8341</Words>
  <Characters>47544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55774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dcsull</dc:creator>
  <cp:keywords/>
  <dc:description/>
  <cp:lastModifiedBy>turekk</cp:lastModifiedBy>
  <cp:revision>33</cp:revision>
  <cp:lastPrinted>2012-12-05T01:03:00Z</cp:lastPrinted>
  <dcterms:created xsi:type="dcterms:W3CDTF">2012-11-20T04:50:00Z</dcterms:created>
  <dcterms:modified xsi:type="dcterms:W3CDTF">2012-12-11T05:35:00Z</dcterms:modified>
</cp:coreProperties>
</file>