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266" w:rsidRDefault="00412266">
      <w:pPr>
        <w:pStyle w:val="Title"/>
      </w:pPr>
      <w:r>
        <w:t xml:space="preserve">ASIC CLASS ORDER [CO </w:t>
      </w:r>
      <w:r w:rsidR="00B6041C" w:rsidRPr="00B6041C">
        <w:t>1</w:t>
      </w:r>
      <w:r w:rsidR="008F5967">
        <w:t>2</w:t>
      </w:r>
      <w:r w:rsidRPr="00B6041C">
        <w:t>/</w:t>
      </w:r>
      <w:r w:rsidR="00442AC0">
        <w:t>1687</w:t>
      </w:r>
      <w:r>
        <w:t>]</w:t>
      </w:r>
    </w:p>
    <w:p w:rsidR="00412266" w:rsidRDefault="00412266">
      <w:pPr>
        <w:pStyle w:val="Title"/>
      </w:pPr>
    </w:p>
    <w:p w:rsidR="00412266" w:rsidRDefault="00412266">
      <w:pPr>
        <w:pStyle w:val="Title"/>
      </w:pPr>
      <w:r>
        <w:t>EXPLANATORY STATEMENT</w:t>
      </w:r>
    </w:p>
    <w:p w:rsidR="00412266" w:rsidRDefault="00412266">
      <w:pPr>
        <w:ind w:right="-311"/>
        <w:jc w:val="center"/>
      </w:pPr>
    </w:p>
    <w:p w:rsidR="00412266" w:rsidRDefault="00412266">
      <w:pPr>
        <w:pStyle w:val="BodyTextcentred"/>
      </w:pPr>
      <w:r>
        <w:t>Prepared by the Australian Securities and Investments Commission</w:t>
      </w:r>
    </w:p>
    <w:p w:rsidR="00412266" w:rsidRDefault="00442AC0">
      <w:pPr>
        <w:pStyle w:val="BodyTextcentreditals"/>
      </w:pPr>
      <w:r w:rsidRPr="00442AC0">
        <w:t xml:space="preserve">Superannuation </w:t>
      </w:r>
      <w:r>
        <w:t>Industry (Supervision) Act 1993</w:t>
      </w:r>
    </w:p>
    <w:p w:rsidR="00412266" w:rsidRDefault="00412266">
      <w:pPr>
        <w:pStyle w:val="BodyText"/>
      </w:pPr>
      <w:r w:rsidRPr="00B6041C">
        <w:t>The Australian Securities and Investments Commission (</w:t>
      </w:r>
      <w:r w:rsidR="003947DA" w:rsidRPr="003947DA">
        <w:rPr>
          <w:b/>
          <w:i/>
        </w:rPr>
        <w:t>ASIC</w:t>
      </w:r>
      <w:r w:rsidRPr="00B6041C">
        <w:t>) ma</w:t>
      </w:r>
      <w:r w:rsidR="00442AC0">
        <w:t>kes ASIC Class Order [CO 12/1687</w:t>
      </w:r>
      <w:r w:rsidRPr="00B6041C">
        <w:t xml:space="preserve">] under </w:t>
      </w:r>
      <w:r w:rsidR="00590F08">
        <w:t>subsection</w:t>
      </w:r>
      <w:r w:rsidR="002F2D3D">
        <w:t xml:space="preserve"> </w:t>
      </w:r>
      <w:r w:rsidR="00442AC0">
        <w:t>128Q</w:t>
      </w:r>
      <w:r w:rsidRPr="00B6041C">
        <w:t>(</w:t>
      </w:r>
      <w:r w:rsidR="00442AC0">
        <w:t>1</w:t>
      </w:r>
      <w:r w:rsidRPr="00B6041C">
        <w:t xml:space="preserve">) of the </w:t>
      </w:r>
      <w:r w:rsidR="00442AC0" w:rsidRPr="00442AC0">
        <w:rPr>
          <w:i/>
          <w:iCs/>
        </w:rPr>
        <w:t xml:space="preserve">Superannuation Industry (Supervision) Act 1993 </w:t>
      </w:r>
      <w:r w:rsidRPr="00B6041C">
        <w:t xml:space="preserve">(the </w:t>
      </w:r>
      <w:r w:rsidR="003947DA" w:rsidRPr="003947DA">
        <w:rPr>
          <w:b/>
          <w:i/>
        </w:rPr>
        <w:t>Act</w:t>
      </w:r>
      <w:r w:rsidRPr="00B6041C">
        <w:t xml:space="preserve">). </w:t>
      </w:r>
    </w:p>
    <w:p w:rsidR="00412266" w:rsidRPr="00442AC0" w:rsidRDefault="00590F08" w:rsidP="00442AC0">
      <w:pPr>
        <w:pStyle w:val="BodyText"/>
      </w:pPr>
      <w:r>
        <w:t>Subsection</w:t>
      </w:r>
      <w:r w:rsidR="002F2D3D" w:rsidRPr="00B6041C">
        <w:t xml:space="preserve"> </w:t>
      </w:r>
      <w:r w:rsidR="00412266" w:rsidRPr="00B6041C">
        <w:t>1</w:t>
      </w:r>
      <w:r w:rsidR="00442AC0">
        <w:t>28Q</w:t>
      </w:r>
      <w:r w:rsidR="00412266" w:rsidRPr="00B6041C">
        <w:t>(1) provides that ASIC may</w:t>
      </w:r>
      <w:r w:rsidR="00442AC0">
        <w:t>,</w:t>
      </w:r>
      <w:r w:rsidR="00412266" w:rsidRPr="00B6041C">
        <w:t xml:space="preserve"> </w:t>
      </w:r>
      <w:r w:rsidR="00442AC0" w:rsidRPr="00442AC0">
        <w:t>by legislative instrument, determine competency standards to be complied with by all approved SMSF auditors.</w:t>
      </w:r>
    </w:p>
    <w:p w:rsidR="00412266" w:rsidRDefault="00412266">
      <w:pPr>
        <w:pStyle w:val="Heading1"/>
        <w:tabs>
          <w:tab w:val="clear" w:pos="879"/>
        </w:tabs>
        <w:overflowPunct/>
        <w:autoSpaceDE/>
        <w:autoSpaceDN/>
        <w:adjustRightInd/>
        <w:spacing w:after="60" w:line="240" w:lineRule="auto"/>
        <w:textAlignment w:val="auto"/>
        <w:rPr>
          <w:rFonts w:cs="Arial"/>
          <w:bCs/>
          <w:kern w:val="32"/>
          <w:sz w:val="24"/>
          <w:szCs w:val="32"/>
        </w:rPr>
      </w:pPr>
      <w:bookmarkStart w:id="0" w:name="_Toc158699036"/>
      <w:r>
        <w:rPr>
          <w:rFonts w:cs="Arial"/>
          <w:bCs/>
          <w:kern w:val="32"/>
          <w:sz w:val="24"/>
          <w:szCs w:val="32"/>
        </w:rPr>
        <w:t>1.</w:t>
      </w:r>
      <w:r>
        <w:rPr>
          <w:rFonts w:cs="Arial"/>
          <w:bCs/>
          <w:kern w:val="32"/>
          <w:sz w:val="24"/>
          <w:szCs w:val="32"/>
        </w:rPr>
        <w:tab/>
        <w:t>Background</w:t>
      </w:r>
      <w:bookmarkEnd w:id="0"/>
    </w:p>
    <w:p w:rsidR="00AE3BEC" w:rsidRPr="00AE3BEC" w:rsidRDefault="00AE3BEC" w:rsidP="00AE3BEC">
      <w:pPr>
        <w:pStyle w:val="BodyText"/>
        <w:rPr>
          <w:iCs/>
        </w:rPr>
      </w:pPr>
      <w:r w:rsidRPr="00AE3BEC">
        <w:rPr>
          <w:iCs/>
        </w:rPr>
        <w:t>On 16 December 2010, the then Assistant Treasurer and Minister for Financial Services and Superannuation (</w:t>
      </w:r>
      <w:r w:rsidR="003947DA" w:rsidRPr="003947DA">
        <w:rPr>
          <w:b/>
          <w:i/>
          <w:iCs/>
        </w:rPr>
        <w:t>Minister</w:t>
      </w:r>
      <w:r w:rsidRPr="00AE3BEC">
        <w:rPr>
          <w:iCs/>
        </w:rPr>
        <w:t>) announced the Stronger Super reforms</w:t>
      </w:r>
      <w:r w:rsidR="009E3D9D">
        <w:rPr>
          <w:iCs/>
        </w:rPr>
        <w:t xml:space="preserve"> in response to </w:t>
      </w:r>
      <w:r w:rsidRPr="00AE3BEC">
        <w:rPr>
          <w:iCs/>
        </w:rPr>
        <w:t xml:space="preserve">the review into the governance, efficiency, structure and operation of Australia’s superannuation </w:t>
      </w:r>
      <w:r w:rsidR="001D1129">
        <w:rPr>
          <w:iCs/>
        </w:rPr>
        <w:t>system, the Super System Review.</w:t>
      </w:r>
    </w:p>
    <w:p w:rsidR="00D1749E" w:rsidRDefault="009E3D9D" w:rsidP="00AE3BEC">
      <w:pPr>
        <w:pStyle w:val="BodyText"/>
        <w:rPr>
          <w:iCs/>
        </w:rPr>
      </w:pPr>
      <w:r>
        <w:rPr>
          <w:iCs/>
        </w:rPr>
        <w:t>T</w:t>
      </w:r>
      <w:r w:rsidR="00AE3BEC" w:rsidRPr="00AE3BEC">
        <w:rPr>
          <w:iCs/>
        </w:rPr>
        <w:t xml:space="preserve">he </w:t>
      </w:r>
      <w:r w:rsidR="00AE3BEC" w:rsidRPr="009E3D9D">
        <w:rPr>
          <w:i/>
          <w:iCs/>
        </w:rPr>
        <w:t xml:space="preserve">Superannuation Laws Amendment (Capital Gains Tax Relief and Other Efficiency Measures) </w:t>
      </w:r>
      <w:r>
        <w:rPr>
          <w:i/>
          <w:iCs/>
        </w:rPr>
        <w:t>Act</w:t>
      </w:r>
      <w:r w:rsidR="00AE3BEC" w:rsidRPr="009E3D9D">
        <w:rPr>
          <w:i/>
          <w:iCs/>
        </w:rPr>
        <w:t xml:space="preserve"> 2012</w:t>
      </w:r>
      <w:r w:rsidR="00AE3BEC" w:rsidRPr="00AE3BEC">
        <w:rPr>
          <w:iCs/>
        </w:rPr>
        <w:t xml:space="preserve"> implement</w:t>
      </w:r>
      <w:r>
        <w:rPr>
          <w:iCs/>
        </w:rPr>
        <w:t>ed</w:t>
      </w:r>
      <w:r w:rsidR="00766FDA">
        <w:rPr>
          <w:iCs/>
        </w:rPr>
        <w:t xml:space="preserve">, via changes </w:t>
      </w:r>
      <w:r w:rsidR="00766FDA" w:rsidRPr="00AE3BEC">
        <w:rPr>
          <w:iCs/>
        </w:rPr>
        <w:t>to</w:t>
      </w:r>
      <w:r w:rsidR="00766FDA">
        <w:rPr>
          <w:iCs/>
        </w:rPr>
        <w:t xml:space="preserve"> the Act, </w:t>
      </w:r>
      <w:r w:rsidR="00AE3BEC" w:rsidRPr="00AE3BEC">
        <w:rPr>
          <w:iCs/>
        </w:rPr>
        <w:t xml:space="preserve">the </w:t>
      </w:r>
      <w:r>
        <w:rPr>
          <w:iCs/>
        </w:rPr>
        <w:t xml:space="preserve">Stronger Super </w:t>
      </w:r>
      <w:r w:rsidR="00AE3BEC" w:rsidRPr="00AE3BEC">
        <w:rPr>
          <w:iCs/>
        </w:rPr>
        <w:t>reforms</w:t>
      </w:r>
      <w:r w:rsidR="00766FDA">
        <w:rPr>
          <w:iCs/>
        </w:rPr>
        <w:t xml:space="preserve"> </w:t>
      </w:r>
      <w:r w:rsidR="00AE3BEC" w:rsidRPr="00AE3BEC">
        <w:rPr>
          <w:iCs/>
        </w:rPr>
        <w:t>relating to auditors of self-managed superannuation funds (</w:t>
      </w:r>
      <w:r w:rsidR="003947DA" w:rsidRPr="003947DA">
        <w:rPr>
          <w:b/>
          <w:i/>
          <w:iCs/>
        </w:rPr>
        <w:t>SMSFs</w:t>
      </w:r>
      <w:r w:rsidR="00AE3BEC" w:rsidRPr="00AE3BEC">
        <w:rPr>
          <w:iCs/>
        </w:rPr>
        <w:t>)</w:t>
      </w:r>
      <w:r>
        <w:rPr>
          <w:iCs/>
        </w:rPr>
        <w:t>.</w:t>
      </w:r>
      <w:r w:rsidR="00AE3BEC" w:rsidRPr="00AE3BEC">
        <w:rPr>
          <w:iCs/>
        </w:rPr>
        <w:t xml:space="preserve"> </w:t>
      </w:r>
      <w:r>
        <w:rPr>
          <w:iCs/>
        </w:rPr>
        <w:t>The</w:t>
      </w:r>
      <w:r w:rsidR="00AE3BEC" w:rsidRPr="00AE3BEC">
        <w:rPr>
          <w:iCs/>
        </w:rPr>
        <w:t xml:space="preserve"> </w:t>
      </w:r>
      <w:r w:rsidR="00C36DBA">
        <w:rPr>
          <w:iCs/>
        </w:rPr>
        <w:t xml:space="preserve">reforms included </w:t>
      </w:r>
      <w:r w:rsidR="00AE3BEC" w:rsidRPr="00AE3BEC">
        <w:rPr>
          <w:iCs/>
        </w:rPr>
        <w:t xml:space="preserve">a registration regime for </w:t>
      </w:r>
      <w:r w:rsidR="00C36DBA" w:rsidRPr="00C36DBA">
        <w:rPr>
          <w:iCs/>
        </w:rPr>
        <w:t xml:space="preserve">auditors </w:t>
      </w:r>
      <w:r w:rsidR="00C36DBA">
        <w:rPr>
          <w:iCs/>
        </w:rPr>
        <w:t xml:space="preserve">of </w:t>
      </w:r>
      <w:r w:rsidR="00AE3BEC" w:rsidRPr="00AE3BEC">
        <w:rPr>
          <w:iCs/>
        </w:rPr>
        <w:t>SMSF</w:t>
      </w:r>
      <w:r w:rsidR="00C36DBA">
        <w:rPr>
          <w:iCs/>
        </w:rPr>
        <w:t>s</w:t>
      </w:r>
      <w:r w:rsidR="00766FDA">
        <w:rPr>
          <w:iCs/>
        </w:rPr>
        <w:t>,</w:t>
      </w:r>
      <w:r w:rsidR="00C36DBA" w:rsidRPr="00C36DBA">
        <w:rPr>
          <w:iCs/>
        </w:rPr>
        <w:t xml:space="preserve"> </w:t>
      </w:r>
      <w:r w:rsidR="00C36DBA">
        <w:rPr>
          <w:iCs/>
        </w:rPr>
        <w:t>with ASIC</w:t>
      </w:r>
      <w:r w:rsidR="00C36DBA" w:rsidRPr="00AE3BEC">
        <w:rPr>
          <w:iCs/>
        </w:rPr>
        <w:t xml:space="preserve"> as the registration body</w:t>
      </w:r>
      <w:r w:rsidR="00AE3BEC" w:rsidRPr="00AE3BEC">
        <w:rPr>
          <w:iCs/>
        </w:rPr>
        <w:t xml:space="preserve">. </w:t>
      </w:r>
      <w:r w:rsidR="00D1749E">
        <w:rPr>
          <w:iCs/>
        </w:rPr>
        <w:t>Under t</w:t>
      </w:r>
      <w:r w:rsidR="00D1749E" w:rsidRPr="00C36DBA">
        <w:rPr>
          <w:iCs/>
        </w:rPr>
        <w:t>he Act</w:t>
      </w:r>
      <w:r w:rsidR="00D33497">
        <w:rPr>
          <w:iCs/>
        </w:rPr>
        <w:t>,</w:t>
      </w:r>
      <w:r w:rsidR="00D1749E">
        <w:rPr>
          <w:iCs/>
        </w:rPr>
        <w:t xml:space="preserve"> </w:t>
      </w:r>
      <w:r w:rsidR="00D1749E" w:rsidRPr="00C36DBA">
        <w:rPr>
          <w:iCs/>
        </w:rPr>
        <w:t>auditors of SMSFs must be registered with ASIC from 1 July 2013</w:t>
      </w:r>
      <w:r w:rsidR="00D33497">
        <w:rPr>
          <w:iCs/>
        </w:rPr>
        <w:t xml:space="preserve"> to be able to sign-off on SMSF auditor’s reports</w:t>
      </w:r>
      <w:r w:rsidR="00D1749E" w:rsidRPr="00C36DBA">
        <w:rPr>
          <w:iCs/>
        </w:rPr>
        <w:t>.</w:t>
      </w:r>
      <w:r w:rsidR="00D1749E" w:rsidRPr="00D1749E">
        <w:rPr>
          <w:iCs/>
        </w:rPr>
        <w:t xml:space="preserve"> </w:t>
      </w:r>
      <w:r w:rsidR="00D1749E">
        <w:rPr>
          <w:iCs/>
        </w:rPr>
        <w:t xml:space="preserve">A registered </w:t>
      </w:r>
      <w:r w:rsidR="00D1749E" w:rsidRPr="00C36DBA">
        <w:rPr>
          <w:iCs/>
        </w:rPr>
        <w:t xml:space="preserve">auditor of SMSFs </w:t>
      </w:r>
      <w:r w:rsidR="00D1749E">
        <w:rPr>
          <w:iCs/>
        </w:rPr>
        <w:t xml:space="preserve">is referred to in the Act </w:t>
      </w:r>
      <w:r w:rsidR="00D1749E" w:rsidRPr="00C36DBA">
        <w:rPr>
          <w:iCs/>
        </w:rPr>
        <w:t>as an ‘approved SMSF auditor’.</w:t>
      </w:r>
    </w:p>
    <w:p w:rsidR="00AE3BEC" w:rsidRPr="00AE3BEC" w:rsidRDefault="00766FDA" w:rsidP="00AE3BEC">
      <w:pPr>
        <w:pStyle w:val="BodyText"/>
        <w:rPr>
          <w:iCs/>
        </w:rPr>
      </w:pPr>
      <w:r>
        <w:rPr>
          <w:iCs/>
        </w:rPr>
        <w:t xml:space="preserve">ASIC is also </w:t>
      </w:r>
      <w:r w:rsidRPr="00AE3BEC">
        <w:rPr>
          <w:iCs/>
        </w:rPr>
        <w:t xml:space="preserve">responsible </w:t>
      </w:r>
      <w:r>
        <w:rPr>
          <w:iCs/>
        </w:rPr>
        <w:t xml:space="preserve">under the Act </w:t>
      </w:r>
      <w:r w:rsidRPr="00AE3BEC">
        <w:rPr>
          <w:iCs/>
        </w:rPr>
        <w:t>for setting competency standards</w:t>
      </w:r>
      <w:r w:rsidR="00D33497">
        <w:rPr>
          <w:iCs/>
        </w:rPr>
        <w:t>.</w:t>
      </w:r>
      <w:r w:rsidR="00D1749E">
        <w:rPr>
          <w:iCs/>
        </w:rPr>
        <w:t xml:space="preserve"> The </w:t>
      </w:r>
      <w:r w:rsidRPr="00AE3BEC">
        <w:rPr>
          <w:iCs/>
        </w:rPr>
        <w:t xml:space="preserve">Australian Taxation Office </w:t>
      </w:r>
      <w:r w:rsidR="00D1749E">
        <w:rPr>
          <w:iCs/>
        </w:rPr>
        <w:t xml:space="preserve">has powers under the Act </w:t>
      </w:r>
      <w:r w:rsidRPr="00AE3BEC">
        <w:rPr>
          <w:iCs/>
        </w:rPr>
        <w:t xml:space="preserve">to monitor </w:t>
      </w:r>
      <w:r w:rsidR="00D1749E">
        <w:rPr>
          <w:iCs/>
        </w:rPr>
        <w:t xml:space="preserve">approved SMSF </w:t>
      </w:r>
      <w:r w:rsidRPr="00AE3BEC">
        <w:rPr>
          <w:iCs/>
        </w:rPr>
        <w:t xml:space="preserve">auditor’s compliance with relevant standards and </w:t>
      </w:r>
      <w:r w:rsidR="00D1749E">
        <w:rPr>
          <w:iCs/>
        </w:rPr>
        <w:t xml:space="preserve">to </w:t>
      </w:r>
      <w:r w:rsidRPr="00AE3BEC">
        <w:rPr>
          <w:iCs/>
        </w:rPr>
        <w:t xml:space="preserve">refer </w:t>
      </w:r>
      <w:r w:rsidR="00D1749E">
        <w:rPr>
          <w:iCs/>
        </w:rPr>
        <w:t xml:space="preserve">matters of non-compliance </w:t>
      </w:r>
      <w:r w:rsidRPr="00AE3BEC">
        <w:rPr>
          <w:iCs/>
        </w:rPr>
        <w:t>to ASIC.</w:t>
      </w:r>
      <w:r w:rsidR="00D33497">
        <w:rPr>
          <w:iCs/>
        </w:rPr>
        <w:t xml:space="preserve"> ASIC has powers under the Act to take</w:t>
      </w:r>
      <w:r w:rsidR="00D33497" w:rsidRPr="00D33497">
        <w:rPr>
          <w:iCs/>
        </w:rPr>
        <w:t xml:space="preserve"> administrative action in relation to approved SMSF auditors who have not met their on-going obligations in accordance with the Act.</w:t>
      </w:r>
    </w:p>
    <w:p w:rsidR="00C36DBA" w:rsidRDefault="00C36DBA" w:rsidP="00C36DBA">
      <w:pPr>
        <w:pStyle w:val="BodyText"/>
        <w:rPr>
          <w:iCs/>
        </w:rPr>
      </w:pPr>
      <w:r w:rsidRPr="00C36DBA">
        <w:rPr>
          <w:iCs/>
        </w:rPr>
        <w:t xml:space="preserve">Approved SMSF auditors must, </w:t>
      </w:r>
      <w:r w:rsidR="00D1749E">
        <w:rPr>
          <w:iCs/>
        </w:rPr>
        <w:t>in accordance with</w:t>
      </w:r>
      <w:r w:rsidRPr="00C36DBA">
        <w:rPr>
          <w:iCs/>
        </w:rPr>
        <w:t xml:space="preserve"> subparagraph 128F(c)(i) of the Act, comply with the competency standards set by ASIC </w:t>
      </w:r>
      <w:r w:rsidR="00D1749E">
        <w:rPr>
          <w:iCs/>
        </w:rPr>
        <w:t xml:space="preserve">under </w:t>
      </w:r>
      <w:r w:rsidRPr="00C36DBA">
        <w:rPr>
          <w:iCs/>
        </w:rPr>
        <w:t>subsection 128Q(1)</w:t>
      </w:r>
      <w:r w:rsidR="00D1749E">
        <w:rPr>
          <w:iCs/>
        </w:rPr>
        <w:t xml:space="preserve"> of the Act</w:t>
      </w:r>
      <w:r w:rsidRPr="00C36DBA">
        <w:rPr>
          <w:iCs/>
        </w:rPr>
        <w:t>.</w:t>
      </w:r>
    </w:p>
    <w:p w:rsidR="00412266" w:rsidRDefault="00412266">
      <w:pPr>
        <w:pStyle w:val="Heading1"/>
        <w:tabs>
          <w:tab w:val="clear" w:pos="879"/>
        </w:tabs>
        <w:overflowPunct/>
        <w:autoSpaceDE/>
        <w:autoSpaceDN/>
        <w:adjustRightInd/>
        <w:spacing w:after="60" w:line="240" w:lineRule="auto"/>
        <w:textAlignment w:val="auto"/>
        <w:rPr>
          <w:rFonts w:cs="Arial"/>
          <w:bCs/>
          <w:kern w:val="32"/>
          <w:sz w:val="24"/>
          <w:szCs w:val="32"/>
        </w:rPr>
      </w:pPr>
      <w:bookmarkStart w:id="1" w:name="_Toc158699037"/>
      <w:r>
        <w:rPr>
          <w:rFonts w:cs="Arial"/>
          <w:bCs/>
          <w:kern w:val="32"/>
          <w:sz w:val="24"/>
          <w:szCs w:val="32"/>
        </w:rPr>
        <w:t>2.</w:t>
      </w:r>
      <w:r>
        <w:rPr>
          <w:rFonts w:cs="Arial"/>
          <w:bCs/>
          <w:kern w:val="32"/>
          <w:sz w:val="24"/>
          <w:szCs w:val="32"/>
        </w:rPr>
        <w:tab/>
        <w:t>Purpose of the class order</w:t>
      </w:r>
      <w:bookmarkEnd w:id="1"/>
      <w:r>
        <w:rPr>
          <w:rFonts w:cs="Arial"/>
          <w:bCs/>
          <w:kern w:val="32"/>
          <w:sz w:val="24"/>
          <w:szCs w:val="32"/>
        </w:rPr>
        <w:t xml:space="preserve"> </w:t>
      </w:r>
    </w:p>
    <w:p w:rsidR="00837563" w:rsidRDefault="00237431" w:rsidP="00117D1A">
      <w:pPr>
        <w:pStyle w:val="BodyText"/>
        <w:rPr>
          <w:iCs/>
        </w:rPr>
      </w:pPr>
      <w:r w:rsidRPr="00237431">
        <w:rPr>
          <w:iCs/>
        </w:rPr>
        <w:t>Class Order [CO 12/1687]</w:t>
      </w:r>
      <w:r>
        <w:rPr>
          <w:iCs/>
        </w:rPr>
        <w:t xml:space="preserve"> </w:t>
      </w:r>
      <w:r w:rsidR="001937B9">
        <w:rPr>
          <w:iCs/>
        </w:rPr>
        <w:t>sets out</w:t>
      </w:r>
      <w:r>
        <w:rPr>
          <w:iCs/>
        </w:rPr>
        <w:t xml:space="preserve"> the </w:t>
      </w:r>
      <w:r w:rsidRPr="00237431">
        <w:rPr>
          <w:iCs/>
        </w:rPr>
        <w:t xml:space="preserve">competency standards </w:t>
      </w:r>
      <w:r>
        <w:rPr>
          <w:iCs/>
        </w:rPr>
        <w:t xml:space="preserve">determined by ASIC </w:t>
      </w:r>
      <w:r w:rsidRPr="00237431">
        <w:rPr>
          <w:iCs/>
        </w:rPr>
        <w:t>to be complied with by all approved SMSF auditors</w:t>
      </w:r>
      <w:r>
        <w:rPr>
          <w:iCs/>
        </w:rPr>
        <w:t xml:space="preserve"> </w:t>
      </w:r>
      <w:r w:rsidRPr="00237431">
        <w:rPr>
          <w:iCs/>
        </w:rPr>
        <w:t xml:space="preserve">under subparagraph 128F(c)(i) of the Act. </w:t>
      </w:r>
    </w:p>
    <w:p w:rsidR="00117D1A" w:rsidRDefault="00837563" w:rsidP="00117D1A">
      <w:pPr>
        <w:pStyle w:val="BodyText"/>
        <w:rPr>
          <w:iCs/>
        </w:rPr>
      </w:pPr>
      <w:r w:rsidRPr="00837563">
        <w:rPr>
          <w:iCs/>
        </w:rPr>
        <w:lastRenderedPageBreak/>
        <w:t xml:space="preserve">Class Order [CO 12/1687] </w:t>
      </w:r>
      <w:r>
        <w:rPr>
          <w:iCs/>
        </w:rPr>
        <w:t>specifies</w:t>
      </w:r>
      <w:r w:rsidR="00237431" w:rsidRPr="00237431">
        <w:rPr>
          <w:iCs/>
        </w:rPr>
        <w:t xml:space="preserve"> competencies that an </w:t>
      </w:r>
      <w:r>
        <w:rPr>
          <w:iCs/>
        </w:rPr>
        <w:t xml:space="preserve">approved SMSF </w:t>
      </w:r>
      <w:r w:rsidR="00237431" w:rsidRPr="00237431">
        <w:rPr>
          <w:iCs/>
        </w:rPr>
        <w:t>auditor is required to have in all of the following areas:</w:t>
      </w:r>
    </w:p>
    <w:p w:rsidR="00237431" w:rsidRPr="00237431" w:rsidRDefault="00237431" w:rsidP="00237431">
      <w:pPr>
        <w:pStyle w:val="BodyText"/>
        <w:ind w:left="567"/>
        <w:rPr>
          <w:iCs/>
        </w:rPr>
      </w:pPr>
      <w:r w:rsidRPr="00237431">
        <w:rPr>
          <w:iCs/>
        </w:rPr>
        <w:t>(a)</w:t>
      </w:r>
      <w:r w:rsidRPr="00237431">
        <w:rPr>
          <w:iCs/>
        </w:rPr>
        <w:tab/>
        <w:t>client acceptance and retention;</w:t>
      </w:r>
    </w:p>
    <w:p w:rsidR="00237431" w:rsidRPr="00237431" w:rsidRDefault="00237431" w:rsidP="00237431">
      <w:pPr>
        <w:pStyle w:val="BodyText"/>
        <w:ind w:left="567"/>
        <w:rPr>
          <w:iCs/>
        </w:rPr>
      </w:pPr>
      <w:r w:rsidRPr="00237431">
        <w:rPr>
          <w:iCs/>
        </w:rPr>
        <w:t>(b)</w:t>
      </w:r>
      <w:r w:rsidRPr="00237431">
        <w:rPr>
          <w:iCs/>
        </w:rPr>
        <w:tab/>
        <w:t>engagement planning;</w:t>
      </w:r>
    </w:p>
    <w:p w:rsidR="00237431" w:rsidRPr="00237431" w:rsidRDefault="00237431" w:rsidP="00237431">
      <w:pPr>
        <w:pStyle w:val="BodyText"/>
        <w:ind w:left="567"/>
        <w:rPr>
          <w:iCs/>
        </w:rPr>
      </w:pPr>
      <w:r w:rsidRPr="00237431">
        <w:rPr>
          <w:iCs/>
        </w:rPr>
        <w:t>(c)</w:t>
      </w:r>
      <w:r w:rsidRPr="00237431">
        <w:rPr>
          <w:iCs/>
        </w:rPr>
        <w:tab/>
        <w:t>controls</w:t>
      </w:r>
      <w:r w:rsidR="003F08E1">
        <w:rPr>
          <w:iCs/>
        </w:rPr>
        <w:t>,</w:t>
      </w:r>
      <w:r w:rsidRPr="00237431">
        <w:rPr>
          <w:iCs/>
        </w:rPr>
        <w:t xml:space="preserve"> evaluation and testing;</w:t>
      </w:r>
    </w:p>
    <w:p w:rsidR="00237431" w:rsidRPr="00237431" w:rsidRDefault="00237431" w:rsidP="00237431">
      <w:pPr>
        <w:pStyle w:val="BodyText"/>
        <w:ind w:left="567"/>
        <w:rPr>
          <w:iCs/>
        </w:rPr>
      </w:pPr>
      <w:r w:rsidRPr="00237431">
        <w:rPr>
          <w:iCs/>
        </w:rPr>
        <w:t>(d)</w:t>
      </w:r>
      <w:r w:rsidRPr="00237431">
        <w:rPr>
          <w:iCs/>
        </w:rPr>
        <w:tab/>
        <w:t>substantive testing;</w:t>
      </w:r>
    </w:p>
    <w:p w:rsidR="00237431" w:rsidRPr="00237431" w:rsidRDefault="00237431" w:rsidP="00237431">
      <w:pPr>
        <w:pStyle w:val="BodyText"/>
        <w:ind w:left="567"/>
        <w:rPr>
          <w:iCs/>
        </w:rPr>
      </w:pPr>
      <w:r w:rsidRPr="00237431">
        <w:rPr>
          <w:iCs/>
        </w:rPr>
        <w:t>(e)</w:t>
      </w:r>
      <w:r w:rsidRPr="00237431">
        <w:rPr>
          <w:iCs/>
        </w:rPr>
        <w:tab/>
        <w:t>forming an opinion;</w:t>
      </w:r>
    </w:p>
    <w:p w:rsidR="00237431" w:rsidRPr="00237431" w:rsidRDefault="00237431" w:rsidP="00237431">
      <w:pPr>
        <w:pStyle w:val="BodyText"/>
        <w:ind w:left="567"/>
        <w:rPr>
          <w:iCs/>
        </w:rPr>
      </w:pPr>
      <w:r w:rsidRPr="00237431">
        <w:rPr>
          <w:iCs/>
        </w:rPr>
        <w:t>(f)</w:t>
      </w:r>
      <w:r w:rsidRPr="00237431">
        <w:rPr>
          <w:iCs/>
        </w:rPr>
        <w:tab/>
        <w:t>documentation.</w:t>
      </w:r>
    </w:p>
    <w:p w:rsidR="00237431" w:rsidRPr="00117D1A" w:rsidRDefault="00237431" w:rsidP="00237431">
      <w:pPr>
        <w:pStyle w:val="BodyText"/>
        <w:rPr>
          <w:iCs/>
        </w:rPr>
      </w:pPr>
      <w:r w:rsidRPr="00237431">
        <w:rPr>
          <w:iCs/>
        </w:rPr>
        <w:t xml:space="preserve">The </w:t>
      </w:r>
      <w:r w:rsidR="00837563">
        <w:rPr>
          <w:iCs/>
        </w:rPr>
        <w:t xml:space="preserve">competency </w:t>
      </w:r>
      <w:r w:rsidRPr="00237431">
        <w:rPr>
          <w:iCs/>
        </w:rPr>
        <w:t xml:space="preserve">standards are based on </w:t>
      </w:r>
      <w:r w:rsidRPr="00837563">
        <w:rPr>
          <w:i/>
          <w:iCs/>
        </w:rPr>
        <w:t>Competency requirements for auditors of self-managed superannuation funds</w:t>
      </w:r>
      <w:r w:rsidRPr="00237431">
        <w:rPr>
          <w:iCs/>
        </w:rPr>
        <w:t xml:space="preserve"> dated February 2008, prepared by the Joint Accounting Bodies (i.e. CPA Australia, </w:t>
      </w:r>
      <w:r w:rsidR="00D33497">
        <w:rPr>
          <w:iCs/>
        </w:rPr>
        <w:t>T</w:t>
      </w:r>
      <w:r w:rsidRPr="00237431">
        <w:rPr>
          <w:iCs/>
        </w:rPr>
        <w:t>he Institute of Chartered Accountants in Australia and the Institute of Public Accountants).</w:t>
      </w:r>
    </w:p>
    <w:p w:rsidR="00412266" w:rsidRDefault="00412266">
      <w:pPr>
        <w:pStyle w:val="Heading1"/>
        <w:tabs>
          <w:tab w:val="clear" w:pos="879"/>
        </w:tabs>
        <w:overflowPunct/>
        <w:autoSpaceDE/>
        <w:autoSpaceDN/>
        <w:adjustRightInd/>
        <w:spacing w:after="60" w:line="240" w:lineRule="auto"/>
        <w:textAlignment w:val="auto"/>
        <w:rPr>
          <w:rFonts w:cs="Arial"/>
          <w:bCs/>
          <w:kern w:val="32"/>
          <w:sz w:val="24"/>
          <w:szCs w:val="32"/>
        </w:rPr>
      </w:pPr>
      <w:bookmarkStart w:id="2" w:name="_Toc158699040"/>
      <w:r>
        <w:rPr>
          <w:rFonts w:cs="Arial"/>
          <w:bCs/>
          <w:kern w:val="32"/>
          <w:sz w:val="24"/>
          <w:szCs w:val="32"/>
        </w:rPr>
        <w:t>3.</w:t>
      </w:r>
      <w:r>
        <w:rPr>
          <w:rFonts w:cs="Arial"/>
          <w:bCs/>
          <w:kern w:val="32"/>
          <w:sz w:val="24"/>
          <w:szCs w:val="32"/>
        </w:rPr>
        <w:tab/>
        <w:t>Operation of the class order</w:t>
      </w:r>
      <w:bookmarkEnd w:id="2"/>
      <w:r>
        <w:rPr>
          <w:rFonts w:cs="Arial"/>
          <w:bCs/>
          <w:kern w:val="32"/>
          <w:sz w:val="24"/>
          <w:szCs w:val="32"/>
        </w:rPr>
        <w:t xml:space="preserve"> </w:t>
      </w:r>
    </w:p>
    <w:p w:rsidR="003F3BD5" w:rsidRDefault="00837563" w:rsidP="003F3BD5">
      <w:pPr>
        <w:pStyle w:val="BodyText"/>
      </w:pPr>
      <w:r w:rsidRPr="002C5340">
        <w:rPr>
          <w:iCs/>
        </w:rPr>
        <w:t xml:space="preserve">Class Order [CO 12/1687] </w:t>
      </w:r>
      <w:r w:rsidR="001E6C60">
        <w:rPr>
          <w:iCs/>
        </w:rPr>
        <w:t xml:space="preserve">sets out the </w:t>
      </w:r>
      <w:r w:rsidR="002C5340" w:rsidRPr="002C5340">
        <w:rPr>
          <w:iCs/>
        </w:rPr>
        <w:t>competencies</w:t>
      </w:r>
      <w:r w:rsidR="001E6C60">
        <w:rPr>
          <w:iCs/>
        </w:rPr>
        <w:t>,</w:t>
      </w:r>
      <w:r w:rsidR="002C5340" w:rsidRPr="002C5340">
        <w:rPr>
          <w:iCs/>
        </w:rPr>
        <w:t xml:space="preserve"> </w:t>
      </w:r>
      <w:r w:rsidR="001E6C60">
        <w:rPr>
          <w:iCs/>
        </w:rPr>
        <w:t>in terms of tasks and knowledge requirements that</w:t>
      </w:r>
      <w:r w:rsidR="003F3BD5" w:rsidRPr="002C5340">
        <w:rPr>
          <w:iCs/>
        </w:rPr>
        <w:t xml:space="preserve"> </w:t>
      </w:r>
      <w:r w:rsidR="003F3BD5">
        <w:rPr>
          <w:iCs/>
        </w:rPr>
        <w:t>approved SMSF</w:t>
      </w:r>
      <w:r w:rsidR="003F3BD5" w:rsidRPr="002C5340">
        <w:rPr>
          <w:iCs/>
        </w:rPr>
        <w:t xml:space="preserve"> auditor</w:t>
      </w:r>
      <w:r w:rsidR="003F3BD5">
        <w:rPr>
          <w:iCs/>
        </w:rPr>
        <w:t>s</w:t>
      </w:r>
      <w:r w:rsidR="003F3BD5" w:rsidRPr="002C5340">
        <w:rPr>
          <w:iCs/>
        </w:rPr>
        <w:t xml:space="preserve"> </w:t>
      </w:r>
      <w:r w:rsidR="003F3BD5">
        <w:rPr>
          <w:iCs/>
        </w:rPr>
        <w:t xml:space="preserve">are </w:t>
      </w:r>
      <w:r w:rsidR="003F3BD5" w:rsidRPr="002C5340">
        <w:rPr>
          <w:iCs/>
        </w:rPr>
        <w:t>required to have</w:t>
      </w:r>
      <w:r w:rsidR="003F3BD5">
        <w:rPr>
          <w:iCs/>
        </w:rPr>
        <w:t xml:space="preserve">. The </w:t>
      </w:r>
      <w:r w:rsidR="001E6C60">
        <w:rPr>
          <w:iCs/>
        </w:rPr>
        <w:t>knowledge requirements</w:t>
      </w:r>
      <w:r w:rsidR="003F3BD5">
        <w:rPr>
          <w:iCs/>
        </w:rPr>
        <w:t xml:space="preserve"> </w:t>
      </w:r>
      <w:r w:rsidR="001E6C60">
        <w:rPr>
          <w:iCs/>
        </w:rPr>
        <w:t>include</w:t>
      </w:r>
      <w:r w:rsidR="003F3BD5">
        <w:rPr>
          <w:iCs/>
        </w:rPr>
        <w:t xml:space="preserve"> an understanding of </w:t>
      </w:r>
      <w:r w:rsidR="001E6C60">
        <w:rPr>
          <w:iCs/>
        </w:rPr>
        <w:t>certain legislative</w:t>
      </w:r>
      <w:r w:rsidR="003F3BD5">
        <w:rPr>
          <w:iCs/>
        </w:rPr>
        <w:t xml:space="preserve"> and other requirements as well as </w:t>
      </w:r>
      <w:r w:rsidR="003F3BD5">
        <w:t xml:space="preserve">matters </w:t>
      </w:r>
      <w:r w:rsidR="001E6C60">
        <w:t xml:space="preserve">specified in </w:t>
      </w:r>
      <w:r w:rsidR="003F3BD5">
        <w:t xml:space="preserve">relation to </w:t>
      </w:r>
      <w:r w:rsidR="001E6C60">
        <w:t xml:space="preserve">the </w:t>
      </w:r>
      <w:r w:rsidR="003F3BD5">
        <w:t>task</w:t>
      </w:r>
      <w:r w:rsidR="001E6C60">
        <w:t>s</w:t>
      </w:r>
      <w:r w:rsidR="003F3BD5">
        <w:t>.</w:t>
      </w:r>
    </w:p>
    <w:p w:rsidR="003F3BD5" w:rsidRDefault="001E6C60" w:rsidP="003F3BD5">
      <w:pPr>
        <w:pStyle w:val="BodyText"/>
      </w:pPr>
      <w:r>
        <w:t xml:space="preserve">The tasks set out in the class order are such that an </w:t>
      </w:r>
      <w:r w:rsidR="003F3BD5">
        <w:t>auditor will generally need to perform the</w:t>
      </w:r>
      <w:r>
        <w:t>m</w:t>
      </w:r>
      <w:r w:rsidR="003F3BD5">
        <w:t xml:space="preserve"> when deciding to undertake or undertaking an audit and assurance engagement in relation to an SMSF. Whether </w:t>
      </w:r>
      <w:r w:rsidR="00F12997">
        <w:t xml:space="preserve">a </w:t>
      </w:r>
      <w:r w:rsidR="003F3BD5">
        <w:t>particular task</w:t>
      </w:r>
      <w:r w:rsidR="00F12997">
        <w:t xml:space="preserve"> needs to be performed, including a task not set out in the class order, </w:t>
      </w:r>
      <w:r w:rsidR="003F3BD5">
        <w:t>is a matter that the auditor will need to determine having regard to the circumstances.</w:t>
      </w:r>
    </w:p>
    <w:p w:rsidR="003F3BD5" w:rsidRDefault="003F3BD5" w:rsidP="003F3BD5">
      <w:pPr>
        <w:pStyle w:val="BodyText"/>
      </w:pPr>
      <w:r>
        <w:t xml:space="preserve">The tasks </w:t>
      </w:r>
      <w:r w:rsidR="00F12997">
        <w:t xml:space="preserve">set out in the class order </w:t>
      </w:r>
      <w:r>
        <w:t xml:space="preserve">are not intended to be a substitute for an audit or assurance program required by the relevant auditing and assurance standards, nor for the need to understand and apply the requirements of the </w:t>
      </w:r>
      <w:r w:rsidR="00F12997" w:rsidRPr="00F12997">
        <w:t xml:space="preserve">relevant </w:t>
      </w:r>
      <w:r w:rsidR="00F12997">
        <w:t xml:space="preserve">auditing and assurance standards, ethical standards or </w:t>
      </w:r>
      <w:r>
        <w:t>the Act.</w:t>
      </w:r>
    </w:p>
    <w:p w:rsidR="00412266" w:rsidRDefault="00B6041C">
      <w:pPr>
        <w:pStyle w:val="Heading1"/>
        <w:tabs>
          <w:tab w:val="clear" w:pos="879"/>
        </w:tabs>
        <w:overflowPunct/>
        <w:autoSpaceDE/>
        <w:autoSpaceDN/>
        <w:adjustRightInd/>
        <w:spacing w:after="60" w:line="240" w:lineRule="auto"/>
        <w:textAlignment w:val="auto"/>
        <w:rPr>
          <w:rFonts w:cs="Arial"/>
          <w:bCs/>
          <w:kern w:val="32"/>
          <w:sz w:val="24"/>
          <w:szCs w:val="32"/>
        </w:rPr>
      </w:pPr>
      <w:r w:rsidRPr="00B6041C">
        <w:rPr>
          <w:rFonts w:cs="Arial"/>
          <w:bCs/>
          <w:kern w:val="32"/>
          <w:sz w:val="24"/>
          <w:szCs w:val="32"/>
        </w:rPr>
        <w:t xml:space="preserve">4. </w:t>
      </w:r>
      <w:r w:rsidR="006D428A">
        <w:rPr>
          <w:rFonts w:cs="Arial"/>
          <w:bCs/>
          <w:kern w:val="32"/>
          <w:sz w:val="24"/>
          <w:szCs w:val="32"/>
        </w:rPr>
        <w:tab/>
      </w:r>
      <w:r w:rsidRPr="00B6041C">
        <w:rPr>
          <w:rFonts w:cs="Arial"/>
          <w:bCs/>
          <w:kern w:val="32"/>
          <w:sz w:val="24"/>
          <w:szCs w:val="32"/>
        </w:rPr>
        <w:t>Statement of Compatibility with Human Rights</w:t>
      </w:r>
    </w:p>
    <w:p w:rsidR="00B6041C" w:rsidRPr="00B6041C" w:rsidRDefault="00B6041C" w:rsidP="00B6041C">
      <w:pPr>
        <w:pStyle w:val="BodyText"/>
      </w:pPr>
      <w:r w:rsidRPr="00B6041C">
        <w:t xml:space="preserve">This statement is prepared in accordance with Part 3 of the </w:t>
      </w:r>
      <w:r w:rsidRPr="00B6041C">
        <w:rPr>
          <w:i/>
          <w:iCs/>
        </w:rPr>
        <w:t>Human Rights (Parliamentary Scrutiny) Act 2011</w:t>
      </w:r>
      <w:r w:rsidRPr="00B6041C">
        <w:t xml:space="preserve">. </w:t>
      </w:r>
    </w:p>
    <w:p w:rsidR="00412266" w:rsidRDefault="00B6041C" w:rsidP="00B6041C">
      <w:pPr>
        <w:pStyle w:val="BodyText"/>
      </w:pPr>
      <w:r w:rsidRPr="00B6041C">
        <w:t xml:space="preserve">This </w:t>
      </w:r>
      <w:r w:rsidR="00A01ECF">
        <w:t>legislative instrument</w:t>
      </w:r>
      <w:r w:rsidRPr="00B6041C">
        <w:t xml:space="preserve"> is compatible with the human rights and freedoms recognised or declared in the international instruments listed in section 3 of </w:t>
      </w:r>
      <w:r w:rsidR="00A01ECF" w:rsidRPr="00A01ECF">
        <w:rPr>
          <w:i/>
          <w:iCs/>
        </w:rPr>
        <w:t>Human Rights (Parliamentary Scrutiny) Act 2011</w:t>
      </w:r>
      <w:r w:rsidRPr="00B6041C">
        <w:t xml:space="preserve">because it does not engage any of the applicable rights or freedoms. </w:t>
      </w:r>
    </w:p>
    <w:p w:rsidR="00412266" w:rsidRDefault="00412266">
      <w:pPr>
        <w:pStyle w:val="Heading1"/>
        <w:tabs>
          <w:tab w:val="clear" w:pos="879"/>
        </w:tabs>
        <w:overflowPunct/>
        <w:autoSpaceDE/>
        <w:autoSpaceDN/>
        <w:adjustRightInd/>
        <w:spacing w:after="60" w:line="240" w:lineRule="auto"/>
        <w:textAlignment w:val="auto"/>
        <w:rPr>
          <w:rFonts w:cs="Arial"/>
          <w:bCs/>
          <w:kern w:val="32"/>
          <w:sz w:val="24"/>
          <w:szCs w:val="32"/>
        </w:rPr>
      </w:pPr>
      <w:bookmarkStart w:id="3" w:name="_Toc158699042"/>
      <w:r>
        <w:rPr>
          <w:rFonts w:cs="Arial"/>
          <w:bCs/>
          <w:kern w:val="32"/>
          <w:sz w:val="24"/>
          <w:szCs w:val="32"/>
        </w:rPr>
        <w:lastRenderedPageBreak/>
        <w:t>5.</w:t>
      </w:r>
      <w:r>
        <w:rPr>
          <w:rFonts w:cs="Arial"/>
          <w:bCs/>
          <w:kern w:val="32"/>
          <w:sz w:val="24"/>
          <w:szCs w:val="32"/>
        </w:rPr>
        <w:tab/>
        <w:t>Consultation</w:t>
      </w:r>
      <w:bookmarkEnd w:id="3"/>
    </w:p>
    <w:p w:rsidR="009E3D9D" w:rsidRPr="009E3D9D" w:rsidRDefault="009E3D9D" w:rsidP="009E3D9D">
      <w:pPr>
        <w:pStyle w:val="BodyText"/>
        <w:rPr>
          <w:iCs/>
        </w:rPr>
      </w:pPr>
      <w:r w:rsidRPr="009E3D9D">
        <w:rPr>
          <w:iCs/>
        </w:rPr>
        <w:t>To provide input on the design and implementation of the Stronger Super reforms, the Government undertook extensive consultation with industry, employer and consumer groups.  The Government announced its decisions on the key design aspects of the Stronger Super reforms in the Minister’s Media Release No. 131 of 21 September 2011.</w:t>
      </w:r>
    </w:p>
    <w:p w:rsidR="007002E2" w:rsidRPr="001D1129" w:rsidRDefault="001D1129" w:rsidP="001D1129">
      <w:pPr>
        <w:pStyle w:val="BodyText"/>
        <w:rPr>
          <w:iCs/>
        </w:rPr>
      </w:pPr>
      <w:r w:rsidRPr="001D1129">
        <w:rPr>
          <w:iCs/>
        </w:rPr>
        <w:t xml:space="preserve">ASIC </w:t>
      </w:r>
      <w:r>
        <w:rPr>
          <w:iCs/>
        </w:rPr>
        <w:t>consulted publically on a draft of the class order via a consultation paper released on 14 November 2012.</w:t>
      </w:r>
      <w:r w:rsidR="00A01ECF">
        <w:rPr>
          <w:iCs/>
        </w:rPr>
        <w:t xml:space="preserve"> </w:t>
      </w:r>
    </w:p>
    <w:sectPr w:rsidR="007002E2" w:rsidRPr="001D1129" w:rsidSect="00566784">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027" w:rsidRDefault="00F84027" w:rsidP="00C81219">
      <w:r>
        <w:separator/>
      </w:r>
    </w:p>
  </w:endnote>
  <w:endnote w:type="continuationSeparator" w:id="0">
    <w:p w:rsidR="00F84027" w:rsidRDefault="00F84027" w:rsidP="00C812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67" w:rsidRDefault="003947DA">
    <w:pPr>
      <w:pStyle w:val="Footer"/>
      <w:jc w:val="right"/>
    </w:pPr>
    <w:fldSimple w:instr=" PAGE   \* MERGEFORMAT ">
      <w:r w:rsidR="00E31F61">
        <w:rPr>
          <w:noProof/>
        </w:rPr>
        <w:t>1</w:t>
      </w:r>
    </w:fldSimple>
  </w:p>
  <w:p w:rsidR="00F70067" w:rsidRDefault="00F700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027" w:rsidRDefault="00F84027" w:rsidP="00C81219">
      <w:r>
        <w:separator/>
      </w:r>
    </w:p>
  </w:footnote>
  <w:footnote w:type="continuationSeparator" w:id="0">
    <w:p w:rsidR="00F84027" w:rsidRDefault="00F84027" w:rsidP="00C81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E69" w:rsidRPr="006E175D" w:rsidRDefault="00592E69" w:rsidP="00592E69">
    <w:pPr>
      <w:pStyle w:val="Header"/>
      <w:jc w:val="right"/>
      <w:rPr>
        <w:sz w:val="28"/>
        <w:szCs w:val="28"/>
      </w:rPr>
    </w:pPr>
    <w:r w:rsidRPr="006E175D">
      <w:rPr>
        <w:sz w:val="28"/>
        <w:szCs w:val="28"/>
      </w:rPr>
      <w:t>12-</w:t>
    </w:r>
    <w:r w:rsidR="00442AC0">
      <w:rPr>
        <w:sz w:val="28"/>
        <w:szCs w:val="28"/>
      </w:rPr>
      <w:t>1687</w:t>
    </w:r>
  </w:p>
  <w:p w:rsidR="00592E69" w:rsidRDefault="00592E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1213E9"/>
    <w:multiLevelType w:val="hybridMultilevel"/>
    <w:tmpl w:val="1E24C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CFD6A50"/>
    <w:multiLevelType w:val="hybridMultilevel"/>
    <w:tmpl w:val="9B3CE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2266"/>
    <w:rsid w:val="00000054"/>
    <w:rsid w:val="00005150"/>
    <w:rsid w:val="000069A3"/>
    <w:rsid w:val="00020778"/>
    <w:rsid w:val="00021A05"/>
    <w:rsid w:val="00027C72"/>
    <w:rsid w:val="000318AF"/>
    <w:rsid w:val="00085D7B"/>
    <w:rsid w:val="000A3F18"/>
    <w:rsid w:val="000D625F"/>
    <w:rsid w:val="000E1FC7"/>
    <w:rsid w:val="00100E23"/>
    <w:rsid w:val="00117D1A"/>
    <w:rsid w:val="00123F07"/>
    <w:rsid w:val="001937B9"/>
    <w:rsid w:val="001B1285"/>
    <w:rsid w:val="001C249E"/>
    <w:rsid w:val="001D1129"/>
    <w:rsid w:val="001D7801"/>
    <w:rsid w:val="001E447E"/>
    <w:rsid w:val="001E54B3"/>
    <w:rsid w:val="001E6C60"/>
    <w:rsid w:val="001F60EB"/>
    <w:rsid w:val="002043B9"/>
    <w:rsid w:val="002141A3"/>
    <w:rsid w:val="00237431"/>
    <w:rsid w:val="002411DC"/>
    <w:rsid w:val="00242F14"/>
    <w:rsid w:val="00251C74"/>
    <w:rsid w:val="00284178"/>
    <w:rsid w:val="002C5340"/>
    <w:rsid w:val="002E43F4"/>
    <w:rsid w:val="002F2D3D"/>
    <w:rsid w:val="00315E4D"/>
    <w:rsid w:val="003947DA"/>
    <w:rsid w:val="003C67C9"/>
    <w:rsid w:val="003E4DE4"/>
    <w:rsid w:val="003F08E1"/>
    <w:rsid w:val="003F3BD5"/>
    <w:rsid w:val="00412266"/>
    <w:rsid w:val="00424158"/>
    <w:rsid w:val="0044050F"/>
    <w:rsid w:val="00442AC0"/>
    <w:rsid w:val="00454E1D"/>
    <w:rsid w:val="004844FB"/>
    <w:rsid w:val="004D2C92"/>
    <w:rsid w:val="004E6F69"/>
    <w:rsid w:val="004F5495"/>
    <w:rsid w:val="00510461"/>
    <w:rsid w:val="005432FB"/>
    <w:rsid w:val="00563D47"/>
    <w:rsid w:val="00566784"/>
    <w:rsid w:val="00590F08"/>
    <w:rsid w:val="00592E69"/>
    <w:rsid w:val="005D0E8C"/>
    <w:rsid w:val="00640F8E"/>
    <w:rsid w:val="00663CDD"/>
    <w:rsid w:val="006653DB"/>
    <w:rsid w:val="006B5DFF"/>
    <w:rsid w:val="006D428A"/>
    <w:rsid w:val="006D457B"/>
    <w:rsid w:val="006E175D"/>
    <w:rsid w:val="007002E2"/>
    <w:rsid w:val="00707F1D"/>
    <w:rsid w:val="0071178A"/>
    <w:rsid w:val="0074463F"/>
    <w:rsid w:val="00746771"/>
    <w:rsid w:val="00755C70"/>
    <w:rsid w:val="00766FDA"/>
    <w:rsid w:val="007A044A"/>
    <w:rsid w:val="00837563"/>
    <w:rsid w:val="008422A1"/>
    <w:rsid w:val="0087573D"/>
    <w:rsid w:val="00875FC9"/>
    <w:rsid w:val="00880480"/>
    <w:rsid w:val="00887550"/>
    <w:rsid w:val="008F5967"/>
    <w:rsid w:val="0094481B"/>
    <w:rsid w:val="009521BF"/>
    <w:rsid w:val="0096084D"/>
    <w:rsid w:val="0099216F"/>
    <w:rsid w:val="009B6BAD"/>
    <w:rsid w:val="009D592A"/>
    <w:rsid w:val="009E3D9D"/>
    <w:rsid w:val="009F68A2"/>
    <w:rsid w:val="00A01D7C"/>
    <w:rsid w:val="00A01ECF"/>
    <w:rsid w:val="00A251D8"/>
    <w:rsid w:val="00A557C2"/>
    <w:rsid w:val="00A746B9"/>
    <w:rsid w:val="00A828F0"/>
    <w:rsid w:val="00AA7320"/>
    <w:rsid w:val="00AD5DCC"/>
    <w:rsid w:val="00AD64ED"/>
    <w:rsid w:val="00AE3BEC"/>
    <w:rsid w:val="00B15033"/>
    <w:rsid w:val="00B16A8E"/>
    <w:rsid w:val="00B2575E"/>
    <w:rsid w:val="00B3718F"/>
    <w:rsid w:val="00B563D6"/>
    <w:rsid w:val="00B57F51"/>
    <w:rsid w:val="00B6041C"/>
    <w:rsid w:val="00B70A77"/>
    <w:rsid w:val="00BB06EA"/>
    <w:rsid w:val="00BC4479"/>
    <w:rsid w:val="00BD2B44"/>
    <w:rsid w:val="00C36DBA"/>
    <w:rsid w:val="00C76B2D"/>
    <w:rsid w:val="00C77DCF"/>
    <w:rsid w:val="00C81219"/>
    <w:rsid w:val="00C9331B"/>
    <w:rsid w:val="00CE3CBD"/>
    <w:rsid w:val="00D1749E"/>
    <w:rsid w:val="00D33497"/>
    <w:rsid w:val="00D724BA"/>
    <w:rsid w:val="00D95A6F"/>
    <w:rsid w:val="00D9686A"/>
    <w:rsid w:val="00DE1156"/>
    <w:rsid w:val="00E31F61"/>
    <w:rsid w:val="00E67365"/>
    <w:rsid w:val="00E70F41"/>
    <w:rsid w:val="00E95ED9"/>
    <w:rsid w:val="00EB7E18"/>
    <w:rsid w:val="00EC5C3D"/>
    <w:rsid w:val="00EF5B4A"/>
    <w:rsid w:val="00F12997"/>
    <w:rsid w:val="00F37AA4"/>
    <w:rsid w:val="00F672C5"/>
    <w:rsid w:val="00F70067"/>
    <w:rsid w:val="00F705DB"/>
    <w:rsid w:val="00F84027"/>
    <w:rsid w:val="00FA3747"/>
    <w:rsid w:val="00FA416E"/>
    <w:rsid w:val="00FF0361"/>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84"/>
    <w:rPr>
      <w:sz w:val="24"/>
      <w:szCs w:val="24"/>
      <w:lang w:eastAsia="en-US"/>
    </w:rPr>
  </w:style>
  <w:style w:type="paragraph" w:styleId="Heading1">
    <w:name w:val="heading 1"/>
    <w:aliases w:val="h1,header 1"/>
    <w:next w:val="CommentText"/>
    <w:qFormat/>
    <w:rsid w:val="00566784"/>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rsid w:val="00566784"/>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rsid w:val="00566784"/>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566784"/>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rsid w:val="00566784"/>
    <w:pPr>
      <w:overflowPunct w:val="0"/>
      <w:autoSpaceDE w:val="0"/>
      <w:autoSpaceDN w:val="0"/>
      <w:adjustRightInd w:val="0"/>
      <w:ind w:left="567" w:hanging="567"/>
      <w:jc w:val="center"/>
      <w:textAlignment w:val="baseline"/>
    </w:pPr>
    <w:rPr>
      <w:b/>
      <w:bCs/>
      <w:sz w:val="28"/>
      <w:szCs w:val="20"/>
    </w:rPr>
  </w:style>
  <w:style w:type="paragraph" w:customStyle="1" w:styleId="BodyTextcentreditals">
    <w:name w:val="Body Text centred itals"/>
    <w:basedOn w:val="BodyText"/>
    <w:rsid w:val="00566784"/>
    <w:pPr>
      <w:jc w:val="center"/>
    </w:pPr>
    <w:rPr>
      <w:i/>
      <w:iCs/>
    </w:rPr>
  </w:style>
  <w:style w:type="paragraph" w:customStyle="1" w:styleId="BodyTextcentred">
    <w:name w:val="Body Text centred"/>
    <w:basedOn w:val="BodyText"/>
    <w:rsid w:val="00566784"/>
    <w:pPr>
      <w:jc w:val="center"/>
    </w:pPr>
  </w:style>
  <w:style w:type="paragraph" w:customStyle="1" w:styleId="Subsubpara">
    <w:name w:val="Sub sub para"/>
    <w:basedOn w:val="Normal"/>
    <w:rsid w:val="00566784"/>
    <w:pPr>
      <w:numPr>
        <w:numId w:val="3"/>
      </w:numPr>
      <w:tabs>
        <w:tab w:val="left" w:pos="540"/>
      </w:tabs>
      <w:spacing w:before="100" w:line="300" w:lineRule="exact"/>
    </w:pPr>
  </w:style>
  <w:style w:type="paragraph" w:customStyle="1" w:styleId="Subpara">
    <w:name w:val="Sub para"/>
    <w:basedOn w:val="BodyText"/>
    <w:rsid w:val="00566784"/>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sid w:val="00566784"/>
    <w:rPr>
      <w:sz w:val="20"/>
      <w:szCs w:val="20"/>
    </w:rPr>
  </w:style>
  <w:style w:type="character" w:styleId="CommentReference">
    <w:name w:val="annotation reference"/>
    <w:basedOn w:val="DefaultParagraphFont"/>
    <w:uiPriority w:val="99"/>
    <w:semiHidden/>
    <w:unhideWhenUsed/>
    <w:rsid w:val="00F37AA4"/>
    <w:rPr>
      <w:sz w:val="16"/>
      <w:szCs w:val="16"/>
    </w:rPr>
  </w:style>
  <w:style w:type="paragraph" w:styleId="CommentSubject">
    <w:name w:val="annotation subject"/>
    <w:basedOn w:val="CommentText"/>
    <w:next w:val="CommentText"/>
    <w:link w:val="CommentSubjectChar"/>
    <w:uiPriority w:val="99"/>
    <w:semiHidden/>
    <w:unhideWhenUsed/>
    <w:rsid w:val="00F37AA4"/>
    <w:rPr>
      <w:b/>
      <w:bCs/>
    </w:rPr>
  </w:style>
  <w:style w:type="character" w:customStyle="1" w:styleId="CommentTextChar">
    <w:name w:val="Comment Text Char"/>
    <w:basedOn w:val="DefaultParagraphFont"/>
    <w:link w:val="CommentText"/>
    <w:semiHidden/>
    <w:rsid w:val="00F37AA4"/>
    <w:rPr>
      <w:lang w:eastAsia="en-US"/>
    </w:rPr>
  </w:style>
  <w:style w:type="character" w:customStyle="1" w:styleId="CommentSubjectChar">
    <w:name w:val="Comment Subject Char"/>
    <w:basedOn w:val="CommentTextChar"/>
    <w:link w:val="CommentSubject"/>
    <w:rsid w:val="00F37AA4"/>
  </w:style>
  <w:style w:type="paragraph" w:styleId="BalloonText">
    <w:name w:val="Balloon Text"/>
    <w:basedOn w:val="Normal"/>
    <w:link w:val="BalloonTextChar"/>
    <w:uiPriority w:val="99"/>
    <w:semiHidden/>
    <w:unhideWhenUsed/>
    <w:rsid w:val="00F37AA4"/>
    <w:rPr>
      <w:rFonts w:ascii="Tahoma" w:hAnsi="Tahoma" w:cs="Tahoma"/>
      <w:sz w:val="16"/>
      <w:szCs w:val="16"/>
    </w:rPr>
  </w:style>
  <w:style w:type="character" w:customStyle="1" w:styleId="BalloonTextChar">
    <w:name w:val="Balloon Text Char"/>
    <w:basedOn w:val="DefaultParagraphFont"/>
    <w:link w:val="BalloonText"/>
    <w:uiPriority w:val="99"/>
    <w:semiHidden/>
    <w:rsid w:val="00F37AA4"/>
    <w:rPr>
      <w:rFonts w:ascii="Tahoma" w:hAnsi="Tahoma" w:cs="Tahoma"/>
      <w:sz w:val="16"/>
      <w:szCs w:val="16"/>
      <w:lang w:eastAsia="en-US"/>
    </w:rPr>
  </w:style>
  <w:style w:type="paragraph" w:styleId="Revision">
    <w:name w:val="Revision"/>
    <w:hidden/>
    <w:uiPriority w:val="99"/>
    <w:semiHidden/>
    <w:rsid w:val="002E43F4"/>
    <w:rPr>
      <w:sz w:val="24"/>
      <w:szCs w:val="24"/>
      <w:lang w:eastAsia="en-US"/>
    </w:rPr>
  </w:style>
  <w:style w:type="paragraph" w:styleId="Header">
    <w:name w:val="header"/>
    <w:basedOn w:val="Normal"/>
    <w:link w:val="HeaderChar"/>
    <w:uiPriority w:val="99"/>
    <w:unhideWhenUsed/>
    <w:rsid w:val="00C81219"/>
    <w:pPr>
      <w:tabs>
        <w:tab w:val="center" w:pos="4513"/>
        <w:tab w:val="right" w:pos="9026"/>
      </w:tabs>
    </w:pPr>
  </w:style>
  <w:style w:type="character" w:customStyle="1" w:styleId="HeaderChar">
    <w:name w:val="Header Char"/>
    <w:basedOn w:val="DefaultParagraphFont"/>
    <w:link w:val="Header"/>
    <w:uiPriority w:val="99"/>
    <w:rsid w:val="00C81219"/>
    <w:rPr>
      <w:sz w:val="24"/>
      <w:szCs w:val="24"/>
      <w:lang w:eastAsia="en-US"/>
    </w:rPr>
  </w:style>
  <w:style w:type="paragraph" w:styleId="Footer">
    <w:name w:val="footer"/>
    <w:basedOn w:val="Normal"/>
    <w:link w:val="FooterChar"/>
    <w:uiPriority w:val="99"/>
    <w:unhideWhenUsed/>
    <w:rsid w:val="00C81219"/>
    <w:pPr>
      <w:tabs>
        <w:tab w:val="center" w:pos="4513"/>
        <w:tab w:val="right" w:pos="9026"/>
      </w:tabs>
    </w:pPr>
  </w:style>
  <w:style w:type="character" w:customStyle="1" w:styleId="FooterChar">
    <w:name w:val="Footer Char"/>
    <w:basedOn w:val="DefaultParagraphFont"/>
    <w:link w:val="Footer"/>
    <w:uiPriority w:val="99"/>
    <w:rsid w:val="00C81219"/>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76F98-D07A-4FC5-9A1B-82DB4070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subject/>
  <dc:creator>Helen.Yu</dc:creator>
  <cp:keywords/>
  <dc:description/>
  <cp:lastModifiedBy>_</cp:lastModifiedBy>
  <cp:revision>3</cp:revision>
  <cp:lastPrinted>2012-12-12T05:22:00Z</cp:lastPrinted>
  <dcterms:created xsi:type="dcterms:W3CDTF">2012-12-13T01:27:00Z</dcterms:created>
  <dcterms:modified xsi:type="dcterms:W3CDTF">2012-12-13T01:36:00Z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A3691133</vt:lpwstr>
  </property>
  <property fmtid="{D5CDD505-2E9C-101B-9397-08002B2CF9AE}" pid="4" name="Objective-Title">
    <vt:lpwstr>Explanatory statement - extension of CO 12-749 - November 2012</vt:lpwstr>
  </property>
  <property fmtid="{D5CDD505-2E9C-101B-9397-08002B2CF9AE}" pid="5" name="Objective-Comment">
    <vt:lpwstr/>
  </property>
  <property fmtid="{D5CDD505-2E9C-101B-9397-08002B2CF9AE}" pid="6" name="Objective-CreationStamp">
    <vt:filetime>2012-11-26T00:26:28Z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2012-11-26T23:44:39Z</vt:filetime>
  </property>
  <property fmtid="{D5CDD505-2E9C-101B-9397-08002B2CF9AE}" pid="10" name="Objective-ModificationStamp">
    <vt:filetime>2012-11-26T23:44:39Z</vt:filetime>
  </property>
  <property fmtid="{D5CDD505-2E9C-101B-9397-08002B2CF9AE}" pid="11" name="Objective-Owner">
    <vt:lpwstr>Martin Fung</vt:lpwstr>
  </property>
  <property fmtid="{D5CDD505-2E9C-101B-9397-08002B2CF9AE}" pid="12" name="Objective-Path">
    <vt:lpwstr>ASIC BCS:POLICY &amp; REGULATORY FRAMEWORK:Law Reform:Financial Services Working Group - Implementation:Shorter PDS - Class Order (November 2012):</vt:lpwstr>
  </property>
  <property fmtid="{D5CDD505-2E9C-101B-9397-08002B2CF9AE}" pid="13" name="Objective-Parent">
    <vt:lpwstr>Shorter PDS - Class Order (November 2012)</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4</vt:i4>
  </property>
  <property fmtid="{D5CDD505-2E9C-101B-9397-08002B2CF9AE}" pid="17" name="Objective-VersionComment">
    <vt:lpwstr/>
  </property>
  <property fmtid="{D5CDD505-2E9C-101B-9397-08002B2CF9AE}" pid="18" name="Objective-FileNumber">
    <vt:lpwstr>2010 - 003297</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