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D8" w:rsidRPr="00F242BC" w:rsidRDefault="00A57194" w:rsidP="00BA29D8">
      <w:r>
        <w:rPr>
          <w:noProof/>
        </w:rPr>
        <w:drawing>
          <wp:inline distT="0" distB="0" distL="0" distR="0">
            <wp:extent cx="1702174" cy="1328703"/>
            <wp:effectExtent l="19050" t="0" r="0" b="0"/>
            <wp:docPr id="2" name="Picture 1" descr="C:\Users\liysha\AppData\Local\Microsoft\Windows\Temporary Internet Files\Content.Outlook\YE2BFVDA\1912_coat_of_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ysha\AppData\Local\Microsoft\Windows\Temporary Internet Files\Content.Outlook\YE2BFVDA\1912_coat_of_arms.gif"/>
                    <pic:cNvPicPr>
                      <a:picLocks noChangeAspect="1" noChangeArrowheads="1"/>
                    </pic:cNvPicPr>
                  </pic:nvPicPr>
                  <pic:blipFill>
                    <a:blip r:embed="rId9" cstate="print"/>
                    <a:srcRect/>
                    <a:stretch>
                      <a:fillRect/>
                    </a:stretch>
                  </pic:blipFill>
                  <pic:spPr bwMode="auto">
                    <a:xfrm>
                      <a:off x="0" y="0"/>
                      <a:ext cx="1702174" cy="1328703"/>
                    </a:xfrm>
                    <a:prstGeom prst="rect">
                      <a:avLst/>
                    </a:prstGeom>
                    <a:noFill/>
                    <a:ln w="9525">
                      <a:noFill/>
                      <a:miter lim="800000"/>
                      <a:headEnd/>
                      <a:tailEnd/>
                    </a:ln>
                  </pic:spPr>
                </pic:pic>
              </a:graphicData>
            </a:graphic>
          </wp:inline>
        </w:drawing>
      </w:r>
    </w:p>
    <w:p w:rsidR="00BA29D8" w:rsidRPr="00FF16B2" w:rsidRDefault="00BA29D8" w:rsidP="00BA29D8">
      <w:pPr>
        <w:pStyle w:val="Title"/>
        <w:pBdr>
          <w:bottom w:val="single" w:sz="4" w:space="3" w:color="auto"/>
        </w:pBdr>
      </w:pPr>
      <w:bookmarkStart w:id="0" w:name="Citation"/>
      <w:bookmarkStart w:id="1" w:name="InstrumentTitleFull"/>
      <w:r w:rsidRPr="00FF16B2">
        <w:t xml:space="preserve">Financial Management and Accountability Act 1997 Determination </w:t>
      </w:r>
      <w:r w:rsidR="002A29DD" w:rsidRPr="00FF16B2">
        <w:rPr>
          <w:noProof/>
        </w:rPr>
        <w:t>2012/</w:t>
      </w:r>
      <w:r w:rsidR="002F0EB2">
        <w:rPr>
          <w:noProof/>
        </w:rPr>
        <w:t>3</w:t>
      </w:r>
      <w:r w:rsidR="00831D0F">
        <w:rPr>
          <w:noProof/>
        </w:rPr>
        <w:t>1</w:t>
      </w:r>
      <w:r w:rsidR="00E12D9B" w:rsidRPr="00FF16B2">
        <w:t xml:space="preserve"> </w:t>
      </w:r>
      <w:r w:rsidRPr="00FF16B2">
        <w:t xml:space="preserve">— Section 32 (Transfer of </w:t>
      </w:r>
      <w:r w:rsidR="009F3482" w:rsidRPr="00FF16B2">
        <w:t>Functions from</w:t>
      </w:r>
      <w:r w:rsidR="00202382">
        <w:t xml:space="preserve"> </w:t>
      </w:r>
      <w:r w:rsidR="002F0EB2">
        <w:t>D</w:t>
      </w:r>
      <w:r w:rsidR="00831D0F">
        <w:t>IISRTE</w:t>
      </w:r>
      <w:r w:rsidR="00FA125B" w:rsidRPr="00FF16B2">
        <w:t xml:space="preserve"> to </w:t>
      </w:r>
      <w:bookmarkEnd w:id="0"/>
      <w:bookmarkEnd w:id="1"/>
      <w:r w:rsidR="002F0EB2">
        <w:t>A</w:t>
      </w:r>
      <w:r w:rsidR="00831D0F">
        <w:t>SQA</w:t>
      </w:r>
      <w:r w:rsidR="00247E9B">
        <w:t xml:space="preserve"> &amp; TEQSA</w:t>
      </w:r>
      <w:r w:rsidR="00192C45" w:rsidRPr="00FF16B2">
        <w:t>)</w:t>
      </w:r>
    </w:p>
    <w:p w:rsidR="00BA29D8" w:rsidRPr="00FF16B2" w:rsidRDefault="00BA29D8" w:rsidP="00714E60">
      <w:pPr>
        <w:pBdr>
          <w:bottom w:val="single" w:sz="4" w:space="3" w:color="auto"/>
        </w:pBdr>
        <w:spacing w:before="480"/>
        <w:outlineLvl w:val="0"/>
        <w:rPr>
          <w:rFonts w:ascii="Arial" w:hAnsi="Arial" w:cs="Arial"/>
          <w:i/>
          <w:sz w:val="28"/>
          <w:szCs w:val="28"/>
          <w:lang w:val="en-US"/>
        </w:rPr>
      </w:pPr>
      <w:r w:rsidRPr="00FF16B2">
        <w:rPr>
          <w:rFonts w:ascii="Arial" w:hAnsi="Arial" w:cs="Arial"/>
          <w:i/>
          <w:sz w:val="28"/>
          <w:szCs w:val="28"/>
          <w:lang w:val="en-US"/>
        </w:rPr>
        <w:t>Financial Management and Accountability Act 1997</w:t>
      </w:r>
    </w:p>
    <w:p w:rsidR="00BA29D8" w:rsidRPr="00FF16B2" w:rsidRDefault="00BA29D8" w:rsidP="00BA29D8">
      <w:pPr>
        <w:tabs>
          <w:tab w:val="left" w:pos="3119"/>
        </w:tabs>
        <w:spacing w:before="360"/>
        <w:jc w:val="both"/>
      </w:pPr>
      <w:r w:rsidRPr="00FF16B2">
        <w:t xml:space="preserve">I, </w:t>
      </w:r>
      <w:r w:rsidR="00F52AD0">
        <w:t>PETER GIBSON</w:t>
      </w:r>
      <w:r w:rsidRPr="00FF16B2">
        <w:t xml:space="preserve">, </w:t>
      </w:r>
      <w:r w:rsidR="00F52AD0">
        <w:t xml:space="preserve">Acting </w:t>
      </w:r>
      <w:r w:rsidR="00C476C5" w:rsidRPr="00FF16B2">
        <w:t>First Assistant Secretary</w:t>
      </w:r>
      <w:r w:rsidRPr="00FF16B2">
        <w:t xml:space="preserve">, Financial Reporting and Cash Management Division, Department of Finance and Deregulation, make this Determination under subsection 32(2) of the </w:t>
      </w:r>
      <w:r w:rsidRPr="00FF16B2">
        <w:rPr>
          <w:i/>
        </w:rPr>
        <w:t>Financial Management and</w:t>
      </w:r>
      <w:r w:rsidRPr="00FF16B2">
        <w:t xml:space="preserve"> </w:t>
      </w:r>
      <w:r w:rsidRPr="00FF16B2">
        <w:rPr>
          <w:i/>
        </w:rPr>
        <w:t>Accountability Act 1997</w:t>
      </w:r>
      <w:r w:rsidRPr="00FF16B2">
        <w:t xml:space="preserve"> (the </w:t>
      </w:r>
      <w:r w:rsidRPr="00FF16B2">
        <w:rPr>
          <w:b/>
          <w:i/>
        </w:rPr>
        <w:t>FMA Act</w:t>
      </w:r>
      <w:r w:rsidRPr="00FF16B2">
        <w:t>).</w:t>
      </w:r>
    </w:p>
    <w:p w:rsidR="00BA29D8" w:rsidRPr="00FF16B2" w:rsidRDefault="00BA29D8" w:rsidP="00BA29D8">
      <w:pPr>
        <w:tabs>
          <w:tab w:val="left" w:pos="3119"/>
        </w:tabs>
        <w:jc w:val="both"/>
      </w:pPr>
    </w:p>
    <w:p w:rsidR="002F0EB2" w:rsidRPr="00FF16B2" w:rsidRDefault="00831D0F" w:rsidP="002F0EB2">
      <w:pPr>
        <w:tabs>
          <w:tab w:val="left" w:pos="3119"/>
        </w:tabs>
        <w:jc w:val="both"/>
      </w:pPr>
      <w:r w:rsidRPr="00FF16B2">
        <w:t xml:space="preserve">This Determination is made due to a decision of the Australian Government to transfer </w:t>
      </w:r>
      <w:r>
        <w:rPr>
          <w:rStyle w:val="ItalicText"/>
          <w:i w:val="0"/>
        </w:rPr>
        <w:t xml:space="preserve">delegated regulatory functions under the </w:t>
      </w:r>
      <w:r w:rsidRPr="00831D0F">
        <w:rPr>
          <w:rStyle w:val="ItalicText"/>
        </w:rPr>
        <w:t>Education Services of Overseas Students Act 2000</w:t>
      </w:r>
      <w:r>
        <w:rPr>
          <w:rStyle w:val="ItalicText"/>
          <w:i w:val="0"/>
        </w:rPr>
        <w:t xml:space="preserve"> </w:t>
      </w:r>
      <w:r w:rsidRPr="00FF16B2">
        <w:t xml:space="preserve">from the Department of </w:t>
      </w:r>
      <w:r>
        <w:t xml:space="preserve">Industry, Innovation, </w:t>
      </w:r>
      <w:r w:rsidRPr="00FF16B2">
        <w:t>Science</w:t>
      </w:r>
      <w:r>
        <w:t xml:space="preserve">, </w:t>
      </w:r>
      <w:r w:rsidRPr="00FF16B2">
        <w:t>Research</w:t>
      </w:r>
      <w:r>
        <w:t xml:space="preserve"> and Tertiary Education to the National Vocational Education and Training Regulator (Australian Skills Quality Authority)</w:t>
      </w:r>
      <w:r w:rsidR="00247E9B">
        <w:t xml:space="preserve"> and the Tertiary Education Quality and Standards Agency</w:t>
      </w:r>
      <w:r w:rsidR="002F0EB2">
        <w:t>.</w:t>
      </w:r>
    </w:p>
    <w:p w:rsidR="00BA29D8" w:rsidRPr="00FF16B2" w:rsidRDefault="00BA29D8" w:rsidP="00BA29D8">
      <w:pPr>
        <w:tabs>
          <w:tab w:val="left" w:pos="3119"/>
        </w:tabs>
        <w:jc w:val="both"/>
      </w:pPr>
    </w:p>
    <w:p w:rsidR="006A7FE4" w:rsidRDefault="00BA29D8" w:rsidP="006A7FE4">
      <w:pPr>
        <w:tabs>
          <w:tab w:val="left" w:pos="1985"/>
        </w:tabs>
      </w:pPr>
      <w:r w:rsidRPr="00FF16B2">
        <w:t>Dated</w:t>
      </w:r>
      <w:r w:rsidR="006A7FE4" w:rsidRPr="00FF16B2">
        <w:tab/>
      </w:r>
      <w:bookmarkStart w:id="2" w:name="Text4"/>
      <w:r w:rsidR="003E46D5">
        <w:t xml:space="preserve">  </w:t>
      </w:r>
      <w:r w:rsidR="00775603">
        <w:t>7</w:t>
      </w:r>
      <w:r w:rsidR="00A86D48">
        <w:t xml:space="preserve"> </w:t>
      </w:r>
      <w:r w:rsidR="002515BE">
        <w:t>December</w:t>
      </w:r>
      <w:r w:rsidR="002A29DD" w:rsidRPr="00FF16B2">
        <w:t xml:space="preserve"> </w:t>
      </w:r>
      <w:r w:rsidR="009F3482" w:rsidRPr="00FF16B2">
        <w:rPr>
          <w:noProof/>
        </w:rPr>
        <w:t>201</w:t>
      </w:r>
      <w:bookmarkEnd w:id="2"/>
      <w:r w:rsidR="002A29DD" w:rsidRPr="00FF16B2">
        <w:rPr>
          <w:noProof/>
        </w:rPr>
        <w:t>2</w:t>
      </w: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6D268A" w:rsidP="00714E60">
      <w:pPr>
        <w:pBdr>
          <w:bottom w:val="single" w:sz="4" w:space="12" w:color="auto"/>
        </w:pBdr>
        <w:spacing w:line="240" w:lineRule="exact"/>
        <w:outlineLvl w:val="0"/>
      </w:pPr>
      <w:r>
        <w:t>PETER GIBSON</w:t>
      </w:r>
    </w:p>
    <w:p w:rsidR="00C96467" w:rsidRDefault="006D268A" w:rsidP="00714E60">
      <w:pPr>
        <w:pBdr>
          <w:bottom w:val="single" w:sz="4" w:space="12" w:color="auto"/>
        </w:pBdr>
        <w:spacing w:line="240" w:lineRule="exact"/>
        <w:outlineLvl w:val="0"/>
      </w:pPr>
      <w:r>
        <w:t xml:space="preserve">Acting </w:t>
      </w:r>
      <w:r w:rsidR="00615ED0">
        <w:t>First Assistant Secretary</w:t>
      </w:r>
    </w:p>
    <w:p w:rsidR="00BA29D8" w:rsidRPr="00F242BC" w:rsidRDefault="00BA29D8" w:rsidP="00BA29D8">
      <w:pPr>
        <w:pBdr>
          <w:bottom w:val="single" w:sz="4" w:space="12" w:color="auto"/>
        </w:pBdr>
        <w:spacing w:line="240" w:lineRule="exact"/>
      </w:pPr>
      <w:r w:rsidRPr="00F242BC">
        <w:t>Financial Reporting and Cash Management Division</w:t>
      </w:r>
    </w:p>
    <w:p w:rsidR="006A7FE4" w:rsidRDefault="00BA29D8" w:rsidP="009E7D74">
      <w:pPr>
        <w:pBdr>
          <w:bottom w:val="single" w:sz="4" w:space="12" w:color="auto"/>
        </w:pBdr>
        <w:spacing w:after="240" w:line="240" w:lineRule="exact"/>
      </w:pPr>
      <w:r w:rsidRPr="00F242BC">
        <w:t>Department of Finance and Deregulation</w:t>
      </w:r>
    </w:p>
    <w:p w:rsidR="009E7D74" w:rsidRDefault="009E7D74" w:rsidP="00BA29D8">
      <w:pPr>
        <w:pBdr>
          <w:bottom w:val="single" w:sz="4" w:space="12" w:color="auto"/>
        </w:pBdr>
        <w:spacing w:line="240" w:lineRule="exact"/>
      </w:pPr>
    </w:p>
    <w:p w:rsidR="00BA29D8" w:rsidRPr="00E862B9" w:rsidRDefault="00BA29D8" w:rsidP="00BA29D8">
      <w:pPr>
        <w:sectPr w:rsidR="00BA29D8" w:rsidRPr="00E862B9" w:rsidSect="00C53905">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D2138F" w:rsidRPr="00D2138F" w:rsidRDefault="00D2138F" w:rsidP="00D2138F">
      <w:pPr>
        <w:pStyle w:val="Heading1"/>
        <w:spacing w:before="0"/>
        <w:ind w:left="2160" w:hanging="2160"/>
        <w:jc w:val="left"/>
        <w:rPr>
          <w:rFonts w:ascii="Arial" w:hAnsi="Arial"/>
          <w:kern w:val="0"/>
          <w:sz w:val="28"/>
        </w:rPr>
      </w:pPr>
      <w:r w:rsidRPr="00D2138F">
        <w:rPr>
          <w:rFonts w:ascii="Arial" w:hAnsi="Arial"/>
          <w:kern w:val="0"/>
          <w:sz w:val="28"/>
        </w:rPr>
        <w:lastRenderedPageBreak/>
        <w:t xml:space="preserve">Part 1 </w:t>
      </w:r>
      <w:r w:rsidRPr="00D2138F">
        <w:rPr>
          <w:rFonts w:ascii="Arial" w:hAnsi="Arial"/>
          <w:kern w:val="0"/>
          <w:sz w:val="28"/>
        </w:rPr>
        <w:tab/>
        <w:t>Preliminary</w:t>
      </w:r>
    </w:p>
    <w:p w:rsidR="00BA29D8" w:rsidRPr="00831D0F" w:rsidRDefault="00BA29D8" w:rsidP="00D2138F">
      <w:pPr>
        <w:pStyle w:val="ClauseHeadings"/>
        <w:numPr>
          <w:ilvl w:val="0"/>
          <w:numId w:val="1"/>
        </w:numPr>
        <w:tabs>
          <w:tab w:val="clear" w:pos="363"/>
        </w:tabs>
        <w:ind w:left="1134" w:hanging="1134"/>
      </w:pPr>
      <w:r w:rsidRPr="00831D0F">
        <w:t>Name of Determination</w:t>
      </w:r>
    </w:p>
    <w:p w:rsidR="003545CD" w:rsidRPr="00D2138F" w:rsidRDefault="00BA29D8" w:rsidP="003545CD">
      <w:pPr>
        <w:pStyle w:val="R2"/>
        <w:rPr>
          <w:sz w:val="22"/>
          <w:szCs w:val="22"/>
        </w:rPr>
      </w:pPr>
      <w:r w:rsidRPr="00D2138F">
        <w:rPr>
          <w:sz w:val="22"/>
          <w:szCs w:val="22"/>
        </w:rPr>
        <w:t>This Determination is the</w:t>
      </w:r>
      <w:r w:rsidR="00227FB1" w:rsidRPr="00D2138F">
        <w:rPr>
          <w:sz w:val="22"/>
          <w:szCs w:val="22"/>
        </w:rPr>
        <w:t xml:space="preserve"> </w:t>
      </w:r>
      <w:r w:rsidR="00615ED0" w:rsidRPr="00D2138F">
        <w:rPr>
          <w:i/>
          <w:sz w:val="22"/>
          <w:szCs w:val="22"/>
        </w:rPr>
        <w:t xml:space="preserve">Financial Management and Accountability Act 1997 Determination </w:t>
      </w:r>
      <w:r w:rsidR="00615ED0" w:rsidRPr="00D2138F">
        <w:rPr>
          <w:i/>
          <w:noProof/>
          <w:sz w:val="22"/>
          <w:szCs w:val="22"/>
        </w:rPr>
        <w:t>201</w:t>
      </w:r>
      <w:r w:rsidR="00682539" w:rsidRPr="00D2138F">
        <w:rPr>
          <w:i/>
          <w:noProof/>
          <w:sz w:val="22"/>
          <w:szCs w:val="22"/>
        </w:rPr>
        <w:t>2</w:t>
      </w:r>
      <w:r w:rsidR="00615ED0" w:rsidRPr="00D2138F">
        <w:rPr>
          <w:i/>
          <w:noProof/>
          <w:sz w:val="22"/>
          <w:szCs w:val="22"/>
        </w:rPr>
        <w:t>/</w:t>
      </w:r>
      <w:r w:rsidR="002F0EB2" w:rsidRPr="00D2138F">
        <w:rPr>
          <w:i/>
          <w:noProof/>
          <w:sz w:val="22"/>
          <w:szCs w:val="22"/>
        </w:rPr>
        <w:t>3</w:t>
      </w:r>
      <w:r w:rsidR="00831D0F" w:rsidRPr="00D2138F">
        <w:rPr>
          <w:i/>
          <w:noProof/>
          <w:sz w:val="22"/>
          <w:szCs w:val="22"/>
        </w:rPr>
        <w:t>1</w:t>
      </w:r>
      <w:r w:rsidR="00615ED0" w:rsidRPr="00D2138F">
        <w:rPr>
          <w:i/>
          <w:noProof/>
          <w:sz w:val="22"/>
          <w:szCs w:val="22"/>
        </w:rPr>
        <w:t xml:space="preserve"> — </w:t>
      </w:r>
      <w:r w:rsidR="00615ED0" w:rsidRPr="00D2138F">
        <w:rPr>
          <w:i/>
          <w:sz w:val="22"/>
          <w:szCs w:val="22"/>
        </w:rPr>
        <w:t xml:space="preserve">Section 32 (Transfer of Functions from </w:t>
      </w:r>
      <w:r w:rsidR="002F0EB2" w:rsidRPr="00D2138F">
        <w:rPr>
          <w:i/>
          <w:sz w:val="22"/>
          <w:szCs w:val="22"/>
        </w:rPr>
        <w:t>D</w:t>
      </w:r>
      <w:r w:rsidR="00831D0F" w:rsidRPr="00D2138F">
        <w:rPr>
          <w:i/>
          <w:sz w:val="22"/>
          <w:szCs w:val="22"/>
        </w:rPr>
        <w:t>IISRTE</w:t>
      </w:r>
      <w:r w:rsidR="00FC597E" w:rsidRPr="00D2138F">
        <w:rPr>
          <w:i/>
          <w:sz w:val="22"/>
          <w:szCs w:val="22"/>
        </w:rPr>
        <w:t xml:space="preserve"> to </w:t>
      </w:r>
      <w:r w:rsidR="002F0EB2" w:rsidRPr="00D2138F">
        <w:rPr>
          <w:i/>
          <w:sz w:val="22"/>
          <w:szCs w:val="22"/>
        </w:rPr>
        <w:t>A</w:t>
      </w:r>
      <w:r w:rsidR="00831D0F" w:rsidRPr="00D2138F">
        <w:rPr>
          <w:i/>
          <w:sz w:val="22"/>
          <w:szCs w:val="22"/>
        </w:rPr>
        <w:t>SQA</w:t>
      </w:r>
      <w:r w:rsidR="00247E9B">
        <w:rPr>
          <w:i/>
          <w:sz w:val="22"/>
          <w:szCs w:val="22"/>
        </w:rPr>
        <w:t xml:space="preserve"> &amp; TEQSA</w:t>
      </w:r>
      <w:r w:rsidR="00615ED0" w:rsidRPr="001837F8">
        <w:rPr>
          <w:i/>
          <w:sz w:val="22"/>
          <w:szCs w:val="22"/>
        </w:rPr>
        <w:t>)</w:t>
      </w:r>
      <w:r w:rsidR="00700018" w:rsidRPr="00D2138F">
        <w:rPr>
          <w:sz w:val="22"/>
          <w:szCs w:val="22"/>
        </w:rPr>
        <w:t>.</w:t>
      </w:r>
    </w:p>
    <w:p w:rsidR="00BA29D8" w:rsidRPr="00FF16B2" w:rsidRDefault="00BA29D8" w:rsidP="00CC2E7B">
      <w:pPr>
        <w:pStyle w:val="Note"/>
        <w:rPr>
          <w:iCs/>
        </w:rPr>
      </w:pPr>
      <w:r w:rsidRPr="00FF16B2">
        <w:rPr>
          <w:rStyle w:val="ItalicText"/>
          <w:iCs/>
        </w:rPr>
        <w:t>Note</w:t>
      </w:r>
      <w:r w:rsidR="008B38E1" w:rsidRPr="00FF16B2">
        <w:rPr>
          <w:rStyle w:val="ItalicText"/>
          <w:iCs/>
        </w:rPr>
        <w:t> </w:t>
      </w:r>
      <w:r w:rsidRPr="00FF16B2">
        <w:rPr>
          <w:rStyle w:val="ItalicText"/>
          <w:iCs/>
        </w:rPr>
        <w:t>1</w:t>
      </w:r>
      <w:r w:rsidR="00CC2E7B" w:rsidRPr="00FF16B2">
        <w:rPr>
          <w:rStyle w:val="ItalicText"/>
          <w:iCs/>
        </w:rPr>
        <w:t>:</w:t>
      </w:r>
      <w:r w:rsidR="008B38E1" w:rsidRPr="00FF16B2">
        <w:rPr>
          <w:iCs/>
        </w:rPr>
        <w:t> </w:t>
      </w:r>
      <w:r w:rsidRPr="00FF16B2">
        <w:rPr>
          <w:iCs/>
        </w:rPr>
        <w:t>This Determination has been made by a delegate of the Secretary of the Department of Finance and Deregulation. The Secretary is a delegate of the Minister for Finance and Deregulation in accordance with section 62 of the FMA Act. The Secretary has delegated his power in accordance with section 53 of the FMA Act.</w:t>
      </w:r>
    </w:p>
    <w:p w:rsidR="00BA29D8" w:rsidRPr="00FF16B2" w:rsidRDefault="00BA29D8" w:rsidP="00CC2E7B">
      <w:pPr>
        <w:pStyle w:val="Note"/>
      </w:pPr>
      <w:bookmarkStart w:id="4" w:name="_Toc189972105"/>
      <w:r w:rsidRPr="00FF16B2">
        <w:rPr>
          <w:rStyle w:val="ItalicText"/>
        </w:rPr>
        <w:t>Note</w:t>
      </w:r>
      <w:r w:rsidR="008B38E1" w:rsidRPr="00FF16B2">
        <w:rPr>
          <w:rStyle w:val="ItalicText"/>
        </w:rPr>
        <w:t xml:space="preserve"> </w:t>
      </w:r>
      <w:r w:rsidRPr="00FF16B2">
        <w:rPr>
          <w:rStyle w:val="ItalicText"/>
        </w:rPr>
        <w:t>2</w:t>
      </w:r>
      <w:r w:rsidR="00CC2E7B" w:rsidRPr="00FF16B2">
        <w:rPr>
          <w:rStyle w:val="ItalicText"/>
        </w:rPr>
        <w:t>:</w:t>
      </w:r>
      <w:r w:rsidR="008B38E1" w:rsidRPr="00FF16B2">
        <w:t xml:space="preserve"> </w:t>
      </w:r>
      <w:r w:rsidRPr="00FF16B2">
        <w:t>Acronyms used in this Determination are as follows:</w:t>
      </w:r>
    </w:p>
    <w:p w:rsidR="003557A3" w:rsidRPr="00FF16B2" w:rsidRDefault="00FC597E" w:rsidP="00D2138F">
      <w:pPr>
        <w:pStyle w:val="Notepara"/>
        <w:numPr>
          <w:ilvl w:val="0"/>
          <w:numId w:val="2"/>
        </w:numPr>
        <w:ind w:left="1418" w:hanging="425"/>
      </w:pPr>
      <w:r w:rsidRPr="00FF16B2">
        <w:t>“</w:t>
      </w:r>
      <w:r w:rsidR="002F0EB2">
        <w:t>D</w:t>
      </w:r>
      <w:r w:rsidR="00831D0F">
        <w:t>IISRTE</w:t>
      </w:r>
      <w:r w:rsidRPr="00FF16B2">
        <w:t xml:space="preserve">” – refers to the </w:t>
      </w:r>
      <w:bookmarkStart w:id="5" w:name="Text13"/>
      <w:r w:rsidR="00831D0F" w:rsidRPr="00FF16B2">
        <w:t xml:space="preserve">Department of </w:t>
      </w:r>
      <w:r w:rsidR="00831D0F">
        <w:t xml:space="preserve">Industry, Innovation, </w:t>
      </w:r>
      <w:r w:rsidR="00831D0F" w:rsidRPr="00FF16B2">
        <w:t>Science</w:t>
      </w:r>
      <w:r w:rsidR="00831D0F">
        <w:t xml:space="preserve">, </w:t>
      </w:r>
      <w:r w:rsidR="00831D0F" w:rsidRPr="00FF16B2">
        <w:t>Research</w:t>
      </w:r>
      <w:r w:rsidR="00831D0F">
        <w:t xml:space="preserve"> and Tertiary Education</w:t>
      </w:r>
      <w:r w:rsidRPr="00FF16B2">
        <w:t>.</w:t>
      </w:r>
      <w:bookmarkEnd w:id="5"/>
    </w:p>
    <w:p w:rsidR="006A7FE4" w:rsidRDefault="00761A4B" w:rsidP="00D2138F">
      <w:pPr>
        <w:pStyle w:val="Notepara"/>
        <w:numPr>
          <w:ilvl w:val="0"/>
          <w:numId w:val="2"/>
        </w:numPr>
        <w:ind w:left="1418" w:hanging="425"/>
      </w:pPr>
      <w:r>
        <w:rPr>
          <w:noProof/>
        </w:rPr>
        <w:t>“</w:t>
      </w:r>
      <w:r w:rsidR="002F0EB2">
        <w:rPr>
          <w:noProof/>
        </w:rPr>
        <w:t>A</w:t>
      </w:r>
      <w:r w:rsidR="00831D0F">
        <w:rPr>
          <w:noProof/>
        </w:rPr>
        <w:t>SQA</w:t>
      </w:r>
      <w:r>
        <w:rPr>
          <w:noProof/>
        </w:rPr>
        <w:t xml:space="preserve">” </w:t>
      </w:r>
      <w:r w:rsidRPr="00FF16B2">
        <w:t xml:space="preserve">– </w:t>
      </w:r>
      <w:r>
        <w:rPr>
          <w:noProof/>
        </w:rPr>
        <w:t xml:space="preserve">refers to the </w:t>
      </w:r>
      <w:r w:rsidR="00831D0F">
        <w:t>National Vocational Education and Training Regulator (Australian Skills Quality Authority)</w:t>
      </w:r>
      <w:r w:rsidR="00FC597E" w:rsidRPr="00FF16B2">
        <w:t>.</w:t>
      </w:r>
    </w:p>
    <w:p w:rsidR="00247E9B" w:rsidRPr="00FF16B2" w:rsidRDefault="00247E9B" w:rsidP="00D2138F">
      <w:pPr>
        <w:pStyle w:val="Notepara"/>
        <w:numPr>
          <w:ilvl w:val="0"/>
          <w:numId w:val="2"/>
        </w:numPr>
        <w:ind w:left="1418" w:hanging="425"/>
      </w:pPr>
      <w:r>
        <w:t>“TEQSA” – refers to the Tertiary Education Quality and Standards Agency.</w:t>
      </w:r>
    </w:p>
    <w:p w:rsidR="00566680" w:rsidRPr="00D2138F" w:rsidRDefault="00136023" w:rsidP="00D2138F">
      <w:pPr>
        <w:pStyle w:val="Note"/>
        <w:spacing w:after="240"/>
      </w:pPr>
      <w:r w:rsidRPr="00FF16B2">
        <w:rPr>
          <w:rStyle w:val="ItalicText"/>
        </w:rPr>
        <w:t>Note</w:t>
      </w:r>
      <w:r w:rsidR="008B38E1" w:rsidRPr="00FF16B2">
        <w:rPr>
          <w:rStyle w:val="ItalicText"/>
        </w:rPr>
        <w:t> </w:t>
      </w:r>
      <w:r w:rsidRPr="00FF16B2">
        <w:rPr>
          <w:rStyle w:val="ItalicText"/>
        </w:rPr>
        <w:t>3:</w:t>
      </w:r>
      <w:r w:rsidR="008B38E1" w:rsidRPr="00FF16B2">
        <w:rPr>
          <w:rStyle w:val="ItalicText"/>
        </w:rPr>
        <w:t> </w:t>
      </w:r>
      <w:r w:rsidR="002F0EB2">
        <w:rPr>
          <w:rStyle w:val="ItalicText"/>
          <w:i w:val="0"/>
        </w:rPr>
        <w:t xml:space="preserve">Due to a government decision, </w:t>
      </w:r>
      <w:r w:rsidR="00831D0F">
        <w:rPr>
          <w:rStyle w:val="ItalicText"/>
          <w:i w:val="0"/>
        </w:rPr>
        <w:t xml:space="preserve">delegated regulatory functions under the </w:t>
      </w:r>
      <w:r w:rsidR="00831D0F" w:rsidRPr="00831D0F">
        <w:rPr>
          <w:rStyle w:val="ItalicText"/>
        </w:rPr>
        <w:t>Education Services of Overseas Students Act 2000</w:t>
      </w:r>
      <w:r w:rsidR="00831D0F">
        <w:rPr>
          <w:rStyle w:val="ItalicText"/>
          <w:i w:val="0"/>
        </w:rPr>
        <w:t xml:space="preserve"> will be transferred </w:t>
      </w:r>
      <w:r w:rsidR="00831D0F" w:rsidRPr="00FF16B2">
        <w:t xml:space="preserve">from </w:t>
      </w:r>
      <w:r w:rsidR="00831D0F">
        <w:t>DIISRTE to ASQA</w:t>
      </w:r>
      <w:r w:rsidR="00247E9B">
        <w:t xml:space="preserve"> and TEQSA</w:t>
      </w:r>
      <w:r w:rsidR="00831D0F">
        <w:t>.</w:t>
      </w:r>
    </w:p>
    <w:p w:rsidR="00D71B89" w:rsidRPr="00831D0F" w:rsidRDefault="00D71B89" w:rsidP="00D2138F">
      <w:pPr>
        <w:pStyle w:val="ClauseHeadings"/>
        <w:numPr>
          <w:ilvl w:val="0"/>
          <w:numId w:val="1"/>
        </w:numPr>
        <w:tabs>
          <w:tab w:val="clear" w:pos="363"/>
        </w:tabs>
        <w:ind w:left="1134" w:hanging="1134"/>
      </w:pPr>
      <w:r w:rsidRPr="00831D0F">
        <w:t>Commencement</w:t>
      </w:r>
    </w:p>
    <w:bookmarkEnd w:id="4"/>
    <w:p w:rsidR="00566680" w:rsidRPr="00D2138F" w:rsidRDefault="00FC13AD" w:rsidP="00D2138F">
      <w:pPr>
        <w:pStyle w:val="R2"/>
        <w:spacing w:after="240"/>
        <w:ind w:firstLine="29"/>
        <w:rPr>
          <w:sz w:val="22"/>
          <w:szCs w:val="22"/>
        </w:rPr>
      </w:pPr>
      <w:r w:rsidRPr="00D2138F">
        <w:rPr>
          <w:sz w:val="22"/>
          <w:szCs w:val="22"/>
        </w:rPr>
        <w:t xml:space="preserve">This Determination commences on </w:t>
      </w:r>
      <w:r w:rsidR="004F2BE1">
        <w:rPr>
          <w:sz w:val="22"/>
          <w:szCs w:val="22"/>
        </w:rPr>
        <w:t>21 November 2012</w:t>
      </w:r>
      <w:r w:rsidRPr="00D2138F">
        <w:rPr>
          <w:sz w:val="22"/>
          <w:szCs w:val="22"/>
        </w:rPr>
        <w:t>.</w:t>
      </w:r>
    </w:p>
    <w:p w:rsidR="00F22B83" w:rsidRPr="00831D0F" w:rsidRDefault="00F22B83" w:rsidP="00D2138F">
      <w:pPr>
        <w:pStyle w:val="ClauseHeadings"/>
        <w:numPr>
          <w:ilvl w:val="0"/>
          <w:numId w:val="1"/>
        </w:numPr>
        <w:tabs>
          <w:tab w:val="clear" w:pos="363"/>
        </w:tabs>
        <w:ind w:left="1134" w:hanging="1134"/>
      </w:pPr>
      <w:r w:rsidRPr="00831D0F">
        <w:t xml:space="preserve">Amendment of </w:t>
      </w:r>
      <w:r w:rsidRPr="00D2138F">
        <w:rPr>
          <w:i/>
        </w:rPr>
        <w:t>Appropriation Act (No. 1) 2012-2013</w:t>
      </w:r>
    </w:p>
    <w:p w:rsidR="006E0728" w:rsidRPr="00D2138F" w:rsidRDefault="00F22B83" w:rsidP="00E25B84">
      <w:pPr>
        <w:pStyle w:val="R2"/>
        <w:rPr>
          <w:sz w:val="22"/>
          <w:szCs w:val="22"/>
        </w:rPr>
      </w:pPr>
      <w:r w:rsidRPr="00D2138F">
        <w:rPr>
          <w:sz w:val="22"/>
          <w:szCs w:val="22"/>
        </w:rPr>
        <w:t xml:space="preserve">Schedule </w:t>
      </w:r>
      <w:r w:rsidR="006E0728" w:rsidRPr="00D2138F">
        <w:rPr>
          <w:sz w:val="22"/>
          <w:szCs w:val="22"/>
        </w:rPr>
        <w:t>1</w:t>
      </w:r>
      <w:r w:rsidRPr="00D2138F">
        <w:rPr>
          <w:sz w:val="22"/>
          <w:szCs w:val="22"/>
        </w:rPr>
        <w:t xml:space="preserve"> amends </w:t>
      </w:r>
      <w:r w:rsidRPr="005A28A4">
        <w:rPr>
          <w:i/>
          <w:sz w:val="22"/>
          <w:szCs w:val="22"/>
        </w:rPr>
        <w:t>Appropriation Act (No. 1) 2012-2013</w:t>
      </w:r>
      <w:r w:rsidR="006E0728" w:rsidRPr="00D2138F">
        <w:rPr>
          <w:sz w:val="22"/>
          <w:szCs w:val="22"/>
        </w:rPr>
        <w:t xml:space="preserve"> to:</w:t>
      </w:r>
    </w:p>
    <w:p w:rsidR="006E0728" w:rsidRPr="00D2138F" w:rsidRDefault="006E0728" w:rsidP="00D2138F">
      <w:pPr>
        <w:pStyle w:val="ListParagraph"/>
        <w:numPr>
          <w:ilvl w:val="0"/>
          <w:numId w:val="4"/>
        </w:numPr>
        <w:tabs>
          <w:tab w:val="left" w:pos="993"/>
        </w:tabs>
        <w:spacing w:before="120" w:after="200"/>
        <w:ind w:hanging="357"/>
        <w:contextualSpacing w:val="0"/>
        <w:rPr>
          <w:sz w:val="22"/>
          <w:szCs w:val="22"/>
        </w:rPr>
      </w:pPr>
      <w:r w:rsidRPr="00D2138F">
        <w:rPr>
          <w:sz w:val="22"/>
          <w:szCs w:val="22"/>
        </w:rPr>
        <w:t xml:space="preserve">reduce </w:t>
      </w:r>
      <w:r w:rsidR="002F0EB2" w:rsidRPr="00D2138F">
        <w:rPr>
          <w:sz w:val="22"/>
          <w:szCs w:val="22"/>
        </w:rPr>
        <w:t>D</w:t>
      </w:r>
      <w:r w:rsidR="00831D0F" w:rsidRPr="00D2138F">
        <w:rPr>
          <w:sz w:val="22"/>
          <w:szCs w:val="22"/>
        </w:rPr>
        <w:t>IISRTE</w:t>
      </w:r>
      <w:r w:rsidRPr="00D2138F">
        <w:rPr>
          <w:sz w:val="22"/>
          <w:szCs w:val="22"/>
        </w:rPr>
        <w:t xml:space="preserve">’s </w:t>
      </w:r>
      <w:r w:rsidR="002F0EB2" w:rsidRPr="00D2138F">
        <w:rPr>
          <w:sz w:val="22"/>
          <w:szCs w:val="22"/>
        </w:rPr>
        <w:t>departmental</w:t>
      </w:r>
      <w:r w:rsidRPr="00D2138F">
        <w:rPr>
          <w:sz w:val="22"/>
          <w:szCs w:val="22"/>
        </w:rPr>
        <w:t xml:space="preserve"> item by $</w:t>
      </w:r>
      <w:r w:rsidR="002F0EB2" w:rsidRPr="00D2138F">
        <w:rPr>
          <w:sz w:val="22"/>
          <w:szCs w:val="22"/>
        </w:rPr>
        <w:t>1,</w:t>
      </w:r>
      <w:r w:rsidR="00247E9B">
        <w:rPr>
          <w:sz w:val="22"/>
          <w:szCs w:val="22"/>
        </w:rPr>
        <w:t>548</w:t>
      </w:r>
      <w:r w:rsidR="002F0EB2" w:rsidRPr="00D2138F">
        <w:rPr>
          <w:sz w:val="22"/>
          <w:szCs w:val="22"/>
        </w:rPr>
        <w:t>,000.00</w:t>
      </w:r>
      <w:r w:rsidRPr="00D2138F">
        <w:rPr>
          <w:sz w:val="22"/>
          <w:szCs w:val="22"/>
        </w:rPr>
        <w:t>;</w:t>
      </w:r>
    </w:p>
    <w:p w:rsidR="00247E9B" w:rsidRDefault="00F22B83" w:rsidP="00D2138F">
      <w:pPr>
        <w:pStyle w:val="ListParagraph"/>
        <w:numPr>
          <w:ilvl w:val="0"/>
          <w:numId w:val="4"/>
        </w:numPr>
        <w:tabs>
          <w:tab w:val="left" w:pos="993"/>
        </w:tabs>
        <w:spacing w:before="120" w:after="200"/>
        <w:ind w:hanging="357"/>
        <w:contextualSpacing w:val="0"/>
        <w:rPr>
          <w:sz w:val="22"/>
          <w:szCs w:val="22"/>
        </w:rPr>
      </w:pPr>
      <w:r w:rsidRPr="00D2138F">
        <w:rPr>
          <w:sz w:val="22"/>
          <w:szCs w:val="22"/>
        </w:rPr>
        <w:t xml:space="preserve">increase </w:t>
      </w:r>
      <w:r w:rsidR="002F0EB2" w:rsidRPr="00D2138F">
        <w:rPr>
          <w:sz w:val="22"/>
          <w:szCs w:val="22"/>
        </w:rPr>
        <w:t>A</w:t>
      </w:r>
      <w:r w:rsidR="00831D0F" w:rsidRPr="00D2138F">
        <w:rPr>
          <w:sz w:val="22"/>
          <w:szCs w:val="22"/>
        </w:rPr>
        <w:t>SQA</w:t>
      </w:r>
      <w:r w:rsidR="006E0728" w:rsidRPr="00D2138F">
        <w:rPr>
          <w:sz w:val="22"/>
          <w:szCs w:val="22"/>
        </w:rPr>
        <w:t>’s</w:t>
      </w:r>
      <w:r w:rsidRPr="00D2138F">
        <w:rPr>
          <w:sz w:val="22"/>
          <w:szCs w:val="22"/>
        </w:rPr>
        <w:t xml:space="preserve"> </w:t>
      </w:r>
      <w:r w:rsidR="007063A7" w:rsidRPr="00D2138F">
        <w:rPr>
          <w:sz w:val="22"/>
          <w:szCs w:val="22"/>
        </w:rPr>
        <w:t>departmental item</w:t>
      </w:r>
      <w:r w:rsidRPr="00D2138F">
        <w:rPr>
          <w:sz w:val="22"/>
          <w:szCs w:val="22"/>
        </w:rPr>
        <w:t xml:space="preserve"> by $</w:t>
      </w:r>
      <w:r w:rsidR="002F0EB2" w:rsidRPr="00D2138F">
        <w:rPr>
          <w:sz w:val="22"/>
          <w:szCs w:val="22"/>
        </w:rPr>
        <w:t>1,</w:t>
      </w:r>
      <w:r w:rsidR="00831D0F" w:rsidRPr="00D2138F">
        <w:rPr>
          <w:sz w:val="22"/>
          <w:szCs w:val="22"/>
        </w:rPr>
        <w:t>244</w:t>
      </w:r>
      <w:r w:rsidR="006E0728" w:rsidRPr="00D2138F">
        <w:rPr>
          <w:sz w:val="22"/>
          <w:szCs w:val="22"/>
        </w:rPr>
        <w:t>,000.00</w:t>
      </w:r>
      <w:r w:rsidR="00247E9B">
        <w:rPr>
          <w:sz w:val="22"/>
          <w:szCs w:val="22"/>
        </w:rPr>
        <w:t>; and</w:t>
      </w:r>
    </w:p>
    <w:p w:rsidR="006E0728" w:rsidRPr="00D2138F" w:rsidRDefault="00247E9B" w:rsidP="00D2138F">
      <w:pPr>
        <w:pStyle w:val="ListParagraph"/>
        <w:numPr>
          <w:ilvl w:val="0"/>
          <w:numId w:val="4"/>
        </w:numPr>
        <w:tabs>
          <w:tab w:val="left" w:pos="993"/>
        </w:tabs>
        <w:spacing w:before="120" w:after="200"/>
        <w:ind w:hanging="357"/>
        <w:contextualSpacing w:val="0"/>
        <w:rPr>
          <w:sz w:val="22"/>
          <w:szCs w:val="22"/>
        </w:rPr>
      </w:pPr>
      <w:proofErr w:type="gramStart"/>
      <w:r>
        <w:rPr>
          <w:sz w:val="22"/>
          <w:szCs w:val="22"/>
        </w:rPr>
        <w:t>increase</w:t>
      </w:r>
      <w:proofErr w:type="gramEnd"/>
      <w:r>
        <w:rPr>
          <w:sz w:val="22"/>
          <w:szCs w:val="22"/>
        </w:rPr>
        <w:t xml:space="preserve"> TEQSA’s departmental item by $304,000.00</w:t>
      </w:r>
      <w:r w:rsidR="002F0EB2" w:rsidRPr="00D2138F">
        <w:rPr>
          <w:sz w:val="22"/>
          <w:szCs w:val="22"/>
        </w:rPr>
        <w:t>.</w:t>
      </w:r>
    </w:p>
    <w:p w:rsidR="00E87ACE" w:rsidRPr="00566680" w:rsidRDefault="00E87ACE" w:rsidP="00566680">
      <w:pPr>
        <w:tabs>
          <w:tab w:val="left" w:pos="993"/>
        </w:tabs>
        <w:spacing w:before="240"/>
        <w:sectPr w:rsidR="00E87ACE" w:rsidRPr="00566680" w:rsidSect="00290596">
          <w:headerReference w:type="default" r:id="rId14"/>
          <w:pgSz w:w="11907" w:h="16839" w:code="9"/>
          <w:pgMar w:top="1440" w:right="1797" w:bottom="1440" w:left="1797" w:header="709" w:footer="709" w:gutter="0"/>
          <w:cols w:space="708"/>
          <w:docGrid w:linePitch="360"/>
        </w:sectPr>
      </w:pPr>
    </w:p>
    <w:p w:rsidR="00831D0F" w:rsidRPr="00831D0F" w:rsidRDefault="00831D0F" w:rsidP="00D2138F">
      <w:pPr>
        <w:pStyle w:val="ClauseHeadings"/>
        <w:numPr>
          <w:ilvl w:val="0"/>
          <w:numId w:val="1"/>
        </w:numPr>
        <w:tabs>
          <w:tab w:val="clear" w:pos="363"/>
        </w:tabs>
        <w:ind w:left="1134" w:hanging="1134"/>
      </w:pPr>
      <w:r w:rsidRPr="00831D0F">
        <w:lastRenderedPageBreak/>
        <w:t xml:space="preserve">Amendment of </w:t>
      </w:r>
      <w:r w:rsidRPr="00D2138F">
        <w:rPr>
          <w:i/>
        </w:rPr>
        <w:t>Appropriation Act (No. 5) 2011-2012</w:t>
      </w:r>
    </w:p>
    <w:p w:rsidR="00831D0F" w:rsidRPr="00D2138F" w:rsidRDefault="00831D0F" w:rsidP="00E25B84">
      <w:pPr>
        <w:pStyle w:val="R2"/>
        <w:ind w:firstLine="29"/>
        <w:rPr>
          <w:sz w:val="22"/>
          <w:szCs w:val="22"/>
        </w:rPr>
      </w:pPr>
      <w:r w:rsidRPr="00D2138F">
        <w:rPr>
          <w:sz w:val="22"/>
          <w:szCs w:val="22"/>
        </w:rPr>
        <w:t xml:space="preserve">Schedule </w:t>
      </w:r>
      <w:r w:rsidR="00D91666">
        <w:rPr>
          <w:sz w:val="22"/>
          <w:szCs w:val="22"/>
        </w:rPr>
        <w:t>2</w:t>
      </w:r>
      <w:r w:rsidRPr="00D2138F">
        <w:rPr>
          <w:sz w:val="22"/>
          <w:szCs w:val="22"/>
        </w:rPr>
        <w:t xml:space="preserve"> amends </w:t>
      </w:r>
      <w:r w:rsidRPr="00D2138F">
        <w:rPr>
          <w:i/>
          <w:sz w:val="22"/>
          <w:szCs w:val="22"/>
        </w:rPr>
        <w:t>Appropriation Act (No. </w:t>
      </w:r>
      <w:r w:rsidR="00E25B84" w:rsidRPr="00D2138F">
        <w:rPr>
          <w:i/>
          <w:sz w:val="22"/>
          <w:szCs w:val="22"/>
        </w:rPr>
        <w:t>5</w:t>
      </w:r>
      <w:r w:rsidRPr="00D2138F">
        <w:rPr>
          <w:i/>
          <w:sz w:val="22"/>
          <w:szCs w:val="22"/>
        </w:rPr>
        <w:t>) 201</w:t>
      </w:r>
      <w:r w:rsidR="00E25B84" w:rsidRPr="00D2138F">
        <w:rPr>
          <w:i/>
          <w:sz w:val="22"/>
          <w:szCs w:val="22"/>
        </w:rPr>
        <w:t>1</w:t>
      </w:r>
      <w:r w:rsidRPr="00D2138F">
        <w:rPr>
          <w:i/>
          <w:sz w:val="22"/>
          <w:szCs w:val="22"/>
        </w:rPr>
        <w:t>-201</w:t>
      </w:r>
      <w:r w:rsidR="00E25B84" w:rsidRPr="00D2138F">
        <w:rPr>
          <w:i/>
          <w:sz w:val="22"/>
          <w:szCs w:val="22"/>
        </w:rPr>
        <w:t>2</w:t>
      </w:r>
      <w:r w:rsidRPr="00D2138F">
        <w:rPr>
          <w:i/>
          <w:sz w:val="22"/>
          <w:szCs w:val="22"/>
        </w:rPr>
        <w:t xml:space="preserve"> </w:t>
      </w:r>
      <w:r w:rsidRPr="00D2138F">
        <w:rPr>
          <w:sz w:val="22"/>
          <w:szCs w:val="22"/>
        </w:rPr>
        <w:t>to:</w:t>
      </w:r>
    </w:p>
    <w:p w:rsidR="00831D0F" w:rsidRPr="00D2138F" w:rsidRDefault="00831D0F" w:rsidP="00D2138F">
      <w:pPr>
        <w:pStyle w:val="ListParagraph"/>
        <w:numPr>
          <w:ilvl w:val="0"/>
          <w:numId w:val="5"/>
        </w:numPr>
        <w:tabs>
          <w:tab w:val="left" w:pos="993"/>
        </w:tabs>
        <w:spacing w:before="120" w:after="200"/>
        <w:contextualSpacing w:val="0"/>
        <w:rPr>
          <w:sz w:val="22"/>
          <w:szCs w:val="22"/>
        </w:rPr>
      </w:pPr>
      <w:proofErr w:type="gramStart"/>
      <w:r w:rsidRPr="00D2138F">
        <w:rPr>
          <w:sz w:val="22"/>
          <w:szCs w:val="22"/>
        </w:rPr>
        <w:t>reduce</w:t>
      </w:r>
      <w:proofErr w:type="gramEnd"/>
      <w:r w:rsidRPr="00D2138F">
        <w:rPr>
          <w:sz w:val="22"/>
          <w:szCs w:val="22"/>
        </w:rPr>
        <w:t xml:space="preserve"> DIISRTE’s departmental item by $</w:t>
      </w:r>
      <w:r w:rsidR="007F4DE6">
        <w:rPr>
          <w:sz w:val="22"/>
          <w:szCs w:val="22"/>
        </w:rPr>
        <w:t>205</w:t>
      </w:r>
      <w:r w:rsidRPr="00D2138F">
        <w:rPr>
          <w:sz w:val="22"/>
          <w:szCs w:val="22"/>
        </w:rPr>
        <w:t>,000.00</w:t>
      </w:r>
      <w:r w:rsidR="00E25B84" w:rsidRPr="00D2138F">
        <w:rPr>
          <w:sz w:val="22"/>
          <w:szCs w:val="22"/>
        </w:rPr>
        <w:t>.</w:t>
      </w:r>
    </w:p>
    <w:p w:rsidR="00831D0F" w:rsidRPr="00566680" w:rsidRDefault="00831D0F" w:rsidP="00D2138F">
      <w:pPr>
        <w:pStyle w:val="ClauseHeadings"/>
        <w:numPr>
          <w:ilvl w:val="0"/>
          <w:numId w:val="1"/>
        </w:numPr>
        <w:tabs>
          <w:tab w:val="clear" w:pos="363"/>
        </w:tabs>
        <w:ind w:left="1134" w:hanging="1134"/>
      </w:pPr>
      <w:r w:rsidRPr="00831D0F">
        <w:t xml:space="preserve">Amendment of </w:t>
      </w:r>
      <w:r w:rsidRPr="00D2138F">
        <w:rPr>
          <w:i/>
        </w:rPr>
        <w:t>Appropriation Act (No. 1) 2011-2012</w:t>
      </w:r>
    </w:p>
    <w:p w:rsidR="00831D0F" w:rsidRPr="00D2138F" w:rsidRDefault="00831D0F" w:rsidP="00E25B84">
      <w:pPr>
        <w:pStyle w:val="R2"/>
        <w:ind w:firstLine="29"/>
        <w:rPr>
          <w:sz w:val="22"/>
          <w:szCs w:val="22"/>
        </w:rPr>
      </w:pPr>
      <w:r w:rsidRPr="00D2138F">
        <w:rPr>
          <w:sz w:val="22"/>
          <w:szCs w:val="22"/>
        </w:rPr>
        <w:t xml:space="preserve">Schedule </w:t>
      </w:r>
      <w:r w:rsidR="00D91666">
        <w:rPr>
          <w:sz w:val="22"/>
          <w:szCs w:val="22"/>
        </w:rPr>
        <w:t>3</w:t>
      </w:r>
      <w:r w:rsidRPr="00D2138F">
        <w:rPr>
          <w:sz w:val="22"/>
          <w:szCs w:val="22"/>
        </w:rPr>
        <w:t xml:space="preserve"> amends </w:t>
      </w:r>
      <w:r w:rsidRPr="00D2138F">
        <w:rPr>
          <w:i/>
          <w:sz w:val="22"/>
          <w:szCs w:val="22"/>
        </w:rPr>
        <w:t>Appropriation Act (No. 1) 201</w:t>
      </w:r>
      <w:r w:rsidR="00E25B84" w:rsidRPr="00D2138F">
        <w:rPr>
          <w:i/>
          <w:sz w:val="22"/>
          <w:szCs w:val="22"/>
        </w:rPr>
        <w:t>1</w:t>
      </w:r>
      <w:r w:rsidRPr="00D2138F">
        <w:rPr>
          <w:i/>
          <w:sz w:val="22"/>
          <w:szCs w:val="22"/>
        </w:rPr>
        <w:t>-201</w:t>
      </w:r>
      <w:r w:rsidR="00E25B84" w:rsidRPr="00D2138F">
        <w:rPr>
          <w:i/>
          <w:sz w:val="22"/>
          <w:szCs w:val="22"/>
        </w:rPr>
        <w:t>2</w:t>
      </w:r>
      <w:r w:rsidRPr="00D2138F">
        <w:rPr>
          <w:sz w:val="22"/>
          <w:szCs w:val="22"/>
        </w:rPr>
        <w:t xml:space="preserve"> to:</w:t>
      </w:r>
    </w:p>
    <w:p w:rsidR="007F4DE6" w:rsidRDefault="00831D0F" w:rsidP="00D2138F">
      <w:pPr>
        <w:pStyle w:val="ListParagraph"/>
        <w:numPr>
          <w:ilvl w:val="0"/>
          <w:numId w:val="6"/>
        </w:numPr>
        <w:tabs>
          <w:tab w:val="left" w:pos="993"/>
        </w:tabs>
        <w:spacing w:before="120" w:after="200"/>
        <w:ind w:hanging="357"/>
        <w:contextualSpacing w:val="0"/>
        <w:rPr>
          <w:sz w:val="22"/>
          <w:szCs w:val="22"/>
        </w:rPr>
      </w:pPr>
      <w:r w:rsidRPr="00D2138F">
        <w:rPr>
          <w:sz w:val="22"/>
          <w:szCs w:val="22"/>
        </w:rPr>
        <w:t>increase ASQA’s departmental item by $1</w:t>
      </w:r>
      <w:r w:rsidR="00E25B84" w:rsidRPr="00D2138F">
        <w:rPr>
          <w:sz w:val="22"/>
          <w:szCs w:val="22"/>
        </w:rPr>
        <w:t>42</w:t>
      </w:r>
      <w:r w:rsidRPr="00D2138F">
        <w:rPr>
          <w:sz w:val="22"/>
          <w:szCs w:val="22"/>
        </w:rPr>
        <w:t>,000.00</w:t>
      </w:r>
      <w:r w:rsidR="007F4DE6">
        <w:rPr>
          <w:sz w:val="22"/>
          <w:szCs w:val="22"/>
        </w:rPr>
        <w:t>; and</w:t>
      </w:r>
    </w:p>
    <w:p w:rsidR="00831D0F" w:rsidRPr="00D2138F" w:rsidRDefault="007F4DE6" w:rsidP="00D2138F">
      <w:pPr>
        <w:pStyle w:val="ListParagraph"/>
        <w:numPr>
          <w:ilvl w:val="0"/>
          <w:numId w:val="6"/>
        </w:numPr>
        <w:tabs>
          <w:tab w:val="left" w:pos="993"/>
        </w:tabs>
        <w:spacing w:before="120" w:after="200"/>
        <w:ind w:hanging="357"/>
        <w:contextualSpacing w:val="0"/>
        <w:rPr>
          <w:sz w:val="22"/>
          <w:szCs w:val="22"/>
        </w:rPr>
      </w:pPr>
      <w:proofErr w:type="gramStart"/>
      <w:r>
        <w:rPr>
          <w:sz w:val="22"/>
          <w:szCs w:val="22"/>
        </w:rPr>
        <w:t>increase</w:t>
      </w:r>
      <w:proofErr w:type="gramEnd"/>
      <w:r>
        <w:rPr>
          <w:sz w:val="22"/>
          <w:szCs w:val="22"/>
        </w:rPr>
        <w:t xml:space="preserve"> TEQSA’s departmental item by $63,000.00</w:t>
      </w:r>
      <w:r w:rsidR="00831D0F" w:rsidRPr="00D2138F">
        <w:rPr>
          <w:sz w:val="22"/>
          <w:szCs w:val="22"/>
        </w:rPr>
        <w:t>.</w:t>
      </w:r>
    </w:p>
    <w:p w:rsidR="009944CA" w:rsidRPr="009944CA" w:rsidRDefault="001A7741" w:rsidP="001A7741">
      <w:pPr>
        <w:rPr>
          <w:rStyle w:val="CharAmSchNo"/>
          <w:sz w:val="2"/>
        </w:rPr>
      </w:pPr>
      <w:r>
        <w:rPr>
          <w:rStyle w:val="CharAmSchNo"/>
          <w:rFonts w:ascii="Arial" w:hAnsi="Arial"/>
          <w:b/>
          <w:sz w:val="32"/>
        </w:rPr>
        <w:br w:type="page"/>
      </w:r>
    </w:p>
    <w:p w:rsidR="00C90515" w:rsidRPr="00D2138F" w:rsidRDefault="00BA29D8" w:rsidP="003B5F87">
      <w:pPr>
        <w:pStyle w:val="Scheduletitle"/>
        <w:spacing w:before="240"/>
        <w:ind w:left="1701" w:hanging="1701"/>
        <w:rPr>
          <w:rStyle w:val="CharAmSchNo"/>
          <w:sz w:val="28"/>
          <w:szCs w:val="28"/>
        </w:rPr>
      </w:pPr>
      <w:r w:rsidRPr="00D2138F">
        <w:rPr>
          <w:rStyle w:val="CharAmSchNo"/>
          <w:sz w:val="28"/>
          <w:szCs w:val="28"/>
        </w:rPr>
        <w:lastRenderedPageBreak/>
        <w:t>Schedule 1</w:t>
      </w:r>
      <w:r w:rsidRPr="00D2138F">
        <w:rPr>
          <w:rStyle w:val="CharAmSchNo"/>
          <w:sz w:val="28"/>
          <w:szCs w:val="28"/>
        </w:rPr>
        <w:tab/>
      </w:r>
      <w:r w:rsidR="00C90515" w:rsidRPr="00D2138F">
        <w:rPr>
          <w:rStyle w:val="CharAmSchNo"/>
          <w:sz w:val="28"/>
          <w:szCs w:val="28"/>
        </w:rPr>
        <w:t xml:space="preserve">Amendment of </w:t>
      </w:r>
      <w:r w:rsidR="00C90515" w:rsidRPr="00D2138F">
        <w:rPr>
          <w:i/>
          <w:noProof/>
          <w:sz w:val="28"/>
          <w:szCs w:val="28"/>
        </w:rPr>
        <w:t>Appropriation Act (No. </w:t>
      </w:r>
      <w:r w:rsidR="00A96F83" w:rsidRPr="00D2138F">
        <w:rPr>
          <w:i/>
          <w:noProof/>
          <w:sz w:val="28"/>
          <w:szCs w:val="28"/>
        </w:rPr>
        <w:t>1</w:t>
      </w:r>
      <w:r w:rsidR="00C90515" w:rsidRPr="00D2138F">
        <w:rPr>
          <w:i/>
          <w:sz w:val="28"/>
          <w:szCs w:val="28"/>
        </w:rPr>
        <w:t xml:space="preserve">) </w:t>
      </w:r>
      <w:r w:rsidR="008261AB" w:rsidRPr="00D2138F">
        <w:rPr>
          <w:i/>
          <w:sz w:val="28"/>
          <w:szCs w:val="28"/>
        </w:rPr>
        <w:t>2012</w:t>
      </w:r>
      <w:r w:rsidR="00C90515" w:rsidRPr="00D2138F">
        <w:rPr>
          <w:i/>
          <w:sz w:val="28"/>
          <w:szCs w:val="28"/>
        </w:rPr>
        <w:t>-20</w:t>
      </w:r>
      <w:r w:rsidR="008261AB" w:rsidRPr="00D2138F">
        <w:rPr>
          <w:i/>
          <w:sz w:val="28"/>
          <w:szCs w:val="28"/>
        </w:rPr>
        <w:t>13</w:t>
      </w:r>
    </w:p>
    <w:p w:rsidR="00C90515" w:rsidRDefault="00C90515" w:rsidP="00D2138F">
      <w:pPr>
        <w:pStyle w:val="Schedulereference"/>
        <w:ind w:left="1843"/>
        <w:rPr>
          <w:rStyle w:val="CharSchPTNo"/>
        </w:rPr>
      </w:pPr>
      <w:r w:rsidRPr="00C04E99">
        <w:t>(</w:t>
      </w:r>
      <w:r>
        <w:t>Clause</w:t>
      </w:r>
      <w:r w:rsidRPr="00C04E99">
        <w:t xml:space="preserve"> </w:t>
      </w:r>
      <w:r w:rsidR="00A96F83">
        <w:t>3</w:t>
      </w:r>
      <w:r w:rsidRPr="00C04E99">
        <w:t>)</w:t>
      </w:r>
    </w:p>
    <w:p w:rsidR="00336C45" w:rsidRPr="00D2138F" w:rsidRDefault="00C90515" w:rsidP="00336C45">
      <w:pPr>
        <w:pStyle w:val="A1S"/>
        <w:spacing w:before="240" w:line="240" w:lineRule="auto"/>
        <w:ind w:left="709" w:hanging="709"/>
        <w:rPr>
          <w:sz w:val="22"/>
          <w:szCs w:val="22"/>
        </w:rPr>
      </w:pPr>
      <w:r w:rsidRPr="00D2138F">
        <w:rPr>
          <w:sz w:val="22"/>
          <w:szCs w:val="22"/>
        </w:rPr>
        <w:t xml:space="preserve"> </w:t>
      </w:r>
      <w:r w:rsidR="00336C45" w:rsidRPr="00D2138F">
        <w:rPr>
          <w:sz w:val="22"/>
          <w:szCs w:val="22"/>
        </w:rPr>
        <w:t>[1]</w:t>
      </w:r>
      <w:r w:rsidR="00336C45" w:rsidRPr="00D2138F">
        <w:rPr>
          <w:bCs/>
          <w:sz w:val="22"/>
          <w:szCs w:val="22"/>
        </w:rPr>
        <w:tab/>
        <w:t xml:space="preserve">Schedule 1, </w:t>
      </w:r>
      <w:r w:rsidR="00E25B84" w:rsidRPr="00D2138F">
        <w:rPr>
          <w:bCs/>
          <w:sz w:val="22"/>
          <w:szCs w:val="22"/>
        </w:rPr>
        <w:t xml:space="preserve">Industry, Innovation, Science, Research and Tertiary Education </w:t>
      </w:r>
      <w:r w:rsidR="00336C45" w:rsidRPr="00D2138F">
        <w:rPr>
          <w:bCs/>
          <w:sz w:val="22"/>
          <w:szCs w:val="22"/>
        </w:rPr>
        <w:t xml:space="preserve">portfolio, </w:t>
      </w:r>
      <w:r w:rsidR="00E25B84" w:rsidRPr="00D2138F">
        <w:rPr>
          <w:bCs/>
          <w:sz w:val="22"/>
          <w:szCs w:val="22"/>
        </w:rPr>
        <w:t xml:space="preserve">Department of Industry, Innovation, Science, Research and Tertiary Education </w:t>
      </w:r>
      <w:r w:rsidR="00336C45" w:rsidRPr="00D2138F">
        <w:rPr>
          <w:bCs/>
          <w:noProof/>
          <w:sz w:val="22"/>
          <w:szCs w:val="22"/>
        </w:rPr>
        <w:t>table</w:t>
      </w:r>
      <w:r w:rsidR="00336C45" w:rsidRPr="00D2138F">
        <w:rPr>
          <w:bCs/>
          <w:sz w:val="22"/>
          <w:szCs w:val="22"/>
        </w:rPr>
        <w:t xml:space="preserve">, alongside </w:t>
      </w:r>
      <w:r w:rsidR="002F0EB2" w:rsidRPr="00D2138F">
        <w:rPr>
          <w:bCs/>
          <w:sz w:val="22"/>
          <w:szCs w:val="22"/>
        </w:rPr>
        <w:t xml:space="preserve">“Total: </w:t>
      </w:r>
      <w:r w:rsidR="00E25B84" w:rsidRPr="00D2138F">
        <w:rPr>
          <w:bCs/>
          <w:sz w:val="22"/>
          <w:szCs w:val="22"/>
        </w:rPr>
        <w:t>Department of Industry, Innovation, Science, Research and Tertiary Education</w:t>
      </w:r>
      <w:r w:rsidR="002F0EB2" w:rsidRPr="00D2138F">
        <w:rPr>
          <w:bCs/>
          <w:noProof/>
          <w:sz w:val="22"/>
          <w:szCs w:val="22"/>
        </w:rPr>
        <w:t>”</w:t>
      </w:r>
      <w:r w:rsidR="00336C45" w:rsidRPr="00D2138F">
        <w:rPr>
          <w:bCs/>
          <w:sz w:val="22"/>
          <w:szCs w:val="22"/>
        </w:rPr>
        <w:t>, under the heading “</w:t>
      </w:r>
      <w:r w:rsidR="002F0EB2" w:rsidRPr="00D2138F">
        <w:rPr>
          <w:bCs/>
          <w:sz w:val="22"/>
          <w:szCs w:val="22"/>
        </w:rPr>
        <w:t>Departmental</w:t>
      </w:r>
      <w:r w:rsidR="00336C45" w:rsidRPr="00D2138F">
        <w:rPr>
          <w:bCs/>
          <w:sz w:val="22"/>
          <w:szCs w:val="22"/>
        </w:rPr>
        <w:t>”</w:t>
      </w:r>
    </w:p>
    <w:p w:rsidR="00336C45" w:rsidRPr="00D2138F" w:rsidRDefault="00336C45" w:rsidP="00336C45">
      <w:pPr>
        <w:pStyle w:val="A2S"/>
        <w:spacing w:after="120"/>
        <w:rPr>
          <w:sz w:val="22"/>
          <w:szCs w:val="22"/>
        </w:rPr>
      </w:pPr>
      <w:proofErr w:type="gramStart"/>
      <w:r w:rsidRPr="00D2138F">
        <w:rPr>
          <w:sz w:val="22"/>
          <w:szCs w:val="22"/>
        </w:rPr>
        <w:t>omit</w:t>
      </w:r>
      <w:proofErr w:type="gramEnd"/>
    </w:p>
    <w:p w:rsidR="00336C45" w:rsidRPr="00F253F9" w:rsidRDefault="00E25B84" w:rsidP="00336C45">
      <w:pPr>
        <w:pStyle w:val="A3S"/>
        <w:rPr>
          <w:rFonts w:ascii="Arial" w:hAnsi="Arial" w:cs="Arial"/>
          <w:b/>
          <w:noProof/>
          <w:sz w:val="16"/>
          <w:szCs w:val="16"/>
        </w:rPr>
      </w:pPr>
      <w:r>
        <w:rPr>
          <w:rFonts w:ascii="Arial" w:hAnsi="Arial" w:cs="Arial"/>
          <w:b/>
          <w:noProof/>
          <w:sz w:val="16"/>
          <w:szCs w:val="16"/>
        </w:rPr>
        <w:t>511,007</w:t>
      </w:r>
    </w:p>
    <w:p w:rsidR="00336C45" w:rsidRPr="00D2138F" w:rsidRDefault="00336C45" w:rsidP="00336C45">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336C45" w:rsidRPr="00B23000" w:rsidRDefault="00E25B84" w:rsidP="00336C45">
      <w:pPr>
        <w:pStyle w:val="A3S"/>
        <w:rPr>
          <w:rFonts w:ascii="Arial" w:hAnsi="Arial" w:cs="Arial"/>
          <w:b/>
          <w:noProof/>
          <w:sz w:val="16"/>
          <w:szCs w:val="16"/>
        </w:rPr>
      </w:pPr>
      <w:r>
        <w:rPr>
          <w:rFonts w:ascii="Arial" w:hAnsi="Arial" w:cs="Arial"/>
          <w:b/>
          <w:noProof/>
          <w:sz w:val="16"/>
          <w:szCs w:val="16"/>
        </w:rPr>
        <w:t>509,</w:t>
      </w:r>
      <w:r w:rsidR="007F4DE6">
        <w:rPr>
          <w:rFonts w:ascii="Arial" w:hAnsi="Arial" w:cs="Arial"/>
          <w:b/>
          <w:noProof/>
          <w:sz w:val="16"/>
          <w:szCs w:val="16"/>
        </w:rPr>
        <w:t>459</w:t>
      </w:r>
    </w:p>
    <w:p w:rsidR="00336C45" w:rsidRPr="00D2138F" w:rsidRDefault="00336C45" w:rsidP="00336C45">
      <w:pPr>
        <w:pStyle w:val="A1S"/>
        <w:spacing w:before="240" w:line="240" w:lineRule="auto"/>
        <w:ind w:left="709" w:hanging="709"/>
        <w:rPr>
          <w:bCs/>
          <w:sz w:val="22"/>
          <w:szCs w:val="22"/>
        </w:rPr>
      </w:pPr>
      <w:r w:rsidRPr="008202FC">
        <w:rPr>
          <w:bCs/>
        </w:rPr>
        <w:t xml:space="preserve"> </w:t>
      </w:r>
      <w:r w:rsidRPr="00D2138F">
        <w:rPr>
          <w:bCs/>
          <w:sz w:val="22"/>
          <w:szCs w:val="22"/>
        </w:rPr>
        <w:t>[2]</w:t>
      </w:r>
      <w:r w:rsidRPr="00D2138F">
        <w:rPr>
          <w:bCs/>
          <w:sz w:val="22"/>
          <w:szCs w:val="22"/>
        </w:rPr>
        <w:tab/>
        <w:t xml:space="preserve">Schedule 1, </w:t>
      </w:r>
      <w:r w:rsidR="00E25B84" w:rsidRPr="00D2138F">
        <w:rPr>
          <w:bCs/>
          <w:sz w:val="22"/>
          <w:szCs w:val="22"/>
        </w:rPr>
        <w:t xml:space="preserve">Industry, Innovation, Science, Research and Tertiary Education </w:t>
      </w:r>
      <w:r w:rsidRPr="00D2138F">
        <w:rPr>
          <w:bCs/>
          <w:sz w:val="22"/>
          <w:szCs w:val="22"/>
        </w:rPr>
        <w:t>portfolio, after the</w:t>
      </w:r>
      <w:r w:rsidR="002F0EB2" w:rsidRPr="00D2138F">
        <w:rPr>
          <w:bCs/>
          <w:noProof/>
          <w:sz w:val="22"/>
          <w:szCs w:val="22"/>
        </w:rPr>
        <w:t xml:space="preserve"> </w:t>
      </w:r>
      <w:r w:rsidR="00E25B84" w:rsidRPr="00D2138F">
        <w:rPr>
          <w:bCs/>
          <w:sz w:val="22"/>
          <w:szCs w:val="22"/>
        </w:rPr>
        <w:t>Department of Industry, Innovation, Science, Research and Tertiary Education</w:t>
      </w:r>
      <w:r w:rsidR="002F0EB2" w:rsidRPr="00D2138F">
        <w:rPr>
          <w:bCs/>
          <w:noProof/>
          <w:sz w:val="22"/>
          <w:szCs w:val="22"/>
        </w:rPr>
        <w:t xml:space="preserve"> table</w:t>
      </w:r>
    </w:p>
    <w:p w:rsidR="00336C45" w:rsidRPr="00D2138F" w:rsidRDefault="00066933" w:rsidP="00336C45">
      <w:pPr>
        <w:pStyle w:val="A2S"/>
        <w:keepNext w:val="0"/>
        <w:ind w:left="238" w:firstLine="720"/>
        <w:rPr>
          <w:sz w:val="22"/>
          <w:szCs w:val="22"/>
        </w:rPr>
      </w:pPr>
      <w:proofErr w:type="gramStart"/>
      <w:r w:rsidRPr="00D2138F">
        <w:rPr>
          <w:sz w:val="22"/>
          <w:szCs w:val="22"/>
        </w:rPr>
        <w:t>insert</w:t>
      </w:r>
      <w:proofErr w:type="gramEnd"/>
    </w:p>
    <w:p w:rsidR="00336C45" w:rsidRPr="00CC2E7B" w:rsidRDefault="00336C45" w:rsidP="00336C45">
      <w:pPr>
        <w:pStyle w:val="Note"/>
        <w:ind w:left="798" w:right="784"/>
        <w:rPr>
          <w:iCs/>
        </w:rPr>
      </w:pPr>
      <w:r w:rsidRPr="00CC2E7B">
        <w:rPr>
          <w:rStyle w:val="ItalicText"/>
          <w:iCs/>
        </w:rPr>
        <w:t>Note</w:t>
      </w:r>
      <w:r>
        <w:rPr>
          <w:rStyle w:val="ItalicText"/>
          <w:iCs/>
        </w:rPr>
        <w:t> </w:t>
      </w:r>
      <w:r w:rsidRPr="00CC2E7B">
        <w:rPr>
          <w:rStyle w:val="ItalicText"/>
          <w:iCs/>
        </w:rPr>
        <w:t>1:</w:t>
      </w:r>
      <w:r>
        <w:rPr>
          <w:rStyle w:val="ItalicText"/>
          <w:iCs/>
        </w:rPr>
        <w:t> </w:t>
      </w:r>
      <w:r w:rsidRPr="00CC2E7B">
        <w:rPr>
          <w:iCs/>
        </w:rPr>
        <w:t xml:space="preserve">The table has been amended by a determination under the </w:t>
      </w:r>
      <w:r w:rsidRPr="00702557">
        <w:rPr>
          <w:i/>
          <w:iCs/>
        </w:rPr>
        <w:t>Financial Management and Accountability Act 1997</w:t>
      </w:r>
      <w:r w:rsidRPr="00CC2E7B">
        <w:rPr>
          <w:iCs/>
        </w:rPr>
        <w:t>. That determination has amended only the actual appropriation items:</w:t>
      </w:r>
    </w:p>
    <w:p w:rsidR="00336C45" w:rsidRPr="00757193" w:rsidRDefault="00336C45" w:rsidP="00336C45">
      <w:pPr>
        <w:pStyle w:val="ZNote"/>
        <w:keepNext w:val="0"/>
        <w:widowControl w:val="0"/>
        <w:tabs>
          <w:tab w:val="left" w:pos="851"/>
        </w:tabs>
        <w:spacing w:before="60"/>
        <w:ind w:left="851" w:right="755"/>
        <w:rPr>
          <w:szCs w:val="20"/>
        </w:rPr>
      </w:pPr>
      <w:r>
        <w:rPr>
          <w:szCs w:val="20"/>
        </w:rPr>
        <w:t>(a)</w:t>
      </w:r>
      <w:r>
        <w:rPr>
          <w:szCs w:val="20"/>
        </w:rPr>
        <w:tab/>
      </w:r>
      <w:proofErr w:type="gramStart"/>
      <w:r w:rsidRPr="00757193">
        <w:rPr>
          <w:szCs w:val="20"/>
        </w:rPr>
        <w:t>for</w:t>
      </w:r>
      <w:proofErr w:type="gramEnd"/>
      <w:r w:rsidRPr="00757193">
        <w:rPr>
          <w:szCs w:val="20"/>
        </w:rPr>
        <w:t xml:space="preserve"> </w:t>
      </w:r>
      <w:r>
        <w:rPr>
          <w:szCs w:val="20"/>
        </w:rPr>
        <w:t>d</w:t>
      </w:r>
      <w:r w:rsidRPr="00757193">
        <w:rPr>
          <w:szCs w:val="20"/>
        </w:rPr>
        <w:t xml:space="preserve">epartmental items, the actual appropriation item is the “Total” amount in relation to an </w:t>
      </w:r>
      <w:r>
        <w:rPr>
          <w:szCs w:val="20"/>
        </w:rPr>
        <w:t>agency</w:t>
      </w:r>
      <w:r w:rsidRPr="00757193">
        <w:rPr>
          <w:szCs w:val="20"/>
        </w:rPr>
        <w:t xml:space="preserve"> under the heading “Departmental”; and</w:t>
      </w:r>
    </w:p>
    <w:p w:rsidR="00336C45" w:rsidRPr="00757193" w:rsidRDefault="00336C45" w:rsidP="00336C45">
      <w:pPr>
        <w:pStyle w:val="ZNote"/>
        <w:keepNext w:val="0"/>
        <w:widowControl w:val="0"/>
        <w:tabs>
          <w:tab w:val="left" w:pos="851"/>
        </w:tabs>
        <w:spacing w:before="60"/>
        <w:ind w:left="851" w:right="755"/>
        <w:rPr>
          <w:szCs w:val="20"/>
        </w:rPr>
      </w:pPr>
      <w:r w:rsidRPr="00757193">
        <w:rPr>
          <w:szCs w:val="20"/>
        </w:rPr>
        <w:t>(b)</w:t>
      </w:r>
      <w:r w:rsidRPr="00757193">
        <w:rPr>
          <w:szCs w:val="20"/>
        </w:rPr>
        <w:tab/>
      </w:r>
      <w:proofErr w:type="gramStart"/>
      <w:r w:rsidRPr="00757193">
        <w:rPr>
          <w:szCs w:val="20"/>
        </w:rPr>
        <w:t>for</w:t>
      </w:r>
      <w:proofErr w:type="gramEnd"/>
      <w:r w:rsidRPr="00757193">
        <w:rPr>
          <w:szCs w:val="20"/>
        </w:rPr>
        <w:t xml:space="preserve"> administered items, the actual appropriation item is the amount set out opposite an </w:t>
      </w:r>
      <w:r w:rsidR="005A28A4">
        <w:rPr>
          <w:szCs w:val="20"/>
        </w:rPr>
        <w:t>o</w:t>
      </w:r>
      <w:r w:rsidRPr="00757193">
        <w:rPr>
          <w:szCs w:val="20"/>
        </w:rPr>
        <w:t xml:space="preserve">utcome of an </w:t>
      </w:r>
      <w:r>
        <w:rPr>
          <w:szCs w:val="20"/>
        </w:rPr>
        <w:t>agency</w:t>
      </w:r>
      <w:r w:rsidRPr="00757193">
        <w:rPr>
          <w:szCs w:val="20"/>
        </w:rPr>
        <w:t xml:space="preserve"> under the heading “Administered”.</w:t>
      </w:r>
    </w:p>
    <w:p w:rsidR="00336C45" w:rsidRDefault="00336C45" w:rsidP="00336C45">
      <w:pPr>
        <w:pStyle w:val="Note"/>
        <w:tabs>
          <w:tab w:val="left" w:pos="851"/>
        </w:tabs>
        <w:ind w:left="851" w:right="755"/>
      </w:pPr>
      <w:r w:rsidRPr="00757193">
        <w:t>No other amounts in the table have been amended.</w:t>
      </w:r>
    </w:p>
    <w:p w:rsidR="00874130" w:rsidRDefault="00336C45" w:rsidP="00B6045F">
      <w:pPr>
        <w:pStyle w:val="Note"/>
        <w:spacing w:after="120"/>
        <w:ind w:left="709" w:right="755"/>
      </w:pPr>
      <w:r w:rsidRPr="00B042F3">
        <w:rPr>
          <w:i/>
        </w:rPr>
        <w:t>Note </w:t>
      </w:r>
      <w:r>
        <w:rPr>
          <w:i/>
        </w:rPr>
        <w:t>2</w:t>
      </w:r>
      <w:r w:rsidRPr="00B23BE5">
        <w:t>:</w:t>
      </w:r>
      <w:r w:rsidRPr="00B23BE5">
        <w:rPr>
          <w:i/>
        </w:rPr>
        <w:t xml:space="preserve"> Financial Management and Accountability Act 1997 Determination 2012/</w:t>
      </w:r>
      <w:r w:rsidR="002F0EB2">
        <w:rPr>
          <w:i/>
        </w:rPr>
        <w:t>3</w:t>
      </w:r>
      <w:r w:rsidR="00E25B84">
        <w:rPr>
          <w:i/>
        </w:rPr>
        <w:t>1</w:t>
      </w:r>
      <w:r w:rsidRPr="00B23BE5">
        <w:rPr>
          <w:i/>
        </w:rPr>
        <w:t xml:space="preserve"> — Section 32 (Transfer of Functions from </w:t>
      </w:r>
      <w:r w:rsidR="00E25B84">
        <w:rPr>
          <w:i/>
        </w:rPr>
        <w:t>DIISRTE</w:t>
      </w:r>
      <w:r w:rsidRPr="00B23BE5">
        <w:rPr>
          <w:i/>
        </w:rPr>
        <w:t xml:space="preserve"> to </w:t>
      </w:r>
      <w:r w:rsidR="002F0EB2">
        <w:rPr>
          <w:i/>
        </w:rPr>
        <w:t>A</w:t>
      </w:r>
      <w:r w:rsidR="00E25B84">
        <w:rPr>
          <w:i/>
        </w:rPr>
        <w:t>SQA</w:t>
      </w:r>
      <w:r w:rsidR="007F4DE6">
        <w:rPr>
          <w:i/>
        </w:rPr>
        <w:t xml:space="preserve"> &amp; TEQSA</w:t>
      </w:r>
      <w:r w:rsidRPr="001837F8">
        <w:rPr>
          <w:i/>
        </w:rPr>
        <w:t>)</w:t>
      </w:r>
      <w:r w:rsidRPr="00B23BE5">
        <w:t xml:space="preserve"> </w:t>
      </w:r>
      <w:r w:rsidR="002F0EB2" w:rsidRPr="00580E6F">
        <w:t>amended in this table</w:t>
      </w:r>
      <w:r w:rsidR="002F0EB2">
        <w:t xml:space="preserve"> </w:t>
      </w:r>
      <w:r w:rsidR="002F0EB2" w:rsidRPr="00580E6F">
        <w:t xml:space="preserve">the amount alongside </w:t>
      </w:r>
      <w:r w:rsidR="002F0EB2" w:rsidRPr="00B05B24">
        <w:t>“Total</w:t>
      </w:r>
      <w:r w:rsidR="002F0EB2">
        <w:t xml:space="preserve">: </w:t>
      </w:r>
      <w:r w:rsidR="00E25B84">
        <w:rPr>
          <w:bCs/>
        </w:rPr>
        <w:t>Department of Industry, Innovation, Science, Research and Tertiary Education</w:t>
      </w:r>
      <w:r w:rsidR="002F0EB2">
        <w:t xml:space="preserve">” under the heading “Departmental”, to transfer </w:t>
      </w:r>
      <w:r w:rsidR="007F4DE6">
        <w:t xml:space="preserve">an </w:t>
      </w:r>
      <w:r w:rsidR="002F0EB2">
        <w:t>amount</w:t>
      </w:r>
      <w:r w:rsidR="00410B8D">
        <w:t xml:space="preserve"> </w:t>
      </w:r>
      <w:r w:rsidR="00865EF1">
        <w:t xml:space="preserve">to </w:t>
      </w:r>
      <w:r w:rsidR="00410B8D">
        <w:t xml:space="preserve">the departmental item for the </w:t>
      </w:r>
      <w:r w:rsidR="00865EF1">
        <w:t>National Vocational Education and Training Regulator (Australian Skills Quality Authority) (ASQA) and the departmental item for the Tertiary Education Quality and Standards Agency (TEQSA).</w:t>
      </w:r>
    </w:p>
    <w:p w:rsidR="002F0EB2" w:rsidRDefault="00874130" w:rsidP="00B6045F">
      <w:pPr>
        <w:pStyle w:val="Note"/>
        <w:spacing w:after="120"/>
        <w:ind w:left="709" w:right="755"/>
        <w:rPr>
          <w:color w:val="000000" w:themeColor="text1"/>
        </w:rPr>
      </w:pPr>
      <w:r>
        <w:t>D</w:t>
      </w:r>
      <w:r w:rsidR="002F0EB2" w:rsidRPr="00FF16B2">
        <w:t>ue to a decision of the Australian Government</w:t>
      </w:r>
      <w:r w:rsidR="003F645C">
        <w:t>,</w:t>
      </w:r>
      <w:r w:rsidR="002F0EB2" w:rsidRPr="00FF16B2">
        <w:t xml:space="preserve"> </w:t>
      </w:r>
      <w:r w:rsidR="00E25B84">
        <w:rPr>
          <w:rStyle w:val="ItalicText"/>
          <w:i w:val="0"/>
        </w:rPr>
        <w:t xml:space="preserve">delegated regulatory functions under the </w:t>
      </w:r>
      <w:r w:rsidR="00E25B84" w:rsidRPr="00831D0F">
        <w:rPr>
          <w:rStyle w:val="ItalicText"/>
        </w:rPr>
        <w:t>Education Services of Overseas Students Act 2000</w:t>
      </w:r>
      <w:r w:rsidR="00E25B84">
        <w:rPr>
          <w:rStyle w:val="ItalicText"/>
          <w:i w:val="0"/>
        </w:rPr>
        <w:t xml:space="preserve"> </w:t>
      </w:r>
      <w:r w:rsidR="003F645C">
        <w:rPr>
          <w:rStyle w:val="ItalicText"/>
          <w:i w:val="0"/>
        </w:rPr>
        <w:t xml:space="preserve">were transferred </w:t>
      </w:r>
      <w:r w:rsidR="002F0EB2" w:rsidRPr="00FF16B2">
        <w:t xml:space="preserve">from </w:t>
      </w:r>
      <w:r w:rsidR="00865EF1">
        <w:t xml:space="preserve">the </w:t>
      </w:r>
      <w:r w:rsidR="00865EF1">
        <w:rPr>
          <w:bCs/>
        </w:rPr>
        <w:t>Department of Industry, Innovation, Science, Research and Tertiary Education</w:t>
      </w:r>
      <w:r w:rsidR="00865EF1">
        <w:t xml:space="preserve"> (</w:t>
      </w:r>
      <w:r w:rsidR="00E25B84">
        <w:t>DIISRTE</w:t>
      </w:r>
      <w:r w:rsidR="00865EF1">
        <w:t>)</w:t>
      </w:r>
      <w:r w:rsidR="00066933">
        <w:t xml:space="preserve"> </w:t>
      </w:r>
      <w:r w:rsidR="002F0EB2" w:rsidRPr="00FF16B2">
        <w:t>to</w:t>
      </w:r>
      <w:r w:rsidR="00865EF1">
        <w:t xml:space="preserve"> </w:t>
      </w:r>
      <w:r w:rsidR="00AD4345">
        <w:t>ASQA and TEQSA.</w:t>
      </w:r>
    </w:p>
    <w:p w:rsidR="007F4DE6" w:rsidRDefault="007F4DE6">
      <w:pPr>
        <w:rPr>
          <w:rFonts w:ascii="Arial" w:hAnsi="Arial"/>
          <w:b/>
          <w:sz w:val="22"/>
          <w:szCs w:val="22"/>
        </w:rPr>
      </w:pPr>
      <w:r>
        <w:rPr>
          <w:sz w:val="22"/>
          <w:szCs w:val="22"/>
        </w:rPr>
        <w:br w:type="page"/>
      </w:r>
    </w:p>
    <w:p w:rsidR="00566680" w:rsidRPr="00D2138F" w:rsidRDefault="00566680" w:rsidP="00566680">
      <w:pPr>
        <w:pStyle w:val="A1S"/>
        <w:spacing w:before="240" w:line="240" w:lineRule="auto"/>
        <w:ind w:left="709" w:hanging="709"/>
        <w:rPr>
          <w:sz w:val="22"/>
          <w:szCs w:val="22"/>
        </w:rPr>
      </w:pPr>
      <w:r w:rsidRPr="00D2138F">
        <w:rPr>
          <w:sz w:val="22"/>
          <w:szCs w:val="22"/>
        </w:rPr>
        <w:lastRenderedPageBreak/>
        <w:t>[3]</w:t>
      </w:r>
      <w:r w:rsidRPr="00D2138F">
        <w:rPr>
          <w:bCs/>
          <w:sz w:val="22"/>
          <w:szCs w:val="22"/>
        </w:rPr>
        <w:tab/>
        <w:t xml:space="preserve">Schedule 1, Industry, Innovation, Science, Research and Tertiary Education portfolio, </w:t>
      </w:r>
      <w:r w:rsidRPr="00D2138F">
        <w:rPr>
          <w:sz w:val="22"/>
          <w:szCs w:val="22"/>
        </w:rPr>
        <w:t>National Vocational Education and Training Regulator (Australian Skills Quality Authority)</w:t>
      </w:r>
      <w:r w:rsidRPr="00D2138F">
        <w:rPr>
          <w:bCs/>
          <w:noProof/>
          <w:sz w:val="22"/>
          <w:szCs w:val="22"/>
        </w:rPr>
        <w:t xml:space="preserve"> table</w:t>
      </w:r>
      <w:r w:rsidRPr="00D2138F">
        <w:rPr>
          <w:bCs/>
          <w:sz w:val="22"/>
          <w:szCs w:val="22"/>
        </w:rPr>
        <w:t xml:space="preserve">, alongside “Total: </w:t>
      </w:r>
      <w:r w:rsidRPr="00D2138F">
        <w:rPr>
          <w:sz w:val="22"/>
          <w:szCs w:val="22"/>
        </w:rPr>
        <w:t>National Vocational Education and Training Regulator (Australian Skills Quality Authority)</w:t>
      </w:r>
      <w:r w:rsidRPr="00D2138F">
        <w:rPr>
          <w:bCs/>
          <w:noProof/>
          <w:sz w:val="22"/>
          <w:szCs w:val="22"/>
        </w:rPr>
        <w:t>”</w:t>
      </w:r>
      <w:r w:rsidRPr="00D2138F">
        <w:rPr>
          <w:bCs/>
          <w:sz w:val="22"/>
          <w:szCs w:val="22"/>
        </w:rPr>
        <w:t>, under the heading “Departmental”</w:t>
      </w:r>
    </w:p>
    <w:p w:rsidR="00566680" w:rsidRPr="00D2138F" w:rsidRDefault="00566680" w:rsidP="00566680">
      <w:pPr>
        <w:pStyle w:val="A2S"/>
        <w:spacing w:after="120"/>
        <w:rPr>
          <w:sz w:val="22"/>
          <w:szCs w:val="22"/>
        </w:rPr>
      </w:pPr>
      <w:proofErr w:type="gramStart"/>
      <w:r w:rsidRPr="00D2138F">
        <w:rPr>
          <w:sz w:val="22"/>
          <w:szCs w:val="22"/>
        </w:rPr>
        <w:t>omit</w:t>
      </w:r>
      <w:proofErr w:type="gramEnd"/>
    </w:p>
    <w:p w:rsidR="00566680" w:rsidRPr="00F253F9" w:rsidRDefault="00566680" w:rsidP="00566680">
      <w:pPr>
        <w:pStyle w:val="A3S"/>
        <w:rPr>
          <w:rFonts w:ascii="Arial" w:hAnsi="Arial" w:cs="Arial"/>
          <w:b/>
          <w:noProof/>
          <w:sz w:val="16"/>
          <w:szCs w:val="16"/>
        </w:rPr>
      </w:pPr>
      <w:r>
        <w:rPr>
          <w:rFonts w:ascii="Arial" w:hAnsi="Arial" w:cs="Arial"/>
          <w:b/>
          <w:noProof/>
          <w:sz w:val="16"/>
          <w:szCs w:val="16"/>
        </w:rPr>
        <w:t>31,551</w:t>
      </w:r>
    </w:p>
    <w:p w:rsidR="00566680" w:rsidRPr="00D2138F" w:rsidRDefault="00566680" w:rsidP="00566680">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566680" w:rsidRPr="00B23000" w:rsidRDefault="00566680" w:rsidP="00566680">
      <w:pPr>
        <w:pStyle w:val="A3S"/>
        <w:rPr>
          <w:rFonts w:ascii="Arial" w:hAnsi="Arial" w:cs="Arial"/>
          <w:b/>
          <w:noProof/>
          <w:sz w:val="16"/>
          <w:szCs w:val="16"/>
        </w:rPr>
      </w:pPr>
      <w:r>
        <w:rPr>
          <w:rFonts w:ascii="Arial" w:hAnsi="Arial" w:cs="Arial"/>
          <w:b/>
          <w:noProof/>
          <w:sz w:val="16"/>
          <w:szCs w:val="16"/>
        </w:rPr>
        <w:t>32,795</w:t>
      </w:r>
    </w:p>
    <w:p w:rsidR="00566680" w:rsidRPr="00D2138F" w:rsidRDefault="00566680" w:rsidP="00566680">
      <w:pPr>
        <w:pStyle w:val="A1S"/>
        <w:spacing w:before="240" w:line="240" w:lineRule="auto"/>
        <w:ind w:left="709" w:hanging="709"/>
        <w:rPr>
          <w:bCs/>
          <w:sz w:val="22"/>
          <w:szCs w:val="22"/>
        </w:rPr>
      </w:pPr>
      <w:r w:rsidRPr="00D2138F">
        <w:rPr>
          <w:bCs/>
          <w:sz w:val="22"/>
          <w:szCs w:val="22"/>
        </w:rPr>
        <w:t xml:space="preserve"> [4]</w:t>
      </w:r>
      <w:r w:rsidRPr="00D2138F">
        <w:rPr>
          <w:bCs/>
          <w:sz w:val="22"/>
          <w:szCs w:val="22"/>
        </w:rPr>
        <w:tab/>
        <w:t>Schedule 1, Industry, Innovation, Science, Research and Tertiary Education portfolio, after the</w:t>
      </w:r>
      <w:r w:rsidRPr="00D2138F">
        <w:rPr>
          <w:bCs/>
          <w:noProof/>
          <w:sz w:val="22"/>
          <w:szCs w:val="22"/>
        </w:rPr>
        <w:t xml:space="preserve"> </w:t>
      </w:r>
      <w:r w:rsidRPr="00D2138F">
        <w:rPr>
          <w:sz w:val="22"/>
          <w:szCs w:val="22"/>
        </w:rPr>
        <w:t>National Vocational Education and Training Regulator (Australian Skills Quality Authority)</w:t>
      </w:r>
      <w:r w:rsidRPr="00D2138F">
        <w:rPr>
          <w:bCs/>
          <w:noProof/>
          <w:sz w:val="22"/>
          <w:szCs w:val="22"/>
        </w:rPr>
        <w:t xml:space="preserve"> table</w:t>
      </w:r>
    </w:p>
    <w:p w:rsidR="00566680" w:rsidRPr="00D2138F" w:rsidRDefault="00566680" w:rsidP="00566680">
      <w:pPr>
        <w:pStyle w:val="A2S"/>
        <w:keepNext w:val="0"/>
        <w:ind w:left="238" w:firstLine="720"/>
        <w:rPr>
          <w:sz w:val="22"/>
          <w:szCs w:val="22"/>
        </w:rPr>
      </w:pPr>
      <w:proofErr w:type="gramStart"/>
      <w:r w:rsidRPr="00D2138F">
        <w:rPr>
          <w:sz w:val="22"/>
          <w:szCs w:val="22"/>
        </w:rPr>
        <w:t>insert</w:t>
      </w:r>
      <w:proofErr w:type="gramEnd"/>
    </w:p>
    <w:p w:rsidR="00566680" w:rsidRPr="00CC2E7B" w:rsidRDefault="00566680" w:rsidP="00B6045F">
      <w:pPr>
        <w:pStyle w:val="Note"/>
        <w:ind w:left="709" w:right="755"/>
        <w:rPr>
          <w:iCs/>
        </w:rPr>
      </w:pPr>
      <w:r w:rsidRPr="00CC2E7B">
        <w:rPr>
          <w:rStyle w:val="ItalicText"/>
          <w:iCs/>
        </w:rPr>
        <w:t>Note</w:t>
      </w:r>
      <w:r>
        <w:rPr>
          <w:rStyle w:val="ItalicText"/>
          <w:iCs/>
        </w:rPr>
        <w:t> </w:t>
      </w:r>
      <w:r w:rsidRPr="00CC2E7B">
        <w:rPr>
          <w:rStyle w:val="ItalicText"/>
          <w:iCs/>
        </w:rPr>
        <w:t>1:</w:t>
      </w:r>
      <w:r>
        <w:rPr>
          <w:rStyle w:val="ItalicText"/>
          <w:iCs/>
        </w:rPr>
        <w:t> </w:t>
      </w:r>
      <w:r w:rsidRPr="00CC2E7B">
        <w:rPr>
          <w:iCs/>
        </w:rPr>
        <w:t xml:space="preserve">The table has been amended by a determination under the </w:t>
      </w:r>
      <w:r w:rsidRPr="00702557">
        <w:rPr>
          <w:i/>
          <w:iCs/>
        </w:rPr>
        <w:t>Financial Management and Accountability Act 1997</w:t>
      </w:r>
      <w:r w:rsidRPr="00CC2E7B">
        <w:rPr>
          <w:iCs/>
        </w:rPr>
        <w:t>. That determination has amended only the actual appropriation items:</w:t>
      </w:r>
    </w:p>
    <w:p w:rsidR="00566680" w:rsidRPr="00757193" w:rsidRDefault="00566680" w:rsidP="00B6045F">
      <w:pPr>
        <w:pStyle w:val="ZNote"/>
        <w:keepNext w:val="0"/>
        <w:widowControl w:val="0"/>
        <w:tabs>
          <w:tab w:val="left" w:pos="851"/>
        </w:tabs>
        <w:spacing w:before="60"/>
        <w:ind w:left="851" w:right="755"/>
        <w:rPr>
          <w:szCs w:val="20"/>
        </w:rPr>
      </w:pPr>
      <w:r>
        <w:rPr>
          <w:szCs w:val="20"/>
        </w:rPr>
        <w:t>(a)</w:t>
      </w:r>
      <w:r>
        <w:rPr>
          <w:szCs w:val="20"/>
        </w:rPr>
        <w:tab/>
      </w:r>
      <w:proofErr w:type="gramStart"/>
      <w:r w:rsidRPr="00757193">
        <w:rPr>
          <w:szCs w:val="20"/>
        </w:rPr>
        <w:t>for</w:t>
      </w:r>
      <w:proofErr w:type="gramEnd"/>
      <w:r w:rsidRPr="00757193">
        <w:rPr>
          <w:szCs w:val="20"/>
        </w:rPr>
        <w:t xml:space="preserve"> </w:t>
      </w:r>
      <w:r>
        <w:rPr>
          <w:szCs w:val="20"/>
        </w:rPr>
        <w:t>d</w:t>
      </w:r>
      <w:r w:rsidRPr="00757193">
        <w:rPr>
          <w:szCs w:val="20"/>
        </w:rPr>
        <w:t xml:space="preserve">epartmental items, the actual appropriation item is the “Total” amount in relation to an </w:t>
      </w:r>
      <w:r>
        <w:rPr>
          <w:szCs w:val="20"/>
        </w:rPr>
        <w:t>agency</w:t>
      </w:r>
      <w:r w:rsidRPr="00757193">
        <w:rPr>
          <w:szCs w:val="20"/>
        </w:rPr>
        <w:t xml:space="preserve"> under the heading “Departmental”; and</w:t>
      </w:r>
    </w:p>
    <w:p w:rsidR="00566680" w:rsidRPr="00757193" w:rsidRDefault="00566680" w:rsidP="00B6045F">
      <w:pPr>
        <w:pStyle w:val="ZNote"/>
        <w:keepNext w:val="0"/>
        <w:widowControl w:val="0"/>
        <w:tabs>
          <w:tab w:val="left" w:pos="851"/>
        </w:tabs>
        <w:spacing w:before="60"/>
        <w:ind w:left="851" w:right="755"/>
        <w:rPr>
          <w:szCs w:val="20"/>
        </w:rPr>
      </w:pPr>
      <w:r w:rsidRPr="00757193">
        <w:rPr>
          <w:szCs w:val="20"/>
        </w:rPr>
        <w:t>(b)</w:t>
      </w:r>
      <w:r w:rsidRPr="00757193">
        <w:rPr>
          <w:szCs w:val="20"/>
        </w:rPr>
        <w:tab/>
      </w:r>
      <w:proofErr w:type="gramStart"/>
      <w:r w:rsidRPr="00757193">
        <w:rPr>
          <w:szCs w:val="20"/>
        </w:rPr>
        <w:t>for</w:t>
      </w:r>
      <w:proofErr w:type="gramEnd"/>
      <w:r w:rsidRPr="00757193">
        <w:rPr>
          <w:szCs w:val="20"/>
        </w:rPr>
        <w:t xml:space="preserve"> administered items, the actual appropriation item is the amount set out opposite an </w:t>
      </w:r>
      <w:r w:rsidR="005A28A4">
        <w:rPr>
          <w:szCs w:val="20"/>
        </w:rPr>
        <w:t>o</w:t>
      </w:r>
      <w:r w:rsidRPr="00757193">
        <w:rPr>
          <w:szCs w:val="20"/>
        </w:rPr>
        <w:t xml:space="preserve">utcome of an </w:t>
      </w:r>
      <w:r>
        <w:rPr>
          <w:szCs w:val="20"/>
        </w:rPr>
        <w:t>agency</w:t>
      </w:r>
      <w:r w:rsidRPr="00757193">
        <w:rPr>
          <w:szCs w:val="20"/>
        </w:rPr>
        <w:t xml:space="preserve"> under the heading “Administered”.</w:t>
      </w:r>
    </w:p>
    <w:p w:rsidR="00566680" w:rsidRDefault="00566680" w:rsidP="00B6045F">
      <w:pPr>
        <w:pStyle w:val="Note"/>
        <w:tabs>
          <w:tab w:val="left" w:pos="709"/>
        </w:tabs>
        <w:ind w:left="709" w:right="755"/>
      </w:pPr>
      <w:r w:rsidRPr="00757193">
        <w:t>No other amounts in the table have been amended.</w:t>
      </w:r>
    </w:p>
    <w:p w:rsidR="007F4DE6" w:rsidRDefault="007F4DE6" w:rsidP="007F4DE6">
      <w:pPr>
        <w:pStyle w:val="Note"/>
        <w:spacing w:after="120"/>
        <w:ind w:left="709" w:right="755"/>
        <w:rPr>
          <w:color w:val="000000" w:themeColor="text1"/>
        </w:rPr>
      </w:pPr>
      <w:r w:rsidRPr="00B042F3">
        <w:rPr>
          <w:i/>
        </w:rPr>
        <w:t>Note </w:t>
      </w:r>
      <w:r>
        <w:rPr>
          <w:i/>
        </w:rPr>
        <w:t>2</w:t>
      </w:r>
      <w:r w:rsidRPr="00B23BE5">
        <w:t>:</w:t>
      </w:r>
      <w:r w:rsidRPr="00B23BE5">
        <w:rPr>
          <w:i/>
        </w:rPr>
        <w:t xml:space="preserve"> Financial Management and Accountability Act 1997 Determination 2012/</w:t>
      </w:r>
      <w:r>
        <w:rPr>
          <w:i/>
        </w:rPr>
        <w:t>31</w:t>
      </w:r>
      <w:r w:rsidRPr="00B23BE5">
        <w:rPr>
          <w:i/>
        </w:rPr>
        <w:t xml:space="preserve"> — Section 32 (Transfer of Functions from </w:t>
      </w:r>
      <w:r>
        <w:rPr>
          <w:i/>
        </w:rPr>
        <w:t>DIISRTE</w:t>
      </w:r>
      <w:r w:rsidRPr="00B23BE5">
        <w:rPr>
          <w:i/>
        </w:rPr>
        <w:t xml:space="preserve"> to </w:t>
      </w:r>
      <w:r>
        <w:rPr>
          <w:i/>
        </w:rPr>
        <w:t>ASQA &amp; TEQSA</w:t>
      </w:r>
      <w:r w:rsidRPr="001837F8">
        <w:rPr>
          <w:i/>
        </w:rPr>
        <w:t>)</w:t>
      </w:r>
      <w:r w:rsidRPr="00B23BE5">
        <w:t xml:space="preserve"> </w:t>
      </w:r>
      <w:r w:rsidRPr="00580E6F">
        <w:t>amended in this table</w:t>
      </w:r>
      <w:r>
        <w:t xml:space="preserve"> </w:t>
      </w:r>
      <w:r w:rsidRPr="00580E6F">
        <w:t xml:space="preserve">the amount alongside </w:t>
      </w:r>
      <w:r w:rsidRPr="00B05B24">
        <w:t>“Total</w:t>
      </w:r>
      <w:r>
        <w:t xml:space="preserve">: </w:t>
      </w:r>
      <w:r w:rsidR="00410B8D">
        <w:t>National Vocational Education and Training Regulator (Australian Skills Quality Authority)</w:t>
      </w:r>
      <w:r>
        <w:t xml:space="preserve">” under the heading “Departmental”, to transfer an amount </w:t>
      </w:r>
      <w:r w:rsidR="00AD4345">
        <w:t>from</w:t>
      </w:r>
      <w:r>
        <w:t xml:space="preserve"> the departmental item for the </w:t>
      </w:r>
      <w:r w:rsidR="00AD4345">
        <w:rPr>
          <w:bCs/>
        </w:rPr>
        <w:t>Department of Industry, Innovation, Science, Research and Tertiary Education</w:t>
      </w:r>
      <w:r w:rsidR="00AD4345">
        <w:t xml:space="preserve"> (DIISRTE).</w:t>
      </w:r>
    </w:p>
    <w:p w:rsidR="00865EF1" w:rsidRDefault="00865EF1" w:rsidP="00865EF1">
      <w:pPr>
        <w:pStyle w:val="Note"/>
        <w:spacing w:after="120"/>
        <w:ind w:left="709" w:right="755"/>
        <w:rPr>
          <w:color w:val="000000" w:themeColor="text1"/>
        </w:rPr>
      </w:pPr>
      <w:r>
        <w:t>D</w:t>
      </w:r>
      <w:r w:rsidRPr="00FF16B2">
        <w:t>ue to a decision of the Australian Government</w:t>
      </w:r>
      <w:r>
        <w:t>,</w:t>
      </w:r>
      <w:r w:rsidRPr="00FF16B2">
        <w:t xml:space="preserve"> </w:t>
      </w:r>
      <w:r>
        <w:rPr>
          <w:rStyle w:val="ItalicText"/>
          <w:i w:val="0"/>
        </w:rPr>
        <w:t xml:space="preserve">delegated regulatory functions under the </w:t>
      </w:r>
      <w:r w:rsidRPr="00831D0F">
        <w:rPr>
          <w:rStyle w:val="ItalicText"/>
        </w:rPr>
        <w:t>Education Services of Overseas Students Act 2000</w:t>
      </w:r>
      <w:r>
        <w:rPr>
          <w:rStyle w:val="ItalicText"/>
          <w:i w:val="0"/>
        </w:rPr>
        <w:t xml:space="preserve"> were transferred </w:t>
      </w:r>
      <w:r w:rsidRPr="00FF16B2">
        <w:t xml:space="preserve">from </w:t>
      </w:r>
      <w:r w:rsidR="00AD4345">
        <w:t>DIISRTE</w:t>
      </w:r>
      <w:r>
        <w:t xml:space="preserve"> </w:t>
      </w:r>
      <w:r w:rsidRPr="00FF16B2">
        <w:t>to</w:t>
      </w:r>
      <w:r>
        <w:t xml:space="preserve"> the</w:t>
      </w:r>
      <w:r w:rsidRPr="00FF16B2">
        <w:t xml:space="preserve"> </w:t>
      </w:r>
      <w:r>
        <w:t>National Vocational Education and Training Regulator (Australian Skills Quality Authority) (ASQA) and the Tertiary Education Quality and Standards Agency (TEQSA).</w:t>
      </w:r>
    </w:p>
    <w:p w:rsidR="003F645C" w:rsidRDefault="003F645C" w:rsidP="003F645C">
      <w:pPr>
        <w:pStyle w:val="Note"/>
        <w:spacing w:after="120"/>
        <w:ind w:left="0" w:right="755"/>
        <w:rPr>
          <w:color w:val="000000" w:themeColor="text1"/>
        </w:rPr>
      </w:pPr>
    </w:p>
    <w:p w:rsidR="007F4DE6" w:rsidRDefault="007F4DE6">
      <w:pPr>
        <w:rPr>
          <w:rFonts w:ascii="Arial" w:hAnsi="Arial"/>
          <w:b/>
          <w:sz w:val="22"/>
          <w:szCs w:val="22"/>
        </w:rPr>
      </w:pPr>
      <w:r>
        <w:rPr>
          <w:sz w:val="22"/>
          <w:szCs w:val="22"/>
        </w:rPr>
        <w:br w:type="page"/>
      </w:r>
    </w:p>
    <w:p w:rsidR="007F4DE6" w:rsidRPr="007F4DE6" w:rsidRDefault="007F4DE6" w:rsidP="007F4DE6">
      <w:pPr>
        <w:pStyle w:val="A1S"/>
        <w:spacing w:before="240" w:line="240" w:lineRule="auto"/>
        <w:ind w:left="709" w:hanging="709"/>
        <w:rPr>
          <w:sz w:val="22"/>
          <w:szCs w:val="22"/>
        </w:rPr>
      </w:pPr>
      <w:r w:rsidRPr="007F4DE6">
        <w:rPr>
          <w:sz w:val="22"/>
          <w:szCs w:val="22"/>
        </w:rPr>
        <w:lastRenderedPageBreak/>
        <w:t>[5]</w:t>
      </w:r>
      <w:r w:rsidRPr="007F4DE6">
        <w:rPr>
          <w:bCs/>
          <w:sz w:val="22"/>
          <w:szCs w:val="22"/>
        </w:rPr>
        <w:tab/>
        <w:t xml:space="preserve">Schedule 1, Industry, Innovation, Science, Research and Tertiary Education portfolio, </w:t>
      </w:r>
      <w:r w:rsidRPr="007F4DE6">
        <w:rPr>
          <w:sz w:val="22"/>
          <w:szCs w:val="22"/>
        </w:rPr>
        <w:t xml:space="preserve">Tertiary Education Quality and Standards Agency </w:t>
      </w:r>
      <w:r w:rsidRPr="007F4DE6">
        <w:rPr>
          <w:bCs/>
          <w:noProof/>
          <w:sz w:val="22"/>
          <w:szCs w:val="22"/>
        </w:rPr>
        <w:t>table</w:t>
      </w:r>
      <w:r w:rsidRPr="007F4DE6">
        <w:rPr>
          <w:bCs/>
          <w:sz w:val="22"/>
          <w:szCs w:val="22"/>
        </w:rPr>
        <w:t xml:space="preserve">, alongside “Total: </w:t>
      </w:r>
      <w:r w:rsidRPr="007F4DE6">
        <w:rPr>
          <w:sz w:val="22"/>
          <w:szCs w:val="22"/>
        </w:rPr>
        <w:t>Tertiary Education Quality and Standards Agency</w:t>
      </w:r>
      <w:r w:rsidRPr="007F4DE6">
        <w:rPr>
          <w:bCs/>
          <w:noProof/>
          <w:sz w:val="22"/>
          <w:szCs w:val="22"/>
        </w:rPr>
        <w:t>”</w:t>
      </w:r>
      <w:r w:rsidRPr="007F4DE6">
        <w:rPr>
          <w:bCs/>
          <w:sz w:val="22"/>
          <w:szCs w:val="22"/>
        </w:rPr>
        <w:t>, under the heading “Departmental”</w:t>
      </w:r>
    </w:p>
    <w:p w:rsidR="007F4DE6" w:rsidRPr="00D2138F" w:rsidRDefault="007F4DE6" w:rsidP="007F4DE6">
      <w:pPr>
        <w:pStyle w:val="A2S"/>
        <w:spacing w:after="120"/>
        <w:rPr>
          <w:sz w:val="22"/>
          <w:szCs w:val="22"/>
        </w:rPr>
      </w:pPr>
      <w:proofErr w:type="gramStart"/>
      <w:r w:rsidRPr="00D2138F">
        <w:rPr>
          <w:sz w:val="22"/>
          <w:szCs w:val="22"/>
        </w:rPr>
        <w:t>omit</w:t>
      </w:r>
      <w:proofErr w:type="gramEnd"/>
    </w:p>
    <w:p w:rsidR="007F4DE6" w:rsidRPr="00F253F9" w:rsidRDefault="007F4DE6" w:rsidP="007F4DE6">
      <w:pPr>
        <w:pStyle w:val="A3S"/>
        <w:rPr>
          <w:rFonts w:ascii="Arial" w:hAnsi="Arial" w:cs="Arial"/>
          <w:b/>
          <w:noProof/>
          <w:sz w:val="16"/>
          <w:szCs w:val="16"/>
        </w:rPr>
      </w:pPr>
      <w:r>
        <w:rPr>
          <w:rFonts w:ascii="Arial" w:hAnsi="Arial" w:cs="Arial"/>
          <w:b/>
          <w:noProof/>
          <w:sz w:val="16"/>
          <w:szCs w:val="16"/>
        </w:rPr>
        <w:t>17,534</w:t>
      </w:r>
    </w:p>
    <w:p w:rsidR="007F4DE6" w:rsidRPr="00D2138F" w:rsidRDefault="007F4DE6" w:rsidP="007F4DE6">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7F4DE6" w:rsidRPr="00B23000" w:rsidRDefault="007F4DE6" w:rsidP="007F4DE6">
      <w:pPr>
        <w:pStyle w:val="A3S"/>
        <w:rPr>
          <w:rFonts w:ascii="Arial" w:hAnsi="Arial" w:cs="Arial"/>
          <w:b/>
          <w:noProof/>
          <w:sz w:val="16"/>
          <w:szCs w:val="16"/>
        </w:rPr>
      </w:pPr>
      <w:r>
        <w:rPr>
          <w:rFonts w:ascii="Arial" w:hAnsi="Arial" w:cs="Arial"/>
          <w:b/>
          <w:noProof/>
          <w:sz w:val="16"/>
          <w:szCs w:val="16"/>
        </w:rPr>
        <w:t>17,838</w:t>
      </w:r>
    </w:p>
    <w:p w:rsidR="007F4DE6" w:rsidRPr="007F4DE6" w:rsidRDefault="007F4DE6" w:rsidP="007F4DE6">
      <w:pPr>
        <w:pStyle w:val="A1S"/>
        <w:spacing w:before="240" w:line="240" w:lineRule="auto"/>
        <w:ind w:left="709" w:hanging="709"/>
        <w:rPr>
          <w:bCs/>
          <w:sz w:val="22"/>
          <w:szCs w:val="22"/>
        </w:rPr>
      </w:pPr>
      <w:r w:rsidRPr="007F4DE6">
        <w:rPr>
          <w:bCs/>
          <w:sz w:val="22"/>
          <w:szCs w:val="22"/>
        </w:rPr>
        <w:t xml:space="preserve"> [6]</w:t>
      </w:r>
      <w:r w:rsidRPr="007F4DE6">
        <w:rPr>
          <w:bCs/>
          <w:sz w:val="22"/>
          <w:szCs w:val="22"/>
        </w:rPr>
        <w:tab/>
        <w:t>Schedule 1, Industry, Innovation, Science, Research and Tertiary Education portfolio, after the</w:t>
      </w:r>
      <w:r w:rsidRPr="007F4DE6">
        <w:rPr>
          <w:bCs/>
          <w:noProof/>
          <w:sz w:val="22"/>
          <w:szCs w:val="22"/>
        </w:rPr>
        <w:t xml:space="preserve"> </w:t>
      </w:r>
      <w:r w:rsidRPr="007F4DE6">
        <w:rPr>
          <w:sz w:val="22"/>
          <w:szCs w:val="22"/>
        </w:rPr>
        <w:t xml:space="preserve">Tertiary Education Quality and Standards Agency </w:t>
      </w:r>
      <w:r w:rsidRPr="007F4DE6">
        <w:rPr>
          <w:bCs/>
          <w:noProof/>
          <w:sz w:val="22"/>
          <w:szCs w:val="22"/>
        </w:rPr>
        <w:t>table</w:t>
      </w:r>
    </w:p>
    <w:p w:rsidR="007F4DE6" w:rsidRPr="00D2138F" w:rsidRDefault="007F4DE6" w:rsidP="007F4DE6">
      <w:pPr>
        <w:pStyle w:val="A2S"/>
        <w:keepNext w:val="0"/>
        <w:ind w:left="238" w:firstLine="720"/>
        <w:rPr>
          <w:sz w:val="22"/>
          <w:szCs w:val="22"/>
        </w:rPr>
      </w:pPr>
      <w:proofErr w:type="gramStart"/>
      <w:r w:rsidRPr="00D2138F">
        <w:rPr>
          <w:sz w:val="22"/>
          <w:szCs w:val="22"/>
        </w:rPr>
        <w:t>insert</w:t>
      </w:r>
      <w:proofErr w:type="gramEnd"/>
    </w:p>
    <w:p w:rsidR="007F4DE6" w:rsidRPr="00CC2E7B" w:rsidRDefault="007F4DE6" w:rsidP="007F4DE6">
      <w:pPr>
        <w:pStyle w:val="Note"/>
        <w:ind w:left="709" w:right="755"/>
        <w:rPr>
          <w:iCs/>
        </w:rPr>
      </w:pPr>
      <w:r w:rsidRPr="00CC2E7B">
        <w:rPr>
          <w:rStyle w:val="ItalicText"/>
          <w:iCs/>
        </w:rPr>
        <w:t>Note</w:t>
      </w:r>
      <w:r>
        <w:rPr>
          <w:rStyle w:val="ItalicText"/>
          <w:iCs/>
        </w:rPr>
        <w:t> </w:t>
      </w:r>
      <w:r w:rsidRPr="00CC2E7B">
        <w:rPr>
          <w:rStyle w:val="ItalicText"/>
          <w:iCs/>
        </w:rPr>
        <w:t>1:</w:t>
      </w:r>
      <w:r>
        <w:rPr>
          <w:rStyle w:val="ItalicText"/>
          <w:iCs/>
        </w:rPr>
        <w:t> </w:t>
      </w:r>
      <w:r w:rsidRPr="00CC2E7B">
        <w:rPr>
          <w:iCs/>
        </w:rPr>
        <w:t xml:space="preserve">The table has been amended by a determination under the </w:t>
      </w:r>
      <w:r w:rsidRPr="00702557">
        <w:rPr>
          <w:i/>
          <w:iCs/>
        </w:rPr>
        <w:t>Financial Management and Accountability Act 1997</w:t>
      </w:r>
      <w:r w:rsidRPr="00CC2E7B">
        <w:rPr>
          <w:iCs/>
        </w:rPr>
        <w:t>. That determination has amended only the actual appropriation items:</w:t>
      </w:r>
    </w:p>
    <w:p w:rsidR="007F4DE6" w:rsidRPr="00757193" w:rsidRDefault="007F4DE6" w:rsidP="007F4DE6">
      <w:pPr>
        <w:pStyle w:val="ZNote"/>
        <w:keepNext w:val="0"/>
        <w:widowControl w:val="0"/>
        <w:tabs>
          <w:tab w:val="left" w:pos="851"/>
        </w:tabs>
        <w:spacing w:before="60"/>
        <w:ind w:left="851" w:right="755"/>
        <w:rPr>
          <w:szCs w:val="20"/>
        </w:rPr>
      </w:pPr>
      <w:r>
        <w:rPr>
          <w:szCs w:val="20"/>
        </w:rPr>
        <w:t>(a)</w:t>
      </w:r>
      <w:r>
        <w:rPr>
          <w:szCs w:val="20"/>
        </w:rPr>
        <w:tab/>
      </w:r>
      <w:proofErr w:type="gramStart"/>
      <w:r w:rsidRPr="00757193">
        <w:rPr>
          <w:szCs w:val="20"/>
        </w:rPr>
        <w:t>for</w:t>
      </w:r>
      <w:proofErr w:type="gramEnd"/>
      <w:r w:rsidRPr="00757193">
        <w:rPr>
          <w:szCs w:val="20"/>
        </w:rPr>
        <w:t xml:space="preserve"> </w:t>
      </w:r>
      <w:r>
        <w:rPr>
          <w:szCs w:val="20"/>
        </w:rPr>
        <w:t>d</w:t>
      </w:r>
      <w:r w:rsidRPr="00757193">
        <w:rPr>
          <w:szCs w:val="20"/>
        </w:rPr>
        <w:t xml:space="preserve">epartmental items, the actual appropriation item is the “Total” amount in relation to an </w:t>
      </w:r>
      <w:r>
        <w:rPr>
          <w:szCs w:val="20"/>
        </w:rPr>
        <w:t>agency</w:t>
      </w:r>
      <w:r w:rsidRPr="00757193">
        <w:rPr>
          <w:szCs w:val="20"/>
        </w:rPr>
        <w:t xml:space="preserve"> under the heading “Departmental”; and</w:t>
      </w:r>
    </w:p>
    <w:p w:rsidR="007F4DE6" w:rsidRPr="00757193" w:rsidRDefault="007F4DE6" w:rsidP="007F4DE6">
      <w:pPr>
        <w:pStyle w:val="ZNote"/>
        <w:keepNext w:val="0"/>
        <w:widowControl w:val="0"/>
        <w:tabs>
          <w:tab w:val="left" w:pos="851"/>
        </w:tabs>
        <w:spacing w:before="60"/>
        <w:ind w:left="851" w:right="755"/>
        <w:rPr>
          <w:szCs w:val="20"/>
        </w:rPr>
      </w:pPr>
      <w:r w:rsidRPr="00757193">
        <w:rPr>
          <w:szCs w:val="20"/>
        </w:rPr>
        <w:t>(b)</w:t>
      </w:r>
      <w:r w:rsidRPr="00757193">
        <w:rPr>
          <w:szCs w:val="20"/>
        </w:rPr>
        <w:tab/>
      </w:r>
      <w:proofErr w:type="gramStart"/>
      <w:r w:rsidRPr="00757193">
        <w:rPr>
          <w:szCs w:val="20"/>
        </w:rPr>
        <w:t>for</w:t>
      </w:r>
      <w:proofErr w:type="gramEnd"/>
      <w:r w:rsidRPr="00757193">
        <w:rPr>
          <w:szCs w:val="20"/>
        </w:rPr>
        <w:t xml:space="preserve"> administered items, the actual appropriation item is the amount set out opposite an </w:t>
      </w:r>
      <w:r w:rsidR="005A28A4">
        <w:rPr>
          <w:szCs w:val="20"/>
        </w:rPr>
        <w:t>o</w:t>
      </w:r>
      <w:r w:rsidRPr="00757193">
        <w:rPr>
          <w:szCs w:val="20"/>
        </w:rPr>
        <w:t xml:space="preserve">utcome of an </w:t>
      </w:r>
      <w:r>
        <w:rPr>
          <w:szCs w:val="20"/>
        </w:rPr>
        <w:t>agency</w:t>
      </w:r>
      <w:r w:rsidRPr="00757193">
        <w:rPr>
          <w:szCs w:val="20"/>
        </w:rPr>
        <w:t xml:space="preserve"> under the heading “Administered”.</w:t>
      </w:r>
    </w:p>
    <w:p w:rsidR="007F4DE6" w:rsidRDefault="007F4DE6" w:rsidP="007F4DE6">
      <w:pPr>
        <w:pStyle w:val="Note"/>
        <w:tabs>
          <w:tab w:val="left" w:pos="709"/>
        </w:tabs>
        <w:ind w:left="709" w:right="755"/>
      </w:pPr>
      <w:r w:rsidRPr="00757193">
        <w:t>No other amounts in the table have been amended.</w:t>
      </w:r>
    </w:p>
    <w:p w:rsidR="00410B8D" w:rsidRDefault="00410B8D" w:rsidP="00410B8D">
      <w:pPr>
        <w:pStyle w:val="Note"/>
        <w:spacing w:after="120"/>
        <w:ind w:left="709" w:right="755"/>
        <w:rPr>
          <w:color w:val="000000" w:themeColor="text1"/>
        </w:rPr>
      </w:pPr>
      <w:r w:rsidRPr="00B042F3">
        <w:rPr>
          <w:i/>
        </w:rPr>
        <w:t>Note </w:t>
      </w:r>
      <w:r>
        <w:rPr>
          <w:i/>
        </w:rPr>
        <w:t>2</w:t>
      </w:r>
      <w:r w:rsidRPr="00B23BE5">
        <w:t>:</w:t>
      </w:r>
      <w:r w:rsidRPr="00B23BE5">
        <w:rPr>
          <w:i/>
        </w:rPr>
        <w:t xml:space="preserve"> Financial Management and Accountability Act 1997 Determination 2012/</w:t>
      </w:r>
      <w:r>
        <w:rPr>
          <w:i/>
        </w:rPr>
        <w:t>31</w:t>
      </w:r>
      <w:r w:rsidRPr="00B23BE5">
        <w:rPr>
          <w:i/>
        </w:rPr>
        <w:t xml:space="preserve"> — Section 32 (Transfer of Functions from </w:t>
      </w:r>
      <w:r>
        <w:rPr>
          <w:i/>
        </w:rPr>
        <w:t>DIISRTE</w:t>
      </w:r>
      <w:r w:rsidRPr="00B23BE5">
        <w:rPr>
          <w:i/>
        </w:rPr>
        <w:t xml:space="preserve"> to </w:t>
      </w:r>
      <w:r>
        <w:rPr>
          <w:i/>
        </w:rPr>
        <w:t>ASQA &amp; TEQSA</w:t>
      </w:r>
      <w:r w:rsidRPr="001837F8">
        <w:rPr>
          <w:i/>
        </w:rPr>
        <w:t>)</w:t>
      </w:r>
      <w:r w:rsidRPr="00B23BE5">
        <w:t xml:space="preserve"> </w:t>
      </w:r>
      <w:r w:rsidRPr="00580E6F">
        <w:t>amended in this table</w:t>
      </w:r>
      <w:r>
        <w:t xml:space="preserve"> </w:t>
      </w:r>
      <w:r w:rsidRPr="00580E6F">
        <w:t xml:space="preserve">the amount alongside </w:t>
      </w:r>
      <w:r w:rsidRPr="00B05B24">
        <w:t>“Total</w:t>
      </w:r>
      <w:r>
        <w:t xml:space="preserve">: Tertiary Education Quality and Standards Agency under the heading “Departmental”, to transfer an amount </w:t>
      </w:r>
      <w:r w:rsidR="00AD4345">
        <w:t>from</w:t>
      </w:r>
      <w:r>
        <w:t xml:space="preserve"> the departmental item for the</w:t>
      </w:r>
      <w:r w:rsidR="00AD4345" w:rsidRPr="00AD4345">
        <w:rPr>
          <w:bCs/>
        </w:rPr>
        <w:t xml:space="preserve"> </w:t>
      </w:r>
      <w:r w:rsidR="00AD4345">
        <w:rPr>
          <w:bCs/>
        </w:rPr>
        <w:t>Department of Industry, Innovation, Science, Research and Tertiary Education</w:t>
      </w:r>
      <w:r w:rsidR="00AD4345">
        <w:t xml:space="preserve"> (DIISRTE</w:t>
      </w:r>
      <w:r w:rsidR="00E356F2">
        <w:t>).</w:t>
      </w:r>
    </w:p>
    <w:p w:rsidR="00865EF1" w:rsidRDefault="00865EF1" w:rsidP="00865EF1">
      <w:pPr>
        <w:pStyle w:val="Note"/>
        <w:spacing w:after="120"/>
        <w:ind w:left="709" w:right="755"/>
        <w:rPr>
          <w:color w:val="000000" w:themeColor="text1"/>
        </w:rPr>
      </w:pPr>
      <w:r>
        <w:t>D</w:t>
      </w:r>
      <w:r w:rsidRPr="00FF16B2">
        <w:t>ue to a decision of the Australian Government</w:t>
      </w:r>
      <w:r>
        <w:t>,</w:t>
      </w:r>
      <w:r w:rsidRPr="00FF16B2">
        <w:t xml:space="preserve"> </w:t>
      </w:r>
      <w:r>
        <w:rPr>
          <w:rStyle w:val="ItalicText"/>
          <w:i w:val="0"/>
        </w:rPr>
        <w:t xml:space="preserve">delegated regulatory functions under the </w:t>
      </w:r>
      <w:r w:rsidRPr="00831D0F">
        <w:rPr>
          <w:rStyle w:val="ItalicText"/>
        </w:rPr>
        <w:t>Education Services of Overseas Students Act 2000</w:t>
      </w:r>
      <w:r>
        <w:rPr>
          <w:rStyle w:val="ItalicText"/>
          <w:i w:val="0"/>
        </w:rPr>
        <w:t xml:space="preserve"> were transferred </w:t>
      </w:r>
      <w:r w:rsidRPr="00FF16B2">
        <w:t xml:space="preserve">from </w:t>
      </w:r>
      <w:r>
        <w:t xml:space="preserve">the </w:t>
      </w:r>
      <w:r w:rsidR="00AD4345">
        <w:t>DIISRTE</w:t>
      </w:r>
      <w:r>
        <w:t xml:space="preserve"> </w:t>
      </w:r>
      <w:r w:rsidRPr="00FF16B2">
        <w:t>to</w:t>
      </w:r>
      <w:r>
        <w:t xml:space="preserve"> the</w:t>
      </w:r>
      <w:r w:rsidRPr="00FF16B2">
        <w:t xml:space="preserve"> </w:t>
      </w:r>
      <w:r>
        <w:t>National Vocational Education and Training Regulator (Australian Skills Quality Authority) (ASQA) and the Tertiary Education Quality and Standards Agency (TEQSA).</w:t>
      </w:r>
    </w:p>
    <w:p w:rsidR="007F4DE6" w:rsidRPr="007F4DE6" w:rsidRDefault="007F4DE6" w:rsidP="007F4DE6">
      <w:pPr>
        <w:pStyle w:val="Schedulereference"/>
        <w:sectPr w:rsidR="007F4DE6" w:rsidRPr="007F4DE6" w:rsidSect="007F4DE6">
          <w:headerReference w:type="even" r:id="rId15"/>
          <w:headerReference w:type="default" r:id="rId16"/>
          <w:type w:val="continuous"/>
          <w:pgSz w:w="11907" w:h="16839" w:code="9"/>
          <w:pgMar w:top="1818" w:right="1417" w:bottom="1440" w:left="1797" w:header="709" w:footer="709" w:gutter="0"/>
          <w:cols w:space="708"/>
          <w:docGrid w:linePitch="360"/>
        </w:sectPr>
      </w:pPr>
    </w:p>
    <w:p w:rsidR="00566680" w:rsidRPr="00D2138F" w:rsidRDefault="00566680" w:rsidP="003B5F87">
      <w:pPr>
        <w:pStyle w:val="Scheduletitle"/>
        <w:spacing w:before="240"/>
        <w:ind w:left="1701" w:hanging="1701"/>
        <w:rPr>
          <w:rStyle w:val="CharAmSchNo"/>
          <w:sz w:val="28"/>
          <w:szCs w:val="28"/>
        </w:rPr>
      </w:pPr>
      <w:r w:rsidRPr="00D2138F">
        <w:rPr>
          <w:rStyle w:val="CharAmSchNo"/>
          <w:sz w:val="28"/>
          <w:szCs w:val="28"/>
        </w:rPr>
        <w:lastRenderedPageBreak/>
        <w:t xml:space="preserve">Schedule </w:t>
      </w:r>
      <w:r w:rsidR="00D2138F" w:rsidRPr="00D2138F">
        <w:rPr>
          <w:rStyle w:val="CharAmSchNo"/>
          <w:sz w:val="28"/>
          <w:szCs w:val="28"/>
        </w:rPr>
        <w:t>2</w:t>
      </w:r>
      <w:r w:rsidRPr="00D2138F">
        <w:rPr>
          <w:rStyle w:val="CharAmSchNo"/>
          <w:sz w:val="28"/>
          <w:szCs w:val="28"/>
        </w:rPr>
        <w:tab/>
        <w:t xml:space="preserve">Amendment of </w:t>
      </w:r>
      <w:r w:rsidRPr="00D2138F">
        <w:rPr>
          <w:i/>
          <w:noProof/>
          <w:sz w:val="28"/>
          <w:szCs w:val="28"/>
        </w:rPr>
        <w:t>Appropriation Act (No. 5</w:t>
      </w:r>
      <w:r w:rsidRPr="00D2138F">
        <w:rPr>
          <w:i/>
          <w:sz w:val="28"/>
          <w:szCs w:val="28"/>
        </w:rPr>
        <w:t>) 2011-2012</w:t>
      </w:r>
    </w:p>
    <w:p w:rsidR="00566680" w:rsidRDefault="00566680" w:rsidP="003B5F87">
      <w:pPr>
        <w:pStyle w:val="Schedulereference"/>
        <w:ind w:left="1701"/>
        <w:rPr>
          <w:rStyle w:val="CharSchPTNo"/>
        </w:rPr>
      </w:pPr>
      <w:r w:rsidRPr="00C04E99">
        <w:t>(</w:t>
      </w:r>
      <w:r>
        <w:t>Clause</w:t>
      </w:r>
      <w:r w:rsidRPr="00C04E99">
        <w:t xml:space="preserve"> </w:t>
      </w:r>
      <w:r>
        <w:t>4</w:t>
      </w:r>
      <w:r w:rsidRPr="00C04E99">
        <w:t>)</w:t>
      </w:r>
    </w:p>
    <w:p w:rsidR="00566680" w:rsidRPr="00D2138F" w:rsidRDefault="00566680" w:rsidP="00566680">
      <w:pPr>
        <w:pStyle w:val="A1S"/>
        <w:spacing w:before="240" w:line="240" w:lineRule="auto"/>
        <w:ind w:left="709" w:hanging="709"/>
        <w:rPr>
          <w:sz w:val="22"/>
          <w:szCs w:val="22"/>
        </w:rPr>
      </w:pPr>
      <w:r w:rsidRPr="00D2138F">
        <w:rPr>
          <w:sz w:val="22"/>
          <w:szCs w:val="22"/>
        </w:rPr>
        <w:t xml:space="preserve"> [1]</w:t>
      </w:r>
      <w:r w:rsidRPr="00D2138F">
        <w:rPr>
          <w:bCs/>
          <w:sz w:val="22"/>
          <w:szCs w:val="22"/>
        </w:rPr>
        <w:tab/>
        <w:t xml:space="preserve">Schedule 1, Industry, Innovation, Science, Research and Tertiary Education portfolio, Department of Industry, Innovation, Science, Research and Tertiary Education </w:t>
      </w:r>
      <w:r w:rsidRPr="00D2138F">
        <w:rPr>
          <w:bCs/>
          <w:noProof/>
          <w:sz w:val="22"/>
          <w:szCs w:val="22"/>
        </w:rPr>
        <w:t>table</w:t>
      </w:r>
      <w:r w:rsidRPr="00D2138F">
        <w:rPr>
          <w:bCs/>
          <w:sz w:val="22"/>
          <w:szCs w:val="22"/>
        </w:rPr>
        <w:t>, alongside “Total: Department of Industry, Innovation, Science, Research and Tertiary Education</w:t>
      </w:r>
      <w:r w:rsidRPr="00D2138F">
        <w:rPr>
          <w:bCs/>
          <w:noProof/>
          <w:sz w:val="22"/>
          <w:szCs w:val="22"/>
        </w:rPr>
        <w:t>”</w:t>
      </w:r>
      <w:r w:rsidRPr="00D2138F">
        <w:rPr>
          <w:bCs/>
          <w:sz w:val="22"/>
          <w:szCs w:val="22"/>
        </w:rPr>
        <w:t>, under the heading “Departmental”</w:t>
      </w:r>
    </w:p>
    <w:p w:rsidR="00566680" w:rsidRPr="00D2138F" w:rsidRDefault="00566680" w:rsidP="00566680">
      <w:pPr>
        <w:pStyle w:val="A2S"/>
        <w:spacing w:after="120"/>
        <w:rPr>
          <w:sz w:val="22"/>
          <w:szCs w:val="22"/>
        </w:rPr>
      </w:pPr>
      <w:proofErr w:type="gramStart"/>
      <w:r w:rsidRPr="00D2138F">
        <w:rPr>
          <w:sz w:val="22"/>
          <w:szCs w:val="22"/>
        </w:rPr>
        <w:t>omit</w:t>
      </w:r>
      <w:proofErr w:type="gramEnd"/>
    </w:p>
    <w:p w:rsidR="00566680" w:rsidRPr="00F253F9" w:rsidRDefault="00566680" w:rsidP="00566680">
      <w:pPr>
        <w:pStyle w:val="A3S"/>
        <w:rPr>
          <w:rFonts w:ascii="Arial" w:hAnsi="Arial" w:cs="Arial"/>
          <w:b/>
          <w:noProof/>
          <w:sz w:val="16"/>
          <w:szCs w:val="16"/>
        </w:rPr>
      </w:pPr>
      <w:r>
        <w:rPr>
          <w:rFonts w:ascii="Arial" w:hAnsi="Arial" w:cs="Arial"/>
          <w:b/>
          <w:noProof/>
          <w:sz w:val="16"/>
          <w:szCs w:val="16"/>
        </w:rPr>
        <w:t>3,603</w:t>
      </w:r>
    </w:p>
    <w:p w:rsidR="00566680" w:rsidRPr="00D2138F" w:rsidRDefault="00566680" w:rsidP="00566680">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566680" w:rsidRPr="00B23000" w:rsidRDefault="00566680" w:rsidP="00566680">
      <w:pPr>
        <w:pStyle w:val="A3S"/>
        <w:rPr>
          <w:rFonts w:ascii="Arial" w:hAnsi="Arial" w:cs="Arial"/>
          <w:b/>
          <w:noProof/>
          <w:sz w:val="16"/>
          <w:szCs w:val="16"/>
        </w:rPr>
      </w:pPr>
      <w:r>
        <w:rPr>
          <w:rFonts w:ascii="Arial" w:hAnsi="Arial" w:cs="Arial"/>
          <w:b/>
          <w:noProof/>
          <w:sz w:val="16"/>
          <w:szCs w:val="16"/>
        </w:rPr>
        <w:t>3,</w:t>
      </w:r>
      <w:r w:rsidR="007F4DE6">
        <w:rPr>
          <w:rFonts w:ascii="Arial" w:hAnsi="Arial" w:cs="Arial"/>
          <w:b/>
          <w:noProof/>
          <w:sz w:val="16"/>
          <w:szCs w:val="16"/>
        </w:rPr>
        <w:t>398</w:t>
      </w:r>
    </w:p>
    <w:p w:rsidR="00566680" w:rsidRPr="00D2138F" w:rsidRDefault="00566680" w:rsidP="00566680">
      <w:pPr>
        <w:pStyle w:val="A1S"/>
        <w:spacing w:before="240" w:line="240" w:lineRule="auto"/>
        <w:ind w:left="709" w:hanging="709"/>
        <w:rPr>
          <w:bCs/>
          <w:sz w:val="22"/>
          <w:szCs w:val="22"/>
        </w:rPr>
      </w:pPr>
      <w:r w:rsidRPr="008202FC">
        <w:rPr>
          <w:bCs/>
        </w:rPr>
        <w:t xml:space="preserve"> </w:t>
      </w:r>
      <w:r w:rsidRPr="00D2138F">
        <w:rPr>
          <w:bCs/>
          <w:sz w:val="22"/>
          <w:szCs w:val="22"/>
        </w:rPr>
        <w:t>[2]</w:t>
      </w:r>
      <w:r w:rsidRPr="00D2138F">
        <w:rPr>
          <w:bCs/>
          <w:sz w:val="22"/>
          <w:szCs w:val="22"/>
        </w:rPr>
        <w:tab/>
        <w:t>Schedule 1, Industry, Innovation, Science, Research and Tertiary Education portfolio, after the</w:t>
      </w:r>
      <w:r w:rsidRPr="00D2138F">
        <w:rPr>
          <w:bCs/>
          <w:noProof/>
          <w:sz w:val="22"/>
          <w:szCs w:val="22"/>
        </w:rPr>
        <w:t xml:space="preserve"> </w:t>
      </w:r>
      <w:r w:rsidRPr="00D2138F">
        <w:rPr>
          <w:bCs/>
          <w:sz w:val="22"/>
          <w:szCs w:val="22"/>
        </w:rPr>
        <w:t>Department of Industry, Innovation, Science, Research and Tertiary Education</w:t>
      </w:r>
      <w:r w:rsidRPr="00D2138F">
        <w:rPr>
          <w:bCs/>
          <w:noProof/>
          <w:sz w:val="22"/>
          <w:szCs w:val="22"/>
        </w:rPr>
        <w:t xml:space="preserve"> table</w:t>
      </w:r>
    </w:p>
    <w:p w:rsidR="00566680" w:rsidRPr="00F242BC" w:rsidRDefault="00566680" w:rsidP="00566680">
      <w:pPr>
        <w:pStyle w:val="A2S"/>
        <w:keepNext w:val="0"/>
        <w:ind w:left="238" w:firstLine="720"/>
      </w:pPr>
      <w:proofErr w:type="gramStart"/>
      <w:r>
        <w:t>insert</w:t>
      </w:r>
      <w:proofErr w:type="gramEnd"/>
    </w:p>
    <w:p w:rsidR="00566680" w:rsidRPr="00CC2E7B" w:rsidRDefault="00566680" w:rsidP="001C4F6D">
      <w:pPr>
        <w:pStyle w:val="Note"/>
        <w:ind w:left="709" w:right="784"/>
        <w:rPr>
          <w:iCs/>
        </w:rPr>
      </w:pPr>
      <w:r w:rsidRPr="00CC2E7B">
        <w:rPr>
          <w:rStyle w:val="ItalicText"/>
          <w:iCs/>
        </w:rPr>
        <w:t>Note</w:t>
      </w:r>
      <w:r>
        <w:rPr>
          <w:rStyle w:val="ItalicText"/>
          <w:iCs/>
        </w:rPr>
        <w:t> </w:t>
      </w:r>
      <w:r w:rsidRPr="00CC2E7B">
        <w:rPr>
          <w:rStyle w:val="ItalicText"/>
          <w:iCs/>
        </w:rPr>
        <w:t>1:</w:t>
      </w:r>
      <w:r>
        <w:rPr>
          <w:rStyle w:val="ItalicText"/>
          <w:iCs/>
        </w:rPr>
        <w:t> </w:t>
      </w:r>
      <w:r w:rsidRPr="00CC2E7B">
        <w:rPr>
          <w:iCs/>
        </w:rPr>
        <w:t xml:space="preserve">The table has been amended by a determination under the </w:t>
      </w:r>
      <w:r w:rsidRPr="00702557">
        <w:rPr>
          <w:i/>
          <w:iCs/>
        </w:rPr>
        <w:t>Financial Management and Accountability Act 1997</w:t>
      </w:r>
      <w:r w:rsidRPr="00CC2E7B">
        <w:rPr>
          <w:iCs/>
        </w:rPr>
        <w:t>. That determination has amended only the actual appropriation items:</w:t>
      </w:r>
    </w:p>
    <w:p w:rsidR="00566680" w:rsidRPr="00757193" w:rsidRDefault="00566680" w:rsidP="00566680">
      <w:pPr>
        <w:pStyle w:val="ZNote"/>
        <w:keepNext w:val="0"/>
        <w:widowControl w:val="0"/>
        <w:tabs>
          <w:tab w:val="left" w:pos="851"/>
        </w:tabs>
        <w:spacing w:before="60"/>
        <w:ind w:left="851" w:right="755"/>
        <w:rPr>
          <w:szCs w:val="20"/>
        </w:rPr>
      </w:pPr>
      <w:r>
        <w:rPr>
          <w:szCs w:val="20"/>
        </w:rPr>
        <w:t>(a)</w:t>
      </w:r>
      <w:r>
        <w:rPr>
          <w:szCs w:val="20"/>
        </w:rPr>
        <w:tab/>
      </w:r>
      <w:proofErr w:type="gramStart"/>
      <w:r w:rsidRPr="00757193">
        <w:rPr>
          <w:szCs w:val="20"/>
        </w:rPr>
        <w:t>for</w:t>
      </w:r>
      <w:proofErr w:type="gramEnd"/>
      <w:r w:rsidRPr="00757193">
        <w:rPr>
          <w:szCs w:val="20"/>
        </w:rPr>
        <w:t xml:space="preserve"> </w:t>
      </w:r>
      <w:r>
        <w:rPr>
          <w:szCs w:val="20"/>
        </w:rPr>
        <w:t>d</w:t>
      </w:r>
      <w:r w:rsidRPr="00757193">
        <w:rPr>
          <w:szCs w:val="20"/>
        </w:rPr>
        <w:t xml:space="preserve">epartmental items, the actual appropriation item is the “Total” amount in relation to an </w:t>
      </w:r>
      <w:r>
        <w:rPr>
          <w:szCs w:val="20"/>
        </w:rPr>
        <w:t>agency</w:t>
      </w:r>
      <w:r w:rsidRPr="00757193">
        <w:rPr>
          <w:szCs w:val="20"/>
        </w:rPr>
        <w:t xml:space="preserve"> under the heading “Departmental”; and</w:t>
      </w:r>
    </w:p>
    <w:p w:rsidR="00566680" w:rsidRPr="00757193" w:rsidRDefault="00566680" w:rsidP="00566680">
      <w:pPr>
        <w:pStyle w:val="ZNote"/>
        <w:keepNext w:val="0"/>
        <w:widowControl w:val="0"/>
        <w:tabs>
          <w:tab w:val="left" w:pos="851"/>
        </w:tabs>
        <w:spacing w:before="60"/>
        <w:ind w:left="851" w:right="755"/>
        <w:rPr>
          <w:szCs w:val="20"/>
        </w:rPr>
      </w:pPr>
      <w:r w:rsidRPr="00757193">
        <w:rPr>
          <w:szCs w:val="20"/>
        </w:rPr>
        <w:t>(b)</w:t>
      </w:r>
      <w:r w:rsidRPr="00757193">
        <w:rPr>
          <w:szCs w:val="20"/>
        </w:rPr>
        <w:tab/>
      </w:r>
      <w:proofErr w:type="gramStart"/>
      <w:r w:rsidRPr="00757193">
        <w:rPr>
          <w:szCs w:val="20"/>
        </w:rPr>
        <w:t>for</w:t>
      </w:r>
      <w:proofErr w:type="gramEnd"/>
      <w:r w:rsidRPr="00757193">
        <w:rPr>
          <w:szCs w:val="20"/>
        </w:rPr>
        <w:t xml:space="preserve"> administered items, the actual appropriation item is the amount set out opposite an </w:t>
      </w:r>
      <w:r w:rsidR="005A28A4">
        <w:rPr>
          <w:szCs w:val="20"/>
        </w:rPr>
        <w:t>o</w:t>
      </w:r>
      <w:r w:rsidRPr="00757193">
        <w:rPr>
          <w:szCs w:val="20"/>
        </w:rPr>
        <w:t xml:space="preserve">utcome of an </w:t>
      </w:r>
      <w:r>
        <w:rPr>
          <w:szCs w:val="20"/>
        </w:rPr>
        <w:t>agency</w:t>
      </w:r>
      <w:r w:rsidRPr="00757193">
        <w:rPr>
          <w:szCs w:val="20"/>
        </w:rPr>
        <w:t xml:space="preserve"> under the heading “Administered”.</w:t>
      </w:r>
    </w:p>
    <w:p w:rsidR="00566680" w:rsidRDefault="00566680" w:rsidP="001C4F6D">
      <w:pPr>
        <w:pStyle w:val="Note"/>
        <w:tabs>
          <w:tab w:val="left" w:pos="709"/>
        </w:tabs>
        <w:ind w:left="709" w:right="755"/>
      </w:pPr>
      <w:r w:rsidRPr="00757193">
        <w:t>No other amounts in the table have been amended.</w:t>
      </w:r>
    </w:p>
    <w:p w:rsidR="00410B8D" w:rsidRDefault="00410B8D" w:rsidP="00410B8D">
      <w:pPr>
        <w:pStyle w:val="Note"/>
        <w:spacing w:after="120"/>
        <w:ind w:left="709" w:right="755"/>
      </w:pPr>
      <w:r w:rsidRPr="00B042F3">
        <w:rPr>
          <w:i/>
        </w:rPr>
        <w:t>Note </w:t>
      </w:r>
      <w:r>
        <w:rPr>
          <w:i/>
        </w:rPr>
        <w:t>2</w:t>
      </w:r>
      <w:r w:rsidRPr="00B23BE5">
        <w:t>:</w:t>
      </w:r>
      <w:r w:rsidRPr="00B23BE5">
        <w:rPr>
          <w:i/>
        </w:rPr>
        <w:t xml:space="preserve"> Financial Management and Accountability Act 1997 Determination 2012/</w:t>
      </w:r>
      <w:r>
        <w:rPr>
          <w:i/>
        </w:rPr>
        <w:t>31</w:t>
      </w:r>
      <w:r w:rsidRPr="00B23BE5">
        <w:rPr>
          <w:i/>
        </w:rPr>
        <w:t xml:space="preserve"> — Section 32 (Transfer of Functions from </w:t>
      </w:r>
      <w:r>
        <w:rPr>
          <w:i/>
        </w:rPr>
        <w:t>DIISRTE</w:t>
      </w:r>
      <w:r w:rsidRPr="00B23BE5">
        <w:rPr>
          <w:i/>
        </w:rPr>
        <w:t xml:space="preserve"> to </w:t>
      </w:r>
      <w:r>
        <w:rPr>
          <w:i/>
        </w:rPr>
        <w:t>ASQA &amp; TEQSA</w:t>
      </w:r>
      <w:r w:rsidRPr="001837F8">
        <w:rPr>
          <w:i/>
        </w:rPr>
        <w:t>)</w:t>
      </w:r>
      <w:r w:rsidRPr="00B23BE5">
        <w:t xml:space="preserve"> </w:t>
      </w:r>
      <w:r w:rsidRPr="00580E6F">
        <w:t>amended in this table</w:t>
      </w:r>
      <w:r>
        <w:t xml:space="preserve"> </w:t>
      </w:r>
      <w:r w:rsidRPr="00580E6F">
        <w:t xml:space="preserve">the amount alongside </w:t>
      </w:r>
      <w:r w:rsidRPr="00B05B24">
        <w:t>“Total</w:t>
      </w:r>
      <w:r>
        <w:t xml:space="preserve">: </w:t>
      </w:r>
      <w:r>
        <w:rPr>
          <w:bCs/>
        </w:rPr>
        <w:t>Department of Industry, Innovation, Science, Research and Tertiary Education</w:t>
      </w:r>
      <w:r>
        <w:t xml:space="preserve">” under the heading “Departmental”, to transfer an amount </w:t>
      </w:r>
      <w:r w:rsidR="00AD4345" w:rsidRPr="00FF16B2">
        <w:t>to</w:t>
      </w:r>
      <w:r w:rsidR="00AD4345">
        <w:t xml:space="preserve"> the</w:t>
      </w:r>
      <w:r w:rsidR="00AD4345" w:rsidRPr="00FF16B2">
        <w:t xml:space="preserve"> </w:t>
      </w:r>
      <w:r w:rsidR="00AD4345">
        <w:t>departmental item for the National Vocational Education and Training Regulator (Australian Skills Quality Authority) (ASQA) and the departmental item for the Tertiary Education Quality and Standards Agency (TEQSA).</w:t>
      </w:r>
    </w:p>
    <w:p w:rsidR="00865EF1" w:rsidRDefault="00865EF1" w:rsidP="00865EF1">
      <w:pPr>
        <w:pStyle w:val="Note"/>
        <w:spacing w:after="120"/>
        <w:ind w:left="709" w:right="755"/>
        <w:rPr>
          <w:color w:val="000000" w:themeColor="text1"/>
        </w:rPr>
      </w:pPr>
      <w:r>
        <w:t>D</w:t>
      </w:r>
      <w:r w:rsidRPr="00FF16B2">
        <w:t>ue to a decision of the Australian Government</w:t>
      </w:r>
      <w:r>
        <w:t>,</w:t>
      </w:r>
      <w:r w:rsidRPr="00FF16B2">
        <w:t xml:space="preserve"> </w:t>
      </w:r>
      <w:r>
        <w:rPr>
          <w:rStyle w:val="ItalicText"/>
          <w:i w:val="0"/>
        </w:rPr>
        <w:t xml:space="preserve">delegated regulatory functions under the </w:t>
      </w:r>
      <w:r w:rsidRPr="00831D0F">
        <w:rPr>
          <w:rStyle w:val="ItalicText"/>
        </w:rPr>
        <w:t>Education Services of Overseas Students Act 2000</w:t>
      </w:r>
      <w:r>
        <w:rPr>
          <w:rStyle w:val="ItalicText"/>
          <w:i w:val="0"/>
        </w:rPr>
        <w:t xml:space="preserve"> were transferred </w:t>
      </w:r>
      <w:r w:rsidRPr="00FF16B2">
        <w:t xml:space="preserve">from </w:t>
      </w:r>
      <w:r>
        <w:t xml:space="preserve">the </w:t>
      </w:r>
      <w:r>
        <w:rPr>
          <w:bCs/>
        </w:rPr>
        <w:t>Department of Industry, Innovation, Science, Research and Tertiary Education</w:t>
      </w:r>
      <w:r>
        <w:t xml:space="preserve"> (DIISRTE) </w:t>
      </w:r>
      <w:r w:rsidRPr="00FF16B2">
        <w:t>to</w:t>
      </w:r>
      <w:r>
        <w:t xml:space="preserve"> </w:t>
      </w:r>
      <w:r w:rsidR="00AD4345">
        <w:t>ASQA and TEQSA.</w:t>
      </w:r>
    </w:p>
    <w:p w:rsidR="00D2138F" w:rsidRDefault="00D2138F" w:rsidP="00D2138F">
      <w:pPr>
        <w:pStyle w:val="Scheduletitle"/>
        <w:spacing w:before="240"/>
        <w:rPr>
          <w:rStyle w:val="CharAmSchNo"/>
        </w:rPr>
        <w:sectPr w:rsidR="00D2138F" w:rsidSect="00566680">
          <w:headerReference w:type="even" r:id="rId17"/>
          <w:headerReference w:type="default" r:id="rId18"/>
          <w:pgSz w:w="11907" w:h="16839" w:code="9"/>
          <w:pgMar w:top="1440" w:right="1417" w:bottom="1440" w:left="1797" w:header="709" w:footer="709" w:gutter="0"/>
          <w:cols w:space="708"/>
          <w:docGrid w:linePitch="360"/>
        </w:sectPr>
      </w:pPr>
    </w:p>
    <w:p w:rsidR="00D2138F" w:rsidRPr="00D2138F" w:rsidRDefault="00D2138F" w:rsidP="003B5F87">
      <w:pPr>
        <w:pStyle w:val="Scheduletitle"/>
        <w:spacing w:before="240"/>
        <w:ind w:left="1701" w:hanging="1701"/>
        <w:rPr>
          <w:rStyle w:val="CharAmSchNo"/>
          <w:sz w:val="28"/>
          <w:szCs w:val="28"/>
        </w:rPr>
      </w:pPr>
      <w:r w:rsidRPr="00D2138F">
        <w:rPr>
          <w:rStyle w:val="CharAmSchNo"/>
          <w:sz w:val="28"/>
          <w:szCs w:val="28"/>
        </w:rPr>
        <w:lastRenderedPageBreak/>
        <w:t>Schedule 3</w:t>
      </w:r>
      <w:r w:rsidRPr="00D2138F">
        <w:rPr>
          <w:rStyle w:val="CharAmSchNo"/>
          <w:sz w:val="28"/>
          <w:szCs w:val="28"/>
        </w:rPr>
        <w:tab/>
        <w:t xml:space="preserve">Amendment of </w:t>
      </w:r>
      <w:r w:rsidRPr="00D2138F">
        <w:rPr>
          <w:i/>
          <w:noProof/>
          <w:sz w:val="28"/>
          <w:szCs w:val="28"/>
        </w:rPr>
        <w:t>Appropriation Act (No. </w:t>
      </w:r>
      <w:r w:rsidR="00910554">
        <w:rPr>
          <w:i/>
          <w:noProof/>
          <w:sz w:val="28"/>
          <w:szCs w:val="28"/>
        </w:rPr>
        <w:t>1</w:t>
      </w:r>
      <w:r w:rsidRPr="00D2138F">
        <w:rPr>
          <w:i/>
          <w:sz w:val="28"/>
          <w:szCs w:val="28"/>
        </w:rPr>
        <w:t>) 2011-2012</w:t>
      </w:r>
    </w:p>
    <w:p w:rsidR="00D2138F" w:rsidRDefault="00D2138F" w:rsidP="003B5F87">
      <w:pPr>
        <w:pStyle w:val="Schedulereference"/>
        <w:ind w:left="1701"/>
        <w:rPr>
          <w:rStyle w:val="CharSchPTNo"/>
        </w:rPr>
      </w:pPr>
      <w:r w:rsidRPr="00C04E99">
        <w:t>(</w:t>
      </w:r>
      <w:r>
        <w:t>Clause</w:t>
      </w:r>
      <w:r w:rsidRPr="00C04E99">
        <w:t xml:space="preserve"> </w:t>
      </w:r>
      <w:r>
        <w:t>5</w:t>
      </w:r>
      <w:r w:rsidRPr="00C04E99">
        <w:t>)</w:t>
      </w:r>
    </w:p>
    <w:p w:rsidR="00D2138F" w:rsidRPr="00D2138F" w:rsidRDefault="00D2138F" w:rsidP="00D2138F">
      <w:pPr>
        <w:pStyle w:val="A1S"/>
        <w:spacing w:before="240" w:line="240" w:lineRule="auto"/>
        <w:ind w:left="709" w:hanging="709"/>
        <w:rPr>
          <w:sz w:val="22"/>
          <w:szCs w:val="22"/>
        </w:rPr>
      </w:pPr>
      <w:r w:rsidRPr="00D2138F">
        <w:rPr>
          <w:sz w:val="22"/>
          <w:szCs w:val="22"/>
        </w:rPr>
        <w:t xml:space="preserve"> [1]</w:t>
      </w:r>
      <w:r w:rsidRPr="00D2138F">
        <w:rPr>
          <w:bCs/>
          <w:sz w:val="22"/>
          <w:szCs w:val="22"/>
        </w:rPr>
        <w:tab/>
        <w:t xml:space="preserve">Schedule 1, </w:t>
      </w:r>
      <w:r w:rsidR="00910554">
        <w:rPr>
          <w:bCs/>
          <w:sz w:val="22"/>
          <w:szCs w:val="22"/>
        </w:rPr>
        <w:t>Education, Employment and Workplace Relations</w:t>
      </w:r>
      <w:r w:rsidRPr="00D2138F">
        <w:rPr>
          <w:bCs/>
          <w:sz w:val="22"/>
          <w:szCs w:val="22"/>
        </w:rPr>
        <w:t xml:space="preserve"> portfolio, </w:t>
      </w:r>
      <w:r w:rsidR="00910554" w:rsidRPr="00D2138F">
        <w:rPr>
          <w:sz w:val="22"/>
          <w:szCs w:val="22"/>
        </w:rPr>
        <w:t>National Vocational Education and Training Regulator (Australian Skills Quality Authority)</w:t>
      </w:r>
      <w:r w:rsidR="00910554" w:rsidRPr="00D2138F">
        <w:rPr>
          <w:bCs/>
          <w:noProof/>
          <w:sz w:val="22"/>
          <w:szCs w:val="22"/>
        </w:rPr>
        <w:t xml:space="preserve"> table</w:t>
      </w:r>
      <w:r w:rsidR="00910554" w:rsidRPr="00D2138F">
        <w:rPr>
          <w:bCs/>
          <w:sz w:val="22"/>
          <w:szCs w:val="22"/>
        </w:rPr>
        <w:t xml:space="preserve">, alongside “Total: </w:t>
      </w:r>
      <w:r w:rsidR="00910554" w:rsidRPr="00D2138F">
        <w:rPr>
          <w:sz w:val="22"/>
          <w:szCs w:val="22"/>
        </w:rPr>
        <w:t>National Vocational Education and Training Regulator (Australian Skills Quality Authority)</w:t>
      </w:r>
      <w:r w:rsidR="00910554" w:rsidRPr="00D2138F">
        <w:rPr>
          <w:bCs/>
          <w:noProof/>
          <w:sz w:val="22"/>
          <w:szCs w:val="22"/>
        </w:rPr>
        <w:t>”</w:t>
      </w:r>
      <w:r w:rsidR="00910554" w:rsidRPr="00D2138F">
        <w:rPr>
          <w:bCs/>
          <w:sz w:val="22"/>
          <w:szCs w:val="22"/>
        </w:rPr>
        <w:t>, under the heading “Departmental”</w:t>
      </w:r>
    </w:p>
    <w:p w:rsidR="00D2138F" w:rsidRPr="00D2138F" w:rsidRDefault="00D2138F" w:rsidP="00D2138F">
      <w:pPr>
        <w:pStyle w:val="A2S"/>
        <w:spacing w:after="120"/>
        <w:rPr>
          <w:sz w:val="22"/>
          <w:szCs w:val="22"/>
        </w:rPr>
      </w:pPr>
      <w:proofErr w:type="gramStart"/>
      <w:r w:rsidRPr="00D2138F">
        <w:rPr>
          <w:sz w:val="22"/>
          <w:szCs w:val="22"/>
        </w:rPr>
        <w:t>omit</w:t>
      </w:r>
      <w:proofErr w:type="gramEnd"/>
    </w:p>
    <w:p w:rsidR="00D2138F" w:rsidRPr="00F253F9" w:rsidRDefault="00910554" w:rsidP="00D2138F">
      <w:pPr>
        <w:pStyle w:val="A3S"/>
        <w:rPr>
          <w:rFonts w:ascii="Arial" w:hAnsi="Arial" w:cs="Arial"/>
          <w:b/>
          <w:noProof/>
          <w:sz w:val="16"/>
          <w:szCs w:val="16"/>
        </w:rPr>
      </w:pPr>
      <w:r>
        <w:rPr>
          <w:rFonts w:ascii="Arial" w:hAnsi="Arial" w:cs="Arial"/>
          <w:b/>
          <w:noProof/>
          <w:sz w:val="16"/>
          <w:szCs w:val="16"/>
        </w:rPr>
        <w:t>29,242.70256</w:t>
      </w:r>
    </w:p>
    <w:p w:rsidR="00D2138F" w:rsidRPr="00D2138F" w:rsidRDefault="00D2138F" w:rsidP="00D2138F">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D2138F" w:rsidRPr="00B23000" w:rsidRDefault="00910554" w:rsidP="00D2138F">
      <w:pPr>
        <w:pStyle w:val="A3S"/>
        <w:rPr>
          <w:rFonts w:ascii="Arial" w:hAnsi="Arial" w:cs="Arial"/>
          <w:b/>
          <w:noProof/>
          <w:sz w:val="16"/>
          <w:szCs w:val="16"/>
        </w:rPr>
      </w:pPr>
      <w:r>
        <w:rPr>
          <w:rFonts w:ascii="Arial" w:hAnsi="Arial" w:cs="Arial"/>
          <w:b/>
          <w:noProof/>
          <w:sz w:val="16"/>
          <w:szCs w:val="16"/>
        </w:rPr>
        <w:t>29,384.70256</w:t>
      </w:r>
    </w:p>
    <w:p w:rsidR="00D2138F" w:rsidRPr="00D2138F" w:rsidRDefault="00D2138F" w:rsidP="00D2138F">
      <w:pPr>
        <w:pStyle w:val="A1S"/>
        <w:spacing w:before="240" w:line="240" w:lineRule="auto"/>
        <w:ind w:left="709" w:hanging="709"/>
        <w:rPr>
          <w:bCs/>
          <w:sz w:val="22"/>
          <w:szCs w:val="22"/>
        </w:rPr>
      </w:pPr>
      <w:r w:rsidRPr="00D2138F">
        <w:rPr>
          <w:bCs/>
          <w:sz w:val="22"/>
          <w:szCs w:val="22"/>
        </w:rPr>
        <w:t xml:space="preserve"> [2]</w:t>
      </w:r>
      <w:r w:rsidRPr="00D2138F">
        <w:rPr>
          <w:bCs/>
          <w:sz w:val="22"/>
          <w:szCs w:val="22"/>
        </w:rPr>
        <w:tab/>
        <w:t xml:space="preserve">Schedule 1, </w:t>
      </w:r>
      <w:r w:rsidR="00910554">
        <w:rPr>
          <w:bCs/>
          <w:sz w:val="22"/>
          <w:szCs w:val="22"/>
        </w:rPr>
        <w:t>Education, Employment and Workplace Relations</w:t>
      </w:r>
      <w:r w:rsidR="00910554" w:rsidRPr="00D2138F">
        <w:rPr>
          <w:bCs/>
          <w:sz w:val="22"/>
          <w:szCs w:val="22"/>
        </w:rPr>
        <w:t xml:space="preserve"> portfolio</w:t>
      </w:r>
      <w:r w:rsidRPr="00D2138F">
        <w:rPr>
          <w:bCs/>
          <w:sz w:val="22"/>
          <w:szCs w:val="22"/>
        </w:rPr>
        <w:t>, after the</w:t>
      </w:r>
      <w:r w:rsidRPr="00D2138F">
        <w:rPr>
          <w:bCs/>
          <w:noProof/>
          <w:sz w:val="22"/>
          <w:szCs w:val="22"/>
        </w:rPr>
        <w:t xml:space="preserve"> </w:t>
      </w:r>
      <w:r w:rsidR="00910554" w:rsidRPr="00D2138F">
        <w:rPr>
          <w:sz w:val="22"/>
          <w:szCs w:val="22"/>
        </w:rPr>
        <w:t>National Vocational Education and Training Regulator (Australian Skills Quality Authority)</w:t>
      </w:r>
      <w:r w:rsidRPr="00D2138F">
        <w:rPr>
          <w:bCs/>
          <w:noProof/>
          <w:sz w:val="22"/>
          <w:szCs w:val="22"/>
        </w:rPr>
        <w:t xml:space="preserve"> table</w:t>
      </w:r>
    </w:p>
    <w:p w:rsidR="00D2138F" w:rsidRPr="00D2138F" w:rsidRDefault="001C4F6D" w:rsidP="00D2138F">
      <w:pPr>
        <w:pStyle w:val="A2S"/>
        <w:keepNext w:val="0"/>
        <w:ind w:left="238" w:firstLine="720"/>
        <w:rPr>
          <w:sz w:val="22"/>
          <w:szCs w:val="22"/>
        </w:rPr>
      </w:pPr>
      <w:proofErr w:type="gramStart"/>
      <w:r>
        <w:rPr>
          <w:sz w:val="22"/>
          <w:szCs w:val="22"/>
        </w:rPr>
        <w:t>omit</w:t>
      </w:r>
      <w:proofErr w:type="gramEnd"/>
      <w:r>
        <w:rPr>
          <w:sz w:val="22"/>
          <w:szCs w:val="22"/>
        </w:rPr>
        <w:t xml:space="preserve"> the notes, </w:t>
      </w:r>
      <w:r w:rsidR="00D2138F" w:rsidRPr="00D2138F">
        <w:rPr>
          <w:sz w:val="22"/>
          <w:szCs w:val="22"/>
        </w:rPr>
        <w:t>insert</w:t>
      </w:r>
    </w:p>
    <w:p w:rsidR="001C4F6D" w:rsidRPr="00CC2E7B" w:rsidRDefault="001C4F6D" w:rsidP="001C4F6D">
      <w:pPr>
        <w:pStyle w:val="Note"/>
        <w:ind w:left="709" w:right="784"/>
        <w:rPr>
          <w:iCs/>
        </w:rPr>
      </w:pPr>
      <w:r w:rsidRPr="00CC2E7B">
        <w:rPr>
          <w:rStyle w:val="ItalicText"/>
          <w:iCs/>
        </w:rPr>
        <w:t>Note</w:t>
      </w:r>
      <w:r>
        <w:rPr>
          <w:rStyle w:val="ItalicText"/>
          <w:iCs/>
        </w:rPr>
        <w:t> </w:t>
      </w:r>
      <w:r w:rsidRPr="00CC2E7B">
        <w:rPr>
          <w:rStyle w:val="ItalicText"/>
          <w:iCs/>
        </w:rPr>
        <w:t>1:</w:t>
      </w:r>
      <w:r>
        <w:rPr>
          <w:rStyle w:val="ItalicText"/>
          <w:iCs/>
        </w:rPr>
        <w:t> </w:t>
      </w:r>
      <w:r w:rsidRPr="00CC2E7B">
        <w:rPr>
          <w:iCs/>
        </w:rPr>
        <w:t xml:space="preserve">The table has been amended by a determination under the </w:t>
      </w:r>
      <w:r w:rsidRPr="00702557">
        <w:rPr>
          <w:i/>
          <w:iCs/>
        </w:rPr>
        <w:t>Financial Management and Accountability Act 1997</w:t>
      </w:r>
      <w:r w:rsidRPr="00CC2E7B">
        <w:rPr>
          <w:iCs/>
        </w:rPr>
        <w:t>. That determination has amended only the actual appropriation items:</w:t>
      </w:r>
    </w:p>
    <w:p w:rsidR="001C4F6D" w:rsidRPr="00757193" w:rsidRDefault="001C4F6D" w:rsidP="001C4F6D">
      <w:pPr>
        <w:pStyle w:val="ZNote"/>
        <w:keepNext w:val="0"/>
        <w:widowControl w:val="0"/>
        <w:tabs>
          <w:tab w:val="left" w:pos="851"/>
        </w:tabs>
        <w:spacing w:before="60"/>
        <w:ind w:left="851" w:right="755"/>
        <w:rPr>
          <w:szCs w:val="20"/>
        </w:rPr>
      </w:pPr>
      <w:r>
        <w:rPr>
          <w:szCs w:val="20"/>
        </w:rPr>
        <w:t>(a)</w:t>
      </w:r>
      <w:r>
        <w:rPr>
          <w:szCs w:val="20"/>
        </w:rPr>
        <w:tab/>
      </w:r>
      <w:proofErr w:type="gramStart"/>
      <w:r w:rsidRPr="00757193">
        <w:rPr>
          <w:szCs w:val="20"/>
        </w:rPr>
        <w:t>for</w:t>
      </w:r>
      <w:proofErr w:type="gramEnd"/>
      <w:r w:rsidRPr="00757193">
        <w:rPr>
          <w:szCs w:val="20"/>
        </w:rPr>
        <w:t xml:space="preserve"> </w:t>
      </w:r>
      <w:r>
        <w:rPr>
          <w:szCs w:val="20"/>
        </w:rPr>
        <w:t>d</w:t>
      </w:r>
      <w:r w:rsidRPr="00757193">
        <w:rPr>
          <w:szCs w:val="20"/>
        </w:rPr>
        <w:t xml:space="preserve">epartmental items, the actual appropriation item is the “Total” amount in relation to an </w:t>
      </w:r>
      <w:r>
        <w:rPr>
          <w:szCs w:val="20"/>
        </w:rPr>
        <w:t>agency</w:t>
      </w:r>
      <w:r w:rsidRPr="00757193">
        <w:rPr>
          <w:szCs w:val="20"/>
        </w:rPr>
        <w:t xml:space="preserve"> under the heading “Departmental”; and</w:t>
      </w:r>
    </w:p>
    <w:p w:rsidR="001C4F6D" w:rsidRPr="00757193" w:rsidRDefault="001C4F6D" w:rsidP="001C4F6D">
      <w:pPr>
        <w:pStyle w:val="ZNote"/>
        <w:keepNext w:val="0"/>
        <w:widowControl w:val="0"/>
        <w:tabs>
          <w:tab w:val="left" w:pos="851"/>
        </w:tabs>
        <w:spacing w:before="60"/>
        <w:ind w:left="851" w:right="755"/>
        <w:rPr>
          <w:szCs w:val="20"/>
        </w:rPr>
      </w:pPr>
      <w:r w:rsidRPr="00757193">
        <w:rPr>
          <w:szCs w:val="20"/>
        </w:rPr>
        <w:t>(b)</w:t>
      </w:r>
      <w:r w:rsidRPr="00757193">
        <w:rPr>
          <w:szCs w:val="20"/>
        </w:rPr>
        <w:tab/>
      </w:r>
      <w:proofErr w:type="gramStart"/>
      <w:r w:rsidRPr="00757193">
        <w:rPr>
          <w:szCs w:val="20"/>
        </w:rPr>
        <w:t>for</w:t>
      </w:r>
      <w:proofErr w:type="gramEnd"/>
      <w:r w:rsidRPr="00757193">
        <w:rPr>
          <w:szCs w:val="20"/>
        </w:rPr>
        <w:t xml:space="preserve"> administered items, the actual appropriation item is the amount set out opposite an </w:t>
      </w:r>
      <w:r w:rsidR="005A28A4">
        <w:rPr>
          <w:szCs w:val="20"/>
        </w:rPr>
        <w:t>o</w:t>
      </w:r>
      <w:r w:rsidRPr="00757193">
        <w:rPr>
          <w:szCs w:val="20"/>
        </w:rPr>
        <w:t xml:space="preserve">utcome of an </w:t>
      </w:r>
      <w:r>
        <w:rPr>
          <w:szCs w:val="20"/>
        </w:rPr>
        <w:t>agency</w:t>
      </w:r>
      <w:r w:rsidRPr="00757193">
        <w:rPr>
          <w:szCs w:val="20"/>
        </w:rPr>
        <w:t xml:space="preserve"> under the heading “Administered”.</w:t>
      </w:r>
    </w:p>
    <w:p w:rsidR="001C4F6D" w:rsidRDefault="001C4F6D" w:rsidP="001C4F6D">
      <w:pPr>
        <w:pStyle w:val="Note"/>
        <w:tabs>
          <w:tab w:val="left" w:pos="709"/>
        </w:tabs>
        <w:ind w:left="709" w:right="755"/>
      </w:pPr>
      <w:r w:rsidRPr="00757193">
        <w:t>No other amounts in the table have been amended.</w:t>
      </w:r>
    </w:p>
    <w:p w:rsidR="001C4F6D" w:rsidRDefault="001C4F6D" w:rsidP="00B6045F">
      <w:pPr>
        <w:pStyle w:val="Note"/>
        <w:ind w:left="709" w:right="755"/>
      </w:pPr>
      <w:r w:rsidRPr="00320303">
        <w:rPr>
          <w:i/>
        </w:rPr>
        <w:t>Note 2:</w:t>
      </w:r>
      <w:r>
        <w:t xml:space="preserve"> </w:t>
      </w:r>
      <w:r w:rsidRPr="00605649">
        <w:rPr>
          <w:i/>
        </w:rPr>
        <w:t xml:space="preserve">Financial Management and Accountability Act 1997 </w:t>
      </w:r>
      <w:r w:rsidRPr="00C4203A">
        <w:rPr>
          <w:i/>
        </w:rPr>
        <w:t xml:space="preserve">Determination </w:t>
      </w:r>
      <w:r w:rsidRPr="00C4203A">
        <w:rPr>
          <w:i/>
          <w:noProof/>
        </w:rPr>
        <w:t>2012/10 –</w:t>
      </w:r>
      <w:r w:rsidRPr="00605649">
        <w:rPr>
          <w:i/>
          <w:noProof/>
        </w:rPr>
        <w:t xml:space="preserve"> </w:t>
      </w:r>
      <w:r w:rsidRPr="00605649">
        <w:rPr>
          <w:i/>
        </w:rPr>
        <w:t>Section 32 (Transfer of Functions from DEEWR to</w:t>
      </w:r>
      <w:r w:rsidRPr="00605649">
        <w:rPr>
          <w:i/>
          <w:noProof/>
        </w:rPr>
        <w:t xml:space="preserve"> </w:t>
      </w:r>
      <w:r>
        <w:rPr>
          <w:i/>
          <w:noProof/>
        </w:rPr>
        <w:t>NVETR</w:t>
      </w:r>
      <w:r w:rsidRPr="00605649">
        <w:rPr>
          <w:i/>
        </w:rPr>
        <w:t>)</w:t>
      </w:r>
      <w:r w:rsidRPr="00757193">
        <w:rPr>
          <w:i/>
        </w:rPr>
        <w:t xml:space="preserve"> </w:t>
      </w:r>
      <w:r w:rsidRPr="00757193">
        <w:t>amended</w:t>
      </w:r>
      <w:r>
        <w:t xml:space="preserve"> an amount in this table </w:t>
      </w:r>
      <w:r w:rsidRPr="0008312D">
        <w:t xml:space="preserve">alongside </w:t>
      </w:r>
      <w:r>
        <w:rPr>
          <w:noProof/>
        </w:rPr>
        <w:t xml:space="preserve">“Total: </w:t>
      </w:r>
      <w:r w:rsidR="003F645C">
        <w:t>National Vocational Education and Training Regulator (Australian Skills Quality Authority)</w:t>
      </w:r>
      <w:r>
        <w:rPr>
          <w:noProof/>
        </w:rPr>
        <w:t>”, under the heading “Departmental”</w:t>
      </w:r>
      <w:r w:rsidRPr="0008312D">
        <w:t xml:space="preserve">, to transfer an amount </w:t>
      </w:r>
      <w:r w:rsidR="00AD4345">
        <w:t>from the departmental item for the Department of Education, Employment and Workplace Relations (DEEWR).</w:t>
      </w:r>
    </w:p>
    <w:p w:rsidR="001C4F6D" w:rsidRPr="009F6DE8" w:rsidRDefault="001C4F6D" w:rsidP="00B6045F">
      <w:pPr>
        <w:pStyle w:val="Note"/>
        <w:ind w:left="709" w:right="755"/>
      </w:pPr>
      <w:r>
        <w:t>Capital appropriations</w:t>
      </w:r>
      <w:r w:rsidRPr="009F6DE8">
        <w:t xml:space="preserve"> relating to </w:t>
      </w:r>
      <w:r>
        <w:rPr>
          <w:noProof/>
        </w:rPr>
        <w:t xml:space="preserve">the establishment of </w:t>
      </w:r>
      <w:r w:rsidR="00AD4345">
        <w:rPr>
          <w:noProof/>
        </w:rPr>
        <w:t>the Australian Skills Quality Authority</w:t>
      </w:r>
      <w:r>
        <w:rPr>
          <w:noProof/>
        </w:rPr>
        <w:t xml:space="preserve"> </w:t>
      </w:r>
      <w:r w:rsidRPr="009F6DE8">
        <w:t xml:space="preserve">were transferred from </w:t>
      </w:r>
      <w:r w:rsidR="003F645C">
        <w:t>DEEWR</w:t>
      </w:r>
      <w:r w:rsidRPr="009F6DE8">
        <w:t xml:space="preserve"> to </w:t>
      </w:r>
      <w:r w:rsidR="00AD4345">
        <w:t>the</w:t>
      </w:r>
      <w:r w:rsidR="00AD4345" w:rsidRPr="00FF16B2">
        <w:t xml:space="preserve"> </w:t>
      </w:r>
      <w:r w:rsidR="00AD4345">
        <w:t>National Vocational Education and Training Regulator (Australian Skills Quality Authority) (ASQA)</w:t>
      </w:r>
      <w:r w:rsidRPr="009F6DE8">
        <w:t>.</w:t>
      </w:r>
    </w:p>
    <w:p w:rsidR="003F645C" w:rsidRDefault="003F645C" w:rsidP="003F645C">
      <w:pPr>
        <w:pStyle w:val="Note"/>
        <w:spacing w:after="120"/>
        <w:ind w:left="709" w:right="755"/>
        <w:rPr>
          <w:color w:val="000000" w:themeColor="text1"/>
        </w:rPr>
      </w:pPr>
      <w:r w:rsidRPr="00B042F3">
        <w:rPr>
          <w:i/>
        </w:rPr>
        <w:t>Note </w:t>
      </w:r>
      <w:r>
        <w:rPr>
          <w:i/>
        </w:rPr>
        <w:t>3</w:t>
      </w:r>
      <w:r w:rsidRPr="00B23BE5">
        <w:t>:</w:t>
      </w:r>
      <w:r w:rsidRPr="00B23BE5">
        <w:rPr>
          <w:i/>
        </w:rPr>
        <w:t xml:space="preserve"> Financial Management and Accountability Act 1997 Determination 2012/</w:t>
      </w:r>
      <w:r>
        <w:rPr>
          <w:i/>
        </w:rPr>
        <w:t>31</w:t>
      </w:r>
      <w:r w:rsidRPr="00B23BE5">
        <w:rPr>
          <w:i/>
        </w:rPr>
        <w:t xml:space="preserve"> — Section 32 (Transfer of Functions from </w:t>
      </w:r>
      <w:r>
        <w:rPr>
          <w:i/>
        </w:rPr>
        <w:t>DIISRTE</w:t>
      </w:r>
      <w:r w:rsidRPr="00B23BE5">
        <w:rPr>
          <w:i/>
        </w:rPr>
        <w:t xml:space="preserve"> to </w:t>
      </w:r>
      <w:r>
        <w:rPr>
          <w:i/>
        </w:rPr>
        <w:t>ASQA &amp; TEQSA</w:t>
      </w:r>
      <w:r w:rsidRPr="001837F8">
        <w:rPr>
          <w:i/>
        </w:rPr>
        <w:t>)</w:t>
      </w:r>
      <w:r w:rsidRPr="00B23BE5">
        <w:t xml:space="preserve"> </w:t>
      </w:r>
      <w:r w:rsidRPr="00580E6F">
        <w:t>amended in this table</w:t>
      </w:r>
      <w:r>
        <w:t xml:space="preserve"> </w:t>
      </w:r>
      <w:r w:rsidRPr="00580E6F">
        <w:t xml:space="preserve">the amount alongside </w:t>
      </w:r>
      <w:r w:rsidRPr="00B05B24">
        <w:t>“Total</w:t>
      </w:r>
      <w:r>
        <w:t xml:space="preserve">: National Vocational Education and Training Regulator (Australian Skills Quality Authority)” under the heading “Departmental”, to transfer an amount </w:t>
      </w:r>
      <w:r w:rsidR="00AD4345">
        <w:t>from</w:t>
      </w:r>
      <w:r>
        <w:t xml:space="preserve"> the departmental item for </w:t>
      </w:r>
      <w:r w:rsidR="00AD4345">
        <w:t xml:space="preserve">the </w:t>
      </w:r>
      <w:r w:rsidR="00AD4345">
        <w:rPr>
          <w:bCs/>
        </w:rPr>
        <w:t>Department of Industry, Innovation, Science, Research and Tertiary Education</w:t>
      </w:r>
      <w:r w:rsidR="00AD4345">
        <w:t xml:space="preserve"> (DIISRTE)</w:t>
      </w:r>
      <w:r>
        <w:t>.</w:t>
      </w:r>
    </w:p>
    <w:p w:rsidR="00865EF1" w:rsidRDefault="00865EF1" w:rsidP="00865EF1">
      <w:pPr>
        <w:pStyle w:val="Note"/>
        <w:spacing w:after="120"/>
        <w:ind w:left="709" w:right="755"/>
        <w:rPr>
          <w:color w:val="000000" w:themeColor="text1"/>
        </w:rPr>
      </w:pPr>
      <w:r>
        <w:t>D</w:t>
      </w:r>
      <w:r w:rsidRPr="00FF16B2">
        <w:t>ue to a decision of the Australian Government</w:t>
      </w:r>
      <w:r>
        <w:t>,</w:t>
      </w:r>
      <w:r w:rsidRPr="00FF16B2">
        <w:t xml:space="preserve"> </w:t>
      </w:r>
      <w:r>
        <w:rPr>
          <w:rStyle w:val="ItalicText"/>
          <w:i w:val="0"/>
        </w:rPr>
        <w:t xml:space="preserve">delegated regulatory functions under the </w:t>
      </w:r>
      <w:r w:rsidRPr="00831D0F">
        <w:rPr>
          <w:rStyle w:val="ItalicText"/>
        </w:rPr>
        <w:t>Education Services of Overseas Students Act 2000</w:t>
      </w:r>
      <w:r>
        <w:rPr>
          <w:rStyle w:val="ItalicText"/>
          <w:i w:val="0"/>
        </w:rPr>
        <w:t xml:space="preserve"> were transferred </w:t>
      </w:r>
      <w:r w:rsidRPr="00FF16B2">
        <w:t xml:space="preserve">from </w:t>
      </w:r>
      <w:r w:rsidR="00AD4345">
        <w:t>DIISRTE</w:t>
      </w:r>
      <w:r>
        <w:t xml:space="preserve"> </w:t>
      </w:r>
      <w:r w:rsidRPr="00FF16B2">
        <w:t>to</w:t>
      </w:r>
      <w:r w:rsidR="00F17A47">
        <w:t xml:space="preserve"> ASQA</w:t>
      </w:r>
      <w:r>
        <w:t xml:space="preserve"> and the Tertiary Education Quality and Standards Agency (TEQSA).</w:t>
      </w:r>
    </w:p>
    <w:p w:rsidR="003F645C" w:rsidRDefault="003F645C" w:rsidP="003F645C">
      <w:pPr>
        <w:pStyle w:val="A1S"/>
        <w:spacing w:before="240" w:line="240" w:lineRule="auto"/>
        <w:ind w:left="709" w:hanging="709"/>
        <w:rPr>
          <w:sz w:val="22"/>
          <w:szCs w:val="22"/>
        </w:rPr>
      </w:pPr>
      <w:r w:rsidRPr="00D2138F">
        <w:rPr>
          <w:sz w:val="22"/>
          <w:szCs w:val="22"/>
        </w:rPr>
        <w:t xml:space="preserve"> </w:t>
      </w:r>
    </w:p>
    <w:p w:rsidR="003F645C" w:rsidRDefault="003F645C" w:rsidP="003F645C">
      <w:pPr>
        <w:pStyle w:val="A2S"/>
        <w:rPr>
          <w:rFonts w:ascii="Arial" w:hAnsi="Arial"/>
        </w:rPr>
      </w:pPr>
      <w:r>
        <w:br w:type="page"/>
      </w:r>
    </w:p>
    <w:p w:rsidR="007F4DE6" w:rsidRPr="00D2138F" w:rsidRDefault="007F4DE6" w:rsidP="003F645C">
      <w:pPr>
        <w:pStyle w:val="A1S"/>
        <w:spacing w:before="240" w:line="240" w:lineRule="auto"/>
        <w:ind w:left="709" w:hanging="709"/>
        <w:rPr>
          <w:sz w:val="22"/>
          <w:szCs w:val="22"/>
        </w:rPr>
      </w:pPr>
      <w:r w:rsidRPr="00D2138F">
        <w:rPr>
          <w:sz w:val="22"/>
          <w:szCs w:val="22"/>
        </w:rPr>
        <w:lastRenderedPageBreak/>
        <w:t>[</w:t>
      </w:r>
      <w:r>
        <w:rPr>
          <w:sz w:val="22"/>
          <w:szCs w:val="22"/>
        </w:rPr>
        <w:t>3</w:t>
      </w:r>
      <w:r w:rsidRPr="00D2138F">
        <w:rPr>
          <w:sz w:val="22"/>
          <w:szCs w:val="22"/>
        </w:rPr>
        <w:t>]</w:t>
      </w:r>
      <w:r w:rsidRPr="00D2138F">
        <w:rPr>
          <w:bCs/>
          <w:sz w:val="22"/>
          <w:szCs w:val="22"/>
        </w:rPr>
        <w:tab/>
        <w:t xml:space="preserve">Schedule 1, </w:t>
      </w:r>
      <w:r>
        <w:rPr>
          <w:bCs/>
          <w:sz w:val="22"/>
          <w:szCs w:val="22"/>
        </w:rPr>
        <w:t>Education, Employment and Workplace Relations</w:t>
      </w:r>
      <w:r w:rsidRPr="00D2138F">
        <w:rPr>
          <w:bCs/>
          <w:sz w:val="22"/>
          <w:szCs w:val="22"/>
        </w:rPr>
        <w:t xml:space="preserve"> portfolio, </w:t>
      </w:r>
      <w:r w:rsidRPr="007F4DE6">
        <w:rPr>
          <w:sz w:val="22"/>
          <w:szCs w:val="22"/>
        </w:rPr>
        <w:t xml:space="preserve">Tertiary Education Quality and Standards Agency </w:t>
      </w:r>
      <w:r w:rsidRPr="007F4DE6">
        <w:rPr>
          <w:bCs/>
          <w:noProof/>
          <w:sz w:val="22"/>
          <w:szCs w:val="22"/>
        </w:rPr>
        <w:t>table</w:t>
      </w:r>
      <w:r w:rsidRPr="007F4DE6">
        <w:rPr>
          <w:bCs/>
          <w:sz w:val="22"/>
          <w:szCs w:val="22"/>
        </w:rPr>
        <w:t xml:space="preserve">, alongside “Total: </w:t>
      </w:r>
      <w:r w:rsidRPr="007F4DE6">
        <w:rPr>
          <w:sz w:val="22"/>
          <w:szCs w:val="22"/>
        </w:rPr>
        <w:t>Tertiary Education Quality and Standards Agency</w:t>
      </w:r>
      <w:r w:rsidRPr="007F4DE6">
        <w:rPr>
          <w:bCs/>
          <w:noProof/>
          <w:sz w:val="22"/>
          <w:szCs w:val="22"/>
        </w:rPr>
        <w:t>”</w:t>
      </w:r>
      <w:r w:rsidRPr="007F4DE6">
        <w:rPr>
          <w:bCs/>
          <w:sz w:val="22"/>
          <w:szCs w:val="22"/>
        </w:rPr>
        <w:t>, under the heading “Departmental”</w:t>
      </w:r>
    </w:p>
    <w:p w:rsidR="007F4DE6" w:rsidRPr="00D2138F" w:rsidRDefault="007F4DE6" w:rsidP="007F4DE6">
      <w:pPr>
        <w:pStyle w:val="A2S"/>
        <w:spacing w:after="120"/>
        <w:rPr>
          <w:sz w:val="22"/>
          <w:szCs w:val="22"/>
        </w:rPr>
      </w:pPr>
      <w:proofErr w:type="gramStart"/>
      <w:r w:rsidRPr="00D2138F">
        <w:rPr>
          <w:sz w:val="22"/>
          <w:szCs w:val="22"/>
        </w:rPr>
        <w:t>omit</w:t>
      </w:r>
      <w:proofErr w:type="gramEnd"/>
    </w:p>
    <w:p w:rsidR="007F4DE6" w:rsidRPr="00F253F9" w:rsidRDefault="00767EC3" w:rsidP="007F4DE6">
      <w:pPr>
        <w:pStyle w:val="A3S"/>
        <w:rPr>
          <w:rFonts w:ascii="Arial" w:hAnsi="Arial" w:cs="Arial"/>
          <w:b/>
          <w:noProof/>
          <w:sz w:val="16"/>
          <w:szCs w:val="16"/>
        </w:rPr>
      </w:pPr>
      <w:r>
        <w:rPr>
          <w:rFonts w:ascii="Arial" w:hAnsi="Arial" w:cs="Arial"/>
          <w:b/>
          <w:noProof/>
          <w:sz w:val="16"/>
          <w:szCs w:val="16"/>
        </w:rPr>
        <w:t>14,999.52151</w:t>
      </w:r>
    </w:p>
    <w:p w:rsidR="007F4DE6" w:rsidRPr="00D2138F" w:rsidRDefault="007F4DE6" w:rsidP="007F4DE6">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7F4DE6" w:rsidRPr="00B23000" w:rsidRDefault="00767EC3" w:rsidP="007F4DE6">
      <w:pPr>
        <w:pStyle w:val="A3S"/>
        <w:rPr>
          <w:rFonts w:ascii="Arial" w:hAnsi="Arial" w:cs="Arial"/>
          <w:b/>
          <w:noProof/>
          <w:sz w:val="16"/>
          <w:szCs w:val="16"/>
        </w:rPr>
      </w:pPr>
      <w:r>
        <w:rPr>
          <w:rFonts w:ascii="Arial" w:hAnsi="Arial" w:cs="Arial"/>
          <w:b/>
          <w:noProof/>
          <w:sz w:val="16"/>
          <w:szCs w:val="16"/>
        </w:rPr>
        <w:t>15,062.52151</w:t>
      </w:r>
    </w:p>
    <w:p w:rsidR="007F4DE6" w:rsidRPr="00D2138F" w:rsidRDefault="007F4DE6" w:rsidP="007F4DE6">
      <w:pPr>
        <w:pStyle w:val="A1S"/>
        <w:spacing w:before="240" w:line="240" w:lineRule="auto"/>
        <w:ind w:left="709" w:hanging="709"/>
        <w:rPr>
          <w:bCs/>
          <w:sz w:val="22"/>
          <w:szCs w:val="22"/>
        </w:rPr>
      </w:pPr>
      <w:r w:rsidRPr="00D2138F">
        <w:rPr>
          <w:bCs/>
          <w:sz w:val="22"/>
          <w:szCs w:val="22"/>
        </w:rPr>
        <w:t xml:space="preserve"> [</w:t>
      </w:r>
      <w:r>
        <w:rPr>
          <w:bCs/>
          <w:sz w:val="22"/>
          <w:szCs w:val="22"/>
        </w:rPr>
        <w:t>4</w:t>
      </w:r>
      <w:r w:rsidRPr="00D2138F">
        <w:rPr>
          <w:bCs/>
          <w:sz w:val="22"/>
          <w:szCs w:val="22"/>
        </w:rPr>
        <w:t>]</w:t>
      </w:r>
      <w:r w:rsidRPr="00D2138F">
        <w:rPr>
          <w:bCs/>
          <w:sz w:val="22"/>
          <w:szCs w:val="22"/>
        </w:rPr>
        <w:tab/>
        <w:t xml:space="preserve">Schedule 1, </w:t>
      </w:r>
      <w:r>
        <w:rPr>
          <w:bCs/>
          <w:sz w:val="22"/>
          <w:szCs w:val="22"/>
        </w:rPr>
        <w:t>Education, Employment and Workplace Relations</w:t>
      </w:r>
      <w:r w:rsidRPr="00D2138F">
        <w:rPr>
          <w:bCs/>
          <w:sz w:val="22"/>
          <w:szCs w:val="22"/>
        </w:rPr>
        <w:t xml:space="preserve"> portfolio, after the</w:t>
      </w:r>
      <w:r w:rsidRPr="00D2138F">
        <w:rPr>
          <w:bCs/>
          <w:noProof/>
          <w:sz w:val="22"/>
          <w:szCs w:val="22"/>
        </w:rPr>
        <w:t xml:space="preserve"> </w:t>
      </w:r>
      <w:r w:rsidR="00767EC3" w:rsidRPr="007F4DE6">
        <w:rPr>
          <w:sz w:val="22"/>
          <w:szCs w:val="22"/>
        </w:rPr>
        <w:t xml:space="preserve">Tertiary Education Quality and Standards Agency </w:t>
      </w:r>
      <w:r w:rsidR="00767EC3" w:rsidRPr="007F4DE6">
        <w:rPr>
          <w:bCs/>
          <w:noProof/>
          <w:sz w:val="22"/>
          <w:szCs w:val="22"/>
        </w:rPr>
        <w:t>table</w:t>
      </w:r>
    </w:p>
    <w:p w:rsidR="007F4DE6" w:rsidRPr="00D2138F" w:rsidRDefault="007F4DE6" w:rsidP="007F4DE6">
      <w:pPr>
        <w:pStyle w:val="A2S"/>
        <w:keepNext w:val="0"/>
        <w:ind w:left="238" w:firstLine="720"/>
        <w:rPr>
          <w:sz w:val="22"/>
          <w:szCs w:val="22"/>
        </w:rPr>
      </w:pPr>
      <w:proofErr w:type="gramStart"/>
      <w:r>
        <w:rPr>
          <w:sz w:val="22"/>
          <w:szCs w:val="22"/>
        </w:rPr>
        <w:t>omit</w:t>
      </w:r>
      <w:proofErr w:type="gramEnd"/>
      <w:r>
        <w:rPr>
          <w:sz w:val="22"/>
          <w:szCs w:val="22"/>
        </w:rPr>
        <w:t xml:space="preserve"> the notes, </w:t>
      </w:r>
      <w:r w:rsidRPr="00D2138F">
        <w:rPr>
          <w:sz w:val="22"/>
          <w:szCs w:val="22"/>
        </w:rPr>
        <w:t>insert</w:t>
      </w:r>
    </w:p>
    <w:p w:rsidR="007F4DE6" w:rsidRPr="005A28A4" w:rsidRDefault="007F4DE6" w:rsidP="007F4DE6">
      <w:pPr>
        <w:pStyle w:val="Note"/>
        <w:ind w:left="709" w:right="784"/>
        <w:rPr>
          <w:iCs/>
          <w:szCs w:val="20"/>
        </w:rPr>
      </w:pPr>
      <w:r w:rsidRPr="005A28A4">
        <w:rPr>
          <w:rStyle w:val="ItalicText"/>
          <w:iCs/>
          <w:szCs w:val="20"/>
        </w:rPr>
        <w:t>Note 1: </w:t>
      </w:r>
      <w:r w:rsidRPr="005A28A4">
        <w:rPr>
          <w:iCs/>
          <w:szCs w:val="20"/>
        </w:rPr>
        <w:t xml:space="preserve">The table has been amended by a determination under the </w:t>
      </w:r>
      <w:r w:rsidRPr="005A28A4">
        <w:rPr>
          <w:i/>
          <w:iCs/>
          <w:szCs w:val="20"/>
        </w:rPr>
        <w:t>Financial Management and Accountability Act 1997</w:t>
      </w:r>
      <w:r w:rsidRPr="005A28A4">
        <w:rPr>
          <w:iCs/>
          <w:szCs w:val="20"/>
        </w:rPr>
        <w:t>. That determination has amended only the actual appropriation items:</w:t>
      </w:r>
    </w:p>
    <w:p w:rsidR="007F4DE6" w:rsidRPr="005A28A4" w:rsidRDefault="007F4DE6" w:rsidP="007F4DE6">
      <w:pPr>
        <w:pStyle w:val="ZNote"/>
        <w:keepNext w:val="0"/>
        <w:widowControl w:val="0"/>
        <w:tabs>
          <w:tab w:val="left" w:pos="851"/>
        </w:tabs>
        <w:spacing w:before="60"/>
        <w:ind w:left="851" w:right="755"/>
        <w:rPr>
          <w:szCs w:val="20"/>
        </w:rPr>
      </w:pPr>
      <w:r w:rsidRPr="005A28A4">
        <w:rPr>
          <w:szCs w:val="20"/>
        </w:rPr>
        <w:t>(a)</w:t>
      </w:r>
      <w:r w:rsidRPr="005A28A4">
        <w:rPr>
          <w:szCs w:val="20"/>
        </w:rPr>
        <w:tab/>
      </w:r>
      <w:proofErr w:type="gramStart"/>
      <w:r w:rsidRPr="005A28A4">
        <w:rPr>
          <w:szCs w:val="20"/>
        </w:rPr>
        <w:t>for</w:t>
      </w:r>
      <w:proofErr w:type="gramEnd"/>
      <w:r w:rsidRPr="005A28A4">
        <w:rPr>
          <w:szCs w:val="20"/>
        </w:rPr>
        <w:t xml:space="preserve"> departmental items, the actual appropriation item is the “Total” amount in relation to an agency under the heading “Departmental”; and</w:t>
      </w:r>
    </w:p>
    <w:p w:rsidR="007F4DE6" w:rsidRPr="005A28A4" w:rsidRDefault="007F4DE6" w:rsidP="007F4DE6">
      <w:pPr>
        <w:pStyle w:val="ZNote"/>
        <w:keepNext w:val="0"/>
        <w:widowControl w:val="0"/>
        <w:tabs>
          <w:tab w:val="left" w:pos="851"/>
        </w:tabs>
        <w:spacing w:before="60"/>
        <w:ind w:left="851" w:right="755"/>
        <w:rPr>
          <w:szCs w:val="20"/>
        </w:rPr>
      </w:pPr>
      <w:r w:rsidRPr="005A28A4">
        <w:rPr>
          <w:szCs w:val="20"/>
        </w:rPr>
        <w:t>(b)</w:t>
      </w:r>
      <w:r w:rsidRPr="005A28A4">
        <w:rPr>
          <w:szCs w:val="20"/>
        </w:rPr>
        <w:tab/>
      </w:r>
      <w:proofErr w:type="gramStart"/>
      <w:r w:rsidRPr="005A28A4">
        <w:rPr>
          <w:szCs w:val="20"/>
        </w:rPr>
        <w:t>for</w:t>
      </w:r>
      <w:proofErr w:type="gramEnd"/>
      <w:r w:rsidRPr="005A28A4">
        <w:rPr>
          <w:szCs w:val="20"/>
        </w:rPr>
        <w:t xml:space="preserve"> administered items, the actual appropriation item is the amount set out opposite an </w:t>
      </w:r>
      <w:r w:rsidR="005A28A4" w:rsidRPr="005A28A4">
        <w:rPr>
          <w:szCs w:val="20"/>
        </w:rPr>
        <w:t>o</w:t>
      </w:r>
      <w:r w:rsidRPr="005A28A4">
        <w:rPr>
          <w:szCs w:val="20"/>
        </w:rPr>
        <w:t>utcome of an agency under the heading “Administered”.</w:t>
      </w:r>
    </w:p>
    <w:p w:rsidR="007F4DE6" w:rsidRPr="005A28A4" w:rsidRDefault="007F4DE6" w:rsidP="007F4DE6">
      <w:pPr>
        <w:pStyle w:val="Note"/>
        <w:tabs>
          <w:tab w:val="left" w:pos="709"/>
        </w:tabs>
        <w:ind w:left="709" w:right="755"/>
        <w:rPr>
          <w:szCs w:val="20"/>
        </w:rPr>
      </w:pPr>
      <w:r w:rsidRPr="005A28A4">
        <w:rPr>
          <w:szCs w:val="20"/>
        </w:rPr>
        <w:t>No other amounts in the table have been amended.</w:t>
      </w:r>
    </w:p>
    <w:p w:rsidR="003F645C" w:rsidRPr="005A28A4" w:rsidRDefault="003F645C" w:rsidP="003F645C">
      <w:pPr>
        <w:pStyle w:val="Note"/>
        <w:ind w:left="709" w:right="755"/>
        <w:rPr>
          <w:szCs w:val="20"/>
        </w:rPr>
      </w:pPr>
      <w:r w:rsidRPr="005A28A4">
        <w:rPr>
          <w:i/>
          <w:szCs w:val="20"/>
        </w:rPr>
        <w:t>Note 2</w:t>
      </w:r>
      <w:r w:rsidRPr="005A28A4">
        <w:rPr>
          <w:szCs w:val="20"/>
        </w:rPr>
        <w:t>: </w:t>
      </w:r>
      <w:r w:rsidRPr="005A28A4">
        <w:rPr>
          <w:i/>
          <w:szCs w:val="20"/>
        </w:rPr>
        <w:t>Financial Management and Accountability Act 1997 Determination 2011/14 – Section 32 (Transfer of Functions</w:t>
      </w:r>
      <w:r w:rsidRPr="005A28A4">
        <w:rPr>
          <w:szCs w:val="20"/>
        </w:rPr>
        <w:t xml:space="preserve"> </w:t>
      </w:r>
      <w:r w:rsidRPr="005A28A4">
        <w:rPr>
          <w:i/>
          <w:szCs w:val="20"/>
        </w:rPr>
        <w:t xml:space="preserve">from </w:t>
      </w:r>
      <w:r w:rsidRPr="005A28A4">
        <w:rPr>
          <w:i/>
          <w:noProof/>
          <w:szCs w:val="20"/>
        </w:rPr>
        <w:t>DEEWR to TEQSA)</w:t>
      </w:r>
      <w:r w:rsidRPr="005A28A4">
        <w:rPr>
          <w:i/>
          <w:szCs w:val="20"/>
        </w:rPr>
        <w:t xml:space="preserve"> </w:t>
      </w:r>
      <w:r w:rsidRPr="005A28A4">
        <w:rPr>
          <w:szCs w:val="20"/>
        </w:rPr>
        <w:t xml:space="preserve">added this table and the amount alongside “Total: Tertiary Education Quality and Standards Agency”, under the heading “Departmental”, to transfer an amount </w:t>
      </w:r>
      <w:r w:rsidR="009855A4" w:rsidRPr="005A28A4">
        <w:rPr>
          <w:szCs w:val="20"/>
        </w:rPr>
        <w:t>from</w:t>
      </w:r>
      <w:r w:rsidRPr="005A28A4">
        <w:rPr>
          <w:szCs w:val="20"/>
        </w:rPr>
        <w:t xml:space="preserve"> the departmental item for </w:t>
      </w:r>
      <w:r w:rsidR="009855A4" w:rsidRPr="005A28A4">
        <w:rPr>
          <w:szCs w:val="20"/>
        </w:rPr>
        <w:t xml:space="preserve">the Department of </w:t>
      </w:r>
      <w:r w:rsidR="009855A4" w:rsidRPr="005A28A4">
        <w:rPr>
          <w:bCs/>
          <w:szCs w:val="20"/>
        </w:rPr>
        <w:t>Education, Employment and Workplace Relations (DEEWR).</w:t>
      </w:r>
    </w:p>
    <w:p w:rsidR="003F645C" w:rsidRPr="005A28A4" w:rsidRDefault="009855A4" w:rsidP="003F645C">
      <w:pPr>
        <w:pStyle w:val="Note"/>
        <w:ind w:left="709" w:right="755"/>
        <w:rPr>
          <w:szCs w:val="20"/>
        </w:rPr>
      </w:pPr>
      <w:r w:rsidRPr="005A28A4">
        <w:rPr>
          <w:szCs w:val="20"/>
        </w:rPr>
        <w:t>The Tertiary Education Quality and Standards Agency (</w:t>
      </w:r>
      <w:r w:rsidR="003F645C" w:rsidRPr="005A28A4">
        <w:rPr>
          <w:szCs w:val="20"/>
        </w:rPr>
        <w:t>TEQSA</w:t>
      </w:r>
      <w:r w:rsidRPr="005A28A4">
        <w:rPr>
          <w:szCs w:val="20"/>
        </w:rPr>
        <w:t>)</w:t>
      </w:r>
      <w:r w:rsidR="003F645C" w:rsidRPr="005A28A4">
        <w:rPr>
          <w:szCs w:val="20"/>
        </w:rPr>
        <w:t xml:space="preserve"> </w:t>
      </w:r>
      <w:proofErr w:type="gramStart"/>
      <w:r w:rsidR="003F645C" w:rsidRPr="005A28A4">
        <w:rPr>
          <w:szCs w:val="20"/>
        </w:rPr>
        <w:t>was</w:t>
      </w:r>
      <w:proofErr w:type="gramEnd"/>
      <w:r w:rsidR="003F645C" w:rsidRPr="005A28A4">
        <w:rPr>
          <w:szCs w:val="20"/>
        </w:rPr>
        <w:t xml:space="preserve"> established as part of the 2009-2010 Budget package of higher education reforms.</w:t>
      </w:r>
    </w:p>
    <w:p w:rsidR="003F645C" w:rsidRPr="005A28A4" w:rsidRDefault="003F645C" w:rsidP="003F645C">
      <w:pPr>
        <w:pStyle w:val="Note"/>
        <w:ind w:left="709" w:right="755"/>
        <w:rPr>
          <w:szCs w:val="20"/>
        </w:rPr>
      </w:pPr>
      <w:r w:rsidRPr="005A28A4">
        <w:rPr>
          <w:i/>
          <w:szCs w:val="20"/>
        </w:rPr>
        <w:t xml:space="preserve">Note 3: Financial Management and Accountability Act 1997 Determination 2011/21 – Section 32 (Transfer of Functions from DEEWR to TEQSA) </w:t>
      </w:r>
      <w:r w:rsidRPr="005A28A4">
        <w:rPr>
          <w:szCs w:val="20"/>
        </w:rPr>
        <w:t>amended</w:t>
      </w:r>
      <w:r w:rsidRPr="005A28A4">
        <w:rPr>
          <w:i/>
          <w:szCs w:val="20"/>
        </w:rPr>
        <w:t xml:space="preserve"> </w:t>
      </w:r>
      <w:r w:rsidRPr="005A28A4">
        <w:rPr>
          <w:szCs w:val="20"/>
        </w:rPr>
        <w:t xml:space="preserve">in this table the amount alongside “Total: Tertiary Education Quality and Standards Agency” under the heading “Departmental”, to transfer an amount </w:t>
      </w:r>
      <w:r w:rsidR="009855A4" w:rsidRPr="005A28A4">
        <w:rPr>
          <w:szCs w:val="20"/>
        </w:rPr>
        <w:t>from</w:t>
      </w:r>
      <w:r w:rsidRPr="005A28A4">
        <w:rPr>
          <w:szCs w:val="20"/>
        </w:rPr>
        <w:t xml:space="preserve"> the departmental item for </w:t>
      </w:r>
      <w:r w:rsidR="009855A4" w:rsidRPr="005A28A4">
        <w:rPr>
          <w:szCs w:val="20"/>
        </w:rPr>
        <w:t>DEEWR.</w:t>
      </w:r>
    </w:p>
    <w:p w:rsidR="003F645C" w:rsidRPr="005A28A4" w:rsidRDefault="003F645C" w:rsidP="003F645C">
      <w:pPr>
        <w:pStyle w:val="Note"/>
        <w:ind w:left="709" w:right="755"/>
        <w:rPr>
          <w:rStyle w:val="ItalicText"/>
          <w:i w:val="0"/>
          <w:szCs w:val="20"/>
        </w:rPr>
      </w:pPr>
      <w:r w:rsidRPr="005A28A4">
        <w:rPr>
          <w:rStyle w:val="ItalicText"/>
          <w:i w:val="0"/>
          <w:szCs w:val="20"/>
        </w:rPr>
        <w:t xml:space="preserve">Legislation establishing </w:t>
      </w:r>
      <w:r w:rsidR="009855A4" w:rsidRPr="005A28A4">
        <w:rPr>
          <w:szCs w:val="20"/>
        </w:rPr>
        <w:t>TEQSA</w:t>
      </w:r>
      <w:r w:rsidRPr="005A28A4">
        <w:rPr>
          <w:rStyle w:val="ItalicText"/>
          <w:i w:val="0"/>
          <w:szCs w:val="20"/>
        </w:rPr>
        <w:t xml:space="preserve"> was passed by both Houses of Parliament on</w:t>
      </w:r>
      <w:r w:rsidR="009855A4" w:rsidRPr="005A28A4">
        <w:rPr>
          <w:rStyle w:val="ItalicText"/>
          <w:i w:val="0"/>
          <w:szCs w:val="20"/>
        </w:rPr>
        <w:t xml:space="preserve"> </w:t>
      </w:r>
      <w:r w:rsidRPr="005A28A4">
        <w:rPr>
          <w:rStyle w:val="ItalicText"/>
          <w:i w:val="0"/>
          <w:szCs w:val="20"/>
        </w:rPr>
        <w:t>23 June 2011 and received Royal Assent on 29 June 2011.</w:t>
      </w:r>
    </w:p>
    <w:p w:rsidR="003F645C" w:rsidRPr="005A28A4" w:rsidRDefault="003F645C" w:rsidP="003F645C">
      <w:pPr>
        <w:pStyle w:val="Note"/>
        <w:spacing w:after="120"/>
        <w:ind w:left="709" w:right="755"/>
        <w:rPr>
          <w:color w:val="000000" w:themeColor="text1"/>
          <w:szCs w:val="20"/>
        </w:rPr>
      </w:pPr>
      <w:r w:rsidRPr="005A28A4">
        <w:rPr>
          <w:i/>
          <w:szCs w:val="20"/>
        </w:rPr>
        <w:t>Note 4</w:t>
      </w:r>
      <w:r w:rsidRPr="005A28A4">
        <w:rPr>
          <w:szCs w:val="20"/>
        </w:rPr>
        <w:t>:</w:t>
      </w:r>
      <w:r w:rsidRPr="005A28A4">
        <w:rPr>
          <w:i/>
          <w:szCs w:val="20"/>
        </w:rPr>
        <w:t xml:space="preserve"> Financial Management and Accountability Act 1997 Determination 2012/31 — Section 32 (Transfer of Functions from DIISRTE to ASQA &amp; TEQSA)</w:t>
      </w:r>
      <w:r w:rsidRPr="005A28A4">
        <w:rPr>
          <w:szCs w:val="20"/>
        </w:rPr>
        <w:t xml:space="preserve"> amended in this table the amount alongside “Total: Tertiary Education Quality and Standards Agency” under the heading “Departmental”, to transfer an amount </w:t>
      </w:r>
      <w:r w:rsidR="00AD4345" w:rsidRPr="005A28A4">
        <w:rPr>
          <w:szCs w:val="20"/>
        </w:rPr>
        <w:t>from</w:t>
      </w:r>
      <w:r w:rsidRPr="005A28A4">
        <w:rPr>
          <w:szCs w:val="20"/>
        </w:rPr>
        <w:t xml:space="preserve"> the departmental item for</w:t>
      </w:r>
      <w:r w:rsidR="00AD4345" w:rsidRPr="005A28A4">
        <w:rPr>
          <w:bCs/>
          <w:szCs w:val="20"/>
        </w:rPr>
        <w:t xml:space="preserve"> the Department of Industry, Innovation, Science, Research and Tertiary Education</w:t>
      </w:r>
      <w:r w:rsidR="00AD4345" w:rsidRPr="005A28A4">
        <w:rPr>
          <w:szCs w:val="20"/>
        </w:rPr>
        <w:t xml:space="preserve"> (DIISRTE)</w:t>
      </w:r>
      <w:r w:rsidRPr="005A28A4">
        <w:rPr>
          <w:szCs w:val="20"/>
        </w:rPr>
        <w:t>.</w:t>
      </w:r>
      <w:r w:rsidRPr="005A28A4">
        <w:rPr>
          <w:color w:val="000000" w:themeColor="text1"/>
          <w:szCs w:val="20"/>
        </w:rPr>
        <w:t xml:space="preserve"> </w:t>
      </w:r>
    </w:p>
    <w:p w:rsidR="00865EF1" w:rsidRPr="005A28A4" w:rsidRDefault="00865EF1" w:rsidP="00865EF1">
      <w:pPr>
        <w:pStyle w:val="Note"/>
        <w:spacing w:after="120"/>
        <w:ind w:left="709" w:right="755"/>
        <w:rPr>
          <w:color w:val="000000" w:themeColor="text1"/>
          <w:szCs w:val="20"/>
        </w:rPr>
      </w:pPr>
      <w:r w:rsidRPr="005A28A4">
        <w:rPr>
          <w:szCs w:val="20"/>
        </w:rPr>
        <w:t xml:space="preserve">Due to a decision of the Australian Government, </w:t>
      </w:r>
      <w:r w:rsidRPr="005A28A4">
        <w:rPr>
          <w:rStyle w:val="ItalicText"/>
          <w:i w:val="0"/>
          <w:szCs w:val="20"/>
        </w:rPr>
        <w:t xml:space="preserve">delegated regulatory functions under the </w:t>
      </w:r>
      <w:r w:rsidRPr="005A28A4">
        <w:rPr>
          <w:rStyle w:val="ItalicText"/>
          <w:szCs w:val="20"/>
        </w:rPr>
        <w:t>Education Services of Overseas Students Act 2000</w:t>
      </w:r>
      <w:r w:rsidRPr="005A28A4">
        <w:rPr>
          <w:rStyle w:val="ItalicText"/>
          <w:i w:val="0"/>
          <w:szCs w:val="20"/>
        </w:rPr>
        <w:t xml:space="preserve"> were transferred </w:t>
      </w:r>
      <w:r w:rsidRPr="005A28A4">
        <w:rPr>
          <w:szCs w:val="20"/>
        </w:rPr>
        <w:t xml:space="preserve">from </w:t>
      </w:r>
      <w:r w:rsidR="00AD4345" w:rsidRPr="005A28A4">
        <w:rPr>
          <w:szCs w:val="20"/>
        </w:rPr>
        <w:t xml:space="preserve">DIISRTE </w:t>
      </w:r>
      <w:r w:rsidRPr="005A28A4">
        <w:rPr>
          <w:szCs w:val="20"/>
        </w:rPr>
        <w:t xml:space="preserve">to the National Vocational Education and Training Regulator (Australian Skills Quality Authority) (ASQA) and </w:t>
      </w:r>
      <w:r w:rsidR="00AD4345" w:rsidRPr="005A28A4">
        <w:rPr>
          <w:szCs w:val="20"/>
        </w:rPr>
        <w:t>TEQSA</w:t>
      </w:r>
      <w:r w:rsidRPr="005A28A4">
        <w:rPr>
          <w:szCs w:val="20"/>
        </w:rPr>
        <w:t>.</w:t>
      </w:r>
    </w:p>
    <w:p w:rsidR="00A54E1A" w:rsidRPr="00A54E1A" w:rsidRDefault="00A54E1A" w:rsidP="00F44BBA">
      <w:pPr>
        <w:pStyle w:val="A1S"/>
        <w:spacing w:before="240" w:line="240" w:lineRule="auto"/>
      </w:pPr>
    </w:p>
    <w:sectPr w:rsidR="00A54E1A" w:rsidRPr="00A54E1A" w:rsidSect="007F4DE6">
      <w:headerReference w:type="even" r:id="rId19"/>
      <w:headerReference w:type="default" r:id="rId20"/>
      <w:pgSz w:w="11907" w:h="16839" w:code="9"/>
      <w:pgMar w:top="1680" w:right="141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7FA" w:rsidRDefault="005647FA" w:rsidP="007C75D5">
      <w:r>
        <w:separator/>
      </w:r>
    </w:p>
  </w:endnote>
  <w:endnote w:type="continuationSeparator" w:id="0">
    <w:p w:rsidR="005647FA" w:rsidRDefault="005647FA" w:rsidP="007C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FA" w:rsidRDefault="005647FA">
    <w:pPr>
      <w:spacing w:line="200" w:lineRule="exact"/>
      <w:ind w:right="360"/>
    </w:pPr>
  </w:p>
  <w:tbl>
    <w:tblPr>
      <w:tblW w:w="0" w:type="auto"/>
      <w:tblInd w:w="108" w:type="dxa"/>
      <w:tblBorders>
        <w:top w:val="single" w:sz="4" w:space="0" w:color="auto"/>
      </w:tblBorders>
      <w:tblLayout w:type="fixed"/>
      <w:tblLook w:val="01E0"/>
    </w:tblPr>
    <w:tblGrid>
      <w:gridCol w:w="851"/>
      <w:gridCol w:w="6520"/>
      <w:gridCol w:w="992"/>
    </w:tblGrid>
    <w:tr w:rsidR="005647FA" w:rsidRPr="00DE2B9C" w:rsidTr="00D96213">
      <w:trPr>
        <w:trHeight w:val="47"/>
      </w:trPr>
      <w:tc>
        <w:tcPr>
          <w:tcW w:w="851" w:type="dxa"/>
        </w:tcPr>
        <w:p w:rsidR="005647FA" w:rsidRPr="00DE2B9C" w:rsidRDefault="005647FA" w:rsidP="00D96213">
          <w:pPr>
            <w:spacing w:line="240" w:lineRule="exact"/>
            <w:rPr>
              <w:rFonts w:ascii="Arial" w:hAnsi="Arial" w:cs="Arial"/>
              <w:sz w:val="18"/>
              <w:szCs w:val="18"/>
            </w:rPr>
          </w:pPr>
        </w:p>
      </w:tc>
      <w:tc>
        <w:tcPr>
          <w:tcW w:w="6520" w:type="dxa"/>
        </w:tcPr>
        <w:p w:rsidR="005647FA" w:rsidRPr="00FF16B2" w:rsidRDefault="004D1858" w:rsidP="00E25B84">
          <w:pPr>
            <w:pStyle w:val="FooterCitation"/>
            <w:rPr>
              <w:rFonts w:cs="Arial"/>
              <w:szCs w:val="18"/>
            </w:rPr>
          </w:pPr>
          <w:fldSimple w:instr=" REF  InstrumentTitleFull  \* MERGEFORMAT ">
            <w:r w:rsidR="002515BE" w:rsidRPr="00FF16B2">
              <w:t xml:space="preserve">Financial Management and Accountability Act 1997 Determination </w:t>
            </w:r>
            <w:r w:rsidR="002515BE" w:rsidRPr="00FF16B2">
              <w:rPr>
                <w:noProof/>
              </w:rPr>
              <w:t>2012/</w:t>
            </w:r>
            <w:r w:rsidR="002515BE">
              <w:rPr>
                <w:noProof/>
              </w:rPr>
              <w:t>31</w:t>
            </w:r>
            <w:r w:rsidR="002515BE" w:rsidRPr="00FF16B2">
              <w:t xml:space="preserve"> — Section 32 (Transfer of Functions from</w:t>
            </w:r>
            <w:r w:rsidR="002515BE">
              <w:t xml:space="preserve"> DIISRTE</w:t>
            </w:r>
            <w:r w:rsidR="002515BE" w:rsidRPr="00FF16B2">
              <w:t xml:space="preserve"> to </w:t>
            </w:r>
          </w:fldSimple>
          <w:r w:rsidR="005647FA">
            <w:t>ASQA &amp; TEQSA</w:t>
          </w:r>
          <w:r w:rsidR="005647FA" w:rsidRPr="00FF16B2">
            <w:t>)</w:t>
          </w:r>
        </w:p>
      </w:tc>
      <w:tc>
        <w:tcPr>
          <w:tcW w:w="992" w:type="dxa"/>
        </w:tcPr>
        <w:p w:rsidR="005647FA" w:rsidRPr="00DE2B9C" w:rsidRDefault="004D1858" w:rsidP="00D96213">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5647FA"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775603">
            <w:rPr>
              <w:rStyle w:val="PageNumber"/>
              <w:rFonts w:ascii="Arial" w:hAnsi="Arial" w:cs="Arial"/>
              <w:noProof/>
              <w:sz w:val="18"/>
              <w:szCs w:val="18"/>
            </w:rPr>
            <w:t>8</w:t>
          </w:r>
          <w:r w:rsidRPr="00FF16B2">
            <w:rPr>
              <w:rStyle w:val="PageNumber"/>
              <w:rFonts w:ascii="Arial" w:hAnsi="Arial" w:cs="Arial"/>
              <w:sz w:val="18"/>
              <w:szCs w:val="18"/>
            </w:rPr>
            <w:fldChar w:fldCharType="end"/>
          </w:r>
        </w:p>
      </w:tc>
    </w:tr>
  </w:tbl>
  <w:p w:rsidR="005647FA" w:rsidRDefault="005647FA">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1E0"/>
    </w:tblPr>
    <w:tblGrid>
      <w:gridCol w:w="851"/>
      <w:gridCol w:w="6520"/>
      <w:gridCol w:w="992"/>
    </w:tblGrid>
    <w:tr w:rsidR="005647FA" w:rsidRPr="00DE2B9C" w:rsidTr="00624B7C">
      <w:trPr>
        <w:trHeight w:val="47"/>
      </w:trPr>
      <w:tc>
        <w:tcPr>
          <w:tcW w:w="851" w:type="dxa"/>
        </w:tcPr>
        <w:p w:rsidR="005647FA" w:rsidRPr="00DE2B9C" w:rsidRDefault="005647FA" w:rsidP="00BA29D8">
          <w:pPr>
            <w:spacing w:line="240" w:lineRule="exact"/>
            <w:rPr>
              <w:rFonts w:ascii="Arial" w:hAnsi="Arial" w:cs="Arial"/>
              <w:sz w:val="18"/>
              <w:szCs w:val="18"/>
            </w:rPr>
          </w:pPr>
        </w:p>
      </w:tc>
      <w:tc>
        <w:tcPr>
          <w:tcW w:w="6520" w:type="dxa"/>
        </w:tcPr>
        <w:p w:rsidR="005647FA" w:rsidRPr="00FF16B2" w:rsidRDefault="004D1858" w:rsidP="00E25B84">
          <w:pPr>
            <w:pStyle w:val="FooterCitation"/>
            <w:rPr>
              <w:rFonts w:cs="Arial"/>
              <w:szCs w:val="18"/>
            </w:rPr>
          </w:pPr>
          <w:fldSimple w:instr=" REF  InstrumentTitleFull  \* MERGEFORMAT ">
            <w:r w:rsidR="002515BE" w:rsidRPr="00FF16B2">
              <w:t xml:space="preserve">Financial Management and Accountability Act 1997 Determination </w:t>
            </w:r>
            <w:r w:rsidR="002515BE" w:rsidRPr="00FF16B2">
              <w:rPr>
                <w:noProof/>
              </w:rPr>
              <w:t>2012/</w:t>
            </w:r>
            <w:r w:rsidR="002515BE">
              <w:rPr>
                <w:noProof/>
              </w:rPr>
              <w:t>31</w:t>
            </w:r>
            <w:r w:rsidR="002515BE" w:rsidRPr="00FF16B2">
              <w:t xml:space="preserve"> — Section 32 (Transfer of Functions from</w:t>
            </w:r>
            <w:r w:rsidR="002515BE">
              <w:t xml:space="preserve"> DIISRTE</w:t>
            </w:r>
            <w:r w:rsidR="002515BE" w:rsidRPr="00FF16B2">
              <w:t xml:space="preserve"> to </w:t>
            </w:r>
          </w:fldSimple>
          <w:bookmarkStart w:id="3" w:name="Minister"/>
          <w:r w:rsidR="005647FA">
            <w:t>ASQA &amp; TEQSA</w:t>
          </w:r>
          <w:r w:rsidR="005647FA" w:rsidRPr="00FF16B2">
            <w:t>)</w:t>
          </w:r>
        </w:p>
      </w:tc>
      <w:tc>
        <w:tcPr>
          <w:tcW w:w="992" w:type="dxa"/>
        </w:tcPr>
        <w:p w:rsidR="005647FA" w:rsidRPr="00DE2B9C" w:rsidRDefault="004D1858" w:rsidP="00BA29D8">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5647FA"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775603">
            <w:rPr>
              <w:rStyle w:val="PageNumber"/>
              <w:rFonts w:ascii="Arial" w:hAnsi="Arial" w:cs="Arial"/>
              <w:noProof/>
              <w:sz w:val="18"/>
              <w:szCs w:val="18"/>
            </w:rPr>
            <w:t>7</w:t>
          </w:r>
          <w:r w:rsidRPr="00FF16B2">
            <w:rPr>
              <w:rStyle w:val="PageNumber"/>
              <w:rFonts w:ascii="Arial" w:hAnsi="Arial" w:cs="Arial"/>
              <w:sz w:val="18"/>
              <w:szCs w:val="18"/>
            </w:rPr>
            <w:fldChar w:fldCharType="end"/>
          </w:r>
        </w:p>
      </w:tc>
    </w:tr>
    <w:bookmarkEnd w:id="3"/>
  </w:tbl>
  <w:p w:rsidR="005647FA" w:rsidRPr="00DE2B9C" w:rsidRDefault="005647FA" w:rsidP="00336C45">
    <w:pPr>
      <w:pStyle w:val="FooterInfo"/>
      <w:rPr>
        <w:rFonts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7FA" w:rsidRDefault="005647FA" w:rsidP="007C75D5">
      <w:r>
        <w:separator/>
      </w:r>
    </w:p>
  </w:footnote>
  <w:footnote w:type="continuationSeparator" w:id="0">
    <w:p w:rsidR="005647FA" w:rsidRDefault="005647FA" w:rsidP="007C7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5647FA" w:rsidRPr="00336C45" w:rsidTr="00BA29D8">
      <w:tc>
        <w:tcPr>
          <w:tcW w:w="8385" w:type="dxa"/>
        </w:tcPr>
        <w:p w:rsidR="005647FA" w:rsidRPr="00336C45" w:rsidRDefault="005647FA" w:rsidP="00336C45">
          <w:pPr>
            <w:pStyle w:val="HeaderLiteEven"/>
            <w:spacing w:before="0"/>
            <w:jc w:val="right"/>
            <w:rPr>
              <w:rFonts w:ascii="Times New Roman" w:hAnsi="Times New Roman"/>
              <w:sz w:val="24"/>
            </w:rPr>
          </w:pPr>
          <w:r>
            <w:rPr>
              <w:rFonts w:ascii="Times New Roman" w:hAnsi="Times New Roman"/>
              <w:sz w:val="24"/>
            </w:rPr>
            <w:t>Preliminary</w:t>
          </w:r>
        </w:p>
      </w:tc>
    </w:tr>
    <w:tr w:rsidR="005647FA" w:rsidRPr="00336C45" w:rsidTr="00BA29D8">
      <w:tc>
        <w:tcPr>
          <w:tcW w:w="8385" w:type="dxa"/>
        </w:tcPr>
        <w:p w:rsidR="005647FA" w:rsidRPr="00336C45" w:rsidRDefault="005647FA" w:rsidP="00336C45">
          <w:pPr>
            <w:pStyle w:val="HeaderLiteEven"/>
            <w:spacing w:before="0"/>
            <w:rPr>
              <w:rFonts w:ascii="Times New Roman" w:hAnsi="Times New Roman"/>
              <w:sz w:val="24"/>
            </w:rPr>
          </w:pPr>
        </w:p>
      </w:tc>
    </w:tr>
    <w:tr w:rsidR="005647FA" w:rsidRPr="00336C45" w:rsidTr="00336C45">
      <w:trPr>
        <w:trHeight w:val="163"/>
      </w:trPr>
      <w:tc>
        <w:tcPr>
          <w:tcW w:w="8385" w:type="dxa"/>
        </w:tcPr>
        <w:p w:rsidR="005647FA" w:rsidRPr="00336C45" w:rsidRDefault="005647FA" w:rsidP="00336C45">
          <w:pPr>
            <w:pStyle w:val="HeaderBoldEven"/>
            <w:spacing w:before="0" w:after="0"/>
            <w:rPr>
              <w:rFonts w:ascii="Times New Roman" w:hAnsi="Times New Roman"/>
              <w:sz w:val="24"/>
            </w:rPr>
          </w:pPr>
        </w:p>
      </w:tc>
    </w:tr>
  </w:tbl>
  <w:p w:rsidR="005647FA" w:rsidRDefault="005647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5647FA" w:rsidTr="00BA29D8">
      <w:tc>
        <w:tcPr>
          <w:tcW w:w="8385" w:type="dxa"/>
        </w:tcPr>
        <w:p w:rsidR="005647FA" w:rsidRDefault="005647FA"/>
      </w:tc>
    </w:tr>
    <w:tr w:rsidR="005647FA" w:rsidTr="00BA29D8">
      <w:tc>
        <w:tcPr>
          <w:tcW w:w="8385" w:type="dxa"/>
        </w:tcPr>
        <w:p w:rsidR="005647FA" w:rsidRDefault="005647FA"/>
      </w:tc>
    </w:tr>
    <w:tr w:rsidR="005647FA" w:rsidTr="00BA29D8">
      <w:tc>
        <w:tcPr>
          <w:tcW w:w="8385" w:type="dxa"/>
        </w:tcPr>
        <w:p w:rsidR="005647FA" w:rsidRDefault="005647FA"/>
      </w:tc>
    </w:tr>
  </w:tbl>
  <w:p w:rsidR="005647FA" w:rsidRDefault="005647F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5647FA" w:rsidTr="00BA29D8">
      <w:trPr>
        <w:cantSplit/>
      </w:trPr>
      <w:tc>
        <w:tcPr>
          <w:tcW w:w="6914" w:type="dxa"/>
          <w:vAlign w:val="bottom"/>
        </w:tcPr>
        <w:p w:rsidR="005647FA" w:rsidRDefault="005647FA" w:rsidP="00940013"/>
      </w:tc>
      <w:tc>
        <w:tcPr>
          <w:tcW w:w="1485" w:type="dxa"/>
          <w:vAlign w:val="bottom"/>
        </w:tcPr>
        <w:p w:rsidR="005647FA" w:rsidRDefault="005647FA" w:rsidP="00290596">
          <w:pPr>
            <w:jc w:val="right"/>
          </w:pPr>
          <w:r>
            <w:t>Preliminary</w:t>
          </w:r>
        </w:p>
      </w:tc>
    </w:tr>
    <w:tr w:rsidR="005647FA" w:rsidTr="00BA29D8">
      <w:trPr>
        <w:cantSplit/>
      </w:trPr>
      <w:tc>
        <w:tcPr>
          <w:tcW w:w="6914" w:type="dxa"/>
          <w:vAlign w:val="bottom"/>
        </w:tcPr>
        <w:p w:rsidR="005647FA" w:rsidRDefault="005647FA" w:rsidP="00940013"/>
      </w:tc>
      <w:tc>
        <w:tcPr>
          <w:tcW w:w="1485" w:type="dxa"/>
        </w:tcPr>
        <w:p w:rsidR="005647FA" w:rsidRDefault="005647FA" w:rsidP="00940013"/>
      </w:tc>
    </w:tr>
    <w:tr w:rsidR="005647FA" w:rsidTr="00BA29D8">
      <w:trPr>
        <w:cantSplit/>
      </w:trPr>
      <w:tc>
        <w:tcPr>
          <w:tcW w:w="8399" w:type="dxa"/>
          <w:gridSpan w:val="2"/>
        </w:tcPr>
        <w:p w:rsidR="005647FA" w:rsidRDefault="005647FA" w:rsidP="00940013"/>
      </w:tc>
    </w:tr>
  </w:tbl>
  <w:p w:rsidR="005647FA" w:rsidRPr="00D207BF" w:rsidRDefault="005647FA">
    <w:pPr>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5647FA" w:rsidRPr="00336C45" w:rsidTr="00BA29D8">
      <w:tc>
        <w:tcPr>
          <w:tcW w:w="8385" w:type="dxa"/>
        </w:tcPr>
        <w:p w:rsidR="005647FA" w:rsidRPr="00336C45" w:rsidRDefault="005647FA" w:rsidP="00336C45">
          <w:pPr>
            <w:pStyle w:val="HeaderLiteEven"/>
            <w:spacing w:before="0"/>
            <w:jc w:val="right"/>
            <w:rPr>
              <w:rFonts w:ascii="Times New Roman" w:hAnsi="Times New Roman"/>
              <w:sz w:val="24"/>
            </w:rPr>
          </w:pPr>
          <w:r w:rsidRPr="00336C45">
            <w:rPr>
              <w:rFonts w:ascii="Times New Roman" w:hAnsi="Times New Roman"/>
              <w:sz w:val="24"/>
            </w:rPr>
            <w:t>Schedule 1</w:t>
          </w:r>
        </w:p>
      </w:tc>
    </w:tr>
    <w:tr w:rsidR="005647FA" w:rsidRPr="00336C45" w:rsidTr="00BA29D8">
      <w:tc>
        <w:tcPr>
          <w:tcW w:w="8385" w:type="dxa"/>
        </w:tcPr>
        <w:p w:rsidR="005647FA" w:rsidRPr="00336C45" w:rsidRDefault="005647FA" w:rsidP="00336C45">
          <w:pPr>
            <w:pStyle w:val="HeaderLiteEven"/>
            <w:spacing w:before="0"/>
            <w:rPr>
              <w:rFonts w:ascii="Times New Roman" w:hAnsi="Times New Roman"/>
              <w:sz w:val="24"/>
            </w:rPr>
          </w:pPr>
        </w:p>
      </w:tc>
    </w:tr>
    <w:tr w:rsidR="005647FA" w:rsidRPr="00336C45" w:rsidTr="00336C45">
      <w:trPr>
        <w:trHeight w:val="163"/>
      </w:trPr>
      <w:tc>
        <w:tcPr>
          <w:tcW w:w="8385" w:type="dxa"/>
        </w:tcPr>
        <w:p w:rsidR="005647FA" w:rsidRPr="00336C45" w:rsidRDefault="005647FA" w:rsidP="00336C45">
          <w:pPr>
            <w:pStyle w:val="HeaderBoldEven"/>
            <w:spacing w:before="0" w:after="0"/>
            <w:rPr>
              <w:rFonts w:ascii="Times New Roman" w:hAnsi="Times New Roman"/>
              <w:sz w:val="24"/>
            </w:rPr>
          </w:pPr>
        </w:p>
      </w:tc>
    </w:tr>
  </w:tbl>
  <w:p w:rsidR="005647FA" w:rsidRDefault="005647F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49" w:type="dxa"/>
      <w:tblInd w:w="80" w:type="dxa"/>
      <w:tblBorders>
        <w:bottom w:val="single" w:sz="4" w:space="0" w:color="auto"/>
      </w:tblBorders>
      <w:tblLook w:val="01E0"/>
    </w:tblPr>
    <w:tblGrid>
      <w:gridCol w:w="1304"/>
      <w:gridCol w:w="7145"/>
    </w:tblGrid>
    <w:tr w:rsidR="005647FA" w:rsidTr="00F741ED">
      <w:trPr>
        <w:cantSplit/>
      </w:trPr>
      <w:tc>
        <w:tcPr>
          <w:tcW w:w="1304" w:type="dxa"/>
          <w:vAlign w:val="bottom"/>
        </w:tcPr>
        <w:p w:rsidR="005647FA" w:rsidRDefault="005647FA" w:rsidP="00940013"/>
      </w:tc>
      <w:tc>
        <w:tcPr>
          <w:tcW w:w="7145" w:type="dxa"/>
          <w:vAlign w:val="bottom"/>
        </w:tcPr>
        <w:p w:rsidR="005647FA" w:rsidRDefault="005647FA" w:rsidP="00F741ED">
          <w:pPr>
            <w:jc w:val="right"/>
          </w:pPr>
          <w:r>
            <w:t>Schedule 1</w:t>
          </w:r>
        </w:p>
      </w:tc>
    </w:tr>
    <w:tr w:rsidR="005647FA" w:rsidTr="00F741ED">
      <w:trPr>
        <w:cantSplit/>
      </w:trPr>
      <w:tc>
        <w:tcPr>
          <w:tcW w:w="1304" w:type="dxa"/>
          <w:vAlign w:val="bottom"/>
        </w:tcPr>
        <w:p w:rsidR="005647FA" w:rsidRDefault="005647FA" w:rsidP="00940013"/>
      </w:tc>
      <w:tc>
        <w:tcPr>
          <w:tcW w:w="7145" w:type="dxa"/>
          <w:vAlign w:val="bottom"/>
        </w:tcPr>
        <w:p w:rsidR="005647FA" w:rsidRDefault="005647FA" w:rsidP="00D4306D">
          <w:pPr>
            <w:jc w:val="right"/>
          </w:pPr>
        </w:p>
      </w:tc>
    </w:tr>
    <w:tr w:rsidR="005647FA" w:rsidTr="00F741ED">
      <w:trPr>
        <w:cantSplit/>
      </w:trPr>
      <w:tc>
        <w:tcPr>
          <w:tcW w:w="1304" w:type="dxa"/>
          <w:vAlign w:val="bottom"/>
        </w:tcPr>
        <w:p w:rsidR="005647FA" w:rsidRDefault="005647FA" w:rsidP="00940013"/>
      </w:tc>
      <w:tc>
        <w:tcPr>
          <w:tcW w:w="7145" w:type="dxa"/>
          <w:vAlign w:val="bottom"/>
        </w:tcPr>
        <w:p w:rsidR="005647FA" w:rsidRDefault="005647FA" w:rsidP="00D4306D">
          <w:pPr>
            <w:jc w:val="right"/>
          </w:pPr>
        </w:p>
      </w:tc>
    </w:tr>
  </w:tbl>
  <w:p w:rsidR="005647FA" w:rsidRPr="00D207BF" w:rsidRDefault="005647FA">
    <w:pPr>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5647FA" w:rsidRPr="00336C45" w:rsidTr="00BA29D8">
      <w:tc>
        <w:tcPr>
          <w:tcW w:w="8385" w:type="dxa"/>
        </w:tcPr>
        <w:p w:rsidR="005647FA" w:rsidRPr="00336C45" w:rsidRDefault="005647FA" w:rsidP="00DB235F">
          <w:pPr>
            <w:pStyle w:val="HeaderLiteEven"/>
            <w:spacing w:before="0"/>
            <w:jc w:val="right"/>
            <w:rPr>
              <w:rFonts w:ascii="Times New Roman" w:hAnsi="Times New Roman"/>
              <w:sz w:val="24"/>
            </w:rPr>
          </w:pPr>
          <w:r w:rsidRPr="00336C45">
            <w:rPr>
              <w:rFonts w:ascii="Times New Roman" w:hAnsi="Times New Roman"/>
              <w:sz w:val="24"/>
            </w:rPr>
            <w:t xml:space="preserve">Schedule </w:t>
          </w:r>
          <w:r>
            <w:rPr>
              <w:rFonts w:ascii="Times New Roman" w:hAnsi="Times New Roman"/>
              <w:sz w:val="24"/>
            </w:rPr>
            <w:t>2</w:t>
          </w:r>
        </w:p>
      </w:tc>
    </w:tr>
    <w:tr w:rsidR="005647FA" w:rsidRPr="00336C45" w:rsidTr="00BA29D8">
      <w:tc>
        <w:tcPr>
          <w:tcW w:w="8385" w:type="dxa"/>
        </w:tcPr>
        <w:p w:rsidR="005647FA" w:rsidRPr="00336C45" w:rsidRDefault="005647FA" w:rsidP="00336C45">
          <w:pPr>
            <w:pStyle w:val="HeaderLiteEven"/>
            <w:spacing w:before="0"/>
            <w:rPr>
              <w:rFonts w:ascii="Times New Roman" w:hAnsi="Times New Roman"/>
              <w:sz w:val="24"/>
            </w:rPr>
          </w:pPr>
        </w:p>
      </w:tc>
    </w:tr>
    <w:tr w:rsidR="005647FA" w:rsidRPr="00336C45" w:rsidTr="00336C45">
      <w:trPr>
        <w:trHeight w:val="163"/>
      </w:trPr>
      <w:tc>
        <w:tcPr>
          <w:tcW w:w="8385" w:type="dxa"/>
        </w:tcPr>
        <w:p w:rsidR="005647FA" w:rsidRPr="00336C45" w:rsidRDefault="005647FA" w:rsidP="00336C45">
          <w:pPr>
            <w:pStyle w:val="HeaderBoldEven"/>
            <w:spacing w:before="0" w:after="0"/>
            <w:rPr>
              <w:rFonts w:ascii="Times New Roman" w:hAnsi="Times New Roman"/>
              <w:sz w:val="24"/>
            </w:rPr>
          </w:pPr>
        </w:p>
      </w:tc>
    </w:tr>
  </w:tbl>
  <w:p w:rsidR="005647FA" w:rsidRDefault="005647F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49" w:type="dxa"/>
      <w:tblInd w:w="80" w:type="dxa"/>
      <w:tblBorders>
        <w:bottom w:val="single" w:sz="4" w:space="0" w:color="auto"/>
      </w:tblBorders>
      <w:tblLook w:val="01E0"/>
    </w:tblPr>
    <w:tblGrid>
      <w:gridCol w:w="1304"/>
      <w:gridCol w:w="7145"/>
    </w:tblGrid>
    <w:tr w:rsidR="005647FA" w:rsidTr="00F741ED">
      <w:trPr>
        <w:cantSplit/>
      </w:trPr>
      <w:tc>
        <w:tcPr>
          <w:tcW w:w="1304" w:type="dxa"/>
          <w:vAlign w:val="bottom"/>
        </w:tcPr>
        <w:p w:rsidR="005647FA" w:rsidRDefault="005647FA" w:rsidP="00940013"/>
      </w:tc>
      <w:tc>
        <w:tcPr>
          <w:tcW w:w="7145" w:type="dxa"/>
          <w:vAlign w:val="bottom"/>
        </w:tcPr>
        <w:p w:rsidR="005647FA" w:rsidRDefault="005647FA" w:rsidP="00566680">
          <w:pPr>
            <w:jc w:val="right"/>
          </w:pPr>
          <w:r>
            <w:t>Schedule 2</w:t>
          </w:r>
        </w:p>
      </w:tc>
    </w:tr>
    <w:tr w:rsidR="005647FA" w:rsidTr="00F741ED">
      <w:trPr>
        <w:cantSplit/>
      </w:trPr>
      <w:tc>
        <w:tcPr>
          <w:tcW w:w="1304" w:type="dxa"/>
          <w:vAlign w:val="bottom"/>
        </w:tcPr>
        <w:p w:rsidR="005647FA" w:rsidRDefault="005647FA" w:rsidP="00940013"/>
      </w:tc>
      <w:tc>
        <w:tcPr>
          <w:tcW w:w="7145" w:type="dxa"/>
          <w:vAlign w:val="bottom"/>
        </w:tcPr>
        <w:p w:rsidR="005647FA" w:rsidRDefault="005647FA" w:rsidP="00D4306D">
          <w:pPr>
            <w:jc w:val="right"/>
          </w:pPr>
        </w:p>
      </w:tc>
    </w:tr>
    <w:tr w:rsidR="005647FA" w:rsidTr="00F741ED">
      <w:trPr>
        <w:cantSplit/>
      </w:trPr>
      <w:tc>
        <w:tcPr>
          <w:tcW w:w="1304" w:type="dxa"/>
          <w:vAlign w:val="bottom"/>
        </w:tcPr>
        <w:p w:rsidR="005647FA" w:rsidRDefault="005647FA" w:rsidP="00940013"/>
      </w:tc>
      <w:tc>
        <w:tcPr>
          <w:tcW w:w="7145" w:type="dxa"/>
          <w:vAlign w:val="bottom"/>
        </w:tcPr>
        <w:p w:rsidR="005647FA" w:rsidRDefault="005647FA" w:rsidP="00D4306D">
          <w:pPr>
            <w:jc w:val="right"/>
          </w:pPr>
        </w:p>
      </w:tc>
    </w:tr>
  </w:tbl>
  <w:p w:rsidR="005647FA" w:rsidRPr="00D207BF" w:rsidRDefault="005647FA">
    <w:pPr>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5647FA" w:rsidRPr="00336C45" w:rsidTr="00BA29D8">
      <w:tc>
        <w:tcPr>
          <w:tcW w:w="8385" w:type="dxa"/>
        </w:tcPr>
        <w:p w:rsidR="005647FA" w:rsidRPr="00336C45" w:rsidRDefault="005647FA" w:rsidP="00D2138F">
          <w:pPr>
            <w:pStyle w:val="HeaderLiteEven"/>
            <w:spacing w:before="0"/>
            <w:jc w:val="right"/>
            <w:rPr>
              <w:rFonts w:ascii="Times New Roman" w:hAnsi="Times New Roman"/>
              <w:sz w:val="24"/>
            </w:rPr>
          </w:pPr>
          <w:r w:rsidRPr="00336C45">
            <w:rPr>
              <w:rFonts w:ascii="Times New Roman" w:hAnsi="Times New Roman"/>
              <w:sz w:val="24"/>
            </w:rPr>
            <w:t xml:space="preserve">Schedule </w:t>
          </w:r>
          <w:r>
            <w:rPr>
              <w:rFonts w:ascii="Times New Roman" w:hAnsi="Times New Roman"/>
              <w:sz w:val="24"/>
            </w:rPr>
            <w:t>3</w:t>
          </w:r>
        </w:p>
      </w:tc>
    </w:tr>
    <w:tr w:rsidR="005647FA" w:rsidRPr="00336C45" w:rsidTr="00BA29D8">
      <w:tc>
        <w:tcPr>
          <w:tcW w:w="8385" w:type="dxa"/>
        </w:tcPr>
        <w:p w:rsidR="005647FA" w:rsidRPr="00336C45" w:rsidRDefault="005647FA" w:rsidP="00336C45">
          <w:pPr>
            <w:pStyle w:val="HeaderLiteEven"/>
            <w:spacing w:before="0"/>
            <w:rPr>
              <w:rFonts w:ascii="Times New Roman" w:hAnsi="Times New Roman"/>
              <w:sz w:val="24"/>
            </w:rPr>
          </w:pPr>
        </w:p>
      </w:tc>
    </w:tr>
    <w:tr w:rsidR="005647FA" w:rsidRPr="00336C45" w:rsidTr="00336C45">
      <w:trPr>
        <w:trHeight w:val="163"/>
      </w:trPr>
      <w:tc>
        <w:tcPr>
          <w:tcW w:w="8385" w:type="dxa"/>
        </w:tcPr>
        <w:p w:rsidR="005647FA" w:rsidRPr="00336C45" w:rsidRDefault="005647FA" w:rsidP="00336C45">
          <w:pPr>
            <w:pStyle w:val="HeaderBoldEven"/>
            <w:spacing w:before="0" w:after="0"/>
            <w:rPr>
              <w:rFonts w:ascii="Times New Roman" w:hAnsi="Times New Roman"/>
              <w:sz w:val="24"/>
            </w:rPr>
          </w:pPr>
        </w:p>
      </w:tc>
    </w:tr>
  </w:tbl>
  <w:p w:rsidR="005647FA" w:rsidRDefault="005647F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49" w:type="dxa"/>
      <w:tblInd w:w="80" w:type="dxa"/>
      <w:tblBorders>
        <w:bottom w:val="single" w:sz="4" w:space="0" w:color="auto"/>
      </w:tblBorders>
      <w:tblLook w:val="01E0"/>
    </w:tblPr>
    <w:tblGrid>
      <w:gridCol w:w="1304"/>
      <w:gridCol w:w="7145"/>
    </w:tblGrid>
    <w:tr w:rsidR="005647FA" w:rsidTr="00F741ED">
      <w:trPr>
        <w:cantSplit/>
      </w:trPr>
      <w:tc>
        <w:tcPr>
          <w:tcW w:w="1304" w:type="dxa"/>
          <w:vAlign w:val="bottom"/>
        </w:tcPr>
        <w:p w:rsidR="005647FA" w:rsidRDefault="005647FA" w:rsidP="00940013"/>
      </w:tc>
      <w:tc>
        <w:tcPr>
          <w:tcW w:w="7145" w:type="dxa"/>
          <w:vAlign w:val="bottom"/>
        </w:tcPr>
        <w:p w:rsidR="005647FA" w:rsidRDefault="005647FA" w:rsidP="00DB235F">
          <w:pPr>
            <w:jc w:val="right"/>
          </w:pPr>
          <w:r>
            <w:t>Schedule 3</w:t>
          </w:r>
        </w:p>
      </w:tc>
    </w:tr>
    <w:tr w:rsidR="005647FA" w:rsidTr="00F741ED">
      <w:trPr>
        <w:cantSplit/>
      </w:trPr>
      <w:tc>
        <w:tcPr>
          <w:tcW w:w="1304" w:type="dxa"/>
          <w:vAlign w:val="bottom"/>
        </w:tcPr>
        <w:p w:rsidR="005647FA" w:rsidRDefault="005647FA" w:rsidP="00940013"/>
      </w:tc>
      <w:tc>
        <w:tcPr>
          <w:tcW w:w="7145" w:type="dxa"/>
          <w:vAlign w:val="bottom"/>
        </w:tcPr>
        <w:p w:rsidR="005647FA" w:rsidRDefault="005647FA" w:rsidP="00D4306D">
          <w:pPr>
            <w:jc w:val="right"/>
          </w:pPr>
        </w:p>
      </w:tc>
    </w:tr>
    <w:tr w:rsidR="005647FA" w:rsidTr="00F741ED">
      <w:trPr>
        <w:cantSplit/>
      </w:trPr>
      <w:tc>
        <w:tcPr>
          <w:tcW w:w="1304" w:type="dxa"/>
          <w:vAlign w:val="bottom"/>
        </w:tcPr>
        <w:p w:rsidR="005647FA" w:rsidRDefault="005647FA" w:rsidP="00940013"/>
      </w:tc>
      <w:tc>
        <w:tcPr>
          <w:tcW w:w="7145" w:type="dxa"/>
          <w:vAlign w:val="bottom"/>
        </w:tcPr>
        <w:p w:rsidR="005647FA" w:rsidRDefault="005647FA" w:rsidP="00D4306D">
          <w:pPr>
            <w:jc w:val="right"/>
          </w:pPr>
        </w:p>
      </w:tc>
    </w:tr>
  </w:tbl>
  <w:p w:rsidR="005647FA" w:rsidRPr="00D207BF" w:rsidRDefault="005647FA">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6B"/>
    <w:multiLevelType w:val="hybridMultilevel"/>
    <w:tmpl w:val="25C8E136"/>
    <w:lvl w:ilvl="0" w:tplc="56243B2C">
      <w:start w:val="1"/>
      <w:numFmt w:val="decimal"/>
      <w:pStyle w:val="ClauseHeading"/>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02288F"/>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
    <w:nsid w:val="1B413B62"/>
    <w:multiLevelType w:val="multilevel"/>
    <w:tmpl w:val="A69AE3E0"/>
    <w:lvl w:ilvl="0">
      <w:start w:val="1"/>
      <w:numFmt w:val="decimal"/>
      <w:pStyle w:val="Schedulepoints"/>
      <w:lvlText w:val="%1"/>
      <w:lvlJc w:val="left"/>
      <w:pPr>
        <w:tabs>
          <w:tab w:val="num" w:pos="363"/>
        </w:tabs>
        <w:ind w:left="363" w:hanging="363"/>
      </w:pPr>
      <w:rPr>
        <w:rFonts w:hint="default"/>
      </w:r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1D6A30B4"/>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490F19A6"/>
    <w:multiLevelType w:val="hybridMultilevel"/>
    <w:tmpl w:val="C2248B28"/>
    <w:lvl w:ilvl="0" w:tplc="A32A0EEC">
      <w:start w:val="1"/>
      <w:numFmt w:val="decimal"/>
      <w:pStyle w:val="ScheduleClauseheading"/>
      <w:lvlText w:val="[%1]"/>
      <w:lvlJc w:val="left"/>
      <w:pPr>
        <w:ind w:left="644"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81027F"/>
    <w:multiLevelType w:val="hybridMultilevel"/>
    <w:tmpl w:val="021E88BE"/>
    <w:lvl w:ilvl="0" w:tplc="A87C1DD8">
      <w:start w:val="1"/>
      <w:numFmt w:val="lowerLetter"/>
      <w:lvlText w:val="(%1)"/>
      <w:lvlJc w:val="left"/>
      <w:pPr>
        <w:ind w:left="1211" w:hanging="360"/>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6">
    <w:nsid w:val="60F270E2"/>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
    <w:nsid w:val="6D716662"/>
    <w:multiLevelType w:val="hybridMultilevel"/>
    <w:tmpl w:val="9894DE48"/>
    <w:lvl w:ilvl="0" w:tplc="1DAE14B0">
      <w:start w:val="1"/>
      <w:numFmt w:val="decimal"/>
      <w:pStyle w:val="ClauseHeadings"/>
      <w:lvlText w:val="%1"/>
      <w:lvlJc w:val="left"/>
      <w:pPr>
        <w:ind w:left="1134" w:hanging="1134"/>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1721"/>
  <w:stylePaneSortMethod w:val="0004"/>
  <w:documentProtection w:edit="forms" w:enforcement="0"/>
  <w:defaultTabStop w:val="720"/>
  <w:evenAndOddHeaders/>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940013"/>
    <w:rsid w:val="00011548"/>
    <w:rsid w:val="00015AEC"/>
    <w:rsid w:val="00017B2B"/>
    <w:rsid w:val="00017F1B"/>
    <w:rsid w:val="000229D2"/>
    <w:rsid w:val="00024FC3"/>
    <w:rsid w:val="0002648D"/>
    <w:rsid w:val="00030A31"/>
    <w:rsid w:val="00032577"/>
    <w:rsid w:val="00037903"/>
    <w:rsid w:val="00041126"/>
    <w:rsid w:val="0004257E"/>
    <w:rsid w:val="00042FC3"/>
    <w:rsid w:val="000442B1"/>
    <w:rsid w:val="00044369"/>
    <w:rsid w:val="00044ADA"/>
    <w:rsid w:val="00044DBE"/>
    <w:rsid w:val="000454C1"/>
    <w:rsid w:val="00051ED6"/>
    <w:rsid w:val="00051EEE"/>
    <w:rsid w:val="00056DC0"/>
    <w:rsid w:val="00056F77"/>
    <w:rsid w:val="00057B28"/>
    <w:rsid w:val="00063BEB"/>
    <w:rsid w:val="00063DDE"/>
    <w:rsid w:val="00066933"/>
    <w:rsid w:val="0007379C"/>
    <w:rsid w:val="00074C39"/>
    <w:rsid w:val="00075EBE"/>
    <w:rsid w:val="000760D2"/>
    <w:rsid w:val="000762FF"/>
    <w:rsid w:val="00081CF5"/>
    <w:rsid w:val="0008312D"/>
    <w:rsid w:val="00083C48"/>
    <w:rsid w:val="0008421F"/>
    <w:rsid w:val="00085237"/>
    <w:rsid w:val="00085448"/>
    <w:rsid w:val="000937B0"/>
    <w:rsid w:val="00093DE5"/>
    <w:rsid w:val="0009616B"/>
    <w:rsid w:val="0009616D"/>
    <w:rsid w:val="000966DF"/>
    <w:rsid w:val="00097D44"/>
    <w:rsid w:val="000A5651"/>
    <w:rsid w:val="000A5D13"/>
    <w:rsid w:val="000A7CF6"/>
    <w:rsid w:val="000A7E8D"/>
    <w:rsid w:val="000B092E"/>
    <w:rsid w:val="000B09B0"/>
    <w:rsid w:val="000B231E"/>
    <w:rsid w:val="000B58A9"/>
    <w:rsid w:val="000C6FB6"/>
    <w:rsid w:val="000C70D8"/>
    <w:rsid w:val="000D0DF9"/>
    <w:rsid w:val="000D3CFC"/>
    <w:rsid w:val="000D44DF"/>
    <w:rsid w:val="000D64F4"/>
    <w:rsid w:val="000E057D"/>
    <w:rsid w:val="000E10FD"/>
    <w:rsid w:val="000E1D93"/>
    <w:rsid w:val="000E2D72"/>
    <w:rsid w:val="000E6768"/>
    <w:rsid w:val="000F1112"/>
    <w:rsid w:val="000F41E8"/>
    <w:rsid w:val="00103307"/>
    <w:rsid w:val="0010439D"/>
    <w:rsid w:val="00104722"/>
    <w:rsid w:val="00114677"/>
    <w:rsid w:val="001147FD"/>
    <w:rsid w:val="00116BE1"/>
    <w:rsid w:val="0011792F"/>
    <w:rsid w:val="00117C0F"/>
    <w:rsid w:val="0012145D"/>
    <w:rsid w:val="00122248"/>
    <w:rsid w:val="00123D8B"/>
    <w:rsid w:val="001243DB"/>
    <w:rsid w:val="0012467F"/>
    <w:rsid w:val="00125903"/>
    <w:rsid w:val="00136023"/>
    <w:rsid w:val="001415CB"/>
    <w:rsid w:val="00144FEA"/>
    <w:rsid w:val="00145ACB"/>
    <w:rsid w:val="00155307"/>
    <w:rsid w:val="001627C8"/>
    <w:rsid w:val="00171322"/>
    <w:rsid w:val="0017216B"/>
    <w:rsid w:val="001735C8"/>
    <w:rsid w:val="00173F1C"/>
    <w:rsid w:val="00177B8A"/>
    <w:rsid w:val="00177CBA"/>
    <w:rsid w:val="001829B7"/>
    <w:rsid w:val="001837F8"/>
    <w:rsid w:val="00184642"/>
    <w:rsid w:val="00187F66"/>
    <w:rsid w:val="00191605"/>
    <w:rsid w:val="00192C45"/>
    <w:rsid w:val="001937E2"/>
    <w:rsid w:val="00194123"/>
    <w:rsid w:val="00195744"/>
    <w:rsid w:val="001A2B8F"/>
    <w:rsid w:val="001A57F9"/>
    <w:rsid w:val="001A7741"/>
    <w:rsid w:val="001B2AF1"/>
    <w:rsid w:val="001B4F3B"/>
    <w:rsid w:val="001B618E"/>
    <w:rsid w:val="001C32CE"/>
    <w:rsid w:val="001C4F6D"/>
    <w:rsid w:val="001C6B8D"/>
    <w:rsid w:val="001D3FC7"/>
    <w:rsid w:val="001D6992"/>
    <w:rsid w:val="001E353D"/>
    <w:rsid w:val="001E66A8"/>
    <w:rsid w:val="001E787C"/>
    <w:rsid w:val="001F03CB"/>
    <w:rsid w:val="001F3D73"/>
    <w:rsid w:val="00200CD3"/>
    <w:rsid w:val="00202382"/>
    <w:rsid w:val="002023D3"/>
    <w:rsid w:val="0020593E"/>
    <w:rsid w:val="00210D92"/>
    <w:rsid w:val="00210FEA"/>
    <w:rsid w:val="002116DD"/>
    <w:rsid w:val="00212AB5"/>
    <w:rsid w:val="00216453"/>
    <w:rsid w:val="00220339"/>
    <w:rsid w:val="002210AA"/>
    <w:rsid w:val="00225650"/>
    <w:rsid w:val="00227FB1"/>
    <w:rsid w:val="0023336A"/>
    <w:rsid w:val="00240144"/>
    <w:rsid w:val="00240E46"/>
    <w:rsid w:val="0024140F"/>
    <w:rsid w:val="0024354F"/>
    <w:rsid w:val="00247E9B"/>
    <w:rsid w:val="002505D0"/>
    <w:rsid w:val="002515BE"/>
    <w:rsid w:val="00252653"/>
    <w:rsid w:val="00253918"/>
    <w:rsid w:val="00255EF0"/>
    <w:rsid w:val="0025787B"/>
    <w:rsid w:val="0026101E"/>
    <w:rsid w:val="002666DA"/>
    <w:rsid w:val="00267D9F"/>
    <w:rsid w:val="00270EEA"/>
    <w:rsid w:val="00277444"/>
    <w:rsid w:val="00284113"/>
    <w:rsid w:val="00290596"/>
    <w:rsid w:val="002942EC"/>
    <w:rsid w:val="00296177"/>
    <w:rsid w:val="002A0E59"/>
    <w:rsid w:val="002A1174"/>
    <w:rsid w:val="002A11C3"/>
    <w:rsid w:val="002A29DD"/>
    <w:rsid w:val="002A5886"/>
    <w:rsid w:val="002B3FE6"/>
    <w:rsid w:val="002B6292"/>
    <w:rsid w:val="002B6F88"/>
    <w:rsid w:val="002B7A4E"/>
    <w:rsid w:val="002C082F"/>
    <w:rsid w:val="002C184D"/>
    <w:rsid w:val="002C3BF9"/>
    <w:rsid w:val="002C3D69"/>
    <w:rsid w:val="002C4DA3"/>
    <w:rsid w:val="002C77A8"/>
    <w:rsid w:val="002C7A73"/>
    <w:rsid w:val="002D1E41"/>
    <w:rsid w:val="002D347B"/>
    <w:rsid w:val="002D451D"/>
    <w:rsid w:val="002D5438"/>
    <w:rsid w:val="002E19EA"/>
    <w:rsid w:val="002E482E"/>
    <w:rsid w:val="002E61F2"/>
    <w:rsid w:val="002E69E8"/>
    <w:rsid w:val="002F0EB2"/>
    <w:rsid w:val="002F22A8"/>
    <w:rsid w:val="002F34D9"/>
    <w:rsid w:val="002F7A7F"/>
    <w:rsid w:val="003008AE"/>
    <w:rsid w:val="00300FA5"/>
    <w:rsid w:val="00301D84"/>
    <w:rsid w:val="0030228E"/>
    <w:rsid w:val="003026EC"/>
    <w:rsid w:val="003049D4"/>
    <w:rsid w:val="00304B20"/>
    <w:rsid w:val="0030655B"/>
    <w:rsid w:val="00307195"/>
    <w:rsid w:val="00314C93"/>
    <w:rsid w:val="00315393"/>
    <w:rsid w:val="003154FA"/>
    <w:rsid w:val="003176D0"/>
    <w:rsid w:val="00320046"/>
    <w:rsid w:val="00323014"/>
    <w:rsid w:val="0032322C"/>
    <w:rsid w:val="00324E68"/>
    <w:rsid w:val="003261D5"/>
    <w:rsid w:val="00336C45"/>
    <w:rsid w:val="00343BD4"/>
    <w:rsid w:val="003545CD"/>
    <w:rsid w:val="003557A3"/>
    <w:rsid w:val="00355A25"/>
    <w:rsid w:val="00355CD9"/>
    <w:rsid w:val="0035725E"/>
    <w:rsid w:val="00361D25"/>
    <w:rsid w:val="00366ABE"/>
    <w:rsid w:val="00366F75"/>
    <w:rsid w:val="0037091A"/>
    <w:rsid w:val="00373CBC"/>
    <w:rsid w:val="0037415B"/>
    <w:rsid w:val="00374B76"/>
    <w:rsid w:val="00374FA4"/>
    <w:rsid w:val="00376F03"/>
    <w:rsid w:val="0038067F"/>
    <w:rsid w:val="0038087F"/>
    <w:rsid w:val="00384960"/>
    <w:rsid w:val="00385B52"/>
    <w:rsid w:val="00387227"/>
    <w:rsid w:val="0038727D"/>
    <w:rsid w:val="003913DC"/>
    <w:rsid w:val="00392201"/>
    <w:rsid w:val="00393130"/>
    <w:rsid w:val="0039735E"/>
    <w:rsid w:val="003A3DFE"/>
    <w:rsid w:val="003A4176"/>
    <w:rsid w:val="003A6D5F"/>
    <w:rsid w:val="003B3F41"/>
    <w:rsid w:val="003B5F87"/>
    <w:rsid w:val="003B606A"/>
    <w:rsid w:val="003B6432"/>
    <w:rsid w:val="003B6701"/>
    <w:rsid w:val="003B6C7F"/>
    <w:rsid w:val="003B7A72"/>
    <w:rsid w:val="003C0201"/>
    <w:rsid w:val="003C35A8"/>
    <w:rsid w:val="003C3ED7"/>
    <w:rsid w:val="003D1148"/>
    <w:rsid w:val="003D3498"/>
    <w:rsid w:val="003D394A"/>
    <w:rsid w:val="003E07D2"/>
    <w:rsid w:val="003E327B"/>
    <w:rsid w:val="003E46D5"/>
    <w:rsid w:val="003E5459"/>
    <w:rsid w:val="003F434D"/>
    <w:rsid w:val="003F50B4"/>
    <w:rsid w:val="003F5A76"/>
    <w:rsid w:val="003F645C"/>
    <w:rsid w:val="00400617"/>
    <w:rsid w:val="00401016"/>
    <w:rsid w:val="00401863"/>
    <w:rsid w:val="004021B2"/>
    <w:rsid w:val="00402BC4"/>
    <w:rsid w:val="00402EB9"/>
    <w:rsid w:val="004040C8"/>
    <w:rsid w:val="00404E0D"/>
    <w:rsid w:val="00410B8D"/>
    <w:rsid w:val="00410CC2"/>
    <w:rsid w:val="00411A39"/>
    <w:rsid w:val="004134E0"/>
    <w:rsid w:val="00414C98"/>
    <w:rsid w:val="0042046C"/>
    <w:rsid w:val="00420608"/>
    <w:rsid w:val="00420FD7"/>
    <w:rsid w:val="00425D75"/>
    <w:rsid w:val="00426BAA"/>
    <w:rsid w:val="00434537"/>
    <w:rsid w:val="00434F3A"/>
    <w:rsid w:val="004365EB"/>
    <w:rsid w:val="00440BB0"/>
    <w:rsid w:val="00444C6D"/>
    <w:rsid w:val="004513B7"/>
    <w:rsid w:val="004513C2"/>
    <w:rsid w:val="0045490F"/>
    <w:rsid w:val="00454941"/>
    <w:rsid w:val="00461257"/>
    <w:rsid w:val="00461B65"/>
    <w:rsid w:val="00465363"/>
    <w:rsid w:val="00467A54"/>
    <w:rsid w:val="004704A5"/>
    <w:rsid w:val="004729F7"/>
    <w:rsid w:val="00473DA4"/>
    <w:rsid w:val="00475BD1"/>
    <w:rsid w:val="0048121B"/>
    <w:rsid w:val="00482F96"/>
    <w:rsid w:val="0048648E"/>
    <w:rsid w:val="00487D8E"/>
    <w:rsid w:val="0049338C"/>
    <w:rsid w:val="004A1879"/>
    <w:rsid w:val="004A199B"/>
    <w:rsid w:val="004A74DA"/>
    <w:rsid w:val="004B347F"/>
    <w:rsid w:val="004B3DFE"/>
    <w:rsid w:val="004B4AE4"/>
    <w:rsid w:val="004B59A6"/>
    <w:rsid w:val="004B6653"/>
    <w:rsid w:val="004C0EE9"/>
    <w:rsid w:val="004C1296"/>
    <w:rsid w:val="004C22E3"/>
    <w:rsid w:val="004C3569"/>
    <w:rsid w:val="004C3F78"/>
    <w:rsid w:val="004C5900"/>
    <w:rsid w:val="004C5A35"/>
    <w:rsid w:val="004C6D2E"/>
    <w:rsid w:val="004C7813"/>
    <w:rsid w:val="004D1858"/>
    <w:rsid w:val="004D24F2"/>
    <w:rsid w:val="004D34EE"/>
    <w:rsid w:val="004D4AF7"/>
    <w:rsid w:val="004D62C1"/>
    <w:rsid w:val="004E0A99"/>
    <w:rsid w:val="004E13FB"/>
    <w:rsid w:val="004E3E37"/>
    <w:rsid w:val="004E417E"/>
    <w:rsid w:val="004E4875"/>
    <w:rsid w:val="004E5AAC"/>
    <w:rsid w:val="004E5C36"/>
    <w:rsid w:val="004E5E04"/>
    <w:rsid w:val="004E6CB3"/>
    <w:rsid w:val="004E7F26"/>
    <w:rsid w:val="004F11D1"/>
    <w:rsid w:val="004F2BE1"/>
    <w:rsid w:val="004F327F"/>
    <w:rsid w:val="004F39A1"/>
    <w:rsid w:val="004F3BBC"/>
    <w:rsid w:val="004F4147"/>
    <w:rsid w:val="004F5DCE"/>
    <w:rsid w:val="00502F95"/>
    <w:rsid w:val="005042D2"/>
    <w:rsid w:val="00504B19"/>
    <w:rsid w:val="00512534"/>
    <w:rsid w:val="00514346"/>
    <w:rsid w:val="005172D1"/>
    <w:rsid w:val="0052059C"/>
    <w:rsid w:val="00524826"/>
    <w:rsid w:val="00526AF3"/>
    <w:rsid w:val="0053034A"/>
    <w:rsid w:val="00530513"/>
    <w:rsid w:val="00530D87"/>
    <w:rsid w:val="005323BD"/>
    <w:rsid w:val="005354D8"/>
    <w:rsid w:val="005375E2"/>
    <w:rsid w:val="005378C6"/>
    <w:rsid w:val="00541779"/>
    <w:rsid w:val="005442C5"/>
    <w:rsid w:val="00547C80"/>
    <w:rsid w:val="005502A4"/>
    <w:rsid w:val="00553584"/>
    <w:rsid w:val="005553A8"/>
    <w:rsid w:val="00557483"/>
    <w:rsid w:val="0055755C"/>
    <w:rsid w:val="005603B6"/>
    <w:rsid w:val="0056237C"/>
    <w:rsid w:val="005628B6"/>
    <w:rsid w:val="00562BE8"/>
    <w:rsid w:val="005647FA"/>
    <w:rsid w:val="00566680"/>
    <w:rsid w:val="00567547"/>
    <w:rsid w:val="00570656"/>
    <w:rsid w:val="00571071"/>
    <w:rsid w:val="00571B88"/>
    <w:rsid w:val="005736A1"/>
    <w:rsid w:val="005775FA"/>
    <w:rsid w:val="00580284"/>
    <w:rsid w:val="00581D03"/>
    <w:rsid w:val="005845B1"/>
    <w:rsid w:val="00585C98"/>
    <w:rsid w:val="00587B95"/>
    <w:rsid w:val="0059004E"/>
    <w:rsid w:val="005937A6"/>
    <w:rsid w:val="005947D7"/>
    <w:rsid w:val="00595ADE"/>
    <w:rsid w:val="005A28A4"/>
    <w:rsid w:val="005A5019"/>
    <w:rsid w:val="005A5B7E"/>
    <w:rsid w:val="005B7AA0"/>
    <w:rsid w:val="005C0B60"/>
    <w:rsid w:val="005C2A9A"/>
    <w:rsid w:val="005C70B9"/>
    <w:rsid w:val="005D0855"/>
    <w:rsid w:val="005D23BC"/>
    <w:rsid w:val="005D2436"/>
    <w:rsid w:val="005D3794"/>
    <w:rsid w:val="005D4936"/>
    <w:rsid w:val="005D5061"/>
    <w:rsid w:val="005D5F89"/>
    <w:rsid w:val="005E04CC"/>
    <w:rsid w:val="005E07F3"/>
    <w:rsid w:val="005E221B"/>
    <w:rsid w:val="005F1AD1"/>
    <w:rsid w:val="005F2B02"/>
    <w:rsid w:val="005F4B9D"/>
    <w:rsid w:val="005F5548"/>
    <w:rsid w:val="006013DB"/>
    <w:rsid w:val="00605580"/>
    <w:rsid w:val="00606082"/>
    <w:rsid w:val="00611AE8"/>
    <w:rsid w:val="006148A6"/>
    <w:rsid w:val="00614CD8"/>
    <w:rsid w:val="00615ED0"/>
    <w:rsid w:val="00620B1A"/>
    <w:rsid w:val="00624B63"/>
    <w:rsid w:val="00624B7C"/>
    <w:rsid w:val="00625132"/>
    <w:rsid w:val="00625FCF"/>
    <w:rsid w:val="00626ADF"/>
    <w:rsid w:val="00630301"/>
    <w:rsid w:val="00630CFC"/>
    <w:rsid w:val="00632328"/>
    <w:rsid w:val="006352B6"/>
    <w:rsid w:val="00637256"/>
    <w:rsid w:val="00642264"/>
    <w:rsid w:val="006435B4"/>
    <w:rsid w:val="00644CBF"/>
    <w:rsid w:val="00645ECC"/>
    <w:rsid w:val="00650ADA"/>
    <w:rsid w:val="00655797"/>
    <w:rsid w:val="00661B70"/>
    <w:rsid w:val="00666A18"/>
    <w:rsid w:val="00666B91"/>
    <w:rsid w:val="0066718D"/>
    <w:rsid w:val="0066766B"/>
    <w:rsid w:val="006714EC"/>
    <w:rsid w:val="00671C0B"/>
    <w:rsid w:val="00671F9C"/>
    <w:rsid w:val="0067298A"/>
    <w:rsid w:val="00672DAA"/>
    <w:rsid w:val="00675636"/>
    <w:rsid w:val="00681DB3"/>
    <w:rsid w:val="00681F7A"/>
    <w:rsid w:val="00682539"/>
    <w:rsid w:val="00682B1E"/>
    <w:rsid w:val="00686498"/>
    <w:rsid w:val="00692850"/>
    <w:rsid w:val="006963EC"/>
    <w:rsid w:val="006A01D7"/>
    <w:rsid w:val="006A7FE4"/>
    <w:rsid w:val="006B0FBC"/>
    <w:rsid w:val="006B12A8"/>
    <w:rsid w:val="006B2BD9"/>
    <w:rsid w:val="006B4792"/>
    <w:rsid w:val="006B5BF8"/>
    <w:rsid w:val="006C038C"/>
    <w:rsid w:val="006C0F7E"/>
    <w:rsid w:val="006C50E6"/>
    <w:rsid w:val="006D268A"/>
    <w:rsid w:val="006E0728"/>
    <w:rsid w:val="006E0CE2"/>
    <w:rsid w:val="006E2A27"/>
    <w:rsid w:val="006E5F88"/>
    <w:rsid w:val="006E6446"/>
    <w:rsid w:val="006F0D33"/>
    <w:rsid w:val="006F0EBF"/>
    <w:rsid w:val="006F3A8B"/>
    <w:rsid w:val="006F3AFA"/>
    <w:rsid w:val="00700018"/>
    <w:rsid w:val="00701D2C"/>
    <w:rsid w:val="00702557"/>
    <w:rsid w:val="007025A9"/>
    <w:rsid w:val="0070338F"/>
    <w:rsid w:val="007049B9"/>
    <w:rsid w:val="00704A04"/>
    <w:rsid w:val="00704C09"/>
    <w:rsid w:val="00704F79"/>
    <w:rsid w:val="007063A7"/>
    <w:rsid w:val="00706BEA"/>
    <w:rsid w:val="00707CF1"/>
    <w:rsid w:val="007107DA"/>
    <w:rsid w:val="00713433"/>
    <w:rsid w:val="00713C23"/>
    <w:rsid w:val="007144F2"/>
    <w:rsid w:val="00714E60"/>
    <w:rsid w:val="007165C6"/>
    <w:rsid w:val="007174F1"/>
    <w:rsid w:val="007178CB"/>
    <w:rsid w:val="00720CA1"/>
    <w:rsid w:val="00724603"/>
    <w:rsid w:val="00724E0B"/>
    <w:rsid w:val="0072578E"/>
    <w:rsid w:val="00740F9F"/>
    <w:rsid w:val="007416E7"/>
    <w:rsid w:val="00743FBE"/>
    <w:rsid w:val="00744F46"/>
    <w:rsid w:val="007460C4"/>
    <w:rsid w:val="007478DC"/>
    <w:rsid w:val="00750379"/>
    <w:rsid w:val="00756B9B"/>
    <w:rsid w:val="00757193"/>
    <w:rsid w:val="007605EC"/>
    <w:rsid w:val="00761A4B"/>
    <w:rsid w:val="007620A6"/>
    <w:rsid w:val="0076272B"/>
    <w:rsid w:val="00762FC4"/>
    <w:rsid w:val="00765220"/>
    <w:rsid w:val="00767EC3"/>
    <w:rsid w:val="0077012C"/>
    <w:rsid w:val="00775603"/>
    <w:rsid w:val="007767F2"/>
    <w:rsid w:val="007773F3"/>
    <w:rsid w:val="00783327"/>
    <w:rsid w:val="00785EB2"/>
    <w:rsid w:val="00790492"/>
    <w:rsid w:val="00792958"/>
    <w:rsid w:val="0079717F"/>
    <w:rsid w:val="007A3036"/>
    <w:rsid w:val="007A375C"/>
    <w:rsid w:val="007A3916"/>
    <w:rsid w:val="007A41EE"/>
    <w:rsid w:val="007A51BA"/>
    <w:rsid w:val="007B031E"/>
    <w:rsid w:val="007B1335"/>
    <w:rsid w:val="007B2123"/>
    <w:rsid w:val="007B331B"/>
    <w:rsid w:val="007B79B9"/>
    <w:rsid w:val="007C15BB"/>
    <w:rsid w:val="007C5E95"/>
    <w:rsid w:val="007C6D0F"/>
    <w:rsid w:val="007C75D5"/>
    <w:rsid w:val="007D459D"/>
    <w:rsid w:val="007D58CE"/>
    <w:rsid w:val="007D6D0C"/>
    <w:rsid w:val="007D7D50"/>
    <w:rsid w:val="007E43C6"/>
    <w:rsid w:val="007E4789"/>
    <w:rsid w:val="007E6CE8"/>
    <w:rsid w:val="007E6D19"/>
    <w:rsid w:val="007F0A60"/>
    <w:rsid w:val="007F4DE6"/>
    <w:rsid w:val="007F778D"/>
    <w:rsid w:val="00802294"/>
    <w:rsid w:val="00804309"/>
    <w:rsid w:val="00804980"/>
    <w:rsid w:val="008051EA"/>
    <w:rsid w:val="00813244"/>
    <w:rsid w:val="00814404"/>
    <w:rsid w:val="00816BB4"/>
    <w:rsid w:val="00817111"/>
    <w:rsid w:val="008202FC"/>
    <w:rsid w:val="00824A09"/>
    <w:rsid w:val="008261AB"/>
    <w:rsid w:val="008273EC"/>
    <w:rsid w:val="008308AE"/>
    <w:rsid w:val="00831D0F"/>
    <w:rsid w:val="008325ED"/>
    <w:rsid w:val="00832F88"/>
    <w:rsid w:val="00834289"/>
    <w:rsid w:val="00835BE0"/>
    <w:rsid w:val="00836D53"/>
    <w:rsid w:val="008377D1"/>
    <w:rsid w:val="00842000"/>
    <w:rsid w:val="0084310B"/>
    <w:rsid w:val="00843DEB"/>
    <w:rsid w:val="00846270"/>
    <w:rsid w:val="008463F5"/>
    <w:rsid w:val="00847F8B"/>
    <w:rsid w:val="00854D70"/>
    <w:rsid w:val="00855531"/>
    <w:rsid w:val="008575B8"/>
    <w:rsid w:val="00860993"/>
    <w:rsid w:val="008622B8"/>
    <w:rsid w:val="00863AEC"/>
    <w:rsid w:val="00863B55"/>
    <w:rsid w:val="008651EA"/>
    <w:rsid w:val="00865EF1"/>
    <w:rsid w:val="00866061"/>
    <w:rsid w:val="008723AC"/>
    <w:rsid w:val="00872ED0"/>
    <w:rsid w:val="008737FF"/>
    <w:rsid w:val="00874130"/>
    <w:rsid w:val="00874604"/>
    <w:rsid w:val="00876F7A"/>
    <w:rsid w:val="00885E1A"/>
    <w:rsid w:val="00887F4E"/>
    <w:rsid w:val="008936BB"/>
    <w:rsid w:val="00893C91"/>
    <w:rsid w:val="0089550D"/>
    <w:rsid w:val="00895CF6"/>
    <w:rsid w:val="0089796F"/>
    <w:rsid w:val="008B38E1"/>
    <w:rsid w:val="008B4D03"/>
    <w:rsid w:val="008B62FA"/>
    <w:rsid w:val="008B6A34"/>
    <w:rsid w:val="008C3743"/>
    <w:rsid w:val="008C68B7"/>
    <w:rsid w:val="008C6C3C"/>
    <w:rsid w:val="008D3D0A"/>
    <w:rsid w:val="008D4084"/>
    <w:rsid w:val="008E210A"/>
    <w:rsid w:val="008E32B2"/>
    <w:rsid w:val="008E6E69"/>
    <w:rsid w:val="008F0EB9"/>
    <w:rsid w:val="008F34D9"/>
    <w:rsid w:val="008F6E4D"/>
    <w:rsid w:val="008F7119"/>
    <w:rsid w:val="008F7711"/>
    <w:rsid w:val="009009A5"/>
    <w:rsid w:val="00902850"/>
    <w:rsid w:val="00903982"/>
    <w:rsid w:val="00906E38"/>
    <w:rsid w:val="00910554"/>
    <w:rsid w:val="009140E5"/>
    <w:rsid w:val="0092003D"/>
    <w:rsid w:val="00923EB2"/>
    <w:rsid w:val="00924E0C"/>
    <w:rsid w:val="00925776"/>
    <w:rsid w:val="00927387"/>
    <w:rsid w:val="00931775"/>
    <w:rsid w:val="0093329A"/>
    <w:rsid w:val="00933966"/>
    <w:rsid w:val="00934256"/>
    <w:rsid w:val="009378DF"/>
    <w:rsid w:val="00937B52"/>
    <w:rsid w:val="00940013"/>
    <w:rsid w:val="00941CE4"/>
    <w:rsid w:val="00942AA8"/>
    <w:rsid w:val="009443C8"/>
    <w:rsid w:val="00944DA4"/>
    <w:rsid w:val="009465D0"/>
    <w:rsid w:val="00946ACE"/>
    <w:rsid w:val="0094772E"/>
    <w:rsid w:val="0095081F"/>
    <w:rsid w:val="0095164B"/>
    <w:rsid w:val="009524E9"/>
    <w:rsid w:val="00952975"/>
    <w:rsid w:val="0095310B"/>
    <w:rsid w:val="009553BB"/>
    <w:rsid w:val="009562EF"/>
    <w:rsid w:val="009576D4"/>
    <w:rsid w:val="00957CA9"/>
    <w:rsid w:val="00964366"/>
    <w:rsid w:val="00964B66"/>
    <w:rsid w:val="0097068C"/>
    <w:rsid w:val="00972324"/>
    <w:rsid w:val="00973B4C"/>
    <w:rsid w:val="009759EE"/>
    <w:rsid w:val="00975E3C"/>
    <w:rsid w:val="00976CE3"/>
    <w:rsid w:val="00977203"/>
    <w:rsid w:val="00980E07"/>
    <w:rsid w:val="00982720"/>
    <w:rsid w:val="009855A4"/>
    <w:rsid w:val="00985FC1"/>
    <w:rsid w:val="00991A79"/>
    <w:rsid w:val="00993655"/>
    <w:rsid w:val="009944CA"/>
    <w:rsid w:val="009A0301"/>
    <w:rsid w:val="009A10AA"/>
    <w:rsid w:val="009A1D38"/>
    <w:rsid w:val="009A2AC2"/>
    <w:rsid w:val="009A4112"/>
    <w:rsid w:val="009A52BB"/>
    <w:rsid w:val="009B4230"/>
    <w:rsid w:val="009B4B28"/>
    <w:rsid w:val="009C120B"/>
    <w:rsid w:val="009C18F3"/>
    <w:rsid w:val="009C44A6"/>
    <w:rsid w:val="009C5E9A"/>
    <w:rsid w:val="009D001E"/>
    <w:rsid w:val="009D04A0"/>
    <w:rsid w:val="009D21B2"/>
    <w:rsid w:val="009D4F33"/>
    <w:rsid w:val="009D5227"/>
    <w:rsid w:val="009D6466"/>
    <w:rsid w:val="009D7062"/>
    <w:rsid w:val="009D7DAE"/>
    <w:rsid w:val="009E4672"/>
    <w:rsid w:val="009E4A9A"/>
    <w:rsid w:val="009E5A87"/>
    <w:rsid w:val="009E7D74"/>
    <w:rsid w:val="009F04C1"/>
    <w:rsid w:val="009F3482"/>
    <w:rsid w:val="009F37B2"/>
    <w:rsid w:val="00A000CE"/>
    <w:rsid w:val="00A01728"/>
    <w:rsid w:val="00A07E4D"/>
    <w:rsid w:val="00A134A8"/>
    <w:rsid w:val="00A13C55"/>
    <w:rsid w:val="00A14A88"/>
    <w:rsid w:val="00A156E9"/>
    <w:rsid w:val="00A174B8"/>
    <w:rsid w:val="00A302A6"/>
    <w:rsid w:val="00A32BFD"/>
    <w:rsid w:val="00A3375B"/>
    <w:rsid w:val="00A34C58"/>
    <w:rsid w:val="00A35002"/>
    <w:rsid w:val="00A35526"/>
    <w:rsid w:val="00A4712B"/>
    <w:rsid w:val="00A47673"/>
    <w:rsid w:val="00A50390"/>
    <w:rsid w:val="00A507DE"/>
    <w:rsid w:val="00A50BF2"/>
    <w:rsid w:val="00A51413"/>
    <w:rsid w:val="00A527A1"/>
    <w:rsid w:val="00A52BDE"/>
    <w:rsid w:val="00A54347"/>
    <w:rsid w:val="00A54E1A"/>
    <w:rsid w:val="00A57194"/>
    <w:rsid w:val="00A571D5"/>
    <w:rsid w:val="00A60141"/>
    <w:rsid w:val="00A62CAE"/>
    <w:rsid w:val="00A678C7"/>
    <w:rsid w:val="00A77D98"/>
    <w:rsid w:val="00A81F18"/>
    <w:rsid w:val="00A835D5"/>
    <w:rsid w:val="00A86D48"/>
    <w:rsid w:val="00A90EE5"/>
    <w:rsid w:val="00A96F83"/>
    <w:rsid w:val="00AA0EF7"/>
    <w:rsid w:val="00AA15AB"/>
    <w:rsid w:val="00AA1AFF"/>
    <w:rsid w:val="00AA7C04"/>
    <w:rsid w:val="00AB2741"/>
    <w:rsid w:val="00AB27CE"/>
    <w:rsid w:val="00AB319F"/>
    <w:rsid w:val="00AB5133"/>
    <w:rsid w:val="00AB5517"/>
    <w:rsid w:val="00AB5E50"/>
    <w:rsid w:val="00AB5F89"/>
    <w:rsid w:val="00AB7540"/>
    <w:rsid w:val="00AB764C"/>
    <w:rsid w:val="00AC1979"/>
    <w:rsid w:val="00AC2F9F"/>
    <w:rsid w:val="00AC4622"/>
    <w:rsid w:val="00AC5D62"/>
    <w:rsid w:val="00AD01DB"/>
    <w:rsid w:val="00AD0C30"/>
    <w:rsid w:val="00AD19E7"/>
    <w:rsid w:val="00AD4345"/>
    <w:rsid w:val="00AD5013"/>
    <w:rsid w:val="00AE11F7"/>
    <w:rsid w:val="00AE3277"/>
    <w:rsid w:val="00AE58D8"/>
    <w:rsid w:val="00AE5D63"/>
    <w:rsid w:val="00AE77BB"/>
    <w:rsid w:val="00AF0200"/>
    <w:rsid w:val="00AF09AB"/>
    <w:rsid w:val="00AF0CD0"/>
    <w:rsid w:val="00AF3000"/>
    <w:rsid w:val="00AF3CFF"/>
    <w:rsid w:val="00AF53A0"/>
    <w:rsid w:val="00AF5483"/>
    <w:rsid w:val="00AF59C8"/>
    <w:rsid w:val="00AF5F43"/>
    <w:rsid w:val="00AF6FF0"/>
    <w:rsid w:val="00B00DF4"/>
    <w:rsid w:val="00B01419"/>
    <w:rsid w:val="00B01593"/>
    <w:rsid w:val="00B0163F"/>
    <w:rsid w:val="00B02E63"/>
    <w:rsid w:val="00B05EA2"/>
    <w:rsid w:val="00B06016"/>
    <w:rsid w:val="00B11752"/>
    <w:rsid w:val="00B118C4"/>
    <w:rsid w:val="00B12DF0"/>
    <w:rsid w:val="00B14B79"/>
    <w:rsid w:val="00B14E27"/>
    <w:rsid w:val="00B21994"/>
    <w:rsid w:val="00B23B26"/>
    <w:rsid w:val="00B3186B"/>
    <w:rsid w:val="00B3638F"/>
    <w:rsid w:val="00B37C8F"/>
    <w:rsid w:val="00B41D28"/>
    <w:rsid w:val="00B43209"/>
    <w:rsid w:val="00B4505E"/>
    <w:rsid w:val="00B4788E"/>
    <w:rsid w:val="00B51982"/>
    <w:rsid w:val="00B57127"/>
    <w:rsid w:val="00B6045F"/>
    <w:rsid w:val="00B60781"/>
    <w:rsid w:val="00B63E8C"/>
    <w:rsid w:val="00B66104"/>
    <w:rsid w:val="00B70456"/>
    <w:rsid w:val="00B7086D"/>
    <w:rsid w:val="00B716D8"/>
    <w:rsid w:val="00B71A74"/>
    <w:rsid w:val="00B72006"/>
    <w:rsid w:val="00B748A6"/>
    <w:rsid w:val="00B74EA0"/>
    <w:rsid w:val="00B86C97"/>
    <w:rsid w:val="00B918EF"/>
    <w:rsid w:val="00B930D0"/>
    <w:rsid w:val="00BA0309"/>
    <w:rsid w:val="00BA29D8"/>
    <w:rsid w:val="00BA2E82"/>
    <w:rsid w:val="00BA3617"/>
    <w:rsid w:val="00BA3A6F"/>
    <w:rsid w:val="00BA4B57"/>
    <w:rsid w:val="00BA51C7"/>
    <w:rsid w:val="00BA6889"/>
    <w:rsid w:val="00BA7789"/>
    <w:rsid w:val="00BA7DA9"/>
    <w:rsid w:val="00BB18D9"/>
    <w:rsid w:val="00BB1BB5"/>
    <w:rsid w:val="00BB4F14"/>
    <w:rsid w:val="00BB5A67"/>
    <w:rsid w:val="00BB66F1"/>
    <w:rsid w:val="00BC05C6"/>
    <w:rsid w:val="00BC0F8C"/>
    <w:rsid w:val="00BC169A"/>
    <w:rsid w:val="00BC2BB4"/>
    <w:rsid w:val="00BC3308"/>
    <w:rsid w:val="00BD1315"/>
    <w:rsid w:val="00BD13DF"/>
    <w:rsid w:val="00BD2B55"/>
    <w:rsid w:val="00BD50F9"/>
    <w:rsid w:val="00BD564C"/>
    <w:rsid w:val="00BD5FB2"/>
    <w:rsid w:val="00BD62F1"/>
    <w:rsid w:val="00BE1E22"/>
    <w:rsid w:val="00BE30CC"/>
    <w:rsid w:val="00BE4779"/>
    <w:rsid w:val="00BE783E"/>
    <w:rsid w:val="00BF26C2"/>
    <w:rsid w:val="00BF3084"/>
    <w:rsid w:val="00C00702"/>
    <w:rsid w:val="00C00EA3"/>
    <w:rsid w:val="00C02018"/>
    <w:rsid w:val="00C10385"/>
    <w:rsid w:val="00C1148C"/>
    <w:rsid w:val="00C115BA"/>
    <w:rsid w:val="00C13A32"/>
    <w:rsid w:val="00C166CE"/>
    <w:rsid w:val="00C16D81"/>
    <w:rsid w:val="00C22BDD"/>
    <w:rsid w:val="00C23D85"/>
    <w:rsid w:val="00C26ADF"/>
    <w:rsid w:val="00C26D8D"/>
    <w:rsid w:val="00C27A67"/>
    <w:rsid w:val="00C34E27"/>
    <w:rsid w:val="00C4098E"/>
    <w:rsid w:val="00C41473"/>
    <w:rsid w:val="00C41540"/>
    <w:rsid w:val="00C42076"/>
    <w:rsid w:val="00C4543E"/>
    <w:rsid w:val="00C476C5"/>
    <w:rsid w:val="00C50066"/>
    <w:rsid w:val="00C5025C"/>
    <w:rsid w:val="00C53905"/>
    <w:rsid w:val="00C53D20"/>
    <w:rsid w:val="00C57DCA"/>
    <w:rsid w:val="00C710C4"/>
    <w:rsid w:val="00C71CCF"/>
    <w:rsid w:val="00C81C21"/>
    <w:rsid w:val="00C82A0E"/>
    <w:rsid w:val="00C82C71"/>
    <w:rsid w:val="00C86745"/>
    <w:rsid w:val="00C87625"/>
    <w:rsid w:val="00C87EC8"/>
    <w:rsid w:val="00C9045B"/>
    <w:rsid w:val="00C90515"/>
    <w:rsid w:val="00C95E81"/>
    <w:rsid w:val="00C96467"/>
    <w:rsid w:val="00CA1A81"/>
    <w:rsid w:val="00CA3E16"/>
    <w:rsid w:val="00CA536C"/>
    <w:rsid w:val="00CA5EA0"/>
    <w:rsid w:val="00CA60D6"/>
    <w:rsid w:val="00CB0CC8"/>
    <w:rsid w:val="00CB357B"/>
    <w:rsid w:val="00CB4779"/>
    <w:rsid w:val="00CB7082"/>
    <w:rsid w:val="00CC11D1"/>
    <w:rsid w:val="00CC2E7B"/>
    <w:rsid w:val="00CC3C6C"/>
    <w:rsid w:val="00CC4024"/>
    <w:rsid w:val="00CC4537"/>
    <w:rsid w:val="00CC46D6"/>
    <w:rsid w:val="00CC5003"/>
    <w:rsid w:val="00CC5BA3"/>
    <w:rsid w:val="00CD3981"/>
    <w:rsid w:val="00CD45B6"/>
    <w:rsid w:val="00CD5889"/>
    <w:rsid w:val="00CE74F2"/>
    <w:rsid w:val="00CE7D84"/>
    <w:rsid w:val="00CF230D"/>
    <w:rsid w:val="00CF2444"/>
    <w:rsid w:val="00CF244A"/>
    <w:rsid w:val="00CF4D5B"/>
    <w:rsid w:val="00D005E4"/>
    <w:rsid w:val="00D02EFE"/>
    <w:rsid w:val="00D0370E"/>
    <w:rsid w:val="00D040B6"/>
    <w:rsid w:val="00D06907"/>
    <w:rsid w:val="00D1144B"/>
    <w:rsid w:val="00D16B0F"/>
    <w:rsid w:val="00D16B45"/>
    <w:rsid w:val="00D207BF"/>
    <w:rsid w:val="00D20A1F"/>
    <w:rsid w:val="00D2138F"/>
    <w:rsid w:val="00D224BD"/>
    <w:rsid w:val="00D27CF1"/>
    <w:rsid w:val="00D31F74"/>
    <w:rsid w:val="00D32333"/>
    <w:rsid w:val="00D32422"/>
    <w:rsid w:val="00D3252F"/>
    <w:rsid w:val="00D33E09"/>
    <w:rsid w:val="00D35253"/>
    <w:rsid w:val="00D3572F"/>
    <w:rsid w:val="00D416B4"/>
    <w:rsid w:val="00D4306D"/>
    <w:rsid w:val="00D43168"/>
    <w:rsid w:val="00D50448"/>
    <w:rsid w:val="00D53123"/>
    <w:rsid w:val="00D540B5"/>
    <w:rsid w:val="00D57350"/>
    <w:rsid w:val="00D57CB7"/>
    <w:rsid w:val="00D60A89"/>
    <w:rsid w:val="00D615A3"/>
    <w:rsid w:val="00D63A13"/>
    <w:rsid w:val="00D71B89"/>
    <w:rsid w:val="00D738C0"/>
    <w:rsid w:val="00D7540C"/>
    <w:rsid w:val="00D774D6"/>
    <w:rsid w:val="00D77D1F"/>
    <w:rsid w:val="00D86025"/>
    <w:rsid w:val="00D86CAB"/>
    <w:rsid w:val="00D90AC6"/>
    <w:rsid w:val="00D91666"/>
    <w:rsid w:val="00D93B29"/>
    <w:rsid w:val="00D944A4"/>
    <w:rsid w:val="00D946F5"/>
    <w:rsid w:val="00D94F32"/>
    <w:rsid w:val="00D95027"/>
    <w:rsid w:val="00D96213"/>
    <w:rsid w:val="00DA00F0"/>
    <w:rsid w:val="00DA3015"/>
    <w:rsid w:val="00DA3D7D"/>
    <w:rsid w:val="00DB0726"/>
    <w:rsid w:val="00DB235F"/>
    <w:rsid w:val="00DB39A1"/>
    <w:rsid w:val="00DB5235"/>
    <w:rsid w:val="00DB5611"/>
    <w:rsid w:val="00DB58B8"/>
    <w:rsid w:val="00DB5AFC"/>
    <w:rsid w:val="00DC30D1"/>
    <w:rsid w:val="00DC38D8"/>
    <w:rsid w:val="00DC3B45"/>
    <w:rsid w:val="00DC7572"/>
    <w:rsid w:val="00DD301D"/>
    <w:rsid w:val="00DD697D"/>
    <w:rsid w:val="00DE0C83"/>
    <w:rsid w:val="00DE2B9C"/>
    <w:rsid w:val="00DE2D2B"/>
    <w:rsid w:val="00DE47D5"/>
    <w:rsid w:val="00DE5822"/>
    <w:rsid w:val="00DE7365"/>
    <w:rsid w:val="00DE769D"/>
    <w:rsid w:val="00DF061E"/>
    <w:rsid w:val="00DF1BAC"/>
    <w:rsid w:val="00DF3061"/>
    <w:rsid w:val="00DF4F59"/>
    <w:rsid w:val="00E0230E"/>
    <w:rsid w:val="00E046A9"/>
    <w:rsid w:val="00E055A9"/>
    <w:rsid w:val="00E062DC"/>
    <w:rsid w:val="00E10CC1"/>
    <w:rsid w:val="00E12D9B"/>
    <w:rsid w:val="00E1374B"/>
    <w:rsid w:val="00E160A0"/>
    <w:rsid w:val="00E1694C"/>
    <w:rsid w:val="00E25B84"/>
    <w:rsid w:val="00E25C82"/>
    <w:rsid w:val="00E25CB9"/>
    <w:rsid w:val="00E271E8"/>
    <w:rsid w:val="00E2798D"/>
    <w:rsid w:val="00E32A21"/>
    <w:rsid w:val="00E33690"/>
    <w:rsid w:val="00E33B48"/>
    <w:rsid w:val="00E34596"/>
    <w:rsid w:val="00E34AC8"/>
    <w:rsid w:val="00E356F2"/>
    <w:rsid w:val="00E41FB7"/>
    <w:rsid w:val="00E50667"/>
    <w:rsid w:val="00E5351F"/>
    <w:rsid w:val="00E54312"/>
    <w:rsid w:val="00E546AB"/>
    <w:rsid w:val="00E57138"/>
    <w:rsid w:val="00E622F7"/>
    <w:rsid w:val="00E642F8"/>
    <w:rsid w:val="00E65B2D"/>
    <w:rsid w:val="00E6643D"/>
    <w:rsid w:val="00E66CC2"/>
    <w:rsid w:val="00E71C97"/>
    <w:rsid w:val="00E721C0"/>
    <w:rsid w:val="00E7285F"/>
    <w:rsid w:val="00E736E7"/>
    <w:rsid w:val="00E74376"/>
    <w:rsid w:val="00E80376"/>
    <w:rsid w:val="00E804B9"/>
    <w:rsid w:val="00E81D92"/>
    <w:rsid w:val="00E87ACE"/>
    <w:rsid w:val="00E921D5"/>
    <w:rsid w:val="00E93797"/>
    <w:rsid w:val="00E95AF6"/>
    <w:rsid w:val="00E96758"/>
    <w:rsid w:val="00E96D09"/>
    <w:rsid w:val="00EA1F14"/>
    <w:rsid w:val="00EA2187"/>
    <w:rsid w:val="00EA3B1B"/>
    <w:rsid w:val="00EA5EB0"/>
    <w:rsid w:val="00EA5F56"/>
    <w:rsid w:val="00EA6A86"/>
    <w:rsid w:val="00EA6CC3"/>
    <w:rsid w:val="00EB02AA"/>
    <w:rsid w:val="00EB44D4"/>
    <w:rsid w:val="00EC1957"/>
    <w:rsid w:val="00ED0E45"/>
    <w:rsid w:val="00ED2889"/>
    <w:rsid w:val="00ED28B0"/>
    <w:rsid w:val="00ED31C9"/>
    <w:rsid w:val="00ED32F0"/>
    <w:rsid w:val="00ED611B"/>
    <w:rsid w:val="00ED7035"/>
    <w:rsid w:val="00EE1333"/>
    <w:rsid w:val="00EE1BDD"/>
    <w:rsid w:val="00EE2A5C"/>
    <w:rsid w:val="00EE5799"/>
    <w:rsid w:val="00EE57AD"/>
    <w:rsid w:val="00EE5EE4"/>
    <w:rsid w:val="00EE7E3E"/>
    <w:rsid w:val="00EF0995"/>
    <w:rsid w:val="00EF2A4A"/>
    <w:rsid w:val="00EF39D2"/>
    <w:rsid w:val="00EF3B6A"/>
    <w:rsid w:val="00EF641A"/>
    <w:rsid w:val="00EF6484"/>
    <w:rsid w:val="00F03EF8"/>
    <w:rsid w:val="00F04EF3"/>
    <w:rsid w:val="00F061CB"/>
    <w:rsid w:val="00F10979"/>
    <w:rsid w:val="00F10E68"/>
    <w:rsid w:val="00F111EC"/>
    <w:rsid w:val="00F11356"/>
    <w:rsid w:val="00F118DF"/>
    <w:rsid w:val="00F1466B"/>
    <w:rsid w:val="00F1522C"/>
    <w:rsid w:val="00F16E50"/>
    <w:rsid w:val="00F17A47"/>
    <w:rsid w:val="00F22B83"/>
    <w:rsid w:val="00F253F9"/>
    <w:rsid w:val="00F33D3F"/>
    <w:rsid w:val="00F35911"/>
    <w:rsid w:val="00F375C6"/>
    <w:rsid w:val="00F40C61"/>
    <w:rsid w:val="00F42BDE"/>
    <w:rsid w:val="00F44BBA"/>
    <w:rsid w:val="00F453E5"/>
    <w:rsid w:val="00F52AD0"/>
    <w:rsid w:val="00F52C4A"/>
    <w:rsid w:val="00F53182"/>
    <w:rsid w:val="00F53644"/>
    <w:rsid w:val="00F541ED"/>
    <w:rsid w:val="00F61B92"/>
    <w:rsid w:val="00F627D5"/>
    <w:rsid w:val="00F6712F"/>
    <w:rsid w:val="00F70ACD"/>
    <w:rsid w:val="00F73591"/>
    <w:rsid w:val="00F73C16"/>
    <w:rsid w:val="00F741ED"/>
    <w:rsid w:val="00F74D9E"/>
    <w:rsid w:val="00F81924"/>
    <w:rsid w:val="00F84B0C"/>
    <w:rsid w:val="00F868B2"/>
    <w:rsid w:val="00F874F9"/>
    <w:rsid w:val="00F87A8D"/>
    <w:rsid w:val="00F87BAE"/>
    <w:rsid w:val="00F902DC"/>
    <w:rsid w:val="00F90391"/>
    <w:rsid w:val="00F90665"/>
    <w:rsid w:val="00F930BE"/>
    <w:rsid w:val="00F93F20"/>
    <w:rsid w:val="00F954DD"/>
    <w:rsid w:val="00FA125B"/>
    <w:rsid w:val="00FA332C"/>
    <w:rsid w:val="00FA600C"/>
    <w:rsid w:val="00FA7123"/>
    <w:rsid w:val="00FA74A4"/>
    <w:rsid w:val="00FB4AA1"/>
    <w:rsid w:val="00FB5F03"/>
    <w:rsid w:val="00FB6AF3"/>
    <w:rsid w:val="00FB74C3"/>
    <w:rsid w:val="00FC035F"/>
    <w:rsid w:val="00FC13AD"/>
    <w:rsid w:val="00FC487A"/>
    <w:rsid w:val="00FC597E"/>
    <w:rsid w:val="00FC68E4"/>
    <w:rsid w:val="00FC772B"/>
    <w:rsid w:val="00FD04A8"/>
    <w:rsid w:val="00FD091E"/>
    <w:rsid w:val="00FD21AE"/>
    <w:rsid w:val="00FE09A3"/>
    <w:rsid w:val="00FE0AF2"/>
    <w:rsid w:val="00FE21C8"/>
    <w:rsid w:val="00FE41DE"/>
    <w:rsid w:val="00FE4CBA"/>
    <w:rsid w:val="00FE6F31"/>
    <w:rsid w:val="00FF0B04"/>
    <w:rsid w:val="00FF16B2"/>
    <w:rsid w:val="00FF5184"/>
    <w:rsid w:val="00FF54D8"/>
    <w:rsid w:val="00FF59C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D8"/>
    <w:rPr>
      <w:rFonts w:ascii="Times New Roman" w:hAnsi="Times New Roman"/>
      <w:sz w:val="24"/>
      <w:szCs w:val="24"/>
    </w:rPr>
  </w:style>
  <w:style w:type="paragraph" w:styleId="Heading1">
    <w:name w:val="heading 1"/>
    <w:basedOn w:val="Normal"/>
    <w:next w:val="Normal"/>
    <w:link w:val="Heading1Char"/>
    <w:qFormat/>
    <w:rsid w:val="00625132"/>
    <w:pPr>
      <w:keepNext/>
      <w:spacing w:before="60"/>
      <w:jc w:val="center"/>
      <w:outlineLvl w:val="0"/>
    </w:pPr>
    <w:rPr>
      <w:b/>
      <w:kern w:val="28"/>
      <w:sz w:val="30"/>
    </w:rPr>
  </w:style>
  <w:style w:type="paragraph" w:styleId="Heading2">
    <w:name w:val="heading 2"/>
    <w:basedOn w:val="Normal"/>
    <w:next w:val="Normal"/>
    <w:link w:val="Heading2Char"/>
    <w:qFormat/>
    <w:rsid w:val="00625132"/>
    <w:pPr>
      <w:keepNext/>
      <w:spacing w:before="60" w:after="160"/>
      <w:outlineLvl w:val="1"/>
    </w:pPr>
    <w:rPr>
      <w:b/>
      <w:sz w:val="26"/>
    </w:rPr>
  </w:style>
  <w:style w:type="paragraph" w:styleId="Heading3">
    <w:name w:val="heading 3"/>
    <w:basedOn w:val="Normal"/>
    <w:next w:val="Normal"/>
    <w:link w:val="Heading3Char"/>
    <w:qFormat/>
    <w:rsid w:val="00625132"/>
    <w:pPr>
      <w:keepNext/>
      <w:spacing w:before="60" w:after="160" w:line="240" w:lineRule="atLeast"/>
      <w:outlineLvl w:val="2"/>
    </w:pPr>
    <w:rPr>
      <w:b/>
      <w:i/>
      <w:sz w:val="22"/>
    </w:rPr>
  </w:style>
  <w:style w:type="paragraph" w:styleId="Heading4">
    <w:name w:val="heading 4"/>
    <w:basedOn w:val="Normal"/>
    <w:next w:val="Normal"/>
    <w:link w:val="Heading4Char"/>
    <w:qFormat/>
    <w:rsid w:val="00625132"/>
    <w:pPr>
      <w:keepNext/>
      <w:outlineLvl w:val="3"/>
    </w:pPr>
    <w:rPr>
      <w:b/>
    </w:rPr>
  </w:style>
  <w:style w:type="paragraph" w:styleId="Heading5">
    <w:name w:val="heading 5"/>
    <w:basedOn w:val="Normal"/>
    <w:next w:val="Normal"/>
    <w:link w:val="Heading5Char"/>
    <w:qFormat/>
    <w:rsid w:val="00625132"/>
    <w:pPr>
      <w:spacing w:before="240" w:after="60"/>
      <w:outlineLvl w:val="4"/>
    </w:pPr>
    <w:rPr>
      <w:b/>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32"/>
    <w:rPr>
      <w:rFonts w:ascii="Times New Roman" w:eastAsia="Times New Roman" w:hAnsi="Times New Roman" w:cs="Times New Roman"/>
      <w:b/>
      <w:kern w:val="28"/>
      <w:sz w:val="30"/>
      <w:szCs w:val="20"/>
    </w:rPr>
  </w:style>
  <w:style w:type="character" w:customStyle="1" w:styleId="Heading2Char">
    <w:name w:val="Heading 2 Char"/>
    <w:basedOn w:val="DefaultParagraphFont"/>
    <w:link w:val="Heading2"/>
    <w:rsid w:val="00625132"/>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625132"/>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6251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25132"/>
    <w:rPr>
      <w:rFonts w:ascii="Times New Roman" w:eastAsia="Times New Roman" w:hAnsi="Times New Roman" w:cs="Times New Roman"/>
      <w:b/>
      <w:iCs/>
      <w:kern w:val="28"/>
      <w:sz w:val="24"/>
      <w:szCs w:val="26"/>
      <w:lang w:eastAsia="en-AU"/>
    </w:rPr>
  </w:style>
  <w:style w:type="paragraph" w:styleId="Footer">
    <w:name w:val="footer"/>
    <w:basedOn w:val="Normal"/>
    <w:link w:val="FooterChar"/>
    <w:uiPriority w:val="99"/>
    <w:rsid w:val="00625132"/>
    <w:pPr>
      <w:widowControl w:val="0"/>
      <w:tabs>
        <w:tab w:val="right" w:pos="7371"/>
        <w:tab w:val="right" w:pos="8306"/>
      </w:tabs>
    </w:pPr>
    <w:rPr>
      <w:sz w:val="16"/>
    </w:rPr>
  </w:style>
  <w:style w:type="character" w:customStyle="1" w:styleId="FooterChar">
    <w:name w:val="Footer Char"/>
    <w:basedOn w:val="DefaultParagraphFont"/>
    <w:link w:val="Footer"/>
    <w:uiPriority w:val="99"/>
    <w:rsid w:val="00625132"/>
    <w:rPr>
      <w:rFonts w:ascii="Times New Roman" w:eastAsia="Times New Roman" w:hAnsi="Times New Roman" w:cs="Times New Roman"/>
      <w:sz w:val="16"/>
      <w:szCs w:val="20"/>
    </w:rPr>
  </w:style>
  <w:style w:type="paragraph" w:styleId="Header">
    <w:name w:val="header"/>
    <w:basedOn w:val="Normal"/>
    <w:link w:val="HeaderChar"/>
    <w:rsid w:val="00625132"/>
    <w:pPr>
      <w:tabs>
        <w:tab w:val="center" w:pos="4153"/>
        <w:tab w:val="right" w:pos="8306"/>
      </w:tabs>
    </w:pPr>
  </w:style>
  <w:style w:type="character" w:customStyle="1" w:styleId="HeaderChar">
    <w:name w:val="Header Char"/>
    <w:basedOn w:val="DefaultParagraphFont"/>
    <w:link w:val="Header"/>
    <w:rsid w:val="00625132"/>
    <w:rPr>
      <w:rFonts w:ascii="Times New Roman" w:eastAsia="Times New Roman" w:hAnsi="Times New Roman" w:cs="Times New Roman"/>
      <w:sz w:val="24"/>
      <w:szCs w:val="20"/>
    </w:rPr>
  </w:style>
  <w:style w:type="character" w:styleId="PageNumber">
    <w:name w:val="page number"/>
    <w:basedOn w:val="DefaultParagraphFont"/>
    <w:rsid w:val="007B79B9"/>
    <w:rPr>
      <w:rFonts w:ascii="Times New Roman" w:hAnsi="Times New Roman"/>
      <w:sz w:val="16"/>
    </w:rPr>
  </w:style>
  <w:style w:type="character" w:styleId="CommentReference">
    <w:name w:val="annotation reference"/>
    <w:basedOn w:val="DefaultParagraphFont"/>
    <w:uiPriority w:val="99"/>
    <w:semiHidden/>
    <w:unhideWhenUsed/>
    <w:rsid w:val="00C4098E"/>
    <w:rPr>
      <w:sz w:val="16"/>
      <w:szCs w:val="16"/>
    </w:rPr>
  </w:style>
  <w:style w:type="paragraph" w:styleId="CommentText">
    <w:name w:val="annotation text"/>
    <w:basedOn w:val="Normal"/>
    <w:link w:val="CommentTextChar"/>
    <w:uiPriority w:val="99"/>
    <w:unhideWhenUsed/>
    <w:rsid w:val="00C4098E"/>
    <w:rPr>
      <w:sz w:val="20"/>
    </w:rPr>
  </w:style>
  <w:style w:type="character" w:customStyle="1" w:styleId="CommentTextChar">
    <w:name w:val="Comment Text Char"/>
    <w:basedOn w:val="DefaultParagraphFont"/>
    <w:link w:val="CommentText"/>
    <w:uiPriority w:val="99"/>
    <w:rsid w:val="00C4098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098E"/>
    <w:rPr>
      <w:b/>
      <w:bCs/>
    </w:rPr>
  </w:style>
  <w:style w:type="character" w:customStyle="1" w:styleId="CommentSubjectChar">
    <w:name w:val="Comment Subject Char"/>
    <w:basedOn w:val="CommentTextChar"/>
    <w:link w:val="CommentSubject"/>
    <w:uiPriority w:val="99"/>
    <w:semiHidden/>
    <w:rsid w:val="00C4098E"/>
    <w:rPr>
      <w:b/>
      <w:bCs/>
    </w:rPr>
  </w:style>
  <w:style w:type="paragraph" w:styleId="Revision">
    <w:name w:val="Revision"/>
    <w:hidden/>
    <w:uiPriority w:val="99"/>
    <w:semiHidden/>
    <w:rsid w:val="00C4098E"/>
    <w:rPr>
      <w:rFonts w:ascii="Times New Roman" w:hAnsi="Times New Roman"/>
      <w:sz w:val="24"/>
    </w:rPr>
  </w:style>
  <w:style w:type="paragraph" w:styleId="BalloonText">
    <w:name w:val="Balloon Text"/>
    <w:basedOn w:val="Normal"/>
    <w:link w:val="BalloonTextChar"/>
    <w:uiPriority w:val="99"/>
    <w:semiHidden/>
    <w:unhideWhenUsed/>
    <w:rsid w:val="00C4098E"/>
    <w:rPr>
      <w:rFonts w:ascii="Tahoma" w:hAnsi="Tahoma" w:cs="Tahoma"/>
      <w:sz w:val="16"/>
      <w:szCs w:val="16"/>
    </w:rPr>
  </w:style>
  <w:style w:type="character" w:customStyle="1" w:styleId="BalloonTextChar">
    <w:name w:val="Balloon Text Char"/>
    <w:basedOn w:val="DefaultParagraphFont"/>
    <w:link w:val="BalloonText"/>
    <w:uiPriority w:val="99"/>
    <w:semiHidden/>
    <w:rsid w:val="00C4098E"/>
    <w:rPr>
      <w:rFonts w:ascii="Tahoma" w:hAnsi="Tahoma" w:cs="Tahoma"/>
      <w:sz w:val="16"/>
      <w:szCs w:val="16"/>
      <w:lang w:eastAsia="en-AU"/>
    </w:rPr>
  </w:style>
  <w:style w:type="paragraph" w:customStyle="1" w:styleId="HeaderBoldEven">
    <w:name w:val="HeaderBoldEven"/>
    <w:basedOn w:val="Normal"/>
    <w:rsid w:val="00BA29D8"/>
    <w:pPr>
      <w:spacing w:before="120" w:after="60"/>
    </w:pPr>
    <w:rPr>
      <w:rFonts w:ascii="Arial" w:hAnsi="Arial"/>
      <w:b/>
      <w:sz w:val="20"/>
    </w:rPr>
  </w:style>
  <w:style w:type="paragraph" w:customStyle="1" w:styleId="HeaderLiteEven">
    <w:name w:val="HeaderLiteEven"/>
    <w:basedOn w:val="Normal"/>
    <w:rsid w:val="00BA29D8"/>
    <w:pPr>
      <w:tabs>
        <w:tab w:val="center" w:pos="3969"/>
        <w:tab w:val="right" w:pos="8505"/>
      </w:tabs>
      <w:spacing w:before="60"/>
    </w:pPr>
    <w:rPr>
      <w:rFonts w:ascii="Arial" w:hAnsi="Arial"/>
      <w:sz w:val="18"/>
    </w:rPr>
  </w:style>
  <w:style w:type="paragraph" w:customStyle="1" w:styleId="FooterInfo">
    <w:name w:val="FooterInfo"/>
    <w:basedOn w:val="Normal"/>
    <w:rsid w:val="00BA29D8"/>
    <w:rPr>
      <w:rFonts w:ascii="Arial" w:hAnsi="Arial"/>
      <w:sz w:val="12"/>
    </w:rPr>
  </w:style>
  <w:style w:type="table" w:styleId="TableGrid">
    <w:name w:val="Table Grid"/>
    <w:basedOn w:val="TableNormal"/>
    <w:rsid w:val="00BA29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A29D8"/>
    <w:pPr>
      <w:spacing w:before="480"/>
    </w:pPr>
    <w:rPr>
      <w:rFonts w:ascii="Arial" w:hAnsi="Arial" w:cs="Arial"/>
      <w:b/>
      <w:bCs/>
      <w:sz w:val="40"/>
      <w:szCs w:val="40"/>
    </w:rPr>
  </w:style>
  <w:style w:type="character" w:customStyle="1" w:styleId="TitleChar">
    <w:name w:val="Title Char"/>
    <w:basedOn w:val="DefaultParagraphFont"/>
    <w:link w:val="Title"/>
    <w:rsid w:val="00BA29D8"/>
    <w:rPr>
      <w:rFonts w:ascii="Arial" w:hAnsi="Arial" w:cs="Arial"/>
      <w:b/>
      <w:bCs/>
      <w:sz w:val="40"/>
      <w:szCs w:val="40"/>
      <w:lang w:eastAsia="en-AU"/>
    </w:rPr>
  </w:style>
  <w:style w:type="paragraph" w:customStyle="1" w:styleId="A1S">
    <w:name w:val="A1S"/>
    <w:aliases w:val="1.Schedule Amendment"/>
    <w:basedOn w:val="Normal"/>
    <w:next w:val="A2S"/>
    <w:rsid w:val="00BA29D8"/>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rsid w:val="00BA29D8"/>
    <w:pPr>
      <w:keepNext/>
      <w:spacing w:before="120" w:line="260" w:lineRule="exact"/>
      <w:ind w:left="964"/>
    </w:pPr>
    <w:rPr>
      <w:i/>
    </w:rPr>
  </w:style>
  <w:style w:type="paragraph" w:customStyle="1" w:styleId="A3S">
    <w:name w:val="A3S"/>
    <w:aliases w:val="Schedule Amendment"/>
    <w:basedOn w:val="Normal"/>
    <w:next w:val="A1S"/>
    <w:rsid w:val="00BA29D8"/>
    <w:pPr>
      <w:spacing w:before="60" w:line="260" w:lineRule="exact"/>
      <w:ind w:left="1247"/>
      <w:jc w:val="both"/>
    </w:pPr>
  </w:style>
  <w:style w:type="character" w:customStyle="1" w:styleId="CharAmSchNo">
    <w:name w:val="CharAmSchNo"/>
    <w:basedOn w:val="DefaultParagraphFont"/>
    <w:rsid w:val="00BA29D8"/>
  </w:style>
  <w:style w:type="character" w:customStyle="1" w:styleId="CharDivNo">
    <w:name w:val="CharDivNo"/>
    <w:basedOn w:val="DefaultParagraphFont"/>
    <w:rsid w:val="00BA29D8"/>
  </w:style>
  <w:style w:type="character" w:customStyle="1" w:styleId="CharDivText">
    <w:name w:val="CharDivText"/>
    <w:basedOn w:val="DefaultParagraphFont"/>
    <w:rsid w:val="00BA29D8"/>
  </w:style>
  <w:style w:type="character" w:customStyle="1" w:styleId="CharPartNo">
    <w:name w:val="CharPartNo"/>
    <w:basedOn w:val="DefaultParagraphFont"/>
    <w:rsid w:val="00BA29D8"/>
  </w:style>
  <w:style w:type="character" w:customStyle="1" w:styleId="CharPartText">
    <w:name w:val="CharPartText"/>
    <w:basedOn w:val="DefaultParagraphFont"/>
    <w:rsid w:val="00BA29D8"/>
  </w:style>
  <w:style w:type="character" w:customStyle="1" w:styleId="CharSchPTNo">
    <w:name w:val="CharSchPTNo"/>
    <w:basedOn w:val="DefaultParagraphFont"/>
    <w:rsid w:val="00BA29D8"/>
  </w:style>
  <w:style w:type="character" w:customStyle="1" w:styleId="CharSchPTText">
    <w:name w:val="CharSchPTText"/>
    <w:basedOn w:val="DefaultParagraphFont"/>
    <w:rsid w:val="00BA29D8"/>
  </w:style>
  <w:style w:type="character" w:customStyle="1" w:styleId="CharSectno">
    <w:name w:val="CharSectno"/>
    <w:basedOn w:val="DefaultParagraphFont"/>
    <w:rsid w:val="00BA29D8"/>
  </w:style>
  <w:style w:type="paragraph" w:customStyle="1" w:styleId="HR">
    <w:name w:val="HR"/>
    <w:aliases w:val="Regulation Heading"/>
    <w:basedOn w:val="Normal"/>
    <w:next w:val="R1"/>
    <w:rsid w:val="00BA29D8"/>
    <w:pPr>
      <w:keepNext/>
      <w:keepLines/>
      <w:spacing w:before="360"/>
      <w:ind w:left="964" w:hanging="964"/>
    </w:pPr>
    <w:rPr>
      <w:rFonts w:ascii="Arial" w:hAnsi="Arial"/>
      <w:b/>
    </w:rPr>
  </w:style>
  <w:style w:type="paragraph" w:customStyle="1" w:styleId="R1">
    <w:name w:val="R1"/>
    <w:aliases w:val="1. or 1.(1)"/>
    <w:basedOn w:val="Normal"/>
    <w:next w:val="Normal"/>
    <w:rsid w:val="00BA29D8"/>
    <w:pPr>
      <w:keepLines/>
      <w:tabs>
        <w:tab w:val="right" w:pos="794"/>
      </w:tabs>
      <w:spacing w:before="120" w:line="260" w:lineRule="exact"/>
      <w:ind w:left="964" w:hanging="964"/>
      <w:jc w:val="both"/>
    </w:pPr>
  </w:style>
  <w:style w:type="paragraph" w:customStyle="1" w:styleId="Note">
    <w:name w:val="Note"/>
    <w:basedOn w:val="Normal"/>
    <w:link w:val="NoteChar"/>
    <w:rsid w:val="00BA29D8"/>
    <w:pPr>
      <w:keepLines/>
      <w:spacing w:before="120" w:line="220" w:lineRule="exact"/>
      <w:ind w:left="964"/>
      <w:jc w:val="both"/>
    </w:pPr>
    <w:rPr>
      <w:sz w:val="20"/>
    </w:rPr>
  </w:style>
  <w:style w:type="character" w:customStyle="1" w:styleId="NoteChar">
    <w:name w:val="Note Char"/>
    <w:basedOn w:val="DefaultParagraphFont"/>
    <w:link w:val="Note"/>
    <w:rsid w:val="00BA29D8"/>
    <w:rPr>
      <w:rFonts w:ascii="Times New Roman" w:hAnsi="Times New Roman" w:cs="Times New Roman"/>
      <w:sz w:val="20"/>
      <w:szCs w:val="24"/>
      <w:lang w:eastAsia="en-AU"/>
    </w:rPr>
  </w:style>
  <w:style w:type="paragraph" w:customStyle="1" w:styleId="Notepara">
    <w:name w:val="Note para"/>
    <w:basedOn w:val="Normal"/>
    <w:link w:val="NoteparaChar"/>
    <w:rsid w:val="00BA29D8"/>
    <w:pPr>
      <w:keepLines/>
      <w:spacing w:before="60" w:line="220" w:lineRule="exact"/>
      <w:ind w:left="1304" w:hanging="340"/>
      <w:jc w:val="both"/>
    </w:pPr>
    <w:rPr>
      <w:sz w:val="20"/>
    </w:rPr>
  </w:style>
  <w:style w:type="character" w:customStyle="1" w:styleId="NoteparaChar">
    <w:name w:val="Note para Char"/>
    <w:basedOn w:val="DefaultParagraphFont"/>
    <w:link w:val="Notepara"/>
    <w:rsid w:val="00BA29D8"/>
    <w:rPr>
      <w:rFonts w:ascii="Times New Roman" w:hAnsi="Times New Roman" w:cs="Times New Roman"/>
      <w:sz w:val="20"/>
      <w:szCs w:val="24"/>
      <w:lang w:eastAsia="en-AU"/>
    </w:rPr>
  </w:style>
  <w:style w:type="paragraph" w:customStyle="1" w:styleId="FooterCitation">
    <w:name w:val="FooterCitation"/>
    <w:basedOn w:val="Footer"/>
    <w:rsid w:val="00BA29D8"/>
    <w:pPr>
      <w:widowControl/>
      <w:tabs>
        <w:tab w:val="clear" w:pos="7371"/>
        <w:tab w:val="center" w:pos="4153"/>
      </w:tabs>
      <w:spacing w:before="20" w:line="240" w:lineRule="exact"/>
      <w:jc w:val="center"/>
    </w:pPr>
    <w:rPr>
      <w:rFonts w:ascii="Arial" w:hAnsi="Arial"/>
      <w:i/>
      <w:sz w:val="18"/>
    </w:rPr>
  </w:style>
  <w:style w:type="paragraph" w:customStyle="1" w:styleId="Schedulereference">
    <w:name w:val="Schedule reference"/>
    <w:basedOn w:val="Normal"/>
    <w:next w:val="Normal"/>
    <w:rsid w:val="00BA29D8"/>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BA29D8"/>
    <w:pPr>
      <w:keepNext/>
      <w:keepLines/>
      <w:spacing w:before="480"/>
      <w:ind w:left="2410" w:hanging="2410"/>
    </w:pPr>
    <w:rPr>
      <w:rFonts w:ascii="Arial" w:hAnsi="Arial"/>
      <w:b/>
      <w:sz w:val="32"/>
    </w:rPr>
  </w:style>
  <w:style w:type="paragraph" w:customStyle="1" w:styleId="ZNote">
    <w:name w:val="ZNote"/>
    <w:basedOn w:val="Note"/>
    <w:link w:val="ZNoteChar"/>
    <w:rsid w:val="00BA29D8"/>
    <w:pPr>
      <w:keepNext/>
    </w:pPr>
  </w:style>
  <w:style w:type="character" w:customStyle="1" w:styleId="ZNoteChar">
    <w:name w:val="ZNote Char"/>
    <w:basedOn w:val="DefaultParagraphFont"/>
    <w:link w:val="ZNote"/>
    <w:rsid w:val="00BA29D8"/>
    <w:rPr>
      <w:rFonts w:ascii="Times New Roman" w:hAnsi="Times New Roman" w:cs="Times New Roman"/>
      <w:sz w:val="20"/>
      <w:szCs w:val="24"/>
      <w:lang w:eastAsia="en-AU"/>
    </w:rPr>
  </w:style>
  <w:style w:type="paragraph" w:customStyle="1" w:styleId="R2">
    <w:name w:val="R2"/>
    <w:aliases w:val="(2)"/>
    <w:basedOn w:val="Normal"/>
    <w:rsid w:val="004A199B"/>
    <w:pPr>
      <w:keepLines/>
      <w:spacing w:before="180"/>
      <w:ind w:left="964"/>
      <w:jc w:val="both"/>
    </w:pPr>
  </w:style>
  <w:style w:type="paragraph" w:customStyle="1" w:styleId="DOFATableRight">
    <w:name w:val="DOFATableRight"/>
    <w:basedOn w:val="Normal"/>
    <w:rsid w:val="00BA29D8"/>
    <w:pPr>
      <w:jc w:val="right"/>
    </w:pPr>
    <w:rPr>
      <w:rFonts w:ascii="Arial" w:hAnsi="Arial"/>
      <w:color w:val="000000"/>
      <w:sz w:val="16"/>
      <w:szCs w:val="20"/>
      <w:lang w:eastAsia="en-US"/>
    </w:rPr>
  </w:style>
  <w:style w:type="paragraph" w:customStyle="1" w:styleId="KeyItalic">
    <w:name w:val="Key Italic"/>
    <w:basedOn w:val="Normal"/>
    <w:rsid w:val="00BA29D8"/>
    <w:pPr>
      <w:jc w:val="center"/>
    </w:pPr>
    <w:rPr>
      <w:rFonts w:ascii="Arial" w:hAnsi="Arial" w:cs="Arial"/>
      <w:i/>
      <w:iCs/>
      <w:sz w:val="16"/>
      <w:szCs w:val="16"/>
      <w:lang w:eastAsia="en-US"/>
    </w:rPr>
  </w:style>
  <w:style w:type="paragraph" w:customStyle="1" w:styleId="ChartHeader">
    <w:name w:val="Chart Header"/>
    <w:basedOn w:val="Normal"/>
    <w:rsid w:val="00BA29D8"/>
    <w:pPr>
      <w:jc w:val="center"/>
    </w:pPr>
    <w:rPr>
      <w:rFonts w:ascii="Arial" w:hAnsi="Arial" w:cs="Arial"/>
      <w:b/>
      <w:bCs/>
      <w:caps/>
      <w:sz w:val="22"/>
      <w:szCs w:val="22"/>
      <w:lang w:eastAsia="en-US"/>
    </w:rPr>
  </w:style>
  <w:style w:type="paragraph" w:customStyle="1" w:styleId="KeyLight">
    <w:name w:val="Key Light"/>
    <w:basedOn w:val="Normal"/>
    <w:rsid w:val="00BA29D8"/>
    <w:pPr>
      <w:spacing w:before="240"/>
      <w:jc w:val="center"/>
    </w:pPr>
    <w:rPr>
      <w:rFonts w:ascii="Arial" w:hAnsi="Arial" w:cs="Arial"/>
      <w:sz w:val="16"/>
      <w:szCs w:val="16"/>
      <w:lang w:eastAsia="en-US"/>
    </w:rPr>
  </w:style>
  <w:style w:type="character" w:styleId="PlaceholderText">
    <w:name w:val="Placeholder Text"/>
    <w:basedOn w:val="DefaultParagraphFont"/>
    <w:uiPriority w:val="99"/>
    <w:semiHidden/>
    <w:rsid w:val="009B4B28"/>
    <w:rPr>
      <w:color w:val="808080"/>
    </w:rPr>
  </w:style>
  <w:style w:type="character" w:customStyle="1" w:styleId="ItalicText">
    <w:name w:val="ItalicText"/>
    <w:basedOn w:val="DefaultParagraphFont"/>
    <w:uiPriority w:val="1"/>
    <w:qFormat/>
    <w:rsid w:val="004A199B"/>
    <w:rPr>
      <w:i/>
    </w:rPr>
  </w:style>
  <w:style w:type="paragraph" w:styleId="ListParagraph">
    <w:name w:val="List Paragraph"/>
    <w:basedOn w:val="Normal"/>
    <w:uiPriority w:val="34"/>
    <w:qFormat/>
    <w:rsid w:val="008D4084"/>
    <w:pPr>
      <w:ind w:left="720"/>
      <w:contextualSpacing/>
    </w:pPr>
  </w:style>
  <w:style w:type="paragraph" w:customStyle="1" w:styleId="FinTableLeftBoldHanging">
    <w:name w:val="FinTableLeftBoldHanging"/>
    <w:basedOn w:val="Normal"/>
    <w:rsid w:val="00632328"/>
    <w:pPr>
      <w:ind w:left="476" w:hanging="476"/>
    </w:pPr>
    <w:rPr>
      <w:rFonts w:ascii="Arial" w:hAnsi="Arial" w:cs="Arial"/>
      <w:b/>
      <w:bCs/>
      <w:color w:val="000000"/>
      <w:sz w:val="16"/>
      <w:szCs w:val="16"/>
      <w:lang w:eastAsia="en-US"/>
    </w:rPr>
  </w:style>
  <w:style w:type="paragraph" w:customStyle="1" w:styleId="FinTableRightBold">
    <w:name w:val="FinTableRightBold"/>
    <w:basedOn w:val="Normal"/>
    <w:rsid w:val="00632328"/>
    <w:pPr>
      <w:jc w:val="right"/>
    </w:pPr>
    <w:rPr>
      <w:rFonts w:ascii="Arial" w:hAnsi="Arial" w:cs="Arial"/>
      <w:b/>
      <w:bCs/>
      <w:color w:val="000000"/>
      <w:sz w:val="16"/>
      <w:szCs w:val="16"/>
      <w:lang w:eastAsia="en-US"/>
    </w:rPr>
  </w:style>
  <w:style w:type="paragraph" w:customStyle="1" w:styleId="FinTableRightItalic">
    <w:name w:val="FinTableRightItalic"/>
    <w:basedOn w:val="Normal"/>
    <w:rsid w:val="00632328"/>
    <w:pPr>
      <w:jc w:val="right"/>
    </w:pPr>
    <w:rPr>
      <w:rFonts w:ascii="Arial" w:hAnsi="Arial" w:cs="Arial"/>
      <w:i/>
      <w:iCs/>
      <w:color w:val="000000"/>
      <w:sz w:val="15"/>
      <w:szCs w:val="15"/>
      <w:lang w:eastAsia="en-US"/>
    </w:rPr>
  </w:style>
  <w:style w:type="paragraph" w:styleId="DocumentMap">
    <w:name w:val="Document Map"/>
    <w:basedOn w:val="Normal"/>
    <w:link w:val="DocumentMapChar"/>
    <w:uiPriority w:val="99"/>
    <w:semiHidden/>
    <w:unhideWhenUsed/>
    <w:rsid w:val="00714E60"/>
    <w:rPr>
      <w:rFonts w:ascii="Tahoma" w:hAnsi="Tahoma" w:cs="Tahoma"/>
      <w:sz w:val="16"/>
      <w:szCs w:val="16"/>
    </w:rPr>
  </w:style>
  <w:style w:type="character" w:customStyle="1" w:styleId="DocumentMapChar">
    <w:name w:val="Document Map Char"/>
    <w:basedOn w:val="DefaultParagraphFont"/>
    <w:link w:val="DocumentMap"/>
    <w:uiPriority w:val="99"/>
    <w:semiHidden/>
    <w:rsid w:val="00714E60"/>
    <w:rPr>
      <w:rFonts w:ascii="Tahoma" w:hAnsi="Tahoma" w:cs="Tahoma"/>
      <w:sz w:val="16"/>
      <w:szCs w:val="16"/>
    </w:rPr>
  </w:style>
  <w:style w:type="character" w:customStyle="1" w:styleId="ItalicText0">
    <w:name w:val="Italic_Text"/>
    <w:basedOn w:val="DefaultParagraphFont"/>
    <w:uiPriority w:val="1"/>
    <w:qFormat/>
    <w:rsid w:val="00454941"/>
    <w:rPr>
      <w:i/>
    </w:rPr>
  </w:style>
  <w:style w:type="paragraph" w:customStyle="1" w:styleId="ScheduleNote">
    <w:name w:val="Schedule Note"/>
    <w:basedOn w:val="Note"/>
    <w:rsid w:val="00454941"/>
    <w:pPr>
      <w:ind w:left="1276"/>
    </w:pPr>
    <w:rPr>
      <w:iCs/>
    </w:rPr>
  </w:style>
  <w:style w:type="paragraph" w:customStyle="1" w:styleId="ScheduleNotenumbered">
    <w:name w:val="Schedule Note numbered"/>
    <w:basedOn w:val="Normal"/>
    <w:rsid w:val="004C3569"/>
    <w:pPr>
      <w:keepLines/>
      <w:widowControl w:val="0"/>
      <w:tabs>
        <w:tab w:val="left" w:pos="1843"/>
      </w:tabs>
      <w:spacing w:before="120" w:line="220" w:lineRule="exact"/>
      <w:ind w:left="1843" w:hanging="567"/>
      <w:jc w:val="both"/>
    </w:pPr>
    <w:rPr>
      <w:sz w:val="20"/>
      <w:szCs w:val="20"/>
    </w:rPr>
  </w:style>
  <w:style w:type="paragraph" w:customStyle="1" w:styleId="ScheduleVerb">
    <w:name w:val="Schedule Verb"/>
    <w:basedOn w:val="Normal"/>
    <w:rsid w:val="004C3569"/>
    <w:pPr>
      <w:keepNext/>
      <w:spacing w:before="120" w:after="120" w:line="260" w:lineRule="exact"/>
      <w:ind w:left="964"/>
    </w:pPr>
    <w:rPr>
      <w:i/>
    </w:rPr>
  </w:style>
  <w:style w:type="paragraph" w:customStyle="1" w:styleId="ScheduleClauseheading">
    <w:name w:val="Schedule Clause heading"/>
    <w:basedOn w:val="Normal"/>
    <w:rsid w:val="00993655"/>
    <w:pPr>
      <w:keepNext/>
      <w:keepLines/>
      <w:numPr>
        <w:numId w:val="3"/>
      </w:numPr>
      <w:spacing w:before="240"/>
    </w:pPr>
    <w:rPr>
      <w:rFonts w:ascii="Arial" w:hAnsi="Arial"/>
      <w:b/>
      <w:bCs/>
    </w:rPr>
  </w:style>
  <w:style w:type="paragraph" w:customStyle="1" w:styleId="notemargin">
    <w:name w:val="note(margin)"/>
    <w:aliases w:val="nm"/>
    <w:basedOn w:val="Normal"/>
    <w:rsid w:val="00392201"/>
    <w:pPr>
      <w:tabs>
        <w:tab w:val="left" w:pos="709"/>
      </w:tabs>
      <w:spacing w:before="122" w:line="198" w:lineRule="exact"/>
      <w:ind w:left="709" w:hanging="709"/>
    </w:pPr>
    <w:rPr>
      <w:sz w:val="18"/>
      <w:szCs w:val="20"/>
    </w:rPr>
  </w:style>
  <w:style w:type="paragraph" w:customStyle="1" w:styleId="ClauseHeading">
    <w:name w:val="Clause Heading"/>
    <w:basedOn w:val="HR"/>
    <w:next w:val="Normal"/>
    <w:rsid w:val="00831D0F"/>
    <w:pPr>
      <w:numPr>
        <w:numId w:val="7"/>
      </w:numPr>
      <w:spacing w:before="240"/>
      <w:outlineLvl w:val="0"/>
    </w:pPr>
  </w:style>
  <w:style w:type="paragraph" w:customStyle="1" w:styleId="FinTableLeftIndent">
    <w:name w:val="FinTableLeftIndent"/>
    <w:basedOn w:val="Normal"/>
    <w:rsid w:val="00F90391"/>
    <w:pPr>
      <w:ind w:left="142"/>
    </w:pPr>
    <w:rPr>
      <w:rFonts w:ascii="Arial" w:hAnsi="Arial" w:cs="Arial"/>
      <w:color w:val="000000"/>
      <w:sz w:val="16"/>
      <w:szCs w:val="16"/>
      <w:lang w:eastAsia="en-US"/>
    </w:rPr>
  </w:style>
  <w:style w:type="paragraph" w:customStyle="1" w:styleId="FinTableRight">
    <w:name w:val="FinTableRight"/>
    <w:basedOn w:val="Normal"/>
    <w:rsid w:val="00F90391"/>
    <w:pPr>
      <w:jc w:val="right"/>
    </w:pPr>
    <w:rPr>
      <w:rFonts w:ascii="Arial" w:hAnsi="Arial" w:cs="Arial"/>
      <w:color w:val="000000"/>
      <w:sz w:val="16"/>
      <w:szCs w:val="16"/>
      <w:lang w:eastAsia="en-US"/>
    </w:rPr>
  </w:style>
  <w:style w:type="paragraph" w:customStyle="1" w:styleId="FinTableSpacerRow">
    <w:name w:val="FinTableSpacerRow"/>
    <w:basedOn w:val="FinTableRight"/>
    <w:rsid w:val="00F90391"/>
    <w:rPr>
      <w:sz w:val="8"/>
      <w:szCs w:val="8"/>
    </w:rPr>
  </w:style>
  <w:style w:type="paragraph" w:customStyle="1" w:styleId="FinTableLeftBold">
    <w:name w:val="FinTableLeftBold"/>
    <w:basedOn w:val="Normal"/>
    <w:rsid w:val="00F90391"/>
    <w:rPr>
      <w:rFonts w:ascii="Arial" w:hAnsi="Arial" w:cs="Arial"/>
      <w:b/>
      <w:bCs/>
      <w:color w:val="000000"/>
      <w:sz w:val="16"/>
      <w:szCs w:val="16"/>
      <w:lang w:eastAsia="en-US"/>
    </w:rPr>
  </w:style>
  <w:style w:type="paragraph" w:customStyle="1" w:styleId="FinTableHeadingCenteredBold">
    <w:name w:val="FinTableHeadingCenteredBold"/>
    <w:basedOn w:val="Normal"/>
    <w:rsid w:val="00F90391"/>
    <w:pPr>
      <w:spacing w:after="240"/>
      <w:jc w:val="center"/>
    </w:pPr>
    <w:rPr>
      <w:rFonts w:ascii="Arial" w:hAnsi="Arial" w:cs="Arial"/>
      <w:b/>
      <w:bCs/>
      <w:caps/>
      <w:color w:val="000000"/>
      <w:sz w:val="22"/>
      <w:szCs w:val="22"/>
      <w:lang w:eastAsia="en-US"/>
    </w:rPr>
  </w:style>
  <w:style w:type="paragraph" w:customStyle="1" w:styleId="KeyItalic0">
    <w:name w:val="KeyItalic"/>
    <w:basedOn w:val="KeyLight0"/>
    <w:rsid w:val="00F90391"/>
    <w:rPr>
      <w:i/>
      <w:iCs/>
    </w:rPr>
  </w:style>
  <w:style w:type="paragraph" w:customStyle="1" w:styleId="KeyLight0">
    <w:name w:val="KeyLight"/>
    <w:basedOn w:val="Normal"/>
    <w:rsid w:val="00F90391"/>
    <w:pPr>
      <w:jc w:val="center"/>
    </w:pPr>
    <w:rPr>
      <w:rFonts w:ascii="Arial" w:hAnsi="Arial" w:cs="Arial"/>
      <w:color w:val="000000"/>
      <w:sz w:val="16"/>
      <w:szCs w:val="16"/>
      <w:lang w:eastAsia="en-US"/>
    </w:rPr>
  </w:style>
  <w:style w:type="paragraph" w:customStyle="1" w:styleId="FinTableRightPlain">
    <w:name w:val="FinTableRightPlain"/>
    <w:basedOn w:val="FinTableRight"/>
    <w:rsid w:val="00F741ED"/>
    <w:rPr>
      <w:sz w:val="15"/>
      <w:szCs w:val="15"/>
    </w:rPr>
  </w:style>
  <w:style w:type="table" w:customStyle="1" w:styleId="FinTableNormal">
    <w:name w:val="FinTableNormal"/>
    <w:semiHidden/>
    <w:rsid w:val="00F741ED"/>
    <w:rPr>
      <w:rFonts w:ascii="Times New Roman" w:hAnsi="Times New Roman"/>
    </w:rPr>
    <w:tblPr>
      <w:tblInd w:w="0" w:type="dxa"/>
      <w:tblCellMar>
        <w:top w:w="0" w:type="dxa"/>
        <w:left w:w="108" w:type="dxa"/>
        <w:bottom w:w="0" w:type="dxa"/>
        <w:right w:w="108" w:type="dxa"/>
      </w:tblCellMar>
    </w:tblPr>
  </w:style>
  <w:style w:type="paragraph" w:customStyle="1" w:styleId="ClauseHeadings">
    <w:name w:val="Clause Headings"/>
    <w:basedOn w:val="Heading2"/>
    <w:qFormat/>
    <w:rsid w:val="00D2138F"/>
    <w:pPr>
      <w:numPr>
        <w:numId w:val="8"/>
      </w:numPr>
      <w:tabs>
        <w:tab w:val="left" w:pos="964"/>
      </w:tabs>
      <w:spacing w:before="360" w:after="0"/>
    </w:pPr>
    <w:rPr>
      <w:rFonts w:ascii="Arial" w:hAnsi="Arial"/>
      <w:sz w:val="24"/>
    </w:rPr>
  </w:style>
  <w:style w:type="paragraph" w:customStyle="1" w:styleId="Schedulepoints">
    <w:name w:val="Schedule points"/>
    <w:basedOn w:val="Normal"/>
    <w:rsid w:val="00D2138F"/>
    <w:pPr>
      <w:numPr>
        <w:numId w:val="1"/>
      </w:numPr>
    </w:pPr>
  </w:style>
</w:styles>
</file>

<file path=word/webSettings.xml><?xml version="1.0" encoding="utf-8"?>
<w:webSettings xmlns:r="http://schemas.openxmlformats.org/officeDocument/2006/relationships" xmlns:w="http://schemas.openxmlformats.org/wordprocessingml/2006/main">
  <w:divs>
    <w:div w:id="1718116915">
      <w:bodyDiv w:val="1"/>
      <w:marLeft w:val="0"/>
      <w:marRight w:val="0"/>
      <w:marTop w:val="0"/>
      <w:marBottom w:val="0"/>
      <w:divBdr>
        <w:top w:val="none" w:sz="0" w:space="0" w:color="auto"/>
        <w:left w:val="none" w:sz="0" w:space="0" w:color="auto"/>
        <w:bottom w:val="none" w:sz="0" w:space="0" w:color="auto"/>
        <w:right w:val="none" w:sz="0" w:space="0" w:color="auto"/>
      </w:divBdr>
    </w:div>
    <w:div w:id="1837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9075-DB37-42F8-BD72-A1829CB1202E}">
  <ds:schemaRefs>
    <ds:schemaRef ds:uri="http://schemas.openxmlformats.org/officeDocument/2006/bibliography"/>
  </ds:schemaRefs>
</ds:datastoreItem>
</file>

<file path=customXml/itemProps2.xml><?xml version="1.0" encoding="utf-8"?>
<ds:datastoreItem xmlns:ds="http://schemas.openxmlformats.org/officeDocument/2006/customXml" ds:itemID="{26BAFA87-DC86-460D-A2B9-1B1F64F5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8</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Fitzpatrick</dc:creator>
  <cp:lastModifiedBy>Sally Kerr</cp:lastModifiedBy>
  <cp:revision>91</cp:revision>
  <cp:lastPrinted>2012-12-03T00:02:00Z</cp:lastPrinted>
  <dcterms:created xsi:type="dcterms:W3CDTF">2012-04-18T06:16:00Z</dcterms:created>
  <dcterms:modified xsi:type="dcterms:W3CDTF">2012-12-10T03:24:00Z</dcterms:modified>
</cp:coreProperties>
</file>