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53" w:rsidRDefault="00AD4653" w:rsidP="00CC0F94">
      <w:pPr>
        <w:jc w:val="center"/>
      </w:pPr>
      <w:r>
        <w:t>Commonwealth of Australia</w:t>
      </w:r>
    </w:p>
    <w:p w:rsidR="00AD4653" w:rsidRDefault="00AD4653" w:rsidP="00CC0F94">
      <w:pPr>
        <w:jc w:val="center"/>
      </w:pPr>
    </w:p>
    <w:p w:rsidR="00AD4653" w:rsidRPr="00A56EDC" w:rsidRDefault="00FB6732" w:rsidP="00CC0F94">
      <w:pPr>
        <w:jc w:val="center"/>
        <w:rPr>
          <w:i/>
        </w:rPr>
      </w:pPr>
      <w:r w:rsidRPr="00A56EDC">
        <w:rPr>
          <w:i/>
        </w:rPr>
        <w:t>National Health Reform Act 2011</w:t>
      </w:r>
    </w:p>
    <w:p w:rsidR="00AD4653" w:rsidRDefault="00AD4653" w:rsidP="00CC0F94">
      <w:pPr>
        <w:jc w:val="center"/>
      </w:pPr>
    </w:p>
    <w:p w:rsidR="00AD4653" w:rsidRDefault="00FB6732" w:rsidP="00A56EDC">
      <w:pPr>
        <w:jc w:val="center"/>
      </w:pPr>
      <w:r>
        <w:t>DIRECTION</w:t>
      </w:r>
    </w:p>
    <w:p w:rsidR="00AD4653" w:rsidRPr="00A56EDC" w:rsidRDefault="00352732" w:rsidP="00CC0F94">
      <w:pPr>
        <w:jc w:val="center"/>
        <w:rPr>
          <w:i/>
        </w:rPr>
      </w:pPr>
      <w:r>
        <w:t xml:space="preserve">TO THE INDEPENDENT HOSPITAL PRICING AUTHORITY </w:t>
      </w:r>
      <w:r w:rsidR="00AB394B">
        <w:t xml:space="preserve">ON THE PERFORMANCE OF </w:t>
      </w:r>
      <w:r w:rsidR="007B10E8">
        <w:t>ITS FUNCTIONS (</w:t>
      </w:r>
      <w:r w:rsidR="00F9150E">
        <w:t>No. 1 of 2012</w:t>
      </w:r>
      <w:r w:rsidR="007B10E8">
        <w:t>)</w:t>
      </w:r>
    </w:p>
    <w:p w:rsidR="00AD4653" w:rsidRDefault="00AD4653" w:rsidP="00CC0F94">
      <w:pPr>
        <w:jc w:val="center"/>
      </w:pPr>
    </w:p>
    <w:p w:rsidR="00AD4653" w:rsidRDefault="00AD4653" w:rsidP="00CC0F94">
      <w:r>
        <w:t xml:space="preserve">I, </w:t>
      </w:r>
      <w:r w:rsidR="00352732">
        <w:t>TANYA PLIBERSEK</w:t>
      </w:r>
      <w:r>
        <w:t xml:space="preserve">, Minister for </w:t>
      </w:r>
      <w:r w:rsidR="00352732">
        <w:t>Health and Ageing</w:t>
      </w:r>
      <w:r>
        <w:t xml:space="preserve">, acting under subsection </w:t>
      </w:r>
      <w:r w:rsidR="00352732">
        <w:t>226</w:t>
      </w:r>
      <w:r>
        <w:t xml:space="preserve">(1) of the </w:t>
      </w:r>
      <w:r w:rsidR="00352732" w:rsidRPr="00A56EDC">
        <w:rPr>
          <w:i/>
        </w:rPr>
        <w:t>National Health Reform Act 2011</w:t>
      </w:r>
      <w:r w:rsidR="00A5779C">
        <w:t xml:space="preserve"> (“the Act”)</w:t>
      </w:r>
      <w:r>
        <w:t xml:space="preserve">, </w:t>
      </w:r>
      <w:r w:rsidR="00352732">
        <w:t xml:space="preserve">having consulted with </w:t>
      </w:r>
      <w:r w:rsidR="00137527">
        <w:t xml:space="preserve">the </w:t>
      </w:r>
      <w:r w:rsidR="00352732">
        <w:t>Standing Council on Health</w:t>
      </w:r>
      <w:r w:rsidR="00DC6F31">
        <w:t xml:space="preserve"> </w:t>
      </w:r>
      <w:r w:rsidR="00352732">
        <w:t>DIRECT</w:t>
      </w:r>
      <w:r>
        <w:t xml:space="preserve"> that </w:t>
      </w:r>
      <w:r w:rsidR="00220C8D">
        <w:t xml:space="preserve">the </w:t>
      </w:r>
      <w:r w:rsidR="007B10E8">
        <w:t xml:space="preserve">Independent Hospital </w:t>
      </w:r>
      <w:r w:rsidR="00220C8D">
        <w:t xml:space="preserve">Pricing Authority </w:t>
      </w:r>
      <w:r w:rsidR="00E717EF">
        <w:t xml:space="preserve">make the determination </w:t>
      </w:r>
      <w:r w:rsidR="00DC6F31">
        <w:t xml:space="preserve">set out in </w:t>
      </w:r>
      <w:r w:rsidR="008103E8">
        <w:t xml:space="preserve">Item 1 of </w:t>
      </w:r>
      <w:r w:rsidR="00DC6F31">
        <w:t>Schedule 1 of this instrument</w:t>
      </w:r>
      <w:r w:rsidR="00FA4F4D">
        <w:t>, and have regard to</w:t>
      </w:r>
      <w:r w:rsidR="008103E8">
        <w:t xml:space="preserve"> the matters set out in Item 2 of Schedule 1 of this instrument</w:t>
      </w:r>
      <w:r>
        <w:t>.</w:t>
      </w:r>
    </w:p>
    <w:p w:rsidR="00F9150E" w:rsidRPr="00A56EDC" w:rsidRDefault="00F9150E" w:rsidP="00CC0F94">
      <w:pPr>
        <w:rPr>
          <w:b/>
        </w:rPr>
      </w:pPr>
      <w:r w:rsidRPr="00A56EDC">
        <w:rPr>
          <w:b/>
        </w:rPr>
        <w:t>Citation</w:t>
      </w:r>
    </w:p>
    <w:p w:rsidR="00F9150E" w:rsidRDefault="00F9150E" w:rsidP="00A56EDC">
      <w:pPr>
        <w:pStyle w:val="ListParagraph"/>
        <w:numPr>
          <w:ilvl w:val="0"/>
          <w:numId w:val="5"/>
        </w:numPr>
      </w:pPr>
      <w:r>
        <w:t xml:space="preserve">This Direction may be cited as the Ministerial Direction to the Independent Hospital Pricing Authority </w:t>
      </w:r>
      <w:r w:rsidR="00AB394B">
        <w:t>on the Performance of</w:t>
      </w:r>
      <w:r w:rsidR="007B10E8">
        <w:t xml:space="preserve"> its Functions (</w:t>
      </w:r>
      <w:r>
        <w:t>No. 1 of 2012</w:t>
      </w:r>
      <w:r w:rsidR="007B10E8">
        <w:t xml:space="preserve">). </w:t>
      </w:r>
    </w:p>
    <w:p w:rsidR="00AD4653" w:rsidRPr="00A56EDC" w:rsidRDefault="00782B7D" w:rsidP="00CC0F94">
      <w:pPr>
        <w:rPr>
          <w:b/>
        </w:rPr>
      </w:pPr>
      <w:r w:rsidRPr="00A56EDC">
        <w:rPr>
          <w:b/>
        </w:rPr>
        <w:t>Commenc</w:t>
      </w:r>
      <w:r>
        <w:rPr>
          <w:b/>
        </w:rPr>
        <w:t>e</w:t>
      </w:r>
      <w:r w:rsidRPr="00A56EDC">
        <w:rPr>
          <w:b/>
        </w:rPr>
        <w:t>ment</w:t>
      </w:r>
    </w:p>
    <w:p w:rsidR="00782B7D" w:rsidRDefault="00782B7D" w:rsidP="00A56EDC">
      <w:pPr>
        <w:pStyle w:val="ListParagraph"/>
        <w:numPr>
          <w:ilvl w:val="0"/>
          <w:numId w:val="5"/>
        </w:numPr>
      </w:pPr>
      <w:r>
        <w:t xml:space="preserve">This instrument takes effect on the day after it is registered in the Federal Register of Legislative Instruments. </w:t>
      </w:r>
    </w:p>
    <w:p w:rsidR="00AD4653" w:rsidRDefault="00AD4653" w:rsidP="00CC0F94"/>
    <w:p w:rsidR="00AD4653" w:rsidRDefault="00AD4653" w:rsidP="00CC0F94">
      <w:r>
        <w:t xml:space="preserve">Dated: </w:t>
      </w:r>
      <w:r w:rsidR="006F1FF5">
        <w:t>28</w:t>
      </w:r>
      <w:r w:rsidR="00F43726">
        <w:t xml:space="preserve"> </w:t>
      </w:r>
      <w:r w:rsidR="007C70EC">
        <w:t xml:space="preserve">November </w:t>
      </w:r>
      <w:r>
        <w:t>2012</w:t>
      </w:r>
    </w:p>
    <w:p w:rsidR="00AD4653" w:rsidRDefault="00AD4653" w:rsidP="002E175F">
      <w:pPr>
        <w:jc w:val="center"/>
      </w:pPr>
      <w:r>
        <w:br/>
      </w:r>
      <w:r>
        <w:br/>
      </w:r>
      <w:r w:rsidR="00913A61">
        <w:t>Tanya Plibersek</w:t>
      </w:r>
    </w:p>
    <w:p w:rsidR="00AD4653" w:rsidRDefault="00AD4653" w:rsidP="00CC0F94"/>
    <w:p w:rsidR="00AD4653" w:rsidRDefault="00913A61" w:rsidP="00CC0F94">
      <w:pPr>
        <w:jc w:val="center"/>
      </w:pPr>
      <w:r>
        <w:t>TANYA PLIBERSEK</w:t>
      </w:r>
    </w:p>
    <w:p w:rsidR="00AD4653" w:rsidRDefault="00AD4653" w:rsidP="00CC0F94">
      <w:pPr>
        <w:jc w:val="center"/>
      </w:pPr>
      <w:r>
        <w:t xml:space="preserve">Minister for </w:t>
      </w:r>
      <w:r w:rsidR="00913A61">
        <w:t>Health and Ageing</w:t>
      </w:r>
    </w:p>
    <w:p w:rsidR="00AD4653" w:rsidRDefault="00AD4653" w:rsidP="00CC0F94">
      <w:pPr>
        <w:rPr>
          <w:sz w:val="16"/>
          <w:szCs w:val="16"/>
        </w:rPr>
      </w:pPr>
    </w:p>
    <w:p w:rsidR="00AD4653" w:rsidRDefault="00AD4653" w:rsidP="00CC0F94">
      <w:pPr>
        <w:rPr>
          <w:sz w:val="16"/>
          <w:szCs w:val="16"/>
        </w:rPr>
      </w:pPr>
    </w:p>
    <w:p w:rsidR="00AD4653" w:rsidRDefault="00AD4653" w:rsidP="00CC0F94">
      <w:pPr>
        <w:rPr>
          <w:sz w:val="16"/>
          <w:szCs w:val="16"/>
        </w:rPr>
      </w:pPr>
    </w:p>
    <w:p w:rsidR="00A5400A" w:rsidRDefault="00A5400A" w:rsidP="00CC0F94">
      <w:pPr>
        <w:rPr>
          <w:sz w:val="16"/>
          <w:szCs w:val="16"/>
        </w:rPr>
      </w:pPr>
    </w:p>
    <w:p w:rsidR="00A5400A" w:rsidRPr="007819A8" w:rsidRDefault="00A5400A" w:rsidP="00A5400A">
      <w:pPr>
        <w:jc w:val="center"/>
        <w:rPr>
          <w:sz w:val="24"/>
          <w:szCs w:val="24"/>
        </w:rPr>
      </w:pPr>
      <w:r>
        <w:rPr>
          <w:sz w:val="16"/>
          <w:szCs w:val="16"/>
        </w:rPr>
        <w:br w:type="page"/>
      </w:r>
      <w:r w:rsidRPr="007819A8">
        <w:rPr>
          <w:b/>
          <w:sz w:val="24"/>
          <w:szCs w:val="24"/>
        </w:rPr>
        <w:lastRenderedPageBreak/>
        <w:t>Schedule 1</w:t>
      </w:r>
    </w:p>
    <w:p w:rsidR="008103E8" w:rsidRDefault="008103E8" w:rsidP="007C70EC">
      <w:pPr>
        <w:pStyle w:val="ListParagraph"/>
      </w:pPr>
      <w:r w:rsidRPr="007C70EC">
        <w:rPr>
          <w:b/>
          <w:u w:val="single"/>
        </w:rPr>
        <w:t>1.  Functions</w:t>
      </w:r>
    </w:p>
    <w:p w:rsidR="00A56EDC" w:rsidRDefault="008103E8" w:rsidP="00A56EDC">
      <w:pPr>
        <w:pStyle w:val="ListParagraph"/>
      </w:pPr>
      <w:r>
        <w:t xml:space="preserve"> </w:t>
      </w:r>
    </w:p>
    <w:p w:rsidR="00A56EDC" w:rsidRDefault="008103E8" w:rsidP="00A56EDC">
      <w:pPr>
        <w:pStyle w:val="ListParagraph"/>
        <w:numPr>
          <w:ilvl w:val="0"/>
          <w:numId w:val="6"/>
        </w:numPr>
      </w:pPr>
      <w:r>
        <w:t>By 30 June 2013</w:t>
      </w:r>
      <w:r w:rsidR="008634B3" w:rsidRPr="007819A8">
        <w:t>, the Pricing Authority</w:t>
      </w:r>
      <w:r w:rsidR="001B0EC1">
        <w:t xml:space="preserve"> must</w:t>
      </w:r>
      <w:r w:rsidR="008634B3" w:rsidRPr="007819A8">
        <w:t xml:space="preserve"> </w:t>
      </w:r>
      <w:r w:rsidR="00804B3E" w:rsidRPr="007819A8">
        <w:t xml:space="preserve">determine the national efficient price for </w:t>
      </w:r>
      <w:r w:rsidR="006A32D1" w:rsidRPr="007819A8">
        <w:t>a list of</w:t>
      </w:r>
      <w:r w:rsidR="005A7A5B" w:rsidRPr="007819A8">
        <w:t xml:space="preserve"> standard items </w:t>
      </w:r>
      <w:r w:rsidR="001B0EC1">
        <w:t xml:space="preserve">(provided </w:t>
      </w:r>
      <w:r>
        <w:t xml:space="preserve">to it </w:t>
      </w:r>
      <w:r w:rsidR="001B0EC1">
        <w:t xml:space="preserve">by the National Health and Medical Research Council) </w:t>
      </w:r>
      <w:r w:rsidR="005A7A5B" w:rsidRPr="007819A8">
        <w:t>associated with conducti</w:t>
      </w:r>
      <w:r w:rsidR="006A32D1" w:rsidRPr="007819A8">
        <w:t xml:space="preserve">ng clinical trials in Australia. </w:t>
      </w:r>
    </w:p>
    <w:p w:rsidR="00511CDC" w:rsidRDefault="00511CDC" w:rsidP="00511CDC">
      <w:pPr>
        <w:pStyle w:val="ListParagraph"/>
        <w:ind w:left="1146"/>
      </w:pPr>
    </w:p>
    <w:p w:rsidR="00A5400A" w:rsidRDefault="0042005F" w:rsidP="00A56EDC">
      <w:pPr>
        <w:pStyle w:val="ListParagraph"/>
        <w:numPr>
          <w:ilvl w:val="0"/>
          <w:numId w:val="6"/>
        </w:numPr>
      </w:pPr>
      <w:r>
        <w:t>At the first meeting of the Standing Council on Health after 30 June 2013, t</w:t>
      </w:r>
      <w:r w:rsidR="009A591F">
        <w:t>he Pricing Author</w:t>
      </w:r>
      <w:r w:rsidR="00663431">
        <w:t xml:space="preserve">ity must provide a report on </w:t>
      </w:r>
      <w:r w:rsidR="00E717EF">
        <w:t>its performance of the activity</w:t>
      </w:r>
      <w:r w:rsidR="003B1237">
        <w:t xml:space="preserve"> referred to in Item 1(</w:t>
      </w:r>
      <w:proofErr w:type="spellStart"/>
      <w:r w:rsidR="003B1237">
        <w:t>i</w:t>
      </w:r>
      <w:proofErr w:type="spellEnd"/>
      <w:r w:rsidR="003B1237">
        <w:t xml:space="preserve">) of this Direction </w:t>
      </w:r>
      <w:r w:rsidR="008205A5" w:rsidRPr="007819A8">
        <w:t xml:space="preserve">to the </w:t>
      </w:r>
      <w:r w:rsidR="009A0F58" w:rsidRPr="007819A8">
        <w:t xml:space="preserve">Minister for Health and Ageing and to the Minister </w:t>
      </w:r>
      <w:r w:rsidR="002A7ED8">
        <w:t xml:space="preserve">having responsibility </w:t>
      </w:r>
      <w:r w:rsidR="009A0F58" w:rsidRPr="007819A8">
        <w:t xml:space="preserve">for </w:t>
      </w:r>
      <w:r w:rsidR="002A7ED8">
        <w:t>h</w:t>
      </w:r>
      <w:r w:rsidR="009A0F58" w:rsidRPr="007819A8">
        <w:t>ealth in each State and Territory.</w:t>
      </w:r>
    </w:p>
    <w:p w:rsidR="00511CDC" w:rsidRDefault="00511CDC" w:rsidP="00511CDC">
      <w:pPr>
        <w:pStyle w:val="ListParagraph"/>
      </w:pPr>
    </w:p>
    <w:p w:rsidR="00511CDC" w:rsidRPr="007819A8" w:rsidRDefault="00511CDC" w:rsidP="00511CDC">
      <w:pPr>
        <w:pStyle w:val="ListParagraph"/>
        <w:ind w:left="1146"/>
      </w:pPr>
      <w:bookmarkStart w:id="0" w:name="_GoBack"/>
      <w:bookmarkEnd w:id="0"/>
    </w:p>
    <w:p w:rsidR="00804B3E" w:rsidRPr="0042005F" w:rsidRDefault="00A56EDC" w:rsidP="0042005F">
      <w:pPr>
        <w:pStyle w:val="ListParagraph"/>
      </w:pPr>
      <w:r>
        <w:rPr>
          <w:b/>
          <w:u w:val="single"/>
        </w:rPr>
        <w:t>2. Matters</w:t>
      </w:r>
      <w:r w:rsidR="00BC61FD" w:rsidRPr="0042005F">
        <w:rPr>
          <w:b/>
          <w:u w:val="single"/>
        </w:rPr>
        <w:t xml:space="preserve"> t</w:t>
      </w:r>
      <w:r w:rsidR="003206A4">
        <w:rPr>
          <w:b/>
          <w:u w:val="single"/>
        </w:rPr>
        <w:t>he Pricing Authority is t</w:t>
      </w:r>
      <w:r w:rsidR="00BC61FD" w:rsidRPr="0042005F">
        <w:rPr>
          <w:b/>
          <w:u w:val="single"/>
        </w:rPr>
        <w:t>o</w:t>
      </w:r>
      <w:r w:rsidR="00864E14" w:rsidRPr="0042005F">
        <w:rPr>
          <w:b/>
          <w:u w:val="single"/>
        </w:rPr>
        <w:t xml:space="preserve"> </w:t>
      </w:r>
      <w:r w:rsidR="00BC61FD" w:rsidRPr="0042005F">
        <w:rPr>
          <w:b/>
          <w:u w:val="single"/>
        </w:rPr>
        <w:t xml:space="preserve">have regard to </w:t>
      </w:r>
    </w:p>
    <w:p w:rsidR="008103E8" w:rsidRPr="007819A8" w:rsidRDefault="008103E8" w:rsidP="0042005F">
      <w:pPr>
        <w:pStyle w:val="ListParagraph"/>
      </w:pPr>
    </w:p>
    <w:p w:rsidR="00F24FC1" w:rsidRDefault="00F24FC1" w:rsidP="00A56EDC">
      <w:pPr>
        <w:pStyle w:val="ListParagraph"/>
        <w:numPr>
          <w:ilvl w:val="0"/>
          <w:numId w:val="4"/>
        </w:numPr>
        <w:ind w:left="1134" w:hanging="708"/>
      </w:pPr>
      <w:r w:rsidRPr="007819A8">
        <w:t xml:space="preserve">In performing </w:t>
      </w:r>
      <w:r w:rsidR="00510DFF" w:rsidRPr="007819A8">
        <w:t xml:space="preserve">the </w:t>
      </w:r>
      <w:r w:rsidR="00E717EF">
        <w:t>activity</w:t>
      </w:r>
      <w:r w:rsidR="00510DFF" w:rsidRPr="007819A8">
        <w:t xml:space="preserve"> described in</w:t>
      </w:r>
      <w:r w:rsidR="003315E6">
        <w:t xml:space="preserve"> Item 1 of</w:t>
      </w:r>
      <w:r w:rsidR="00510DFF" w:rsidRPr="007819A8">
        <w:t xml:space="preserve"> this Schedule</w:t>
      </w:r>
      <w:r w:rsidR="00864E14" w:rsidRPr="007819A8">
        <w:t>,</w:t>
      </w:r>
      <w:r w:rsidRPr="007819A8">
        <w:t xml:space="preserve"> the Pricing Authority must have regard to the matters</w:t>
      </w:r>
      <w:r w:rsidR="00864E14" w:rsidRPr="007819A8">
        <w:t xml:space="preserve"> set out in subsection 131(3) of the Act.</w:t>
      </w:r>
    </w:p>
    <w:p w:rsidR="00511CDC" w:rsidRPr="007819A8" w:rsidRDefault="00511CDC" w:rsidP="00511CDC">
      <w:pPr>
        <w:pStyle w:val="ListParagraph"/>
        <w:ind w:left="1134"/>
      </w:pPr>
    </w:p>
    <w:p w:rsidR="00864E14" w:rsidRPr="007819A8" w:rsidRDefault="00510DFF" w:rsidP="00511CDC">
      <w:pPr>
        <w:pStyle w:val="ListParagraph"/>
        <w:numPr>
          <w:ilvl w:val="0"/>
          <w:numId w:val="4"/>
        </w:numPr>
        <w:ind w:left="1134" w:hanging="708"/>
      </w:pPr>
      <w:r w:rsidRPr="007819A8">
        <w:t>In addition,</w:t>
      </w:r>
      <w:r w:rsidR="00864E14" w:rsidRPr="007819A8">
        <w:t xml:space="preserve"> the Prici</w:t>
      </w:r>
      <w:r w:rsidRPr="007819A8">
        <w:t>ng Authority may</w:t>
      </w:r>
      <w:r w:rsidR="003F6F12" w:rsidRPr="007819A8">
        <w:t>, so far as the Act permits,</w:t>
      </w:r>
      <w:r w:rsidRPr="007819A8">
        <w:t xml:space="preserve"> have regard to the following matters:</w:t>
      </w:r>
    </w:p>
    <w:p w:rsidR="00510DFF" w:rsidRPr="007819A8" w:rsidRDefault="00510DFF" w:rsidP="00A56EDC">
      <w:pPr>
        <w:numPr>
          <w:ilvl w:val="0"/>
          <w:numId w:val="1"/>
        </w:numPr>
        <w:ind w:left="2268" w:hanging="850"/>
      </w:pPr>
      <w:r w:rsidRPr="007819A8">
        <w:t>The actual activity of each item;</w:t>
      </w:r>
    </w:p>
    <w:p w:rsidR="00510DFF" w:rsidRPr="007819A8" w:rsidRDefault="00510DFF" w:rsidP="00A56EDC">
      <w:pPr>
        <w:numPr>
          <w:ilvl w:val="0"/>
          <w:numId w:val="1"/>
        </w:numPr>
        <w:ind w:left="2268" w:hanging="850"/>
      </w:pPr>
      <w:r w:rsidRPr="007819A8">
        <w:t>Principles of cost-recovery; and</w:t>
      </w:r>
    </w:p>
    <w:p w:rsidR="00510DFF" w:rsidRPr="007819A8" w:rsidRDefault="00510DFF" w:rsidP="00A56EDC">
      <w:pPr>
        <w:numPr>
          <w:ilvl w:val="0"/>
          <w:numId w:val="1"/>
        </w:numPr>
        <w:ind w:left="2268" w:hanging="850"/>
      </w:pPr>
      <w:r w:rsidRPr="007819A8">
        <w:t>Submissions from relevant parties, including clinical tr</w:t>
      </w:r>
      <w:r w:rsidR="003239CE" w:rsidRPr="007819A8">
        <w:t>ial sponsors and private hospitals.</w:t>
      </w:r>
    </w:p>
    <w:p w:rsidR="00804B3E" w:rsidRDefault="00804B3E" w:rsidP="00CC0F94">
      <w:pPr>
        <w:rPr>
          <w:sz w:val="16"/>
          <w:szCs w:val="16"/>
        </w:rPr>
      </w:pPr>
    </w:p>
    <w:p w:rsidR="00A5400A" w:rsidRPr="00A5400A" w:rsidRDefault="00A5400A" w:rsidP="00CC0F94">
      <w:pPr>
        <w:rPr>
          <w:sz w:val="16"/>
          <w:szCs w:val="16"/>
        </w:rPr>
      </w:pPr>
    </w:p>
    <w:sectPr w:rsidR="00A5400A" w:rsidRPr="00A5400A" w:rsidSect="00E11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2A7"/>
    <w:multiLevelType w:val="hybridMultilevel"/>
    <w:tmpl w:val="E37A6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93C"/>
    <w:multiLevelType w:val="hybridMultilevel"/>
    <w:tmpl w:val="262E3DBE"/>
    <w:lvl w:ilvl="0" w:tplc="6CAA1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553D"/>
    <w:multiLevelType w:val="hybridMultilevel"/>
    <w:tmpl w:val="48F08DDC"/>
    <w:lvl w:ilvl="0" w:tplc="E682906E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4F34"/>
    <w:multiLevelType w:val="hybridMultilevel"/>
    <w:tmpl w:val="AAC281E2"/>
    <w:lvl w:ilvl="0" w:tplc="0A6E8CB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E76231"/>
    <w:multiLevelType w:val="hybridMultilevel"/>
    <w:tmpl w:val="F67E0C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56773"/>
    <w:multiLevelType w:val="hybridMultilevel"/>
    <w:tmpl w:val="02582928"/>
    <w:lvl w:ilvl="0" w:tplc="B19C19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characterSpacingControl w:val="doNotCompress"/>
  <w:doNotValidateAgainstSchema/>
  <w:doNotDemarcateInvalidXml/>
  <w:compat/>
  <w:rsids>
    <w:rsidRoot w:val="00CC0F94"/>
    <w:rsid w:val="000D33A5"/>
    <w:rsid w:val="00137527"/>
    <w:rsid w:val="001B0EC1"/>
    <w:rsid w:val="001E2D77"/>
    <w:rsid w:val="00220C8D"/>
    <w:rsid w:val="00227BEE"/>
    <w:rsid w:val="00275E4D"/>
    <w:rsid w:val="002A7ED8"/>
    <w:rsid w:val="002E175F"/>
    <w:rsid w:val="003206A4"/>
    <w:rsid w:val="003239CE"/>
    <w:rsid w:val="003315E6"/>
    <w:rsid w:val="00333BBA"/>
    <w:rsid w:val="00352732"/>
    <w:rsid w:val="003A7183"/>
    <w:rsid w:val="003B1237"/>
    <w:rsid w:val="003C45AF"/>
    <w:rsid w:val="003D7DA0"/>
    <w:rsid w:val="003F6F12"/>
    <w:rsid w:val="0042005F"/>
    <w:rsid w:val="00444A2A"/>
    <w:rsid w:val="004C208A"/>
    <w:rsid w:val="00510DFF"/>
    <w:rsid w:val="00511CDC"/>
    <w:rsid w:val="00516771"/>
    <w:rsid w:val="005A7A5B"/>
    <w:rsid w:val="00600A1E"/>
    <w:rsid w:val="00621485"/>
    <w:rsid w:val="006321AE"/>
    <w:rsid w:val="006561CB"/>
    <w:rsid w:val="00663431"/>
    <w:rsid w:val="00664989"/>
    <w:rsid w:val="006A32D1"/>
    <w:rsid w:val="006F1FF5"/>
    <w:rsid w:val="007819A8"/>
    <w:rsid w:val="00782B7D"/>
    <w:rsid w:val="007B10E8"/>
    <w:rsid w:val="007C70EC"/>
    <w:rsid w:val="00804B3E"/>
    <w:rsid w:val="008103E8"/>
    <w:rsid w:val="008205A5"/>
    <w:rsid w:val="008634B3"/>
    <w:rsid w:val="00864E14"/>
    <w:rsid w:val="008E27EE"/>
    <w:rsid w:val="00913A61"/>
    <w:rsid w:val="0095542E"/>
    <w:rsid w:val="00982F9D"/>
    <w:rsid w:val="009A0F58"/>
    <w:rsid w:val="009A4712"/>
    <w:rsid w:val="009A591F"/>
    <w:rsid w:val="00A14937"/>
    <w:rsid w:val="00A5400A"/>
    <w:rsid w:val="00A56EDC"/>
    <w:rsid w:val="00A5779C"/>
    <w:rsid w:val="00AA511F"/>
    <w:rsid w:val="00AB394B"/>
    <w:rsid w:val="00AD4653"/>
    <w:rsid w:val="00AE1350"/>
    <w:rsid w:val="00B76CBB"/>
    <w:rsid w:val="00BA3567"/>
    <w:rsid w:val="00BC61FD"/>
    <w:rsid w:val="00C1729A"/>
    <w:rsid w:val="00C92C2F"/>
    <w:rsid w:val="00CC0F94"/>
    <w:rsid w:val="00D41280"/>
    <w:rsid w:val="00DC13CC"/>
    <w:rsid w:val="00DC4524"/>
    <w:rsid w:val="00DC6F31"/>
    <w:rsid w:val="00E11515"/>
    <w:rsid w:val="00E717EF"/>
    <w:rsid w:val="00EA3AF5"/>
    <w:rsid w:val="00F24FC1"/>
    <w:rsid w:val="00F321B9"/>
    <w:rsid w:val="00F43726"/>
    <w:rsid w:val="00F9150E"/>
    <w:rsid w:val="00FA4F4D"/>
    <w:rsid w:val="00FB4971"/>
    <w:rsid w:val="00FB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2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27"/>
    <w:rPr>
      <w:rFonts w:cs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A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2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27"/>
    <w:rPr>
      <w:rFonts w:cs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A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5DFF-8905-4B17-8B01-0D2A706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Sarah</dc:creator>
  <cp:lastModifiedBy>gobbid</cp:lastModifiedBy>
  <cp:revision>3</cp:revision>
  <cp:lastPrinted>2012-10-31T22:22:00Z</cp:lastPrinted>
  <dcterms:created xsi:type="dcterms:W3CDTF">2012-11-01T03:45:00Z</dcterms:created>
  <dcterms:modified xsi:type="dcterms:W3CDTF">2012-12-14T22:10:00Z</dcterms:modified>
</cp:coreProperties>
</file>