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143" w:rsidRPr="00810D51" w:rsidRDefault="00CB6B83" w:rsidP="00CB6B83">
      <w:pPr>
        <w:jc w:val="center"/>
        <w:rPr>
          <w:rFonts w:ascii="Verdana" w:hAnsi="Verdana"/>
          <w:b/>
          <w:sz w:val="22"/>
          <w:szCs w:val="22"/>
        </w:rPr>
      </w:pPr>
      <w:r w:rsidRPr="00810D51">
        <w:rPr>
          <w:rFonts w:ascii="Verdana" w:hAnsi="Verdana"/>
          <w:b/>
          <w:sz w:val="22"/>
          <w:szCs w:val="22"/>
        </w:rPr>
        <w:t>EXPLANATORY STATEMENT</w:t>
      </w:r>
    </w:p>
    <w:p w:rsidR="00CB6B83" w:rsidRDefault="00CB6B83" w:rsidP="00CB6B83">
      <w:pPr>
        <w:jc w:val="center"/>
        <w:rPr>
          <w:rFonts w:ascii="Verdana" w:hAnsi="Verdana"/>
          <w:b/>
          <w:sz w:val="20"/>
          <w:szCs w:val="20"/>
        </w:rPr>
      </w:pPr>
    </w:p>
    <w:p w:rsidR="00CB6B83" w:rsidRPr="00810D51" w:rsidRDefault="00CB6B83" w:rsidP="00CB6B83">
      <w:pPr>
        <w:jc w:val="center"/>
        <w:rPr>
          <w:rFonts w:ascii="Verdana" w:hAnsi="Verdana"/>
          <w:i/>
          <w:sz w:val="22"/>
          <w:szCs w:val="22"/>
        </w:rPr>
      </w:pPr>
      <w:r w:rsidRPr="00810D51">
        <w:rPr>
          <w:rFonts w:ascii="Verdana" w:hAnsi="Verdana"/>
          <w:i/>
          <w:sz w:val="22"/>
          <w:szCs w:val="22"/>
        </w:rPr>
        <w:t>Work Health and Safety Act 2011</w:t>
      </w:r>
    </w:p>
    <w:p w:rsidR="00CB6B83" w:rsidRPr="00810D51" w:rsidRDefault="00CB6B83" w:rsidP="00CB6B83">
      <w:pPr>
        <w:jc w:val="center"/>
        <w:rPr>
          <w:rFonts w:ascii="Verdana" w:hAnsi="Verdana"/>
          <w:i/>
          <w:sz w:val="22"/>
          <w:szCs w:val="22"/>
        </w:rPr>
      </w:pPr>
    </w:p>
    <w:p w:rsidR="00CB6B83" w:rsidRPr="00810D51" w:rsidRDefault="00CB6B83" w:rsidP="00CB6B83">
      <w:pPr>
        <w:jc w:val="center"/>
        <w:rPr>
          <w:rFonts w:ascii="Verdana" w:hAnsi="Verdana"/>
          <w:sz w:val="22"/>
          <w:szCs w:val="22"/>
        </w:rPr>
      </w:pPr>
      <w:r w:rsidRPr="00810D51">
        <w:rPr>
          <w:rFonts w:ascii="Verdana" w:hAnsi="Verdana"/>
          <w:sz w:val="22"/>
          <w:szCs w:val="22"/>
        </w:rPr>
        <w:t xml:space="preserve">Issued by the Minister for </w:t>
      </w:r>
      <w:r w:rsidR="00920950">
        <w:rPr>
          <w:rFonts w:ascii="Verdana" w:hAnsi="Verdana"/>
          <w:sz w:val="22"/>
          <w:szCs w:val="22"/>
        </w:rPr>
        <w:t>Employment</w:t>
      </w:r>
      <w:r w:rsidRPr="00810D51">
        <w:rPr>
          <w:rFonts w:ascii="Verdana" w:hAnsi="Verdana"/>
          <w:sz w:val="22"/>
          <w:szCs w:val="22"/>
        </w:rPr>
        <w:t xml:space="preserve"> and Workplace Relations</w:t>
      </w:r>
    </w:p>
    <w:p w:rsidR="00CB6B83" w:rsidRPr="00810D51" w:rsidRDefault="00CB6B83" w:rsidP="00CB6B83">
      <w:pPr>
        <w:jc w:val="center"/>
        <w:rPr>
          <w:rFonts w:ascii="Verdana" w:hAnsi="Verdana"/>
          <w:sz w:val="22"/>
          <w:szCs w:val="22"/>
        </w:rPr>
      </w:pPr>
    </w:p>
    <w:p w:rsidR="00CB6B83" w:rsidRPr="00810D51" w:rsidRDefault="00CB6B83" w:rsidP="00CB6B83">
      <w:pPr>
        <w:jc w:val="center"/>
        <w:rPr>
          <w:rFonts w:ascii="Verdana" w:hAnsi="Verdana"/>
          <w:b/>
          <w:sz w:val="22"/>
          <w:szCs w:val="22"/>
        </w:rPr>
      </w:pPr>
      <w:r w:rsidRPr="00810D51">
        <w:rPr>
          <w:rFonts w:ascii="Verdana" w:hAnsi="Verdana"/>
          <w:b/>
          <w:sz w:val="22"/>
          <w:szCs w:val="22"/>
        </w:rPr>
        <w:t>Notice of a Disallowable Instrument</w:t>
      </w:r>
    </w:p>
    <w:p w:rsidR="00CB6B83" w:rsidRPr="00810D51" w:rsidRDefault="00CB6B83" w:rsidP="00CB6B83">
      <w:pPr>
        <w:jc w:val="center"/>
        <w:rPr>
          <w:rFonts w:ascii="Verdana" w:hAnsi="Verdana"/>
          <w:b/>
          <w:sz w:val="22"/>
          <w:szCs w:val="22"/>
        </w:rPr>
      </w:pPr>
    </w:p>
    <w:p w:rsidR="00CB6B83" w:rsidRPr="00810D51" w:rsidRDefault="00CB6B83" w:rsidP="00CB6B83">
      <w:pPr>
        <w:jc w:val="center"/>
        <w:rPr>
          <w:rFonts w:ascii="Verdana" w:hAnsi="Verdana"/>
          <w:b/>
          <w:sz w:val="22"/>
          <w:szCs w:val="22"/>
        </w:rPr>
      </w:pPr>
      <w:r w:rsidRPr="00810D51">
        <w:rPr>
          <w:rFonts w:ascii="Verdana" w:hAnsi="Verdana"/>
          <w:b/>
          <w:sz w:val="22"/>
          <w:szCs w:val="22"/>
        </w:rPr>
        <w:t>Work Health a</w:t>
      </w:r>
      <w:r w:rsidR="00DE0277">
        <w:rPr>
          <w:rFonts w:ascii="Verdana" w:hAnsi="Verdana"/>
          <w:b/>
          <w:sz w:val="22"/>
          <w:szCs w:val="22"/>
        </w:rPr>
        <w:t>nd Safety Codes of Practice 2012</w:t>
      </w:r>
    </w:p>
    <w:p w:rsidR="00CB6B83" w:rsidRDefault="00CB6B83" w:rsidP="00CB6B83">
      <w:pPr>
        <w:jc w:val="center"/>
        <w:rPr>
          <w:rFonts w:ascii="Verdana" w:hAnsi="Verdana"/>
          <w:b/>
          <w:sz w:val="20"/>
          <w:szCs w:val="20"/>
        </w:rPr>
      </w:pPr>
    </w:p>
    <w:p w:rsidR="00CB6B83" w:rsidRDefault="00CB6B83" w:rsidP="00CB6B83">
      <w:pPr>
        <w:jc w:val="both"/>
        <w:rPr>
          <w:rFonts w:ascii="Verdana" w:hAnsi="Verdana"/>
          <w:sz w:val="20"/>
          <w:szCs w:val="20"/>
        </w:rPr>
      </w:pPr>
      <w:r w:rsidRPr="00CB6B83">
        <w:rPr>
          <w:rFonts w:ascii="Verdana" w:hAnsi="Verdana"/>
          <w:sz w:val="20"/>
          <w:szCs w:val="20"/>
        </w:rPr>
        <w:t xml:space="preserve">The purpose </w:t>
      </w:r>
      <w:r>
        <w:rPr>
          <w:rFonts w:ascii="Verdana" w:hAnsi="Verdana"/>
          <w:sz w:val="20"/>
          <w:szCs w:val="20"/>
        </w:rPr>
        <w:t xml:space="preserve">of the instrument to which this Explanatory Statement relates is to approve codes of practice </w:t>
      </w:r>
      <w:r w:rsidR="00CA4287">
        <w:rPr>
          <w:rFonts w:ascii="Verdana" w:hAnsi="Verdana"/>
          <w:sz w:val="20"/>
          <w:szCs w:val="20"/>
        </w:rPr>
        <w:t xml:space="preserve">providing practical guidance to duty holders on meeting their obligations under the </w:t>
      </w:r>
      <w:r w:rsidR="00CA4287">
        <w:rPr>
          <w:rFonts w:ascii="Verdana" w:hAnsi="Verdana"/>
          <w:i/>
          <w:sz w:val="20"/>
          <w:szCs w:val="20"/>
        </w:rPr>
        <w:t>Work Health and Safety Act 2011</w:t>
      </w:r>
      <w:r w:rsidR="00CA4287">
        <w:rPr>
          <w:rFonts w:ascii="Verdana" w:hAnsi="Verdana"/>
          <w:sz w:val="20"/>
          <w:szCs w:val="20"/>
        </w:rPr>
        <w:t xml:space="preserve"> (the WHS Act) and the </w:t>
      </w:r>
      <w:r w:rsidR="00CA4287">
        <w:rPr>
          <w:rFonts w:ascii="Verdana" w:hAnsi="Verdana"/>
          <w:i/>
          <w:sz w:val="20"/>
          <w:szCs w:val="20"/>
        </w:rPr>
        <w:t>Work Health and Safety Regulations 2011</w:t>
      </w:r>
      <w:r w:rsidR="00CA4287">
        <w:rPr>
          <w:rFonts w:ascii="Verdana" w:hAnsi="Verdana"/>
          <w:sz w:val="20"/>
          <w:szCs w:val="20"/>
        </w:rPr>
        <w:t xml:space="preserve"> (the WHS Regulations).</w:t>
      </w:r>
    </w:p>
    <w:p w:rsidR="00CA4287" w:rsidRPr="00810D51" w:rsidRDefault="00CA4287" w:rsidP="00CB6B83">
      <w:pPr>
        <w:jc w:val="both"/>
        <w:rPr>
          <w:rFonts w:ascii="Verdana" w:hAnsi="Verdana"/>
          <w:sz w:val="16"/>
          <w:szCs w:val="16"/>
        </w:rPr>
      </w:pPr>
    </w:p>
    <w:p w:rsidR="00CA4287" w:rsidRDefault="00CA4287" w:rsidP="00CB6B83">
      <w:pPr>
        <w:jc w:val="both"/>
        <w:rPr>
          <w:rFonts w:ascii="Verdana" w:hAnsi="Verdana"/>
          <w:sz w:val="20"/>
          <w:szCs w:val="20"/>
        </w:rPr>
      </w:pPr>
      <w:r>
        <w:rPr>
          <w:rFonts w:ascii="Verdana" w:hAnsi="Verdana"/>
          <w:sz w:val="20"/>
          <w:szCs w:val="20"/>
        </w:rPr>
        <w:t xml:space="preserve">Section 274 of the WHS Act provides that the Minister may approve codes of practice for the purpose of the WHS Act.  Section 275 of the WHS Act provides that an approved code of practice is admissible in proceedings under the WHS Act as evidence of whether or not a duty or obligation under the WHS Act has been complied with.  </w:t>
      </w:r>
      <w:r w:rsidR="00723221">
        <w:rPr>
          <w:rFonts w:ascii="Verdana" w:hAnsi="Verdana"/>
          <w:sz w:val="20"/>
          <w:szCs w:val="20"/>
        </w:rPr>
        <w:t>A</w:t>
      </w:r>
      <w:r>
        <w:rPr>
          <w:rFonts w:ascii="Verdana" w:hAnsi="Verdana"/>
          <w:sz w:val="20"/>
          <w:szCs w:val="20"/>
        </w:rPr>
        <w:t xml:space="preserve"> court may have regard to the code as evidence of what is known about a hazard or risk, risk assessment or risk control to which the code relates and may rely on the code in deter</w:t>
      </w:r>
      <w:bookmarkStart w:id="0" w:name="_GoBack"/>
      <w:bookmarkEnd w:id="0"/>
      <w:r>
        <w:rPr>
          <w:rFonts w:ascii="Verdana" w:hAnsi="Verdana"/>
          <w:sz w:val="20"/>
          <w:szCs w:val="20"/>
        </w:rPr>
        <w:t>mining what is reasonably practicable in the circumstances to which the code relates.</w:t>
      </w:r>
    </w:p>
    <w:p w:rsidR="00CA4287" w:rsidRPr="00810D51" w:rsidRDefault="00CA4287" w:rsidP="00CB6B83">
      <w:pPr>
        <w:jc w:val="both"/>
        <w:rPr>
          <w:rFonts w:ascii="Verdana" w:hAnsi="Verdana"/>
          <w:sz w:val="16"/>
          <w:szCs w:val="16"/>
        </w:rPr>
      </w:pPr>
    </w:p>
    <w:p w:rsidR="00D66AA4" w:rsidRDefault="00D66AA4" w:rsidP="00CB6B83">
      <w:pPr>
        <w:jc w:val="both"/>
        <w:rPr>
          <w:rFonts w:ascii="Verdana" w:hAnsi="Verdana"/>
          <w:sz w:val="20"/>
          <w:szCs w:val="20"/>
        </w:rPr>
      </w:pPr>
      <w:r>
        <w:rPr>
          <w:rFonts w:ascii="Verdana" w:hAnsi="Verdana"/>
          <w:sz w:val="20"/>
          <w:szCs w:val="20"/>
        </w:rPr>
        <w:t>This inst</w:t>
      </w:r>
      <w:r w:rsidR="00D948C8">
        <w:rPr>
          <w:rFonts w:ascii="Verdana" w:hAnsi="Verdana"/>
          <w:sz w:val="20"/>
          <w:szCs w:val="20"/>
        </w:rPr>
        <w:t>rument approves the following 1</w:t>
      </w:r>
      <w:r w:rsidR="002C28CA">
        <w:rPr>
          <w:rFonts w:ascii="Verdana" w:hAnsi="Verdana"/>
          <w:sz w:val="20"/>
          <w:szCs w:val="20"/>
        </w:rPr>
        <w:t>2</w:t>
      </w:r>
      <w:r>
        <w:rPr>
          <w:rFonts w:ascii="Verdana" w:hAnsi="Verdana"/>
          <w:sz w:val="20"/>
          <w:szCs w:val="20"/>
        </w:rPr>
        <w:t xml:space="preserve"> codes of practice, namely:</w:t>
      </w:r>
    </w:p>
    <w:p w:rsidR="00DE0277" w:rsidRDefault="00DE0277" w:rsidP="00CB6B83">
      <w:pPr>
        <w:jc w:val="both"/>
        <w:rPr>
          <w:rFonts w:ascii="Verdana" w:hAnsi="Verdana"/>
          <w:sz w:val="20"/>
          <w:szCs w:val="20"/>
        </w:rPr>
      </w:pPr>
    </w:p>
    <w:p w:rsidR="00D66AA4" w:rsidRDefault="009F0E53" w:rsidP="00D66AA4">
      <w:pPr>
        <w:ind w:left="720" w:right="386"/>
        <w:jc w:val="both"/>
        <w:rPr>
          <w:rFonts w:ascii="Verdana" w:hAnsi="Verdana"/>
          <w:sz w:val="20"/>
          <w:szCs w:val="20"/>
        </w:rPr>
      </w:pPr>
      <w:r>
        <w:rPr>
          <w:rFonts w:ascii="Verdana" w:hAnsi="Verdana"/>
          <w:sz w:val="20"/>
          <w:szCs w:val="20"/>
        </w:rPr>
        <w:t>First aid i</w:t>
      </w:r>
      <w:r w:rsidR="005B2465">
        <w:rPr>
          <w:rFonts w:ascii="Verdana" w:hAnsi="Verdana"/>
          <w:sz w:val="20"/>
          <w:szCs w:val="20"/>
        </w:rPr>
        <w:t>n the workplace</w:t>
      </w:r>
    </w:p>
    <w:p w:rsidR="005B2465" w:rsidRDefault="005B2465" w:rsidP="00D66AA4">
      <w:pPr>
        <w:ind w:left="720" w:right="386"/>
        <w:jc w:val="both"/>
        <w:rPr>
          <w:rFonts w:ascii="Verdana" w:hAnsi="Verdana"/>
          <w:sz w:val="20"/>
          <w:szCs w:val="20"/>
        </w:rPr>
      </w:pPr>
      <w:r>
        <w:rPr>
          <w:rFonts w:ascii="Verdana" w:hAnsi="Verdana"/>
          <w:sz w:val="20"/>
          <w:szCs w:val="20"/>
        </w:rPr>
        <w:t>Construction work</w:t>
      </w:r>
    </w:p>
    <w:p w:rsidR="005B2465" w:rsidRDefault="005B2465" w:rsidP="00D66AA4">
      <w:pPr>
        <w:ind w:left="720" w:right="386"/>
        <w:jc w:val="both"/>
        <w:rPr>
          <w:rFonts w:ascii="Verdana" w:hAnsi="Verdana"/>
          <w:sz w:val="20"/>
          <w:szCs w:val="20"/>
        </w:rPr>
      </w:pPr>
      <w:r>
        <w:rPr>
          <w:rFonts w:ascii="Verdana" w:hAnsi="Verdana"/>
          <w:sz w:val="20"/>
          <w:szCs w:val="20"/>
        </w:rPr>
        <w:t>Preventing falls in housing construction</w:t>
      </w:r>
    </w:p>
    <w:p w:rsidR="005B2465" w:rsidRDefault="005B2465" w:rsidP="00D66AA4">
      <w:pPr>
        <w:ind w:left="720" w:right="386"/>
        <w:jc w:val="both"/>
        <w:rPr>
          <w:rFonts w:ascii="Verdana" w:hAnsi="Verdana"/>
          <w:sz w:val="20"/>
          <w:szCs w:val="20"/>
        </w:rPr>
      </w:pPr>
      <w:r>
        <w:rPr>
          <w:rFonts w:ascii="Verdana" w:hAnsi="Verdana"/>
          <w:sz w:val="20"/>
          <w:szCs w:val="20"/>
        </w:rPr>
        <w:t xml:space="preserve">Managing electrical risks </w:t>
      </w:r>
      <w:r w:rsidR="0020351C">
        <w:rPr>
          <w:rFonts w:ascii="Verdana" w:hAnsi="Verdana"/>
          <w:sz w:val="20"/>
          <w:szCs w:val="20"/>
        </w:rPr>
        <w:t>in</w:t>
      </w:r>
      <w:r>
        <w:rPr>
          <w:rFonts w:ascii="Verdana" w:hAnsi="Verdana"/>
          <w:sz w:val="20"/>
          <w:szCs w:val="20"/>
        </w:rPr>
        <w:t xml:space="preserve"> the workplace</w:t>
      </w:r>
    </w:p>
    <w:p w:rsidR="005B2465" w:rsidRDefault="005B2465" w:rsidP="00D66AA4">
      <w:pPr>
        <w:ind w:left="720" w:right="386"/>
        <w:jc w:val="both"/>
        <w:rPr>
          <w:rFonts w:ascii="Verdana" w:hAnsi="Verdana"/>
          <w:sz w:val="20"/>
          <w:szCs w:val="20"/>
        </w:rPr>
      </w:pPr>
      <w:r>
        <w:rPr>
          <w:rFonts w:ascii="Verdana" w:hAnsi="Verdana"/>
          <w:sz w:val="20"/>
          <w:szCs w:val="20"/>
        </w:rPr>
        <w:t>Managing risks of hazardous chemicals</w:t>
      </w:r>
      <w:r w:rsidR="00942B9D">
        <w:rPr>
          <w:rFonts w:ascii="Verdana" w:hAnsi="Verdana"/>
          <w:sz w:val="20"/>
          <w:szCs w:val="20"/>
        </w:rPr>
        <w:t xml:space="preserve"> in the workplace</w:t>
      </w:r>
    </w:p>
    <w:p w:rsidR="005510F5" w:rsidRDefault="005510F5" w:rsidP="00D66AA4">
      <w:pPr>
        <w:ind w:left="720" w:right="386"/>
        <w:jc w:val="both"/>
        <w:rPr>
          <w:rFonts w:ascii="Verdana" w:hAnsi="Verdana"/>
          <w:sz w:val="20"/>
          <w:szCs w:val="20"/>
        </w:rPr>
      </w:pPr>
      <w:r>
        <w:rPr>
          <w:rFonts w:ascii="Verdana" w:hAnsi="Verdana"/>
          <w:sz w:val="20"/>
          <w:szCs w:val="20"/>
        </w:rPr>
        <w:t xml:space="preserve">Managing </w:t>
      </w:r>
      <w:r w:rsidR="00F71865">
        <w:rPr>
          <w:rFonts w:ascii="Verdana" w:hAnsi="Verdana"/>
          <w:sz w:val="20"/>
          <w:szCs w:val="20"/>
        </w:rPr>
        <w:t xml:space="preserve">the </w:t>
      </w:r>
      <w:r>
        <w:rPr>
          <w:rFonts w:ascii="Verdana" w:hAnsi="Verdana"/>
          <w:sz w:val="20"/>
          <w:szCs w:val="20"/>
        </w:rPr>
        <w:t>risk</w:t>
      </w:r>
      <w:r w:rsidR="00F71865">
        <w:rPr>
          <w:rFonts w:ascii="Verdana" w:hAnsi="Verdana"/>
          <w:sz w:val="20"/>
          <w:szCs w:val="20"/>
        </w:rPr>
        <w:t>s</w:t>
      </w:r>
      <w:r>
        <w:rPr>
          <w:rFonts w:ascii="Verdana" w:hAnsi="Verdana"/>
          <w:sz w:val="20"/>
          <w:szCs w:val="20"/>
        </w:rPr>
        <w:t xml:space="preserve"> of plant in the workplace</w:t>
      </w:r>
    </w:p>
    <w:p w:rsidR="005510F5" w:rsidRDefault="005510F5" w:rsidP="00D66AA4">
      <w:pPr>
        <w:ind w:left="720" w:right="386"/>
        <w:jc w:val="both"/>
        <w:rPr>
          <w:rFonts w:ascii="Verdana" w:hAnsi="Verdana"/>
          <w:sz w:val="20"/>
          <w:szCs w:val="20"/>
        </w:rPr>
      </w:pPr>
      <w:r>
        <w:rPr>
          <w:rFonts w:ascii="Verdana" w:hAnsi="Verdana"/>
          <w:sz w:val="20"/>
          <w:szCs w:val="20"/>
        </w:rPr>
        <w:t>Welding processes</w:t>
      </w:r>
    </w:p>
    <w:p w:rsidR="005510F5" w:rsidRDefault="005510F5" w:rsidP="00D66AA4">
      <w:pPr>
        <w:ind w:left="720" w:right="386"/>
        <w:jc w:val="both"/>
        <w:rPr>
          <w:rFonts w:ascii="Verdana" w:hAnsi="Verdana"/>
          <w:sz w:val="20"/>
          <w:szCs w:val="20"/>
        </w:rPr>
      </w:pPr>
      <w:r>
        <w:rPr>
          <w:rFonts w:ascii="Verdana" w:hAnsi="Verdana"/>
          <w:sz w:val="20"/>
          <w:szCs w:val="20"/>
        </w:rPr>
        <w:t>Excavation work</w:t>
      </w:r>
    </w:p>
    <w:p w:rsidR="005510F5" w:rsidRDefault="005510F5" w:rsidP="00D66AA4">
      <w:pPr>
        <w:ind w:left="720" w:right="386"/>
        <w:jc w:val="both"/>
        <w:rPr>
          <w:rFonts w:ascii="Verdana" w:hAnsi="Verdana"/>
          <w:sz w:val="20"/>
          <w:szCs w:val="20"/>
        </w:rPr>
      </w:pPr>
      <w:r>
        <w:rPr>
          <w:rFonts w:ascii="Verdana" w:hAnsi="Verdana"/>
          <w:sz w:val="20"/>
          <w:szCs w:val="20"/>
        </w:rPr>
        <w:t>Demolition work</w:t>
      </w:r>
    </w:p>
    <w:p w:rsidR="005510F5" w:rsidRDefault="005510F5" w:rsidP="00D66AA4">
      <w:pPr>
        <w:ind w:left="720" w:right="386"/>
        <w:jc w:val="both"/>
        <w:rPr>
          <w:rFonts w:ascii="Verdana" w:hAnsi="Verdana"/>
          <w:sz w:val="20"/>
          <w:szCs w:val="20"/>
        </w:rPr>
      </w:pPr>
      <w:r>
        <w:rPr>
          <w:rFonts w:ascii="Verdana" w:hAnsi="Verdana"/>
          <w:sz w:val="20"/>
          <w:szCs w:val="20"/>
        </w:rPr>
        <w:t>Safe design of structures</w:t>
      </w:r>
    </w:p>
    <w:p w:rsidR="002C28CA" w:rsidRDefault="002C28CA" w:rsidP="00D66AA4">
      <w:pPr>
        <w:ind w:left="720" w:right="386"/>
        <w:jc w:val="both"/>
        <w:rPr>
          <w:rFonts w:ascii="Verdana" w:hAnsi="Verdana"/>
          <w:sz w:val="20"/>
          <w:szCs w:val="20"/>
        </w:rPr>
      </w:pPr>
      <w:r>
        <w:rPr>
          <w:rFonts w:ascii="Verdana" w:hAnsi="Verdana"/>
          <w:sz w:val="20"/>
          <w:szCs w:val="20"/>
        </w:rPr>
        <w:t>Spray painting and powder coating</w:t>
      </w:r>
    </w:p>
    <w:p w:rsidR="002C28CA" w:rsidRDefault="002C28CA" w:rsidP="00D66AA4">
      <w:pPr>
        <w:ind w:left="720" w:right="386"/>
        <w:jc w:val="both"/>
        <w:rPr>
          <w:rFonts w:ascii="Verdana" w:hAnsi="Verdana"/>
          <w:sz w:val="20"/>
          <w:szCs w:val="20"/>
        </w:rPr>
      </w:pPr>
      <w:r>
        <w:rPr>
          <w:rFonts w:ascii="Verdana" w:hAnsi="Verdana"/>
          <w:sz w:val="20"/>
          <w:szCs w:val="20"/>
        </w:rPr>
        <w:t>Abrasive blasting</w:t>
      </w:r>
    </w:p>
    <w:p w:rsidR="005B2465" w:rsidRDefault="005B2465" w:rsidP="00D66AA4">
      <w:pPr>
        <w:ind w:left="720" w:right="386"/>
        <w:jc w:val="both"/>
        <w:rPr>
          <w:rFonts w:ascii="Verdana" w:hAnsi="Verdana"/>
          <w:sz w:val="20"/>
          <w:szCs w:val="20"/>
        </w:rPr>
      </w:pPr>
    </w:p>
    <w:p w:rsidR="0050200A" w:rsidRDefault="005510F5" w:rsidP="0050200A">
      <w:pPr>
        <w:ind w:right="26"/>
        <w:jc w:val="both"/>
        <w:rPr>
          <w:rFonts w:ascii="Verdana" w:hAnsi="Verdana"/>
          <w:sz w:val="20"/>
          <w:szCs w:val="20"/>
        </w:rPr>
      </w:pPr>
      <w:r w:rsidRPr="005B2111">
        <w:rPr>
          <w:rFonts w:ascii="Verdana" w:hAnsi="Verdana"/>
          <w:sz w:val="20"/>
          <w:szCs w:val="20"/>
        </w:rPr>
        <w:t>T</w:t>
      </w:r>
      <w:r w:rsidR="002843FF" w:rsidRPr="005B2111">
        <w:rPr>
          <w:rFonts w:ascii="Verdana" w:hAnsi="Verdana"/>
          <w:sz w:val="20"/>
          <w:szCs w:val="20"/>
        </w:rPr>
        <w:t>hese represent</w:t>
      </w:r>
      <w:r w:rsidR="00920950" w:rsidRPr="005B2111">
        <w:rPr>
          <w:rFonts w:ascii="Verdana" w:hAnsi="Verdana"/>
          <w:sz w:val="20"/>
          <w:szCs w:val="20"/>
        </w:rPr>
        <w:t xml:space="preserve"> the second set of codes of practice </w:t>
      </w:r>
      <w:r w:rsidR="0050200A" w:rsidRPr="005B2111">
        <w:rPr>
          <w:rFonts w:ascii="Verdana" w:hAnsi="Verdana"/>
          <w:sz w:val="20"/>
          <w:szCs w:val="20"/>
        </w:rPr>
        <w:t>Safe Work Australia and the Workplace Relations Ministers Council</w:t>
      </w:r>
      <w:r w:rsidR="00C92C46" w:rsidRPr="005B2111">
        <w:rPr>
          <w:rFonts w:ascii="Verdana" w:hAnsi="Verdana"/>
          <w:sz w:val="20"/>
          <w:szCs w:val="20"/>
        </w:rPr>
        <w:t xml:space="preserve"> have approved</w:t>
      </w:r>
      <w:r w:rsidR="00920950" w:rsidRPr="005B2111">
        <w:rPr>
          <w:rFonts w:ascii="Verdana" w:hAnsi="Verdana"/>
          <w:sz w:val="20"/>
          <w:szCs w:val="20"/>
        </w:rPr>
        <w:t xml:space="preserve"> since the implementation of the WHS Act</w:t>
      </w:r>
      <w:r w:rsidR="0050200A" w:rsidRPr="005B2111">
        <w:rPr>
          <w:rFonts w:ascii="Verdana" w:hAnsi="Verdana"/>
          <w:sz w:val="20"/>
          <w:szCs w:val="20"/>
        </w:rPr>
        <w:t>.</w:t>
      </w:r>
    </w:p>
    <w:p w:rsidR="00C61937" w:rsidRPr="00810D51" w:rsidRDefault="00C61937" w:rsidP="00C61937">
      <w:pPr>
        <w:ind w:right="26"/>
        <w:jc w:val="both"/>
        <w:rPr>
          <w:rFonts w:ascii="Verdana" w:hAnsi="Verdana"/>
          <w:sz w:val="16"/>
          <w:szCs w:val="16"/>
        </w:rPr>
      </w:pPr>
    </w:p>
    <w:p w:rsidR="00FE4454" w:rsidRDefault="0050200A" w:rsidP="00C61937">
      <w:pPr>
        <w:ind w:right="26"/>
        <w:jc w:val="both"/>
        <w:rPr>
          <w:rFonts w:ascii="Verdana" w:hAnsi="Verdana"/>
          <w:sz w:val="20"/>
          <w:szCs w:val="20"/>
        </w:rPr>
      </w:pPr>
      <w:r>
        <w:rPr>
          <w:rFonts w:ascii="Verdana" w:hAnsi="Verdana"/>
          <w:sz w:val="20"/>
          <w:szCs w:val="20"/>
        </w:rPr>
        <w:t>Safe Work Australia has developed model codes of practice for adoption by the Commonwealth, State and Territory governments i</w:t>
      </w:r>
      <w:r w:rsidR="00FE4454">
        <w:rPr>
          <w:rFonts w:ascii="Verdana" w:hAnsi="Verdana"/>
          <w:sz w:val="20"/>
          <w:szCs w:val="20"/>
        </w:rPr>
        <w:t xml:space="preserve">n accordance with </w:t>
      </w:r>
      <w:r w:rsidR="00C61937">
        <w:rPr>
          <w:rFonts w:ascii="Verdana" w:hAnsi="Verdana"/>
          <w:sz w:val="20"/>
          <w:szCs w:val="20"/>
        </w:rPr>
        <w:t xml:space="preserve">the Council of Australian Governments’ </w:t>
      </w:r>
      <w:r w:rsidR="00C61937">
        <w:rPr>
          <w:rFonts w:ascii="Verdana" w:hAnsi="Verdana"/>
          <w:i/>
          <w:sz w:val="20"/>
          <w:szCs w:val="20"/>
        </w:rPr>
        <w:t>Inter-Governmental Agreement for Regulatory and Operational Reform in Occupational Health and Safety</w:t>
      </w:r>
      <w:r w:rsidR="00FE4454">
        <w:rPr>
          <w:rFonts w:ascii="Verdana" w:hAnsi="Verdana"/>
          <w:i/>
          <w:sz w:val="20"/>
          <w:szCs w:val="20"/>
        </w:rPr>
        <w:t xml:space="preserve"> </w:t>
      </w:r>
      <w:r w:rsidR="00FE4454">
        <w:rPr>
          <w:rFonts w:ascii="Verdana" w:hAnsi="Verdana"/>
          <w:sz w:val="20"/>
          <w:szCs w:val="20"/>
        </w:rPr>
        <w:t>(the IGA)</w:t>
      </w:r>
      <w:r>
        <w:rPr>
          <w:rFonts w:ascii="Verdana" w:hAnsi="Verdana"/>
          <w:sz w:val="20"/>
          <w:szCs w:val="20"/>
        </w:rPr>
        <w:t xml:space="preserve">.  Consistent with </w:t>
      </w:r>
      <w:r w:rsidR="00C92C46">
        <w:rPr>
          <w:rFonts w:ascii="Verdana" w:hAnsi="Verdana"/>
          <w:sz w:val="20"/>
          <w:szCs w:val="20"/>
        </w:rPr>
        <w:t>the IGA and subsection 274(2</w:t>
      </w:r>
      <w:r w:rsidR="00FE4454">
        <w:rPr>
          <w:rFonts w:ascii="Verdana" w:hAnsi="Verdana"/>
          <w:sz w:val="20"/>
          <w:szCs w:val="20"/>
        </w:rPr>
        <w:t xml:space="preserve">) of the WHS Act, those model codes were developed in consultation with the Commonwealth, State and Territory governments, unions and employer organisations.  </w:t>
      </w:r>
      <w:r w:rsidR="00FE4454" w:rsidRPr="00D65FDB">
        <w:rPr>
          <w:rFonts w:ascii="Verdana" w:hAnsi="Verdana"/>
          <w:sz w:val="20"/>
          <w:szCs w:val="20"/>
        </w:rPr>
        <w:t xml:space="preserve">The </w:t>
      </w:r>
      <w:r w:rsidR="008A4EF1">
        <w:rPr>
          <w:rFonts w:ascii="Verdana" w:hAnsi="Verdana"/>
          <w:sz w:val="20"/>
          <w:szCs w:val="20"/>
        </w:rPr>
        <w:t xml:space="preserve">second set of </w:t>
      </w:r>
      <w:r w:rsidR="00FE4454" w:rsidRPr="00D65FDB">
        <w:rPr>
          <w:rFonts w:ascii="Verdana" w:hAnsi="Verdana"/>
          <w:sz w:val="20"/>
          <w:szCs w:val="20"/>
        </w:rPr>
        <w:t>model codes were released for public consulta</w:t>
      </w:r>
      <w:r w:rsidRPr="00D65FDB">
        <w:rPr>
          <w:rFonts w:ascii="Verdana" w:hAnsi="Verdana"/>
          <w:sz w:val="20"/>
          <w:szCs w:val="20"/>
        </w:rPr>
        <w:t>tion i</w:t>
      </w:r>
      <w:r w:rsidR="00FE4454" w:rsidRPr="00D65FDB">
        <w:rPr>
          <w:rFonts w:ascii="Verdana" w:hAnsi="Verdana"/>
          <w:sz w:val="20"/>
          <w:szCs w:val="20"/>
        </w:rPr>
        <w:t xml:space="preserve">n </w:t>
      </w:r>
      <w:r w:rsidR="00DC693C">
        <w:rPr>
          <w:rFonts w:ascii="Verdana" w:hAnsi="Verdana"/>
          <w:sz w:val="20"/>
          <w:szCs w:val="20"/>
        </w:rPr>
        <w:t>September 2011</w:t>
      </w:r>
      <w:r w:rsidR="00DE7487">
        <w:rPr>
          <w:rFonts w:ascii="Verdana" w:hAnsi="Verdana"/>
          <w:sz w:val="20"/>
          <w:szCs w:val="20"/>
        </w:rPr>
        <w:t>. The</w:t>
      </w:r>
      <w:r w:rsidR="00025009">
        <w:rPr>
          <w:rFonts w:ascii="Verdana" w:hAnsi="Verdana"/>
          <w:sz w:val="20"/>
          <w:szCs w:val="20"/>
        </w:rPr>
        <w:t xml:space="preserve"> Chair of the</w:t>
      </w:r>
      <w:r w:rsidRPr="00D65FDB">
        <w:rPr>
          <w:rFonts w:ascii="Verdana" w:hAnsi="Verdana"/>
          <w:sz w:val="20"/>
          <w:szCs w:val="20"/>
        </w:rPr>
        <w:t xml:space="preserve"> </w:t>
      </w:r>
      <w:r w:rsidR="00DE7487">
        <w:rPr>
          <w:rFonts w:ascii="Verdana" w:hAnsi="Verdana"/>
          <w:sz w:val="20"/>
          <w:szCs w:val="20"/>
        </w:rPr>
        <w:t>Select Council on Workplace Relations</w:t>
      </w:r>
      <w:r w:rsidR="00DE7487" w:rsidRPr="001D68D9">
        <w:rPr>
          <w:rFonts w:ascii="Verdana" w:hAnsi="Verdana"/>
          <w:sz w:val="20"/>
          <w:szCs w:val="20"/>
        </w:rPr>
        <w:t xml:space="preserve"> </w:t>
      </w:r>
      <w:r w:rsidR="00DE7487">
        <w:rPr>
          <w:rFonts w:ascii="Verdana" w:hAnsi="Verdana"/>
          <w:sz w:val="20"/>
          <w:szCs w:val="20"/>
        </w:rPr>
        <w:t>advised jurisdictions to adopt and implement the second set of model codes</w:t>
      </w:r>
      <w:r w:rsidRPr="00D65FDB">
        <w:rPr>
          <w:rFonts w:ascii="Verdana" w:hAnsi="Verdana"/>
          <w:sz w:val="20"/>
          <w:szCs w:val="20"/>
        </w:rPr>
        <w:t xml:space="preserve"> in </w:t>
      </w:r>
      <w:r w:rsidR="00DC693C">
        <w:rPr>
          <w:rFonts w:ascii="Verdana" w:hAnsi="Verdana"/>
          <w:sz w:val="20"/>
          <w:szCs w:val="20"/>
        </w:rPr>
        <w:t>July 2012</w:t>
      </w:r>
      <w:r w:rsidR="002C28CA">
        <w:rPr>
          <w:rFonts w:ascii="Verdana" w:hAnsi="Verdana"/>
          <w:sz w:val="20"/>
          <w:szCs w:val="20"/>
        </w:rPr>
        <w:t xml:space="preserve"> (October 2012 for Spray painting and powder coating and Abrasive blasting)</w:t>
      </w:r>
      <w:r w:rsidR="00FE4454" w:rsidRPr="00D65FDB">
        <w:rPr>
          <w:rFonts w:ascii="Verdana" w:hAnsi="Verdana"/>
          <w:sz w:val="20"/>
          <w:szCs w:val="20"/>
        </w:rPr>
        <w:t>.</w:t>
      </w:r>
    </w:p>
    <w:p w:rsidR="00FE4454" w:rsidRPr="00810D51" w:rsidRDefault="00FE4454" w:rsidP="00C61937">
      <w:pPr>
        <w:ind w:right="26"/>
        <w:jc w:val="both"/>
        <w:rPr>
          <w:rFonts w:ascii="Verdana" w:hAnsi="Verdana"/>
          <w:sz w:val="16"/>
          <w:szCs w:val="16"/>
        </w:rPr>
      </w:pPr>
    </w:p>
    <w:p w:rsidR="00C61937" w:rsidRPr="0050200A" w:rsidRDefault="00FE4454" w:rsidP="00C61937">
      <w:pPr>
        <w:ind w:right="26"/>
        <w:jc w:val="both"/>
        <w:rPr>
          <w:rFonts w:ascii="Verdana" w:hAnsi="Verdana"/>
          <w:sz w:val="20"/>
          <w:szCs w:val="20"/>
        </w:rPr>
      </w:pPr>
      <w:r>
        <w:rPr>
          <w:rFonts w:ascii="Verdana" w:hAnsi="Verdana"/>
          <w:sz w:val="20"/>
          <w:szCs w:val="20"/>
        </w:rPr>
        <w:t xml:space="preserve">The codes of practice approved by this instrument </w:t>
      </w:r>
      <w:r w:rsidR="0050200A">
        <w:rPr>
          <w:rFonts w:ascii="Verdana" w:hAnsi="Verdana"/>
          <w:sz w:val="20"/>
          <w:szCs w:val="20"/>
        </w:rPr>
        <w:t xml:space="preserve">are the model codes of practice as so developed by Safe Work Australia and modified by Comcare to </w:t>
      </w:r>
      <w:r w:rsidR="0050200A">
        <w:rPr>
          <w:rFonts w:ascii="Verdana" w:hAnsi="Verdana"/>
          <w:sz w:val="20"/>
          <w:szCs w:val="20"/>
        </w:rPr>
        <w:lastRenderedPageBreak/>
        <w:t xml:space="preserve">ensure consistency with the WHS Act and the WHS Regulations and compliance with requirements of the </w:t>
      </w:r>
      <w:r w:rsidR="0050200A">
        <w:rPr>
          <w:rFonts w:ascii="Verdana" w:hAnsi="Verdana"/>
          <w:i/>
          <w:sz w:val="20"/>
          <w:szCs w:val="20"/>
        </w:rPr>
        <w:t>Legislative Instruments Act 2003</w:t>
      </w:r>
      <w:r w:rsidR="0050200A">
        <w:rPr>
          <w:rFonts w:ascii="Verdana" w:hAnsi="Verdana"/>
          <w:sz w:val="20"/>
          <w:szCs w:val="20"/>
        </w:rPr>
        <w:t>.</w:t>
      </w:r>
    </w:p>
    <w:p w:rsidR="000A1FE3" w:rsidRDefault="000A1FE3" w:rsidP="00FE4454">
      <w:pPr>
        <w:ind w:right="26"/>
        <w:jc w:val="both"/>
        <w:rPr>
          <w:rFonts w:ascii="Verdana" w:hAnsi="Verdana"/>
          <w:sz w:val="20"/>
          <w:szCs w:val="20"/>
        </w:rPr>
      </w:pPr>
    </w:p>
    <w:p w:rsidR="000A1FE3" w:rsidRPr="0050200A" w:rsidRDefault="002843FF" w:rsidP="000A1FE3">
      <w:pPr>
        <w:ind w:right="26"/>
        <w:jc w:val="both"/>
        <w:rPr>
          <w:rFonts w:ascii="Verdana" w:hAnsi="Verdana"/>
          <w:sz w:val="20"/>
          <w:szCs w:val="20"/>
        </w:rPr>
      </w:pPr>
      <w:r>
        <w:rPr>
          <w:rFonts w:ascii="Verdana" w:hAnsi="Verdana"/>
          <w:sz w:val="20"/>
          <w:szCs w:val="20"/>
        </w:rPr>
        <w:t>In accordance with paragraph 273B(1)(d</w:t>
      </w:r>
      <w:r w:rsidR="000A1FE3">
        <w:rPr>
          <w:rFonts w:ascii="Verdana" w:hAnsi="Verdana"/>
          <w:sz w:val="20"/>
          <w:szCs w:val="20"/>
        </w:rPr>
        <w:t xml:space="preserve">) of the WHS Act, this instrument is a legislative instrument within the meaning of the </w:t>
      </w:r>
      <w:r w:rsidR="000A1FE3">
        <w:rPr>
          <w:rFonts w:ascii="Verdana" w:hAnsi="Verdana"/>
          <w:i/>
          <w:sz w:val="20"/>
          <w:szCs w:val="20"/>
        </w:rPr>
        <w:t>Legislative Instruments Act 2003</w:t>
      </w:r>
      <w:r w:rsidR="000A1FE3">
        <w:rPr>
          <w:rFonts w:ascii="Verdana" w:hAnsi="Verdana"/>
          <w:sz w:val="20"/>
          <w:szCs w:val="20"/>
        </w:rPr>
        <w:t>.</w:t>
      </w:r>
    </w:p>
    <w:p w:rsidR="00810D51" w:rsidRPr="00810D51" w:rsidRDefault="00810D51" w:rsidP="00FE4454">
      <w:pPr>
        <w:ind w:right="26"/>
        <w:jc w:val="both"/>
        <w:rPr>
          <w:rFonts w:ascii="Verdana" w:hAnsi="Verdana"/>
          <w:sz w:val="16"/>
          <w:szCs w:val="16"/>
        </w:rPr>
      </w:pPr>
    </w:p>
    <w:p w:rsidR="00FE4454" w:rsidRDefault="00FE4454" w:rsidP="002D0A9E">
      <w:pPr>
        <w:ind w:right="28"/>
        <w:jc w:val="both"/>
        <w:rPr>
          <w:rFonts w:ascii="Verdana" w:hAnsi="Verdana"/>
          <w:sz w:val="20"/>
          <w:szCs w:val="20"/>
        </w:rPr>
      </w:pPr>
      <w:r w:rsidRPr="00D65FDB">
        <w:rPr>
          <w:rFonts w:ascii="Verdana" w:hAnsi="Verdana"/>
          <w:sz w:val="20"/>
          <w:szCs w:val="20"/>
        </w:rPr>
        <w:t xml:space="preserve">Further codes of practice are </w:t>
      </w:r>
      <w:r w:rsidR="00810D51" w:rsidRPr="00D65FDB">
        <w:rPr>
          <w:rFonts w:ascii="Verdana" w:hAnsi="Verdana"/>
          <w:sz w:val="20"/>
          <w:szCs w:val="20"/>
        </w:rPr>
        <w:t xml:space="preserve">still </w:t>
      </w:r>
      <w:r w:rsidRPr="00D65FDB">
        <w:rPr>
          <w:rFonts w:ascii="Verdana" w:hAnsi="Verdana"/>
          <w:sz w:val="20"/>
          <w:szCs w:val="20"/>
        </w:rPr>
        <w:t xml:space="preserve">under development and certain parts of the </w:t>
      </w:r>
      <w:r w:rsidRPr="00D65FDB">
        <w:rPr>
          <w:rFonts w:ascii="Verdana" w:hAnsi="Verdana"/>
          <w:i/>
          <w:sz w:val="20"/>
          <w:szCs w:val="20"/>
        </w:rPr>
        <w:t>Occupational Health and Safety Code of Practice 2008</w:t>
      </w:r>
      <w:r w:rsidRPr="00D65FDB">
        <w:rPr>
          <w:rFonts w:ascii="Verdana" w:hAnsi="Verdana"/>
          <w:sz w:val="20"/>
          <w:szCs w:val="20"/>
        </w:rPr>
        <w:t xml:space="preserve"> approved under the </w:t>
      </w:r>
      <w:r w:rsidRPr="00D65FDB">
        <w:rPr>
          <w:rFonts w:ascii="Verdana" w:hAnsi="Verdana"/>
          <w:i/>
          <w:sz w:val="20"/>
          <w:szCs w:val="20"/>
        </w:rPr>
        <w:t>Occupational Health and Safety Act 1992</w:t>
      </w:r>
      <w:r w:rsidRPr="00D65FDB">
        <w:rPr>
          <w:rFonts w:ascii="Verdana" w:hAnsi="Verdana"/>
          <w:sz w:val="20"/>
          <w:szCs w:val="20"/>
        </w:rPr>
        <w:t xml:space="preserve"> have been temporarily preserved by the </w:t>
      </w:r>
      <w:r w:rsidRPr="00D65FDB">
        <w:rPr>
          <w:rFonts w:ascii="Verdana" w:hAnsi="Verdana"/>
          <w:i/>
          <w:sz w:val="20"/>
          <w:szCs w:val="20"/>
        </w:rPr>
        <w:t>Work Health and Safety (Transitional and Consequential Provisions) Regulations 2011</w:t>
      </w:r>
      <w:r w:rsidRPr="00D65FDB">
        <w:rPr>
          <w:rFonts w:ascii="Verdana" w:hAnsi="Verdana"/>
          <w:sz w:val="20"/>
          <w:szCs w:val="20"/>
        </w:rPr>
        <w:t xml:space="preserve"> to provide interim guidance to duty holders pending approval of new codes of practice.</w:t>
      </w:r>
      <w:r>
        <w:rPr>
          <w:rFonts w:ascii="Verdana" w:hAnsi="Verdana"/>
          <w:sz w:val="20"/>
          <w:szCs w:val="20"/>
        </w:rPr>
        <w:t xml:space="preserve"> </w:t>
      </w:r>
    </w:p>
    <w:p w:rsidR="000A1FE3" w:rsidRPr="00810D51" w:rsidRDefault="000A1FE3" w:rsidP="002D0A9E">
      <w:pPr>
        <w:ind w:right="28"/>
        <w:jc w:val="both"/>
        <w:rPr>
          <w:rFonts w:ascii="Verdana" w:hAnsi="Verdana"/>
          <w:sz w:val="16"/>
          <w:szCs w:val="16"/>
        </w:rPr>
      </w:pPr>
    </w:p>
    <w:p w:rsidR="000A1FE3" w:rsidRDefault="000A1FE3" w:rsidP="002D0A9E">
      <w:pPr>
        <w:ind w:right="28"/>
        <w:jc w:val="both"/>
        <w:rPr>
          <w:rFonts w:ascii="Verdana" w:hAnsi="Verdana"/>
          <w:sz w:val="20"/>
          <w:szCs w:val="20"/>
        </w:rPr>
      </w:pPr>
      <w:r>
        <w:rPr>
          <w:rFonts w:ascii="Verdana" w:hAnsi="Verdana"/>
          <w:sz w:val="20"/>
          <w:szCs w:val="20"/>
        </w:rPr>
        <w:t xml:space="preserve">The </w:t>
      </w:r>
      <w:r w:rsidRPr="00810D51">
        <w:rPr>
          <w:rFonts w:ascii="Verdana" w:hAnsi="Verdana"/>
          <w:i/>
          <w:sz w:val="20"/>
          <w:szCs w:val="20"/>
        </w:rPr>
        <w:t xml:space="preserve">Decision Regulation Impact Statement for National Harmonisation of Work Health and Safety Regulations and Codes of Practice </w:t>
      </w:r>
      <w:r>
        <w:rPr>
          <w:rFonts w:ascii="Verdana" w:hAnsi="Verdana"/>
          <w:sz w:val="20"/>
          <w:szCs w:val="20"/>
        </w:rPr>
        <w:t xml:space="preserve">prepared by Safe Work Australia addresses the regulatory impact of the codes of practice approved by this instrument (and </w:t>
      </w:r>
      <w:r w:rsidR="00810D51">
        <w:rPr>
          <w:rFonts w:ascii="Verdana" w:hAnsi="Verdana"/>
          <w:sz w:val="20"/>
          <w:szCs w:val="20"/>
        </w:rPr>
        <w:t xml:space="preserve">further </w:t>
      </w:r>
      <w:r>
        <w:rPr>
          <w:rFonts w:ascii="Verdana" w:hAnsi="Verdana"/>
          <w:sz w:val="20"/>
          <w:szCs w:val="20"/>
        </w:rPr>
        <w:t xml:space="preserve">codes of practice </w:t>
      </w:r>
      <w:r w:rsidR="00810D51">
        <w:rPr>
          <w:rFonts w:ascii="Verdana" w:hAnsi="Verdana"/>
          <w:sz w:val="20"/>
          <w:szCs w:val="20"/>
        </w:rPr>
        <w:t xml:space="preserve">under development to be </w:t>
      </w:r>
      <w:r>
        <w:rPr>
          <w:rFonts w:ascii="Verdana" w:hAnsi="Verdana"/>
          <w:sz w:val="20"/>
          <w:szCs w:val="20"/>
        </w:rPr>
        <w:t>approved by subsequent instruments).</w:t>
      </w:r>
    </w:p>
    <w:p w:rsidR="00495F6D" w:rsidRDefault="00495F6D" w:rsidP="002D0A9E">
      <w:pPr>
        <w:ind w:right="26"/>
        <w:jc w:val="both"/>
        <w:rPr>
          <w:rFonts w:ascii="Verdana" w:hAnsi="Verdana"/>
          <w:sz w:val="16"/>
          <w:szCs w:val="16"/>
        </w:rPr>
      </w:pPr>
    </w:p>
    <w:p w:rsidR="002D0A9E" w:rsidRPr="002D0A9E" w:rsidRDefault="002D0A9E" w:rsidP="002D0A9E">
      <w:pPr>
        <w:rPr>
          <w:rFonts w:ascii="Verdana" w:eastAsia="Calibri" w:hAnsi="Verdana"/>
          <w:sz w:val="20"/>
          <w:szCs w:val="20"/>
          <w:lang w:eastAsia="en-US"/>
        </w:rPr>
      </w:pPr>
      <w:r w:rsidRPr="002D0A9E">
        <w:rPr>
          <w:rFonts w:ascii="Verdana" w:eastAsia="Calibri" w:hAnsi="Verdana"/>
          <w:sz w:val="20"/>
          <w:szCs w:val="20"/>
          <w:lang w:eastAsia="en-US"/>
        </w:rPr>
        <w:t xml:space="preserve">This Legislative Instrument is compatible with the human rights and freedoms recognised or declared in the international instruments listed in section 3 of the </w:t>
      </w:r>
      <w:r w:rsidRPr="002D0A9E">
        <w:rPr>
          <w:rFonts w:ascii="Verdana" w:eastAsia="Calibri" w:hAnsi="Verdana"/>
          <w:i/>
          <w:sz w:val="20"/>
          <w:szCs w:val="20"/>
          <w:lang w:eastAsia="en-US"/>
        </w:rPr>
        <w:t>Human Rights (Parliamentary Scrutiny) Act 2011</w:t>
      </w:r>
      <w:r w:rsidRPr="002D0A9E">
        <w:rPr>
          <w:rFonts w:ascii="Verdana" w:eastAsia="Calibri" w:hAnsi="Verdana"/>
          <w:sz w:val="20"/>
          <w:szCs w:val="20"/>
          <w:lang w:eastAsia="en-US"/>
        </w:rPr>
        <w:t>.</w:t>
      </w:r>
    </w:p>
    <w:p w:rsidR="00495F6D" w:rsidRPr="00495F6D" w:rsidRDefault="00495F6D" w:rsidP="002D0A9E">
      <w:pPr>
        <w:ind w:right="26"/>
        <w:jc w:val="both"/>
        <w:rPr>
          <w:rFonts w:ascii="Verdana" w:hAnsi="Verdana"/>
          <w:sz w:val="20"/>
          <w:szCs w:val="20"/>
        </w:rPr>
      </w:pPr>
    </w:p>
    <w:p w:rsidR="000A1FE3" w:rsidRDefault="000A1FE3" w:rsidP="002D0A9E">
      <w:pPr>
        <w:ind w:right="26"/>
        <w:jc w:val="both"/>
        <w:rPr>
          <w:rFonts w:ascii="Verdana" w:hAnsi="Verdana"/>
          <w:sz w:val="20"/>
          <w:szCs w:val="20"/>
        </w:rPr>
      </w:pPr>
      <w:r>
        <w:rPr>
          <w:rFonts w:ascii="Verdana" w:hAnsi="Verdana"/>
          <w:sz w:val="20"/>
          <w:szCs w:val="20"/>
        </w:rPr>
        <w:t xml:space="preserve">In accordance with the WHS Act, the Minister has notified the approval of the codes of practice </w:t>
      </w:r>
      <w:r w:rsidR="00810D51">
        <w:rPr>
          <w:rFonts w:ascii="Verdana" w:hAnsi="Verdana"/>
          <w:sz w:val="20"/>
          <w:szCs w:val="20"/>
        </w:rPr>
        <w:t xml:space="preserve">in newspapers and copies of the codes of practice (and applied, adopted and incorporated documents) are available for inspection, without charge, at Comcare offices during normal business hours.  Copies are also published on the Comcare website </w:t>
      </w:r>
      <w:hyperlink r:id="rId6" w:history="1">
        <w:r w:rsidR="00810D51" w:rsidRPr="00C65FD8">
          <w:rPr>
            <w:rStyle w:val="Hyperlink"/>
            <w:rFonts w:ascii="Verdana" w:hAnsi="Verdana"/>
            <w:sz w:val="20"/>
            <w:szCs w:val="20"/>
          </w:rPr>
          <w:t>www.comcare.gov.au</w:t>
        </w:r>
      </w:hyperlink>
      <w:r w:rsidR="00810D51">
        <w:rPr>
          <w:rFonts w:ascii="Verdana" w:hAnsi="Verdana"/>
          <w:sz w:val="20"/>
          <w:szCs w:val="20"/>
        </w:rPr>
        <w:t xml:space="preserve"> .</w:t>
      </w:r>
    </w:p>
    <w:p w:rsidR="000A1FE3" w:rsidRDefault="000A1FE3" w:rsidP="00FE4454">
      <w:pPr>
        <w:ind w:right="26"/>
        <w:jc w:val="both"/>
        <w:rPr>
          <w:rFonts w:ascii="Verdana" w:hAnsi="Verdana"/>
          <w:sz w:val="20"/>
          <w:szCs w:val="20"/>
        </w:rPr>
      </w:pPr>
    </w:p>
    <w:p w:rsidR="00FE4454" w:rsidRDefault="00FE4454" w:rsidP="00CB6B83">
      <w:pPr>
        <w:jc w:val="both"/>
        <w:rPr>
          <w:rFonts w:ascii="Verdana" w:hAnsi="Verdana"/>
          <w:sz w:val="20"/>
          <w:szCs w:val="20"/>
        </w:rPr>
      </w:pPr>
    </w:p>
    <w:sectPr w:rsidR="00FE445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6B83"/>
    <w:rsid w:val="00003B1C"/>
    <w:rsid w:val="00005D04"/>
    <w:rsid w:val="000063AF"/>
    <w:rsid w:val="000071DF"/>
    <w:rsid w:val="0001131F"/>
    <w:rsid w:val="00011C89"/>
    <w:rsid w:val="00011C8F"/>
    <w:rsid w:val="000149B5"/>
    <w:rsid w:val="000216B8"/>
    <w:rsid w:val="0002262F"/>
    <w:rsid w:val="00025009"/>
    <w:rsid w:val="00027096"/>
    <w:rsid w:val="00030882"/>
    <w:rsid w:val="00036ECA"/>
    <w:rsid w:val="000372E0"/>
    <w:rsid w:val="00041E12"/>
    <w:rsid w:val="000449BF"/>
    <w:rsid w:val="00044B67"/>
    <w:rsid w:val="00062927"/>
    <w:rsid w:val="00062A4C"/>
    <w:rsid w:val="00063C1E"/>
    <w:rsid w:val="00065701"/>
    <w:rsid w:val="0007201F"/>
    <w:rsid w:val="00072A8F"/>
    <w:rsid w:val="0007726E"/>
    <w:rsid w:val="000773C0"/>
    <w:rsid w:val="00081A76"/>
    <w:rsid w:val="000829E3"/>
    <w:rsid w:val="000857EB"/>
    <w:rsid w:val="000931B5"/>
    <w:rsid w:val="0009384A"/>
    <w:rsid w:val="000A1FE3"/>
    <w:rsid w:val="000A2F59"/>
    <w:rsid w:val="000A2FA6"/>
    <w:rsid w:val="000A6D84"/>
    <w:rsid w:val="000B0191"/>
    <w:rsid w:val="000B1EB6"/>
    <w:rsid w:val="000B6661"/>
    <w:rsid w:val="000C3D46"/>
    <w:rsid w:val="000C58D2"/>
    <w:rsid w:val="000D3EF5"/>
    <w:rsid w:val="000D4901"/>
    <w:rsid w:val="000D7BB9"/>
    <w:rsid w:val="000E0012"/>
    <w:rsid w:val="000E41AB"/>
    <w:rsid w:val="000E5F53"/>
    <w:rsid w:val="000E748A"/>
    <w:rsid w:val="000F3E42"/>
    <w:rsid w:val="000F40F1"/>
    <w:rsid w:val="000F6CA4"/>
    <w:rsid w:val="001000FC"/>
    <w:rsid w:val="00101039"/>
    <w:rsid w:val="00103E2B"/>
    <w:rsid w:val="0010686A"/>
    <w:rsid w:val="001071F2"/>
    <w:rsid w:val="001144FE"/>
    <w:rsid w:val="00116F71"/>
    <w:rsid w:val="00117B2E"/>
    <w:rsid w:val="00123C1E"/>
    <w:rsid w:val="00127AB1"/>
    <w:rsid w:val="001308DF"/>
    <w:rsid w:val="00134ED2"/>
    <w:rsid w:val="00135C2A"/>
    <w:rsid w:val="00140763"/>
    <w:rsid w:val="001422B6"/>
    <w:rsid w:val="00142C63"/>
    <w:rsid w:val="001431A8"/>
    <w:rsid w:val="0014432A"/>
    <w:rsid w:val="00144DB6"/>
    <w:rsid w:val="00150795"/>
    <w:rsid w:val="00150E22"/>
    <w:rsid w:val="001517C0"/>
    <w:rsid w:val="0015370A"/>
    <w:rsid w:val="00153A4C"/>
    <w:rsid w:val="001543F8"/>
    <w:rsid w:val="00155675"/>
    <w:rsid w:val="00156978"/>
    <w:rsid w:val="0016183F"/>
    <w:rsid w:val="001654F2"/>
    <w:rsid w:val="001765C5"/>
    <w:rsid w:val="00176C36"/>
    <w:rsid w:val="00190EB5"/>
    <w:rsid w:val="001936AB"/>
    <w:rsid w:val="00196876"/>
    <w:rsid w:val="001A08A7"/>
    <w:rsid w:val="001A3F54"/>
    <w:rsid w:val="001A6ABE"/>
    <w:rsid w:val="001B42C2"/>
    <w:rsid w:val="001B5308"/>
    <w:rsid w:val="001B734C"/>
    <w:rsid w:val="001C380E"/>
    <w:rsid w:val="001C6AED"/>
    <w:rsid w:val="001D245C"/>
    <w:rsid w:val="001D31F2"/>
    <w:rsid w:val="001D51F0"/>
    <w:rsid w:val="001D6792"/>
    <w:rsid w:val="001E0976"/>
    <w:rsid w:val="001F0CDB"/>
    <w:rsid w:val="001F287D"/>
    <w:rsid w:val="001F7655"/>
    <w:rsid w:val="0020351C"/>
    <w:rsid w:val="002038FD"/>
    <w:rsid w:val="00210CC5"/>
    <w:rsid w:val="00212F02"/>
    <w:rsid w:val="002157AA"/>
    <w:rsid w:val="002167F8"/>
    <w:rsid w:val="00216CA9"/>
    <w:rsid w:val="00223859"/>
    <w:rsid w:val="00223D8C"/>
    <w:rsid w:val="0022573B"/>
    <w:rsid w:val="00234621"/>
    <w:rsid w:val="002370B2"/>
    <w:rsid w:val="00237D59"/>
    <w:rsid w:val="00241640"/>
    <w:rsid w:val="00244FC7"/>
    <w:rsid w:val="00245D1C"/>
    <w:rsid w:val="00246DDF"/>
    <w:rsid w:val="00247755"/>
    <w:rsid w:val="00250194"/>
    <w:rsid w:val="002547FF"/>
    <w:rsid w:val="00254AD4"/>
    <w:rsid w:val="00263A12"/>
    <w:rsid w:val="00265742"/>
    <w:rsid w:val="002707BE"/>
    <w:rsid w:val="00271BBA"/>
    <w:rsid w:val="002763B1"/>
    <w:rsid w:val="002764B1"/>
    <w:rsid w:val="00281EE5"/>
    <w:rsid w:val="002843FF"/>
    <w:rsid w:val="00290C63"/>
    <w:rsid w:val="002A4A87"/>
    <w:rsid w:val="002A70C8"/>
    <w:rsid w:val="002B12EA"/>
    <w:rsid w:val="002C28CA"/>
    <w:rsid w:val="002C28E7"/>
    <w:rsid w:val="002C3752"/>
    <w:rsid w:val="002C7D56"/>
    <w:rsid w:val="002D0A9E"/>
    <w:rsid w:val="002D1760"/>
    <w:rsid w:val="002D2A7E"/>
    <w:rsid w:val="002D38A3"/>
    <w:rsid w:val="002E0CCB"/>
    <w:rsid w:val="002E17BB"/>
    <w:rsid w:val="002E4FF5"/>
    <w:rsid w:val="002E7197"/>
    <w:rsid w:val="003000C6"/>
    <w:rsid w:val="00304C32"/>
    <w:rsid w:val="003077F7"/>
    <w:rsid w:val="00314E5A"/>
    <w:rsid w:val="003151E3"/>
    <w:rsid w:val="003176AA"/>
    <w:rsid w:val="00333B73"/>
    <w:rsid w:val="00333E64"/>
    <w:rsid w:val="0033431B"/>
    <w:rsid w:val="00336249"/>
    <w:rsid w:val="00340009"/>
    <w:rsid w:val="00345A69"/>
    <w:rsid w:val="00347E01"/>
    <w:rsid w:val="003527CC"/>
    <w:rsid w:val="00355719"/>
    <w:rsid w:val="0035704F"/>
    <w:rsid w:val="00363085"/>
    <w:rsid w:val="00370928"/>
    <w:rsid w:val="003724BA"/>
    <w:rsid w:val="003767A6"/>
    <w:rsid w:val="0038012E"/>
    <w:rsid w:val="00380143"/>
    <w:rsid w:val="0038234B"/>
    <w:rsid w:val="00390E83"/>
    <w:rsid w:val="0039399F"/>
    <w:rsid w:val="0039758C"/>
    <w:rsid w:val="003A0001"/>
    <w:rsid w:val="003B2E6D"/>
    <w:rsid w:val="003B5E6E"/>
    <w:rsid w:val="003C0753"/>
    <w:rsid w:val="003E18D9"/>
    <w:rsid w:val="003E2B4E"/>
    <w:rsid w:val="003F19A5"/>
    <w:rsid w:val="003F1F87"/>
    <w:rsid w:val="003F4951"/>
    <w:rsid w:val="00402797"/>
    <w:rsid w:val="004041D8"/>
    <w:rsid w:val="00404966"/>
    <w:rsid w:val="004053DF"/>
    <w:rsid w:val="00405EE9"/>
    <w:rsid w:val="00406A3B"/>
    <w:rsid w:val="004072F0"/>
    <w:rsid w:val="00407D3D"/>
    <w:rsid w:val="004137A2"/>
    <w:rsid w:val="00421F93"/>
    <w:rsid w:val="004224FF"/>
    <w:rsid w:val="0043204B"/>
    <w:rsid w:val="00436707"/>
    <w:rsid w:val="004437AD"/>
    <w:rsid w:val="00443C36"/>
    <w:rsid w:val="0044446A"/>
    <w:rsid w:val="004475BC"/>
    <w:rsid w:val="0046523A"/>
    <w:rsid w:val="00466923"/>
    <w:rsid w:val="0046766F"/>
    <w:rsid w:val="004713BE"/>
    <w:rsid w:val="00472EF7"/>
    <w:rsid w:val="004813C0"/>
    <w:rsid w:val="004836E9"/>
    <w:rsid w:val="00487040"/>
    <w:rsid w:val="00490E73"/>
    <w:rsid w:val="00493452"/>
    <w:rsid w:val="00495F6D"/>
    <w:rsid w:val="004A1AA5"/>
    <w:rsid w:val="004A2022"/>
    <w:rsid w:val="004A66CF"/>
    <w:rsid w:val="004A6863"/>
    <w:rsid w:val="004B0263"/>
    <w:rsid w:val="004B2CC0"/>
    <w:rsid w:val="004B6C36"/>
    <w:rsid w:val="004B7125"/>
    <w:rsid w:val="004B7463"/>
    <w:rsid w:val="004B7578"/>
    <w:rsid w:val="004B7ECD"/>
    <w:rsid w:val="004C0DFC"/>
    <w:rsid w:val="004C5668"/>
    <w:rsid w:val="004C60A0"/>
    <w:rsid w:val="004C7C58"/>
    <w:rsid w:val="004D04B4"/>
    <w:rsid w:val="004D2E08"/>
    <w:rsid w:val="004D3DF7"/>
    <w:rsid w:val="004D47FC"/>
    <w:rsid w:val="004E1C86"/>
    <w:rsid w:val="004E2030"/>
    <w:rsid w:val="004E7BF9"/>
    <w:rsid w:val="004F2EE9"/>
    <w:rsid w:val="004F5AD2"/>
    <w:rsid w:val="0050057B"/>
    <w:rsid w:val="0050200A"/>
    <w:rsid w:val="00502A39"/>
    <w:rsid w:val="0050436E"/>
    <w:rsid w:val="005047A4"/>
    <w:rsid w:val="00505347"/>
    <w:rsid w:val="00506267"/>
    <w:rsid w:val="005076FB"/>
    <w:rsid w:val="00510A72"/>
    <w:rsid w:val="00511B39"/>
    <w:rsid w:val="0051487E"/>
    <w:rsid w:val="00515146"/>
    <w:rsid w:val="00522865"/>
    <w:rsid w:val="00522D67"/>
    <w:rsid w:val="005237E2"/>
    <w:rsid w:val="00526688"/>
    <w:rsid w:val="00526ABF"/>
    <w:rsid w:val="00531B38"/>
    <w:rsid w:val="00542351"/>
    <w:rsid w:val="005430EE"/>
    <w:rsid w:val="005472A6"/>
    <w:rsid w:val="00547782"/>
    <w:rsid w:val="00547ADA"/>
    <w:rsid w:val="005510F5"/>
    <w:rsid w:val="0055373F"/>
    <w:rsid w:val="00553CF3"/>
    <w:rsid w:val="005615BF"/>
    <w:rsid w:val="00564BF4"/>
    <w:rsid w:val="00574524"/>
    <w:rsid w:val="005760EA"/>
    <w:rsid w:val="00576A58"/>
    <w:rsid w:val="00580A67"/>
    <w:rsid w:val="00582BE1"/>
    <w:rsid w:val="005838B4"/>
    <w:rsid w:val="00583E9B"/>
    <w:rsid w:val="00590530"/>
    <w:rsid w:val="0059289C"/>
    <w:rsid w:val="0059604C"/>
    <w:rsid w:val="005A50D1"/>
    <w:rsid w:val="005B2111"/>
    <w:rsid w:val="005B2465"/>
    <w:rsid w:val="005C0915"/>
    <w:rsid w:val="005C1EAD"/>
    <w:rsid w:val="005D0104"/>
    <w:rsid w:val="005D05CA"/>
    <w:rsid w:val="005D1CC4"/>
    <w:rsid w:val="005D363E"/>
    <w:rsid w:val="005E0081"/>
    <w:rsid w:val="005E7603"/>
    <w:rsid w:val="00607D53"/>
    <w:rsid w:val="006100BE"/>
    <w:rsid w:val="006171B3"/>
    <w:rsid w:val="0062493C"/>
    <w:rsid w:val="006443A7"/>
    <w:rsid w:val="00647B46"/>
    <w:rsid w:val="00650E73"/>
    <w:rsid w:val="00664885"/>
    <w:rsid w:val="0067639B"/>
    <w:rsid w:val="00682E87"/>
    <w:rsid w:val="0068484F"/>
    <w:rsid w:val="00686180"/>
    <w:rsid w:val="00693F6B"/>
    <w:rsid w:val="006A6E4C"/>
    <w:rsid w:val="006A728F"/>
    <w:rsid w:val="006C0063"/>
    <w:rsid w:val="006C041B"/>
    <w:rsid w:val="006C4C5C"/>
    <w:rsid w:val="006D1F62"/>
    <w:rsid w:val="006E0080"/>
    <w:rsid w:val="006E128F"/>
    <w:rsid w:val="006E2C00"/>
    <w:rsid w:val="006E32CF"/>
    <w:rsid w:val="006E5CFD"/>
    <w:rsid w:val="006E731C"/>
    <w:rsid w:val="006E758C"/>
    <w:rsid w:val="006F503C"/>
    <w:rsid w:val="006F7E88"/>
    <w:rsid w:val="00702E5A"/>
    <w:rsid w:val="00704641"/>
    <w:rsid w:val="007050A9"/>
    <w:rsid w:val="00707F90"/>
    <w:rsid w:val="00710625"/>
    <w:rsid w:val="007110B7"/>
    <w:rsid w:val="00713495"/>
    <w:rsid w:val="00716F21"/>
    <w:rsid w:val="007223E4"/>
    <w:rsid w:val="0072292A"/>
    <w:rsid w:val="00723221"/>
    <w:rsid w:val="00723426"/>
    <w:rsid w:val="0072706F"/>
    <w:rsid w:val="007273CE"/>
    <w:rsid w:val="00731386"/>
    <w:rsid w:val="00744359"/>
    <w:rsid w:val="00750F97"/>
    <w:rsid w:val="00751E75"/>
    <w:rsid w:val="00752F5A"/>
    <w:rsid w:val="00765119"/>
    <w:rsid w:val="00771202"/>
    <w:rsid w:val="00771EA8"/>
    <w:rsid w:val="00771F4A"/>
    <w:rsid w:val="0077576A"/>
    <w:rsid w:val="00782AD9"/>
    <w:rsid w:val="0078321D"/>
    <w:rsid w:val="00784E39"/>
    <w:rsid w:val="0079215D"/>
    <w:rsid w:val="00792EDE"/>
    <w:rsid w:val="0079385B"/>
    <w:rsid w:val="00794BB5"/>
    <w:rsid w:val="0079511C"/>
    <w:rsid w:val="00796DB2"/>
    <w:rsid w:val="007A0E2F"/>
    <w:rsid w:val="007A3C84"/>
    <w:rsid w:val="007A53A5"/>
    <w:rsid w:val="007A6A88"/>
    <w:rsid w:val="007B7204"/>
    <w:rsid w:val="007B7416"/>
    <w:rsid w:val="007C105F"/>
    <w:rsid w:val="007C25A7"/>
    <w:rsid w:val="007C2A1D"/>
    <w:rsid w:val="007C2BD1"/>
    <w:rsid w:val="007C3E7A"/>
    <w:rsid w:val="007C5437"/>
    <w:rsid w:val="007D1BF9"/>
    <w:rsid w:val="007D5253"/>
    <w:rsid w:val="007D7422"/>
    <w:rsid w:val="007E126F"/>
    <w:rsid w:val="007E1902"/>
    <w:rsid w:val="007E3818"/>
    <w:rsid w:val="007F0FA9"/>
    <w:rsid w:val="007F3054"/>
    <w:rsid w:val="008048E7"/>
    <w:rsid w:val="008054B0"/>
    <w:rsid w:val="00810605"/>
    <w:rsid w:val="00810D51"/>
    <w:rsid w:val="00812B31"/>
    <w:rsid w:val="00815F98"/>
    <w:rsid w:val="00822802"/>
    <w:rsid w:val="0082341B"/>
    <w:rsid w:val="00833F58"/>
    <w:rsid w:val="0084173E"/>
    <w:rsid w:val="00842146"/>
    <w:rsid w:val="00842EA9"/>
    <w:rsid w:val="00844FFC"/>
    <w:rsid w:val="00845754"/>
    <w:rsid w:val="00845F0A"/>
    <w:rsid w:val="008521DC"/>
    <w:rsid w:val="00855E03"/>
    <w:rsid w:val="0085795C"/>
    <w:rsid w:val="008608A2"/>
    <w:rsid w:val="00862F75"/>
    <w:rsid w:val="00866D31"/>
    <w:rsid w:val="008834CE"/>
    <w:rsid w:val="00891EE4"/>
    <w:rsid w:val="00893164"/>
    <w:rsid w:val="00897A11"/>
    <w:rsid w:val="008A3B2D"/>
    <w:rsid w:val="008A4AAE"/>
    <w:rsid w:val="008A4EF1"/>
    <w:rsid w:val="008A779A"/>
    <w:rsid w:val="008A7D16"/>
    <w:rsid w:val="008B0D2B"/>
    <w:rsid w:val="008C1188"/>
    <w:rsid w:val="008C16D5"/>
    <w:rsid w:val="008C1FFC"/>
    <w:rsid w:val="008C308F"/>
    <w:rsid w:val="008C3E6D"/>
    <w:rsid w:val="008C4836"/>
    <w:rsid w:val="008D7277"/>
    <w:rsid w:val="008D7CF1"/>
    <w:rsid w:val="008E0D80"/>
    <w:rsid w:val="008E6833"/>
    <w:rsid w:val="008E6ED2"/>
    <w:rsid w:val="008F0BD5"/>
    <w:rsid w:val="008F1171"/>
    <w:rsid w:val="008F3B32"/>
    <w:rsid w:val="008F7DB1"/>
    <w:rsid w:val="00901392"/>
    <w:rsid w:val="00911F03"/>
    <w:rsid w:val="00920950"/>
    <w:rsid w:val="009222C9"/>
    <w:rsid w:val="009249B0"/>
    <w:rsid w:val="00926194"/>
    <w:rsid w:val="00932371"/>
    <w:rsid w:val="00932374"/>
    <w:rsid w:val="009347A5"/>
    <w:rsid w:val="00942B9D"/>
    <w:rsid w:val="00943039"/>
    <w:rsid w:val="0094695E"/>
    <w:rsid w:val="00950CD5"/>
    <w:rsid w:val="00962F2B"/>
    <w:rsid w:val="00970703"/>
    <w:rsid w:val="00973AE4"/>
    <w:rsid w:val="00975A6A"/>
    <w:rsid w:val="00981743"/>
    <w:rsid w:val="00983254"/>
    <w:rsid w:val="00986A6A"/>
    <w:rsid w:val="00995820"/>
    <w:rsid w:val="009972DE"/>
    <w:rsid w:val="00997F43"/>
    <w:rsid w:val="009A5335"/>
    <w:rsid w:val="009A7A30"/>
    <w:rsid w:val="009B064C"/>
    <w:rsid w:val="009C0189"/>
    <w:rsid w:val="009C2ECA"/>
    <w:rsid w:val="009D3102"/>
    <w:rsid w:val="009D4E25"/>
    <w:rsid w:val="009D6C59"/>
    <w:rsid w:val="009E24B9"/>
    <w:rsid w:val="009E30AA"/>
    <w:rsid w:val="009E50EE"/>
    <w:rsid w:val="009E5DD2"/>
    <w:rsid w:val="009E7923"/>
    <w:rsid w:val="009F0E53"/>
    <w:rsid w:val="009F24DA"/>
    <w:rsid w:val="009F6F87"/>
    <w:rsid w:val="00A02DFE"/>
    <w:rsid w:val="00A0756E"/>
    <w:rsid w:val="00A12FB4"/>
    <w:rsid w:val="00A1551C"/>
    <w:rsid w:val="00A15C54"/>
    <w:rsid w:val="00A204B5"/>
    <w:rsid w:val="00A2149A"/>
    <w:rsid w:val="00A24D99"/>
    <w:rsid w:val="00A2699C"/>
    <w:rsid w:val="00A27563"/>
    <w:rsid w:val="00A304D8"/>
    <w:rsid w:val="00A33688"/>
    <w:rsid w:val="00A3667C"/>
    <w:rsid w:val="00A40828"/>
    <w:rsid w:val="00A46938"/>
    <w:rsid w:val="00A505D9"/>
    <w:rsid w:val="00A513F6"/>
    <w:rsid w:val="00A518E7"/>
    <w:rsid w:val="00A54509"/>
    <w:rsid w:val="00A54E3C"/>
    <w:rsid w:val="00A66718"/>
    <w:rsid w:val="00A70497"/>
    <w:rsid w:val="00A747FE"/>
    <w:rsid w:val="00A81EE7"/>
    <w:rsid w:val="00A8302C"/>
    <w:rsid w:val="00A97648"/>
    <w:rsid w:val="00AA0A69"/>
    <w:rsid w:val="00AB0EBF"/>
    <w:rsid w:val="00AB1149"/>
    <w:rsid w:val="00AB114E"/>
    <w:rsid w:val="00AB1BDC"/>
    <w:rsid w:val="00AB2A16"/>
    <w:rsid w:val="00AC0947"/>
    <w:rsid w:val="00AC2860"/>
    <w:rsid w:val="00AC4747"/>
    <w:rsid w:val="00AC7171"/>
    <w:rsid w:val="00AD3789"/>
    <w:rsid w:val="00AD52AC"/>
    <w:rsid w:val="00AE1ED8"/>
    <w:rsid w:val="00AE271B"/>
    <w:rsid w:val="00AE6A96"/>
    <w:rsid w:val="00AF3A9F"/>
    <w:rsid w:val="00AF5688"/>
    <w:rsid w:val="00AF5B81"/>
    <w:rsid w:val="00B052DA"/>
    <w:rsid w:val="00B063FC"/>
    <w:rsid w:val="00B13197"/>
    <w:rsid w:val="00B136C4"/>
    <w:rsid w:val="00B17A57"/>
    <w:rsid w:val="00B237E4"/>
    <w:rsid w:val="00B276FF"/>
    <w:rsid w:val="00B27C4C"/>
    <w:rsid w:val="00B27E6E"/>
    <w:rsid w:val="00B3130F"/>
    <w:rsid w:val="00B33067"/>
    <w:rsid w:val="00B343EA"/>
    <w:rsid w:val="00B405E4"/>
    <w:rsid w:val="00B51D56"/>
    <w:rsid w:val="00B5311B"/>
    <w:rsid w:val="00B543B9"/>
    <w:rsid w:val="00B553F7"/>
    <w:rsid w:val="00B65A26"/>
    <w:rsid w:val="00B872C6"/>
    <w:rsid w:val="00B95453"/>
    <w:rsid w:val="00BA0682"/>
    <w:rsid w:val="00BA1DB8"/>
    <w:rsid w:val="00BB48C9"/>
    <w:rsid w:val="00BB55BF"/>
    <w:rsid w:val="00BC08EA"/>
    <w:rsid w:val="00BC47B2"/>
    <w:rsid w:val="00BD0F5F"/>
    <w:rsid w:val="00BD3706"/>
    <w:rsid w:val="00BD417B"/>
    <w:rsid w:val="00BD477C"/>
    <w:rsid w:val="00BE08C9"/>
    <w:rsid w:val="00BE461A"/>
    <w:rsid w:val="00BE7634"/>
    <w:rsid w:val="00BE7BB6"/>
    <w:rsid w:val="00BF1D17"/>
    <w:rsid w:val="00BF7056"/>
    <w:rsid w:val="00BF7269"/>
    <w:rsid w:val="00C02185"/>
    <w:rsid w:val="00C1730A"/>
    <w:rsid w:val="00C32EE1"/>
    <w:rsid w:val="00C339D4"/>
    <w:rsid w:val="00C34A66"/>
    <w:rsid w:val="00C35E08"/>
    <w:rsid w:val="00C43645"/>
    <w:rsid w:val="00C462B0"/>
    <w:rsid w:val="00C4650C"/>
    <w:rsid w:val="00C50B02"/>
    <w:rsid w:val="00C52339"/>
    <w:rsid w:val="00C61937"/>
    <w:rsid w:val="00C62807"/>
    <w:rsid w:val="00C730A6"/>
    <w:rsid w:val="00C766DD"/>
    <w:rsid w:val="00C825F8"/>
    <w:rsid w:val="00C82A7C"/>
    <w:rsid w:val="00C860B2"/>
    <w:rsid w:val="00C86EA3"/>
    <w:rsid w:val="00C92C46"/>
    <w:rsid w:val="00C97E64"/>
    <w:rsid w:val="00CA0466"/>
    <w:rsid w:val="00CA0557"/>
    <w:rsid w:val="00CA2283"/>
    <w:rsid w:val="00CA3EA0"/>
    <w:rsid w:val="00CA4287"/>
    <w:rsid w:val="00CA45FF"/>
    <w:rsid w:val="00CA69BF"/>
    <w:rsid w:val="00CA7608"/>
    <w:rsid w:val="00CB4DB7"/>
    <w:rsid w:val="00CB6B83"/>
    <w:rsid w:val="00CC040C"/>
    <w:rsid w:val="00CC06C8"/>
    <w:rsid w:val="00CD140E"/>
    <w:rsid w:val="00CE07B9"/>
    <w:rsid w:val="00CF43C0"/>
    <w:rsid w:val="00CF5C11"/>
    <w:rsid w:val="00CF6F44"/>
    <w:rsid w:val="00CF723A"/>
    <w:rsid w:val="00D01C13"/>
    <w:rsid w:val="00D067D2"/>
    <w:rsid w:val="00D10032"/>
    <w:rsid w:val="00D10B84"/>
    <w:rsid w:val="00D11175"/>
    <w:rsid w:val="00D1542D"/>
    <w:rsid w:val="00D20BC1"/>
    <w:rsid w:val="00D22BC8"/>
    <w:rsid w:val="00D263AA"/>
    <w:rsid w:val="00D269D0"/>
    <w:rsid w:val="00D3127A"/>
    <w:rsid w:val="00D329B7"/>
    <w:rsid w:val="00D351C0"/>
    <w:rsid w:val="00D41CF6"/>
    <w:rsid w:val="00D42869"/>
    <w:rsid w:val="00D460C3"/>
    <w:rsid w:val="00D461F7"/>
    <w:rsid w:val="00D47102"/>
    <w:rsid w:val="00D477C4"/>
    <w:rsid w:val="00D47944"/>
    <w:rsid w:val="00D65FDB"/>
    <w:rsid w:val="00D66AA4"/>
    <w:rsid w:val="00D76ED0"/>
    <w:rsid w:val="00D81C35"/>
    <w:rsid w:val="00D83A4B"/>
    <w:rsid w:val="00D9193D"/>
    <w:rsid w:val="00D9205F"/>
    <w:rsid w:val="00D948C8"/>
    <w:rsid w:val="00DA089F"/>
    <w:rsid w:val="00DA3924"/>
    <w:rsid w:val="00DA4770"/>
    <w:rsid w:val="00DB1130"/>
    <w:rsid w:val="00DB46B3"/>
    <w:rsid w:val="00DB62FC"/>
    <w:rsid w:val="00DC22D1"/>
    <w:rsid w:val="00DC3EBF"/>
    <w:rsid w:val="00DC693C"/>
    <w:rsid w:val="00DE0277"/>
    <w:rsid w:val="00DE2AC2"/>
    <w:rsid w:val="00DE7487"/>
    <w:rsid w:val="00DF3794"/>
    <w:rsid w:val="00DF47A4"/>
    <w:rsid w:val="00E00A2B"/>
    <w:rsid w:val="00E01727"/>
    <w:rsid w:val="00E04AAD"/>
    <w:rsid w:val="00E11792"/>
    <w:rsid w:val="00E12DE5"/>
    <w:rsid w:val="00E2218B"/>
    <w:rsid w:val="00E228C0"/>
    <w:rsid w:val="00E259B2"/>
    <w:rsid w:val="00E263D5"/>
    <w:rsid w:val="00E32B17"/>
    <w:rsid w:val="00E336BE"/>
    <w:rsid w:val="00E401FC"/>
    <w:rsid w:val="00E44273"/>
    <w:rsid w:val="00E44B23"/>
    <w:rsid w:val="00E45503"/>
    <w:rsid w:val="00E515CF"/>
    <w:rsid w:val="00E51714"/>
    <w:rsid w:val="00E562D7"/>
    <w:rsid w:val="00E61AC5"/>
    <w:rsid w:val="00E64072"/>
    <w:rsid w:val="00E66DAA"/>
    <w:rsid w:val="00E673DE"/>
    <w:rsid w:val="00E710BD"/>
    <w:rsid w:val="00E74E52"/>
    <w:rsid w:val="00E77C12"/>
    <w:rsid w:val="00E83B81"/>
    <w:rsid w:val="00E85937"/>
    <w:rsid w:val="00E8696F"/>
    <w:rsid w:val="00E92354"/>
    <w:rsid w:val="00E93E63"/>
    <w:rsid w:val="00E961D7"/>
    <w:rsid w:val="00E966BB"/>
    <w:rsid w:val="00EA0674"/>
    <w:rsid w:val="00EA0902"/>
    <w:rsid w:val="00EB546A"/>
    <w:rsid w:val="00EB5679"/>
    <w:rsid w:val="00EB7221"/>
    <w:rsid w:val="00EC0AC5"/>
    <w:rsid w:val="00EC553B"/>
    <w:rsid w:val="00EC6460"/>
    <w:rsid w:val="00ED27D1"/>
    <w:rsid w:val="00ED3413"/>
    <w:rsid w:val="00ED6B40"/>
    <w:rsid w:val="00EE3379"/>
    <w:rsid w:val="00EE3748"/>
    <w:rsid w:val="00EE736E"/>
    <w:rsid w:val="00EF028A"/>
    <w:rsid w:val="00EF07FB"/>
    <w:rsid w:val="00EF2675"/>
    <w:rsid w:val="00EF2A91"/>
    <w:rsid w:val="00EF3EAD"/>
    <w:rsid w:val="00EF6692"/>
    <w:rsid w:val="00F00B74"/>
    <w:rsid w:val="00F026CE"/>
    <w:rsid w:val="00F03FDB"/>
    <w:rsid w:val="00F04B16"/>
    <w:rsid w:val="00F07DDA"/>
    <w:rsid w:val="00F10BFD"/>
    <w:rsid w:val="00F12A64"/>
    <w:rsid w:val="00F137AF"/>
    <w:rsid w:val="00F17928"/>
    <w:rsid w:val="00F17C0F"/>
    <w:rsid w:val="00F2240A"/>
    <w:rsid w:val="00F22A11"/>
    <w:rsid w:val="00F22F51"/>
    <w:rsid w:val="00F233E9"/>
    <w:rsid w:val="00F24080"/>
    <w:rsid w:val="00F30BDE"/>
    <w:rsid w:val="00F34E62"/>
    <w:rsid w:val="00F523D9"/>
    <w:rsid w:val="00F52683"/>
    <w:rsid w:val="00F6616F"/>
    <w:rsid w:val="00F71865"/>
    <w:rsid w:val="00F73963"/>
    <w:rsid w:val="00F76E59"/>
    <w:rsid w:val="00F822B3"/>
    <w:rsid w:val="00F9063E"/>
    <w:rsid w:val="00F95D1F"/>
    <w:rsid w:val="00F97315"/>
    <w:rsid w:val="00FA0FF4"/>
    <w:rsid w:val="00FA342A"/>
    <w:rsid w:val="00FB093D"/>
    <w:rsid w:val="00FB1EDD"/>
    <w:rsid w:val="00FD106F"/>
    <w:rsid w:val="00FE04E3"/>
    <w:rsid w:val="00FE2DBB"/>
    <w:rsid w:val="00FE3C5D"/>
    <w:rsid w:val="00FE4454"/>
    <w:rsid w:val="00FE7937"/>
    <w:rsid w:val="00FF4F17"/>
    <w:rsid w:val="00FF7BCA"/>
    <w:rsid w:val="00FF7D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10D51"/>
    <w:rPr>
      <w:color w:val="0000FF"/>
      <w:u w:val="single"/>
    </w:rPr>
  </w:style>
  <w:style w:type="paragraph" w:styleId="BalloonText">
    <w:name w:val="Balloon Text"/>
    <w:basedOn w:val="Normal"/>
    <w:link w:val="BalloonTextChar"/>
    <w:rsid w:val="00DC693C"/>
    <w:rPr>
      <w:rFonts w:ascii="Tahoma" w:hAnsi="Tahoma" w:cs="Tahoma"/>
      <w:sz w:val="16"/>
      <w:szCs w:val="16"/>
    </w:rPr>
  </w:style>
  <w:style w:type="character" w:customStyle="1" w:styleId="BalloonTextChar">
    <w:name w:val="Balloon Text Char"/>
    <w:basedOn w:val="DefaultParagraphFont"/>
    <w:link w:val="BalloonText"/>
    <w:rsid w:val="00DC693C"/>
    <w:rPr>
      <w:rFonts w:ascii="Tahoma" w:hAnsi="Tahoma" w:cs="Tahoma"/>
      <w:sz w:val="16"/>
      <w:szCs w:val="16"/>
    </w:rPr>
  </w:style>
  <w:style w:type="character" w:styleId="CommentReference">
    <w:name w:val="annotation reference"/>
    <w:basedOn w:val="DefaultParagraphFont"/>
    <w:rsid w:val="003000C6"/>
    <w:rPr>
      <w:sz w:val="16"/>
      <w:szCs w:val="16"/>
    </w:rPr>
  </w:style>
  <w:style w:type="paragraph" w:styleId="CommentText">
    <w:name w:val="annotation text"/>
    <w:basedOn w:val="Normal"/>
    <w:link w:val="CommentTextChar"/>
    <w:rsid w:val="003000C6"/>
    <w:rPr>
      <w:sz w:val="20"/>
      <w:szCs w:val="20"/>
    </w:rPr>
  </w:style>
  <w:style w:type="character" w:customStyle="1" w:styleId="CommentTextChar">
    <w:name w:val="Comment Text Char"/>
    <w:basedOn w:val="DefaultParagraphFont"/>
    <w:link w:val="CommentText"/>
    <w:rsid w:val="003000C6"/>
  </w:style>
  <w:style w:type="paragraph" w:styleId="CommentSubject">
    <w:name w:val="annotation subject"/>
    <w:basedOn w:val="CommentText"/>
    <w:next w:val="CommentText"/>
    <w:link w:val="CommentSubjectChar"/>
    <w:rsid w:val="003000C6"/>
    <w:rPr>
      <w:b/>
      <w:bCs/>
    </w:rPr>
  </w:style>
  <w:style w:type="character" w:customStyle="1" w:styleId="CommentSubjectChar">
    <w:name w:val="Comment Subject Char"/>
    <w:basedOn w:val="CommentTextChar"/>
    <w:link w:val="CommentSubject"/>
    <w:rsid w:val="003000C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omcare.gov.a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B99E7-4553-4483-8A25-C5194EF86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COMCARE</Company>
  <LinksUpToDate>false</LinksUpToDate>
  <CharactersWithSpaces>4305</CharactersWithSpaces>
  <SharedDoc>false</SharedDoc>
  <HLinks>
    <vt:vector size="6" baseType="variant">
      <vt:variant>
        <vt:i4>8257588</vt:i4>
      </vt:variant>
      <vt:variant>
        <vt:i4>0</vt:i4>
      </vt:variant>
      <vt:variant>
        <vt:i4>0</vt:i4>
      </vt:variant>
      <vt:variant>
        <vt:i4>5</vt:i4>
      </vt:variant>
      <vt:variant>
        <vt:lpwstr>http://www.comcare.gov.au/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whitcombe.ken</dc:creator>
  <cp:lastModifiedBy>Emily Hicks</cp:lastModifiedBy>
  <cp:revision>6</cp:revision>
  <dcterms:created xsi:type="dcterms:W3CDTF">2012-10-23T06:00:00Z</dcterms:created>
  <dcterms:modified xsi:type="dcterms:W3CDTF">2012-10-30T01:01:00Z</dcterms:modified>
</cp:coreProperties>
</file>