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70" w:rsidRPr="009D6E0F" w:rsidRDefault="00181470" w:rsidP="00181470">
      <w:pPr>
        <w:jc w:val="center"/>
        <w:rPr>
          <w:rFonts w:ascii="Verdana" w:hAnsi="Verdana"/>
          <w:b/>
        </w:rPr>
      </w:pPr>
    </w:p>
    <w:p w:rsidR="00181470" w:rsidRDefault="00181470" w:rsidP="00181470">
      <w:pPr>
        <w:jc w:val="center"/>
        <w:rPr>
          <w:rFonts w:ascii="Verdana" w:hAnsi="Verdana"/>
          <w:b/>
          <w:i/>
          <w:sz w:val="28"/>
          <w:szCs w:val="28"/>
        </w:rPr>
      </w:pPr>
    </w:p>
    <w:p w:rsidR="00181470" w:rsidRPr="00B05154" w:rsidRDefault="00181470" w:rsidP="00181470">
      <w:pPr>
        <w:jc w:val="center"/>
        <w:rPr>
          <w:rFonts w:ascii="Verdana" w:hAnsi="Verdana"/>
          <w:b/>
          <w:i/>
          <w:sz w:val="28"/>
          <w:szCs w:val="28"/>
        </w:rPr>
      </w:pPr>
      <w:r w:rsidRPr="00B05154">
        <w:rPr>
          <w:rFonts w:ascii="Verdana" w:hAnsi="Verdana"/>
          <w:b/>
          <w:i/>
          <w:sz w:val="28"/>
          <w:szCs w:val="28"/>
        </w:rPr>
        <w:t>Work Health and Safety Act 2011</w:t>
      </w:r>
    </w:p>
    <w:p w:rsidR="00181470" w:rsidRPr="00B05154" w:rsidRDefault="00181470" w:rsidP="00181470">
      <w:pPr>
        <w:jc w:val="center"/>
        <w:rPr>
          <w:rFonts w:ascii="Verdana" w:hAnsi="Verdana"/>
          <w:sz w:val="16"/>
          <w:szCs w:val="16"/>
        </w:rPr>
      </w:pPr>
    </w:p>
    <w:p w:rsidR="00181470" w:rsidRPr="00B05154" w:rsidRDefault="00181470" w:rsidP="00181470">
      <w:pPr>
        <w:jc w:val="center"/>
        <w:rPr>
          <w:rFonts w:ascii="Verdana" w:hAnsi="Verdana"/>
          <w:b/>
          <w:sz w:val="28"/>
          <w:szCs w:val="28"/>
        </w:rPr>
      </w:pPr>
      <w:r w:rsidRPr="00B05154">
        <w:rPr>
          <w:rFonts w:ascii="Verdana" w:hAnsi="Verdana"/>
          <w:b/>
          <w:sz w:val="28"/>
          <w:szCs w:val="28"/>
        </w:rPr>
        <w:t>Section 274</w:t>
      </w:r>
    </w:p>
    <w:p w:rsidR="00181470" w:rsidRPr="009D6E0F" w:rsidRDefault="00181470" w:rsidP="00181470">
      <w:pPr>
        <w:jc w:val="both"/>
        <w:rPr>
          <w:rFonts w:ascii="Verdana" w:hAnsi="Verdana"/>
          <w:b/>
        </w:rPr>
      </w:pPr>
    </w:p>
    <w:p w:rsidR="00181470" w:rsidRDefault="00181470" w:rsidP="00181470">
      <w:pPr>
        <w:jc w:val="center"/>
        <w:rPr>
          <w:rFonts w:ascii="Verdana" w:hAnsi="Verdana"/>
          <w:b/>
        </w:rPr>
      </w:pPr>
    </w:p>
    <w:p w:rsidR="00181470" w:rsidRPr="00B05154" w:rsidRDefault="00181470" w:rsidP="00181470">
      <w:pPr>
        <w:jc w:val="center"/>
        <w:rPr>
          <w:rFonts w:ascii="Verdana" w:hAnsi="Verdana"/>
          <w:b/>
          <w:sz w:val="32"/>
          <w:szCs w:val="32"/>
        </w:rPr>
      </w:pPr>
      <w:r w:rsidRPr="00B05154">
        <w:rPr>
          <w:rFonts w:ascii="Verdana" w:hAnsi="Verdana"/>
          <w:b/>
          <w:sz w:val="32"/>
          <w:szCs w:val="32"/>
        </w:rPr>
        <w:t>Work Health a</w:t>
      </w:r>
      <w:r w:rsidR="00B32C7A">
        <w:rPr>
          <w:rFonts w:ascii="Verdana" w:hAnsi="Verdana"/>
          <w:b/>
          <w:sz w:val="32"/>
          <w:szCs w:val="32"/>
        </w:rPr>
        <w:t>nd Safety Codes of Practice 2012</w:t>
      </w:r>
    </w:p>
    <w:p w:rsidR="00181470" w:rsidRDefault="00181470" w:rsidP="00181470">
      <w:pPr>
        <w:jc w:val="center"/>
        <w:rPr>
          <w:rFonts w:ascii="Verdana" w:hAnsi="Verdana"/>
          <w:b/>
        </w:rPr>
      </w:pPr>
    </w:p>
    <w:p w:rsidR="00181470" w:rsidRPr="009D6E0F" w:rsidRDefault="00181470" w:rsidP="00181470">
      <w:pPr>
        <w:jc w:val="center"/>
        <w:rPr>
          <w:rFonts w:ascii="Verdana" w:hAnsi="Verdana"/>
          <w:b/>
        </w:rPr>
      </w:pPr>
    </w:p>
    <w:p w:rsidR="00181470" w:rsidRPr="009D6E0F" w:rsidRDefault="00181470" w:rsidP="00181470">
      <w:pPr>
        <w:jc w:val="both"/>
        <w:rPr>
          <w:rFonts w:ascii="Verdana" w:hAnsi="Verdana"/>
          <w:b/>
        </w:rPr>
      </w:pPr>
    </w:p>
    <w:p w:rsidR="00181470" w:rsidRPr="009D6E0F" w:rsidRDefault="00181470" w:rsidP="00181470">
      <w:pPr>
        <w:jc w:val="both"/>
        <w:rPr>
          <w:rFonts w:ascii="Verdana" w:hAnsi="Verdana"/>
          <w:b/>
          <w:sz w:val="22"/>
          <w:szCs w:val="22"/>
        </w:rPr>
      </w:pPr>
    </w:p>
    <w:p w:rsidR="00181470" w:rsidRDefault="00181470" w:rsidP="00181470">
      <w:pPr>
        <w:jc w:val="both"/>
        <w:rPr>
          <w:rFonts w:ascii="Verdana" w:hAnsi="Verdana"/>
          <w:b/>
          <w:sz w:val="22"/>
          <w:szCs w:val="22"/>
        </w:rPr>
      </w:pPr>
    </w:p>
    <w:p w:rsidR="00181470" w:rsidRPr="009D6E0F" w:rsidRDefault="00181470" w:rsidP="00181470">
      <w:pPr>
        <w:jc w:val="both"/>
        <w:rPr>
          <w:rFonts w:ascii="Verdana" w:hAnsi="Verdana"/>
          <w:b/>
          <w:sz w:val="22"/>
          <w:szCs w:val="22"/>
        </w:rPr>
      </w:pPr>
    </w:p>
    <w:p w:rsidR="00973813" w:rsidRDefault="00181470" w:rsidP="00181470">
      <w:pPr>
        <w:jc w:val="both"/>
        <w:rPr>
          <w:rFonts w:ascii="Verdana" w:hAnsi="Verdana"/>
          <w:sz w:val="28"/>
          <w:szCs w:val="28"/>
        </w:rPr>
      </w:pPr>
      <w:r>
        <w:rPr>
          <w:rFonts w:ascii="Verdana" w:hAnsi="Verdana"/>
          <w:sz w:val="28"/>
          <w:szCs w:val="28"/>
        </w:rPr>
        <w:t>I, Bill Shorten</w:t>
      </w:r>
      <w:r w:rsidRPr="00B05154">
        <w:rPr>
          <w:rFonts w:ascii="Verdana" w:hAnsi="Verdana"/>
          <w:sz w:val="28"/>
          <w:szCs w:val="28"/>
        </w:rPr>
        <w:t>,</w:t>
      </w:r>
      <w:r w:rsidR="00973813">
        <w:rPr>
          <w:rFonts w:ascii="Verdana" w:hAnsi="Verdana"/>
          <w:sz w:val="28"/>
          <w:szCs w:val="28"/>
        </w:rPr>
        <w:t xml:space="preserve"> Minister for Employment and Workplace Relations:</w:t>
      </w:r>
    </w:p>
    <w:p w:rsidR="00973813" w:rsidRDefault="00973813" w:rsidP="00181470">
      <w:pPr>
        <w:jc w:val="both"/>
        <w:rPr>
          <w:rFonts w:ascii="Verdana" w:hAnsi="Verdana"/>
          <w:sz w:val="28"/>
          <w:szCs w:val="28"/>
        </w:rPr>
      </w:pPr>
    </w:p>
    <w:p w:rsidR="00181470" w:rsidRDefault="00973813" w:rsidP="00973813">
      <w:pPr>
        <w:pStyle w:val="ListParagraph"/>
        <w:numPr>
          <w:ilvl w:val="0"/>
          <w:numId w:val="4"/>
        </w:numPr>
        <w:jc w:val="both"/>
        <w:rPr>
          <w:rFonts w:ascii="Verdana" w:hAnsi="Verdana"/>
          <w:sz w:val="28"/>
          <w:szCs w:val="28"/>
        </w:rPr>
      </w:pPr>
      <w:r>
        <w:rPr>
          <w:rFonts w:ascii="Verdana" w:hAnsi="Verdana"/>
          <w:sz w:val="28"/>
          <w:szCs w:val="28"/>
        </w:rPr>
        <w:t>revoke t</w:t>
      </w:r>
      <w:r w:rsidR="00FD2F7A">
        <w:rPr>
          <w:rFonts w:ascii="Verdana" w:hAnsi="Verdana"/>
          <w:sz w:val="28"/>
          <w:szCs w:val="28"/>
        </w:rPr>
        <w:t>he Codes of Practic</w:t>
      </w:r>
      <w:r w:rsidR="00EE38DF">
        <w:rPr>
          <w:rFonts w:ascii="Verdana" w:hAnsi="Verdana"/>
          <w:sz w:val="28"/>
          <w:szCs w:val="28"/>
        </w:rPr>
        <w:t>e p</w:t>
      </w:r>
      <w:r>
        <w:rPr>
          <w:rFonts w:ascii="Verdana" w:hAnsi="Verdana"/>
          <w:sz w:val="28"/>
          <w:szCs w:val="28"/>
        </w:rPr>
        <w:t xml:space="preserve">reserved by subitem 23(1) of Schedule 2 of the </w:t>
      </w:r>
      <w:r w:rsidRPr="00973813">
        <w:rPr>
          <w:rFonts w:ascii="Verdana" w:hAnsi="Verdana"/>
          <w:i/>
          <w:sz w:val="28"/>
          <w:szCs w:val="28"/>
        </w:rPr>
        <w:t>Work Health and Safety (Transitional and Consequential Provisions) Act 2011</w:t>
      </w:r>
      <w:r w:rsidR="00FD2F7A">
        <w:rPr>
          <w:rFonts w:ascii="Verdana" w:hAnsi="Verdana"/>
          <w:i/>
          <w:sz w:val="28"/>
          <w:szCs w:val="28"/>
        </w:rPr>
        <w:t xml:space="preserve"> </w:t>
      </w:r>
      <w:r w:rsidR="00696596" w:rsidRPr="00696596">
        <w:rPr>
          <w:rFonts w:ascii="Verdana" w:hAnsi="Verdana"/>
          <w:sz w:val="28"/>
          <w:szCs w:val="28"/>
        </w:rPr>
        <w:t xml:space="preserve">that are </w:t>
      </w:r>
      <w:r w:rsidR="00B32C7A">
        <w:rPr>
          <w:rFonts w:ascii="Verdana" w:hAnsi="Verdana"/>
          <w:sz w:val="28"/>
          <w:szCs w:val="28"/>
        </w:rPr>
        <w:t>specified</w:t>
      </w:r>
      <w:r w:rsidR="00FD2F7A" w:rsidRPr="00CF7C39">
        <w:rPr>
          <w:rFonts w:ascii="Verdana" w:hAnsi="Verdana"/>
          <w:sz w:val="28"/>
          <w:szCs w:val="28"/>
        </w:rPr>
        <w:t xml:space="preserve"> in item </w:t>
      </w:r>
      <w:r w:rsidR="00FF6309">
        <w:rPr>
          <w:rFonts w:ascii="Verdana" w:hAnsi="Verdana"/>
          <w:sz w:val="28"/>
          <w:szCs w:val="28"/>
        </w:rPr>
        <w:t>4</w:t>
      </w:r>
      <w:r w:rsidR="00FD2F7A" w:rsidRPr="00CF7C39">
        <w:rPr>
          <w:rFonts w:ascii="Verdana" w:hAnsi="Verdana"/>
          <w:sz w:val="28"/>
          <w:szCs w:val="28"/>
        </w:rPr>
        <w:t xml:space="preserve"> of this instrument</w:t>
      </w:r>
      <w:r w:rsidRPr="00CF7C39">
        <w:rPr>
          <w:rFonts w:ascii="Verdana" w:hAnsi="Verdana"/>
          <w:sz w:val="28"/>
          <w:szCs w:val="28"/>
        </w:rPr>
        <w:t xml:space="preserve">; </w:t>
      </w:r>
      <w:r w:rsidRPr="00973813">
        <w:rPr>
          <w:rFonts w:ascii="Verdana" w:hAnsi="Verdana"/>
          <w:sz w:val="28"/>
          <w:szCs w:val="28"/>
        </w:rPr>
        <w:t>and</w:t>
      </w:r>
    </w:p>
    <w:p w:rsidR="00EE38DF" w:rsidRPr="001D7DB5" w:rsidRDefault="00EE38DF" w:rsidP="001D7DB5">
      <w:pPr>
        <w:ind w:left="360"/>
        <w:jc w:val="both"/>
        <w:rPr>
          <w:rFonts w:ascii="Verdana" w:hAnsi="Verdana"/>
          <w:sz w:val="28"/>
          <w:szCs w:val="28"/>
        </w:rPr>
      </w:pPr>
    </w:p>
    <w:p w:rsidR="00973813" w:rsidRPr="00973813" w:rsidRDefault="004759DC" w:rsidP="00973813">
      <w:pPr>
        <w:pStyle w:val="ListParagraph"/>
        <w:numPr>
          <w:ilvl w:val="0"/>
          <w:numId w:val="4"/>
        </w:numPr>
        <w:jc w:val="both"/>
        <w:rPr>
          <w:rFonts w:ascii="Verdana" w:hAnsi="Verdana"/>
          <w:sz w:val="28"/>
          <w:szCs w:val="28"/>
        </w:rPr>
      </w:pPr>
      <w:r>
        <w:rPr>
          <w:rFonts w:ascii="Verdana" w:hAnsi="Verdana"/>
          <w:sz w:val="28"/>
          <w:szCs w:val="28"/>
        </w:rPr>
        <w:t>approve the</w:t>
      </w:r>
      <w:r w:rsidR="00973813" w:rsidRPr="00973813">
        <w:rPr>
          <w:rFonts w:ascii="Verdana" w:hAnsi="Verdana"/>
          <w:sz w:val="28"/>
          <w:szCs w:val="28"/>
        </w:rPr>
        <w:t xml:space="preserve"> Codes of Practice under subsection 274(1) of the </w:t>
      </w:r>
      <w:r w:rsidR="00973813" w:rsidRPr="00973813">
        <w:rPr>
          <w:rFonts w:ascii="Verdana" w:hAnsi="Verdana"/>
          <w:i/>
          <w:sz w:val="28"/>
          <w:szCs w:val="28"/>
        </w:rPr>
        <w:t>Work Health and Safety Act 2011</w:t>
      </w:r>
      <w:r>
        <w:rPr>
          <w:rFonts w:ascii="Verdana" w:hAnsi="Verdana"/>
          <w:sz w:val="28"/>
          <w:szCs w:val="28"/>
        </w:rPr>
        <w:t xml:space="preserve"> attached as appendices to this instrument.</w:t>
      </w:r>
    </w:p>
    <w:p w:rsidR="00181470" w:rsidRPr="00792CCD" w:rsidRDefault="00181470" w:rsidP="00181470">
      <w:pPr>
        <w:jc w:val="both"/>
        <w:rPr>
          <w:rFonts w:ascii="Verdana" w:hAnsi="Verdana"/>
        </w:rPr>
      </w:pPr>
    </w:p>
    <w:p w:rsidR="00181470" w:rsidRPr="00B05154" w:rsidRDefault="00181470" w:rsidP="00181470">
      <w:pPr>
        <w:jc w:val="both"/>
        <w:rPr>
          <w:rFonts w:ascii="Verdana" w:hAnsi="Verdana"/>
          <w:sz w:val="28"/>
          <w:szCs w:val="28"/>
        </w:rPr>
      </w:pPr>
      <w:r>
        <w:rPr>
          <w:rFonts w:ascii="Verdana" w:hAnsi="Verdana"/>
          <w:sz w:val="28"/>
          <w:szCs w:val="28"/>
        </w:rPr>
        <w:t>Dated:</w:t>
      </w:r>
      <w:r>
        <w:rPr>
          <w:rFonts w:ascii="Verdana" w:hAnsi="Verdana"/>
          <w:sz w:val="28"/>
          <w:szCs w:val="28"/>
        </w:rPr>
        <w:tab/>
      </w:r>
      <w:r w:rsidR="005767BE">
        <w:rPr>
          <w:rFonts w:ascii="Verdana" w:hAnsi="Verdana"/>
          <w:sz w:val="28"/>
          <w:szCs w:val="28"/>
        </w:rPr>
        <w:t>3 December 2012</w:t>
      </w:r>
      <w:bookmarkStart w:id="0" w:name="_GoBack"/>
      <w:bookmarkEnd w:id="0"/>
    </w:p>
    <w:p w:rsidR="00181470" w:rsidRPr="00792CCD" w:rsidRDefault="00181470" w:rsidP="00181470">
      <w:pPr>
        <w:jc w:val="both"/>
        <w:rPr>
          <w:rFonts w:ascii="Verdana" w:hAnsi="Verdana"/>
        </w:rPr>
      </w:pPr>
    </w:p>
    <w:p w:rsidR="00181470" w:rsidRPr="00792CCD" w:rsidRDefault="00181470" w:rsidP="00181470">
      <w:pPr>
        <w:jc w:val="both"/>
        <w:rPr>
          <w:rFonts w:ascii="Verdana" w:hAnsi="Verdana"/>
        </w:rPr>
      </w:pPr>
    </w:p>
    <w:p w:rsidR="00951C5A" w:rsidRDefault="00951C5A" w:rsidP="00951C5A">
      <w:pPr>
        <w:jc w:val="both"/>
        <w:rPr>
          <w:rFonts w:ascii="Verdana" w:hAnsi="Verdana"/>
        </w:rPr>
      </w:pPr>
    </w:p>
    <w:p w:rsidR="00181470" w:rsidRDefault="00181470" w:rsidP="00951C5A">
      <w:pPr>
        <w:jc w:val="both"/>
        <w:rPr>
          <w:rFonts w:ascii="Verdana" w:hAnsi="Verdana"/>
        </w:rPr>
      </w:pPr>
      <w:r>
        <w:rPr>
          <w:rFonts w:ascii="Verdana" w:hAnsi="Verdana"/>
        </w:rPr>
        <w:t>Signed</w:t>
      </w:r>
    </w:p>
    <w:p w:rsidR="00181470" w:rsidRDefault="00181470" w:rsidP="00181470">
      <w:pPr>
        <w:ind w:left="720"/>
        <w:jc w:val="both"/>
        <w:rPr>
          <w:rFonts w:ascii="Verdana" w:hAnsi="Verdana"/>
        </w:rPr>
      </w:pPr>
    </w:p>
    <w:p w:rsidR="00181470" w:rsidRDefault="00181470" w:rsidP="00181470">
      <w:pPr>
        <w:ind w:left="720"/>
        <w:jc w:val="both"/>
        <w:rPr>
          <w:rFonts w:ascii="Verdana" w:hAnsi="Verdana"/>
        </w:rPr>
      </w:pPr>
    </w:p>
    <w:p w:rsidR="00181470" w:rsidRDefault="00181470" w:rsidP="00181470">
      <w:pPr>
        <w:jc w:val="both"/>
        <w:rPr>
          <w:rFonts w:ascii="Verdana" w:hAnsi="Verdana"/>
          <w:sz w:val="28"/>
          <w:szCs w:val="28"/>
        </w:rPr>
      </w:pPr>
    </w:p>
    <w:p w:rsidR="00973813" w:rsidRDefault="00973813" w:rsidP="00181470">
      <w:pPr>
        <w:jc w:val="both"/>
        <w:rPr>
          <w:rFonts w:ascii="Verdana" w:hAnsi="Verdana"/>
          <w:sz w:val="28"/>
          <w:szCs w:val="28"/>
        </w:rPr>
      </w:pPr>
    </w:p>
    <w:p w:rsidR="00951C5A" w:rsidRDefault="00951C5A" w:rsidP="00181470">
      <w:pPr>
        <w:jc w:val="both"/>
        <w:rPr>
          <w:rFonts w:ascii="Verdana" w:hAnsi="Verdana"/>
          <w:sz w:val="28"/>
          <w:szCs w:val="28"/>
        </w:rPr>
      </w:pPr>
    </w:p>
    <w:p w:rsidR="00951C5A" w:rsidRDefault="00951C5A" w:rsidP="00181470">
      <w:pPr>
        <w:jc w:val="both"/>
        <w:rPr>
          <w:rFonts w:ascii="Verdana" w:hAnsi="Verdana"/>
          <w:sz w:val="28"/>
          <w:szCs w:val="28"/>
        </w:rPr>
      </w:pPr>
    </w:p>
    <w:p w:rsidR="00973813" w:rsidRPr="00B05154" w:rsidRDefault="00973813" w:rsidP="00181470">
      <w:pPr>
        <w:jc w:val="both"/>
        <w:rPr>
          <w:rFonts w:ascii="Verdana" w:hAnsi="Verdana"/>
          <w:sz w:val="28"/>
          <w:szCs w:val="28"/>
        </w:rPr>
      </w:pPr>
      <w:r>
        <w:rPr>
          <w:rFonts w:ascii="Verdana" w:hAnsi="Verdana"/>
          <w:sz w:val="28"/>
          <w:szCs w:val="28"/>
        </w:rPr>
        <w:t>Bill Shorten</w:t>
      </w:r>
    </w:p>
    <w:p w:rsidR="00181470" w:rsidRPr="00792CCD" w:rsidRDefault="00181470" w:rsidP="00181470">
      <w:pPr>
        <w:jc w:val="both"/>
        <w:rPr>
          <w:rFonts w:ascii="Verdana" w:hAnsi="Verdana"/>
        </w:rPr>
      </w:pPr>
    </w:p>
    <w:p w:rsidR="00181470" w:rsidRPr="009D6E0F" w:rsidRDefault="00181470" w:rsidP="00181470">
      <w:pPr>
        <w:jc w:val="both"/>
        <w:rPr>
          <w:rFonts w:ascii="Verdana" w:hAnsi="Verdana"/>
          <w:sz w:val="22"/>
          <w:szCs w:val="22"/>
        </w:rPr>
      </w:pPr>
      <w:r w:rsidRPr="00B05154">
        <w:rPr>
          <w:rFonts w:ascii="Verdana" w:hAnsi="Verdana"/>
          <w:sz w:val="28"/>
          <w:szCs w:val="28"/>
        </w:rPr>
        <w:t>Minister for</w:t>
      </w:r>
      <w:r w:rsidR="00973813">
        <w:rPr>
          <w:rFonts w:ascii="Verdana" w:hAnsi="Verdana"/>
          <w:sz w:val="28"/>
          <w:szCs w:val="28"/>
        </w:rPr>
        <w:t xml:space="preserve"> Employment and Workplace Relations</w:t>
      </w:r>
    </w:p>
    <w:p w:rsidR="00181470" w:rsidRPr="009D6E0F" w:rsidRDefault="00181470" w:rsidP="00181470">
      <w:pPr>
        <w:jc w:val="both"/>
        <w:rPr>
          <w:rFonts w:ascii="Verdana" w:hAnsi="Verdana"/>
          <w:sz w:val="22"/>
          <w:szCs w:val="22"/>
        </w:rPr>
      </w:pPr>
    </w:p>
    <w:p w:rsidR="00181470" w:rsidRPr="009D6E0F" w:rsidRDefault="00181470" w:rsidP="00181470">
      <w:pPr>
        <w:jc w:val="both"/>
        <w:rPr>
          <w:rFonts w:ascii="Verdana" w:hAnsi="Verdana"/>
          <w:b/>
          <w:sz w:val="22"/>
          <w:szCs w:val="22"/>
        </w:rPr>
      </w:pPr>
    </w:p>
    <w:p w:rsidR="00181470" w:rsidRPr="00B05154" w:rsidRDefault="00181470" w:rsidP="00181470">
      <w:pPr>
        <w:jc w:val="center"/>
        <w:rPr>
          <w:rFonts w:ascii="Verdana" w:hAnsi="Verdana"/>
          <w:b/>
          <w:color w:val="333333"/>
          <w:sz w:val="28"/>
          <w:szCs w:val="28"/>
        </w:rPr>
      </w:pPr>
      <w:r w:rsidRPr="009D6E0F">
        <w:rPr>
          <w:rFonts w:ascii="Verdana" w:hAnsi="Verdana"/>
          <w:b/>
          <w:sz w:val="22"/>
          <w:szCs w:val="22"/>
        </w:rPr>
        <w:br w:type="page"/>
      </w:r>
      <w:r w:rsidRPr="00B05154">
        <w:rPr>
          <w:rFonts w:ascii="Verdana" w:hAnsi="Verdana"/>
          <w:b/>
          <w:color w:val="333333"/>
          <w:sz w:val="28"/>
          <w:szCs w:val="28"/>
        </w:rPr>
        <w:lastRenderedPageBreak/>
        <w:t>ARRANGEMENT</w:t>
      </w:r>
    </w:p>
    <w:p w:rsidR="00181470" w:rsidRPr="006A377D" w:rsidRDefault="00181470" w:rsidP="00181470">
      <w:pPr>
        <w:jc w:val="both"/>
        <w:rPr>
          <w:rFonts w:ascii="Verdana" w:hAnsi="Verdan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tblGrid>
      <w:tr w:rsidR="00181470" w:rsidRPr="00B05154" w:rsidTr="00EE38DF">
        <w:tc>
          <w:tcPr>
            <w:tcW w:w="8028" w:type="dxa"/>
          </w:tcPr>
          <w:p w:rsidR="00181470" w:rsidRPr="00B50670" w:rsidRDefault="00181470" w:rsidP="00EE38DF">
            <w:pPr>
              <w:jc w:val="both"/>
              <w:rPr>
                <w:rFonts w:ascii="Verdana" w:hAnsi="Verdana"/>
                <w:b/>
                <w:color w:val="333333"/>
              </w:rPr>
            </w:pPr>
            <w:r w:rsidRPr="00B50670">
              <w:rPr>
                <w:rFonts w:ascii="Verdana" w:hAnsi="Verdana"/>
                <w:b/>
                <w:color w:val="333333"/>
              </w:rPr>
              <w:t>Instrument of Approval</w:t>
            </w:r>
          </w:p>
        </w:tc>
      </w:tr>
      <w:tr w:rsidR="00181470" w:rsidRPr="00B05154" w:rsidTr="00EE38DF">
        <w:tc>
          <w:tcPr>
            <w:tcW w:w="8028" w:type="dxa"/>
          </w:tcPr>
          <w:p w:rsidR="007646FA" w:rsidRPr="00B50670" w:rsidRDefault="007646FA" w:rsidP="00EE38DF">
            <w:pPr>
              <w:jc w:val="both"/>
              <w:rPr>
                <w:rFonts w:ascii="Verdana" w:hAnsi="Verdana"/>
                <w:b/>
                <w:color w:val="333333"/>
              </w:rPr>
            </w:pPr>
          </w:p>
          <w:p w:rsidR="00181470" w:rsidRPr="00B50670" w:rsidRDefault="00181470" w:rsidP="00EE38DF">
            <w:pPr>
              <w:jc w:val="both"/>
              <w:rPr>
                <w:rFonts w:ascii="Verdana" w:hAnsi="Verdana"/>
                <w:b/>
                <w:color w:val="333333"/>
              </w:rPr>
            </w:pPr>
            <w:r w:rsidRPr="00B50670">
              <w:rPr>
                <w:rFonts w:ascii="Verdana" w:hAnsi="Verdana"/>
                <w:b/>
                <w:color w:val="333333"/>
              </w:rPr>
              <w:t>Arrangement</w:t>
            </w:r>
          </w:p>
        </w:tc>
      </w:tr>
      <w:tr w:rsidR="00181470" w:rsidRPr="00B05154" w:rsidTr="00EE38DF">
        <w:tc>
          <w:tcPr>
            <w:tcW w:w="8028" w:type="dxa"/>
          </w:tcPr>
          <w:p w:rsidR="007646FA" w:rsidRPr="00B50670" w:rsidRDefault="007646FA" w:rsidP="00EE38DF">
            <w:pPr>
              <w:jc w:val="both"/>
              <w:rPr>
                <w:rFonts w:ascii="Verdana" w:hAnsi="Verdana"/>
                <w:b/>
                <w:color w:val="333333"/>
              </w:rPr>
            </w:pPr>
          </w:p>
          <w:p w:rsidR="00181470" w:rsidRPr="00B50670" w:rsidRDefault="00181470" w:rsidP="00EE38DF">
            <w:pPr>
              <w:jc w:val="both"/>
              <w:rPr>
                <w:rFonts w:ascii="Verdana" w:hAnsi="Verdana"/>
                <w:b/>
                <w:color w:val="333333"/>
              </w:rPr>
            </w:pPr>
            <w:r w:rsidRPr="00B50670">
              <w:rPr>
                <w:rFonts w:ascii="Verdana" w:hAnsi="Verdana"/>
                <w:b/>
                <w:color w:val="333333"/>
              </w:rPr>
              <w:t>Preliminary Provisions</w:t>
            </w:r>
          </w:p>
        </w:tc>
      </w:tr>
      <w:tr w:rsidR="00181470" w:rsidRPr="00B05154" w:rsidTr="00EE38DF">
        <w:tc>
          <w:tcPr>
            <w:tcW w:w="8028" w:type="dxa"/>
          </w:tcPr>
          <w:p w:rsidR="007646FA" w:rsidRPr="00B50670" w:rsidRDefault="007646FA" w:rsidP="00EE38DF">
            <w:pPr>
              <w:jc w:val="both"/>
              <w:rPr>
                <w:rFonts w:ascii="Verdana" w:hAnsi="Verdana"/>
                <w:b/>
                <w:color w:val="333333"/>
              </w:rPr>
            </w:pPr>
          </w:p>
          <w:p w:rsidR="00181470" w:rsidRPr="00B50670" w:rsidRDefault="00181470" w:rsidP="00EE38DF">
            <w:pPr>
              <w:jc w:val="both"/>
              <w:rPr>
                <w:rFonts w:ascii="Verdana" w:hAnsi="Verdana"/>
                <w:b/>
                <w:color w:val="333333"/>
              </w:rPr>
            </w:pPr>
            <w:r w:rsidRPr="00B50670">
              <w:rPr>
                <w:rFonts w:ascii="Verdana" w:hAnsi="Verdana"/>
                <w:b/>
                <w:color w:val="333333"/>
              </w:rPr>
              <w:t>Introduction</w:t>
            </w:r>
          </w:p>
        </w:tc>
      </w:tr>
      <w:tr w:rsidR="00181470" w:rsidRPr="00B05154" w:rsidTr="00EE38DF">
        <w:tc>
          <w:tcPr>
            <w:tcW w:w="8028" w:type="dxa"/>
          </w:tcPr>
          <w:p w:rsidR="00181470" w:rsidRPr="00B50670" w:rsidRDefault="00181470" w:rsidP="00EE38DF">
            <w:pPr>
              <w:jc w:val="both"/>
              <w:rPr>
                <w:rFonts w:ascii="Verdana" w:hAnsi="Verdana"/>
                <w:b/>
                <w:color w:val="333333"/>
                <w:sz w:val="16"/>
                <w:szCs w:val="16"/>
              </w:rPr>
            </w:pPr>
          </w:p>
        </w:tc>
      </w:tr>
      <w:tr w:rsidR="00181470" w:rsidRPr="00B05154" w:rsidTr="00B50670">
        <w:trPr>
          <w:trHeight w:val="100"/>
        </w:trPr>
        <w:tc>
          <w:tcPr>
            <w:tcW w:w="8028" w:type="dxa"/>
          </w:tcPr>
          <w:p w:rsidR="00181470" w:rsidRPr="00B50670" w:rsidRDefault="00181470" w:rsidP="00EE38DF">
            <w:pPr>
              <w:jc w:val="both"/>
              <w:rPr>
                <w:rFonts w:ascii="Verdana" w:hAnsi="Verdana"/>
                <w:b/>
                <w:color w:val="333333"/>
                <w:sz w:val="16"/>
                <w:szCs w:val="16"/>
              </w:rPr>
            </w:pPr>
          </w:p>
        </w:tc>
      </w:tr>
      <w:tr w:rsidR="00181470" w:rsidRPr="00B05154" w:rsidTr="00B50670">
        <w:tc>
          <w:tcPr>
            <w:tcW w:w="8028" w:type="dxa"/>
          </w:tcPr>
          <w:p w:rsidR="00951C5A" w:rsidRPr="00B50670" w:rsidRDefault="00951C5A" w:rsidP="004759DC">
            <w:pPr>
              <w:ind w:left="2160" w:hanging="2160"/>
              <w:rPr>
                <w:rFonts w:ascii="Verdana" w:hAnsi="Verdana"/>
                <w:b/>
                <w:color w:val="333333"/>
              </w:rPr>
            </w:pPr>
            <w:r w:rsidRPr="00B50670">
              <w:rPr>
                <w:rFonts w:ascii="Verdana" w:hAnsi="Verdana"/>
                <w:b/>
                <w:color w:val="333333"/>
              </w:rPr>
              <w:t>Appendices</w:t>
            </w:r>
          </w:p>
          <w:p w:rsidR="00951C5A" w:rsidRPr="00B50670" w:rsidRDefault="00951C5A" w:rsidP="004759DC">
            <w:pPr>
              <w:ind w:left="2160" w:hanging="2160"/>
              <w:rPr>
                <w:rFonts w:ascii="Verdana" w:hAnsi="Verdana"/>
                <w:b/>
                <w:color w:val="333333"/>
              </w:rPr>
            </w:pPr>
          </w:p>
          <w:p w:rsidR="00181470" w:rsidRPr="00B50670" w:rsidRDefault="00B50670" w:rsidP="00B50670">
            <w:pPr>
              <w:ind w:left="2160" w:hanging="2160"/>
              <w:rPr>
                <w:rFonts w:ascii="Verdana" w:hAnsi="Verdana"/>
                <w:color w:val="333333"/>
              </w:rPr>
            </w:pPr>
            <w:r w:rsidRPr="00B50670">
              <w:rPr>
                <w:rFonts w:ascii="Verdana" w:hAnsi="Verdana"/>
                <w:color w:val="333333"/>
              </w:rPr>
              <w:t xml:space="preserve">Appendix 1 - </w:t>
            </w:r>
            <w:r w:rsidR="00181470" w:rsidRPr="00B50670">
              <w:rPr>
                <w:rFonts w:ascii="Verdana" w:hAnsi="Verdana"/>
                <w:color w:val="333333"/>
              </w:rPr>
              <w:t>Code of Practice:</w:t>
            </w:r>
            <w:r w:rsidRPr="00B50670">
              <w:rPr>
                <w:rFonts w:ascii="Verdana" w:hAnsi="Verdana"/>
                <w:color w:val="333333"/>
              </w:rPr>
              <w:t xml:space="preserve"> F</w:t>
            </w:r>
            <w:r w:rsidR="004759DC" w:rsidRPr="00B50670">
              <w:rPr>
                <w:rFonts w:ascii="Verdana" w:hAnsi="Verdana"/>
                <w:color w:val="333333"/>
              </w:rPr>
              <w:t xml:space="preserve">irst </w:t>
            </w:r>
            <w:r w:rsidRPr="00B50670">
              <w:rPr>
                <w:rFonts w:ascii="Verdana" w:hAnsi="Verdana"/>
                <w:color w:val="333333"/>
              </w:rPr>
              <w:t>A</w:t>
            </w:r>
            <w:r w:rsidR="004759DC" w:rsidRPr="00B50670">
              <w:rPr>
                <w:rFonts w:ascii="Verdana" w:hAnsi="Verdana"/>
                <w:color w:val="333333"/>
              </w:rPr>
              <w:t xml:space="preserve">id in the </w:t>
            </w:r>
            <w:r w:rsidRPr="00B50670">
              <w:rPr>
                <w:rFonts w:ascii="Verdana" w:hAnsi="Verdana"/>
                <w:color w:val="333333"/>
              </w:rPr>
              <w:t>W</w:t>
            </w:r>
            <w:r w:rsidR="004759DC" w:rsidRPr="00B50670">
              <w:rPr>
                <w:rFonts w:ascii="Verdana" w:hAnsi="Verdana"/>
                <w:color w:val="333333"/>
              </w:rPr>
              <w:t>orkplace</w:t>
            </w:r>
            <w:r w:rsidR="00EE38DF" w:rsidRPr="00B50670">
              <w:rPr>
                <w:rFonts w:ascii="Verdana" w:hAnsi="Verdana"/>
                <w:color w:val="333333"/>
              </w:rPr>
              <w:t xml:space="preserve"> </w:t>
            </w:r>
          </w:p>
          <w:p w:rsidR="00B50670" w:rsidRPr="00B50670" w:rsidRDefault="00B50670" w:rsidP="00B50670">
            <w:pPr>
              <w:ind w:left="2160" w:hanging="2160"/>
              <w:rPr>
                <w:rFonts w:ascii="Verdana" w:hAnsi="Verdana"/>
                <w:b/>
                <w:color w:val="333333"/>
              </w:rPr>
            </w:pPr>
          </w:p>
        </w:tc>
      </w:tr>
      <w:tr w:rsidR="00181470" w:rsidRPr="00B05154" w:rsidTr="00B50670">
        <w:tc>
          <w:tcPr>
            <w:tcW w:w="8028" w:type="dxa"/>
          </w:tcPr>
          <w:p w:rsidR="00181470" w:rsidRPr="00B50670" w:rsidRDefault="00B50670" w:rsidP="00B50670">
            <w:pPr>
              <w:rPr>
                <w:rFonts w:ascii="Verdana" w:hAnsi="Verdana"/>
                <w:color w:val="333333"/>
              </w:rPr>
            </w:pPr>
            <w:r w:rsidRPr="00B50670">
              <w:rPr>
                <w:rFonts w:ascii="Verdana" w:hAnsi="Verdana"/>
                <w:color w:val="333333"/>
              </w:rPr>
              <w:t xml:space="preserve">Appendix 2 - </w:t>
            </w:r>
            <w:r w:rsidR="00181470" w:rsidRPr="00B50670">
              <w:rPr>
                <w:rFonts w:ascii="Verdana" w:hAnsi="Verdana"/>
                <w:color w:val="333333"/>
              </w:rPr>
              <w:t>Code of Practice:</w:t>
            </w:r>
            <w:r w:rsidRPr="00B50670">
              <w:rPr>
                <w:rFonts w:ascii="Verdana" w:hAnsi="Verdana"/>
                <w:color w:val="333333"/>
              </w:rPr>
              <w:t xml:space="preserve"> </w:t>
            </w:r>
            <w:r w:rsidR="004759DC" w:rsidRPr="00B50670">
              <w:rPr>
                <w:rFonts w:ascii="Verdana" w:hAnsi="Verdana"/>
                <w:color w:val="333333"/>
              </w:rPr>
              <w:t xml:space="preserve">Construction </w:t>
            </w:r>
            <w:r w:rsidRPr="00B50670">
              <w:rPr>
                <w:rFonts w:ascii="Verdana" w:hAnsi="Verdana"/>
                <w:color w:val="333333"/>
              </w:rPr>
              <w:t>W</w:t>
            </w:r>
            <w:r w:rsidR="004759DC" w:rsidRPr="00B50670">
              <w:rPr>
                <w:rFonts w:ascii="Verdana" w:hAnsi="Verdana"/>
                <w:color w:val="333333"/>
              </w:rPr>
              <w:t>ork</w:t>
            </w:r>
          </w:p>
        </w:tc>
      </w:tr>
      <w:tr w:rsidR="00181470" w:rsidRPr="00B05154" w:rsidTr="00B50670">
        <w:tc>
          <w:tcPr>
            <w:tcW w:w="8028" w:type="dxa"/>
          </w:tcPr>
          <w:p w:rsidR="00B50670" w:rsidRPr="00B50670" w:rsidRDefault="00B50670" w:rsidP="00B50670">
            <w:pPr>
              <w:rPr>
                <w:rFonts w:ascii="Verdana" w:hAnsi="Verdana"/>
                <w:color w:val="333333"/>
              </w:rPr>
            </w:pPr>
          </w:p>
          <w:p w:rsidR="004759DC" w:rsidRPr="00B50670" w:rsidRDefault="00B50670" w:rsidP="00B50670">
            <w:pPr>
              <w:rPr>
                <w:rFonts w:ascii="Verdana" w:hAnsi="Verdana"/>
                <w:color w:val="333333"/>
              </w:rPr>
            </w:pPr>
            <w:r w:rsidRPr="00B50670">
              <w:rPr>
                <w:rFonts w:ascii="Verdana" w:hAnsi="Verdana"/>
                <w:color w:val="333333"/>
              </w:rPr>
              <w:t xml:space="preserve">Appendix 3 - </w:t>
            </w:r>
            <w:r w:rsidR="00181470" w:rsidRPr="00B50670">
              <w:rPr>
                <w:rFonts w:ascii="Verdana" w:hAnsi="Verdana"/>
                <w:color w:val="333333"/>
              </w:rPr>
              <w:t>Code of Practice:</w:t>
            </w:r>
            <w:r w:rsidRPr="00B50670">
              <w:rPr>
                <w:rFonts w:ascii="Verdana" w:hAnsi="Verdana"/>
                <w:color w:val="333333"/>
              </w:rPr>
              <w:t xml:space="preserve"> Preventing Falls In Housing Construction</w:t>
            </w:r>
          </w:p>
        </w:tc>
      </w:tr>
      <w:tr w:rsidR="00181470" w:rsidRPr="00B05154" w:rsidTr="00B50670">
        <w:tc>
          <w:tcPr>
            <w:tcW w:w="8028" w:type="dxa"/>
          </w:tcPr>
          <w:p w:rsidR="00B50670" w:rsidRPr="00B50670" w:rsidRDefault="00B50670" w:rsidP="00B50670">
            <w:pPr>
              <w:rPr>
                <w:rFonts w:ascii="Verdana" w:hAnsi="Verdana"/>
                <w:color w:val="333333"/>
              </w:rPr>
            </w:pPr>
          </w:p>
          <w:p w:rsidR="00181470" w:rsidRPr="00B50670" w:rsidRDefault="00B50670" w:rsidP="00B50670">
            <w:pPr>
              <w:rPr>
                <w:rFonts w:ascii="Verdana" w:hAnsi="Verdana"/>
                <w:color w:val="333333"/>
              </w:rPr>
            </w:pPr>
            <w:r w:rsidRPr="00B50670">
              <w:rPr>
                <w:rFonts w:ascii="Verdana" w:hAnsi="Verdana"/>
                <w:color w:val="333333"/>
              </w:rPr>
              <w:t xml:space="preserve">Appendix 4 - </w:t>
            </w:r>
            <w:r w:rsidR="00181470" w:rsidRPr="00B50670">
              <w:rPr>
                <w:rFonts w:ascii="Verdana" w:hAnsi="Verdana"/>
                <w:color w:val="333333"/>
              </w:rPr>
              <w:t>Code of Practice:</w:t>
            </w:r>
            <w:r w:rsidRPr="00B50670">
              <w:rPr>
                <w:rFonts w:ascii="Verdana" w:hAnsi="Verdana"/>
                <w:color w:val="333333"/>
              </w:rPr>
              <w:t xml:space="preserve"> </w:t>
            </w:r>
            <w:r w:rsidR="004759DC" w:rsidRPr="00B50670">
              <w:rPr>
                <w:rFonts w:ascii="Verdana" w:hAnsi="Verdana"/>
                <w:color w:val="333333"/>
              </w:rPr>
              <w:t xml:space="preserve">Managing </w:t>
            </w:r>
            <w:r w:rsidRPr="00B50670">
              <w:rPr>
                <w:rFonts w:ascii="Verdana" w:hAnsi="Verdana"/>
                <w:color w:val="333333"/>
              </w:rPr>
              <w:t>E</w:t>
            </w:r>
            <w:r w:rsidR="004759DC" w:rsidRPr="00B50670">
              <w:rPr>
                <w:rFonts w:ascii="Verdana" w:hAnsi="Verdana"/>
                <w:color w:val="333333"/>
              </w:rPr>
              <w:t xml:space="preserve">lectrical </w:t>
            </w:r>
            <w:r w:rsidRPr="00B50670">
              <w:rPr>
                <w:rFonts w:ascii="Verdana" w:hAnsi="Verdana"/>
                <w:color w:val="333333"/>
              </w:rPr>
              <w:t>R</w:t>
            </w:r>
            <w:r w:rsidR="004759DC" w:rsidRPr="00B50670">
              <w:rPr>
                <w:rFonts w:ascii="Verdana" w:hAnsi="Verdana"/>
                <w:color w:val="333333"/>
              </w:rPr>
              <w:t xml:space="preserve">isks </w:t>
            </w:r>
            <w:r w:rsidR="00ED4C32">
              <w:rPr>
                <w:rFonts w:ascii="Verdana" w:hAnsi="Verdana"/>
                <w:color w:val="333333"/>
              </w:rPr>
              <w:t>in</w:t>
            </w:r>
            <w:r w:rsidR="004759DC" w:rsidRPr="00B50670">
              <w:rPr>
                <w:rFonts w:ascii="Verdana" w:hAnsi="Verdana"/>
                <w:color w:val="333333"/>
              </w:rPr>
              <w:t xml:space="preserve"> the </w:t>
            </w:r>
            <w:r w:rsidRPr="00B50670">
              <w:rPr>
                <w:rFonts w:ascii="Verdana" w:hAnsi="Verdana"/>
                <w:color w:val="333333"/>
              </w:rPr>
              <w:t>W</w:t>
            </w:r>
            <w:r w:rsidR="004759DC" w:rsidRPr="00B50670">
              <w:rPr>
                <w:rFonts w:ascii="Verdana" w:hAnsi="Verdana"/>
                <w:color w:val="333333"/>
              </w:rPr>
              <w:t>orkplace</w:t>
            </w:r>
          </w:p>
        </w:tc>
      </w:tr>
      <w:tr w:rsidR="00181470" w:rsidRPr="00B05154" w:rsidTr="00B50670">
        <w:tc>
          <w:tcPr>
            <w:tcW w:w="8028" w:type="dxa"/>
          </w:tcPr>
          <w:p w:rsidR="00B50670" w:rsidRPr="00B50670" w:rsidRDefault="00B50670" w:rsidP="00B50670">
            <w:pPr>
              <w:rPr>
                <w:rFonts w:ascii="Verdana" w:hAnsi="Verdana"/>
                <w:color w:val="333333"/>
              </w:rPr>
            </w:pPr>
          </w:p>
          <w:p w:rsidR="00181470" w:rsidRPr="00B50670" w:rsidRDefault="00B50670" w:rsidP="00CD05F5">
            <w:pPr>
              <w:rPr>
                <w:rFonts w:ascii="Verdana" w:hAnsi="Verdana"/>
                <w:color w:val="333333"/>
              </w:rPr>
            </w:pPr>
            <w:r w:rsidRPr="00B50670">
              <w:rPr>
                <w:rFonts w:ascii="Verdana" w:hAnsi="Verdana"/>
                <w:color w:val="333333"/>
              </w:rPr>
              <w:t xml:space="preserve">Appendix 5 - Code of Practice: </w:t>
            </w:r>
            <w:r w:rsidR="004759DC" w:rsidRPr="00B50670">
              <w:rPr>
                <w:rFonts w:ascii="Verdana" w:hAnsi="Verdana"/>
                <w:color w:val="333333"/>
              </w:rPr>
              <w:t xml:space="preserve">Managing </w:t>
            </w:r>
            <w:r w:rsidRPr="00B50670">
              <w:rPr>
                <w:rFonts w:ascii="Verdana" w:hAnsi="Verdana"/>
                <w:color w:val="333333"/>
              </w:rPr>
              <w:t>R</w:t>
            </w:r>
            <w:r w:rsidR="004759DC" w:rsidRPr="00B50670">
              <w:rPr>
                <w:rFonts w:ascii="Verdana" w:hAnsi="Verdana"/>
                <w:color w:val="333333"/>
              </w:rPr>
              <w:t xml:space="preserve">isks of </w:t>
            </w:r>
            <w:r w:rsidRPr="00B50670">
              <w:rPr>
                <w:rFonts w:ascii="Verdana" w:hAnsi="Verdana"/>
                <w:color w:val="333333"/>
              </w:rPr>
              <w:t>H</w:t>
            </w:r>
            <w:r w:rsidR="004759DC" w:rsidRPr="00B50670">
              <w:rPr>
                <w:rFonts w:ascii="Verdana" w:hAnsi="Verdana"/>
                <w:color w:val="333333"/>
              </w:rPr>
              <w:t>azardous</w:t>
            </w:r>
            <w:r w:rsidR="00EE38DF" w:rsidRPr="00B50670">
              <w:rPr>
                <w:rFonts w:ascii="Verdana" w:hAnsi="Verdana"/>
                <w:color w:val="333333"/>
              </w:rPr>
              <w:t xml:space="preserve"> </w:t>
            </w:r>
            <w:r w:rsidR="00CD05F5">
              <w:rPr>
                <w:rFonts w:ascii="Verdana" w:hAnsi="Verdana"/>
                <w:color w:val="333333"/>
              </w:rPr>
              <w:t>Chemicals in the Workplace</w:t>
            </w:r>
          </w:p>
        </w:tc>
      </w:tr>
      <w:tr w:rsidR="00181470" w:rsidRPr="00B05154" w:rsidTr="00B50670">
        <w:tc>
          <w:tcPr>
            <w:tcW w:w="8028" w:type="dxa"/>
          </w:tcPr>
          <w:p w:rsidR="00B50670" w:rsidRPr="00B50670" w:rsidRDefault="00B50670" w:rsidP="00B50670">
            <w:pPr>
              <w:rPr>
                <w:rFonts w:ascii="Verdana" w:hAnsi="Verdana"/>
                <w:color w:val="333333"/>
              </w:rPr>
            </w:pPr>
          </w:p>
          <w:p w:rsidR="00181470" w:rsidRPr="00B50670" w:rsidRDefault="00B50670" w:rsidP="00B50670">
            <w:pPr>
              <w:rPr>
                <w:rFonts w:ascii="Verdana" w:hAnsi="Verdana"/>
                <w:color w:val="333333"/>
              </w:rPr>
            </w:pPr>
            <w:r w:rsidRPr="00B50670">
              <w:rPr>
                <w:rFonts w:ascii="Verdana" w:hAnsi="Verdana"/>
                <w:color w:val="333333"/>
              </w:rPr>
              <w:t xml:space="preserve">Appendix 6 - </w:t>
            </w:r>
            <w:r w:rsidR="00181470" w:rsidRPr="00B50670">
              <w:rPr>
                <w:rFonts w:ascii="Verdana" w:hAnsi="Verdana"/>
                <w:color w:val="333333"/>
              </w:rPr>
              <w:t>Code of Practice:</w:t>
            </w:r>
            <w:r w:rsidRPr="00B50670">
              <w:rPr>
                <w:rFonts w:ascii="Verdana" w:hAnsi="Verdana"/>
                <w:color w:val="333333"/>
              </w:rPr>
              <w:t xml:space="preserve"> </w:t>
            </w:r>
            <w:r w:rsidR="00ED4C32">
              <w:rPr>
                <w:rFonts w:ascii="Verdana" w:hAnsi="Verdana"/>
                <w:color w:val="333333"/>
              </w:rPr>
              <w:t>Managing</w:t>
            </w:r>
            <w:r w:rsidR="004116D7" w:rsidRPr="00B50670">
              <w:rPr>
                <w:rFonts w:ascii="Verdana" w:hAnsi="Verdana"/>
                <w:color w:val="333333"/>
              </w:rPr>
              <w:t xml:space="preserve"> </w:t>
            </w:r>
            <w:r w:rsidR="00ED4C32">
              <w:rPr>
                <w:rFonts w:ascii="Verdana" w:hAnsi="Verdana"/>
                <w:color w:val="333333"/>
              </w:rPr>
              <w:t xml:space="preserve">The </w:t>
            </w:r>
            <w:r w:rsidRPr="00B50670">
              <w:rPr>
                <w:rFonts w:ascii="Verdana" w:hAnsi="Verdana"/>
                <w:color w:val="333333"/>
              </w:rPr>
              <w:t>R</w:t>
            </w:r>
            <w:r w:rsidR="004116D7" w:rsidRPr="00B50670">
              <w:rPr>
                <w:rFonts w:ascii="Verdana" w:hAnsi="Verdana"/>
                <w:color w:val="333333"/>
              </w:rPr>
              <w:t>isk</w:t>
            </w:r>
            <w:r w:rsidR="00ED4C32">
              <w:rPr>
                <w:rFonts w:ascii="Verdana" w:hAnsi="Verdana"/>
                <w:color w:val="333333"/>
              </w:rPr>
              <w:t>s</w:t>
            </w:r>
            <w:r w:rsidR="004116D7" w:rsidRPr="00B50670">
              <w:rPr>
                <w:rFonts w:ascii="Verdana" w:hAnsi="Verdana"/>
                <w:color w:val="333333"/>
              </w:rPr>
              <w:t xml:space="preserve"> of </w:t>
            </w:r>
            <w:r w:rsidRPr="00B50670">
              <w:rPr>
                <w:rFonts w:ascii="Verdana" w:hAnsi="Verdana"/>
                <w:color w:val="333333"/>
              </w:rPr>
              <w:t>Plant in the W</w:t>
            </w:r>
            <w:r w:rsidR="004116D7" w:rsidRPr="00B50670">
              <w:rPr>
                <w:rFonts w:ascii="Verdana" w:hAnsi="Verdana"/>
                <w:color w:val="333333"/>
              </w:rPr>
              <w:t>orkplace</w:t>
            </w:r>
          </w:p>
        </w:tc>
      </w:tr>
      <w:tr w:rsidR="004116D7" w:rsidRPr="00B05154" w:rsidTr="00B50670">
        <w:tc>
          <w:tcPr>
            <w:tcW w:w="8028" w:type="dxa"/>
          </w:tcPr>
          <w:p w:rsidR="00B50670" w:rsidRPr="00B50670" w:rsidRDefault="00B50670" w:rsidP="00B50670">
            <w:pPr>
              <w:ind w:left="2160" w:hanging="2160"/>
              <w:rPr>
                <w:rFonts w:ascii="Verdana" w:hAnsi="Verdana"/>
                <w:color w:val="333333"/>
              </w:rPr>
            </w:pPr>
          </w:p>
          <w:p w:rsidR="004116D7" w:rsidRPr="00B50670" w:rsidRDefault="00B50670" w:rsidP="00B50670">
            <w:pPr>
              <w:ind w:left="2160" w:hanging="2160"/>
              <w:rPr>
                <w:rFonts w:ascii="Verdana" w:hAnsi="Verdana"/>
                <w:color w:val="333333"/>
              </w:rPr>
            </w:pPr>
            <w:r w:rsidRPr="00B50670">
              <w:rPr>
                <w:rFonts w:ascii="Verdana" w:hAnsi="Verdana"/>
                <w:color w:val="333333"/>
              </w:rPr>
              <w:t xml:space="preserve">Appendix 7 - </w:t>
            </w:r>
            <w:r w:rsidR="004116D7" w:rsidRPr="00B50670">
              <w:rPr>
                <w:rFonts w:ascii="Verdana" w:hAnsi="Verdana"/>
                <w:color w:val="333333"/>
              </w:rPr>
              <w:t>Code of Practice:</w:t>
            </w:r>
            <w:r w:rsidRPr="00B50670">
              <w:rPr>
                <w:rFonts w:ascii="Verdana" w:hAnsi="Verdana"/>
                <w:color w:val="333333"/>
              </w:rPr>
              <w:t xml:space="preserve"> </w:t>
            </w:r>
            <w:r w:rsidR="004116D7" w:rsidRPr="00B50670">
              <w:rPr>
                <w:rFonts w:ascii="Verdana" w:hAnsi="Verdana"/>
                <w:color w:val="333333"/>
              </w:rPr>
              <w:t>Welding Processes</w:t>
            </w:r>
          </w:p>
        </w:tc>
      </w:tr>
      <w:tr w:rsidR="004116D7" w:rsidRPr="00B05154" w:rsidTr="00B50670">
        <w:tc>
          <w:tcPr>
            <w:tcW w:w="8028" w:type="dxa"/>
          </w:tcPr>
          <w:p w:rsidR="00B50670" w:rsidRPr="00B50670" w:rsidRDefault="00B50670" w:rsidP="00B50670">
            <w:pPr>
              <w:ind w:left="2160" w:hanging="2160"/>
              <w:rPr>
                <w:rFonts w:ascii="Verdana" w:hAnsi="Verdana"/>
                <w:color w:val="333333"/>
              </w:rPr>
            </w:pPr>
          </w:p>
          <w:p w:rsidR="004116D7" w:rsidRPr="00B50670" w:rsidRDefault="00B50670" w:rsidP="00B50670">
            <w:pPr>
              <w:ind w:left="2160" w:hanging="2160"/>
              <w:rPr>
                <w:rFonts w:ascii="Verdana" w:hAnsi="Verdana"/>
                <w:color w:val="333333"/>
              </w:rPr>
            </w:pPr>
            <w:r w:rsidRPr="00B50670">
              <w:rPr>
                <w:rFonts w:ascii="Verdana" w:hAnsi="Verdana"/>
                <w:color w:val="333333"/>
              </w:rPr>
              <w:t xml:space="preserve">Appendix 8 - Code of Practice: </w:t>
            </w:r>
            <w:r w:rsidR="004116D7" w:rsidRPr="00B50670">
              <w:rPr>
                <w:rFonts w:ascii="Verdana" w:hAnsi="Verdana"/>
                <w:color w:val="333333"/>
              </w:rPr>
              <w:t xml:space="preserve">Excavation </w:t>
            </w:r>
            <w:r w:rsidRPr="00B50670">
              <w:rPr>
                <w:rFonts w:ascii="Verdana" w:hAnsi="Verdana"/>
                <w:color w:val="333333"/>
              </w:rPr>
              <w:t>W</w:t>
            </w:r>
            <w:r w:rsidR="004116D7" w:rsidRPr="00B50670">
              <w:rPr>
                <w:rFonts w:ascii="Verdana" w:hAnsi="Verdana"/>
                <w:color w:val="333333"/>
              </w:rPr>
              <w:t>ork</w:t>
            </w:r>
          </w:p>
        </w:tc>
      </w:tr>
      <w:tr w:rsidR="004116D7" w:rsidRPr="00B05154" w:rsidTr="00B50670">
        <w:tc>
          <w:tcPr>
            <w:tcW w:w="8028" w:type="dxa"/>
          </w:tcPr>
          <w:p w:rsidR="00B50670" w:rsidRPr="00B50670" w:rsidRDefault="00B50670" w:rsidP="00B50670">
            <w:pPr>
              <w:ind w:left="2160" w:hanging="2160"/>
              <w:rPr>
                <w:rFonts w:ascii="Verdana" w:hAnsi="Verdana"/>
                <w:color w:val="333333"/>
              </w:rPr>
            </w:pPr>
          </w:p>
          <w:p w:rsidR="004116D7" w:rsidRPr="00B50670" w:rsidRDefault="00B50670" w:rsidP="00B50670">
            <w:pPr>
              <w:ind w:left="2160" w:hanging="2160"/>
              <w:rPr>
                <w:rFonts w:ascii="Verdana" w:hAnsi="Verdana"/>
                <w:color w:val="333333"/>
              </w:rPr>
            </w:pPr>
            <w:r w:rsidRPr="00B50670">
              <w:rPr>
                <w:rFonts w:ascii="Verdana" w:hAnsi="Verdana"/>
                <w:color w:val="333333"/>
              </w:rPr>
              <w:t xml:space="preserve">Appendix 9 - </w:t>
            </w:r>
            <w:r w:rsidR="004116D7" w:rsidRPr="00B50670">
              <w:rPr>
                <w:rFonts w:ascii="Verdana" w:hAnsi="Verdana"/>
                <w:color w:val="333333"/>
              </w:rPr>
              <w:t>Code of Practice:</w:t>
            </w:r>
            <w:r w:rsidRPr="00B50670">
              <w:rPr>
                <w:rFonts w:ascii="Verdana" w:hAnsi="Verdana"/>
                <w:color w:val="333333"/>
              </w:rPr>
              <w:t xml:space="preserve"> Demolition W</w:t>
            </w:r>
            <w:r w:rsidR="004116D7" w:rsidRPr="00B50670">
              <w:rPr>
                <w:rFonts w:ascii="Verdana" w:hAnsi="Verdana"/>
                <w:color w:val="333333"/>
              </w:rPr>
              <w:t>ork</w:t>
            </w:r>
          </w:p>
        </w:tc>
      </w:tr>
      <w:tr w:rsidR="004116D7" w:rsidRPr="00B05154" w:rsidTr="00B50670">
        <w:tc>
          <w:tcPr>
            <w:tcW w:w="8028" w:type="dxa"/>
          </w:tcPr>
          <w:p w:rsidR="00B50670" w:rsidRPr="00B50670" w:rsidRDefault="00B50670" w:rsidP="00EE38DF">
            <w:pPr>
              <w:ind w:left="2160" w:hanging="2160"/>
              <w:rPr>
                <w:rFonts w:ascii="Verdana" w:hAnsi="Verdana"/>
                <w:color w:val="333333"/>
              </w:rPr>
            </w:pPr>
          </w:p>
          <w:p w:rsidR="004116D7" w:rsidRPr="00B50670" w:rsidRDefault="00B50670" w:rsidP="00EE38DF">
            <w:pPr>
              <w:ind w:left="2160" w:hanging="2160"/>
              <w:rPr>
                <w:rFonts w:ascii="Verdana" w:hAnsi="Verdana"/>
                <w:color w:val="333333"/>
              </w:rPr>
            </w:pPr>
            <w:r w:rsidRPr="00B50670">
              <w:rPr>
                <w:rFonts w:ascii="Verdana" w:hAnsi="Verdana"/>
                <w:color w:val="333333"/>
              </w:rPr>
              <w:t xml:space="preserve">Appendix 10 - Code of Practice: </w:t>
            </w:r>
            <w:r w:rsidR="004116D7" w:rsidRPr="00B50670">
              <w:rPr>
                <w:rFonts w:ascii="Verdana" w:hAnsi="Verdana"/>
                <w:color w:val="333333"/>
              </w:rPr>
              <w:t>Safe Design of Structures</w:t>
            </w:r>
          </w:p>
          <w:p w:rsidR="004116D7" w:rsidRPr="00B50670" w:rsidRDefault="004116D7" w:rsidP="00EE38DF">
            <w:pPr>
              <w:ind w:left="2160" w:hanging="2160"/>
              <w:rPr>
                <w:rFonts w:ascii="Verdana" w:hAnsi="Verdana"/>
                <w:color w:val="333333"/>
              </w:rPr>
            </w:pPr>
          </w:p>
        </w:tc>
      </w:tr>
      <w:tr w:rsidR="00312C9B" w:rsidRPr="00B05154" w:rsidTr="00B50670">
        <w:tc>
          <w:tcPr>
            <w:tcW w:w="8028" w:type="dxa"/>
          </w:tcPr>
          <w:p w:rsidR="00312C9B" w:rsidRDefault="00312C9B" w:rsidP="00312C9B">
            <w:pPr>
              <w:ind w:left="2160" w:hanging="2160"/>
              <w:rPr>
                <w:rFonts w:ascii="Verdana" w:hAnsi="Verdana"/>
                <w:color w:val="333333"/>
              </w:rPr>
            </w:pPr>
            <w:r w:rsidRPr="00A1468B">
              <w:rPr>
                <w:rFonts w:ascii="Verdana" w:hAnsi="Verdana"/>
                <w:color w:val="333333"/>
              </w:rPr>
              <w:t>Appendix 11 – Code of Prac</w:t>
            </w:r>
            <w:r>
              <w:rPr>
                <w:rFonts w:ascii="Verdana" w:hAnsi="Verdana"/>
                <w:color w:val="333333"/>
              </w:rPr>
              <w:t>tice: Spray Painting and Powder</w:t>
            </w:r>
          </w:p>
          <w:p w:rsidR="00312C9B" w:rsidRPr="00A1468B" w:rsidRDefault="00312C9B" w:rsidP="00312C9B">
            <w:pPr>
              <w:ind w:left="2160" w:hanging="2160"/>
              <w:rPr>
                <w:rFonts w:ascii="Verdana" w:hAnsi="Verdana"/>
                <w:color w:val="333333"/>
              </w:rPr>
            </w:pPr>
            <w:r w:rsidRPr="00A1468B">
              <w:rPr>
                <w:rFonts w:ascii="Verdana" w:hAnsi="Verdana"/>
                <w:color w:val="333333"/>
              </w:rPr>
              <w:t>Coating</w:t>
            </w:r>
          </w:p>
          <w:p w:rsidR="00312C9B" w:rsidRPr="00B50670" w:rsidRDefault="00312C9B" w:rsidP="00EE38DF">
            <w:pPr>
              <w:ind w:left="2160" w:hanging="2160"/>
              <w:rPr>
                <w:rFonts w:ascii="Verdana" w:hAnsi="Verdana"/>
                <w:color w:val="333333"/>
              </w:rPr>
            </w:pPr>
          </w:p>
        </w:tc>
      </w:tr>
      <w:tr w:rsidR="00312C9B" w:rsidRPr="00B05154" w:rsidTr="00B50670">
        <w:tc>
          <w:tcPr>
            <w:tcW w:w="8028" w:type="dxa"/>
          </w:tcPr>
          <w:p w:rsidR="00312C9B" w:rsidRPr="00A1468B" w:rsidRDefault="00312C9B" w:rsidP="00312C9B">
            <w:pPr>
              <w:ind w:left="2160" w:hanging="2160"/>
              <w:rPr>
                <w:rFonts w:ascii="Verdana" w:hAnsi="Verdana"/>
                <w:color w:val="333333"/>
              </w:rPr>
            </w:pPr>
            <w:r>
              <w:rPr>
                <w:rFonts w:ascii="Verdana" w:hAnsi="Verdana"/>
                <w:color w:val="333333"/>
              </w:rPr>
              <w:t>Appendix 12 – Code of Practice: Abrasive Blasting</w:t>
            </w:r>
          </w:p>
        </w:tc>
      </w:tr>
    </w:tbl>
    <w:p w:rsidR="00312C9B" w:rsidRDefault="00312C9B" w:rsidP="00181470">
      <w:pPr>
        <w:jc w:val="both"/>
        <w:rPr>
          <w:rFonts w:ascii="Verdana" w:hAnsi="Verdana"/>
          <w:sz w:val="22"/>
          <w:szCs w:val="22"/>
        </w:rPr>
      </w:pPr>
    </w:p>
    <w:p w:rsidR="00312C9B" w:rsidRPr="00312C9B" w:rsidRDefault="00312C9B" w:rsidP="00181470">
      <w:pPr>
        <w:jc w:val="both"/>
        <w:rPr>
          <w:rFonts w:ascii="Verdana" w:hAnsi="Verdana"/>
          <w:sz w:val="22"/>
          <w:szCs w:val="22"/>
        </w:rPr>
      </w:pPr>
    </w:p>
    <w:p w:rsidR="00181470" w:rsidRPr="009D6E0F" w:rsidRDefault="00181470" w:rsidP="00181470">
      <w:pPr>
        <w:jc w:val="both"/>
        <w:rPr>
          <w:rFonts w:ascii="Verdana" w:hAnsi="Verdana"/>
          <w:b/>
          <w:sz w:val="22"/>
          <w:szCs w:val="22"/>
        </w:rPr>
      </w:pPr>
    </w:p>
    <w:p w:rsidR="00181470" w:rsidRPr="00B32C7A" w:rsidRDefault="00181470" w:rsidP="00181470">
      <w:pPr>
        <w:jc w:val="center"/>
        <w:rPr>
          <w:rFonts w:ascii="Verdana" w:hAnsi="Verdana"/>
          <w:b/>
          <w:color w:val="000000"/>
          <w:sz w:val="28"/>
          <w:szCs w:val="28"/>
        </w:rPr>
      </w:pPr>
      <w:r w:rsidRPr="009D6E0F">
        <w:rPr>
          <w:rFonts w:ascii="Verdana" w:hAnsi="Verdana"/>
          <w:b/>
        </w:rPr>
        <w:br w:type="page"/>
      </w:r>
      <w:r w:rsidRPr="00B32C7A">
        <w:rPr>
          <w:rFonts w:ascii="Verdana" w:hAnsi="Verdana"/>
          <w:b/>
          <w:color w:val="000000"/>
          <w:sz w:val="28"/>
          <w:szCs w:val="28"/>
        </w:rPr>
        <w:lastRenderedPageBreak/>
        <w:t>PRELIMINARY PROVISIONS</w:t>
      </w:r>
    </w:p>
    <w:p w:rsidR="00181470" w:rsidRPr="00B32C7A" w:rsidRDefault="00181470" w:rsidP="00181470">
      <w:pPr>
        <w:spacing w:before="240" w:after="120"/>
        <w:jc w:val="both"/>
        <w:rPr>
          <w:rFonts w:ascii="Verdana" w:hAnsi="Verdana"/>
          <w:color w:val="000000"/>
        </w:rPr>
      </w:pPr>
      <w:r w:rsidRPr="00B32C7A">
        <w:rPr>
          <w:rFonts w:ascii="Verdana" w:hAnsi="Verdana"/>
          <w:b/>
          <w:color w:val="000000"/>
        </w:rPr>
        <w:t>1.</w:t>
      </w:r>
      <w:r w:rsidRPr="00B32C7A">
        <w:rPr>
          <w:rFonts w:ascii="Verdana" w:hAnsi="Verdana"/>
          <w:b/>
          <w:color w:val="000000"/>
        </w:rPr>
        <w:tab/>
        <w:t>Name</w:t>
      </w:r>
      <w:r w:rsidRPr="00B32C7A">
        <w:rPr>
          <w:rFonts w:ascii="Verdana" w:hAnsi="Verdana"/>
          <w:color w:val="000000"/>
        </w:rPr>
        <w:tab/>
      </w:r>
    </w:p>
    <w:p w:rsidR="00181470" w:rsidRPr="00B32C7A" w:rsidRDefault="00181470" w:rsidP="00181470">
      <w:pPr>
        <w:ind w:left="720"/>
        <w:jc w:val="both"/>
        <w:rPr>
          <w:rFonts w:ascii="Verdana" w:hAnsi="Verdana"/>
          <w:color w:val="000000"/>
        </w:rPr>
      </w:pPr>
      <w:r w:rsidRPr="00B32C7A">
        <w:rPr>
          <w:rFonts w:ascii="Verdana" w:hAnsi="Verdana"/>
          <w:color w:val="000000"/>
        </w:rPr>
        <w:t xml:space="preserve">This Instrument is the </w:t>
      </w:r>
      <w:r w:rsidRPr="00B32C7A">
        <w:rPr>
          <w:rFonts w:ascii="Verdana" w:hAnsi="Verdana"/>
          <w:b/>
          <w:i/>
          <w:color w:val="000000"/>
        </w:rPr>
        <w:t>Work Health and Safety Codes of Practice 201</w:t>
      </w:r>
      <w:r w:rsidR="00973813" w:rsidRPr="00B32C7A">
        <w:rPr>
          <w:rFonts w:ascii="Verdana" w:hAnsi="Verdana"/>
          <w:b/>
          <w:i/>
          <w:color w:val="000000"/>
        </w:rPr>
        <w:t>2</w:t>
      </w:r>
      <w:r w:rsidRPr="00B32C7A">
        <w:rPr>
          <w:rFonts w:ascii="Verdana" w:hAnsi="Verdana"/>
          <w:color w:val="000000"/>
        </w:rPr>
        <w:t>.</w:t>
      </w:r>
    </w:p>
    <w:p w:rsidR="00181470" w:rsidRPr="00060E95" w:rsidRDefault="00181470" w:rsidP="00181470">
      <w:pPr>
        <w:ind w:left="1440" w:right="360" w:hanging="720"/>
        <w:jc w:val="both"/>
        <w:rPr>
          <w:rFonts w:ascii="Verdana" w:hAnsi="Verdana"/>
          <w:color w:val="000080"/>
          <w:sz w:val="16"/>
          <w:szCs w:val="16"/>
          <w:highlight w:val="magenta"/>
        </w:rPr>
      </w:pPr>
    </w:p>
    <w:p w:rsidR="00181470" w:rsidRPr="006647CC" w:rsidRDefault="00181470" w:rsidP="00181470">
      <w:pPr>
        <w:ind w:left="1800" w:right="972" w:hanging="1080"/>
        <w:jc w:val="both"/>
        <w:rPr>
          <w:color w:val="333333"/>
          <w:sz w:val="20"/>
          <w:szCs w:val="20"/>
        </w:rPr>
      </w:pPr>
      <w:r w:rsidRPr="00B32C7A">
        <w:rPr>
          <w:b/>
          <w:color w:val="333333"/>
          <w:sz w:val="20"/>
          <w:szCs w:val="20"/>
        </w:rPr>
        <w:t>NOTE:</w:t>
      </w:r>
      <w:r w:rsidRPr="00B32C7A">
        <w:rPr>
          <w:color w:val="333333"/>
          <w:sz w:val="20"/>
          <w:szCs w:val="20"/>
        </w:rPr>
        <w:tab/>
        <w:t xml:space="preserve">This Instrument is a legislative instrument within the meaning of the </w:t>
      </w:r>
      <w:r w:rsidRPr="00B32C7A">
        <w:rPr>
          <w:i/>
          <w:color w:val="333333"/>
          <w:sz w:val="20"/>
          <w:szCs w:val="20"/>
        </w:rPr>
        <w:t>Legislative Instruments Act 2003</w:t>
      </w:r>
      <w:r w:rsidR="00060E95" w:rsidRPr="00B32C7A">
        <w:rPr>
          <w:color w:val="333333"/>
          <w:sz w:val="20"/>
          <w:szCs w:val="20"/>
        </w:rPr>
        <w:t xml:space="preserve"> (see paragraph 273B(1)(d</w:t>
      </w:r>
      <w:r w:rsidRPr="00B32C7A">
        <w:rPr>
          <w:color w:val="333333"/>
          <w:sz w:val="20"/>
          <w:szCs w:val="20"/>
        </w:rPr>
        <w:t xml:space="preserve">) of the </w:t>
      </w:r>
      <w:r w:rsidRPr="00B32C7A">
        <w:rPr>
          <w:i/>
          <w:color w:val="333333"/>
          <w:sz w:val="20"/>
          <w:szCs w:val="20"/>
        </w:rPr>
        <w:t>Work Health and Safety Act 2011</w:t>
      </w:r>
      <w:r w:rsidRPr="00B32C7A">
        <w:rPr>
          <w:color w:val="333333"/>
          <w:sz w:val="20"/>
          <w:szCs w:val="20"/>
        </w:rPr>
        <w:t xml:space="preserve">) and, notwithstanding that Act, may apply, adopt or incorporate by reference, with or without modifications, any matter contained in any document as in force at a particular time or from time to time (see subsection 274(3) of the </w:t>
      </w:r>
      <w:r w:rsidRPr="00B32C7A">
        <w:rPr>
          <w:i/>
          <w:color w:val="333333"/>
          <w:sz w:val="20"/>
          <w:szCs w:val="20"/>
        </w:rPr>
        <w:t>Work Health and Safety Act 2011</w:t>
      </w:r>
      <w:r w:rsidRPr="00B32C7A">
        <w:rPr>
          <w:color w:val="333333"/>
          <w:sz w:val="20"/>
          <w:szCs w:val="20"/>
        </w:rPr>
        <w:t>).</w:t>
      </w:r>
    </w:p>
    <w:p w:rsidR="00181470" w:rsidRPr="00B32C7A" w:rsidRDefault="00181470" w:rsidP="00181470">
      <w:pPr>
        <w:spacing w:before="240" w:after="120"/>
        <w:jc w:val="both"/>
        <w:rPr>
          <w:rFonts w:ascii="Verdana" w:hAnsi="Verdana"/>
          <w:b/>
          <w:color w:val="000000"/>
        </w:rPr>
      </w:pPr>
      <w:r w:rsidRPr="00460DD9">
        <w:rPr>
          <w:rFonts w:ascii="Verdana" w:hAnsi="Verdana"/>
          <w:b/>
          <w:color w:val="000000"/>
        </w:rPr>
        <w:t>2.</w:t>
      </w:r>
      <w:r w:rsidRPr="00460DD9">
        <w:rPr>
          <w:rFonts w:ascii="Verdana" w:hAnsi="Verdana"/>
          <w:b/>
          <w:color w:val="000000"/>
        </w:rPr>
        <w:tab/>
      </w:r>
      <w:r w:rsidRPr="00B32C7A">
        <w:rPr>
          <w:rFonts w:ascii="Verdana" w:hAnsi="Verdana"/>
          <w:b/>
          <w:color w:val="000000"/>
        </w:rPr>
        <w:t>Application</w:t>
      </w:r>
    </w:p>
    <w:p w:rsidR="00181470" w:rsidRPr="00B05154" w:rsidRDefault="00181470" w:rsidP="00181470">
      <w:pPr>
        <w:ind w:left="720"/>
        <w:jc w:val="both"/>
        <w:rPr>
          <w:rFonts w:ascii="Verdana" w:hAnsi="Verdana"/>
          <w:i/>
          <w:color w:val="333333"/>
        </w:rPr>
      </w:pPr>
      <w:r w:rsidRPr="00B32C7A">
        <w:rPr>
          <w:rFonts w:ascii="Verdana" w:hAnsi="Verdana"/>
          <w:color w:val="333333"/>
        </w:rPr>
        <w:t xml:space="preserve">These Codes of Practice have been made for the purposes of the </w:t>
      </w:r>
      <w:r w:rsidRPr="00B32C7A">
        <w:rPr>
          <w:rFonts w:ascii="Verdana" w:hAnsi="Verdana"/>
          <w:i/>
          <w:color w:val="333333"/>
        </w:rPr>
        <w:t>Work Health and Safety Act 2011</w:t>
      </w:r>
      <w:r w:rsidRPr="00B32C7A">
        <w:rPr>
          <w:rFonts w:ascii="Verdana" w:hAnsi="Verdana"/>
          <w:color w:val="333333"/>
        </w:rPr>
        <w:t xml:space="preserve"> and apply to all bodies and persons having duties under that Act or regulations made under that Act.</w:t>
      </w:r>
      <w:r w:rsidRPr="00B05154">
        <w:rPr>
          <w:rFonts w:ascii="Verdana" w:hAnsi="Verdana"/>
          <w:i/>
          <w:color w:val="333333"/>
        </w:rPr>
        <w:t xml:space="preserve"> </w:t>
      </w:r>
    </w:p>
    <w:p w:rsidR="00181470" w:rsidRPr="00B32C7A" w:rsidRDefault="00181470" w:rsidP="00181470">
      <w:pPr>
        <w:spacing w:before="240" w:after="120"/>
        <w:jc w:val="both"/>
        <w:rPr>
          <w:rFonts w:ascii="Verdana" w:hAnsi="Verdana"/>
          <w:b/>
          <w:color w:val="000000"/>
        </w:rPr>
      </w:pPr>
      <w:r w:rsidRPr="00B32C7A">
        <w:rPr>
          <w:rFonts w:ascii="Verdana" w:hAnsi="Verdana"/>
          <w:b/>
          <w:color w:val="000000"/>
        </w:rPr>
        <w:t>3.</w:t>
      </w:r>
      <w:r w:rsidRPr="00B32C7A">
        <w:rPr>
          <w:rFonts w:ascii="Verdana" w:hAnsi="Verdana"/>
          <w:b/>
          <w:color w:val="000000"/>
        </w:rPr>
        <w:tab/>
        <w:t>Commencement</w:t>
      </w:r>
    </w:p>
    <w:p w:rsidR="00FF6309" w:rsidRDefault="00181470" w:rsidP="00FF6309">
      <w:pPr>
        <w:pStyle w:val="ListParagraph"/>
        <w:numPr>
          <w:ilvl w:val="1"/>
          <w:numId w:val="5"/>
        </w:numPr>
        <w:ind w:right="26"/>
        <w:jc w:val="both"/>
        <w:rPr>
          <w:rFonts w:ascii="Verdana" w:hAnsi="Verdana"/>
        </w:rPr>
      </w:pPr>
      <w:r w:rsidRPr="00FF6309">
        <w:rPr>
          <w:rFonts w:ascii="Verdana" w:hAnsi="Verdana"/>
        </w:rPr>
        <w:t>These Codes of Practice commence on</w:t>
      </w:r>
      <w:r w:rsidR="00880CC3" w:rsidRPr="00FF6309">
        <w:rPr>
          <w:rFonts w:ascii="Verdana" w:hAnsi="Verdana"/>
        </w:rPr>
        <w:t xml:space="preserve"> the day after registration</w:t>
      </w:r>
      <w:r w:rsidRPr="00FF6309">
        <w:rPr>
          <w:rFonts w:ascii="Verdana" w:hAnsi="Verdana"/>
        </w:rPr>
        <w:t>.</w:t>
      </w:r>
    </w:p>
    <w:p w:rsidR="00FF6309" w:rsidRDefault="00FF6309" w:rsidP="00FF6309">
      <w:pPr>
        <w:pStyle w:val="ListParagraph"/>
        <w:ind w:right="26"/>
        <w:jc w:val="both"/>
        <w:rPr>
          <w:rFonts w:ascii="Verdana" w:hAnsi="Verdana"/>
        </w:rPr>
      </w:pPr>
    </w:p>
    <w:p w:rsidR="00FF6309" w:rsidRPr="00FF6309" w:rsidRDefault="00FF6309" w:rsidP="005A378A">
      <w:pPr>
        <w:pStyle w:val="ListParagraph"/>
        <w:numPr>
          <w:ilvl w:val="0"/>
          <w:numId w:val="5"/>
        </w:numPr>
        <w:ind w:right="26"/>
        <w:jc w:val="both"/>
        <w:rPr>
          <w:rFonts w:ascii="Verdana" w:hAnsi="Verdana"/>
          <w:b/>
          <w:color w:val="000000"/>
        </w:rPr>
      </w:pPr>
      <w:r w:rsidRPr="00FF6309">
        <w:rPr>
          <w:rFonts w:ascii="Verdana" w:hAnsi="Verdana"/>
          <w:b/>
          <w:color w:val="000000"/>
        </w:rPr>
        <w:t xml:space="preserve">Revocation of </w:t>
      </w:r>
      <w:r w:rsidR="00B50670">
        <w:rPr>
          <w:rFonts w:ascii="Verdana" w:hAnsi="Verdana"/>
          <w:b/>
          <w:color w:val="000000"/>
        </w:rPr>
        <w:t>Preserved</w:t>
      </w:r>
      <w:r w:rsidRPr="00FF6309">
        <w:rPr>
          <w:rFonts w:ascii="Verdana" w:hAnsi="Verdana"/>
          <w:b/>
          <w:color w:val="000000"/>
        </w:rPr>
        <w:t xml:space="preserve"> Codes</w:t>
      </w:r>
    </w:p>
    <w:p w:rsidR="00FF6309" w:rsidRPr="00FF6309" w:rsidRDefault="00FF6309" w:rsidP="00FF6309">
      <w:pPr>
        <w:ind w:right="26"/>
        <w:jc w:val="both"/>
        <w:rPr>
          <w:rFonts w:ascii="Verdana" w:hAnsi="Verdana"/>
          <w:b/>
          <w:color w:val="000000"/>
        </w:rPr>
      </w:pPr>
    </w:p>
    <w:p w:rsidR="00B32C7A" w:rsidRPr="005A378A" w:rsidRDefault="00CF7C39" w:rsidP="005A378A">
      <w:pPr>
        <w:pStyle w:val="ListParagraph"/>
        <w:numPr>
          <w:ilvl w:val="1"/>
          <w:numId w:val="5"/>
        </w:numPr>
        <w:ind w:right="386"/>
        <w:jc w:val="both"/>
        <w:rPr>
          <w:rFonts w:ascii="Verdana" w:hAnsi="Verdana"/>
        </w:rPr>
      </w:pPr>
      <w:r w:rsidRPr="005A378A">
        <w:rPr>
          <w:rFonts w:ascii="Verdana" w:hAnsi="Verdana"/>
        </w:rPr>
        <w:t>The preserved codes of practice</w:t>
      </w:r>
      <w:r w:rsidR="00317125" w:rsidRPr="005A378A">
        <w:rPr>
          <w:rFonts w:ascii="Verdana" w:hAnsi="Verdana"/>
        </w:rPr>
        <w:t xml:space="preserve">, prescribed by regulation 761 of the </w:t>
      </w:r>
      <w:r w:rsidR="00317125" w:rsidRPr="005A378A">
        <w:rPr>
          <w:rFonts w:ascii="Verdana" w:hAnsi="Verdana"/>
          <w:i/>
        </w:rPr>
        <w:t>Work Health and Safety Regulations 2011,</w:t>
      </w:r>
      <w:r w:rsidR="00317125" w:rsidRPr="005A378A">
        <w:rPr>
          <w:rFonts w:ascii="Verdana" w:hAnsi="Verdana"/>
        </w:rPr>
        <w:t xml:space="preserve"> </w:t>
      </w:r>
      <w:r w:rsidRPr="005A378A">
        <w:rPr>
          <w:rFonts w:ascii="Verdana" w:hAnsi="Verdana"/>
        </w:rPr>
        <w:t>revoked by this instrument are</w:t>
      </w:r>
      <w:r w:rsidR="00B32C7A" w:rsidRPr="005A378A">
        <w:rPr>
          <w:rFonts w:ascii="Verdana" w:hAnsi="Verdana"/>
        </w:rPr>
        <w:t>:</w:t>
      </w:r>
    </w:p>
    <w:p w:rsidR="00B32C7A" w:rsidRDefault="00B32C7A" w:rsidP="00B32C7A">
      <w:pPr>
        <w:ind w:left="709" w:right="386" w:hanging="709"/>
        <w:jc w:val="both"/>
        <w:rPr>
          <w:rFonts w:ascii="Verdana" w:hAnsi="Verdana"/>
        </w:rPr>
      </w:pPr>
    </w:p>
    <w:p w:rsidR="00880CC3" w:rsidRDefault="00CF7C39" w:rsidP="001D7DB5">
      <w:pPr>
        <w:ind w:left="720" w:hanging="720"/>
        <w:jc w:val="both"/>
        <w:rPr>
          <w:rFonts w:ascii="Verdana" w:hAnsi="Verdana"/>
        </w:rPr>
      </w:pPr>
      <w:r>
        <w:rPr>
          <w:rFonts w:ascii="Verdana" w:hAnsi="Verdana"/>
        </w:rPr>
        <w:tab/>
      </w:r>
      <w:r>
        <w:rPr>
          <w:rFonts w:ascii="Verdana" w:hAnsi="Verdana"/>
        </w:rPr>
        <w:tab/>
        <w:t xml:space="preserve">- </w:t>
      </w:r>
      <w:r w:rsidR="00880CC3">
        <w:rPr>
          <w:rFonts w:ascii="Verdana" w:hAnsi="Verdana"/>
        </w:rPr>
        <w:t>Part 2 (First Aid)</w:t>
      </w:r>
    </w:p>
    <w:p w:rsidR="00201849" w:rsidRDefault="00201849" w:rsidP="00201849">
      <w:pPr>
        <w:ind w:left="720" w:firstLine="720"/>
        <w:jc w:val="both"/>
        <w:rPr>
          <w:rFonts w:ascii="Verdana" w:hAnsi="Verdana"/>
        </w:rPr>
      </w:pPr>
      <w:r>
        <w:rPr>
          <w:rFonts w:ascii="Verdana" w:hAnsi="Verdana"/>
        </w:rPr>
        <w:t>- Part 21 (Spray Painting)</w:t>
      </w:r>
    </w:p>
    <w:p w:rsidR="00201849" w:rsidRDefault="00201849" w:rsidP="00201849">
      <w:pPr>
        <w:ind w:left="720" w:firstLine="720"/>
        <w:jc w:val="both"/>
        <w:rPr>
          <w:rFonts w:ascii="Verdana" w:hAnsi="Verdana"/>
        </w:rPr>
      </w:pPr>
      <w:r>
        <w:rPr>
          <w:rFonts w:ascii="Verdana" w:hAnsi="Verdana"/>
        </w:rPr>
        <w:t>- Part 22 (Abrasive Blasting)</w:t>
      </w:r>
    </w:p>
    <w:p w:rsidR="00880CC3" w:rsidRDefault="00880CC3" w:rsidP="00880CC3">
      <w:pPr>
        <w:ind w:left="720" w:firstLine="720"/>
        <w:jc w:val="both"/>
        <w:rPr>
          <w:rFonts w:ascii="Verdana" w:hAnsi="Verdana"/>
        </w:rPr>
      </w:pPr>
      <w:r>
        <w:rPr>
          <w:rFonts w:ascii="Verdana" w:hAnsi="Verdana"/>
        </w:rPr>
        <w:t>- Part 24 (Falls in Construction)</w:t>
      </w:r>
    </w:p>
    <w:p w:rsidR="00880CC3" w:rsidRPr="00892489" w:rsidRDefault="00880CC3" w:rsidP="001D7DB5">
      <w:pPr>
        <w:ind w:left="720" w:hanging="720"/>
        <w:jc w:val="both"/>
        <w:rPr>
          <w:rFonts w:ascii="Verdana" w:hAnsi="Verdana"/>
        </w:rPr>
      </w:pPr>
      <w:r>
        <w:rPr>
          <w:rFonts w:ascii="Verdana" w:hAnsi="Verdana"/>
        </w:rPr>
        <w:tab/>
      </w:r>
      <w:r>
        <w:rPr>
          <w:rFonts w:ascii="Verdana" w:hAnsi="Verdana"/>
        </w:rPr>
        <w:tab/>
        <w:t xml:space="preserve"> </w:t>
      </w:r>
    </w:p>
    <w:p w:rsidR="00181470" w:rsidRPr="006647CC" w:rsidRDefault="00181470" w:rsidP="00181470">
      <w:pPr>
        <w:ind w:left="1440" w:right="972" w:hanging="720"/>
        <w:jc w:val="both"/>
        <w:rPr>
          <w:b/>
          <w:color w:val="333333"/>
          <w:sz w:val="20"/>
          <w:szCs w:val="20"/>
        </w:rPr>
      </w:pPr>
      <w:r w:rsidRPr="006647CC">
        <w:rPr>
          <w:b/>
          <w:color w:val="333333"/>
          <w:sz w:val="20"/>
          <w:szCs w:val="20"/>
        </w:rPr>
        <w:t>NOTES:</w:t>
      </w:r>
    </w:p>
    <w:p w:rsidR="00B32C7A" w:rsidRPr="00B32C7A" w:rsidRDefault="00B32C7A" w:rsidP="00B32C7A">
      <w:pPr>
        <w:ind w:left="1440" w:right="972" w:hanging="720"/>
        <w:jc w:val="both"/>
        <w:rPr>
          <w:color w:val="333333"/>
          <w:sz w:val="20"/>
          <w:szCs w:val="20"/>
        </w:rPr>
      </w:pPr>
      <w:r>
        <w:rPr>
          <w:color w:val="333333"/>
          <w:sz w:val="20"/>
          <w:szCs w:val="20"/>
        </w:rPr>
        <w:t>1.</w:t>
      </w:r>
      <w:r>
        <w:rPr>
          <w:color w:val="333333"/>
          <w:sz w:val="20"/>
          <w:szCs w:val="20"/>
        </w:rPr>
        <w:tab/>
      </w:r>
      <w:r w:rsidRPr="00B32C7A">
        <w:rPr>
          <w:color w:val="333333"/>
          <w:sz w:val="20"/>
          <w:szCs w:val="20"/>
        </w:rPr>
        <w:t xml:space="preserve">Regulation 761 of the </w:t>
      </w:r>
      <w:r w:rsidRPr="00B32C7A">
        <w:rPr>
          <w:i/>
          <w:color w:val="333333"/>
          <w:sz w:val="20"/>
          <w:szCs w:val="20"/>
        </w:rPr>
        <w:t>Work Health and Safety Regulations 2011</w:t>
      </w:r>
      <w:r w:rsidRPr="00B32C7A">
        <w:rPr>
          <w:color w:val="333333"/>
          <w:sz w:val="20"/>
          <w:szCs w:val="20"/>
        </w:rPr>
        <w:t xml:space="preserve"> prescribes the following Parts of the </w:t>
      </w:r>
      <w:r w:rsidRPr="00B32C7A">
        <w:rPr>
          <w:i/>
          <w:color w:val="333333"/>
          <w:sz w:val="20"/>
          <w:szCs w:val="20"/>
        </w:rPr>
        <w:t>Occupational Health and Safety Code of Practice 2008</w:t>
      </w:r>
      <w:r w:rsidRPr="00B32C7A">
        <w:rPr>
          <w:color w:val="333333"/>
          <w:sz w:val="20"/>
          <w:szCs w:val="20"/>
        </w:rPr>
        <w:t>, namely -:</w:t>
      </w:r>
    </w:p>
    <w:p w:rsidR="00B32C7A" w:rsidRPr="00B32C7A" w:rsidRDefault="00B32C7A" w:rsidP="00B32C7A">
      <w:pPr>
        <w:ind w:left="1440" w:right="972" w:hanging="720"/>
        <w:jc w:val="both"/>
        <w:rPr>
          <w:color w:val="333333"/>
          <w:sz w:val="20"/>
          <w:szCs w:val="20"/>
        </w:rPr>
      </w:pPr>
      <w:r w:rsidRPr="00B32C7A">
        <w:rPr>
          <w:rFonts w:ascii="Verdana" w:hAnsi="Verdana"/>
          <w:color w:val="333333"/>
          <w:sz w:val="20"/>
          <w:szCs w:val="20"/>
        </w:rPr>
        <w:tab/>
      </w:r>
      <w:r w:rsidRPr="00B32C7A">
        <w:rPr>
          <w:rFonts w:ascii="Verdana" w:hAnsi="Verdana"/>
          <w:color w:val="333333"/>
          <w:sz w:val="20"/>
          <w:szCs w:val="20"/>
        </w:rPr>
        <w:tab/>
      </w:r>
      <w:r w:rsidRPr="00B32C7A">
        <w:rPr>
          <w:color w:val="333333"/>
          <w:sz w:val="20"/>
          <w:szCs w:val="20"/>
        </w:rPr>
        <w:t>Part 2 (First Aid)</w:t>
      </w:r>
    </w:p>
    <w:p w:rsidR="00B32C7A" w:rsidRPr="00B32C7A" w:rsidRDefault="00B32C7A" w:rsidP="00B32C7A">
      <w:pPr>
        <w:ind w:left="1440" w:right="972" w:hanging="720"/>
        <w:jc w:val="both"/>
        <w:rPr>
          <w:color w:val="333333"/>
          <w:sz w:val="20"/>
          <w:szCs w:val="20"/>
        </w:rPr>
      </w:pPr>
      <w:r w:rsidRPr="00B32C7A">
        <w:rPr>
          <w:color w:val="333333"/>
          <w:sz w:val="20"/>
          <w:szCs w:val="20"/>
        </w:rPr>
        <w:tab/>
      </w:r>
      <w:r w:rsidRPr="00B32C7A">
        <w:rPr>
          <w:color w:val="333333"/>
          <w:sz w:val="20"/>
          <w:szCs w:val="20"/>
        </w:rPr>
        <w:tab/>
        <w:t>Part 5 (Vibration)</w:t>
      </w:r>
    </w:p>
    <w:p w:rsidR="00B32C7A" w:rsidRPr="00B32C7A" w:rsidRDefault="00B32C7A" w:rsidP="00B32C7A">
      <w:pPr>
        <w:ind w:left="1440" w:right="972" w:hanging="720"/>
        <w:jc w:val="both"/>
        <w:rPr>
          <w:color w:val="333333"/>
          <w:sz w:val="20"/>
          <w:szCs w:val="20"/>
        </w:rPr>
      </w:pPr>
      <w:r w:rsidRPr="00B32C7A">
        <w:rPr>
          <w:color w:val="333333"/>
          <w:sz w:val="20"/>
          <w:szCs w:val="20"/>
        </w:rPr>
        <w:tab/>
      </w:r>
      <w:r w:rsidRPr="00B32C7A">
        <w:rPr>
          <w:color w:val="333333"/>
          <w:sz w:val="20"/>
          <w:szCs w:val="20"/>
        </w:rPr>
        <w:tab/>
        <w:t>Part 16 (Timber Preservatives)</w:t>
      </w:r>
    </w:p>
    <w:p w:rsidR="00B32C7A" w:rsidRPr="00B32C7A" w:rsidRDefault="00B32C7A" w:rsidP="00B32C7A">
      <w:pPr>
        <w:ind w:left="1440" w:right="972" w:hanging="720"/>
        <w:jc w:val="both"/>
        <w:rPr>
          <w:color w:val="333333"/>
          <w:sz w:val="20"/>
          <w:szCs w:val="20"/>
        </w:rPr>
      </w:pPr>
      <w:r w:rsidRPr="00B32C7A">
        <w:rPr>
          <w:color w:val="333333"/>
          <w:sz w:val="20"/>
          <w:szCs w:val="20"/>
        </w:rPr>
        <w:tab/>
      </w:r>
      <w:r w:rsidRPr="00B32C7A">
        <w:rPr>
          <w:color w:val="333333"/>
          <w:sz w:val="20"/>
          <w:szCs w:val="20"/>
        </w:rPr>
        <w:tab/>
        <w:t>Part 20 (Occupational Diving)</w:t>
      </w:r>
    </w:p>
    <w:p w:rsidR="00B32C7A" w:rsidRPr="00B32C7A" w:rsidRDefault="00B32C7A" w:rsidP="00B32C7A">
      <w:pPr>
        <w:ind w:left="1440" w:right="972" w:hanging="720"/>
        <w:jc w:val="both"/>
        <w:rPr>
          <w:color w:val="333333"/>
          <w:sz w:val="20"/>
          <w:szCs w:val="20"/>
        </w:rPr>
      </w:pPr>
      <w:r w:rsidRPr="00B32C7A">
        <w:rPr>
          <w:color w:val="333333"/>
          <w:sz w:val="20"/>
          <w:szCs w:val="20"/>
        </w:rPr>
        <w:tab/>
      </w:r>
      <w:r w:rsidRPr="00B32C7A">
        <w:rPr>
          <w:color w:val="333333"/>
          <w:sz w:val="20"/>
          <w:szCs w:val="20"/>
        </w:rPr>
        <w:tab/>
        <w:t>Part 21 (Spray Painting)</w:t>
      </w:r>
    </w:p>
    <w:p w:rsidR="00B32C7A" w:rsidRPr="00B32C7A" w:rsidRDefault="00B32C7A" w:rsidP="00B32C7A">
      <w:pPr>
        <w:ind w:left="1440" w:right="972" w:hanging="720"/>
        <w:jc w:val="both"/>
        <w:rPr>
          <w:color w:val="333333"/>
          <w:sz w:val="20"/>
          <w:szCs w:val="20"/>
        </w:rPr>
      </w:pPr>
      <w:r w:rsidRPr="00B32C7A">
        <w:rPr>
          <w:color w:val="333333"/>
          <w:sz w:val="20"/>
          <w:szCs w:val="20"/>
        </w:rPr>
        <w:tab/>
      </w:r>
      <w:r w:rsidRPr="00B32C7A">
        <w:rPr>
          <w:color w:val="333333"/>
          <w:sz w:val="20"/>
          <w:szCs w:val="20"/>
        </w:rPr>
        <w:tab/>
        <w:t>Part 22 (Abrasive Blasting)</w:t>
      </w:r>
      <w:r w:rsidRPr="00B32C7A">
        <w:rPr>
          <w:color w:val="333333"/>
          <w:sz w:val="20"/>
          <w:szCs w:val="20"/>
        </w:rPr>
        <w:tab/>
      </w:r>
    </w:p>
    <w:p w:rsidR="00B32C7A" w:rsidRPr="00B32C7A" w:rsidRDefault="00B32C7A" w:rsidP="00B32C7A">
      <w:pPr>
        <w:ind w:left="1440" w:right="972" w:hanging="720"/>
        <w:jc w:val="both"/>
        <w:rPr>
          <w:color w:val="333333"/>
          <w:sz w:val="20"/>
          <w:szCs w:val="20"/>
        </w:rPr>
      </w:pPr>
      <w:r w:rsidRPr="00B32C7A">
        <w:rPr>
          <w:color w:val="333333"/>
          <w:sz w:val="20"/>
          <w:szCs w:val="20"/>
        </w:rPr>
        <w:tab/>
      </w:r>
      <w:r w:rsidRPr="00B32C7A">
        <w:rPr>
          <w:color w:val="333333"/>
          <w:sz w:val="20"/>
          <w:szCs w:val="20"/>
        </w:rPr>
        <w:tab/>
        <w:t>Part 23 (Construction Induction Training)</w:t>
      </w:r>
    </w:p>
    <w:p w:rsidR="00B32C7A" w:rsidRPr="00B32C7A" w:rsidRDefault="00B32C7A" w:rsidP="00B32C7A">
      <w:pPr>
        <w:ind w:left="1440" w:right="972" w:hanging="720"/>
        <w:jc w:val="both"/>
        <w:rPr>
          <w:color w:val="333333"/>
          <w:sz w:val="20"/>
          <w:szCs w:val="20"/>
        </w:rPr>
      </w:pPr>
      <w:r w:rsidRPr="00B32C7A">
        <w:rPr>
          <w:color w:val="333333"/>
          <w:sz w:val="20"/>
          <w:szCs w:val="20"/>
        </w:rPr>
        <w:tab/>
      </w:r>
      <w:r w:rsidRPr="00B32C7A">
        <w:rPr>
          <w:color w:val="333333"/>
          <w:sz w:val="20"/>
          <w:szCs w:val="20"/>
        </w:rPr>
        <w:tab/>
        <w:t>Part 24 (Falls in Construction)</w:t>
      </w:r>
    </w:p>
    <w:p w:rsidR="00B32C7A" w:rsidRPr="00B32C7A" w:rsidRDefault="00B32C7A" w:rsidP="00B32C7A">
      <w:pPr>
        <w:ind w:left="1440" w:right="972" w:hanging="720"/>
        <w:jc w:val="both"/>
        <w:rPr>
          <w:color w:val="333333"/>
          <w:sz w:val="20"/>
          <w:szCs w:val="20"/>
        </w:rPr>
      </w:pPr>
      <w:r w:rsidRPr="00B32C7A">
        <w:rPr>
          <w:color w:val="333333"/>
          <w:sz w:val="20"/>
          <w:szCs w:val="20"/>
        </w:rPr>
        <w:tab/>
      </w:r>
      <w:r w:rsidRPr="00B32C7A">
        <w:rPr>
          <w:color w:val="333333"/>
          <w:sz w:val="20"/>
          <w:szCs w:val="20"/>
        </w:rPr>
        <w:tab/>
        <w:t>Part 25 (Cash in Transit)</w:t>
      </w:r>
    </w:p>
    <w:p w:rsidR="00973813" w:rsidRPr="006647CC" w:rsidRDefault="00973813" w:rsidP="00B32C7A">
      <w:pPr>
        <w:ind w:left="1440" w:right="972" w:hanging="720"/>
        <w:jc w:val="both"/>
        <w:rPr>
          <w:color w:val="333333"/>
          <w:sz w:val="20"/>
          <w:szCs w:val="20"/>
        </w:rPr>
      </w:pPr>
    </w:p>
    <w:p w:rsidR="00181470" w:rsidRPr="006647CC" w:rsidRDefault="00181470" w:rsidP="00181470">
      <w:pPr>
        <w:ind w:left="1440" w:right="972" w:hanging="720"/>
        <w:jc w:val="both"/>
        <w:rPr>
          <w:color w:val="333333"/>
          <w:sz w:val="20"/>
          <w:szCs w:val="20"/>
        </w:rPr>
      </w:pPr>
      <w:r w:rsidRPr="006647CC">
        <w:rPr>
          <w:color w:val="333333"/>
          <w:sz w:val="20"/>
          <w:szCs w:val="20"/>
        </w:rPr>
        <w:t>2.</w:t>
      </w:r>
      <w:r w:rsidRPr="006647CC">
        <w:rPr>
          <w:color w:val="333333"/>
          <w:sz w:val="20"/>
          <w:szCs w:val="20"/>
        </w:rPr>
        <w:tab/>
        <w:t xml:space="preserve">Sub item 23 of the Schedule 2 to the </w:t>
      </w:r>
      <w:r w:rsidRPr="006647CC">
        <w:rPr>
          <w:i/>
          <w:color w:val="333333"/>
          <w:sz w:val="20"/>
          <w:szCs w:val="20"/>
        </w:rPr>
        <w:t>Work Health and Safety (Transitional and Consequential Provisions) Act 2011</w:t>
      </w:r>
      <w:r w:rsidRPr="006647CC">
        <w:rPr>
          <w:color w:val="333333"/>
          <w:sz w:val="20"/>
          <w:szCs w:val="20"/>
        </w:rPr>
        <w:t xml:space="preserve"> provides that each prescribed Part of the Occupational Health and Safety Code of Practice </w:t>
      </w:r>
      <w:r w:rsidRPr="006647CC">
        <w:rPr>
          <w:color w:val="333333"/>
          <w:sz w:val="20"/>
          <w:szCs w:val="20"/>
        </w:rPr>
        <w:lastRenderedPageBreak/>
        <w:t>2008, as</w:t>
      </w:r>
      <w:r w:rsidR="00687DF1">
        <w:rPr>
          <w:color w:val="333333"/>
          <w:sz w:val="20"/>
          <w:szCs w:val="20"/>
        </w:rPr>
        <w:t xml:space="preserve"> in force on 31 December 2011, </w:t>
      </w:r>
      <w:r w:rsidRPr="006647CC">
        <w:rPr>
          <w:color w:val="333333"/>
          <w:sz w:val="20"/>
          <w:szCs w:val="20"/>
        </w:rPr>
        <w:t>is t</w:t>
      </w:r>
      <w:r w:rsidR="00EE38DF">
        <w:rPr>
          <w:color w:val="333333"/>
          <w:sz w:val="20"/>
          <w:szCs w:val="20"/>
        </w:rPr>
        <w:t>aken, on and from 1 January 201</w:t>
      </w:r>
      <w:r w:rsidRPr="006647CC">
        <w:rPr>
          <w:color w:val="333333"/>
          <w:sz w:val="20"/>
          <w:szCs w:val="20"/>
        </w:rPr>
        <w:t xml:space="preserve">2, to be a code of practice approved under section 274 of the </w:t>
      </w:r>
      <w:r w:rsidRPr="006647CC">
        <w:rPr>
          <w:i/>
          <w:color w:val="333333"/>
          <w:sz w:val="20"/>
          <w:szCs w:val="20"/>
        </w:rPr>
        <w:t>Work Health and Safety Act 2011</w:t>
      </w:r>
      <w:r w:rsidRPr="006647CC">
        <w:rPr>
          <w:color w:val="333333"/>
          <w:sz w:val="20"/>
          <w:szCs w:val="20"/>
        </w:rPr>
        <w:t xml:space="preserve"> for the purposes of that Act.</w:t>
      </w:r>
    </w:p>
    <w:p w:rsidR="00181470" w:rsidRPr="006647CC" w:rsidRDefault="00181470" w:rsidP="00181470">
      <w:pPr>
        <w:ind w:left="1440" w:right="972" w:hanging="720"/>
        <w:jc w:val="both"/>
        <w:rPr>
          <w:b/>
          <w:color w:val="333333"/>
          <w:sz w:val="20"/>
          <w:szCs w:val="20"/>
        </w:rPr>
      </w:pPr>
      <w:r w:rsidRPr="006647CC">
        <w:rPr>
          <w:color w:val="333333"/>
          <w:sz w:val="20"/>
          <w:szCs w:val="20"/>
        </w:rPr>
        <w:t>3.</w:t>
      </w:r>
      <w:r w:rsidRPr="006647CC">
        <w:rPr>
          <w:color w:val="333333"/>
          <w:sz w:val="20"/>
          <w:szCs w:val="20"/>
        </w:rPr>
        <w:tab/>
        <w:t xml:space="preserve">The </w:t>
      </w:r>
      <w:r w:rsidRPr="006647CC">
        <w:rPr>
          <w:i/>
          <w:color w:val="333333"/>
          <w:sz w:val="20"/>
          <w:szCs w:val="20"/>
        </w:rPr>
        <w:t>Occupational Health and Safety Code of Practice 2008</w:t>
      </w:r>
      <w:r w:rsidRPr="006647CC">
        <w:rPr>
          <w:color w:val="333333"/>
          <w:sz w:val="20"/>
          <w:szCs w:val="20"/>
        </w:rPr>
        <w:t xml:space="preserve"> is registered on the Federal Register of Legislative Instruments as F2008L02054.</w:t>
      </w:r>
    </w:p>
    <w:p w:rsidR="00181470" w:rsidRPr="00F42595" w:rsidRDefault="00181470" w:rsidP="00181470">
      <w:pPr>
        <w:spacing w:after="120"/>
        <w:jc w:val="center"/>
        <w:rPr>
          <w:rFonts w:ascii="Verdana" w:hAnsi="Verdana"/>
          <w:b/>
          <w:color w:val="000000"/>
          <w:sz w:val="28"/>
          <w:szCs w:val="28"/>
        </w:rPr>
      </w:pPr>
      <w:r w:rsidRPr="009D6E0F">
        <w:rPr>
          <w:rFonts w:ascii="Verdana" w:hAnsi="Verdana"/>
          <w:b/>
          <w:sz w:val="22"/>
          <w:szCs w:val="22"/>
        </w:rPr>
        <w:br w:type="page"/>
      </w:r>
      <w:r w:rsidRPr="00F42595">
        <w:rPr>
          <w:rFonts w:ascii="Verdana" w:hAnsi="Verdana"/>
          <w:b/>
          <w:color w:val="000000"/>
          <w:sz w:val="28"/>
          <w:szCs w:val="28"/>
        </w:rPr>
        <w:lastRenderedPageBreak/>
        <w:t>INTRODUCTION</w:t>
      </w:r>
    </w:p>
    <w:p w:rsidR="00181470" w:rsidRPr="00F42595" w:rsidRDefault="00181470" w:rsidP="00181470">
      <w:pPr>
        <w:spacing w:before="120"/>
        <w:jc w:val="both"/>
        <w:rPr>
          <w:rFonts w:ascii="Verdana" w:hAnsi="Verdana"/>
          <w:color w:val="000000"/>
        </w:rPr>
      </w:pPr>
      <w:r w:rsidRPr="00F42595">
        <w:rPr>
          <w:rFonts w:ascii="Verdana" w:hAnsi="Verdana"/>
          <w:color w:val="000000"/>
        </w:rPr>
        <w:t xml:space="preserve">These Codes of Practice are based on the model Codes of Practice developed by Safe Work Australia through consultation with Commonwealth, state and territory governments, unions and employer organisations and agreed by the Workplace Relations Ministers Council.  </w:t>
      </w:r>
    </w:p>
    <w:p w:rsidR="00181470" w:rsidRPr="00F42595" w:rsidRDefault="00181470" w:rsidP="00181470">
      <w:pPr>
        <w:spacing w:before="120"/>
        <w:jc w:val="both"/>
        <w:rPr>
          <w:rFonts w:ascii="Verdana" w:hAnsi="Verdana"/>
          <w:color w:val="000000"/>
        </w:rPr>
      </w:pPr>
      <w:r w:rsidRPr="00F42595">
        <w:rPr>
          <w:rFonts w:ascii="Verdana" w:hAnsi="Verdana"/>
          <w:color w:val="000000"/>
        </w:rPr>
        <w:t>Comcare, as the regulator for the Commonwealth jurisdiction, has modified those model Codes of Practice as and to the extent required for conformity with:</w:t>
      </w:r>
    </w:p>
    <w:p w:rsidR="00181470" w:rsidRPr="00F42595" w:rsidRDefault="00181470" w:rsidP="00181470">
      <w:pPr>
        <w:numPr>
          <w:ilvl w:val="0"/>
          <w:numId w:val="1"/>
        </w:numPr>
        <w:ind w:right="720"/>
        <w:jc w:val="both"/>
        <w:rPr>
          <w:rFonts w:ascii="Verdana" w:hAnsi="Verdana"/>
          <w:color w:val="000000"/>
        </w:rPr>
      </w:pPr>
      <w:r w:rsidRPr="00F42595">
        <w:rPr>
          <w:rFonts w:ascii="Verdana" w:hAnsi="Verdana"/>
          <w:color w:val="000000"/>
        </w:rPr>
        <w:t xml:space="preserve">the </w:t>
      </w:r>
      <w:r w:rsidRPr="00F42595">
        <w:rPr>
          <w:rFonts w:ascii="Verdana" w:hAnsi="Verdana"/>
          <w:i/>
          <w:color w:val="000000"/>
        </w:rPr>
        <w:t>Work Health and Safety Act 2011</w:t>
      </w:r>
      <w:r w:rsidRPr="00F42595">
        <w:rPr>
          <w:rFonts w:ascii="Verdana" w:hAnsi="Verdana"/>
          <w:color w:val="000000"/>
        </w:rPr>
        <w:t xml:space="preserve"> (‘the WHS Act’); </w:t>
      </w:r>
    </w:p>
    <w:p w:rsidR="00181470" w:rsidRPr="00F42595" w:rsidRDefault="00181470" w:rsidP="00181470">
      <w:pPr>
        <w:numPr>
          <w:ilvl w:val="0"/>
          <w:numId w:val="1"/>
        </w:numPr>
        <w:ind w:right="720"/>
        <w:jc w:val="both"/>
        <w:rPr>
          <w:rFonts w:ascii="Verdana" w:hAnsi="Verdana"/>
          <w:color w:val="000000"/>
        </w:rPr>
      </w:pPr>
      <w:r w:rsidRPr="00F42595">
        <w:rPr>
          <w:rFonts w:ascii="Verdana" w:hAnsi="Verdana"/>
          <w:color w:val="000000"/>
        </w:rPr>
        <w:t xml:space="preserve">the </w:t>
      </w:r>
      <w:r w:rsidRPr="00F42595">
        <w:rPr>
          <w:rFonts w:ascii="Verdana" w:hAnsi="Verdana"/>
          <w:i/>
          <w:color w:val="000000"/>
        </w:rPr>
        <w:t>Work Health and Safety (Transitional and Consequential Provisions) Act 2011;</w:t>
      </w:r>
    </w:p>
    <w:p w:rsidR="00181470" w:rsidRPr="00F42595" w:rsidRDefault="00181470" w:rsidP="00181470">
      <w:pPr>
        <w:numPr>
          <w:ilvl w:val="0"/>
          <w:numId w:val="1"/>
        </w:numPr>
        <w:ind w:right="720"/>
        <w:jc w:val="both"/>
        <w:rPr>
          <w:rFonts w:ascii="Verdana" w:hAnsi="Verdana"/>
          <w:color w:val="000000"/>
        </w:rPr>
      </w:pPr>
      <w:r w:rsidRPr="00F42595">
        <w:rPr>
          <w:rFonts w:ascii="Verdana" w:hAnsi="Verdana"/>
          <w:color w:val="000000"/>
        </w:rPr>
        <w:t xml:space="preserve">the </w:t>
      </w:r>
      <w:r w:rsidRPr="00F42595">
        <w:rPr>
          <w:rFonts w:ascii="Verdana" w:hAnsi="Verdana"/>
          <w:i/>
          <w:color w:val="000000"/>
        </w:rPr>
        <w:t>Work Health and Safety Regulations 2011</w:t>
      </w:r>
      <w:r w:rsidRPr="00F42595">
        <w:rPr>
          <w:rFonts w:ascii="Verdana" w:hAnsi="Verdana"/>
          <w:color w:val="000000"/>
        </w:rPr>
        <w:t xml:space="preserve"> (‘the WHS Regulations’); and</w:t>
      </w:r>
    </w:p>
    <w:p w:rsidR="00181470" w:rsidRPr="00F42595" w:rsidRDefault="00181470" w:rsidP="00181470">
      <w:pPr>
        <w:numPr>
          <w:ilvl w:val="0"/>
          <w:numId w:val="1"/>
        </w:numPr>
        <w:ind w:right="720"/>
        <w:jc w:val="both"/>
        <w:rPr>
          <w:rFonts w:ascii="Verdana" w:hAnsi="Verdana"/>
          <w:color w:val="000000"/>
        </w:rPr>
      </w:pPr>
      <w:r w:rsidRPr="00F42595">
        <w:rPr>
          <w:rFonts w:ascii="Verdana" w:hAnsi="Verdana"/>
          <w:color w:val="000000"/>
        </w:rPr>
        <w:t xml:space="preserve">the </w:t>
      </w:r>
      <w:r w:rsidRPr="00F42595">
        <w:rPr>
          <w:rFonts w:ascii="Verdana" w:hAnsi="Verdana"/>
          <w:i/>
          <w:color w:val="000000"/>
        </w:rPr>
        <w:t xml:space="preserve">Legislative Instruments Act 2003 </w:t>
      </w:r>
      <w:r w:rsidRPr="00F42595">
        <w:rPr>
          <w:rFonts w:ascii="Verdana" w:hAnsi="Verdana"/>
          <w:color w:val="000000"/>
        </w:rPr>
        <w:t>and the regulations made under that Act.</w:t>
      </w:r>
    </w:p>
    <w:p w:rsidR="00181470" w:rsidRPr="00F42595" w:rsidRDefault="00181470" w:rsidP="00181470">
      <w:pPr>
        <w:spacing w:before="120"/>
        <w:jc w:val="both"/>
        <w:rPr>
          <w:rFonts w:ascii="Verdana" w:hAnsi="Verdana"/>
          <w:color w:val="000000"/>
        </w:rPr>
      </w:pPr>
      <w:r w:rsidRPr="00F42595">
        <w:rPr>
          <w:rFonts w:ascii="Verdana" w:hAnsi="Verdana"/>
          <w:color w:val="000000"/>
        </w:rPr>
        <w:t>These Codes of Practice:</w:t>
      </w:r>
    </w:p>
    <w:p w:rsidR="00181470" w:rsidRPr="00F42595" w:rsidRDefault="00181470" w:rsidP="00181470">
      <w:pPr>
        <w:numPr>
          <w:ilvl w:val="0"/>
          <w:numId w:val="2"/>
        </w:numPr>
        <w:ind w:right="720"/>
        <w:jc w:val="both"/>
        <w:rPr>
          <w:rFonts w:ascii="Verdana" w:hAnsi="Verdana"/>
          <w:color w:val="000000"/>
        </w:rPr>
      </w:pPr>
      <w:r w:rsidRPr="00F42595">
        <w:rPr>
          <w:rFonts w:ascii="Verdana" w:hAnsi="Verdana"/>
          <w:color w:val="000000"/>
        </w:rPr>
        <w:t>are to be read and construed with the WHS Act and the WHS regulations;</w:t>
      </w:r>
    </w:p>
    <w:p w:rsidR="00181470" w:rsidRPr="00F42595" w:rsidRDefault="00181470" w:rsidP="00181470">
      <w:pPr>
        <w:numPr>
          <w:ilvl w:val="0"/>
          <w:numId w:val="2"/>
        </w:numPr>
        <w:ind w:right="720"/>
        <w:jc w:val="both"/>
        <w:rPr>
          <w:rFonts w:ascii="Verdana" w:hAnsi="Verdana"/>
          <w:color w:val="000000"/>
        </w:rPr>
      </w:pPr>
      <w:r w:rsidRPr="00F42595">
        <w:rPr>
          <w:rFonts w:ascii="Verdana" w:hAnsi="Verdana"/>
          <w:color w:val="000000"/>
        </w:rPr>
        <w:t>provide guidance on meeting obligations under the WHS Act and Regulations;</w:t>
      </w:r>
    </w:p>
    <w:p w:rsidR="00181470" w:rsidRPr="00F42595" w:rsidRDefault="00181470" w:rsidP="00181470">
      <w:pPr>
        <w:numPr>
          <w:ilvl w:val="0"/>
          <w:numId w:val="2"/>
        </w:numPr>
        <w:ind w:right="720"/>
        <w:jc w:val="both"/>
        <w:rPr>
          <w:rFonts w:ascii="Verdana" w:hAnsi="Verdana"/>
          <w:color w:val="000000"/>
        </w:rPr>
      </w:pPr>
      <w:r w:rsidRPr="00F42595">
        <w:rPr>
          <w:rFonts w:ascii="Verdana" w:hAnsi="Verdana"/>
          <w:color w:val="000000"/>
        </w:rPr>
        <w:t>are admissible in proceedings under the WHS Act and Regulations as evidence of what is known about a hazard, risk or control and what is reasonably practicable.</w:t>
      </w:r>
    </w:p>
    <w:p w:rsidR="00181470" w:rsidRPr="00F42595" w:rsidRDefault="00181470" w:rsidP="00181470">
      <w:pPr>
        <w:spacing w:before="120"/>
        <w:jc w:val="both"/>
        <w:rPr>
          <w:rFonts w:ascii="Verdana" w:hAnsi="Verdana"/>
          <w:color w:val="000000"/>
        </w:rPr>
      </w:pPr>
      <w:r w:rsidRPr="00F42595">
        <w:rPr>
          <w:rFonts w:ascii="Verdana" w:hAnsi="Verdana"/>
          <w:color w:val="000000"/>
        </w:rPr>
        <w:t>A reference in these Codes of Practice to these Codes of Practice includes a reference to:</w:t>
      </w:r>
    </w:p>
    <w:p w:rsidR="00181470" w:rsidRPr="00F42595" w:rsidRDefault="00181470" w:rsidP="00181470">
      <w:pPr>
        <w:numPr>
          <w:ilvl w:val="0"/>
          <w:numId w:val="3"/>
        </w:numPr>
        <w:ind w:right="720"/>
        <w:jc w:val="both"/>
        <w:rPr>
          <w:rFonts w:ascii="Verdana" w:hAnsi="Verdana"/>
          <w:color w:val="000000"/>
        </w:rPr>
      </w:pPr>
      <w:r w:rsidRPr="00F42595">
        <w:rPr>
          <w:rFonts w:ascii="Verdana" w:hAnsi="Verdana"/>
          <w:color w:val="000000"/>
        </w:rPr>
        <w:t>the instrument of approval;</w:t>
      </w:r>
    </w:p>
    <w:p w:rsidR="00181470" w:rsidRPr="00F42595" w:rsidRDefault="00181470" w:rsidP="00181470">
      <w:pPr>
        <w:numPr>
          <w:ilvl w:val="0"/>
          <w:numId w:val="3"/>
        </w:numPr>
        <w:ind w:right="720"/>
        <w:jc w:val="both"/>
        <w:rPr>
          <w:rFonts w:ascii="Verdana" w:hAnsi="Verdana"/>
          <w:color w:val="000000"/>
        </w:rPr>
      </w:pPr>
      <w:r w:rsidRPr="00F42595">
        <w:rPr>
          <w:rFonts w:ascii="Verdana" w:hAnsi="Verdana"/>
          <w:color w:val="000000"/>
        </w:rPr>
        <w:t>the preliminary provisions;</w:t>
      </w:r>
    </w:p>
    <w:p w:rsidR="00181470" w:rsidRPr="00F42595" w:rsidRDefault="00824CFC" w:rsidP="00181470">
      <w:pPr>
        <w:numPr>
          <w:ilvl w:val="0"/>
          <w:numId w:val="3"/>
        </w:numPr>
        <w:ind w:right="720"/>
        <w:jc w:val="both"/>
        <w:rPr>
          <w:rFonts w:ascii="Verdana" w:hAnsi="Verdana"/>
          <w:color w:val="000000"/>
        </w:rPr>
      </w:pPr>
      <w:r w:rsidRPr="00F42595">
        <w:rPr>
          <w:rFonts w:ascii="Verdana" w:hAnsi="Verdana"/>
          <w:color w:val="000000"/>
        </w:rPr>
        <w:t>this i</w:t>
      </w:r>
      <w:r w:rsidR="00181470" w:rsidRPr="00F42595">
        <w:rPr>
          <w:rFonts w:ascii="Verdana" w:hAnsi="Verdana"/>
          <w:color w:val="000000"/>
        </w:rPr>
        <w:t xml:space="preserve">ntroduction; </w:t>
      </w:r>
    </w:p>
    <w:p w:rsidR="00181470" w:rsidRPr="00F42595" w:rsidRDefault="00181470" w:rsidP="00181470">
      <w:pPr>
        <w:numPr>
          <w:ilvl w:val="0"/>
          <w:numId w:val="3"/>
        </w:numPr>
        <w:ind w:right="720"/>
        <w:jc w:val="both"/>
        <w:rPr>
          <w:rFonts w:ascii="Verdana" w:hAnsi="Verdana"/>
          <w:color w:val="000000"/>
        </w:rPr>
      </w:pPr>
      <w:r w:rsidRPr="00F42595">
        <w:rPr>
          <w:rFonts w:ascii="Verdana" w:hAnsi="Verdana"/>
          <w:color w:val="000000"/>
        </w:rPr>
        <w:t>each Code of Practice;</w:t>
      </w:r>
    </w:p>
    <w:p w:rsidR="00181470" w:rsidRPr="00F42595" w:rsidRDefault="00181470" w:rsidP="00181470">
      <w:pPr>
        <w:numPr>
          <w:ilvl w:val="0"/>
          <w:numId w:val="3"/>
        </w:numPr>
        <w:ind w:right="720"/>
        <w:jc w:val="both"/>
        <w:rPr>
          <w:rFonts w:ascii="Verdana" w:hAnsi="Verdana"/>
          <w:color w:val="000000"/>
        </w:rPr>
      </w:pPr>
      <w:r w:rsidRPr="00F42595">
        <w:rPr>
          <w:rFonts w:ascii="Verdana" w:hAnsi="Verdana"/>
          <w:color w:val="000000"/>
        </w:rPr>
        <w:t>each document adopted or applied by, or incorporated by reference (with or without modification) into, any of these Codes of Practice;</w:t>
      </w:r>
    </w:p>
    <w:p w:rsidR="00181470" w:rsidRPr="00F42595" w:rsidRDefault="00181470" w:rsidP="00181470">
      <w:pPr>
        <w:numPr>
          <w:ilvl w:val="0"/>
          <w:numId w:val="3"/>
        </w:numPr>
        <w:ind w:right="720"/>
        <w:jc w:val="both"/>
        <w:rPr>
          <w:rFonts w:ascii="Verdana" w:hAnsi="Verdana"/>
          <w:color w:val="000000"/>
        </w:rPr>
      </w:pPr>
      <w:r w:rsidRPr="00F42595">
        <w:rPr>
          <w:rFonts w:ascii="Verdana" w:hAnsi="Verdana"/>
          <w:color w:val="000000"/>
        </w:rPr>
        <w:t xml:space="preserve">the Parts of the </w:t>
      </w:r>
      <w:r w:rsidRPr="00F42595">
        <w:rPr>
          <w:rFonts w:ascii="Verdana" w:hAnsi="Verdana"/>
          <w:i/>
          <w:color w:val="000000"/>
        </w:rPr>
        <w:t>Occupational Health and Safety Code of Practice 2008</w:t>
      </w:r>
      <w:r w:rsidRPr="00F42595">
        <w:rPr>
          <w:rFonts w:ascii="Verdana" w:hAnsi="Verdana"/>
          <w:color w:val="000000"/>
        </w:rPr>
        <w:t xml:space="preserve"> prescribed by regulation 761 of the WHS Regulations for the purposes of sub item 23 of Schedule 2 to the </w:t>
      </w:r>
      <w:r w:rsidRPr="00F42595">
        <w:rPr>
          <w:rFonts w:ascii="Verdana" w:hAnsi="Verdana"/>
          <w:i/>
          <w:color w:val="000000"/>
        </w:rPr>
        <w:t>Work Health and Safety (Transitional and Consequential Provisions) Act 2011</w:t>
      </w:r>
      <w:r w:rsidR="00824CFC" w:rsidRPr="00F42595">
        <w:rPr>
          <w:rFonts w:ascii="Verdana" w:hAnsi="Verdana"/>
          <w:i/>
          <w:color w:val="000000"/>
        </w:rPr>
        <w:t xml:space="preserve"> </w:t>
      </w:r>
      <w:r w:rsidR="00824CFC" w:rsidRPr="00F42595">
        <w:rPr>
          <w:rFonts w:ascii="Verdana" w:hAnsi="Verdana"/>
          <w:color w:val="000000"/>
        </w:rPr>
        <w:t>which have not been repealed by this instrument</w:t>
      </w:r>
      <w:r w:rsidRPr="00F42595">
        <w:rPr>
          <w:rFonts w:ascii="Verdana" w:hAnsi="Verdana"/>
          <w:color w:val="000000"/>
        </w:rPr>
        <w:t>; and</w:t>
      </w:r>
    </w:p>
    <w:p w:rsidR="00181470" w:rsidRPr="00F42595" w:rsidRDefault="00181470" w:rsidP="00181470">
      <w:pPr>
        <w:numPr>
          <w:ilvl w:val="0"/>
          <w:numId w:val="3"/>
        </w:numPr>
        <w:ind w:right="720"/>
        <w:jc w:val="both"/>
        <w:rPr>
          <w:rFonts w:ascii="Verdana" w:hAnsi="Verdana"/>
          <w:color w:val="000000"/>
        </w:rPr>
      </w:pPr>
      <w:r w:rsidRPr="00F42595">
        <w:rPr>
          <w:rFonts w:ascii="Verdana" w:hAnsi="Verdana"/>
          <w:color w:val="000000"/>
        </w:rPr>
        <w:t>all headings and notes.</w:t>
      </w:r>
    </w:p>
    <w:p w:rsidR="00181470" w:rsidRPr="00F42595" w:rsidRDefault="00181470" w:rsidP="00181470">
      <w:pPr>
        <w:jc w:val="both"/>
        <w:rPr>
          <w:rFonts w:ascii="Verdana" w:hAnsi="Verdana"/>
          <w:sz w:val="16"/>
          <w:szCs w:val="16"/>
        </w:rPr>
      </w:pPr>
    </w:p>
    <w:p w:rsidR="00181470" w:rsidRPr="00F42595" w:rsidRDefault="00181470" w:rsidP="00181470">
      <w:pPr>
        <w:spacing w:before="120"/>
        <w:jc w:val="both"/>
        <w:rPr>
          <w:rFonts w:ascii="Verdana" w:hAnsi="Verdana"/>
          <w:color w:val="000000"/>
        </w:rPr>
      </w:pPr>
      <w:r w:rsidRPr="00F42595">
        <w:rPr>
          <w:rFonts w:ascii="Verdana" w:hAnsi="Verdana"/>
          <w:color w:val="000000"/>
        </w:rPr>
        <w:br w:type="page"/>
      </w:r>
      <w:r w:rsidRPr="00F42595">
        <w:rPr>
          <w:rFonts w:ascii="Verdana" w:hAnsi="Verdana"/>
          <w:color w:val="000000"/>
        </w:rPr>
        <w:lastRenderedPageBreak/>
        <w:t xml:space="preserve">In accordance with the </w:t>
      </w:r>
      <w:r w:rsidRPr="00F42595">
        <w:rPr>
          <w:rFonts w:ascii="Verdana" w:hAnsi="Verdana"/>
          <w:i/>
          <w:color w:val="000000"/>
        </w:rPr>
        <w:t>Legislative Instruments Act 2003</w:t>
      </w:r>
      <w:r w:rsidRPr="00F42595">
        <w:rPr>
          <w:rFonts w:ascii="Verdana" w:hAnsi="Verdana"/>
          <w:color w:val="000000"/>
        </w:rPr>
        <w:t>, these Codes of Practice (including this Introduction and any documents adopted, applied or incorporated by reference to these Codes of Practice) are to be read and construed as if these Codes of Practice were an Act and each provision of these Codes of Practice were a provision of an Act.</w:t>
      </w:r>
    </w:p>
    <w:p w:rsidR="00181470" w:rsidRPr="00F42595" w:rsidRDefault="00181470" w:rsidP="00181470">
      <w:pPr>
        <w:spacing w:before="120"/>
        <w:jc w:val="both"/>
        <w:rPr>
          <w:rFonts w:ascii="Verdana" w:hAnsi="Verdana"/>
        </w:rPr>
      </w:pPr>
      <w:r w:rsidRPr="00F42595">
        <w:rPr>
          <w:rFonts w:ascii="Verdana" w:hAnsi="Verdana"/>
        </w:rPr>
        <w:t>Copies of these Codes of Practice are available for inspection, free of charge, by members of the public, at any Comcare office during normal business hours.</w:t>
      </w:r>
    </w:p>
    <w:p w:rsidR="00181470" w:rsidRPr="00F42595" w:rsidRDefault="00181470" w:rsidP="00181470">
      <w:pPr>
        <w:jc w:val="both"/>
        <w:rPr>
          <w:rFonts w:ascii="Verdana" w:hAnsi="Verdana"/>
          <w:sz w:val="16"/>
          <w:szCs w:val="16"/>
        </w:rPr>
      </w:pPr>
    </w:p>
    <w:p w:rsidR="00181470" w:rsidRPr="00F42595" w:rsidRDefault="00181470" w:rsidP="00181470">
      <w:pPr>
        <w:ind w:left="1440" w:right="972" w:hanging="720"/>
        <w:jc w:val="both"/>
        <w:rPr>
          <w:b/>
          <w:color w:val="333333"/>
          <w:sz w:val="20"/>
          <w:szCs w:val="20"/>
        </w:rPr>
      </w:pPr>
      <w:r w:rsidRPr="00F42595">
        <w:rPr>
          <w:b/>
          <w:color w:val="333333"/>
          <w:sz w:val="20"/>
          <w:szCs w:val="20"/>
        </w:rPr>
        <w:t>NOTES:</w:t>
      </w:r>
      <w:r w:rsidRPr="00F42595">
        <w:rPr>
          <w:b/>
          <w:color w:val="333333"/>
          <w:sz w:val="20"/>
          <w:szCs w:val="20"/>
        </w:rPr>
        <w:tab/>
      </w:r>
    </w:p>
    <w:p w:rsidR="00181470" w:rsidRPr="00F42595" w:rsidRDefault="00181470" w:rsidP="00181470">
      <w:pPr>
        <w:ind w:left="1440" w:right="972" w:hanging="720"/>
        <w:jc w:val="both"/>
        <w:rPr>
          <w:color w:val="333333"/>
          <w:sz w:val="20"/>
          <w:szCs w:val="20"/>
        </w:rPr>
      </w:pPr>
      <w:r w:rsidRPr="00F42595">
        <w:rPr>
          <w:color w:val="333333"/>
          <w:sz w:val="20"/>
          <w:szCs w:val="20"/>
        </w:rPr>
        <w:t>1.</w:t>
      </w:r>
      <w:r w:rsidRPr="00F42595">
        <w:rPr>
          <w:color w:val="333333"/>
          <w:sz w:val="20"/>
          <w:szCs w:val="20"/>
        </w:rPr>
        <w:tab/>
        <w:t xml:space="preserve">Comcare offices are listed on </w:t>
      </w:r>
      <w:hyperlink r:id="rId7" w:history="1">
        <w:r w:rsidRPr="00F42595">
          <w:rPr>
            <w:rStyle w:val="Hyperlink"/>
            <w:color w:val="333333"/>
            <w:sz w:val="20"/>
            <w:szCs w:val="20"/>
          </w:rPr>
          <w:t>www.comcare.gov.au</w:t>
        </w:r>
      </w:hyperlink>
      <w:r w:rsidRPr="00F42595">
        <w:rPr>
          <w:color w:val="333333"/>
          <w:sz w:val="20"/>
          <w:szCs w:val="20"/>
        </w:rPr>
        <w:t xml:space="preserve"> .</w:t>
      </w:r>
    </w:p>
    <w:p w:rsidR="00181470" w:rsidRPr="006647CC" w:rsidRDefault="00181470" w:rsidP="00181470">
      <w:pPr>
        <w:ind w:left="1440" w:right="972" w:hanging="720"/>
        <w:jc w:val="both"/>
        <w:rPr>
          <w:color w:val="333333"/>
          <w:sz w:val="20"/>
          <w:szCs w:val="20"/>
        </w:rPr>
      </w:pPr>
      <w:r w:rsidRPr="00F42595">
        <w:rPr>
          <w:color w:val="333333"/>
          <w:sz w:val="20"/>
          <w:szCs w:val="20"/>
        </w:rPr>
        <w:t>2.</w:t>
      </w:r>
      <w:r w:rsidRPr="00F42595">
        <w:rPr>
          <w:color w:val="333333"/>
          <w:sz w:val="20"/>
          <w:szCs w:val="20"/>
        </w:rPr>
        <w:tab/>
        <w:t xml:space="preserve">Copies of these Codes of Practice may be accessed online at </w:t>
      </w:r>
      <w:hyperlink r:id="rId8" w:history="1">
        <w:r w:rsidRPr="00F42595">
          <w:rPr>
            <w:rStyle w:val="Hyperlink"/>
            <w:color w:val="333333"/>
            <w:sz w:val="20"/>
            <w:szCs w:val="20"/>
          </w:rPr>
          <w:t>www.comcare.gov.au</w:t>
        </w:r>
      </w:hyperlink>
      <w:r w:rsidRPr="00F42595">
        <w:rPr>
          <w:color w:val="333333"/>
          <w:sz w:val="20"/>
          <w:szCs w:val="20"/>
        </w:rPr>
        <w:t xml:space="preserve"> and </w:t>
      </w:r>
      <w:hyperlink r:id="rId9" w:history="1">
        <w:r w:rsidRPr="00F42595">
          <w:rPr>
            <w:rStyle w:val="Hyperlink"/>
            <w:color w:val="333333"/>
            <w:sz w:val="20"/>
            <w:szCs w:val="20"/>
          </w:rPr>
          <w:t>www.comlaw.gov.au</w:t>
        </w:r>
      </w:hyperlink>
      <w:r w:rsidRPr="00F42595">
        <w:rPr>
          <w:color w:val="333333"/>
          <w:sz w:val="20"/>
          <w:szCs w:val="20"/>
        </w:rPr>
        <w:t xml:space="preserve"> .</w:t>
      </w:r>
    </w:p>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p w:rsidR="00EE38DF" w:rsidRDefault="00EE38DF"/>
    <w:sectPr w:rsidR="00EE38DF" w:rsidSect="001814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74694"/>
    <w:multiLevelType w:val="multilevel"/>
    <w:tmpl w:val="D9EE085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nsid w:val="174D1BB9"/>
    <w:multiLevelType w:val="hybridMultilevel"/>
    <w:tmpl w:val="79F8AF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9906E1D"/>
    <w:multiLevelType w:val="hybridMultilevel"/>
    <w:tmpl w:val="23BADEE8"/>
    <w:lvl w:ilvl="0" w:tplc="0000695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20B34DF"/>
    <w:multiLevelType w:val="hybridMultilevel"/>
    <w:tmpl w:val="55DE9C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395513F"/>
    <w:multiLevelType w:val="hybridMultilevel"/>
    <w:tmpl w:val="3C4A424E"/>
    <w:lvl w:ilvl="0" w:tplc="0C090001">
      <w:start w:val="1"/>
      <w:numFmt w:val="bullet"/>
      <w:lvlText w:val=""/>
      <w:lvlJc w:val="left"/>
      <w:pPr>
        <w:tabs>
          <w:tab w:val="num" w:pos="792"/>
        </w:tabs>
        <w:ind w:left="792" w:hanging="360"/>
      </w:pPr>
      <w:rPr>
        <w:rFonts w:ascii="Symbol" w:hAnsi="Symbol" w:hint="default"/>
      </w:rPr>
    </w:lvl>
    <w:lvl w:ilvl="1" w:tplc="0C090003">
      <w:start w:val="1"/>
      <w:numFmt w:val="bullet"/>
      <w:lvlText w:val="o"/>
      <w:lvlJc w:val="left"/>
      <w:pPr>
        <w:tabs>
          <w:tab w:val="num" w:pos="1512"/>
        </w:tabs>
        <w:ind w:left="1512" w:hanging="360"/>
      </w:pPr>
      <w:rPr>
        <w:rFonts w:ascii="Courier New" w:hAnsi="Courier New" w:cs="Courier New" w:hint="default"/>
      </w:rPr>
    </w:lvl>
    <w:lvl w:ilvl="2" w:tplc="0C09001B" w:tentative="1">
      <w:start w:val="1"/>
      <w:numFmt w:val="bullet"/>
      <w:lvlText w:val=""/>
      <w:lvlJc w:val="left"/>
      <w:pPr>
        <w:tabs>
          <w:tab w:val="num" w:pos="2232"/>
        </w:tabs>
        <w:ind w:left="2232" w:hanging="360"/>
      </w:pPr>
      <w:rPr>
        <w:rFonts w:ascii="Wingdings" w:hAnsi="Wingdings" w:hint="default"/>
      </w:rPr>
    </w:lvl>
    <w:lvl w:ilvl="3" w:tplc="0C09000F" w:tentative="1">
      <w:start w:val="1"/>
      <w:numFmt w:val="bullet"/>
      <w:lvlText w:val=""/>
      <w:lvlJc w:val="left"/>
      <w:pPr>
        <w:tabs>
          <w:tab w:val="num" w:pos="2952"/>
        </w:tabs>
        <w:ind w:left="2952" w:hanging="360"/>
      </w:pPr>
      <w:rPr>
        <w:rFonts w:ascii="Symbol" w:hAnsi="Symbol" w:hint="default"/>
      </w:rPr>
    </w:lvl>
    <w:lvl w:ilvl="4" w:tplc="0C090019" w:tentative="1">
      <w:start w:val="1"/>
      <w:numFmt w:val="bullet"/>
      <w:lvlText w:val="o"/>
      <w:lvlJc w:val="left"/>
      <w:pPr>
        <w:tabs>
          <w:tab w:val="num" w:pos="3672"/>
        </w:tabs>
        <w:ind w:left="3672" w:hanging="360"/>
      </w:pPr>
      <w:rPr>
        <w:rFonts w:ascii="Courier New" w:hAnsi="Courier New" w:cs="Courier New" w:hint="default"/>
      </w:rPr>
    </w:lvl>
    <w:lvl w:ilvl="5" w:tplc="0C09001B" w:tentative="1">
      <w:start w:val="1"/>
      <w:numFmt w:val="bullet"/>
      <w:lvlText w:val=""/>
      <w:lvlJc w:val="left"/>
      <w:pPr>
        <w:tabs>
          <w:tab w:val="num" w:pos="4392"/>
        </w:tabs>
        <w:ind w:left="4392" w:hanging="360"/>
      </w:pPr>
      <w:rPr>
        <w:rFonts w:ascii="Wingdings" w:hAnsi="Wingdings" w:hint="default"/>
      </w:rPr>
    </w:lvl>
    <w:lvl w:ilvl="6" w:tplc="0C09000F" w:tentative="1">
      <w:start w:val="1"/>
      <w:numFmt w:val="bullet"/>
      <w:lvlText w:val=""/>
      <w:lvlJc w:val="left"/>
      <w:pPr>
        <w:tabs>
          <w:tab w:val="num" w:pos="5112"/>
        </w:tabs>
        <w:ind w:left="5112" w:hanging="360"/>
      </w:pPr>
      <w:rPr>
        <w:rFonts w:ascii="Symbol" w:hAnsi="Symbol" w:hint="default"/>
      </w:rPr>
    </w:lvl>
    <w:lvl w:ilvl="7" w:tplc="0C090019" w:tentative="1">
      <w:start w:val="1"/>
      <w:numFmt w:val="bullet"/>
      <w:lvlText w:val="o"/>
      <w:lvlJc w:val="left"/>
      <w:pPr>
        <w:tabs>
          <w:tab w:val="num" w:pos="5832"/>
        </w:tabs>
        <w:ind w:left="5832" w:hanging="360"/>
      </w:pPr>
      <w:rPr>
        <w:rFonts w:ascii="Courier New" w:hAnsi="Courier New" w:cs="Courier New" w:hint="default"/>
      </w:rPr>
    </w:lvl>
    <w:lvl w:ilvl="8" w:tplc="0C09001B" w:tentative="1">
      <w:start w:val="1"/>
      <w:numFmt w:val="bullet"/>
      <w:lvlText w:val=""/>
      <w:lvlJc w:val="left"/>
      <w:pPr>
        <w:tabs>
          <w:tab w:val="num" w:pos="6552"/>
        </w:tabs>
        <w:ind w:left="6552"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70"/>
    <w:rsid w:val="00060E95"/>
    <w:rsid w:val="00065428"/>
    <w:rsid w:val="00181470"/>
    <w:rsid w:val="001D7DB5"/>
    <w:rsid w:val="00201849"/>
    <w:rsid w:val="0027117D"/>
    <w:rsid w:val="002C1D49"/>
    <w:rsid w:val="00312C9B"/>
    <w:rsid w:val="00317125"/>
    <w:rsid w:val="003400F7"/>
    <w:rsid w:val="003C57B1"/>
    <w:rsid w:val="003C7777"/>
    <w:rsid w:val="003D6B49"/>
    <w:rsid w:val="003E1D77"/>
    <w:rsid w:val="004116D7"/>
    <w:rsid w:val="00425CED"/>
    <w:rsid w:val="004759DC"/>
    <w:rsid w:val="004B1D1C"/>
    <w:rsid w:val="004C4D9E"/>
    <w:rsid w:val="005767BE"/>
    <w:rsid w:val="005A378A"/>
    <w:rsid w:val="00645C25"/>
    <w:rsid w:val="00652F49"/>
    <w:rsid w:val="00687DF1"/>
    <w:rsid w:val="00696596"/>
    <w:rsid w:val="007646FA"/>
    <w:rsid w:val="007A664C"/>
    <w:rsid w:val="007E5D06"/>
    <w:rsid w:val="00824CFC"/>
    <w:rsid w:val="00880CC3"/>
    <w:rsid w:val="008F7331"/>
    <w:rsid w:val="009362DF"/>
    <w:rsid w:val="00951C5A"/>
    <w:rsid w:val="00973813"/>
    <w:rsid w:val="00AC218B"/>
    <w:rsid w:val="00B32C7A"/>
    <w:rsid w:val="00B50670"/>
    <w:rsid w:val="00CC27FD"/>
    <w:rsid w:val="00CD05F5"/>
    <w:rsid w:val="00CF7C39"/>
    <w:rsid w:val="00DC2AD1"/>
    <w:rsid w:val="00ED4C32"/>
    <w:rsid w:val="00EE38DF"/>
    <w:rsid w:val="00F36EBD"/>
    <w:rsid w:val="00F42595"/>
    <w:rsid w:val="00FD2F7A"/>
    <w:rsid w:val="00FF6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470"/>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1470"/>
    <w:rPr>
      <w:color w:val="0000FF"/>
      <w:u w:val="single"/>
    </w:rPr>
  </w:style>
  <w:style w:type="table" w:styleId="TableGrid">
    <w:name w:val="Table Grid"/>
    <w:basedOn w:val="TableNormal"/>
    <w:rsid w:val="00181470"/>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3813"/>
    <w:pPr>
      <w:ind w:left="720"/>
      <w:contextualSpacing/>
    </w:pPr>
  </w:style>
  <w:style w:type="paragraph" w:styleId="BalloonText">
    <w:name w:val="Balloon Text"/>
    <w:basedOn w:val="Normal"/>
    <w:link w:val="BalloonTextChar"/>
    <w:uiPriority w:val="99"/>
    <w:semiHidden/>
    <w:unhideWhenUsed/>
    <w:rsid w:val="00CD05F5"/>
    <w:rPr>
      <w:rFonts w:ascii="Tahoma" w:hAnsi="Tahoma" w:cs="Tahoma"/>
      <w:sz w:val="16"/>
      <w:szCs w:val="16"/>
    </w:rPr>
  </w:style>
  <w:style w:type="character" w:customStyle="1" w:styleId="BalloonTextChar">
    <w:name w:val="Balloon Text Char"/>
    <w:basedOn w:val="DefaultParagraphFont"/>
    <w:link w:val="BalloonText"/>
    <w:uiPriority w:val="99"/>
    <w:semiHidden/>
    <w:rsid w:val="00CD05F5"/>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470"/>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1470"/>
    <w:rPr>
      <w:color w:val="0000FF"/>
      <w:u w:val="single"/>
    </w:rPr>
  </w:style>
  <w:style w:type="table" w:styleId="TableGrid">
    <w:name w:val="Table Grid"/>
    <w:basedOn w:val="TableNormal"/>
    <w:rsid w:val="00181470"/>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3813"/>
    <w:pPr>
      <w:ind w:left="720"/>
      <w:contextualSpacing/>
    </w:pPr>
  </w:style>
  <w:style w:type="paragraph" w:styleId="BalloonText">
    <w:name w:val="Balloon Text"/>
    <w:basedOn w:val="Normal"/>
    <w:link w:val="BalloonTextChar"/>
    <w:uiPriority w:val="99"/>
    <w:semiHidden/>
    <w:unhideWhenUsed/>
    <w:rsid w:val="00CD05F5"/>
    <w:rPr>
      <w:rFonts w:ascii="Tahoma" w:hAnsi="Tahoma" w:cs="Tahoma"/>
      <w:sz w:val="16"/>
      <w:szCs w:val="16"/>
    </w:rPr>
  </w:style>
  <w:style w:type="character" w:customStyle="1" w:styleId="BalloonTextChar">
    <w:name w:val="Balloon Text Char"/>
    <w:basedOn w:val="DefaultParagraphFont"/>
    <w:link w:val="BalloonText"/>
    <w:uiPriority w:val="99"/>
    <w:semiHidden/>
    <w:rsid w:val="00CD05F5"/>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6564">
      <w:bodyDiv w:val="1"/>
      <w:marLeft w:val="0"/>
      <w:marRight w:val="0"/>
      <w:marTop w:val="0"/>
      <w:marBottom w:val="0"/>
      <w:divBdr>
        <w:top w:val="none" w:sz="0" w:space="0" w:color="auto"/>
        <w:left w:val="none" w:sz="0" w:space="0" w:color="auto"/>
        <w:bottom w:val="none" w:sz="0" w:space="0" w:color="auto"/>
        <w:right w:val="none" w:sz="0" w:space="0" w:color="auto"/>
      </w:divBdr>
      <w:divsChild>
        <w:div w:id="372847877">
          <w:marLeft w:val="0"/>
          <w:marRight w:val="0"/>
          <w:marTop w:val="0"/>
          <w:marBottom w:val="0"/>
          <w:divBdr>
            <w:top w:val="none" w:sz="0" w:space="0" w:color="auto"/>
            <w:left w:val="none" w:sz="0" w:space="0" w:color="auto"/>
            <w:bottom w:val="none" w:sz="0" w:space="0" w:color="auto"/>
            <w:right w:val="none" w:sz="0" w:space="0" w:color="auto"/>
          </w:divBdr>
          <w:divsChild>
            <w:div w:id="1790969440">
              <w:marLeft w:val="0"/>
              <w:marRight w:val="0"/>
              <w:marTop w:val="0"/>
              <w:marBottom w:val="0"/>
              <w:divBdr>
                <w:top w:val="none" w:sz="0" w:space="0" w:color="auto"/>
                <w:left w:val="none" w:sz="0" w:space="0" w:color="auto"/>
                <w:bottom w:val="none" w:sz="0" w:space="0" w:color="auto"/>
                <w:right w:val="none" w:sz="0" w:space="0" w:color="auto"/>
              </w:divBdr>
              <w:divsChild>
                <w:div w:id="1042054956">
                  <w:marLeft w:val="0"/>
                  <w:marRight w:val="0"/>
                  <w:marTop w:val="0"/>
                  <w:marBottom w:val="0"/>
                  <w:divBdr>
                    <w:top w:val="none" w:sz="0" w:space="0" w:color="auto"/>
                    <w:left w:val="none" w:sz="0" w:space="0" w:color="auto"/>
                    <w:bottom w:val="none" w:sz="0" w:space="0" w:color="auto"/>
                    <w:right w:val="none" w:sz="0" w:space="0" w:color="auto"/>
                  </w:divBdr>
                  <w:divsChild>
                    <w:div w:id="1715274060">
                      <w:marLeft w:val="0"/>
                      <w:marRight w:val="0"/>
                      <w:marTop w:val="0"/>
                      <w:marBottom w:val="0"/>
                      <w:divBdr>
                        <w:top w:val="none" w:sz="0" w:space="0" w:color="auto"/>
                        <w:left w:val="none" w:sz="0" w:space="0" w:color="auto"/>
                        <w:bottom w:val="none" w:sz="0" w:space="0" w:color="auto"/>
                        <w:right w:val="none" w:sz="0" w:space="0" w:color="auto"/>
                      </w:divBdr>
                      <w:divsChild>
                        <w:div w:id="243997397">
                          <w:marLeft w:val="0"/>
                          <w:marRight w:val="0"/>
                          <w:marTop w:val="0"/>
                          <w:marBottom w:val="0"/>
                          <w:divBdr>
                            <w:top w:val="single" w:sz="6" w:space="0" w:color="828282"/>
                            <w:left w:val="single" w:sz="6" w:space="0" w:color="828282"/>
                            <w:bottom w:val="single" w:sz="6" w:space="0" w:color="828282"/>
                            <w:right w:val="single" w:sz="6" w:space="0" w:color="828282"/>
                          </w:divBdr>
                          <w:divsChild>
                            <w:div w:id="1142039118">
                              <w:marLeft w:val="0"/>
                              <w:marRight w:val="0"/>
                              <w:marTop w:val="0"/>
                              <w:marBottom w:val="0"/>
                              <w:divBdr>
                                <w:top w:val="none" w:sz="0" w:space="0" w:color="auto"/>
                                <w:left w:val="none" w:sz="0" w:space="0" w:color="auto"/>
                                <w:bottom w:val="none" w:sz="0" w:space="0" w:color="auto"/>
                                <w:right w:val="none" w:sz="0" w:space="0" w:color="auto"/>
                              </w:divBdr>
                              <w:divsChild>
                                <w:div w:id="523981728">
                                  <w:marLeft w:val="0"/>
                                  <w:marRight w:val="0"/>
                                  <w:marTop w:val="0"/>
                                  <w:marBottom w:val="0"/>
                                  <w:divBdr>
                                    <w:top w:val="none" w:sz="0" w:space="0" w:color="auto"/>
                                    <w:left w:val="none" w:sz="0" w:space="0" w:color="auto"/>
                                    <w:bottom w:val="none" w:sz="0" w:space="0" w:color="auto"/>
                                    <w:right w:val="none" w:sz="0" w:space="0" w:color="auto"/>
                                  </w:divBdr>
                                  <w:divsChild>
                                    <w:div w:id="1276790168">
                                      <w:marLeft w:val="0"/>
                                      <w:marRight w:val="0"/>
                                      <w:marTop w:val="0"/>
                                      <w:marBottom w:val="0"/>
                                      <w:divBdr>
                                        <w:top w:val="none" w:sz="0" w:space="0" w:color="auto"/>
                                        <w:left w:val="none" w:sz="0" w:space="0" w:color="auto"/>
                                        <w:bottom w:val="none" w:sz="0" w:space="0" w:color="auto"/>
                                        <w:right w:val="none" w:sz="0" w:space="0" w:color="auto"/>
                                      </w:divBdr>
                                      <w:divsChild>
                                        <w:div w:id="546064214">
                                          <w:marLeft w:val="0"/>
                                          <w:marRight w:val="0"/>
                                          <w:marTop w:val="0"/>
                                          <w:marBottom w:val="0"/>
                                          <w:divBdr>
                                            <w:top w:val="none" w:sz="0" w:space="0" w:color="auto"/>
                                            <w:left w:val="none" w:sz="0" w:space="0" w:color="auto"/>
                                            <w:bottom w:val="none" w:sz="0" w:space="0" w:color="auto"/>
                                            <w:right w:val="none" w:sz="0" w:space="0" w:color="auto"/>
                                          </w:divBdr>
                                          <w:divsChild>
                                            <w:div w:id="733698592">
                                              <w:marLeft w:val="0"/>
                                              <w:marRight w:val="0"/>
                                              <w:marTop w:val="0"/>
                                              <w:marBottom w:val="0"/>
                                              <w:divBdr>
                                                <w:top w:val="none" w:sz="0" w:space="0" w:color="auto"/>
                                                <w:left w:val="none" w:sz="0" w:space="0" w:color="auto"/>
                                                <w:bottom w:val="none" w:sz="0" w:space="0" w:color="auto"/>
                                                <w:right w:val="none" w:sz="0" w:space="0" w:color="auto"/>
                                              </w:divBdr>
                                              <w:divsChild>
                                                <w:div w:id="12016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care.gov.au" TargetMode="External"/><Relationship Id="rId3" Type="http://schemas.openxmlformats.org/officeDocument/2006/relationships/styles" Target="styles.xml"/><Relationship Id="rId7" Type="http://schemas.openxmlformats.org/officeDocument/2006/relationships/hyperlink" Target="http://www.comcare.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FCF52-9AEE-4B4D-B412-4EF52D42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Comcare</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Amos</dc:creator>
  <cp:lastModifiedBy>Laura Colman</cp:lastModifiedBy>
  <cp:revision>5</cp:revision>
  <dcterms:created xsi:type="dcterms:W3CDTF">2012-10-23T06:02:00Z</dcterms:created>
  <dcterms:modified xsi:type="dcterms:W3CDTF">2012-12-06T01:16:00Z</dcterms:modified>
</cp:coreProperties>
</file>