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14C" w:rsidRPr="001D6BBA" w:rsidRDefault="00B8114C" w:rsidP="00AF12CE">
      <w:pPr>
        <w:pStyle w:val="ACMAHeading2"/>
        <w:jc w:val="center"/>
        <w:rPr>
          <w:sz w:val="20"/>
          <w:szCs w:val="20"/>
          <w:u w:val="single"/>
        </w:rPr>
      </w:pPr>
      <w:r w:rsidRPr="001D6BBA">
        <w:rPr>
          <w:sz w:val="20"/>
          <w:szCs w:val="20"/>
          <w:u w:val="single"/>
        </w:rPr>
        <w:t>EXPLANATORY STATEMENT</w:t>
      </w:r>
    </w:p>
    <w:p w:rsidR="00B8114C" w:rsidRDefault="00B8114C" w:rsidP="00AF12CE">
      <w:pPr>
        <w:pStyle w:val="ACMAHeading3"/>
        <w:jc w:val="center"/>
        <w:rPr>
          <w:sz w:val="20"/>
        </w:rPr>
      </w:pPr>
    </w:p>
    <w:p w:rsidR="00B8114C" w:rsidRPr="001D6BBA" w:rsidRDefault="00B8114C" w:rsidP="00AF12CE">
      <w:pPr>
        <w:pStyle w:val="ACMAHeading3"/>
        <w:jc w:val="center"/>
        <w:rPr>
          <w:sz w:val="20"/>
        </w:rPr>
      </w:pPr>
      <w:r w:rsidRPr="001D6BBA">
        <w:rPr>
          <w:sz w:val="20"/>
        </w:rPr>
        <w:t>Issued by the Australian Communications and Media Authority</w:t>
      </w:r>
    </w:p>
    <w:p w:rsidR="00B8114C" w:rsidRPr="001D6BBA" w:rsidRDefault="00B8114C" w:rsidP="00AF12CE">
      <w:pPr>
        <w:pStyle w:val="ACMAHeading3"/>
        <w:jc w:val="center"/>
        <w:rPr>
          <w:i/>
          <w:sz w:val="20"/>
        </w:rPr>
      </w:pPr>
      <w:r w:rsidRPr="001D6BBA">
        <w:rPr>
          <w:i/>
          <w:sz w:val="20"/>
        </w:rPr>
        <w:t xml:space="preserve">Radiocommunications Advisory Guidelines (Managing Interference </w:t>
      </w:r>
      <w:r>
        <w:rPr>
          <w:i/>
          <w:sz w:val="20"/>
        </w:rPr>
        <w:t>to Receivers</w:t>
      </w:r>
      <w:r w:rsidRPr="001D6BBA">
        <w:rPr>
          <w:i/>
          <w:sz w:val="20"/>
        </w:rPr>
        <w:t xml:space="preserve"> – </w:t>
      </w:r>
      <w:r>
        <w:rPr>
          <w:i/>
          <w:sz w:val="20"/>
        </w:rPr>
        <w:t>700</w:t>
      </w:r>
      <w:r w:rsidRPr="001D6BBA">
        <w:rPr>
          <w:i/>
          <w:sz w:val="20"/>
        </w:rPr>
        <w:t xml:space="preserve"> </w:t>
      </w:r>
      <w:r>
        <w:rPr>
          <w:i/>
          <w:sz w:val="20"/>
        </w:rPr>
        <w:t>M</w:t>
      </w:r>
      <w:r w:rsidRPr="001D6BBA">
        <w:rPr>
          <w:i/>
          <w:sz w:val="20"/>
        </w:rPr>
        <w:t>Hz Band) 20</w:t>
      </w:r>
      <w:r>
        <w:rPr>
          <w:i/>
          <w:sz w:val="20"/>
        </w:rPr>
        <w:t>12</w:t>
      </w:r>
    </w:p>
    <w:p w:rsidR="00B8114C" w:rsidRDefault="00B8114C" w:rsidP="00AF12CE">
      <w:pPr>
        <w:pStyle w:val="ACMAHeading3"/>
        <w:jc w:val="center"/>
        <w:rPr>
          <w:i/>
          <w:sz w:val="20"/>
        </w:rPr>
      </w:pPr>
      <w:r w:rsidRPr="001D6BBA">
        <w:rPr>
          <w:i/>
          <w:sz w:val="20"/>
        </w:rPr>
        <w:t>Radiocommunications Act 1992</w:t>
      </w:r>
    </w:p>
    <w:p w:rsidR="00B8114C" w:rsidRPr="00422AA3" w:rsidRDefault="00B8114C" w:rsidP="00AF12CE">
      <w:pPr>
        <w:pStyle w:val="ACMABodyText"/>
      </w:pPr>
    </w:p>
    <w:p w:rsidR="00B8114C" w:rsidRDefault="00B8114C" w:rsidP="00AF12CE">
      <w:pPr>
        <w:pStyle w:val="ACMAHeading3"/>
        <w:spacing w:line="360" w:lineRule="auto"/>
        <w:rPr>
          <w:sz w:val="20"/>
        </w:rPr>
      </w:pPr>
      <w:r w:rsidRPr="001D6BBA">
        <w:rPr>
          <w:sz w:val="20"/>
        </w:rPr>
        <w:t>Purpose</w:t>
      </w:r>
    </w:p>
    <w:p w:rsidR="00B8114C" w:rsidRPr="009806DB" w:rsidRDefault="00B8114C" w:rsidP="009806DB">
      <w:pPr>
        <w:pStyle w:val="ACMABodyText"/>
        <w:spacing w:line="360" w:lineRule="auto"/>
        <w:rPr>
          <w:rFonts w:ascii="Arial" w:hAnsi="Arial"/>
          <w:sz w:val="20"/>
        </w:rPr>
      </w:pPr>
      <w:r w:rsidRPr="001D6BBA">
        <w:rPr>
          <w:rFonts w:ascii="Arial" w:hAnsi="Arial"/>
          <w:sz w:val="20"/>
        </w:rPr>
        <w:t xml:space="preserve">The purpose of the </w:t>
      </w:r>
      <w:r w:rsidRPr="001D6BBA">
        <w:rPr>
          <w:rFonts w:ascii="Arial" w:hAnsi="Arial"/>
          <w:i/>
          <w:sz w:val="20"/>
        </w:rPr>
        <w:t xml:space="preserve">Radiocommunications Advisory Guidelines (Managing Interference </w:t>
      </w:r>
      <w:r>
        <w:rPr>
          <w:rFonts w:ascii="Arial" w:hAnsi="Arial"/>
          <w:i/>
          <w:sz w:val="20"/>
        </w:rPr>
        <w:t>to Receivers</w:t>
      </w:r>
      <w:r w:rsidRPr="001D6BBA">
        <w:rPr>
          <w:rFonts w:ascii="Arial" w:hAnsi="Arial"/>
          <w:i/>
          <w:sz w:val="20"/>
        </w:rPr>
        <w:t xml:space="preserve"> – </w:t>
      </w:r>
      <w:r>
        <w:rPr>
          <w:rFonts w:ascii="Arial" w:hAnsi="Arial"/>
          <w:i/>
          <w:sz w:val="20"/>
        </w:rPr>
        <w:t>700</w:t>
      </w:r>
      <w:r w:rsidRPr="001D6BBA">
        <w:rPr>
          <w:rFonts w:ascii="Arial" w:hAnsi="Arial"/>
          <w:i/>
          <w:sz w:val="20"/>
        </w:rPr>
        <w:t xml:space="preserve"> </w:t>
      </w:r>
      <w:r>
        <w:rPr>
          <w:rFonts w:ascii="Arial" w:hAnsi="Arial"/>
          <w:i/>
          <w:sz w:val="20"/>
        </w:rPr>
        <w:t>M</w:t>
      </w:r>
      <w:r w:rsidRPr="001D6BBA">
        <w:rPr>
          <w:rFonts w:ascii="Arial" w:hAnsi="Arial"/>
          <w:i/>
          <w:sz w:val="20"/>
        </w:rPr>
        <w:t>Hz Band) 20</w:t>
      </w:r>
      <w:r>
        <w:rPr>
          <w:rFonts w:ascii="Arial" w:hAnsi="Arial"/>
          <w:i/>
          <w:sz w:val="20"/>
        </w:rPr>
        <w:t>12</w:t>
      </w:r>
      <w:r w:rsidRPr="001D6BBA">
        <w:rPr>
          <w:rFonts w:ascii="Arial" w:hAnsi="Arial"/>
          <w:sz w:val="20"/>
        </w:rPr>
        <w:t xml:space="preserve"> (the </w:t>
      </w:r>
      <w:r w:rsidRPr="00422AA3">
        <w:rPr>
          <w:rFonts w:ascii="Arial" w:hAnsi="Arial"/>
          <w:b/>
          <w:sz w:val="20"/>
        </w:rPr>
        <w:t>Advisory Guidelines</w:t>
      </w:r>
      <w:r w:rsidRPr="001D6BBA">
        <w:rPr>
          <w:rFonts w:ascii="Arial" w:hAnsi="Arial"/>
          <w:sz w:val="20"/>
        </w:rPr>
        <w:t>) is to</w:t>
      </w:r>
      <w:r>
        <w:rPr>
          <w:rFonts w:ascii="Arial" w:hAnsi="Arial"/>
          <w:sz w:val="20"/>
        </w:rPr>
        <w:t xml:space="preserve"> </w:t>
      </w:r>
      <w:r w:rsidRPr="009806DB">
        <w:rPr>
          <w:rFonts w:ascii="Arial" w:hAnsi="Arial"/>
          <w:sz w:val="20"/>
        </w:rPr>
        <w:t>provide recommendations on the management and settlement of interference to radiocommunications receivers operating under spectrum licences in the 700 MHz band and caused by radiocommunications transmitters operating under other licence</w:t>
      </w:r>
      <w:r>
        <w:rPr>
          <w:rFonts w:ascii="Arial" w:hAnsi="Arial"/>
          <w:sz w:val="20"/>
        </w:rPr>
        <w:t>s.</w:t>
      </w:r>
    </w:p>
    <w:p w:rsidR="00B8114C" w:rsidRDefault="00B8114C" w:rsidP="00AF12CE">
      <w:pPr>
        <w:pStyle w:val="ACMAHeading3"/>
        <w:spacing w:line="360" w:lineRule="auto"/>
        <w:rPr>
          <w:sz w:val="20"/>
        </w:rPr>
      </w:pPr>
      <w:r w:rsidRPr="001D6BBA">
        <w:rPr>
          <w:sz w:val="20"/>
        </w:rPr>
        <w:t>Legislative Provisions</w:t>
      </w:r>
    </w:p>
    <w:p w:rsidR="00B8114C" w:rsidRDefault="00B8114C" w:rsidP="00AF12CE">
      <w:pPr>
        <w:pStyle w:val="ACMABodyText"/>
        <w:spacing w:line="360" w:lineRule="auto"/>
        <w:rPr>
          <w:rFonts w:ascii="Arial" w:hAnsi="Arial"/>
          <w:sz w:val="20"/>
        </w:rPr>
      </w:pPr>
      <w:r w:rsidRPr="001D6BBA">
        <w:rPr>
          <w:rFonts w:ascii="Arial" w:hAnsi="Arial"/>
          <w:sz w:val="20"/>
        </w:rPr>
        <w:t xml:space="preserve">Under section 262 of the </w:t>
      </w:r>
      <w:r w:rsidRPr="001D6BBA">
        <w:rPr>
          <w:rFonts w:ascii="Arial" w:hAnsi="Arial"/>
          <w:i/>
          <w:sz w:val="20"/>
        </w:rPr>
        <w:t>Radiocommunications Act 1992</w:t>
      </w:r>
      <w:r w:rsidRPr="001D6BBA">
        <w:rPr>
          <w:rFonts w:ascii="Arial" w:hAnsi="Arial"/>
          <w:sz w:val="20"/>
        </w:rPr>
        <w:t xml:space="preserve"> (the </w:t>
      </w:r>
      <w:r w:rsidRPr="00422AA3">
        <w:rPr>
          <w:rFonts w:ascii="Arial" w:hAnsi="Arial"/>
          <w:b/>
          <w:sz w:val="20"/>
        </w:rPr>
        <w:t>Act</w:t>
      </w:r>
      <w:r w:rsidRPr="001D6BBA">
        <w:rPr>
          <w:rFonts w:ascii="Arial" w:hAnsi="Arial"/>
          <w:sz w:val="20"/>
        </w:rPr>
        <w:t>)</w:t>
      </w:r>
      <w:r>
        <w:rPr>
          <w:rFonts w:ascii="Arial" w:hAnsi="Arial"/>
          <w:sz w:val="20"/>
        </w:rPr>
        <w:t xml:space="preserve">, </w:t>
      </w:r>
      <w:r w:rsidRPr="001D6BBA">
        <w:rPr>
          <w:rFonts w:ascii="Arial" w:hAnsi="Arial"/>
          <w:sz w:val="20"/>
        </w:rPr>
        <w:t>the Australian Communications and Media Authority (</w:t>
      </w:r>
      <w:r>
        <w:rPr>
          <w:rFonts w:ascii="Arial" w:hAnsi="Arial"/>
          <w:sz w:val="20"/>
        </w:rPr>
        <w:t xml:space="preserve">the </w:t>
      </w:r>
      <w:r w:rsidRPr="00686EAB">
        <w:rPr>
          <w:rFonts w:ascii="Arial" w:hAnsi="Arial"/>
          <w:b/>
          <w:sz w:val="20"/>
          <w:lang w:val="en-US"/>
        </w:rPr>
        <w:t>ACMA</w:t>
      </w:r>
      <w:r w:rsidRPr="001D6BBA">
        <w:rPr>
          <w:rFonts w:ascii="Arial" w:hAnsi="Arial"/>
          <w:sz w:val="20"/>
        </w:rPr>
        <w:t>) may make written advisory guidelines</w:t>
      </w:r>
      <w:r w:rsidRPr="00026D00">
        <w:rPr>
          <w:rFonts w:ascii="Arial" w:hAnsi="Arial"/>
          <w:sz w:val="20"/>
        </w:rPr>
        <w:t xml:space="preserve"> </w:t>
      </w:r>
      <w:r>
        <w:rPr>
          <w:rFonts w:ascii="Arial" w:hAnsi="Arial"/>
          <w:sz w:val="20"/>
        </w:rPr>
        <w:t>about any aspect of radiocommunication or radio emissions.</w:t>
      </w:r>
    </w:p>
    <w:p w:rsidR="00B8114C" w:rsidRDefault="00B8114C" w:rsidP="00AF12CE">
      <w:pPr>
        <w:pStyle w:val="ACMABodyText"/>
        <w:spacing w:line="360" w:lineRule="auto"/>
        <w:rPr>
          <w:rFonts w:ascii="Arial" w:hAnsi="Arial"/>
          <w:sz w:val="20"/>
        </w:rPr>
      </w:pPr>
      <w:r>
        <w:rPr>
          <w:rFonts w:ascii="Arial" w:hAnsi="Arial"/>
          <w:sz w:val="20"/>
        </w:rPr>
        <w:t>S</w:t>
      </w:r>
      <w:r w:rsidR="007A742F">
        <w:rPr>
          <w:rFonts w:ascii="Arial" w:hAnsi="Arial"/>
          <w:sz w:val="20"/>
        </w:rPr>
        <w:t>ubs</w:t>
      </w:r>
      <w:r>
        <w:rPr>
          <w:rFonts w:ascii="Arial" w:hAnsi="Arial"/>
          <w:sz w:val="20"/>
        </w:rPr>
        <w:t>ection 262(2) of the Act gives the following as examples of matters on which</w:t>
      </w:r>
      <w:r w:rsidRPr="001D6BBA">
        <w:rPr>
          <w:rFonts w:ascii="Arial" w:hAnsi="Arial"/>
          <w:sz w:val="20"/>
        </w:rPr>
        <w:t xml:space="preserve"> advisory guidelines </w:t>
      </w:r>
      <w:r>
        <w:rPr>
          <w:rFonts w:ascii="Arial" w:hAnsi="Arial"/>
          <w:sz w:val="20"/>
        </w:rPr>
        <w:t>may be made</w:t>
      </w:r>
      <w:r w:rsidRPr="001D6BBA">
        <w:rPr>
          <w:rFonts w:ascii="Arial" w:hAnsi="Arial"/>
          <w:sz w:val="20"/>
        </w:rPr>
        <w:t>:</w:t>
      </w:r>
    </w:p>
    <w:p w:rsidR="00B8114C" w:rsidRDefault="00B8114C" w:rsidP="00AF12CE">
      <w:pPr>
        <w:pStyle w:val="ACMABodyText"/>
        <w:numPr>
          <w:ilvl w:val="0"/>
          <w:numId w:val="19"/>
        </w:numPr>
        <w:spacing w:line="360" w:lineRule="auto"/>
        <w:rPr>
          <w:rFonts w:ascii="Arial" w:hAnsi="Arial"/>
          <w:sz w:val="20"/>
        </w:rPr>
      </w:pPr>
      <w:r>
        <w:rPr>
          <w:rFonts w:ascii="Arial" w:hAnsi="Arial"/>
          <w:sz w:val="20"/>
        </w:rPr>
        <w:t>a</w:t>
      </w:r>
      <w:r w:rsidRPr="001D6BBA">
        <w:rPr>
          <w:rFonts w:ascii="Arial" w:hAnsi="Arial"/>
          <w:sz w:val="20"/>
        </w:rPr>
        <w:t>ny matter in respect of which standards may be made under Part 4.1 of the Act; or</w:t>
      </w:r>
    </w:p>
    <w:p w:rsidR="00B8114C" w:rsidRDefault="00B8114C" w:rsidP="00AF12CE">
      <w:pPr>
        <w:pStyle w:val="ACMABodyText"/>
        <w:numPr>
          <w:ilvl w:val="0"/>
          <w:numId w:val="19"/>
        </w:numPr>
        <w:spacing w:line="360" w:lineRule="auto"/>
        <w:rPr>
          <w:rFonts w:ascii="Arial" w:hAnsi="Arial"/>
          <w:sz w:val="20"/>
        </w:rPr>
      </w:pPr>
      <w:r>
        <w:rPr>
          <w:rFonts w:ascii="Arial" w:hAnsi="Arial"/>
          <w:sz w:val="20"/>
        </w:rPr>
        <w:t>t</w:t>
      </w:r>
      <w:r w:rsidRPr="001D6BBA">
        <w:rPr>
          <w:rFonts w:ascii="Arial" w:hAnsi="Arial"/>
          <w:sz w:val="20"/>
        </w:rPr>
        <w:t>he use, construction, design or performance of any</w:t>
      </w:r>
      <w:r>
        <w:rPr>
          <w:rFonts w:ascii="Arial" w:hAnsi="Arial"/>
          <w:sz w:val="20"/>
        </w:rPr>
        <w:t xml:space="preserve"> </w:t>
      </w:r>
      <w:r w:rsidRPr="001D6BBA">
        <w:rPr>
          <w:rFonts w:ascii="Arial" w:hAnsi="Arial"/>
          <w:sz w:val="20"/>
        </w:rPr>
        <w:t>thing; or</w:t>
      </w:r>
    </w:p>
    <w:p w:rsidR="00B8114C" w:rsidRDefault="00B8114C" w:rsidP="00AF12CE">
      <w:pPr>
        <w:pStyle w:val="ACMABodyText"/>
        <w:numPr>
          <w:ilvl w:val="0"/>
          <w:numId w:val="19"/>
        </w:numPr>
        <w:spacing w:line="360" w:lineRule="auto"/>
        <w:rPr>
          <w:rFonts w:ascii="Arial" w:hAnsi="Arial"/>
          <w:sz w:val="20"/>
        </w:rPr>
      </w:pPr>
      <w:r>
        <w:rPr>
          <w:rFonts w:ascii="Arial" w:hAnsi="Arial"/>
          <w:sz w:val="20"/>
        </w:rPr>
        <w:t>i</w:t>
      </w:r>
      <w:r w:rsidRPr="001D6BBA">
        <w:rPr>
          <w:rFonts w:ascii="Arial" w:hAnsi="Arial"/>
          <w:sz w:val="20"/>
        </w:rPr>
        <w:t>nterference with radiocommunications; or</w:t>
      </w:r>
    </w:p>
    <w:p w:rsidR="00B8114C" w:rsidRDefault="00B8114C" w:rsidP="00AF12CE">
      <w:pPr>
        <w:pStyle w:val="ACMABodyText"/>
        <w:numPr>
          <w:ilvl w:val="0"/>
          <w:numId w:val="19"/>
        </w:numPr>
        <w:spacing w:line="360" w:lineRule="auto"/>
        <w:rPr>
          <w:rFonts w:ascii="Arial" w:hAnsi="Arial"/>
          <w:sz w:val="20"/>
        </w:rPr>
      </w:pPr>
      <w:r>
        <w:rPr>
          <w:rFonts w:ascii="Arial" w:hAnsi="Arial"/>
          <w:sz w:val="20"/>
        </w:rPr>
        <w:t>f</w:t>
      </w:r>
      <w:r w:rsidRPr="001D6BBA">
        <w:rPr>
          <w:rFonts w:ascii="Arial" w:hAnsi="Arial"/>
          <w:sz w:val="20"/>
        </w:rPr>
        <w:t>requency allocation and coordination.</w:t>
      </w:r>
    </w:p>
    <w:p w:rsidR="00B8114C" w:rsidRDefault="00B8114C" w:rsidP="00AF12CE">
      <w:pPr>
        <w:pStyle w:val="ACMABodyText"/>
        <w:spacing w:line="360" w:lineRule="auto"/>
        <w:rPr>
          <w:rFonts w:ascii="Arial" w:hAnsi="Arial"/>
          <w:sz w:val="20"/>
        </w:rPr>
      </w:pPr>
      <w:r w:rsidRPr="001D6BBA">
        <w:rPr>
          <w:rFonts w:ascii="Arial" w:hAnsi="Arial"/>
          <w:sz w:val="20"/>
        </w:rPr>
        <w:t xml:space="preserve">The examples provided in the Act are not </w:t>
      </w:r>
      <w:r>
        <w:rPr>
          <w:rFonts w:ascii="Arial" w:hAnsi="Arial"/>
          <w:sz w:val="20"/>
        </w:rPr>
        <w:t>exhaustive</w:t>
      </w:r>
      <w:r w:rsidRPr="001D6BBA">
        <w:rPr>
          <w:rFonts w:ascii="Arial" w:hAnsi="Arial"/>
          <w:sz w:val="20"/>
        </w:rPr>
        <w:t xml:space="preserve">. </w:t>
      </w:r>
      <w:r>
        <w:rPr>
          <w:rFonts w:ascii="Arial" w:hAnsi="Arial"/>
          <w:sz w:val="20"/>
        </w:rPr>
        <w:t xml:space="preserve">The </w:t>
      </w:r>
      <w:r w:rsidRPr="001D6BBA">
        <w:rPr>
          <w:rFonts w:ascii="Arial" w:hAnsi="Arial"/>
          <w:sz w:val="20"/>
        </w:rPr>
        <w:t xml:space="preserve">ACMA may make written advisory guidelines about any aspect of radiocommunication or radio emissions.  </w:t>
      </w:r>
    </w:p>
    <w:p w:rsidR="00B8114C" w:rsidRDefault="00B8114C" w:rsidP="00AF12CE">
      <w:pPr>
        <w:pStyle w:val="ACMAHeading3"/>
        <w:spacing w:line="360" w:lineRule="auto"/>
        <w:rPr>
          <w:sz w:val="20"/>
        </w:rPr>
      </w:pPr>
      <w:r w:rsidRPr="001D6BBA">
        <w:rPr>
          <w:sz w:val="20"/>
        </w:rPr>
        <w:t>Background</w:t>
      </w:r>
    </w:p>
    <w:p w:rsidR="00B8114C" w:rsidRDefault="00B8114C" w:rsidP="001D05BF">
      <w:pPr>
        <w:pStyle w:val="ACMABodyText"/>
        <w:spacing w:line="360" w:lineRule="auto"/>
        <w:jc w:val="both"/>
        <w:rPr>
          <w:rFonts w:ascii="Arial" w:hAnsi="Arial" w:cs="Arial"/>
          <w:sz w:val="20"/>
        </w:rPr>
      </w:pPr>
      <w:r>
        <w:rPr>
          <w:rFonts w:ascii="Arial" w:hAnsi="Arial" w:cs="Arial"/>
          <w:sz w:val="20"/>
        </w:rPr>
        <w:t>The Government has announced that analog television transmission will be progressively turned off from 2010, with a complete switchover to digital televisi</w:t>
      </w:r>
      <w:r w:rsidR="00203F3D">
        <w:rPr>
          <w:rFonts w:ascii="Arial" w:hAnsi="Arial" w:cs="Arial"/>
          <w:sz w:val="20"/>
        </w:rPr>
        <w:t xml:space="preserve">on transmission by December </w:t>
      </w:r>
      <w:r w:rsidR="00203F3D" w:rsidRPr="00203F3D">
        <w:rPr>
          <w:rFonts w:ascii="Arial" w:hAnsi="Arial" w:cs="Arial"/>
          <w:sz w:val="20"/>
        </w:rPr>
        <w:t>2013</w:t>
      </w:r>
      <w:r>
        <w:rPr>
          <w:rFonts w:ascii="Arial" w:hAnsi="Arial" w:cs="Arial"/>
          <w:sz w:val="20"/>
        </w:rPr>
        <w:t xml:space="preserve">. </w:t>
      </w:r>
      <w:r w:rsidRPr="00755F38">
        <w:rPr>
          <w:rFonts w:ascii="Arial" w:hAnsi="Arial" w:cs="Arial"/>
          <w:sz w:val="20"/>
        </w:rPr>
        <w:t>The transition from analog to digital television will make spectrum</w:t>
      </w:r>
      <w:r>
        <w:rPr>
          <w:rFonts w:ascii="Arial" w:hAnsi="Arial" w:cs="Arial"/>
          <w:sz w:val="20"/>
        </w:rPr>
        <w:t xml:space="preserve"> </w:t>
      </w:r>
      <w:r w:rsidRPr="00755F38">
        <w:rPr>
          <w:rFonts w:ascii="Arial" w:hAnsi="Arial" w:cs="Arial"/>
          <w:sz w:val="20"/>
        </w:rPr>
        <w:t>available in the UHF band for new services.</w:t>
      </w:r>
    </w:p>
    <w:p w:rsidR="00B8114C" w:rsidRDefault="00B8114C" w:rsidP="00432C9E">
      <w:pPr>
        <w:pStyle w:val="ACMABodyText"/>
        <w:spacing w:line="360" w:lineRule="auto"/>
        <w:jc w:val="both"/>
        <w:rPr>
          <w:rFonts w:ascii="Arial" w:hAnsi="Arial" w:cs="Arial"/>
          <w:sz w:val="20"/>
        </w:rPr>
      </w:pPr>
      <w:r>
        <w:rPr>
          <w:rFonts w:ascii="Arial" w:hAnsi="Arial" w:cs="Arial"/>
          <w:sz w:val="20"/>
        </w:rPr>
        <w:t xml:space="preserve">In January 2010, the Department of Broadband, Communications and the Digital Economy (the </w:t>
      </w:r>
      <w:r w:rsidR="006E1DF9" w:rsidRPr="006E1DF9">
        <w:rPr>
          <w:rFonts w:ascii="Arial" w:hAnsi="Arial" w:cs="Arial"/>
          <w:b/>
          <w:sz w:val="20"/>
        </w:rPr>
        <w:t>DBCDE</w:t>
      </w:r>
      <w:r>
        <w:rPr>
          <w:rFonts w:ascii="Arial" w:hAnsi="Arial" w:cs="Arial"/>
          <w:sz w:val="20"/>
        </w:rPr>
        <w:t xml:space="preserve">) released the </w:t>
      </w:r>
      <w:r w:rsidRPr="00390D21">
        <w:rPr>
          <w:rFonts w:ascii="Arial" w:hAnsi="Arial" w:cs="Arial"/>
          <w:i/>
          <w:sz w:val="20"/>
        </w:rPr>
        <w:t>Digital Dividend Green Paper</w:t>
      </w:r>
      <w:r>
        <w:rPr>
          <w:rFonts w:ascii="Arial" w:hAnsi="Arial" w:cs="Arial"/>
          <w:i/>
          <w:sz w:val="20"/>
        </w:rPr>
        <w:t xml:space="preserve">. </w:t>
      </w:r>
      <w:r>
        <w:rPr>
          <w:rFonts w:ascii="Arial" w:hAnsi="Arial" w:cs="Arial"/>
          <w:sz w:val="20"/>
        </w:rPr>
        <w:t xml:space="preserve">The paper provided information on the digital dividend and sought public comment on a range of issues, including potential uses of the digital </w:t>
      </w:r>
      <w:r>
        <w:rPr>
          <w:rFonts w:ascii="Arial" w:hAnsi="Arial" w:cs="Arial"/>
          <w:sz w:val="20"/>
        </w:rPr>
        <w:lastRenderedPageBreak/>
        <w:t>dividend spectrum</w:t>
      </w:r>
      <w:r>
        <w:rPr>
          <w:rStyle w:val="FootnoteReference"/>
          <w:rFonts w:ascii="Arial" w:hAnsi="Arial" w:cs="Arial"/>
          <w:sz w:val="20"/>
        </w:rPr>
        <w:footnoteReference w:id="1"/>
      </w:r>
      <w:r>
        <w:rPr>
          <w:rFonts w:ascii="Arial" w:hAnsi="Arial" w:cs="Arial"/>
          <w:sz w:val="20"/>
        </w:rPr>
        <w:t>.</w:t>
      </w:r>
      <w:r w:rsidRPr="00755F38">
        <w:rPr>
          <w:rFonts w:ascii="Arial" w:hAnsi="Arial" w:cs="Arial"/>
          <w:sz w:val="20"/>
        </w:rPr>
        <w:t xml:space="preserve"> </w:t>
      </w:r>
      <w:r>
        <w:rPr>
          <w:rFonts w:ascii="Arial" w:hAnsi="Arial" w:cs="Arial"/>
          <w:sz w:val="20"/>
        </w:rPr>
        <w:t>The majority of submissions to the DBCDE’s Digital Dividend Green Paper suggested that the characteristics of digital dividend spectrum were highly attractive for use in the deployment of mobile telecommunications services, particularly Long Term Evolution (</w:t>
      </w:r>
      <w:r w:rsidR="006E1DF9" w:rsidRPr="006E1DF9">
        <w:rPr>
          <w:rFonts w:ascii="Arial" w:hAnsi="Arial" w:cs="Arial"/>
          <w:b/>
          <w:sz w:val="20"/>
        </w:rPr>
        <w:t>LTE</w:t>
      </w:r>
      <w:r>
        <w:rPr>
          <w:rFonts w:ascii="Arial" w:hAnsi="Arial" w:cs="Arial"/>
          <w:sz w:val="20"/>
        </w:rPr>
        <w:t>) networks.</w:t>
      </w:r>
    </w:p>
    <w:p w:rsidR="00B8114C" w:rsidRPr="00755F38" w:rsidRDefault="00B8114C" w:rsidP="001D05BF">
      <w:pPr>
        <w:pStyle w:val="ACMABodyText"/>
        <w:spacing w:line="360" w:lineRule="auto"/>
        <w:jc w:val="both"/>
        <w:rPr>
          <w:rFonts w:ascii="Arial" w:hAnsi="Arial" w:cs="Arial"/>
          <w:sz w:val="20"/>
        </w:rPr>
      </w:pPr>
      <w:r>
        <w:rPr>
          <w:rFonts w:ascii="Arial" w:hAnsi="Arial" w:cs="Arial"/>
          <w:sz w:val="20"/>
        </w:rPr>
        <w:t>S</w:t>
      </w:r>
      <w:r w:rsidRPr="00755F38">
        <w:rPr>
          <w:rFonts w:ascii="Arial" w:hAnsi="Arial" w:cs="Arial"/>
          <w:sz w:val="20"/>
        </w:rPr>
        <w:t>imilar changes in spectrum use are occurring</w:t>
      </w:r>
      <w:r>
        <w:rPr>
          <w:rFonts w:ascii="Arial" w:hAnsi="Arial" w:cs="Arial"/>
          <w:sz w:val="20"/>
        </w:rPr>
        <w:t xml:space="preserve"> internationally</w:t>
      </w:r>
      <w:r w:rsidRPr="00755F38">
        <w:rPr>
          <w:rFonts w:ascii="Arial" w:hAnsi="Arial" w:cs="Arial"/>
          <w:sz w:val="20"/>
        </w:rPr>
        <w:t xml:space="preserve"> as a result of the adoption of digital television systems. The spectrum which will become available does not align internationally from region to region, mainly due to historical differences in the frequency bands used for television and other radiocommunications services. </w:t>
      </w:r>
    </w:p>
    <w:p w:rsidR="00B8114C" w:rsidRDefault="00B8114C" w:rsidP="001D05BF">
      <w:pPr>
        <w:pStyle w:val="ACMABodyText"/>
        <w:spacing w:line="360" w:lineRule="auto"/>
        <w:jc w:val="both"/>
        <w:rPr>
          <w:rFonts w:ascii="Arial" w:hAnsi="Arial" w:cs="Arial"/>
          <w:sz w:val="20"/>
        </w:rPr>
      </w:pPr>
      <w:r w:rsidRPr="00755F38">
        <w:rPr>
          <w:rFonts w:ascii="Arial" w:hAnsi="Arial" w:cs="Arial"/>
          <w:sz w:val="20"/>
        </w:rPr>
        <w:t xml:space="preserve">The increasing demand for spectrum for mobile broadband telecommunications services around the world has seen a significant proportion of the world-wide digital dividend spectrum being allocated to support </w:t>
      </w:r>
      <w:r>
        <w:rPr>
          <w:rFonts w:ascii="Arial" w:hAnsi="Arial" w:cs="Arial"/>
          <w:sz w:val="20"/>
        </w:rPr>
        <w:t>wireless access services (</w:t>
      </w:r>
      <w:r w:rsidRPr="00FD0CBC">
        <w:rPr>
          <w:rFonts w:ascii="Arial" w:hAnsi="Arial" w:cs="Arial"/>
          <w:b/>
          <w:sz w:val="20"/>
        </w:rPr>
        <w:t>WAS</w:t>
      </w:r>
      <w:r>
        <w:rPr>
          <w:rFonts w:ascii="Arial" w:hAnsi="Arial" w:cs="Arial"/>
          <w:sz w:val="20"/>
        </w:rPr>
        <w:t>)</w:t>
      </w:r>
      <w:r w:rsidR="0037505C">
        <w:rPr>
          <w:rFonts w:ascii="Arial" w:hAnsi="Arial" w:cs="Arial"/>
          <w:sz w:val="20"/>
        </w:rPr>
        <w:t>—</w:t>
      </w:r>
      <w:r w:rsidRPr="00755F38">
        <w:rPr>
          <w:rFonts w:ascii="Arial" w:hAnsi="Arial" w:cs="Arial"/>
          <w:sz w:val="20"/>
        </w:rPr>
        <w:t>in particular</w:t>
      </w:r>
      <w:r>
        <w:rPr>
          <w:rFonts w:ascii="Arial" w:hAnsi="Arial" w:cs="Arial"/>
          <w:sz w:val="20"/>
        </w:rPr>
        <w:t>,</w:t>
      </w:r>
      <w:r w:rsidRPr="00755F38">
        <w:rPr>
          <w:rFonts w:ascii="Arial" w:hAnsi="Arial" w:cs="Arial"/>
          <w:sz w:val="20"/>
        </w:rPr>
        <w:t xml:space="preserve"> next generation systems such as LTE. This demand has</w:t>
      </w:r>
      <w:r>
        <w:rPr>
          <w:rFonts w:ascii="Arial" w:hAnsi="Arial" w:cs="Arial"/>
          <w:sz w:val="20"/>
        </w:rPr>
        <w:t xml:space="preserve"> </w:t>
      </w:r>
      <w:r w:rsidRPr="00755F38">
        <w:rPr>
          <w:rFonts w:ascii="Arial" w:hAnsi="Arial" w:cs="Arial"/>
          <w:sz w:val="20"/>
        </w:rPr>
        <w:t>been for spectrum to support broad bandwidth, two-frequency systems</w:t>
      </w:r>
      <w:r>
        <w:rPr>
          <w:rFonts w:ascii="Arial" w:hAnsi="Arial" w:cs="Arial"/>
          <w:sz w:val="20"/>
        </w:rPr>
        <w:t xml:space="preserve">, </w:t>
      </w:r>
      <w:r w:rsidRPr="00755F38">
        <w:rPr>
          <w:rFonts w:ascii="Arial" w:hAnsi="Arial" w:cs="Arial"/>
          <w:sz w:val="20"/>
        </w:rPr>
        <w:t>particularly in high density areas.</w:t>
      </w:r>
    </w:p>
    <w:p w:rsidR="00B8114C" w:rsidRDefault="00B8114C" w:rsidP="001D05BF">
      <w:pPr>
        <w:pStyle w:val="ACMABodyText"/>
        <w:spacing w:line="360" w:lineRule="auto"/>
        <w:jc w:val="both"/>
        <w:rPr>
          <w:rFonts w:ascii="Arial" w:hAnsi="Arial" w:cs="Arial"/>
          <w:sz w:val="20"/>
        </w:rPr>
      </w:pPr>
      <w:r w:rsidRPr="001969F1">
        <w:rPr>
          <w:rFonts w:ascii="Arial" w:hAnsi="Arial" w:cs="Arial"/>
          <w:sz w:val="20"/>
        </w:rPr>
        <w:t>By aligning with a major established international set of arrangements in the band, Australia will be able to take advantage of economies of scale</w:t>
      </w:r>
      <w:r w:rsidR="0037505C">
        <w:rPr>
          <w:rFonts w:ascii="Arial" w:hAnsi="Arial" w:cs="Arial"/>
          <w:sz w:val="20"/>
        </w:rPr>
        <w:t>—</w:t>
      </w:r>
      <w:r w:rsidRPr="001969F1">
        <w:rPr>
          <w:rFonts w:ascii="Arial" w:hAnsi="Arial" w:cs="Arial"/>
          <w:sz w:val="20"/>
        </w:rPr>
        <w:t>providing lower costs for both service providers and end users</w:t>
      </w:r>
      <w:r w:rsidR="0037505C">
        <w:rPr>
          <w:rFonts w:ascii="Arial" w:hAnsi="Arial" w:cs="Arial"/>
          <w:sz w:val="20"/>
        </w:rPr>
        <w:t>—</w:t>
      </w:r>
      <w:r w:rsidRPr="001969F1">
        <w:rPr>
          <w:rFonts w:ascii="Arial" w:hAnsi="Arial" w:cs="Arial"/>
          <w:sz w:val="20"/>
        </w:rPr>
        <w:t>as well as easier and wider roaming capabilities for users.</w:t>
      </w:r>
      <w:r>
        <w:rPr>
          <w:rFonts w:ascii="Arial" w:hAnsi="Arial" w:cs="Arial"/>
          <w:sz w:val="20"/>
        </w:rPr>
        <w:t xml:space="preserve"> </w:t>
      </w:r>
    </w:p>
    <w:p w:rsidR="00B8114C" w:rsidRDefault="00B8114C" w:rsidP="001D05BF">
      <w:pPr>
        <w:pStyle w:val="ACMABodyText"/>
        <w:spacing w:line="360" w:lineRule="auto"/>
        <w:jc w:val="both"/>
        <w:rPr>
          <w:rFonts w:ascii="Arial" w:hAnsi="Arial" w:cs="Arial"/>
          <w:sz w:val="20"/>
        </w:rPr>
      </w:pPr>
      <w:r w:rsidRPr="001969F1">
        <w:rPr>
          <w:rFonts w:ascii="Arial" w:hAnsi="Arial" w:cs="Arial"/>
          <w:sz w:val="20"/>
        </w:rPr>
        <w:t xml:space="preserve">Following consideration of several established international band arrangements, including those from the </w:t>
      </w:r>
      <w:smartTag w:uri="urn:schemas-microsoft-com:office:smarttags" w:element="country-region">
        <w:r w:rsidRPr="001969F1">
          <w:rPr>
            <w:rFonts w:ascii="Arial" w:hAnsi="Arial" w:cs="Arial"/>
            <w:sz w:val="20"/>
          </w:rPr>
          <w:t>USA</w:t>
        </w:r>
      </w:smartTag>
      <w:r w:rsidRPr="001969F1">
        <w:rPr>
          <w:rFonts w:ascii="Arial" w:hAnsi="Arial" w:cs="Arial"/>
          <w:sz w:val="20"/>
        </w:rPr>
        <w:t xml:space="preserve"> and Europe, the ACMA intends for </w:t>
      </w:r>
      <w:smartTag w:uri="urn:schemas-microsoft-com:office:smarttags" w:element="country-region">
        <w:smartTag w:uri="urn:schemas-microsoft-com:office:smarttags" w:element="place">
          <w:r w:rsidRPr="001969F1">
            <w:rPr>
              <w:rFonts w:ascii="Arial" w:hAnsi="Arial" w:cs="Arial"/>
              <w:sz w:val="20"/>
            </w:rPr>
            <w:t>Australia</w:t>
          </w:r>
        </w:smartTag>
      </w:smartTag>
      <w:r w:rsidRPr="001969F1">
        <w:rPr>
          <w:rFonts w:ascii="Arial" w:hAnsi="Arial" w:cs="Arial"/>
          <w:sz w:val="20"/>
        </w:rPr>
        <w:t xml:space="preserve"> to follow the plan developed by the</w:t>
      </w:r>
      <w:r>
        <w:rPr>
          <w:rFonts w:ascii="Arial" w:hAnsi="Arial" w:cs="Arial"/>
          <w:sz w:val="20"/>
        </w:rPr>
        <w:t xml:space="preserve"> Asia-Pacific Telecommunity (</w:t>
      </w:r>
      <w:r w:rsidRPr="00820C30">
        <w:rPr>
          <w:rFonts w:ascii="Arial" w:hAnsi="Arial" w:cs="Arial"/>
          <w:b/>
          <w:sz w:val="20"/>
        </w:rPr>
        <w:t>APT</w:t>
      </w:r>
      <w:r>
        <w:rPr>
          <w:rFonts w:ascii="Arial" w:hAnsi="Arial" w:cs="Arial"/>
          <w:sz w:val="20"/>
        </w:rPr>
        <w:t>) Wireless Group</w:t>
      </w:r>
      <w:r w:rsidRPr="001969F1">
        <w:rPr>
          <w:rFonts w:ascii="Arial" w:hAnsi="Arial" w:cs="Arial"/>
          <w:sz w:val="20"/>
        </w:rPr>
        <w:t xml:space="preserve"> </w:t>
      </w:r>
      <w:r>
        <w:rPr>
          <w:rFonts w:ascii="Arial" w:hAnsi="Arial" w:cs="Arial"/>
          <w:sz w:val="20"/>
        </w:rPr>
        <w:t>(</w:t>
      </w:r>
      <w:r w:rsidRPr="00820C30">
        <w:rPr>
          <w:rFonts w:ascii="Arial" w:hAnsi="Arial" w:cs="Arial"/>
          <w:b/>
          <w:sz w:val="20"/>
        </w:rPr>
        <w:t>AWG</w:t>
      </w:r>
      <w:r>
        <w:rPr>
          <w:rFonts w:ascii="Arial" w:hAnsi="Arial" w:cs="Arial"/>
          <w:sz w:val="20"/>
        </w:rPr>
        <w:t>)</w:t>
      </w:r>
      <w:r w:rsidRPr="001969F1">
        <w:rPr>
          <w:rFonts w:ascii="Arial" w:hAnsi="Arial" w:cs="Arial"/>
          <w:sz w:val="20"/>
        </w:rPr>
        <w:t xml:space="preserve">. </w:t>
      </w:r>
      <w:r>
        <w:rPr>
          <w:rFonts w:ascii="Arial" w:hAnsi="Arial" w:cs="Arial"/>
          <w:sz w:val="20"/>
        </w:rPr>
        <w:t>However, d</w:t>
      </w:r>
      <w:r w:rsidRPr="001969F1">
        <w:rPr>
          <w:rFonts w:ascii="Arial" w:hAnsi="Arial" w:cs="Arial"/>
          <w:sz w:val="20"/>
        </w:rPr>
        <w:t>ue to the difference in the exact frequency boundaries between Australia’s Digital Dividend and the AWG plan, the lower guard band (between proposed WAS and broadcast television services) in Australia will be 9</w:t>
      </w:r>
      <w:r>
        <w:rPr>
          <w:rFonts w:ascii="Arial" w:hAnsi="Arial" w:cs="Arial"/>
          <w:sz w:val="20"/>
        </w:rPr>
        <w:t xml:space="preserve"> </w:t>
      </w:r>
      <w:r w:rsidRPr="001969F1">
        <w:rPr>
          <w:rFonts w:ascii="Arial" w:hAnsi="Arial" w:cs="Arial"/>
          <w:sz w:val="20"/>
        </w:rPr>
        <w:t>MHz wide, as opposed to 5</w:t>
      </w:r>
      <w:r>
        <w:rPr>
          <w:rFonts w:ascii="Arial" w:hAnsi="Arial" w:cs="Arial"/>
          <w:sz w:val="20"/>
        </w:rPr>
        <w:t xml:space="preserve"> </w:t>
      </w:r>
      <w:r w:rsidRPr="001969F1">
        <w:rPr>
          <w:rFonts w:ascii="Arial" w:hAnsi="Arial" w:cs="Arial"/>
          <w:sz w:val="20"/>
        </w:rPr>
        <w:t>MHz in many other Asia-Pacific nations.</w:t>
      </w:r>
    </w:p>
    <w:p w:rsidR="00B8114C" w:rsidRDefault="00B8114C" w:rsidP="008B201F">
      <w:pPr>
        <w:pStyle w:val="ACMABodyText"/>
        <w:spacing w:line="360" w:lineRule="auto"/>
        <w:jc w:val="both"/>
        <w:rPr>
          <w:rFonts w:ascii="Arial" w:hAnsi="Arial" w:cs="Arial"/>
          <w:sz w:val="20"/>
        </w:rPr>
      </w:pPr>
      <w:r>
        <w:rPr>
          <w:rFonts w:ascii="Arial" w:hAnsi="Arial" w:cs="Arial"/>
          <w:sz w:val="20"/>
        </w:rPr>
        <w:t xml:space="preserve">Spectrum licence technical frameworks </w:t>
      </w:r>
      <w:r w:rsidRPr="00FD0CBC">
        <w:rPr>
          <w:rFonts w:ascii="Arial" w:hAnsi="Arial" w:cs="Arial"/>
          <w:sz w:val="20"/>
        </w:rPr>
        <w:t>define a spectrum licensee’s rights and obligations</w:t>
      </w:r>
      <w:r>
        <w:rPr>
          <w:rFonts w:ascii="Arial" w:hAnsi="Arial" w:cs="Arial"/>
          <w:sz w:val="20"/>
        </w:rPr>
        <w:t>,</w:t>
      </w:r>
      <w:r w:rsidRPr="00FD0CBC">
        <w:rPr>
          <w:rFonts w:ascii="Arial" w:hAnsi="Arial" w:cs="Arial"/>
          <w:sz w:val="20"/>
        </w:rPr>
        <w:t xml:space="preserve"> and provide an interference management framework.</w:t>
      </w:r>
      <w:r>
        <w:rPr>
          <w:rFonts w:ascii="Arial" w:hAnsi="Arial" w:cs="Arial"/>
          <w:sz w:val="20"/>
        </w:rPr>
        <w:t xml:space="preserve"> To allow for use of the 700 MHz band which is aligned to the plan developed by AWG, t</w:t>
      </w:r>
      <w:r w:rsidRPr="00FD0CBC">
        <w:rPr>
          <w:rFonts w:ascii="Arial" w:hAnsi="Arial" w:cs="Arial"/>
          <w:sz w:val="20"/>
        </w:rPr>
        <w:t xml:space="preserve">he ACMA </w:t>
      </w:r>
      <w:r>
        <w:rPr>
          <w:rFonts w:ascii="Arial" w:hAnsi="Arial" w:cs="Arial"/>
          <w:sz w:val="20"/>
        </w:rPr>
        <w:t xml:space="preserve">wishes to </w:t>
      </w:r>
      <w:r w:rsidRPr="00FD0CBC">
        <w:rPr>
          <w:rFonts w:ascii="Arial" w:hAnsi="Arial" w:cs="Arial"/>
          <w:sz w:val="20"/>
        </w:rPr>
        <w:t xml:space="preserve">put into place a spectrum licence technical framework for the </w:t>
      </w:r>
      <w:r>
        <w:rPr>
          <w:rFonts w:ascii="Arial" w:hAnsi="Arial" w:cs="Arial"/>
          <w:sz w:val="20"/>
        </w:rPr>
        <w:t>700 M</w:t>
      </w:r>
      <w:r w:rsidRPr="00FD0CBC">
        <w:rPr>
          <w:rFonts w:ascii="Arial" w:hAnsi="Arial" w:cs="Arial"/>
          <w:sz w:val="20"/>
        </w:rPr>
        <w:t>Hz ban</w:t>
      </w:r>
      <w:r>
        <w:rPr>
          <w:rFonts w:ascii="Arial" w:hAnsi="Arial" w:cs="Arial"/>
          <w:sz w:val="20"/>
        </w:rPr>
        <w:t xml:space="preserve">d that permits deployment of mobile telecommunications services but is, as far as practical, technology flexible. </w:t>
      </w:r>
    </w:p>
    <w:p w:rsidR="00B8114C" w:rsidRPr="00384359" w:rsidRDefault="00B8114C" w:rsidP="008B201F">
      <w:pPr>
        <w:pStyle w:val="ACMABodyText"/>
        <w:spacing w:line="360" w:lineRule="auto"/>
        <w:jc w:val="both"/>
        <w:rPr>
          <w:rFonts w:ascii="Arial" w:hAnsi="Arial" w:cs="Arial"/>
          <w:sz w:val="20"/>
        </w:rPr>
      </w:pPr>
      <w:r>
        <w:rPr>
          <w:rFonts w:ascii="Arial" w:hAnsi="Arial" w:cs="Arial"/>
          <w:sz w:val="20"/>
        </w:rPr>
        <w:t>The</w:t>
      </w:r>
      <w:r w:rsidRPr="00384359">
        <w:rPr>
          <w:rFonts w:ascii="Arial" w:hAnsi="Arial" w:cs="Arial"/>
          <w:sz w:val="20"/>
        </w:rPr>
        <w:t xml:space="preserve"> Advisory Guid</w:t>
      </w:r>
      <w:r>
        <w:rPr>
          <w:rFonts w:ascii="Arial" w:hAnsi="Arial" w:cs="Arial"/>
          <w:sz w:val="20"/>
        </w:rPr>
        <w:t>elines are part of a set of legislative</w:t>
      </w:r>
      <w:r w:rsidRPr="00384359">
        <w:rPr>
          <w:rFonts w:ascii="Arial" w:hAnsi="Arial" w:cs="Arial"/>
          <w:sz w:val="20"/>
        </w:rPr>
        <w:t xml:space="preserve"> instruments which will give effect to th</w:t>
      </w:r>
      <w:r>
        <w:rPr>
          <w:rFonts w:ascii="Arial" w:hAnsi="Arial" w:cs="Arial"/>
          <w:sz w:val="20"/>
        </w:rPr>
        <w:t>is</w:t>
      </w:r>
      <w:r w:rsidRPr="00384359">
        <w:rPr>
          <w:rFonts w:ascii="Arial" w:hAnsi="Arial" w:cs="Arial"/>
          <w:sz w:val="20"/>
        </w:rPr>
        <w:t xml:space="preserve"> </w:t>
      </w:r>
      <w:r w:rsidRPr="006F0C25">
        <w:rPr>
          <w:rFonts w:ascii="Arial" w:hAnsi="Arial" w:cs="Arial"/>
          <w:sz w:val="20"/>
        </w:rPr>
        <w:t xml:space="preserve">spectrum licence technical framework. The set of instruments required for this purpose </w:t>
      </w:r>
      <w:r w:rsidR="00FE2B7B">
        <w:rPr>
          <w:rFonts w:ascii="Arial" w:hAnsi="Arial" w:cs="Arial"/>
          <w:sz w:val="20"/>
        </w:rPr>
        <w:t>are</w:t>
      </w:r>
      <w:r w:rsidR="00FE2B7B" w:rsidRPr="006F0C25">
        <w:rPr>
          <w:rFonts w:ascii="Arial" w:hAnsi="Arial" w:cs="Arial"/>
          <w:sz w:val="20"/>
        </w:rPr>
        <w:t xml:space="preserve"> </w:t>
      </w:r>
      <w:r w:rsidRPr="006F0C25">
        <w:rPr>
          <w:rFonts w:ascii="Arial" w:hAnsi="Arial" w:cs="Arial"/>
          <w:sz w:val="20"/>
        </w:rPr>
        <w:t>listed below:</w:t>
      </w:r>
    </w:p>
    <w:p w:rsidR="00203F3D" w:rsidRPr="004F4310" w:rsidRDefault="00203F3D" w:rsidP="00203F3D">
      <w:pPr>
        <w:pStyle w:val="ACMABodyText"/>
        <w:numPr>
          <w:ilvl w:val="0"/>
          <w:numId w:val="19"/>
        </w:numPr>
        <w:spacing w:line="360" w:lineRule="auto"/>
        <w:jc w:val="both"/>
        <w:rPr>
          <w:rFonts w:ascii="Arial" w:hAnsi="Arial" w:cs="Arial"/>
          <w:sz w:val="20"/>
        </w:rPr>
      </w:pPr>
      <w:r w:rsidRPr="00135D9C">
        <w:rPr>
          <w:rFonts w:ascii="Arial" w:hAnsi="Arial" w:cs="Arial"/>
          <w:i/>
          <w:sz w:val="20"/>
        </w:rPr>
        <w:t xml:space="preserve">Radiocommunications (Spectrum </w:t>
      </w:r>
      <w:r>
        <w:rPr>
          <w:rFonts w:ascii="Arial" w:hAnsi="Arial" w:cs="Arial"/>
          <w:i/>
          <w:sz w:val="20"/>
        </w:rPr>
        <w:t>Re-allocation) Declaration No. 1</w:t>
      </w:r>
      <w:r w:rsidRPr="00135D9C">
        <w:rPr>
          <w:rFonts w:ascii="Arial" w:hAnsi="Arial" w:cs="Arial"/>
          <w:i/>
          <w:sz w:val="20"/>
        </w:rPr>
        <w:t xml:space="preserve"> of 2011</w:t>
      </w:r>
      <w:r w:rsidRPr="0023281A">
        <w:rPr>
          <w:rFonts w:ascii="Arial" w:hAnsi="Arial" w:cs="Arial"/>
          <w:i/>
          <w:sz w:val="20"/>
        </w:rPr>
        <w:t xml:space="preserve"> </w:t>
      </w:r>
    </w:p>
    <w:p w:rsidR="00B8114C" w:rsidRPr="00972DC7" w:rsidRDefault="00B8114C" w:rsidP="00972DC7">
      <w:pPr>
        <w:pStyle w:val="ACMABodyText"/>
        <w:numPr>
          <w:ilvl w:val="0"/>
          <w:numId w:val="19"/>
        </w:numPr>
        <w:spacing w:line="360" w:lineRule="auto"/>
        <w:rPr>
          <w:rFonts w:ascii="Arial" w:hAnsi="Arial"/>
          <w:sz w:val="20"/>
        </w:rPr>
      </w:pPr>
      <w:r w:rsidRPr="00972DC7">
        <w:rPr>
          <w:rFonts w:ascii="Arial" w:hAnsi="Arial"/>
          <w:i/>
          <w:sz w:val="20"/>
        </w:rPr>
        <w:t>Radiocommunications Spectrum Marketing Plan (700 MHz Band) 2012</w:t>
      </w:r>
      <w:r w:rsidRPr="00972DC7">
        <w:rPr>
          <w:rFonts w:ascii="Arial" w:hAnsi="Arial"/>
          <w:sz w:val="20"/>
        </w:rPr>
        <w:t>;</w:t>
      </w:r>
    </w:p>
    <w:p w:rsidR="00B8114C" w:rsidRPr="00972DC7" w:rsidRDefault="00B8114C" w:rsidP="00972DC7">
      <w:pPr>
        <w:pStyle w:val="ACMABodyText"/>
        <w:numPr>
          <w:ilvl w:val="0"/>
          <w:numId w:val="19"/>
        </w:numPr>
        <w:spacing w:line="360" w:lineRule="auto"/>
        <w:rPr>
          <w:rFonts w:ascii="Arial" w:hAnsi="Arial"/>
          <w:sz w:val="20"/>
        </w:rPr>
      </w:pPr>
      <w:r w:rsidRPr="00972DC7">
        <w:rPr>
          <w:rFonts w:ascii="Arial" w:hAnsi="Arial"/>
          <w:i/>
          <w:sz w:val="20"/>
        </w:rPr>
        <w:t>Radiocommunications (Unacceptable Levels of Interference — 700 MHz Band) Determination 2012</w:t>
      </w:r>
      <w:r w:rsidRPr="00972DC7">
        <w:rPr>
          <w:rFonts w:ascii="Arial" w:hAnsi="Arial"/>
          <w:sz w:val="20"/>
        </w:rPr>
        <w:t>;</w:t>
      </w:r>
    </w:p>
    <w:p w:rsidR="00B8114C" w:rsidRPr="00972DC7" w:rsidRDefault="00B8114C" w:rsidP="00972DC7">
      <w:pPr>
        <w:pStyle w:val="ACMABodyText"/>
        <w:numPr>
          <w:ilvl w:val="0"/>
          <w:numId w:val="19"/>
        </w:numPr>
        <w:spacing w:line="360" w:lineRule="auto"/>
        <w:rPr>
          <w:rFonts w:ascii="Arial" w:hAnsi="Arial"/>
          <w:sz w:val="20"/>
        </w:rPr>
      </w:pPr>
      <w:r w:rsidRPr="00972DC7">
        <w:rPr>
          <w:rFonts w:ascii="Arial" w:hAnsi="Arial"/>
          <w:i/>
          <w:sz w:val="20"/>
        </w:rPr>
        <w:t>Radiocommunications Advisory Guidelines (Managing Interference from Transmitters – 700 MHz Band) 2012</w:t>
      </w:r>
      <w:r w:rsidRPr="00972DC7">
        <w:rPr>
          <w:rFonts w:ascii="Arial" w:hAnsi="Arial"/>
          <w:sz w:val="20"/>
        </w:rPr>
        <w:t>; and</w:t>
      </w:r>
    </w:p>
    <w:p w:rsidR="00B8114C" w:rsidRPr="00972DC7" w:rsidRDefault="00A721BC" w:rsidP="00972DC7">
      <w:pPr>
        <w:pStyle w:val="ACMABodyText"/>
        <w:numPr>
          <w:ilvl w:val="0"/>
          <w:numId w:val="19"/>
        </w:numPr>
        <w:spacing w:line="360" w:lineRule="auto"/>
        <w:rPr>
          <w:rFonts w:ascii="Arial" w:hAnsi="Arial"/>
          <w:sz w:val="20"/>
        </w:rPr>
      </w:pPr>
      <w:r w:rsidRPr="00A721BC">
        <w:rPr>
          <w:rFonts w:ascii="Arial" w:hAnsi="Arial"/>
          <w:sz w:val="20"/>
        </w:rPr>
        <w:lastRenderedPageBreak/>
        <w:t>these Advisory Guidelines</w:t>
      </w:r>
      <w:r w:rsidR="00B8114C" w:rsidRPr="00972DC7">
        <w:rPr>
          <w:rFonts w:ascii="Arial" w:hAnsi="Arial"/>
          <w:sz w:val="20"/>
        </w:rPr>
        <w:t>.</w:t>
      </w:r>
    </w:p>
    <w:p w:rsidR="00B8114C" w:rsidRDefault="00B8114C" w:rsidP="00AF12CE">
      <w:pPr>
        <w:pStyle w:val="ACMAHeading3"/>
        <w:spacing w:line="360" w:lineRule="auto"/>
        <w:rPr>
          <w:sz w:val="20"/>
        </w:rPr>
      </w:pPr>
      <w:r w:rsidRPr="001D6BBA">
        <w:rPr>
          <w:sz w:val="20"/>
        </w:rPr>
        <w:t>Operation</w:t>
      </w:r>
    </w:p>
    <w:p w:rsidR="00B8114C" w:rsidRDefault="00B8114C" w:rsidP="00762FC0">
      <w:pPr>
        <w:spacing w:after="240" w:line="360" w:lineRule="auto"/>
        <w:jc w:val="both"/>
        <w:rPr>
          <w:rFonts w:ascii="Arial" w:hAnsi="Arial" w:cs="Arial"/>
          <w:sz w:val="20"/>
          <w:szCs w:val="20"/>
        </w:rPr>
      </w:pPr>
      <w:r w:rsidRPr="00762FC0">
        <w:rPr>
          <w:rFonts w:ascii="Arial" w:hAnsi="Arial" w:cs="Arial"/>
          <w:sz w:val="20"/>
          <w:szCs w:val="20"/>
        </w:rPr>
        <w:t xml:space="preserve">A spectrum licence </w:t>
      </w:r>
      <w:r>
        <w:rPr>
          <w:rFonts w:ascii="Arial" w:hAnsi="Arial" w:cs="Arial"/>
          <w:sz w:val="20"/>
          <w:szCs w:val="20"/>
        </w:rPr>
        <w:t>permits a licensee, subject to specified conditions, to operate radiocommunications devices</w:t>
      </w:r>
      <w:r w:rsidRPr="00EC4D12">
        <w:rPr>
          <w:rFonts w:ascii="Arial" w:hAnsi="Arial" w:cs="Arial"/>
          <w:sz w:val="20"/>
          <w:szCs w:val="20"/>
        </w:rPr>
        <w:t xml:space="preserve"> </w:t>
      </w:r>
      <w:r>
        <w:rPr>
          <w:rFonts w:ascii="Arial" w:hAnsi="Arial" w:cs="Arial"/>
          <w:sz w:val="20"/>
          <w:szCs w:val="20"/>
        </w:rPr>
        <w:t>within spectrum space defined by</w:t>
      </w:r>
      <w:r w:rsidRPr="00EC4D12">
        <w:rPr>
          <w:rFonts w:ascii="Arial" w:hAnsi="Arial" w:cs="Arial"/>
          <w:sz w:val="20"/>
          <w:szCs w:val="20"/>
        </w:rPr>
        <w:t xml:space="preserve"> </w:t>
      </w:r>
      <w:r w:rsidRPr="00762FC0">
        <w:rPr>
          <w:rFonts w:ascii="Arial" w:hAnsi="Arial" w:cs="Arial"/>
          <w:sz w:val="20"/>
          <w:szCs w:val="20"/>
        </w:rPr>
        <w:t>a frequency band and a geographic area. Interference occurring between adjacen</w:t>
      </w:r>
      <w:r>
        <w:rPr>
          <w:rFonts w:ascii="Arial" w:hAnsi="Arial" w:cs="Arial"/>
          <w:sz w:val="20"/>
          <w:szCs w:val="20"/>
        </w:rPr>
        <w:t xml:space="preserve">t spectrum licences consists of </w:t>
      </w:r>
      <w:r>
        <w:rPr>
          <w:rFonts w:ascii="Arial" w:hAnsi="Arial"/>
          <w:sz w:val="20"/>
        </w:rPr>
        <w:t>i</w:t>
      </w:r>
      <w:r w:rsidRPr="00762FC0">
        <w:rPr>
          <w:rFonts w:ascii="Arial" w:hAnsi="Arial"/>
          <w:sz w:val="20"/>
        </w:rPr>
        <w:t>n-band interference, a</w:t>
      </w:r>
      <w:r>
        <w:rPr>
          <w:rFonts w:ascii="Arial" w:hAnsi="Arial"/>
          <w:sz w:val="20"/>
        </w:rPr>
        <w:t xml:space="preserve">cross the geographic boundaries, </w:t>
      </w:r>
      <w:r w:rsidRPr="00762FC0">
        <w:rPr>
          <w:rFonts w:ascii="Arial" w:hAnsi="Arial"/>
          <w:sz w:val="20"/>
        </w:rPr>
        <w:t>and</w:t>
      </w:r>
      <w:r>
        <w:rPr>
          <w:rFonts w:ascii="Arial" w:hAnsi="Arial"/>
          <w:sz w:val="20"/>
        </w:rPr>
        <w:t xml:space="preserve"> o</w:t>
      </w:r>
      <w:r w:rsidRPr="00762FC0">
        <w:rPr>
          <w:rFonts w:ascii="Arial" w:hAnsi="Arial"/>
          <w:sz w:val="20"/>
        </w:rPr>
        <w:t>ut-of-band interference, across the frequency boundaries.</w:t>
      </w:r>
      <w:r>
        <w:rPr>
          <w:rFonts w:ascii="Arial" w:hAnsi="Arial" w:cs="Arial"/>
          <w:sz w:val="20"/>
          <w:szCs w:val="20"/>
        </w:rPr>
        <w:t xml:space="preserve"> I</w:t>
      </w:r>
      <w:r w:rsidRPr="00762FC0">
        <w:rPr>
          <w:rFonts w:ascii="Arial" w:hAnsi="Arial" w:cs="Arial"/>
          <w:sz w:val="20"/>
          <w:szCs w:val="20"/>
        </w:rPr>
        <w:t xml:space="preserve">nterference can also occur between spectrum licensed services and services operating under apparatus and class licensing arrangements.  </w:t>
      </w:r>
    </w:p>
    <w:p w:rsidR="00B8114C" w:rsidRPr="00DB54EB" w:rsidRDefault="00B8114C" w:rsidP="00DB54EB">
      <w:pPr>
        <w:spacing w:after="240" w:line="360" w:lineRule="auto"/>
        <w:jc w:val="both"/>
        <w:rPr>
          <w:rFonts w:ascii="Arial" w:hAnsi="Arial"/>
          <w:sz w:val="20"/>
        </w:rPr>
      </w:pPr>
      <w:r>
        <w:rPr>
          <w:rFonts w:ascii="Arial" w:hAnsi="Arial"/>
          <w:sz w:val="20"/>
        </w:rPr>
        <w:t>S</w:t>
      </w:r>
      <w:r w:rsidRPr="00DB54EB">
        <w:rPr>
          <w:rFonts w:ascii="Arial" w:hAnsi="Arial"/>
          <w:sz w:val="20"/>
        </w:rPr>
        <w:t>pectrum licensed radiocommunications receivers operat</w:t>
      </w:r>
      <w:r>
        <w:rPr>
          <w:rFonts w:ascii="Arial" w:hAnsi="Arial"/>
          <w:sz w:val="20"/>
        </w:rPr>
        <w:t>ing</w:t>
      </w:r>
      <w:r w:rsidRPr="00DB54EB">
        <w:rPr>
          <w:rFonts w:ascii="Arial" w:hAnsi="Arial"/>
          <w:sz w:val="20"/>
        </w:rPr>
        <w:t xml:space="preserve"> in the 700 MHz band</w:t>
      </w:r>
      <w:r>
        <w:rPr>
          <w:rFonts w:ascii="Arial" w:hAnsi="Arial"/>
          <w:sz w:val="20"/>
        </w:rPr>
        <w:t xml:space="preserve"> could</w:t>
      </w:r>
      <w:r w:rsidRPr="00DB54EB">
        <w:rPr>
          <w:rFonts w:ascii="Arial" w:hAnsi="Arial"/>
          <w:sz w:val="20"/>
        </w:rPr>
        <w:t xml:space="preserve"> </w:t>
      </w:r>
      <w:r>
        <w:rPr>
          <w:rFonts w:ascii="Arial" w:hAnsi="Arial"/>
          <w:sz w:val="20"/>
        </w:rPr>
        <w:t>p</w:t>
      </w:r>
      <w:r w:rsidRPr="00DB54EB">
        <w:rPr>
          <w:rFonts w:ascii="Arial" w:hAnsi="Arial"/>
          <w:sz w:val="20"/>
        </w:rPr>
        <w:t xml:space="preserve">otentially suffer interference caused by radiocommunications transmitters operated under a licence in </w:t>
      </w:r>
      <w:r>
        <w:rPr>
          <w:rFonts w:ascii="Arial" w:hAnsi="Arial"/>
          <w:sz w:val="20"/>
        </w:rPr>
        <w:t xml:space="preserve">or adjacent to </w:t>
      </w:r>
      <w:r w:rsidRPr="00DB54EB">
        <w:rPr>
          <w:rFonts w:ascii="Arial" w:hAnsi="Arial"/>
          <w:sz w:val="20"/>
        </w:rPr>
        <w:t>the 700 MHz band.</w:t>
      </w:r>
    </w:p>
    <w:p w:rsidR="00B8114C" w:rsidRPr="00762FC0" w:rsidRDefault="00B8114C" w:rsidP="00762FC0">
      <w:pPr>
        <w:spacing w:after="240" w:line="360" w:lineRule="auto"/>
        <w:jc w:val="both"/>
        <w:rPr>
          <w:rFonts w:ascii="Arial" w:hAnsi="Arial" w:cs="Arial"/>
          <w:sz w:val="20"/>
          <w:szCs w:val="20"/>
        </w:rPr>
      </w:pPr>
      <w:r w:rsidRPr="00762FC0">
        <w:rPr>
          <w:rFonts w:ascii="Arial" w:hAnsi="Arial" w:cs="Arial"/>
          <w:sz w:val="20"/>
          <w:szCs w:val="20"/>
        </w:rPr>
        <w:t xml:space="preserve">Interference is generally managed by a set of interference management tools given effect by the Act and implemented by </w:t>
      </w:r>
      <w:r>
        <w:rPr>
          <w:rFonts w:ascii="Arial" w:hAnsi="Arial" w:cs="Arial"/>
          <w:sz w:val="20"/>
          <w:szCs w:val="20"/>
        </w:rPr>
        <w:t xml:space="preserve">the </w:t>
      </w:r>
      <w:r w:rsidRPr="00762FC0">
        <w:rPr>
          <w:rFonts w:ascii="Arial" w:hAnsi="Arial" w:cs="Arial"/>
          <w:sz w:val="20"/>
          <w:szCs w:val="20"/>
        </w:rPr>
        <w:t>ACMA. These tools include:</w:t>
      </w:r>
    </w:p>
    <w:p w:rsidR="00B8114C" w:rsidRPr="00762FC0" w:rsidRDefault="00B8114C" w:rsidP="00762FC0">
      <w:pPr>
        <w:pStyle w:val="ACMABodyText"/>
        <w:numPr>
          <w:ilvl w:val="0"/>
          <w:numId w:val="19"/>
        </w:numPr>
        <w:spacing w:line="360" w:lineRule="auto"/>
        <w:rPr>
          <w:rFonts w:ascii="Arial" w:hAnsi="Arial"/>
          <w:sz w:val="20"/>
        </w:rPr>
      </w:pPr>
      <w:r>
        <w:rPr>
          <w:rFonts w:ascii="Arial" w:hAnsi="Arial"/>
          <w:sz w:val="20"/>
        </w:rPr>
        <w:t>t</w:t>
      </w:r>
      <w:r w:rsidRPr="00762FC0">
        <w:rPr>
          <w:rFonts w:ascii="Arial" w:hAnsi="Arial"/>
          <w:sz w:val="20"/>
        </w:rPr>
        <w:t>he core conditions of the spectrum licence;</w:t>
      </w:r>
    </w:p>
    <w:p w:rsidR="00B8114C" w:rsidRPr="00762FC0" w:rsidRDefault="00B8114C" w:rsidP="00762FC0">
      <w:pPr>
        <w:pStyle w:val="ACMABodyText"/>
        <w:numPr>
          <w:ilvl w:val="0"/>
          <w:numId w:val="19"/>
        </w:numPr>
        <w:spacing w:line="360" w:lineRule="auto"/>
        <w:rPr>
          <w:rFonts w:ascii="Arial" w:hAnsi="Arial"/>
          <w:sz w:val="20"/>
        </w:rPr>
      </w:pPr>
      <w:r>
        <w:rPr>
          <w:rFonts w:ascii="Arial" w:hAnsi="Arial"/>
          <w:sz w:val="20"/>
        </w:rPr>
        <w:t>a</w:t>
      </w:r>
      <w:r w:rsidRPr="00762FC0">
        <w:rPr>
          <w:rFonts w:ascii="Arial" w:hAnsi="Arial"/>
          <w:sz w:val="20"/>
        </w:rPr>
        <w:t xml:space="preserve"> determination made under s</w:t>
      </w:r>
      <w:r>
        <w:rPr>
          <w:rFonts w:ascii="Arial" w:hAnsi="Arial"/>
          <w:sz w:val="20"/>
        </w:rPr>
        <w:t xml:space="preserve">ection </w:t>
      </w:r>
      <w:r w:rsidRPr="00762FC0">
        <w:rPr>
          <w:rFonts w:ascii="Arial" w:hAnsi="Arial"/>
          <w:sz w:val="20"/>
        </w:rPr>
        <w:t>145 of the Act about what constitutes acceptable interference; and</w:t>
      </w:r>
    </w:p>
    <w:p w:rsidR="00B8114C" w:rsidRPr="00762FC0" w:rsidRDefault="00FE2B7B" w:rsidP="00762FC0">
      <w:pPr>
        <w:pStyle w:val="ACMABodyText"/>
        <w:numPr>
          <w:ilvl w:val="0"/>
          <w:numId w:val="19"/>
        </w:numPr>
        <w:spacing w:line="360" w:lineRule="auto"/>
        <w:rPr>
          <w:rFonts w:ascii="Arial" w:hAnsi="Arial"/>
          <w:sz w:val="20"/>
        </w:rPr>
      </w:pPr>
      <w:r>
        <w:rPr>
          <w:rFonts w:ascii="Arial" w:hAnsi="Arial"/>
          <w:sz w:val="20"/>
        </w:rPr>
        <w:t>a</w:t>
      </w:r>
      <w:r w:rsidR="00B8114C" w:rsidRPr="00762FC0">
        <w:rPr>
          <w:rFonts w:ascii="Arial" w:hAnsi="Arial"/>
          <w:sz w:val="20"/>
        </w:rPr>
        <w:t>dvisory guidelines made under s</w:t>
      </w:r>
      <w:r w:rsidR="00B8114C">
        <w:rPr>
          <w:rFonts w:ascii="Arial" w:hAnsi="Arial"/>
          <w:sz w:val="20"/>
        </w:rPr>
        <w:t xml:space="preserve">ection </w:t>
      </w:r>
      <w:r w:rsidR="00B8114C" w:rsidRPr="00762FC0">
        <w:rPr>
          <w:rFonts w:ascii="Arial" w:hAnsi="Arial"/>
          <w:sz w:val="20"/>
        </w:rPr>
        <w:t>262 of the Act about managing interference in specific circumstances.</w:t>
      </w:r>
    </w:p>
    <w:p w:rsidR="00B8114C" w:rsidRDefault="00B8114C" w:rsidP="00762FC0">
      <w:pPr>
        <w:spacing w:after="240" w:line="360" w:lineRule="auto"/>
        <w:jc w:val="both"/>
        <w:rPr>
          <w:rFonts w:ascii="Arial" w:hAnsi="Arial"/>
          <w:sz w:val="20"/>
        </w:rPr>
      </w:pPr>
      <w:r>
        <w:rPr>
          <w:rFonts w:ascii="Arial" w:hAnsi="Arial" w:cs="Arial"/>
          <w:sz w:val="20"/>
          <w:szCs w:val="20"/>
        </w:rPr>
        <w:t xml:space="preserve">These Advisory Guidelines are made under section 262 of the Act. They aim </w:t>
      </w:r>
      <w:r w:rsidRPr="001D6BBA">
        <w:rPr>
          <w:rFonts w:ascii="Arial" w:hAnsi="Arial"/>
          <w:sz w:val="20"/>
        </w:rPr>
        <w:t>to</w:t>
      </w:r>
      <w:r>
        <w:rPr>
          <w:rFonts w:ascii="Arial" w:hAnsi="Arial"/>
          <w:sz w:val="20"/>
        </w:rPr>
        <w:t xml:space="preserve"> assist the ACMA </w:t>
      </w:r>
      <w:r w:rsidR="002A407B">
        <w:rPr>
          <w:rFonts w:ascii="Arial" w:hAnsi="Arial"/>
          <w:sz w:val="20"/>
        </w:rPr>
        <w:t xml:space="preserve">and licensees </w:t>
      </w:r>
      <w:r>
        <w:rPr>
          <w:rFonts w:ascii="Arial" w:hAnsi="Arial"/>
          <w:sz w:val="20"/>
        </w:rPr>
        <w:t>to manage</w:t>
      </w:r>
      <w:r w:rsidRPr="00DB18FE">
        <w:rPr>
          <w:rFonts w:ascii="Arial" w:hAnsi="Arial"/>
          <w:sz w:val="20"/>
        </w:rPr>
        <w:t xml:space="preserve"> interference</w:t>
      </w:r>
      <w:r>
        <w:rPr>
          <w:rFonts w:ascii="Arial" w:hAnsi="Arial"/>
          <w:sz w:val="20"/>
        </w:rPr>
        <w:t xml:space="preserve"> by providing:</w:t>
      </w:r>
    </w:p>
    <w:p w:rsidR="00B8114C" w:rsidRPr="009806DB" w:rsidRDefault="00B8114C" w:rsidP="009806DB">
      <w:pPr>
        <w:pStyle w:val="ACMABodyText"/>
        <w:numPr>
          <w:ilvl w:val="0"/>
          <w:numId w:val="19"/>
        </w:numPr>
        <w:spacing w:line="360" w:lineRule="auto"/>
        <w:rPr>
          <w:rFonts w:ascii="Arial" w:hAnsi="Arial"/>
          <w:sz w:val="20"/>
        </w:rPr>
      </w:pPr>
      <w:r w:rsidRPr="009806DB">
        <w:rPr>
          <w:rFonts w:ascii="Arial" w:hAnsi="Arial"/>
          <w:sz w:val="20"/>
        </w:rPr>
        <w:t>compatibility requirements for registered fixed receivers operating under spectrum licences issued for the 700 MHz band</w:t>
      </w:r>
      <w:r>
        <w:rPr>
          <w:rFonts w:ascii="Arial" w:hAnsi="Arial"/>
          <w:sz w:val="20"/>
        </w:rPr>
        <w:t xml:space="preserve"> in order to manage </w:t>
      </w:r>
      <w:r w:rsidRPr="009806DB">
        <w:rPr>
          <w:rFonts w:ascii="Arial" w:hAnsi="Arial"/>
          <w:sz w:val="20"/>
        </w:rPr>
        <w:t xml:space="preserve">in-band and out-of-band interference; </w:t>
      </w:r>
    </w:p>
    <w:p w:rsidR="00B8114C" w:rsidRPr="009806DB" w:rsidRDefault="00B8114C" w:rsidP="009806DB">
      <w:pPr>
        <w:pStyle w:val="ACMABodyText"/>
        <w:numPr>
          <w:ilvl w:val="0"/>
          <w:numId w:val="19"/>
        </w:numPr>
        <w:spacing w:line="360" w:lineRule="auto"/>
        <w:rPr>
          <w:rFonts w:ascii="Arial" w:hAnsi="Arial"/>
          <w:sz w:val="20"/>
        </w:rPr>
      </w:pPr>
      <w:r w:rsidRPr="009806DB">
        <w:rPr>
          <w:rFonts w:ascii="Arial" w:hAnsi="Arial"/>
          <w:sz w:val="20"/>
        </w:rPr>
        <w:t xml:space="preserve">protection from interference caused by fixed transmitters operated under apparatus licenses, class licenses and spectrum licenses  issued after the commencement of the </w:t>
      </w:r>
      <w:r w:rsidRPr="009806DB">
        <w:rPr>
          <w:rFonts w:ascii="Arial" w:hAnsi="Arial"/>
          <w:i/>
          <w:sz w:val="20"/>
        </w:rPr>
        <w:t>Radiocommunications Spectrum Marketing Plan (700 MHz) 2012</w:t>
      </w:r>
      <w:r w:rsidRPr="009806DB">
        <w:rPr>
          <w:rFonts w:ascii="Arial" w:hAnsi="Arial"/>
          <w:sz w:val="20"/>
        </w:rPr>
        <w:t>; and</w:t>
      </w:r>
    </w:p>
    <w:p w:rsidR="00B8114C" w:rsidRPr="009806DB" w:rsidRDefault="00B8114C" w:rsidP="009806DB">
      <w:pPr>
        <w:pStyle w:val="ACMABodyText"/>
        <w:numPr>
          <w:ilvl w:val="0"/>
          <w:numId w:val="19"/>
        </w:numPr>
        <w:spacing w:line="360" w:lineRule="auto"/>
        <w:rPr>
          <w:rFonts w:ascii="Arial" w:hAnsi="Arial"/>
          <w:sz w:val="20"/>
        </w:rPr>
      </w:pPr>
      <w:r w:rsidRPr="009806DB">
        <w:rPr>
          <w:rFonts w:ascii="Arial" w:hAnsi="Arial"/>
          <w:sz w:val="20"/>
        </w:rPr>
        <w:t>advice on the coordination of spectrum-licensed services with television broadcast services that may be in operation following the commencement of the spectrum licence.</w:t>
      </w:r>
    </w:p>
    <w:p w:rsidR="00B8114C" w:rsidRDefault="00B8114C" w:rsidP="00AF12CE">
      <w:pPr>
        <w:pStyle w:val="ACMABodyText"/>
        <w:spacing w:line="360" w:lineRule="auto"/>
        <w:rPr>
          <w:rFonts w:ascii="Arial" w:hAnsi="Arial"/>
          <w:sz w:val="20"/>
        </w:rPr>
      </w:pPr>
      <w:r>
        <w:rPr>
          <w:rFonts w:ascii="Arial" w:hAnsi="Arial"/>
          <w:sz w:val="20"/>
        </w:rPr>
        <w:t xml:space="preserve">The </w:t>
      </w:r>
      <w:r w:rsidRPr="001D6BBA">
        <w:rPr>
          <w:rFonts w:ascii="Arial" w:hAnsi="Arial"/>
          <w:sz w:val="20"/>
        </w:rPr>
        <w:t xml:space="preserve">ACMA </w:t>
      </w:r>
      <w:r>
        <w:rPr>
          <w:rFonts w:ascii="Arial" w:hAnsi="Arial"/>
          <w:sz w:val="20"/>
        </w:rPr>
        <w:t xml:space="preserve">will </w:t>
      </w:r>
      <w:r w:rsidRPr="001D6BBA">
        <w:rPr>
          <w:rFonts w:ascii="Arial" w:hAnsi="Arial"/>
          <w:sz w:val="20"/>
        </w:rPr>
        <w:t>take the</w:t>
      </w:r>
      <w:r>
        <w:rPr>
          <w:rFonts w:ascii="Arial" w:hAnsi="Arial"/>
          <w:sz w:val="20"/>
        </w:rPr>
        <w:t>se</w:t>
      </w:r>
      <w:r w:rsidRPr="001D6BBA">
        <w:rPr>
          <w:rFonts w:ascii="Arial" w:hAnsi="Arial"/>
          <w:sz w:val="20"/>
        </w:rPr>
        <w:t xml:space="preserve"> Advisory Guideline</w:t>
      </w:r>
      <w:r>
        <w:rPr>
          <w:rFonts w:ascii="Arial" w:hAnsi="Arial"/>
          <w:sz w:val="20"/>
        </w:rPr>
        <w:t>s</w:t>
      </w:r>
      <w:r w:rsidRPr="001D6BBA">
        <w:rPr>
          <w:rFonts w:ascii="Arial" w:hAnsi="Arial"/>
          <w:sz w:val="20"/>
        </w:rPr>
        <w:t xml:space="preserve"> into account when determining whether a spectrum licensee is causing interference to a licensed receiver that is operating in accordance with its licence conditions.</w:t>
      </w:r>
    </w:p>
    <w:p w:rsidR="00B8114C" w:rsidRDefault="00B8114C" w:rsidP="00AF12CE">
      <w:pPr>
        <w:pStyle w:val="ACMABodyText"/>
        <w:spacing w:line="360" w:lineRule="auto"/>
        <w:rPr>
          <w:rFonts w:ascii="Arial" w:hAnsi="Arial"/>
          <w:sz w:val="20"/>
        </w:rPr>
      </w:pPr>
      <w:r w:rsidRPr="001D6BBA">
        <w:rPr>
          <w:rFonts w:ascii="Arial" w:hAnsi="Arial"/>
          <w:sz w:val="20"/>
        </w:rPr>
        <w:t>The</w:t>
      </w:r>
      <w:r>
        <w:rPr>
          <w:rFonts w:ascii="Arial" w:hAnsi="Arial"/>
          <w:sz w:val="20"/>
        </w:rPr>
        <w:t>se</w:t>
      </w:r>
      <w:r w:rsidRPr="001D6BBA">
        <w:rPr>
          <w:rFonts w:ascii="Arial" w:hAnsi="Arial"/>
          <w:sz w:val="20"/>
        </w:rPr>
        <w:t xml:space="preserve"> Advisory Guideline</w:t>
      </w:r>
      <w:r>
        <w:rPr>
          <w:rFonts w:ascii="Arial" w:hAnsi="Arial"/>
          <w:sz w:val="20"/>
        </w:rPr>
        <w:t>s</w:t>
      </w:r>
      <w:r w:rsidRPr="001D6BBA">
        <w:rPr>
          <w:rFonts w:ascii="Arial" w:hAnsi="Arial"/>
          <w:sz w:val="20"/>
        </w:rPr>
        <w:t xml:space="preserve"> do not limit the actions of a spectrum licensee in negotiating operating or protection requirements with another licensee.</w:t>
      </w:r>
    </w:p>
    <w:p w:rsidR="00B8114C" w:rsidRDefault="00B8114C" w:rsidP="00AF12CE">
      <w:pPr>
        <w:pStyle w:val="ACMAHeading3"/>
        <w:spacing w:line="360" w:lineRule="auto"/>
        <w:rPr>
          <w:sz w:val="20"/>
        </w:rPr>
      </w:pPr>
      <w:r w:rsidRPr="001D6BBA">
        <w:rPr>
          <w:sz w:val="20"/>
        </w:rPr>
        <w:t>Consultation</w:t>
      </w:r>
    </w:p>
    <w:p w:rsidR="008C174F" w:rsidRDefault="00B8114C" w:rsidP="008C174F">
      <w:pPr>
        <w:spacing w:line="360" w:lineRule="auto"/>
      </w:pPr>
      <w:r>
        <w:rPr>
          <w:rFonts w:ascii="Arial" w:hAnsi="Arial" w:cs="Arial"/>
          <w:sz w:val="20"/>
          <w:szCs w:val="20"/>
        </w:rPr>
        <w:t>The ACMA has engaged extensively with stakeholders about its plans to develop a spectrum licensing technical framework for the 700 MHz band.</w:t>
      </w:r>
    </w:p>
    <w:p w:rsidR="00B8114C" w:rsidRPr="00755F38" w:rsidRDefault="00B8114C" w:rsidP="00432C9E">
      <w:pPr>
        <w:pStyle w:val="ACMABodyText"/>
        <w:spacing w:line="360" w:lineRule="auto"/>
        <w:jc w:val="both"/>
        <w:rPr>
          <w:rFonts w:ascii="Arial" w:hAnsi="Arial" w:cs="Arial"/>
          <w:sz w:val="20"/>
        </w:rPr>
      </w:pPr>
      <w:r w:rsidRPr="00755F38">
        <w:rPr>
          <w:rFonts w:ascii="Arial" w:hAnsi="Arial" w:cs="Arial"/>
          <w:sz w:val="20"/>
        </w:rPr>
        <w:t>On 24 June 2010</w:t>
      </w:r>
      <w:r>
        <w:rPr>
          <w:rFonts w:ascii="Arial" w:hAnsi="Arial" w:cs="Arial"/>
          <w:sz w:val="20"/>
        </w:rPr>
        <w:t>, after examining responses to the</w:t>
      </w:r>
      <w:r w:rsidRPr="00755F38">
        <w:rPr>
          <w:rFonts w:ascii="Arial" w:hAnsi="Arial" w:cs="Arial"/>
          <w:sz w:val="20"/>
        </w:rPr>
        <w:t xml:space="preserve"> </w:t>
      </w:r>
      <w:r>
        <w:rPr>
          <w:rFonts w:ascii="Arial" w:hAnsi="Arial" w:cs="Arial"/>
          <w:sz w:val="20"/>
        </w:rPr>
        <w:t xml:space="preserve">DBCDE’s Digital Dividend Green Paper </w:t>
      </w:r>
      <w:r w:rsidRPr="00755F38">
        <w:rPr>
          <w:rFonts w:ascii="Arial" w:hAnsi="Arial" w:cs="Arial"/>
          <w:sz w:val="20"/>
        </w:rPr>
        <w:t xml:space="preserve">on possible uses of this spectrum, </w:t>
      </w:r>
      <w:r>
        <w:rPr>
          <w:rFonts w:ascii="Arial" w:hAnsi="Arial" w:cs="Arial"/>
          <w:sz w:val="20"/>
        </w:rPr>
        <w:t xml:space="preserve">the </w:t>
      </w:r>
      <w:r w:rsidR="00FE2B7B">
        <w:rPr>
          <w:rFonts w:ascii="Arial" w:hAnsi="Arial" w:cs="Arial"/>
          <w:sz w:val="20"/>
        </w:rPr>
        <w:t>M</w:t>
      </w:r>
      <w:r>
        <w:rPr>
          <w:rFonts w:ascii="Arial" w:hAnsi="Arial" w:cs="Arial"/>
          <w:sz w:val="20"/>
        </w:rPr>
        <w:t xml:space="preserve">inister </w:t>
      </w:r>
      <w:r w:rsidRPr="00755F38">
        <w:rPr>
          <w:rFonts w:ascii="Arial" w:hAnsi="Arial" w:cs="Arial"/>
          <w:sz w:val="20"/>
        </w:rPr>
        <w:t xml:space="preserve">for Broadband Communications and the Digital Economy </w:t>
      </w:r>
      <w:r>
        <w:rPr>
          <w:rFonts w:ascii="Arial" w:hAnsi="Arial" w:cs="Arial"/>
          <w:sz w:val="20"/>
        </w:rPr>
        <w:t xml:space="preserve">(the </w:t>
      </w:r>
      <w:r w:rsidR="006E1DF9" w:rsidRPr="006E1DF9">
        <w:rPr>
          <w:rFonts w:ascii="Arial" w:hAnsi="Arial" w:cs="Arial"/>
          <w:b/>
          <w:sz w:val="20"/>
        </w:rPr>
        <w:t>Minister</w:t>
      </w:r>
      <w:r>
        <w:rPr>
          <w:rFonts w:ascii="Arial" w:hAnsi="Arial" w:cs="Arial"/>
          <w:sz w:val="20"/>
        </w:rPr>
        <w:t xml:space="preserve">) announced that the digital dividend would consist of </w:t>
      </w:r>
      <w:r w:rsidRPr="00755F38">
        <w:rPr>
          <w:rFonts w:ascii="Arial" w:hAnsi="Arial" w:cs="Arial"/>
          <w:sz w:val="20"/>
        </w:rPr>
        <w:t>126</w:t>
      </w:r>
      <w:r>
        <w:rPr>
          <w:rFonts w:ascii="Arial" w:hAnsi="Arial" w:cs="Arial"/>
          <w:sz w:val="20"/>
        </w:rPr>
        <w:t xml:space="preserve"> </w:t>
      </w:r>
      <w:r w:rsidRPr="00755F38">
        <w:rPr>
          <w:rFonts w:ascii="Arial" w:hAnsi="Arial" w:cs="Arial"/>
          <w:sz w:val="20"/>
        </w:rPr>
        <w:t>MHz</w:t>
      </w:r>
      <w:r>
        <w:rPr>
          <w:rFonts w:ascii="Arial" w:hAnsi="Arial" w:cs="Arial"/>
          <w:sz w:val="20"/>
        </w:rPr>
        <w:t xml:space="preserve"> of contiguous spectrum in the frequency range 694 MHz to 820 MHz</w:t>
      </w:r>
      <w:r>
        <w:rPr>
          <w:rStyle w:val="FootnoteReference"/>
          <w:rFonts w:ascii="Arial" w:hAnsi="Arial" w:cs="Arial"/>
          <w:sz w:val="20"/>
        </w:rPr>
        <w:footnoteReference w:id="2"/>
      </w:r>
      <w:r>
        <w:rPr>
          <w:rFonts w:ascii="Arial" w:hAnsi="Arial" w:cs="Arial"/>
          <w:sz w:val="20"/>
        </w:rPr>
        <w:t xml:space="preserve">, and in July 2010, the Minister </w:t>
      </w:r>
      <w:r w:rsidRPr="00755F38">
        <w:rPr>
          <w:rFonts w:ascii="Arial" w:hAnsi="Arial" w:cs="Arial"/>
          <w:sz w:val="20"/>
        </w:rPr>
        <w:t>directed the ACMA to clear 126 MHz of digital dividend spectrum (694–820 MHz)</w:t>
      </w:r>
      <w:r w:rsidR="0037505C">
        <w:rPr>
          <w:rFonts w:ascii="Arial" w:hAnsi="Arial" w:cs="Arial"/>
          <w:sz w:val="20"/>
        </w:rPr>
        <w:t>.</w:t>
      </w:r>
      <w:r>
        <w:rPr>
          <w:rStyle w:val="FootnoteReference"/>
          <w:rFonts w:ascii="Arial" w:hAnsi="Arial" w:cs="Arial"/>
          <w:sz w:val="20"/>
        </w:rPr>
        <w:footnoteReference w:id="3"/>
      </w:r>
      <w:r w:rsidRPr="00755F38">
        <w:rPr>
          <w:rFonts w:ascii="Arial" w:hAnsi="Arial" w:cs="Arial"/>
          <w:sz w:val="20"/>
        </w:rPr>
        <w:t xml:space="preserve">  </w:t>
      </w:r>
    </w:p>
    <w:p w:rsidR="00B8114C" w:rsidRDefault="00B8114C" w:rsidP="00AF12CE">
      <w:pPr>
        <w:spacing w:line="360" w:lineRule="auto"/>
        <w:rPr>
          <w:rFonts w:ascii="Arial" w:hAnsi="Arial" w:cs="Arial"/>
          <w:sz w:val="20"/>
          <w:szCs w:val="20"/>
        </w:rPr>
      </w:pPr>
      <w:r>
        <w:rPr>
          <w:rFonts w:ascii="Arial" w:hAnsi="Arial" w:cs="Arial"/>
          <w:sz w:val="20"/>
          <w:szCs w:val="20"/>
        </w:rPr>
        <w:t>In October</w:t>
      </w:r>
      <w:r w:rsidRPr="00532ABF">
        <w:rPr>
          <w:rFonts w:ascii="Arial" w:hAnsi="Arial" w:cs="Arial"/>
          <w:sz w:val="20"/>
          <w:szCs w:val="20"/>
        </w:rPr>
        <w:t xml:space="preserve"> 2011</w:t>
      </w:r>
      <w:r>
        <w:rPr>
          <w:rFonts w:ascii="Arial" w:hAnsi="Arial" w:cs="Arial"/>
          <w:sz w:val="20"/>
          <w:szCs w:val="20"/>
        </w:rPr>
        <w:t xml:space="preserve">, </w:t>
      </w:r>
      <w:r w:rsidRPr="00532ABF">
        <w:rPr>
          <w:rFonts w:ascii="Arial" w:hAnsi="Arial" w:cs="Arial"/>
          <w:sz w:val="20"/>
          <w:szCs w:val="20"/>
        </w:rPr>
        <w:t xml:space="preserve">the ACMA set up a </w:t>
      </w:r>
      <w:r>
        <w:rPr>
          <w:rFonts w:ascii="Arial" w:hAnsi="Arial" w:cs="Arial"/>
          <w:sz w:val="20"/>
          <w:szCs w:val="20"/>
        </w:rPr>
        <w:t xml:space="preserve">short-term </w:t>
      </w:r>
      <w:r w:rsidRPr="00532ABF">
        <w:rPr>
          <w:rFonts w:ascii="Arial" w:hAnsi="Arial" w:cs="Arial"/>
          <w:sz w:val="20"/>
          <w:szCs w:val="20"/>
        </w:rPr>
        <w:t xml:space="preserve">industry technical liaison group </w:t>
      </w:r>
      <w:r>
        <w:rPr>
          <w:rFonts w:ascii="Arial" w:hAnsi="Arial" w:cs="Arial"/>
          <w:sz w:val="20"/>
          <w:szCs w:val="20"/>
        </w:rPr>
        <w:t xml:space="preserve">(the </w:t>
      </w:r>
      <w:r w:rsidRPr="006F0C25">
        <w:rPr>
          <w:rFonts w:ascii="Arial" w:hAnsi="Arial" w:cs="Arial"/>
          <w:b/>
          <w:sz w:val="20"/>
          <w:szCs w:val="20"/>
        </w:rPr>
        <w:t>TLG</w:t>
      </w:r>
      <w:r>
        <w:rPr>
          <w:rFonts w:ascii="Arial" w:hAnsi="Arial" w:cs="Arial"/>
          <w:sz w:val="20"/>
          <w:szCs w:val="20"/>
        </w:rPr>
        <w:t xml:space="preserve">) </w:t>
      </w:r>
      <w:r w:rsidRPr="00532ABF">
        <w:rPr>
          <w:rFonts w:ascii="Arial" w:hAnsi="Arial" w:cs="Arial"/>
          <w:sz w:val="20"/>
          <w:szCs w:val="20"/>
        </w:rPr>
        <w:t xml:space="preserve">to </w:t>
      </w:r>
      <w:r>
        <w:rPr>
          <w:rFonts w:ascii="Arial" w:hAnsi="Arial" w:cs="Arial"/>
          <w:sz w:val="20"/>
          <w:szCs w:val="20"/>
        </w:rPr>
        <w:t xml:space="preserve">support the </w:t>
      </w:r>
      <w:r w:rsidRPr="00532ABF">
        <w:rPr>
          <w:rFonts w:ascii="Arial" w:hAnsi="Arial" w:cs="Arial"/>
          <w:sz w:val="20"/>
          <w:szCs w:val="20"/>
        </w:rPr>
        <w:t>develop</w:t>
      </w:r>
      <w:r>
        <w:rPr>
          <w:rFonts w:ascii="Arial" w:hAnsi="Arial" w:cs="Arial"/>
          <w:sz w:val="20"/>
          <w:szCs w:val="20"/>
        </w:rPr>
        <w:t xml:space="preserve">ment of </w:t>
      </w:r>
      <w:r w:rsidRPr="00532ABF">
        <w:rPr>
          <w:rFonts w:ascii="Arial" w:hAnsi="Arial" w:cs="Arial"/>
          <w:sz w:val="20"/>
          <w:szCs w:val="20"/>
        </w:rPr>
        <w:t xml:space="preserve">a technical framework </w:t>
      </w:r>
      <w:r>
        <w:rPr>
          <w:rFonts w:ascii="Arial" w:hAnsi="Arial" w:cs="Arial"/>
          <w:sz w:val="20"/>
          <w:szCs w:val="20"/>
        </w:rPr>
        <w:t>for</w:t>
      </w:r>
      <w:r w:rsidRPr="00532ABF">
        <w:rPr>
          <w:rFonts w:ascii="Arial" w:hAnsi="Arial" w:cs="Arial"/>
          <w:sz w:val="20"/>
          <w:szCs w:val="20"/>
        </w:rPr>
        <w:t xml:space="preserve"> the </w:t>
      </w:r>
      <w:r>
        <w:rPr>
          <w:rFonts w:ascii="Arial" w:hAnsi="Arial" w:cs="Arial"/>
          <w:sz w:val="20"/>
          <w:szCs w:val="20"/>
        </w:rPr>
        <w:t>700 M</w:t>
      </w:r>
      <w:r w:rsidRPr="00532ABF">
        <w:rPr>
          <w:rFonts w:ascii="Arial" w:hAnsi="Arial" w:cs="Arial"/>
          <w:sz w:val="20"/>
          <w:szCs w:val="20"/>
        </w:rPr>
        <w:t>Hz band.</w:t>
      </w:r>
      <w:r>
        <w:rPr>
          <w:rFonts w:ascii="Arial" w:hAnsi="Arial" w:cs="Arial"/>
          <w:sz w:val="20"/>
          <w:szCs w:val="20"/>
        </w:rPr>
        <w:t xml:space="preserve"> The TLG was asked to consider and provide advice to the ACMA on technical aspects required for the development of the spectrum licence technical framework. This included advice on the following:</w:t>
      </w:r>
    </w:p>
    <w:p w:rsidR="00B8114C" w:rsidRDefault="00B8114C" w:rsidP="00AF12CE">
      <w:pPr>
        <w:numPr>
          <w:ilvl w:val="0"/>
          <w:numId w:val="25"/>
        </w:numPr>
        <w:spacing w:before="0" w:after="0" w:line="360" w:lineRule="auto"/>
        <w:ind w:left="567" w:hanging="567"/>
        <w:rPr>
          <w:rFonts w:ascii="Arial" w:hAnsi="Arial" w:cs="Arial"/>
          <w:sz w:val="20"/>
          <w:szCs w:val="20"/>
        </w:rPr>
      </w:pPr>
      <w:r>
        <w:rPr>
          <w:rFonts w:ascii="Arial" w:hAnsi="Arial" w:cs="Arial"/>
          <w:sz w:val="20"/>
          <w:szCs w:val="20"/>
        </w:rPr>
        <w:t>the development of the core conditions of the spectrum licensed band  in accordance with s</w:t>
      </w:r>
      <w:r w:rsidR="0037505C">
        <w:rPr>
          <w:rFonts w:ascii="Arial" w:hAnsi="Arial" w:cs="Arial"/>
          <w:sz w:val="20"/>
          <w:szCs w:val="20"/>
        </w:rPr>
        <w:t xml:space="preserve">ection </w:t>
      </w:r>
      <w:r>
        <w:rPr>
          <w:rFonts w:ascii="Arial" w:hAnsi="Arial" w:cs="Arial"/>
          <w:sz w:val="20"/>
          <w:szCs w:val="20"/>
        </w:rPr>
        <w:t>66 of the Act;</w:t>
      </w:r>
    </w:p>
    <w:p w:rsidR="00B8114C" w:rsidRDefault="00B8114C" w:rsidP="00AF12CE">
      <w:pPr>
        <w:numPr>
          <w:ilvl w:val="0"/>
          <w:numId w:val="25"/>
        </w:numPr>
        <w:spacing w:before="0" w:after="0" w:line="360" w:lineRule="auto"/>
        <w:ind w:left="567" w:hanging="567"/>
        <w:rPr>
          <w:rFonts w:ascii="Arial" w:hAnsi="Arial" w:cs="Arial"/>
          <w:sz w:val="20"/>
          <w:szCs w:val="20"/>
        </w:rPr>
      </w:pPr>
      <w:r>
        <w:rPr>
          <w:rFonts w:ascii="Arial" w:hAnsi="Arial" w:cs="Arial"/>
          <w:sz w:val="20"/>
          <w:szCs w:val="20"/>
        </w:rPr>
        <w:t>the development of the s</w:t>
      </w:r>
      <w:r w:rsidR="007A742F">
        <w:rPr>
          <w:rFonts w:ascii="Arial" w:hAnsi="Arial" w:cs="Arial"/>
          <w:sz w:val="20"/>
          <w:szCs w:val="20"/>
        </w:rPr>
        <w:t xml:space="preserve">ection </w:t>
      </w:r>
      <w:r>
        <w:rPr>
          <w:rFonts w:ascii="Arial" w:hAnsi="Arial" w:cs="Arial"/>
          <w:sz w:val="20"/>
          <w:szCs w:val="20"/>
        </w:rPr>
        <w:t>145 determination on unacceptable levels of interference;</w:t>
      </w:r>
    </w:p>
    <w:p w:rsidR="00B8114C" w:rsidRDefault="00B8114C" w:rsidP="00AF12CE">
      <w:pPr>
        <w:numPr>
          <w:ilvl w:val="0"/>
          <w:numId w:val="25"/>
        </w:numPr>
        <w:spacing w:before="0" w:after="0" w:line="360" w:lineRule="auto"/>
        <w:ind w:left="567" w:hanging="567"/>
        <w:rPr>
          <w:rFonts w:ascii="Arial" w:hAnsi="Arial" w:cs="Arial"/>
          <w:sz w:val="20"/>
          <w:szCs w:val="20"/>
        </w:rPr>
      </w:pPr>
      <w:r>
        <w:rPr>
          <w:rFonts w:ascii="Arial" w:hAnsi="Arial" w:cs="Arial"/>
          <w:sz w:val="20"/>
          <w:szCs w:val="20"/>
        </w:rPr>
        <w:t xml:space="preserve">the development of any associated </w:t>
      </w:r>
      <w:r w:rsidR="00FE2B7B">
        <w:rPr>
          <w:rFonts w:ascii="Arial" w:hAnsi="Arial" w:cs="Arial"/>
          <w:sz w:val="20"/>
          <w:szCs w:val="20"/>
        </w:rPr>
        <w:t>a</w:t>
      </w:r>
      <w:r>
        <w:rPr>
          <w:rFonts w:ascii="Arial" w:hAnsi="Arial" w:cs="Arial"/>
          <w:sz w:val="20"/>
          <w:szCs w:val="20"/>
        </w:rPr>
        <w:t xml:space="preserve">dvisory </w:t>
      </w:r>
      <w:r w:rsidR="00FE2B7B">
        <w:rPr>
          <w:rFonts w:ascii="Arial" w:hAnsi="Arial" w:cs="Arial"/>
          <w:sz w:val="20"/>
          <w:szCs w:val="20"/>
        </w:rPr>
        <w:t>g</w:t>
      </w:r>
      <w:r>
        <w:rPr>
          <w:rFonts w:ascii="Arial" w:hAnsi="Arial" w:cs="Arial"/>
          <w:sz w:val="20"/>
          <w:szCs w:val="20"/>
        </w:rPr>
        <w:t>uidelines made under s</w:t>
      </w:r>
      <w:r w:rsidR="007A742F">
        <w:rPr>
          <w:rFonts w:ascii="Arial" w:hAnsi="Arial" w:cs="Arial"/>
          <w:sz w:val="20"/>
          <w:szCs w:val="20"/>
        </w:rPr>
        <w:t xml:space="preserve">ection </w:t>
      </w:r>
      <w:r>
        <w:rPr>
          <w:rFonts w:ascii="Arial" w:hAnsi="Arial" w:cs="Arial"/>
          <w:sz w:val="20"/>
          <w:szCs w:val="20"/>
        </w:rPr>
        <w:t>262 of the Act;</w:t>
      </w:r>
    </w:p>
    <w:p w:rsidR="00B8114C" w:rsidRDefault="00B8114C" w:rsidP="00AF12CE">
      <w:pPr>
        <w:numPr>
          <w:ilvl w:val="0"/>
          <w:numId w:val="25"/>
        </w:numPr>
        <w:spacing w:before="0" w:after="0" w:line="360" w:lineRule="auto"/>
        <w:ind w:left="567" w:hanging="567"/>
        <w:rPr>
          <w:rFonts w:ascii="Arial" w:hAnsi="Arial" w:cs="Arial"/>
          <w:sz w:val="20"/>
          <w:szCs w:val="20"/>
        </w:rPr>
      </w:pPr>
      <w:r>
        <w:rPr>
          <w:rFonts w:ascii="Arial" w:hAnsi="Arial" w:cs="Arial"/>
          <w:sz w:val="20"/>
          <w:szCs w:val="20"/>
        </w:rPr>
        <w:t>the development of the draft spectrum licence; and</w:t>
      </w:r>
    </w:p>
    <w:p w:rsidR="00B8114C" w:rsidRDefault="00B8114C" w:rsidP="00AF12CE">
      <w:pPr>
        <w:numPr>
          <w:ilvl w:val="0"/>
          <w:numId w:val="25"/>
        </w:numPr>
        <w:spacing w:before="0" w:after="0" w:line="360" w:lineRule="auto"/>
        <w:ind w:left="567" w:hanging="567"/>
        <w:rPr>
          <w:rFonts w:ascii="Arial" w:hAnsi="Arial" w:cs="Arial"/>
          <w:sz w:val="20"/>
          <w:szCs w:val="20"/>
        </w:rPr>
      </w:pPr>
      <w:r>
        <w:rPr>
          <w:rFonts w:ascii="Arial" w:hAnsi="Arial" w:cs="Arial"/>
          <w:sz w:val="20"/>
          <w:szCs w:val="20"/>
        </w:rPr>
        <w:t xml:space="preserve">the development of the minimum contiguous bandwidth for spectrum licences in the 700 MHz band. </w:t>
      </w:r>
    </w:p>
    <w:p w:rsidR="002A407B" w:rsidRDefault="00B8114C" w:rsidP="00AF12CE">
      <w:pPr>
        <w:spacing w:line="360" w:lineRule="auto"/>
        <w:rPr>
          <w:rFonts w:ascii="Arial" w:hAnsi="Arial" w:cs="Arial"/>
          <w:sz w:val="20"/>
          <w:szCs w:val="20"/>
        </w:rPr>
      </w:pPr>
      <w:r>
        <w:rPr>
          <w:rFonts w:ascii="Arial" w:hAnsi="Arial" w:cs="Arial"/>
          <w:sz w:val="20"/>
          <w:szCs w:val="20"/>
        </w:rPr>
        <w:t>The ACMA developed three papers which outlined its proposed approach to the spectrum licensing framework for the 700 MHz band. These papers were made available by the ACMA to the TLG members for comment. These papers can be found on the ACMA’s website</w:t>
      </w:r>
      <w:r w:rsidR="00087821">
        <w:rPr>
          <w:rFonts w:ascii="Arial" w:hAnsi="Arial" w:cs="Arial"/>
          <w:sz w:val="20"/>
          <w:szCs w:val="20"/>
        </w:rPr>
        <w:t>.</w:t>
      </w:r>
      <w:r>
        <w:rPr>
          <w:rStyle w:val="FootnoteReference"/>
          <w:rFonts w:ascii="Arial" w:hAnsi="Arial" w:cs="Arial"/>
          <w:sz w:val="20"/>
          <w:szCs w:val="20"/>
        </w:rPr>
        <w:footnoteReference w:id="4"/>
      </w:r>
      <w:r>
        <w:rPr>
          <w:rFonts w:ascii="Arial" w:hAnsi="Arial" w:cs="Arial"/>
          <w:sz w:val="20"/>
          <w:szCs w:val="20"/>
        </w:rPr>
        <w:t xml:space="preserve"> </w:t>
      </w:r>
    </w:p>
    <w:p w:rsidR="00B8114C" w:rsidRDefault="00B8114C" w:rsidP="00AF12CE">
      <w:pPr>
        <w:spacing w:line="360" w:lineRule="auto"/>
        <w:rPr>
          <w:rFonts w:ascii="Arial" w:hAnsi="Arial" w:cs="Arial"/>
          <w:sz w:val="20"/>
        </w:rPr>
      </w:pPr>
      <w:r>
        <w:rPr>
          <w:rFonts w:ascii="Arial" w:hAnsi="Arial" w:cs="Arial"/>
          <w:sz w:val="20"/>
          <w:szCs w:val="20"/>
        </w:rPr>
        <w:t xml:space="preserve">The ACMA had regard to the views expressed by the TLG members when preparing the Advisory Guidelines. </w:t>
      </w:r>
    </w:p>
    <w:p w:rsidR="00B8114C" w:rsidRDefault="00B8114C" w:rsidP="000B2CDE">
      <w:pPr>
        <w:spacing w:line="360" w:lineRule="auto"/>
        <w:rPr>
          <w:rFonts w:ascii="Arial" w:hAnsi="Arial"/>
          <w:sz w:val="20"/>
          <w:lang w:val="en-US"/>
        </w:rPr>
      </w:pPr>
      <w:r>
        <w:rPr>
          <w:rFonts w:ascii="Arial" w:hAnsi="Arial"/>
          <w:sz w:val="20"/>
        </w:rPr>
        <w:t>The</w:t>
      </w:r>
      <w:r w:rsidRPr="00AE6DD9">
        <w:rPr>
          <w:rFonts w:ascii="Arial" w:hAnsi="Arial"/>
          <w:sz w:val="20"/>
        </w:rPr>
        <w:t xml:space="preserve"> ACMA has </w:t>
      </w:r>
      <w:r>
        <w:rPr>
          <w:rFonts w:ascii="Arial" w:hAnsi="Arial"/>
          <w:sz w:val="20"/>
        </w:rPr>
        <w:t xml:space="preserve">also </w:t>
      </w:r>
      <w:r w:rsidRPr="00AE6DD9">
        <w:rPr>
          <w:rFonts w:ascii="Arial" w:hAnsi="Arial"/>
          <w:sz w:val="20"/>
        </w:rPr>
        <w:t xml:space="preserve">undertaken </w:t>
      </w:r>
      <w:r w:rsidR="00C638C8">
        <w:rPr>
          <w:rFonts w:ascii="Arial" w:hAnsi="Arial"/>
          <w:sz w:val="20"/>
        </w:rPr>
        <w:t>public</w:t>
      </w:r>
      <w:r w:rsidR="00C638C8" w:rsidRPr="00AE6DD9">
        <w:rPr>
          <w:rFonts w:ascii="Arial" w:hAnsi="Arial"/>
          <w:sz w:val="20"/>
        </w:rPr>
        <w:t xml:space="preserve"> </w:t>
      </w:r>
      <w:r w:rsidRPr="00AE6DD9">
        <w:rPr>
          <w:rFonts w:ascii="Arial" w:hAnsi="Arial"/>
          <w:sz w:val="20"/>
        </w:rPr>
        <w:t xml:space="preserve">consultation </w:t>
      </w:r>
      <w:r>
        <w:rPr>
          <w:rFonts w:ascii="Arial" w:hAnsi="Arial"/>
          <w:sz w:val="20"/>
        </w:rPr>
        <w:t>in relation to the Advisory Guidelines</w:t>
      </w:r>
      <w:r w:rsidRPr="00AE6DD9">
        <w:rPr>
          <w:rFonts w:ascii="Arial" w:hAnsi="Arial"/>
          <w:sz w:val="20"/>
        </w:rPr>
        <w:t>.</w:t>
      </w:r>
      <w:r>
        <w:rPr>
          <w:rFonts w:ascii="Arial" w:hAnsi="Arial"/>
          <w:sz w:val="20"/>
        </w:rPr>
        <w:t xml:space="preserve"> </w:t>
      </w:r>
      <w:r w:rsidRPr="00AE6DD9">
        <w:rPr>
          <w:rFonts w:ascii="Arial" w:hAnsi="Arial"/>
          <w:sz w:val="20"/>
        </w:rPr>
        <w:t xml:space="preserve">On 11 April 2012, the ACMA </w:t>
      </w:r>
      <w:r>
        <w:rPr>
          <w:rFonts w:ascii="Arial" w:hAnsi="Arial"/>
          <w:sz w:val="20"/>
        </w:rPr>
        <w:t xml:space="preserve">released the draft legislative instruments for the digital dividend auction (including the Advisory Guidelines) for comment. These instruments were accompanied by an information paper to </w:t>
      </w:r>
      <w:r w:rsidRPr="0097494E">
        <w:rPr>
          <w:rFonts w:ascii="Arial" w:hAnsi="Arial"/>
          <w:sz w:val="20"/>
        </w:rPr>
        <w:t>explain the draft instruments and provide context to assist interested parties in making a submission</w:t>
      </w:r>
      <w:r>
        <w:rPr>
          <w:rFonts w:ascii="Arial" w:hAnsi="Arial"/>
          <w:sz w:val="20"/>
        </w:rPr>
        <w:t>. The information paper was made available on the ACMA’s website</w:t>
      </w:r>
      <w:r>
        <w:rPr>
          <w:rStyle w:val="FootnoteReference"/>
          <w:rFonts w:ascii="Arial" w:hAnsi="Arial"/>
          <w:sz w:val="20"/>
        </w:rPr>
        <w:footnoteReference w:id="5"/>
      </w:r>
      <w:r>
        <w:rPr>
          <w:rFonts w:ascii="Arial" w:hAnsi="Arial"/>
          <w:sz w:val="20"/>
        </w:rPr>
        <w:t xml:space="preserve">, and was publicised via a media release on 11 April 2012, notices on </w:t>
      </w:r>
      <w:r w:rsidRPr="000B2CDE">
        <w:rPr>
          <w:rFonts w:ascii="Arial" w:hAnsi="Arial"/>
          <w:sz w:val="20"/>
          <w:lang w:val="en-US"/>
        </w:rPr>
        <w:t xml:space="preserve">the ACMA website and in the Spectrum Auction e-Bulletin publication. </w:t>
      </w:r>
      <w:r w:rsidRPr="0097494E">
        <w:rPr>
          <w:rFonts w:ascii="Arial" w:hAnsi="Arial"/>
          <w:sz w:val="20"/>
          <w:lang w:val="en-US"/>
        </w:rPr>
        <w:t xml:space="preserve">On 24 April 2012, the </w:t>
      </w:r>
      <w:r w:rsidRPr="000B2CDE">
        <w:rPr>
          <w:rFonts w:ascii="Arial" w:hAnsi="Arial"/>
          <w:sz w:val="20"/>
          <w:lang w:val="en-US"/>
        </w:rPr>
        <w:t>ACMA also held an industry briefing on the draft legislative instruments for the digital dividend</w:t>
      </w:r>
      <w:r w:rsidRPr="0097494E">
        <w:rPr>
          <w:rFonts w:ascii="Arial" w:hAnsi="Arial"/>
          <w:sz w:val="20"/>
          <w:lang w:val="en-US"/>
        </w:rPr>
        <w:t xml:space="preserve"> auction.</w:t>
      </w:r>
      <w:r>
        <w:rPr>
          <w:rFonts w:ascii="Arial" w:hAnsi="Arial"/>
          <w:sz w:val="20"/>
          <w:lang w:val="en-US"/>
        </w:rPr>
        <w:t xml:space="preserve"> This briefing (conducted through a webinar) outlined key aspects of the ACMA’s</w:t>
      </w:r>
      <w:r w:rsidRPr="0097494E">
        <w:rPr>
          <w:rFonts w:ascii="Arial" w:hAnsi="Arial"/>
          <w:sz w:val="20"/>
          <w:lang w:val="en-US"/>
        </w:rPr>
        <w:t xml:space="preserve"> draft instruments </w:t>
      </w:r>
      <w:r>
        <w:rPr>
          <w:rFonts w:ascii="Arial" w:hAnsi="Arial"/>
          <w:sz w:val="20"/>
          <w:lang w:val="en-US"/>
        </w:rPr>
        <w:t>and was aimed at assisting</w:t>
      </w:r>
      <w:r w:rsidRPr="0097494E">
        <w:rPr>
          <w:rFonts w:ascii="Arial" w:hAnsi="Arial"/>
          <w:sz w:val="20"/>
          <w:lang w:val="en-US"/>
        </w:rPr>
        <w:t xml:space="preserve"> interested parties</w:t>
      </w:r>
      <w:r>
        <w:rPr>
          <w:rFonts w:ascii="Arial" w:hAnsi="Arial"/>
          <w:sz w:val="20"/>
          <w:lang w:val="en-US"/>
        </w:rPr>
        <w:t xml:space="preserve"> to</w:t>
      </w:r>
      <w:r w:rsidRPr="0097494E">
        <w:rPr>
          <w:rFonts w:ascii="Arial" w:hAnsi="Arial"/>
          <w:sz w:val="20"/>
          <w:lang w:val="en-US"/>
        </w:rPr>
        <w:t xml:space="preserve"> </w:t>
      </w:r>
      <w:r>
        <w:rPr>
          <w:rFonts w:ascii="Arial" w:hAnsi="Arial"/>
          <w:sz w:val="20"/>
          <w:lang w:val="en-US"/>
        </w:rPr>
        <w:t>make a submission.</w:t>
      </w:r>
    </w:p>
    <w:p w:rsidR="00B8114C" w:rsidRDefault="00B8114C" w:rsidP="00392D4C">
      <w:pPr>
        <w:pStyle w:val="ACMABodyText"/>
        <w:spacing w:line="360" w:lineRule="auto"/>
        <w:rPr>
          <w:rFonts w:ascii="Arial" w:hAnsi="Arial" w:cs="Arial"/>
          <w:sz w:val="20"/>
        </w:rPr>
      </w:pPr>
      <w:r w:rsidRPr="00AE6DD9">
        <w:rPr>
          <w:rFonts w:ascii="Arial" w:hAnsi="Arial"/>
          <w:sz w:val="20"/>
        </w:rPr>
        <w:t>Submissions to the consultation were</w:t>
      </w:r>
      <w:r>
        <w:rPr>
          <w:rFonts w:ascii="Arial" w:hAnsi="Arial"/>
          <w:sz w:val="20"/>
        </w:rPr>
        <w:t xml:space="preserve"> originally</w:t>
      </w:r>
      <w:r w:rsidRPr="00AE6DD9">
        <w:rPr>
          <w:rFonts w:ascii="Arial" w:hAnsi="Arial"/>
          <w:sz w:val="20"/>
        </w:rPr>
        <w:t xml:space="preserve"> due on 9 May 2012</w:t>
      </w:r>
      <w:r>
        <w:rPr>
          <w:rFonts w:ascii="Arial" w:hAnsi="Arial"/>
          <w:sz w:val="20"/>
        </w:rPr>
        <w:t>, although this was subsequently extended to 14 May 2012. A total of 11</w:t>
      </w:r>
      <w:r w:rsidRPr="00AE6DD9">
        <w:rPr>
          <w:rFonts w:ascii="Arial" w:hAnsi="Arial"/>
          <w:sz w:val="20"/>
        </w:rPr>
        <w:t xml:space="preserve"> responses were received. </w:t>
      </w:r>
    </w:p>
    <w:p w:rsidR="00B8114C" w:rsidRPr="00BF219C" w:rsidRDefault="00B8114C" w:rsidP="00AF12CE">
      <w:pPr>
        <w:pStyle w:val="ACMAHeading3"/>
        <w:spacing w:line="360" w:lineRule="auto"/>
        <w:rPr>
          <w:sz w:val="20"/>
        </w:rPr>
      </w:pPr>
      <w:r w:rsidRPr="00BF219C">
        <w:rPr>
          <w:sz w:val="20"/>
        </w:rPr>
        <w:t>Statement of compatibility with human rights</w:t>
      </w:r>
    </w:p>
    <w:p w:rsidR="00B8114C" w:rsidRPr="00422AA3" w:rsidRDefault="00B8114C" w:rsidP="00AF12CE">
      <w:pPr>
        <w:pStyle w:val="ACMAHeading3"/>
        <w:spacing w:line="360" w:lineRule="auto"/>
        <w:rPr>
          <w:rFonts w:cs="Arial"/>
          <w:b w:val="0"/>
          <w:sz w:val="20"/>
          <w:lang w:val="en-AU"/>
        </w:rPr>
      </w:pPr>
      <w:r w:rsidRPr="00422AA3">
        <w:rPr>
          <w:rFonts w:cs="Arial"/>
          <w:b w:val="0"/>
          <w:sz w:val="20"/>
          <w:lang w:val="en-AU"/>
        </w:rPr>
        <w:t xml:space="preserve">Subsection 9(1) of the </w:t>
      </w:r>
      <w:r w:rsidRPr="00A71723">
        <w:rPr>
          <w:rFonts w:cs="Arial"/>
          <w:b w:val="0"/>
          <w:i/>
          <w:sz w:val="20"/>
          <w:lang w:val="en-AU"/>
        </w:rPr>
        <w:t>Human Rights (Parliamentary Scrutiny) Act 2011</w:t>
      </w:r>
      <w:r w:rsidRPr="00422AA3">
        <w:rPr>
          <w:rFonts w:cs="Arial"/>
          <w:b w:val="0"/>
          <w:sz w:val="20"/>
          <w:lang w:val="en-AU"/>
        </w:rPr>
        <w:t xml:space="preserve"> requires the rule maker in relation to a legislative instrument to which section 42 (disallowance) of the </w:t>
      </w:r>
      <w:r w:rsidR="006E1DF9" w:rsidRPr="006E1DF9">
        <w:rPr>
          <w:rFonts w:cs="Arial"/>
          <w:b w:val="0"/>
          <w:i/>
          <w:sz w:val="20"/>
          <w:lang w:val="en-AU"/>
        </w:rPr>
        <w:t xml:space="preserve">Legislative Instruments Act 2003 </w:t>
      </w:r>
      <w:r w:rsidRPr="00422AA3">
        <w:rPr>
          <w:rFonts w:cs="Arial"/>
          <w:b w:val="0"/>
          <w:sz w:val="20"/>
          <w:lang w:val="en-AU"/>
        </w:rPr>
        <w:t xml:space="preserve">applies to cause a statement of compatibility to be prepared in respect of that legislative instrument. This statement is in </w:t>
      </w:r>
      <w:r w:rsidR="007A742F">
        <w:rPr>
          <w:rFonts w:cs="Arial"/>
          <w:b w:val="0"/>
          <w:sz w:val="20"/>
          <w:lang w:val="en-AU"/>
        </w:rPr>
        <w:t>A</w:t>
      </w:r>
      <w:r w:rsidR="007A742F" w:rsidRPr="00422AA3">
        <w:rPr>
          <w:rFonts w:cs="Arial"/>
          <w:b w:val="0"/>
          <w:sz w:val="20"/>
          <w:lang w:val="en-AU"/>
        </w:rPr>
        <w:t xml:space="preserve">ttachment </w:t>
      </w:r>
      <w:r w:rsidRPr="00422AA3">
        <w:rPr>
          <w:rFonts w:cs="Arial"/>
          <w:b w:val="0"/>
          <w:sz w:val="20"/>
          <w:lang w:val="en-AU"/>
        </w:rPr>
        <w:t>B.</w:t>
      </w:r>
    </w:p>
    <w:p w:rsidR="00B8114C" w:rsidRDefault="00B8114C" w:rsidP="00AF12CE">
      <w:pPr>
        <w:pStyle w:val="ACMAHeading3"/>
        <w:spacing w:line="360" w:lineRule="auto"/>
        <w:rPr>
          <w:sz w:val="20"/>
        </w:rPr>
      </w:pPr>
      <w:r w:rsidRPr="001D6BBA">
        <w:rPr>
          <w:sz w:val="20"/>
        </w:rPr>
        <w:t xml:space="preserve">Regulatory Impact </w:t>
      </w:r>
      <w:r>
        <w:rPr>
          <w:sz w:val="20"/>
        </w:rPr>
        <w:t>Analysis</w:t>
      </w:r>
    </w:p>
    <w:p w:rsidR="00B8114C" w:rsidRDefault="00391C26" w:rsidP="00AF12CE">
      <w:pPr>
        <w:spacing w:line="360" w:lineRule="auto"/>
        <w:contextualSpacing/>
        <w:jc w:val="both"/>
        <w:rPr>
          <w:rFonts w:ascii="Arial" w:hAnsi="Arial" w:cs="Arial"/>
          <w:sz w:val="20"/>
          <w:szCs w:val="20"/>
        </w:rPr>
      </w:pPr>
      <w:r>
        <w:rPr>
          <w:rFonts w:ascii="Arial" w:hAnsi="Arial" w:cs="Arial"/>
          <w:sz w:val="20"/>
          <w:szCs w:val="20"/>
        </w:rPr>
        <w:t xml:space="preserve">The Office of Best Practice and Regulation (the </w:t>
      </w:r>
      <w:r>
        <w:rPr>
          <w:rFonts w:ascii="Arial" w:hAnsi="Arial" w:cs="Arial"/>
          <w:b/>
          <w:sz w:val="20"/>
          <w:szCs w:val="20"/>
        </w:rPr>
        <w:t>OBP</w:t>
      </w:r>
      <w:r w:rsidR="00935D2E">
        <w:rPr>
          <w:rFonts w:ascii="Arial" w:hAnsi="Arial" w:cs="Arial"/>
          <w:b/>
          <w:sz w:val="20"/>
          <w:szCs w:val="20"/>
        </w:rPr>
        <w:t>R</w:t>
      </w:r>
      <w:r>
        <w:rPr>
          <w:rFonts w:ascii="Arial" w:hAnsi="Arial" w:cs="Arial"/>
          <w:sz w:val="20"/>
          <w:szCs w:val="20"/>
        </w:rPr>
        <w:t xml:space="preserve">) </w:t>
      </w:r>
      <w:r w:rsidR="0044117B">
        <w:rPr>
          <w:rFonts w:ascii="Arial" w:hAnsi="Arial" w:cs="Arial"/>
          <w:sz w:val="20"/>
          <w:szCs w:val="20"/>
        </w:rPr>
        <w:t xml:space="preserve">has </w:t>
      </w:r>
      <w:r>
        <w:rPr>
          <w:rFonts w:ascii="Arial" w:hAnsi="Arial" w:cs="Arial"/>
          <w:sz w:val="20"/>
          <w:szCs w:val="20"/>
        </w:rPr>
        <w:t xml:space="preserve">advised that a Regulation Impact Statement is not required for the technical instruments </w:t>
      </w:r>
      <w:r w:rsidR="00901F3F">
        <w:rPr>
          <w:rFonts w:ascii="Arial" w:hAnsi="Arial" w:cs="Arial"/>
          <w:sz w:val="20"/>
          <w:szCs w:val="20"/>
        </w:rPr>
        <w:t xml:space="preserve">made under section </w:t>
      </w:r>
      <w:r>
        <w:rPr>
          <w:rFonts w:ascii="Arial" w:hAnsi="Arial" w:cs="Arial"/>
          <w:sz w:val="20"/>
          <w:szCs w:val="20"/>
        </w:rPr>
        <w:t xml:space="preserve">145 </w:t>
      </w:r>
      <w:r w:rsidR="00901F3F">
        <w:rPr>
          <w:rFonts w:ascii="Arial" w:hAnsi="Arial" w:cs="Arial"/>
          <w:sz w:val="20"/>
          <w:szCs w:val="20"/>
        </w:rPr>
        <w:t xml:space="preserve">and section 262 </w:t>
      </w:r>
      <w:r>
        <w:rPr>
          <w:rFonts w:ascii="Arial" w:hAnsi="Arial" w:cs="Arial"/>
          <w:sz w:val="20"/>
          <w:szCs w:val="20"/>
        </w:rPr>
        <w:t xml:space="preserve">of the Act </w:t>
      </w:r>
      <w:r w:rsidR="0044117B">
        <w:rPr>
          <w:rFonts w:ascii="Arial" w:hAnsi="Arial" w:cs="Arial"/>
          <w:sz w:val="20"/>
          <w:szCs w:val="20"/>
        </w:rPr>
        <w:t>for the digital dividend auction. The OBPR considers that these instruments will have only minor and machinery impacts. The OBPR reference for this assessment is ID 14150.</w:t>
      </w:r>
    </w:p>
    <w:p w:rsidR="00B8114C" w:rsidRDefault="00B8114C" w:rsidP="00AF12CE">
      <w:pPr>
        <w:pStyle w:val="ACMABodyText"/>
        <w:spacing w:line="360" w:lineRule="auto"/>
        <w:rPr>
          <w:rFonts w:ascii="Arial" w:hAnsi="Arial" w:cs="Arial"/>
          <w:b/>
          <w:sz w:val="20"/>
        </w:rPr>
      </w:pPr>
      <w:r w:rsidRPr="00A03C73">
        <w:rPr>
          <w:rFonts w:ascii="Arial" w:hAnsi="Arial" w:cs="Arial"/>
          <w:b/>
          <w:sz w:val="20"/>
        </w:rPr>
        <w:t xml:space="preserve">Documents </w:t>
      </w:r>
      <w:r w:rsidR="00CE3DE5">
        <w:rPr>
          <w:rFonts w:ascii="Arial" w:hAnsi="Arial" w:cs="Arial"/>
          <w:b/>
          <w:sz w:val="20"/>
        </w:rPr>
        <w:t>I</w:t>
      </w:r>
      <w:r w:rsidRPr="00A03C73">
        <w:rPr>
          <w:rFonts w:ascii="Arial" w:hAnsi="Arial" w:cs="Arial"/>
          <w:b/>
          <w:sz w:val="20"/>
        </w:rPr>
        <w:t>ncorporated into th</w:t>
      </w:r>
      <w:r>
        <w:rPr>
          <w:rFonts w:ascii="Arial" w:hAnsi="Arial" w:cs="Arial"/>
          <w:b/>
          <w:sz w:val="20"/>
        </w:rPr>
        <w:t>e</w:t>
      </w:r>
      <w:r w:rsidRPr="00A03C73">
        <w:rPr>
          <w:rFonts w:ascii="Arial" w:hAnsi="Arial" w:cs="Arial"/>
          <w:b/>
          <w:sz w:val="20"/>
        </w:rPr>
        <w:t>s</w:t>
      </w:r>
      <w:r>
        <w:rPr>
          <w:rFonts w:ascii="Arial" w:hAnsi="Arial" w:cs="Arial"/>
          <w:b/>
          <w:sz w:val="20"/>
        </w:rPr>
        <w:t>e</w:t>
      </w:r>
      <w:r w:rsidRPr="00A03C73">
        <w:rPr>
          <w:rFonts w:ascii="Arial" w:hAnsi="Arial" w:cs="Arial"/>
          <w:b/>
          <w:sz w:val="20"/>
        </w:rPr>
        <w:t xml:space="preserve"> Advisory Guideline</w:t>
      </w:r>
      <w:r>
        <w:rPr>
          <w:rFonts w:ascii="Arial" w:hAnsi="Arial" w:cs="Arial"/>
          <w:b/>
          <w:sz w:val="20"/>
        </w:rPr>
        <w:t>s</w:t>
      </w:r>
      <w:r w:rsidRPr="00A03C73">
        <w:rPr>
          <w:rFonts w:ascii="Arial" w:hAnsi="Arial" w:cs="Arial"/>
          <w:b/>
          <w:sz w:val="20"/>
        </w:rPr>
        <w:t xml:space="preserve"> by </w:t>
      </w:r>
      <w:r>
        <w:rPr>
          <w:rFonts w:ascii="Arial" w:hAnsi="Arial" w:cs="Arial"/>
          <w:b/>
          <w:sz w:val="20"/>
        </w:rPr>
        <w:t>R</w:t>
      </w:r>
      <w:r w:rsidRPr="00A03C73">
        <w:rPr>
          <w:rFonts w:ascii="Arial" w:hAnsi="Arial" w:cs="Arial"/>
          <w:b/>
          <w:sz w:val="20"/>
        </w:rPr>
        <w:t>eference</w:t>
      </w:r>
      <w:r w:rsidR="00AD71F4">
        <w:rPr>
          <w:rFonts w:ascii="Arial" w:hAnsi="Arial" w:cs="Arial"/>
          <w:b/>
          <w:sz w:val="20"/>
        </w:rPr>
        <w:t xml:space="preserve"> or </w:t>
      </w:r>
      <w:r w:rsidR="00CE3DE5">
        <w:rPr>
          <w:rFonts w:ascii="Arial" w:hAnsi="Arial" w:cs="Arial"/>
          <w:b/>
          <w:sz w:val="20"/>
        </w:rPr>
        <w:t>O</w:t>
      </w:r>
      <w:r w:rsidR="00AD71F4">
        <w:rPr>
          <w:rFonts w:ascii="Arial" w:hAnsi="Arial" w:cs="Arial"/>
          <w:b/>
          <w:sz w:val="20"/>
        </w:rPr>
        <w:t xml:space="preserve">therwise </w:t>
      </w:r>
      <w:r w:rsidR="00CE3DE5">
        <w:rPr>
          <w:rFonts w:ascii="Arial" w:hAnsi="Arial" w:cs="Arial"/>
          <w:b/>
          <w:sz w:val="20"/>
        </w:rPr>
        <w:t>R</w:t>
      </w:r>
      <w:r w:rsidR="00AD71F4">
        <w:rPr>
          <w:rFonts w:ascii="Arial" w:hAnsi="Arial" w:cs="Arial"/>
          <w:b/>
          <w:sz w:val="20"/>
        </w:rPr>
        <w:t>eferred to</w:t>
      </w:r>
    </w:p>
    <w:p w:rsidR="00B8114C" w:rsidRDefault="00B8114C" w:rsidP="008B623A">
      <w:pPr>
        <w:pStyle w:val="ACMABodyText"/>
        <w:spacing w:line="360" w:lineRule="auto"/>
        <w:rPr>
          <w:rFonts w:ascii="Arial" w:hAnsi="Arial" w:cs="Arial"/>
          <w:sz w:val="20"/>
        </w:rPr>
      </w:pPr>
      <w:r>
        <w:rPr>
          <w:rFonts w:ascii="Arial" w:hAnsi="Arial" w:cs="Arial"/>
          <w:sz w:val="20"/>
        </w:rPr>
        <w:t>These Advisory Guidelines incorporate the following documents by reference</w:t>
      </w:r>
      <w:r w:rsidR="00AD71F4">
        <w:rPr>
          <w:rFonts w:ascii="Arial" w:hAnsi="Arial" w:cs="Arial"/>
          <w:sz w:val="20"/>
        </w:rPr>
        <w:t>, or otherwise referred to</w:t>
      </w:r>
      <w:r>
        <w:rPr>
          <w:rFonts w:ascii="Arial" w:hAnsi="Arial" w:cs="Arial"/>
          <w:sz w:val="20"/>
        </w:rPr>
        <w:t>:</w:t>
      </w:r>
    </w:p>
    <w:p w:rsidR="00B8114C" w:rsidRPr="00B908F0" w:rsidRDefault="00B8114C" w:rsidP="00B908F0">
      <w:pPr>
        <w:numPr>
          <w:ilvl w:val="0"/>
          <w:numId w:val="25"/>
        </w:numPr>
        <w:spacing w:before="0" w:after="0" w:line="360" w:lineRule="auto"/>
        <w:ind w:left="567" w:hanging="567"/>
        <w:rPr>
          <w:rFonts w:ascii="Arial" w:hAnsi="Arial" w:cs="Arial"/>
          <w:sz w:val="20"/>
          <w:szCs w:val="20"/>
        </w:rPr>
      </w:pPr>
      <w:r>
        <w:rPr>
          <w:rFonts w:ascii="Arial" w:hAnsi="Arial" w:cs="Arial"/>
          <w:sz w:val="20"/>
          <w:szCs w:val="20"/>
        </w:rPr>
        <w:t>A</w:t>
      </w:r>
      <w:r w:rsidRPr="00B908F0">
        <w:rPr>
          <w:rFonts w:ascii="Arial" w:hAnsi="Arial" w:cs="Arial"/>
          <w:sz w:val="20"/>
          <w:szCs w:val="20"/>
        </w:rPr>
        <w:t xml:space="preserve"> series of </w:t>
      </w:r>
      <w:r>
        <w:rPr>
          <w:rFonts w:ascii="Arial" w:hAnsi="Arial" w:cs="Arial"/>
          <w:sz w:val="20"/>
          <w:szCs w:val="20"/>
        </w:rPr>
        <w:t xml:space="preserve">coordination </w:t>
      </w:r>
      <w:r w:rsidRPr="00B908F0">
        <w:rPr>
          <w:rFonts w:ascii="Arial" w:hAnsi="Arial" w:cs="Arial"/>
          <w:sz w:val="20"/>
          <w:szCs w:val="20"/>
        </w:rPr>
        <w:t xml:space="preserve">maps showing the exclusion zones required </w:t>
      </w:r>
      <w:r>
        <w:rPr>
          <w:rFonts w:ascii="Arial" w:hAnsi="Arial" w:cs="Arial"/>
          <w:sz w:val="20"/>
          <w:szCs w:val="20"/>
        </w:rPr>
        <w:t>for the protection of digital television transmitters (see item 2(2) of Schedule 3)</w:t>
      </w:r>
      <w:r w:rsidRPr="00B908F0">
        <w:rPr>
          <w:rFonts w:ascii="Arial" w:hAnsi="Arial" w:cs="Arial"/>
          <w:sz w:val="20"/>
          <w:szCs w:val="20"/>
        </w:rPr>
        <w:t>. These maps</w:t>
      </w:r>
      <w:r>
        <w:rPr>
          <w:rFonts w:ascii="Arial" w:hAnsi="Arial" w:cs="Arial"/>
          <w:sz w:val="20"/>
          <w:szCs w:val="20"/>
        </w:rPr>
        <w:t xml:space="preserve"> will be made available</w:t>
      </w:r>
      <w:r w:rsidRPr="00B908F0">
        <w:rPr>
          <w:rFonts w:ascii="Arial" w:hAnsi="Arial" w:cs="Arial"/>
          <w:sz w:val="20"/>
          <w:szCs w:val="20"/>
        </w:rPr>
        <w:t xml:space="preserve"> the ACMA website.</w:t>
      </w:r>
    </w:p>
    <w:p w:rsidR="00B8114C" w:rsidRDefault="00B8114C" w:rsidP="00B908F0">
      <w:pPr>
        <w:numPr>
          <w:ilvl w:val="0"/>
          <w:numId w:val="25"/>
        </w:numPr>
        <w:spacing w:before="0" w:after="0" w:line="360" w:lineRule="auto"/>
        <w:ind w:left="567" w:hanging="567"/>
        <w:rPr>
          <w:rFonts w:ascii="Arial" w:hAnsi="Arial" w:cs="Arial"/>
          <w:sz w:val="20"/>
          <w:szCs w:val="20"/>
        </w:rPr>
      </w:pPr>
      <w:r w:rsidRPr="00093F5A">
        <w:rPr>
          <w:rFonts w:ascii="Arial" w:hAnsi="Arial" w:cs="Arial"/>
          <w:sz w:val="20"/>
          <w:szCs w:val="20"/>
        </w:rPr>
        <w:t xml:space="preserve">Information on the location and characteristics of the digital television transmitters </w:t>
      </w:r>
      <w:r>
        <w:rPr>
          <w:rFonts w:ascii="Arial" w:hAnsi="Arial" w:cs="Arial"/>
          <w:sz w:val="20"/>
          <w:szCs w:val="20"/>
        </w:rPr>
        <w:t>may be found o</w:t>
      </w:r>
      <w:r w:rsidRPr="00093F5A">
        <w:rPr>
          <w:rFonts w:ascii="Arial" w:hAnsi="Arial" w:cs="Arial"/>
          <w:sz w:val="20"/>
          <w:szCs w:val="20"/>
        </w:rPr>
        <w:t xml:space="preserve">n the Register </w:t>
      </w:r>
      <w:r w:rsidR="0043298F">
        <w:rPr>
          <w:rFonts w:ascii="Arial" w:hAnsi="Arial" w:cs="Arial"/>
          <w:sz w:val="20"/>
          <w:szCs w:val="20"/>
        </w:rPr>
        <w:t xml:space="preserve">of Radiocommunications Licences </w:t>
      </w:r>
      <w:r w:rsidRPr="00093F5A">
        <w:rPr>
          <w:rFonts w:ascii="Arial" w:hAnsi="Arial" w:cs="Arial"/>
          <w:sz w:val="20"/>
          <w:szCs w:val="20"/>
        </w:rPr>
        <w:t>and in the planning documents associated with the television licence area plans</w:t>
      </w:r>
      <w:r>
        <w:rPr>
          <w:rFonts w:ascii="Arial" w:hAnsi="Arial" w:cs="Arial"/>
          <w:sz w:val="20"/>
          <w:szCs w:val="20"/>
        </w:rPr>
        <w:t xml:space="preserve"> (see Schedule 4). The Register and planning documents</w:t>
      </w:r>
      <w:r w:rsidRPr="00093F5A">
        <w:rPr>
          <w:rFonts w:ascii="Arial" w:hAnsi="Arial" w:cs="Arial"/>
          <w:sz w:val="20"/>
          <w:szCs w:val="20"/>
        </w:rPr>
        <w:t xml:space="preserve"> are available on the ACMA</w:t>
      </w:r>
      <w:r>
        <w:rPr>
          <w:rFonts w:ascii="Arial" w:hAnsi="Arial" w:cs="Arial"/>
          <w:sz w:val="20"/>
          <w:szCs w:val="20"/>
        </w:rPr>
        <w:t>’s</w:t>
      </w:r>
      <w:r w:rsidRPr="00093F5A">
        <w:rPr>
          <w:rFonts w:ascii="Arial" w:hAnsi="Arial" w:cs="Arial"/>
          <w:sz w:val="20"/>
          <w:szCs w:val="20"/>
        </w:rPr>
        <w:t xml:space="preserve"> website</w:t>
      </w:r>
      <w:r>
        <w:rPr>
          <w:rFonts w:ascii="Arial" w:hAnsi="Arial" w:cs="Arial"/>
          <w:sz w:val="20"/>
          <w:szCs w:val="20"/>
        </w:rPr>
        <w:t>.</w:t>
      </w:r>
    </w:p>
    <w:p w:rsidR="00B8114C" w:rsidRPr="00B908F0" w:rsidRDefault="00B8114C" w:rsidP="00B908F0">
      <w:pPr>
        <w:numPr>
          <w:ilvl w:val="0"/>
          <w:numId w:val="25"/>
        </w:numPr>
        <w:spacing w:before="0" w:after="0" w:line="360" w:lineRule="auto"/>
        <w:ind w:left="567" w:hanging="567"/>
        <w:rPr>
          <w:rFonts w:ascii="Arial" w:hAnsi="Arial" w:cs="Arial"/>
          <w:sz w:val="20"/>
          <w:szCs w:val="20"/>
        </w:rPr>
      </w:pPr>
      <w:r w:rsidRPr="00B908F0">
        <w:rPr>
          <w:rFonts w:ascii="Arial" w:hAnsi="Arial" w:cs="Arial"/>
          <w:sz w:val="20"/>
          <w:szCs w:val="20"/>
        </w:rPr>
        <w:t xml:space="preserve">A number of legislative instruments, namely the </w:t>
      </w:r>
      <w:r w:rsidRPr="00B908F0">
        <w:rPr>
          <w:rFonts w:ascii="Arial" w:hAnsi="Arial" w:cs="Arial"/>
          <w:i/>
          <w:sz w:val="20"/>
          <w:szCs w:val="20"/>
        </w:rPr>
        <w:t>Radiocommunications (Spectrum Licence Allocation – Combinatorial Clock Auction) Determination 2012</w:t>
      </w:r>
      <w:r w:rsidRPr="00B908F0">
        <w:rPr>
          <w:rFonts w:ascii="Arial" w:hAnsi="Arial" w:cs="Arial"/>
          <w:sz w:val="20"/>
          <w:szCs w:val="20"/>
        </w:rPr>
        <w:t>,</w:t>
      </w:r>
      <w:r>
        <w:rPr>
          <w:rFonts w:ascii="Arial" w:hAnsi="Arial" w:cs="Arial"/>
          <w:sz w:val="20"/>
          <w:szCs w:val="20"/>
        </w:rPr>
        <w:t xml:space="preserve"> the </w:t>
      </w:r>
      <w:r w:rsidRPr="00093F5A">
        <w:rPr>
          <w:rFonts w:ascii="Arial" w:hAnsi="Arial" w:cs="Arial"/>
          <w:i/>
          <w:sz w:val="20"/>
          <w:szCs w:val="20"/>
        </w:rPr>
        <w:t>Radiocommunications Spectrum Marketing Plan (700 MHz) 2012</w:t>
      </w:r>
      <w:r>
        <w:rPr>
          <w:rFonts w:ascii="Arial" w:hAnsi="Arial" w:cs="Arial"/>
          <w:sz w:val="20"/>
          <w:szCs w:val="20"/>
        </w:rPr>
        <w:t xml:space="preserve"> and </w:t>
      </w:r>
      <w:r w:rsidRPr="00B908F0">
        <w:rPr>
          <w:rFonts w:ascii="Arial" w:hAnsi="Arial" w:cs="Arial"/>
          <w:sz w:val="20"/>
          <w:szCs w:val="20"/>
        </w:rPr>
        <w:t xml:space="preserve">the </w:t>
      </w:r>
      <w:r w:rsidRPr="00B908F0">
        <w:rPr>
          <w:rFonts w:ascii="Arial" w:hAnsi="Arial" w:cs="Arial"/>
          <w:i/>
          <w:sz w:val="20"/>
          <w:szCs w:val="20"/>
        </w:rPr>
        <w:t>Radiocommunications (Unacceptable Levels of Interference – 700MHz Band) Determination 2012</w:t>
      </w:r>
      <w:r w:rsidRPr="00B908F0">
        <w:rPr>
          <w:rFonts w:ascii="Arial" w:hAnsi="Arial" w:cs="Arial"/>
          <w:sz w:val="20"/>
          <w:szCs w:val="20"/>
        </w:rPr>
        <w:t>.  These instruments may</w:t>
      </w:r>
      <w:r w:rsidR="0043298F">
        <w:rPr>
          <w:rFonts w:ascii="Arial" w:hAnsi="Arial" w:cs="Arial"/>
          <w:sz w:val="20"/>
          <w:szCs w:val="20"/>
        </w:rPr>
        <w:t>, once made,</w:t>
      </w:r>
      <w:r w:rsidRPr="00B908F0">
        <w:rPr>
          <w:rFonts w:ascii="Arial" w:hAnsi="Arial" w:cs="Arial"/>
          <w:sz w:val="20"/>
          <w:szCs w:val="20"/>
        </w:rPr>
        <w:t xml:space="preserve"> be found on the Australian Government</w:t>
      </w:r>
      <w:r>
        <w:rPr>
          <w:rFonts w:ascii="Arial" w:hAnsi="Arial" w:cs="Arial"/>
          <w:sz w:val="20"/>
          <w:szCs w:val="20"/>
        </w:rPr>
        <w:t>’s</w:t>
      </w:r>
      <w:r w:rsidRPr="00B908F0">
        <w:rPr>
          <w:rFonts w:ascii="Arial" w:hAnsi="Arial" w:cs="Arial"/>
          <w:sz w:val="20"/>
          <w:szCs w:val="20"/>
        </w:rPr>
        <w:t xml:space="preserve"> ComLaw website (</w:t>
      </w:r>
      <w:hyperlink r:id="rId8" w:history="1">
        <w:r w:rsidRPr="00AD71F4">
          <w:rPr>
            <w:rFonts w:ascii="Arial" w:hAnsi="Arial" w:cs="Arial"/>
            <w:sz w:val="18"/>
            <w:szCs w:val="18"/>
          </w:rPr>
          <w:t>www.comlaw.gov.au</w:t>
        </w:r>
      </w:hyperlink>
      <w:r>
        <w:rPr>
          <w:rFonts w:ascii="Arial" w:hAnsi="Arial" w:cs="Arial"/>
          <w:sz w:val="20"/>
          <w:szCs w:val="20"/>
        </w:rPr>
        <w:t>).</w:t>
      </w:r>
    </w:p>
    <w:p w:rsidR="00B8114C" w:rsidRDefault="00B8114C" w:rsidP="00AF12CE">
      <w:pPr>
        <w:pStyle w:val="ACMAHeading3"/>
        <w:spacing w:line="360" w:lineRule="auto"/>
        <w:rPr>
          <w:sz w:val="20"/>
        </w:rPr>
      </w:pPr>
      <w:r w:rsidRPr="001D6BBA">
        <w:rPr>
          <w:sz w:val="20"/>
        </w:rPr>
        <w:t>Detailed Description of the Instrument</w:t>
      </w:r>
    </w:p>
    <w:p w:rsidR="00B8114C" w:rsidRDefault="00B8114C" w:rsidP="00AF12CE">
      <w:pPr>
        <w:pStyle w:val="ACMABodyText"/>
        <w:spacing w:line="360" w:lineRule="auto"/>
        <w:rPr>
          <w:rFonts w:ascii="Arial" w:hAnsi="Arial"/>
          <w:sz w:val="20"/>
        </w:rPr>
      </w:pPr>
      <w:r>
        <w:rPr>
          <w:rFonts w:ascii="Arial" w:hAnsi="Arial"/>
          <w:sz w:val="20"/>
        </w:rPr>
        <w:t xml:space="preserve">Details of the Advisory Guidelines are in </w:t>
      </w:r>
      <w:r w:rsidR="0043298F">
        <w:rPr>
          <w:rFonts w:ascii="Arial" w:hAnsi="Arial"/>
          <w:sz w:val="20"/>
        </w:rPr>
        <w:t>A</w:t>
      </w:r>
      <w:r>
        <w:rPr>
          <w:rFonts w:ascii="Arial" w:hAnsi="Arial"/>
          <w:sz w:val="20"/>
        </w:rPr>
        <w:t xml:space="preserve">ttachment A. </w:t>
      </w:r>
    </w:p>
    <w:p w:rsidR="00B8114C" w:rsidRDefault="00B8114C" w:rsidP="00AF12CE">
      <w:pPr>
        <w:pStyle w:val="ACMAHeading2"/>
        <w:spacing w:line="360" w:lineRule="auto"/>
        <w:jc w:val="right"/>
        <w:rPr>
          <w:sz w:val="20"/>
          <w:szCs w:val="20"/>
        </w:rPr>
      </w:pPr>
      <w:r w:rsidRPr="001D6BBA">
        <w:rPr>
          <w:sz w:val="20"/>
          <w:szCs w:val="20"/>
        </w:rPr>
        <w:br w:type="page"/>
      </w:r>
      <w:r>
        <w:rPr>
          <w:sz w:val="20"/>
          <w:szCs w:val="20"/>
        </w:rPr>
        <w:t>attachment A</w:t>
      </w:r>
    </w:p>
    <w:p w:rsidR="00B8114C" w:rsidRDefault="00B8114C" w:rsidP="00AF12CE">
      <w:pPr>
        <w:pStyle w:val="ACMAHeading2"/>
        <w:spacing w:line="360" w:lineRule="auto"/>
        <w:rPr>
          <w:sz w:val="20"/>
          <w:szCs w:val="20"/>
        </w:rPr>
      </w:pPr>
      <w:r w:rsidRPr="001D6BBA">
        <w:rPr>
          <w:sz w:val="20"/>
          <w:szCs w:val="20"/>
        </w:rPr>
        <w:t>NOTES ON SECTIONS</w:t>
      </w:r>
    </w:p>
    <w:p w:rsidR="00B8114C" w:rsidRDefault="00B8114C" w:rsidP="00AF12CE">
      <w:pPr>
        <w:pStyle w:val="ACMABodyText"/>
        <w:spacing w:line="360" w:lineRule="auto"/>
        <w:rPr>
          <w:rFonts w:ascii="Arial" w:hAnsi="Arial" w:cs="Arial"/>
          <w:b/>
          <w:sz w:val="20"/>
        </w:rPr>
      </w:pPr>
    </w:p>
    <w:p w:rsidR="00B8114C" w:rsidRDefault="00B8114C" w:rsidP="00AF12CE">
      <w:pPr>
        <w:pStyle w:val="ACMABodyText"/>
        <w:spacing w:line="360" w:lineRule="auto"/>
        <w:rPr>
          <w:rFonts w:ascii="Arial" w:hAnsi="Arial" w:cs="Arial"/>
          <w:b/>
          <w:sz w:val="20"/>
        </w:rPr>
      </w:pPr>
      <w:r w:rsidRPr="001D6BBA">
        <w:rPr>
          <w:rFonts w:ascii="Arial" w:hAnsi="Arial" w:cs="Arial"/>
          <w:b/>
          <w:sz w:val="20"/>
        </w:rPr>
        <w:t xml:space="preserve">Part 1 – Preliminary </w:t>
      </w:r>
    </w:p>
    <w:p w:rsidR="00B8114C" w:rsidRDefault="00B8114C" w:rsidP="00AF12CE">
      <w:pPr>
        <w:pStyle w:val="ACMABodyText"/>
        <w:spacing w:line="360" w:lineRule="auto"/>
        <w:rPr>
          <w:rFonts w:ascii="Arial" w:hAnsi="Arial" w:cs="Arial"/>
          <w:b/>
          <w:sz w:val="20"/>
        </w:rPr>
      </w:pPr>
      <w:r w:rsidRPr="001D6BBA">
        <w:rPr>
          <w:rFonts w:ascii="Arial" w:hAnsi="Arial" w:cs="Arial"/>
          <w:b/>
          <w:sz w:val="20"/>
        </w:rPr>
        <w:t>Section 1.1 – Name of Advisory Guidelines</w:t>
      </w:r>
    </w:p>
    <w:p w:rsidR="00B8114C" w:rsidRDefault="00B8114C" w:rsidP="00AF12CE">
      <w:pPr>
        <w:pStyle w:val="ACMABodyText"/>
        <w:spacing w:line="360" w:lineRule="auto"/>
        <w:rPr>
          <w:rFonts w:ascii="Arial" w:hAnsi="Arial" w:cs="Arial"/>
          <w:sz w:val="20"/>
        </w:rPr>
      </w:pPr>
      <w:r w:rsidRPr="001D6BBA">
        <w:rPr>
          <w:rFonts w:ascii="Arial" w:hAnsi="Arial" w:cs="Arial"/>
          <w:sz w:val="20"/>
        </w:rPr>
        <w:t>This section gives the citation for the Advisory Guideline</w:t>
      </w:r>
      <w:r>
        <w:rPr>
          <w:rFonts w:ascii="Arial" w:hAnsi="Arial" w:cs="Arial"/>
          <w:sz w:val="20"/>
        </w:rPr>
        <w:t>s</w:t>
      </w:r>
      <w:r w:rsidRPr="001D6BBA">
        <w:rPr>
          <w:rFonts w:ascii="Arial" w:hAnsi="Arial" w:cs="Arial"/>
          <w:sz w:val="20"/>
        </w:rPr>
        <w:t>.</w:t>
      </w:r>
    </w:p>
    <w:p w:rsidR="00B8114C" w:rsidRDefault="00B8114C" w:rsidP="00AF12CE">
      <w:pPr>
        <w:pStyle w:val="ACMABodyText"/>
        <w:spacing w:line="360" w:lineRule="auto"/>
        <w:rPr>
          <w:rFonts w:ascii="Arial" w:hAnsi="Arial" w:cs="Arial"/>
          <w:b/>
          <w:sz w:val="20"/>
        </w:rPr>
      </w:pPr>
      <w:r w:rsidRPr="001D6BBA">
        <w:rPr>
          <w:rFonts w:ascii="Arial" w:hAnsi="Arial" w:cs="Arial"/>
          <w:b/>
          <w:sz w:val="20"/>
        </w:rPr>
        <w:t>Section 1.2 – Commencement</w:t>
      </w:r>
    </w:p>
    <w:p w:rsidR="00B8114C" w:rsidRDefault="00B8114C" w:rsidP="00AF12CE">
      <w:pPr>
        <w:spacing w:line="360" w:lineRule="auto"/>
        <w:jc w:val="both"/>
        <w:rPr>
          <w:rFonts w:ascii="Arial" w:hAnsi="Arial" w:cs="Arial"/>
          <w:sz w:val="20"/>
          <w:szCs w:val="20"/>
          <w:lang w:val="en-US"/>
        </w:rPr>
      </w:pPr>
      <w:r w:rsidRPr="00CA5F1C">
        <w:rPr>
          <w:rFonts w:ascii="Arial" w:hAnsi="Arial" w:cs="Arial"/>
          <w:sz w:val="20"/>
          <w:szCs w:val="20"/>
          <w:lang w:val="en-US"/>
        </w:rPr>
        <w:t>This section provides that the</w:t>
      </w:r>
      <w:r>
        <w:rPr>
          <w:rFonts w:ascii="Arial" w:hAnsi="Arial" w:cs="Arial"/>
          <w:sz w:val="20"/>
          <w:szCs w:val="20"/>
          <w:lang w:val="en-US"/>
        </w:rPr>
        <w:t>se</w:t>
      </w:r>
      <w:r w:rsidRPr="00CA5F1C">
        <w:rPr>
          <w:rFonts w:ascii="Arial" w:hAnsi="Arial" w:cs="Arial"/>
          <w:sz w:val="20"/>
          <w:szCs w:val="20"/>
          <w:lang w:val="en-US"/>
        </w:rPr>
        <w:t xml:space="preserve"> </w:t>
      </w:r>
      <w:r>
        <w:rPr>
          <w:rFonts w:ascii="Arial" w:hAnsi="Arial" w:cs="Arial"/>
          <w:sz w:val="20"/>
          <w:szCs w:val="20"/>
          <w:lang w:val="en-US"/>
        </w:rPr>
        <w:t>Advisory Guidelines</w:t>
      </w:r>
      <w:r w:rsidRPr="00CA5F1C">
        <w:rPr>
          <w:rFonts w:ascii="Arial" w:hAnsi="Arial" w:cs="Arial"/>
          <w:sz w:val="20"/>
          <w:szCs w:val="20"/>
          <w:lang w:val="en-US"/>
        </w:rPr>
        <w:t xml:space="preserve"> commence on the day </w:t>
      </w:r>
      <w:r w:rsidR="00935D2E">
        <w:rPr>
          <w:rFonts w:ascii="Arial" w:hAnsi="Arial" w:cs="Arial"/>
          <w:sz w:val="20"/>
          <w:szCs w:val="20"/>
          <w:lang w:val="en-US"/>
        </w:rPr>
        <w:t>after they are registered</w:t>
      </w:r>
      <w:r w:rsidRPr="00CA5F1C">
        <w:rPr>
          <w:rFonts w:ascii="Arial" w:hAnsi="Arial" w:cs="Arial"/>
          <w:sz w:val="20"/>
          <w:szCs w:val="20"/>
          <w:lang w:val="en-US"/>
        </w:rPr>
        <w:t xml:space="preserve">. </w:t>
      </w:r>
    </w:p>
    <w:p w:rsidR="00B8114C" w:rsidRPr="006A6C3C" w:rsidRDefault="00B8114C" w:rsidP="00F24016">
      <w:pPr>
        <w:pStyle w:val="ACMABodyText"/>
        <w:spacing w:line="360" w:lineRule="auto"/>
        <w:rPr>
          <w:rFonts w:ascii="Arial" w:hAnsi="Arial" w:cs="Arial"/>
          <w:b/>
          <w:sz w:val="20"/>
        </w:rPr>
      </w:pPr>
      <w:r w:rsidRPr="006A6C3C">
        <w:rPr>
          <w:rFonts w:ascii="Arial" w:hAnsi="Arial" w:cs="Arial"/>
          <w:b/>
          <w:sz w:val="20"/>
        </w:rPr>
        <w:t xml:space="preserve">Section 1.3 – Purpose </w:t>
      </w:r>
    </w:p>
    <w:p w:rsidR="00B8114C" w:rsidRPr="006A6C3C" w:rsidRDefault="00B8114C" w:rsidP="00F24016">
      <w:pPr>
        <w:pStyle w:val="ACMABodyText"/>
        <w:spacing w:line="360" w:lineRule="auto"/>
        <w:rPr>
          <w:rFonts w:ascii="Arial" w:hAnsi="Arial" w:cs="Arial"/>
          <w:sz w:val="20"/>
        </w:rPr>
      </w:pPr>
      <w:r w:rsidRPr="006A6C3C">
        <w:rPr>
          <w:rFonts w:ascii="Arial" w:hAnsi="Arial" w:cs="Arial"/>
          <w:sz w:val="20"/>
        </w:rPr>
        <w:t>This section outlines the purpose of the</w:t>
      </w:r>
      <w:r>
        <w:rPr>
          <w:rFonts w:ascii="Arial" w:hAnsi="Arial" w:cs="Arial"/>
          <w:sz w:val="20"/>
        </w:rPr>
        <w:t>se</w:t>
      </w:r>
      <w:r w:rsidRPr="006A6C3C">
        <w:rPr>
          <w:rFonts w:ascii="Arial" w:hAnsi="Arial" w:cs="Arial"/>
          <w:sz w:val="20"/>
        </w:rPr>
        <w:t xml:space="preserve"> Advisory Guideline</w:t>
      </w:r>
      <w:r>
        <w:rPr>
          <w:rFonts w:ascii="Arial" w:hAnsi="Arial" w:cs="Arial"/>
          <w:sz w:val="20"/>
        </w:rPr>
        <w:t>s</w:t>
      </w:r>
      <w:r w:rsidRPr="006A6C3C">
        <w:rPr>
          <w:rFonts w:ascii="Arial" w:hAnsi="Arial" w:cs="Arial"/>
          <w:sz w:val="20"/>
        </w:rPr>
        <w:t xml:space="preserve"> which is to manage interference by providing </w:t>
      </w:r>
      <w:r>
        <w:rPr>
          <w:rFonts w:ascii="Arial" w:hAnsi="Arial" w:cs="Arial"/>
          <w:sz w:val="20"/>
        </w:rPr>
        <w:t xml:space="preserve">recommended </w:t>
      </w:r>
      <w:r w:rsidRPr="006A6C3C">
        <w:rPr>
          <w:rFonts w:ascii="Arial" w:hAnsi="Arial" w:cs="Arial"/>
          <w:sz w:val="20"/>
        </w:rPr>
        <w:t xml:space="preserve">compatibility requirements for registered fixed receivers operating under spectrum licences issued in the </w:t>
      </w:r>
      <w:r>
        <w:rPr>
          <w:rFonts w:ascii="Arial" w:hAnsi="Arial" w:cs="Arial"/>
          <w:sz w:val="20"/>
        </w:rPr>
        <w:t>700</w:t>
      </w:r>
      <w:r w:rsidRPr="006A6C3C">
        <w:rPr>
          <w:rFonts w:ascii="Arial" w:hAnsi="Arial" w:cs="Arial"/>
          <w:sz w:val="20"/>
        </w:rPr>
        <w:t xml:space="preserve"> </w:t>
      </w:r>
      <w:r>
        <w:rPr>
          <w:rFonts w:ascii="Arial" w:hAnsi="Arial" w:cs="Arial"/>
          <w:sz w:val="20"/>
        </w:rPr>
        <w:t>M</w:t>
      </w:r>
      <w:r w:rsidRPr="006A6C3C">
        <w:rPr>
          <w:rFonts w:ascii="Arial" w:hAnsi="Arial" w:cs="Arial"/>
          <w:sz w:val="20"/>
        </w:rPr>
        <w:t xml:space="preserve">Hz band.  The compatibility requirements aim to </w:t>
      </w:r>
      <w:r>
        <w:rPr>
          <w:rFonts w:ascii="Arial" w:hAnsi="Arial" w:cs="Arial"/>
          <w:sz w:val="20"/>
        </w:rPr>
        <w:t xml:space="preserve">assist operators of services to plan their services in order to </w:t>
      </w:r>
      <w:r w:rsidRPr="006A6C3C">
        <w:rPr>
          <w:rFonts w:ascii="Arial" w:hAnsi="Arial" w:cs="Arial"/>
          <w:sz w:val="20"/>
        </w:rPr>
        <w:t>manage interference</w:t>
      </w:r>
      <w:r>
        <w:rPr>
          <w:rFonts w:ascii="Arial" w:hAnsi="Arial" w:cs="Arial"/>
          <w:sz w:val="20"/>
        </w:rPr>
        <w:t xml:space="preserve">, </w:t>
      </w:r>
      <w:r w:rsidR="0043298F">
        <w:rPr>
          <w:rFonts w:ascii="Arial" w:hAnsi="Arial" w:cs="Arial"/>
          <w:sz w:val="20"/>
        </w:rPr>
        <w:t>or</w:t>
      </w:r>
      <w:r>
        <w:rPr>
          <w:rFonts w:ascii="Arial" w:hAnsi="Arial" w:cs="Arial"/>
          <w:sz w:val="20"/>
        </w:rPr>
        <w:t xml:space="preserve"> resolve interference issues, which may be</w:t>
      </w:r>
      <w:r w:rsidRPr="006A6C3C">
        <w:rPr>
          <w:rFonts w:ascii="Arial" w:hAnsi="Arial" w:cs="Arial"/>
          <w:sz w:val="20"/>
        </w:rPr>
        <w:t xml:space="preserve"> caused by transmitters operated under </w:t>
      </w:r>
      <w:r w:rsidR="002A407B">
        <w:rPr>
          <w:rFonts w:ascii="Arial" w:hAnsi="Arial" w:cs="Arial"/>
          <w:sz w:val="20"/>
        </w:rPr>
        <w:t xml:space="preserve">other </w:t>
      </w:r>
      <w:r w:rsidRPr="006A6C3C">
        <w:rPr>
          <w:rFonts w:ascii="Arial" w:hAnsi="Arial" w:cs="Arial"/>
          <w:sz w:val="20"/>
        </w:rPr>
        <w:t>licences</w:t>
      </w:r>
      <w:r>
        <w:rPr>
          <w:rFonts w:ascii="Arial" w:hAnsi="Arial" w:cs="Arial"/>
          <w:sz w:val="20"/>
        </w:rPr>
        <w:t>.</w:t>
      </w:r>
    </w:p>
    <w:p w:rsidR="00B8114C" w:rsidRPr="006A6C3C" w:rsidRDefault="00B8114C" w:rsidP="00F24016">
      <w:pPr>
        <w:pStyle w:val="ACMABodyText"/>
        <w:spacing w:line="360" w:lineRule="auto"/>
        <w:rPr>
          <w:rFonts w:ascii="Arial" w:hAnsi="Arial" w:cs="Arial"/>
          <w:b/>
          <w:sz w:val="20"/>
        </w:rPr>
      </w:pPr>
      <w:r w:rsidRPr="006A6C3C">
        <w:rPr>
          <w:rFonts w:ascii="Arial" w:hAnsi="Arial" w:cs="Arial"/>
          <w:b/>
          <w:sz w:val="20"/>
        </w:rPr>
        <w:t>Section 1.4 – Interpretation</w:t>
      </w:r>
    </w:p>
    <w:p w:rsidR="00B8114C" w:rsidRDefault="00B8114C" w:rsidP="00F24016">
      <w:pPr>
        <w:pStyle w:val="ACMABodyText"/>
        <w:spacing w:line="360" w:lineRule="auto"/>
        <w:rPr>
          <w:rFonts w:ascii="Arial" w:hAnsi="Arial" w:cs="Arial"/>
          <w:sz w:val="20"/>
        </w:rPr>
      </w:pPr>
      <w:r w:rsidRPr="006A6C3C">
        <w:rPr>
          <w:rFonts w:ascii="Arial" w:hAnsi="Arial" w:cs="Arial"/>
          <w:sz w:val="20"/>
        </w:rPr>
        <w:t>This section provides definitions for terms used in the</w:t>
      </w:r>
      <w:r>
        <w:rPr>
          <w:rFonts w:ascii="Arial" w:hAnsi="Arial" w:cs="Arial"/>
          <w:sz w:val="20"/>
        </w:rPr>
        <w:t>se</w:t>
      </w:r>
      <w:r w:rsidRPr="006A6C3C">
        <w:rPr>
          <w:rFonts w:ascii="Arial" w:hAnsi="Arial" w:cs="Arial"/>
          <w:sz w:val="20"/>
        </w:rPr>
        <w:t xml:space="preserve"> Advisory Guideline</w:t>
      </w:r>
      <w:r>
        <w:rPr>
          <w:rFonts w:ascii="Arial" w:hAnsi="Arial" w:cs="Arial"/>
          <w:sz w:val="20"/>
        </w:rPr>
        <w:t>s</w:t>
      </w:r>
      <w:r w:rsidRPr="006A6C3C">
        <w:rPr>
          <w:rFonts w:ascii="Arial" w:hAnsi="Arial" w:cs="Arial"/>
          <w:sz w:val="20"/>
        </w:rPr>
        <w:t>.</w:t>
      </w:r>
      <w:r w:rsidR="00C3418A">
        <w:rPr>
          <w:rFonts w:ascii="Arial" w:hAnsi="Arial" w:cs="Arial"/>
          <w:sz w:val="20"/>
        </w:rPr>
        <w:t xml:space="preserve"> Some terms used in these Advisory Guidelines have the same meaning as in the </w:t>
      </w:r>
      <w:r w:rsidR="00C3418A" w:rsidRPr="00C3418A">
        <w:rPr>
          <w:rFonts w:ascii="Arial" w:hAnsi="Arial" w:cs="Arial"/>
          <w:i/>
          <w:sz w:val="20"/>
        </w:rPr>
        <w:t>Radiocommunications (Unacceptable Levels of Interference – 700 MHz Band) Determination 2012</w:t>
      </w:r>
      <w:r w:rsidR="00C3418A">
        <w:rPr>
          <w:rFonts w:ascii="Arial" w:hAnsi="Arial" w:cs="Arial"/>
          <w:sz w:val="20"/>
        </w:rPr>
        <w:t xml:space="preserve"> and the Act.</w:t>
      </w:r>
    </w:p>
    <w:p w:rsidR="00B8114C" w:rsidRPr="006A6C3C" w:rsidRDefault="00B8114C" w:rsidP="00F24016">
      <w:pPr>
        <w:pStyle w:val="ACMABodyText"/>
        <w:spacing w:line="360" w:lineRule="auto"/>
        <w:rPr>
          <w:rFonts w:ascii="Arial" w:hAnsi="Arial" w:cs="Arial"/>
          <w:sz w:val="20"/>
        </w:rPr>
      </w:pPr>
    </w:p>
    <w:p w:rsidR="00B8114C" w:rsidRDefault="00B8114C" w:rsidP="00F24016">
      <w:pPr>
        <w:pStyle w:val="ACMABodyText"/>
        <w:spacing w:line="360" w:lineRule="auto"/>
        <w:rPr>
          <w:rFonts w:ascii="Arial" w:hAnsi="Arial" w:cs="Arial"/>
          <w:b/>
          <w:sz w:val="20"/>
        </w:rPr>
      </w:pPr>
      <w:r w:rsidRPr="006A6C3C">
        <w:rPr>
          <w:rFonts w:ascii="Arial" w:hAnsi="Arial" w:cs="Arial"/>
          <w:b/>
          <w:sz w:val="20"/>
        </w:rPr>
        <w:t xml:space="preserve">Part 2 – </w:t>
      </w:r>
      <w:r>
        <w:rPr>
          <w:rFonts w:ascii="Arial" w:hAnsi="Arial" w:cs="Arial"/>
          <w:b/>
          <w:sz w:val="20"/>
        </w:rPr>
        <w:t>Background</w:t>
      </w:r>
    </w:p>
    <w:p w:rsidR="00B8114C" w:rsidRDefault="00B8114C" w:rsidP="00F24016">
      <w:pPr>
        <w:pStyle w:val="ACMABodyText"/>
        <w:spacing w:line="360" w:lineRule="auto"/>
        <w:rPr>
          <w:rFonts w:ascii="Arial" w:hAnsi="Arial" w:cs="Arial"/>
          <w:b/>
          <w:sz w:val="20"/>
        </w:rPr>
      </w:pPr>
      <w:r>
        <w:rPr>
          <w:rFonts w:ascii="Arial" w:hAnsi="Arial" w:cs="Arial"/>
          <w:b/>
          <w:sz w:val="20"/>
        </w:rPr>
        <w:t xml:space="preserve">Section 2.1 – </w:t>
      </w:r>
      <w:r w:rsidRPr="006A6C3C">
        <w:rPr>
          <w:rFonts w:ascii="Arial" w:hAnsi="Arial" w:cs="Arial"/>
          <w:b/>
          <w:sz w:val="20"/>
        </w:rPr>
        <w:t>Interference</w:t>
      </w:r>
    </w:p>
    <w:p w:rsidR="00C3418A" w:rsidRDefault="00B8114C" w:rsidP="00F24016">
      <w:pPr>
        <w:pStyle w:val="ACMABodyText"/>
        <w:spacing w:line="360" w:lineRule="auto"/>
        <w:rPr>
          <w:rFonts w:ascii="Arial" w:hAnsi="Arial" w:cs="Arial"/>
          <w:sz w:val="20"/>
        </w:rPr>
      </w:pPr>
      <w:r w:rsidRPr="00FF223E">
        <w:rPr>
          <w:rFonts w:ascii="Arial" w:hAnsi="Arial" w:cs="Arial"/>
          <w:sz w:val="20"/>
        </w:rPr>
        <w:t xml:space="preserve">This section </w:t>
      </w:r>
      <w:r>
        <w:rPr>
          <w:rFonts w:ascii="Arial" w:hAnsi="Arial" w:cs="Arial"/>
          <w:sz w:val="20"/>
        </w:rPr>
        <w:t>sets out the two categories of interference</w:t>
      </w:r>
      <w:r w:rsidR="00C3418A">
        <w:rPr>
          <w:rFonts w:ascii="Arial" w:hAnsi="Arial" w:cs="Arial"/>
          <w:sz w:val="20"/>
        </w:rPr>
        <w:t>:</w:t>
      </w:r>
    </w:p>
    <w:p w:rsidR="00C3418A" w:rsidRDefault="00B8114C" w:rsidP="00C3418A">
      <w:pPr>
        <w:pStyle w:val="ACMABodyText"/>
        <w:numPr>
          <w:ilvl w:val="0"/>
          <w:numId w:val="28"/>
        </w:numPr>
        <w:spacing w:line="360" w:lineRule="auto"/>
        <w:rPr>
          <w:rFonts w:ascii="Arial" w:hAnsi="Arial" w:cs="Arial"/>
          <w:sz w:val="20"/>
        </w:rPr>
      </w:pPr>
      <w:r>
        <w:rPr>
          <w:rFonts w:ascii="Arial" w:hAnsi="Arial" w:cs="Arial"/>
          <w:sz w:val="20"/>
        </w:rPr>
        <w:t>in-band interference</w:t>
      </w:r>
      <w:r w:rsidR="00C3418A">
        <w:rPr>
          <w:rFonts w:ascii="Arial" w:hAnsi="Arial" w:cs="Arial"/>
          <w:sz w:val="20"/>
        </w:rPr>
        <w:t xml:space="preserve">, which is interference </w:t>
      </w:r>
      <w:r w:rsidR="004A1CE6">
        <w:rPr>
          <w:rFonts w:ascii="Arial" w:hAnsi="Arial" w:cs="Arial"/>
          <w:sz w:val="20"/>
        </w:rPr>
        <w:t>between</w:t>
      </w:r>
      <w:r w:rsidR="00C3418A">
        <w:rPr>
          <w:rFonts w:ascii="Arial" w:hAnsi="Arial" w:cs="Arial"/>
          <w:sz w:val="20"/>
        </w:rPr>
        <w:t xml:space="preserve"> devices operating in the</w:t>
      </w:r>
      <w:r w:rsidR="004A1CE6">
        <w:rPr>
          <w:rFonts w:ascii="Arial" w:hAnsi="Arial" w:cs="Arial"/>
          <w:sz w:val="20"/>
        </w:rPr>
        <w:t xml:space="preserve"> same frequency</w:t>
      </w:r>
      <w:r w:rsidR="00C3418A">
        <w:rPr>
          <w:rFonts w:ascii="Arial" w:hAnsi="Arial" w:cs="Arial"/>
          <w:sz w:val="20"/>
        </w:rPr>
        <w:t xml:space="preserve"> band but in different geographic area</w:t>
      </w:r>
      <w:r w:rsidR="004A1CE6">
        <w:rPr>
          <w:rFonts w:ascii="Arial" w:hAnsi="Arial" w:cs="Arial"/>
          <w:sz w:val="20"/>
        </w:rPr>
        <w:t>s</w:t>
      </w:r>
      <w:r w:rsidR="00C3418A">
        <w:rPr>
          <w:rFonts w:ascii="Arial" w:hAnsi="Arial" w:cs="Arial"/>
          <w:sz w:val="20"/>
        </w:rPr>
        <w:t>;</w:t>
      </w:r>
      <w:r>
        <w:rPr>
          <w:rFonts w:ascii="Arial" w:hAnsi="Arial" w:cs="Arial"/>
          <w:sz w:val="20"/>
        </w:rPr>
        <w:t xml:space="preserve"> and </w:t>
      </w:r>
    </w:p>
    <w:p w:rsidR="00C3418A" w:rsidRDefault="00B8114C" w:rsidP="00C3418A">
      <w:pPr>
        <w:pStyle w:val="ACMABodyText"/>
        <w:numPr>
          <w:ilvl w:val="0"/>
          <w:numId w:val="28"/>
        </w:numPr>
        <w:spacing w:line="360" w:lineRule="auto"/>
        <w:rPr>
          <w:rFonts w:ascii="Arial" w:hAnsi="Arial" w:cs="Arial"/>
          <w:sz w:val="20"/>
        </w:rPr>
      </w:pPr>
      <w:r>
        <w:rPr>
          <w:rFonts w:ascii="Arial" w:hAnsi="Arial" w:cs="Arial"/>
          <w:sz w:val="20"/>
        </w:rPr>
        <w:t>out-of-band interference</w:t>
      </w:r>
      <w:r w:rsidR="00C3418A">
        <w:rPr>
          <w:rFonts w:ascii="Arial" w:hAnsi="Arial" w:cs="Arial"/>
          <w:sz w:val="20"/>
        </w:rPr>
        <w:t xml:space="preserve">, which is interference </w:t>
      </w:r>
      <w:r w:rsidR="004A1CE6">
        <w:rPr>
          <w:rFonts w:ascii="Arial" w:hAnsi="Arial" w:cs="Arial"/>
          <w:sz w:val="20"/>
        </w:rPr>
        <w:t>between</w:t>
      </w:r>
      <w:r w:rsidR="00C3418A">
        <w:rPr>
          <w:rFonts w:ascii="Arial" w:hAnsi="Arial" w:cs="Arial"/>
          <w:sz w:val="20"/>
        </w:rPr>
        <w:t xml:space="preserve"> devices operating </w:t>
      </w:r>
      <w:r w:rsidR="004A1CE6">
        <w:rPr>
          <w:rFonts w:ascii="Arial" w:hAnsi="Arial" w:cs="Arial"/>
          <w:sz w:val="20"/>
        </w:rPr>
        <w:t>at</w:t>
      </w:r>
      <w:r w:rsidR="00C3418A">
        <w:rPr>
          <w:rFonts w:ascii="Arial" w:hAnsi="Arial" w:cs="Arial"/>
          <w:sz w:val="20"/>
        </w:rPr>
        <w:t xml:space="preserve"> </w:t>
      </w:r>
      <w:r w:rsidR="004A1CE6">
        <w:rPr>
          <w:rFonts w:ascii="Arial" w:hAnsi="Arial" w:cs="Arial"/>
          <w:sz w:val="20"/>
        </w:rPr>
        <w:t>different frequencies</w:t>
      </w:r>
      <w:r w:rsidR="00C3418A">
        <w:rPr>
          <w:rFonts w:ascii="Arial" w:hAnsi="Arial" w:cs="Arial"/>
          <w:sz w:val="20"/>
        </w:rPr>
        <w:t xml:space="preserve"> </w:t>
      </w:r>
      <w:r w:rsidR="00B91A53">
        <w:rPr>
          <w:rFonts w:ascii="Arial" w:hAnsi="Arial" w:cs="Arial"/>
          <w:sz w:val="20"/>
        </w:rPr>
        <w:t xml:space="preserve">but in </w:t>
      </w:r>
      <w:r w:rsidR="004A1CE6">
        <w:rPr>
          <w:rFonts w:ascii="Arial" w:hAnsi="Arial" w:cs="Arial"/>
          <w:sz w:val="20"/>
        </w:rPr>
        <w:t>the same, or a nearby,</w:t>
      </w:r>
      <w:r w:rsidR="00C3418A">
        <w:rPr>
          <w:rFonts w:ascii="Arial" w:hAnsi="Arial" w:cs="Arial"/>
          <w:sz w:val="20"/>
        </w:rPr>
        <w:t xml:space="preserve"> geographic area.</w:t>
      </w:r>
    </w:p>
    <w:p w:rsidR="0043298F" w:rsidRDefault="0043298F" w:rsidP="0043298F">
      <w:pPr>
        <w:pStyle w:val="ACMABodyText"/>
        <w:spacing w:line="360" w:lineRule="auto"/>
        <w:rPr>
          <w:rFonts w:ascii="Arial" w:hAnsi="Arial" w:cs="Arial"/>
          <w:b/>
          <w:sz w:val="20"/>
        </w:rPr>
      </w:pPr>
      <w:r>
        <w:rPr>
          <w:rFonts w:ascii="Arial" w:hAnsi="Arial" w:cs="Arial"/>
          <w:b/>
          <w:sz w:val="20"/>
        </w:rPr>
        <w:t xml:space="preserve">Section 2.2 – </w:t>
      </w:r>
      <w:r w:rsidRPr="006A6C3C">
        <w:rPr>
          <w:rFonts w:ascii="Arial" w:hAnsi="Arial" w:cs="Arial"/>
          <w:b/>
          <w:sz w:val="20"/>
        </w:rPr>
        <w:t>Interference</w:t>
      </w:r>
      <w:r>
        <w:rPr>
          <w:rFonts w:ascii="Arial" w:hAnsi="Arial" w:cs="Arial"/>
          <w:b/>
          <w:sz w:val="20"/>
        </w:rPr>
        <w:t xml:space="preserve"> management</w:t>
      </w:r>
    </w:p>
    <w:p w:rsidR="00B8114C" w:rsidRPr="00FF223E" w:rsidRDefault="00C3418A" w:rsidP="00F24016">
      <w:pPr>
        <w:pStyle w:val="ACMABodyText"/>
        <w:spacing w:line="360" w:lineRule="auto"/>
        <w:rPr>
          <w:rFonts w:ascii="Arial" w:hAnsi="Arial" w:cs="Arial"/>
          <w:sz w:val="20"/>
        </w:rPr>
      </w:pPr>
      <w:r>
        <w:rPr>
          <w:rFonts w:ascii="Arial" w:hAnsi="Arial" w:cs="Arial"/>
          <w:sz w:val="20"/>
        </w:rPr>
        <w:t>Th</w:t>
      </w:r>
      <w:r w:rsidR="0043298F">
        <w:rPr>
          <w:rFonts w:ascii="Arial" w:hAnsi="Arial" w:cs="Arial"/>
          <w:sz w:val="20"/>
        </w:rPr>
        <w:t>is</w:t>
      </w:r>
      <w:r>
        <w:rPr>
          <w:rFonts w:ascii="Arial" w:hAnsi="Arial" w:cs="Arial"/>
          <w:sz w:val="20"/>
        </w:rPr>
        <w:t xml:space="preserve"> section </w:t>
      </w:r>
      <w:r w:rsidR="00B8114C">
        <w:rPr>
          <w:rFonts w:ascii="Arial" w:hAnsi="Arial" w:cs="Arial"/>
          <w:sz w:val="20"/>
        </w:rPr>
        <w:t xml:space="preserve"> </w:t>
      </w:r>
      <w:r w:rsidR="004A1CE6">
        <w:rPr>
          <w:rFonts w:ascii="Arial" w:hAnsi="Arial" w:cs="Arial"/>
          <w:sz w:val="20"/>
        </w:rPr>
        <w:t xml:space="preserve">lists </w:t>
      </w:r>
      <w:r w:rsidR="00B8114C">
        <w:rPr>
          <w:rFonts w:ascii="Arial" w:hAnsi="Arial" w:cs="Arial"/>
          <w:sz w:val="20"/>
        </w:rPr>
        <w:t>the ways that this interference can be managed under the Act</w:t>
      </w:r>
      <w:r w:rsidR="004A1CE6">
        <w:rPr>
          <w:rFonts w:ascii="Arial" w:hAnsi="Arial" w:cs="Arial"/>
          <w:sz w:val="20"/>
        </w:rPr>
        <w:t>, and outlines the different interference scenarios which these guidelines are designed to deal with.</w:t>
      </w:r>
    </w:p>
    <w:p w:rsidR="00B8114C" w:rsidRDefault="007C2CC6" w:rsidP="00F24016">
      <w:pPr>
        <w:pStyle w:val="ACMABodyText"/>
        <w:spacing w:line="360" w:lineRule="auto"/>
        <w:rPr>
          <w:rFonts w:ascii="Arial" w:hAnsi="Arial" w:cs="Arial"/>
          <w:b/>
          <w:sz w:val="20"/>
        </w:rPr>
      </w:pPr>
      <w:r>
        <w:rPr>
          <w:rFonts w:ascii="Arial" w:hAnsi="Arial" w:cs="Arial"/>
          <w:b/>
          <w:sz w:val="20"/>
        </w:rPr>
        <w:br w:type="page"/>
      </w:r>
    </w:p>
    <w:p w:rsidR="00B8114C" w:rsidRDefault="00B8114C" w:rsidP="00F24016">
      <w:pPr>
        <w:pStyle w:val="ACMABodyText"/>
        <w:spacing w:line="360" w:lineRule="auto"/>
        <w:rPr>
          <w:rFonts w:ascii="Arial" w:hAnsi="Arial" w:cs="Arial"/>
          <w:b/>
          <w:sz w:val="20"/>
        </w:rPr>
      </w:pPr>
      <w:r>
        <w:rPr>
          <w:rFonts w:ascii="Arial" w:hAnsi="Arial" w:cs="Arial"/>
          <w:b/>
          <w:sz w:val="20"/>
        </w:rPr>
        <w:t>Part 3 – Managing interference from other services</w:t>
      </w:r>
    </w:p>
    <w:p w:rsidR="00B8114C" w:rsidRPr="006A6C3C" w:rsidRDefault="00B8114C" w:rsidP="00F24016">
      <w:pPr>
        <w:pStyle w:val="ACMABodyText"/>
        <w:spacing w:line="360" w:lineRule="auto"/>
        <w:rPr>
          <w:rFonts w:ascii="Arial" w:hAnsi="Arial" w:cs="Arial"/>
          <w:b/>
          <w:sz w:val="20"/>
        </w:rPr>
      </w:pPr>
      <w:r w:rsidRPr="006A6C3C">
        <w:rPr>
          <w:rFonts w:ascii="Arial" w:hAnsi="Arial" w:cs="Arial"/>
          <w:b/>
          <w:sz w:val="20"/>
        </w:rPr>
        <w:t xml:space="preserve">Section </w:t>
      </w:r>
      <w:r>
        <w:rPr>
          <w:rFonts w:ascii="Arial" w:hAnsi="Arial" w:cs="Arial"/>
          <w:b/>
          <w:sz w:val="20"/>
        </w:rPr>
        <w:t>3</w:t>
      </w:r>
      <w:r w:rsidRPr="006A6C3C">
        <w:rPr>
          <w:rFonts w:ascii="Arial" w:hAnsi="Arial" w:cs="Arial"/>
          <w:b/>
          <w:sz w:val="20"/>
        </w:rPr>
        <w:t>.1 – In-band interference</w:t>
      </w:r>
    </w:p>
    <w:p w:rsidR="00B8114C" w:rsidRDefault="00B8114C" w:rsidP="00F24016">
      <w:pPr>
        <w:pStyle w:val="ACMABodyText"/>
        <w:spacing w:line="360" w:lineRule="auto"/>
        <w:rPr>
          <w:rFonts w:ascii="Arial" w:hAnsi="Arial" w:cs="Arial"/>
          <w:sz w:val="20"/>
        </w:rPr>
      </w:pPr>
      <w:r w:rsidRPr="006A6C3C">
        <w:rPr>
          <w:rFonts w:ascii="Arial" w:hAnsi="Arial" w:cs="Arial"/>
          <w:sz w:val="20"/>
        </w:rPr>
        <w:t xml:space="preserve">This section explains </w:t>
      </w:r>
      <w:r w:rsidR="0043012D">
        <w:rPr>
          <w:rFonts w:ascii="Arial" w:hAnsi="Arial" w:cs="Arial"/>
          <w:sz w:val="20"/>
        </w:rPr>
        <w:t xml:space="preserve">the methods through which </w:t>
      </w:r>
      <w:r w:rsidRPr="006A6C3C">
        <w:rPr>
          <w:rFonts w:ascii="Arial" w:hAnsi="Arial" w:cs="Arial"/>
          <w:sz w:val="20"/>
        </w:rPr>
        <w:t xml:space="preserve">in-band interference to </w:t>
      </w:r>
      <w:r w:rsidR="0043012D">
        <w:rPr>
          <w:rFonts w:ascii="Arial" w:hAnsi="Arial" w:cs="Arial"/>
          <w:sz w:val="20"/>
        </w:rPr>
        <w:t xml:space="preserve">a radiocommunications </w:t>
      </w:r>
      <w:r w:rsidRPr="006A6C3C">
        <w:rPr>
          <w:rFonts w:ascii="Arial" w:hAnsi="Arial" w:cs="Arial"/>
          <w:sz w:val="20"/>
        </w:rPr>
        <w:t>receiver operat</w:t>
      </w:r>
      <w:r w:rsidR="0043012D">
        <w:rPr>
          <w:rFonts w:ascii="Arial" w:hAnsi="Arial" w:cs="Arial"/>
          <w:sz w:val="20"/>
        </w:rPr>
        <w:t>ed</w:t>
      </w:r>
      <w:r w:rsidRPr="006A6C3C">
        <w:rPr>
          <w:rFonts w:ascii="Arial" w:hAnsi="Arial" w:cs="Arial"/>
          <w:sz w:val="20"/>
        </w:rPr>
        <w:t xml:space="preserve"> under a spectrum licence caused by </w:t>
      </w:r>
      <w:r w:rsidR="0043012D">
        <w:rPr>
          <w:rFonts w:ascii="Arial" w:hAnsi="Arial" w:cs="Arial"/>
          <w:sz w:val="20"/>
        </w:rPr>
        <w:t xml:space="preserve">spectrum, </w:t>
      </w:r>
      <w:r w:rsidRPr="006A6C3C">
        <w:rPr>
          <w:rFonts w:ascii="Arial" w:hAnsi="Arial" w:cs="Arial"/>
          <w:sz w:val="20"/>
        </w:rPr>
        <w:t>apparatus and class licensed transmitters</w:t>
      </w:r>
      <w:r w:rsidR="0043012D">
        <w:rPr>
          <w:rFonts w:ascii="Arial" w:hAnsi="Arial" w:cs="Arial"/>
          <w:sz w:val="20"/>
        </w:rPr>
        <w:t xml:space="preserve"> is to be managed</w:t>
      </w:r>
      <w:r w:rsidRPr="006A6C3C">
        <w:rPr>
          <w:rFonts w:ascii="Arial" w:hAnsi="Arial" w:cs="Arial"/>
          <w:sz w:val="20"/>
        </w:rPr>
        <w:t>.</w:t>
      </w:r>
    </w:p>
    <w:p w:rsidR="0043012D" w:rsidRPr="0043012D" w:rsidRDefault="0043012D" w:rsidP="0043012D">
      <w:pPr>
        <w:pStyle w:val="ACMABodyText"/>
        <w:spacing w:line="360" w:lineRule="auto"/>
        <w:rPr>
          <w:rFonts w:ascii="Arial" w:hAnsi="Arial" w:cs="Arial"/>
          <w:sz w:val="20"/>
        </w:rPr>
      </w:pPr>
      <w:r w:rsidRPr="0043012D">
        <w:rPr>
          <w:rFonts w:ascii="Arial" w:hAnsi="Arial" w:cs="Arial"/>
          <w:sz w:val="20"/>
        </w:rPr>
        <w:t>If interference is from an adjacent spectrum licensed transmitter, it is managed through the core conditions of the licence and the device boundary criteria of the section 145 determination.</w:t>
      </w:r>
    </w:p>
    <w:p w:rsidR="0043012D" w:rsidRPr="0043012D" w:rsidRDefault="0043012D" w:rsidP="0043012D">
      <w:pPr>
        <w:pStyle w:val="ACMABodyText"/>
        <w:spacing w:line="360" w:lineRule="auto"/>
        <w:rPr>
          <w:rFonts w:ascii="Arial" w:hAnsi="Arial" w:cs="Arial"/>
          <w:sz w:val="20"/>
        </w:rPr>
      </w:pPr>
      <w:r w:rsidRPr="0043012D">
        <w:rPr>
          <w:rFonts w:ascii="Arial" w:hAnsi="Arial" w:cs="Arial"/>
          <w:sz w:val="20"/>
        </w:rPr>
        <w:t xml:space="preserve">If interference is caused by an apparatus-licensed transmitter issued after the date the </w:t>
      </w:r>
      <w:r w:rsidRPr="0043012D">
        <w:rPr>
          <w:rFonts w:ascii="Arial" w:hAnsi="Arial" w:cs="Arial"/>
          <w:i/>
          <w:sz w:val="20"/>
        </w:rPr>
        <w:t>Radiocommunications Spectrum Marketing Plan (</w:t>
      </w:r>
      <w:r>
        <w:rPr>
          <w:rFonts w:ascii="Arial" w:hAnsi="Arial" w:cs="Arial"/>
          <w:i/>
          <w:sz w:val="20"/>
        </w:rPr>
        <w:t>700</w:t>
      </w:r>
      <w:r w:rsidRPr="0043012D">
        <w:rPr>
          <w:rFonts w:ascii="Arial" w:hAnsi="Arial" w:cs="Arial"/>
          <w:i/>
          <w:sz w:val="20"/>
        </w:rPr>
        <w:t xml:space="preserve"> </w:t>
      </w:r>
      <w:r>
        <w:rPr>
          <w:rFonts w:ascii="Arial" w:hAnsi="Arial" w:cs="Arial"/>
          <w:i/>
          <w:sz w:val="20"/>
        </w:rPr>
        <w:t>M</w:t>
      </w:r>
      <w:r w:rsidRPr="0043012D">
        <w:rPr>
          <w:rFonts w:ascii="Arial" w:hAnsi="Arial" w:cs="Arial"/>
          <w:i/>
          <w:sz w:val="20"/>
        </w:rPr>
        <w:t xml:space="preserve">Hz Band) 2012 </w:t>
      </w:r>
      <w:r w:rsidRPr="00017BB7">
        <w:rPr>
          <w:rFonts w:ascii="Arial" w:hAnsi="Arial" w:cs="Arial"/>
          <w:sz w:val="20"/>
        </w:rPr>
        <w:t xml:space="preserve">(the </w:t>
      </w:r>
      <w:r w:rsidRPr="00017BB7">
        <w:rPr>
          <w:rFonts w:ascii="Arial" w:hAnsi="Arial" w:cs="Arial"/>
          <w:b/>
          <w:sz w:val="20"/>
        </w:rPr>
        <w:t>Marketing Plan</w:t>
      </w:r>
      <w:r w:rsidRPr="00017BB7">
        <w:rPr>
          <w:rFonts w:ascii="Arial" w:hAnsi="Arial" w:cs="Arial"/>
          <w:sz w:val="20"/>
        </w:rPr>
        <w:t>)</w:t>
      </w:r>
      <w:r w:rsidRPr="0043012D">
        <w:rPr>
          <w:rFonts w:ascii="Arial" w:hAnsi="Arial" w:cs="Arial"/>
          <w:sz w:val="20"/>
        </w:rPr>
        <w:t xml:space="preserve"> starts, it is managed as if the transmitter is operated under a spectrum licence. This means that t</w:t>
      </w:r>
      <w:r w:rsidR="00017BB7">
        <w:rPr>
          <w:rFonts w:ascii="Arial" w:hAnsi="Arial" w:cs="Arial"/>
          <w:sz w:val="20"/>
        </w:rPr>
        <w:t xml:space="preserve">he same device boundary </w:t>
      </w:r>
      <w:r w:rsidRPr="0043012D">
        <w:rPr>
          <w:rFonts w:ascii="Arial" w:hAnsi="Arial" w:cs="Arial"/>
          <w:sz w:val="20"/>
        </w:rPr>
        <w:t>criterion that applies to spectrum-licensed radiocommunications transmitters applies to those apparatus licen</w:t>
      </w:r>
      <w:r w:rsidR="00017BB7">
        <w:rPr>
          <w:rFonts w:ascii="Arial" w:hAnsi="Arial" w:cs="Arial"/>
          <w:sz w:val="20"/>
        </w:rPr>
        <w:t>s</w:t>
      </w:r>
      <w:r w:rsidRPr="0043012D">
        <w:rPr>
          <w:rFonts w:ascii="Arial" w:hAnsi="Arial" w:cs="Arial"/>
          <w:sz w:val="20"/>
        </w:rPr>
        <w:t>e</w:t>
      </w:r>
      <w:r w:rsidR="00017BB7">
        <w:rPr>
          <w:rFonts w:ascii="Arial" w:hAnsi="Arial" w:cs="Arial"/>
          <w:sz w:val="20"/>
        </w:rPr>
        <w:t>d radiocommunications transmitters</w:t>
      </w:r>
      <w:r w:rsidRPr="0043012D">
        <w:rPr>
          <w:rFonts w:ascii="Arial" w:hAnsi="Arial" w:cs="Arial"/>
          <w:sz w:val="20"/>
        </w:rPr>
        <w:t>.</w:t>
      </w:r>
    </w:p>
    <w:p w:rsidR="0019150C" w:rsidRDefault="00017BB7" w:rsidP="0043012D">
      <w:pPr>
        <w:pStyle w:val="ACMABodyText"/>
        <w:spacing w:line="360" w:lineRule="auto"/>
        <w:rPr>
          <w:rFonts w:ascii="Arial" w:hAnsi="Arial" w:cs="Arial"/>
          <w:sz w:val="20"/>
        </w:rPr>
      </w:pPr>
      <w:r>
        <w:rPr>
          <w:rFonts w:ascii="Arial" w:hAnsi="Arial" w:cs="Arial"/>
          <w:sz w:val="20"/>
        </w:rPr>
        <w:t>If interference is caused by a class-licensed radiocommunications transmitter, the interference management framework contained in the relevant class licence applies</w:t>
      </w:r>
      <w:r w:rsidR="0019150C">
        <w:rPr>
          <w:rFonts w:ascii="Arial" w:hAnsi="Arial" w:cs="Arial"/>
          <w:sz w:val="20"/>
        </w:rPr>
        <w:t>.</w:t>
      </w:r>
    </w:p>
    <w:p w:rsidR="0019150C" w:rsidRDefault="0019150C" w:rsidP="0043012D">
      <w:pPr>
        <w:pStyle w:val="ACMABodyText"/>
        <w:spacing w:line="360" w:lineRule="auto"/>
        <w:rPr>
          <w:rFonts w:ascii="Arial" w:hAnsi="Arial" w:cs="Arial"/>
          <w:sz w:val="20"/>
        </w:rPr>
      </w:pPr>
      <w:r>
        <w:rPr>
          <w:rFonts w:ascii="Arial" w:hAnsi="Arial" w:cs="Arial"/>
          <w:sz w:val="20"/>
        </w:rPr>
        <w:t>This section also indicates that the ACMA will not regard in-band interference to a radiocommunications receiver operating under a spectrum licence caused by a transmitter operating under a class licence as unacceptable if the transmitter is operated in accordance with all relevant conditions of the class licence.</w:t>
      </w:r>
    </w:p>
    <w:p w:rsidR="00017BB7" w:rsidRPr="006A6C3C" w:rsidRDefault="00017BB7" w:rsidP="0043012D">
      <w:pPr>
        <w:pStyle w:val="ACMABodyText"/>
        <w:spacing w:line="360" w:lineRule="auto"/>
        <w:rPr>
          <w:rFonts w:ascii="Arial" w:hAnsi="Arial" w:cs="Arial"/>
          <w:sz w:val="20"/>
        </w:rPr>
      </w:pPr>
      <w:r>
        <w:rPr>
          <w:rFonts w:ascii="Arial" w:hAnsi="Arial" w:cs="Arial"/>
          <w:sz w:val="20"/>
        </w:rPr>
        <w:t xml:space="preserve">The note to the section states that </w:t>
      </w:r>
      <w:r w:rsidRPr="00017BB7">
        <w:rPr>
          <w:rFonts w:ascii="Arial" w:hAnsi="Arial" w:cs="Arial"/>
          <w:sz w:val="20"/>
        </w:rPr>
        <w:t>spectrum licences must accept any interference caused by apparatus-licensed transmitters whose licences were issued before the start of the Marketing Plan.</w:t>
      </w:r>
    </w:p>
    <w:p w:rsidR="00B8114C" w:rsidRPr="006A6C3C" w:rsidRDefault="00B8114C" w:rsidP="00F24016">
      <w:pPr>
        <w:pStyle w:val="ACMABodyText"/>
        <w:spacing w:line="360" w:lineRule="auto"/>
        <w:rPr>
          <w:rFonts w:ascii="Arial" w:hAnsi="Arial" w:cs="Arial"/>
          <w:b/>
          <w:sz w:val="20"/>
        </w:rPr>
      </w:pPr>
      <w:r w:rsidRPr="006A6C3C">
        <w:rPr>
          <w:rFonts w:ascii="Arial" w:hAnsi="Arial" w:cs="Arial"/>
          <w:b/>
          <w:sz w:val="20"/>
        </w:rPr>
        <w:t xml:space="preserve">Section </w:t>
      </w:r>
      <w:r>
        <w:rPr>
          <w:rFonts w:ascii="Arial" w:hAnsi="Arial" w:cs="Arial"/>
          <w:b/>
          <w:sz w:val="20"/>
        </w:rPr>
        <w:t>3</w:t>
      </w:r>
      <w:r w:rsidRPr="006A6C3C">
        <w:rPr>
          <w:rFonts w:ascii="Arial" w:hAnsi="Arial" w:cs="Arial"/>
          <w:b/>
          <w:sz w:val="20"/>
        </w:rPr>
        <w:t>.2 – Out-of-band interference</w:t>
      </w:r>
    </w:p>
    <w:p w:rsidR="00B8114C" w:rsidRDefault="00B8114C" w:rsidP="00F24016">
      <w:pPr>
        <w:pStyle w:val="ACMABodyText"/>
        <w:spacing w:line="360" w:lineRule="auto"/>
        <w:rPr>
          <w:rFonts w:ascii="Arial" w:hAnsi="Arial" w:cs="Arial"/>
          <w:sz w:val="20"/>
        </w:rPr>
      </w:pPr>
      <w:r w:rsidRPr="006A6C3C">
        <w:rPr>
          <w:rFonts w:ascii="Arial" w:hAnsi="Arial" w:cs="Arial"/>
          <w:sz w:val="20"/>
        </w:rPr>
        <w:t xml:space="preserve">This section explains what </w:t>
      </w:r>
      <w:r w:rsidR="0097120A">
        <w:rPr>
          <w:rFonts w:ascii="Arial" w:hAnsi="Arial" w:cs="Arial"/>
          <w:sz w:val="20"/>
        </w:rPr>
        <w:t xml:space="preserve">constitutes </w:t>
      </w:r>
      <w:r w:rsidRPr="006A6C3C">
        <w:rPr>
          <w:rFonts w:ascii="Arial" w:hAnsi="Arial" w:cs="Arial"/>
          <w:sz w:val="20"/>
        </w:rPr>
        <w:t xml:space="preserve">out-of-band interference </w:t>
      </w:r>
      <w:r w:rsidR="0097120A">
        <w:rPr>
          <w:rFonts w:ascii="Arial" w:hAnsi="Arial" w:cs="Arial"/>
          <w:sz w:val="20"/>
        </w:rPr>
        <w:t>in a radiocommunications receiver operated under a spectrum licence</w:t>
      </w:r>
      <w:r w:rsidR="000C38FA">
        <w:rPr>
          <w:rFonts w:ascii="Arial" w:hAnsi="Arial" w:cs="Arial"/>
          <w:sz w:val="20"/>
        </w:rPr>
        <w:t xml:space="preserve"> </w:t>
      </w:r>
      <w:r w:rsidRPr="006A6C3C">
        <w:rPr>
          <w:rFonts w:ascii="Arial" w:hAnsi="Arial" w:cs="Arial"/>
          <w:sz w:val="20"/>
        </w:rPr>
        <w:t>and how it can be managed through compatibility requirements for receivers.</w:t>
      </w:r>
    </w:p>
    <w:p w:rsidR="0097120A" w:rsidRDefault="0097120A" w:rsidP="0097120A">
      <w:pPr>
        <w:pStyle w:val="ACMABodyText"/>
        <w:spacing w:line="360" w:lineRule="auto"/>
        <w:rPr>
          <w:rFonts w:ascii="Arial" w:hAnsi="Arial" w:cs="Arial"/>
          <w:sz w:val="20"/>
        </w:rPr>
      </w:pPr>
      <w:r>
        <w:rPr>
          <w:rFonts w:ascii="Arial" w:hAnsi="Arial" w:cs="Arial"/>
          <w:sz w:val="20"/>
        </w:rPr>
        <w:t>Out-of-band interference can occur when radiocommunications transmitters are either near in frequency or distance. It may consist of intermodulation products, harmonic signals, parasitic signals or other spurious signals generated at site or arriving at the radiocommunications receiver.</w:t>
      </w:r>
    </w:p>
    <w:p w:rsidR="0097120A" w:rsidRPr="006A6C3C" w:rsidRDefault="0097120A" w:rsidP="0097120A">
      <w:pPr>
        <w:pStyle w:val="ACMABodyText"/>
        <w:spacing w:line="360" w:lineRule="auto"/>
        <w:rPr>
          <w:rFonts w:ascii="Arial" w:hAnsi="Arial" w:cs="Arial"/>
          <w:sz w:val="20"/>
        </w:rPr>
      </w:pPr>
      <w:r>
        <w:rPr>
          <w:rFonts w:ascii="Arial" w:hAnsi="Arial" w:cs="Arial"/>
          <w:sz w:val="20"/>
        </w:rPr>
        <w:t>Out-of-band interference may extend for significant frequency separations on either side of a spectrum licence and its severity may depend on the quality of the radiocommunications receiver. For these reasons, this section explains that out-of-band interference is managed through the definition of a notional receiver performance level and a compatibility requirement for co-ordination with other licensed services. The use of a performance standard for spectrum-licensed radiocommunications receivers ensu</w:t>
      </w:r>
      <w:r w:rsidR="00E572DB">
        <w:rPr>
          <w:rFonts w:ascii="Arial" w:hAnsi="Arial" w:cs="Arial"/>
          <w:sz w:val="20"/>
        </w:rPr>
        <w:t>r</w:t>
      </w:r>
      <w:r>
        <w:rPr>
          <w:rFonts w:ascii="Arial" w:hAnsi="Arial" w:cs="Arial"/>
          <w:sz w:val="20"/>
        </w:rPr>
        <w:t>es that the burden of mitigating interference is not solely placed on the radiocommunications transmitter side.</w:t>
      </w:r>
    </w:p>
    <w:p w:rsidR="00BB03C0" w:rsidRPr="006A6C3C" w:rsidRDefault="00BB03C0" w:rsidP="00BB03C0">
      <w:pPr>
        <w:pStyle w:val="ACMABodyText"/>
        <w:spacing w:line="360" w:lineRule="auto"/>
        <w:rPr>
          <w:rFonts w:ascii="Arial" w:hAnsi="Arial" w:cs="Arial"/>
          <w:sz w:val="20"/>
        </w:rPr>
      </w:pPr>
      <w:r>
        <w:rPr>
          <w:rFonts w:ascii="Arial" w:hAnsi="Arial" w:cs="Arial"/>
          <w:sz w:val="20"/>
        </w:rPr>
        <w:t xml:space="preserve">The note to the section states that </w:t>
      </w:r>
      <w:r w:rsidRPr="00017BB7">
        <w:rPr>
          <w:rFonts w:ascii="Arial" w:hAnsi="Arial" w:cs="Arial"/>
          <w:sz w:val="20"/>
        </w:rPr>
        <w:t>spectrum licences must accept any interference caused by apparatus-licensed transmitters whose licences were issued before the start of the Marketing Plan.</w:t>
      </w:r>
    </w:p>
    <w:p w:rsidR="0097120A" w:rsidRDefault="0097120A" w:rsidP="00F24016">
      <w:pPr>
        <w:pStyle w:val="ACMABodyText"/>
        <w:spacing w:line="360" w:lineRule="auto"/>
        <w:rPr>
          <w:rFonts w:ascii="Arial" w:hAnsi="Arial" w:cs="Arial"/>
          <w:sz w:val="20"/>
        </w:rPr>
      </w:pPr>
    </w:p>
    <w:p w:rsidR="00B8114C" w:rsidRDefault="00B8114C" w:rsidP="00F24016">
      <w:pPr>
        <w:pStyle w:val="ACMABodyText"/>
        <w:spacing w:line="360" w:lineRule="auto"/>
        <w:rPr>
          <w:rFonts w:ascii="Arial" w:hAnsi="Arial" w:cs="Arial"/>
          <w:b/>
          <w:sz w:val="20"/>
        </w:rPr>
      </w:pPr>
      <w:r>
        <w:rPr>
          <w:rFonts w:ascii="Arial" w:hAnsi="Arial" w:cs="Arial"/>
          <w:b/>
          <w:sz w:val="20"/>
        </w:rPr>
        <w:t>Part 4 – Requirements for receiver protection</w:t>
      </w:r>
    </w:p>
    <w:p w:rsidR="00B8114C" w:rsidRDefault="00B8114C" w:rsidP="008B7407">
      <w:pPr>
        <w:pStyle w:val="ACMABodyText"/>
        <w:spacing w:line="360" w:lineRule="auto"/>
        <w:rPr>
          <w:rFonts w:ascii="Arial" w:hAnsi="Arial" w:cs="Arial"/>
          <w:b/>
          <w:sz w:val="20"/>
        </w:rPr>
      </w:pPr>
      <w:r w:rsidRPr="00F24016">
        <w:rPr>
          <w:rFonts w:ascii="Arial" w:hAnsi="Arial" w:cs="Arial"/>
          <w:b/>
          <w:sz w:val="20"/>
        </w:rPr>
        <w:t xml:space="preserve">Section </w:t>
      </w:r>
      <w:r>
        <w:rPr>
          <w:rFonts w:ascii="Arial" w:hAnsi="Arial" w:cs="Arial"/>
          <w:b/>
          <w:sz w:val="20"/>
        </w:rPr>
        <w:t>4.1</w:t>
      </w:r>
      <w:r w:rsidRPr="00F24016">
        <w:rPr>
          <w:rFonts w:ascii="Arial" w:hAnsi="Arial" w:cs="Arial"/>
          <w:b/>
          <w:sz w:val="20"/>
        </w:rPr>
        <w:t xml:space="preserve"> – Recording radiocommunications receiver details in the Register</w:t>
      </w:r>
      <w:r>
        <w:rPr>
          <w:rFonts w:ascii="Arial" w:hAnsi="Arial" w:cs="Arial"/>
          <w:b/>
          <w:sz w:val="20"/>
        </w:rPr>
        <w:t xml:space="preserve"> </w:t>
      </w:r>
    </w:p>
    <w:p w:rsidR="00BB03C0" w:rsidRPr="006A6C3C" w:rsidRDefault="00B8114C" w:rsidP="00BB03C0">
      <w:pPr>
        <w:pStyle w:val="ACMABodyText"/>
        <w:spacing w:line="360" w:lineRule="auto"/>
        <w:rPr>
          <w:rFonts w:ascii="Arial" w:hAnsi="Arial" w:cs="Arial"/>
          <w:sz w:val="20"/>
        </w:rPr>
      </w:pPr>
      <w:r w:rsidRPr="006A6C3C">
        <w:rPr>
          <w:rFonts w:ascii="Arial" w:hAnsi="Arial" w:cs="Arial"/>
          <w:sz w:val="20"/>
        </w:rPr>
        <w:t>This section explains that a receiver will not be afforded protection unless the details of the receiver are included in the Register of Radiocommunications Licences.</w:t>
      </w:r>
      <w:r w:rsidR="00BB03C0">
        <w:rPr>
          <w:rFonts w:ascii="Arial" w:hAnsi="Arial" w:cs="Arial"/>
          <w:sz w:val="20"/>
        </w:rPr>
        <w:t xml:space="preserve"> In order to meet the compatibility requirement in section 5.1, a fixed radiocommunications receiver operated under a 700 MHz band spectrum licence must have its details included in the Register before the date that the radiocommunications transmitter with which compatibility is sought has its details recorded in the Register.</w:t>
      </w:r>
    </w:p>
    <w:p w:rsidR="00B8114C" w:rsidRDefault="00B8114C" w:rsidP="008B7407">
      <w:pPr>
        <w:pStyle w:val="ACMABodyText"/>
        <w:spacing w:line="360" w:lineRule="auto"/>
        <w:rPr>
          <w:rFonts w:ascii="Arial" w:hAnsi="Arial" w:cs="Arial"/>
          <w:b/>
          <w:sz w:val="20"/>
        </w:rPr>
      </w:pPr>
      <w:r>
        <w:rPr>
          <w:rFonts w:ascii="Arial" w:hAnsi="Arial" w:cs="Arial"/>
          <w:b/>
          <w:sz w:val="20"/>
        </w:rPr>
        <w:t>Section 4.2 – Mobile and nomadic devices</w:t>
      </w:r>
    </w:p>
    <w:p w:rsidR="00B8114C" w:rsidRPr="006A6C3C" w:rsidRDefault="00B8114C" w:rsidP="008B7407">
      <w:pPr>
        <w:pStyle w:val="ACMABodyText"/>
        <w:spacing w:line="360" w:lineRule="auto"/>
        <w:rPr>
          <w:rFonts w:ascii="Arial" w:hAnsi="Arial" w:cs="Arial"/>
          <w:sz w:val="20"/>
        </w:rPr>
      </w:pPr>
      <w:r w:rsidRPr="006A6C3C">
        <w:rPr>
          <w:rFonts w:ascii="Arial" w:hAnsi="Arial" w:cs="Arial"/>
          <w:sz w:val="20"/>
        </w:rPr>
        <w:t xml:space="preserve">This section explains that the compatibility requirements are not applicable to mobile </w:t>
      </w:r>
      <w:r>
        <w:rPr>
          <w:rFonts w:ascii="Arial" w:hAnsi="Arial" w:cs="Arial"/>
          <w:sz w:val="20"/>
        </w:rPr>
        <w:t xml:space="preserve">or nomadic </w:t>
      </w:r>
      <w:r w:rsidRPr="006A6C3C">
        <w:rPr>
          <w:rFonts w:ascii="Arial" w:hAnsi="Arial" w:cs="Arial"/>
          <w:sz w:val="20"/>
        </w:rPr>
        <w:t>devices.</w:t>
      </w:r>
    </w:p>
    <w:p w:rsidR="00B8114C" w:rsidRPr="006A6C3C" w:rsidRDefault="00B8114C" w:rsidP="00F24016">
      <w:pPr>
        <w:pStyle w:val="ACMABodyText"/>
        <w:spacing w:line="360" w:lineRule="auto"/>
        <w:rPr>
          <w:rFonts w:ascii="Arial" w:hAnsi="Arial" w:cs="Arial"/>
          <w:b/>
          <w:sz w:val="20"/>
        </w:rPr>
      </w:pPr>
      <w:r w:rsidRPr="006A6C3C">
        <w:rPr>
          <w:rFonts w:ascii="Arial" w:hAnsi="Arial" w:cs="Arial"/>
          <w:b/>
          <w:sz w:val="20"/>
        </w:rPr>
        <w:t xml:space="preserve">Section </w:t>
      </w:r>
      <w:r>
        <w:rPr>
          <w:rFonts w:ascii="Arial" w:hAnsi="Arial" w:cs="Arial"/>
          <w:b/>
          <w:sz w:val="20"/>
        </w:rPr>
        <w:t xml:space="preserve">4.3 </w:t>
      </w:r>
      <w:r w:rsidRPr="006A6C3C">
        <w:rPr>
          <w:rFonts w:ascii="Arial" w:hAnsi="Arial" w:cs="Arial"/>
          <w:b/>
          <w:sz w:val="20"/>
        </w:rPr>
        <w:t xml:space="preserve">– </w:t>
      </w:r>
      <w:r>
        <w:rPr>
          <w:rFonts w:ascii="Arial" w:hAnsi="Arial" w:cs="Arial"/>
          <w:b/>
          <w:sz w:val="20"/>
        </w:rPr>
        <w:t>Notional r</w:t>
      </w:r>
      <w:r w:rsidRPr="006A6C3C">
        <w:rPr>
          <w:rFonts w:ascii="Arial" w:hAnsi="Arial" w:cs="Arial"/>
          <w:b/>
          <w:sz w:val="20"/>
        </w:rPr>
        <w:t>eceiver performance</w:t>
      </w:r>
    </w:p>
    <w:p w:rsidR="00B8114C" w:rsidRPr="006A6C3C" w:rsidRDefault="00B8114C" w:rsidP="00F24016">
      <w:pPr>
        <w:pStyle w:val="ACMABodyText"/>
        <w:spacing w:line="360" w:lineRule="auto"/>
        <w:rPr>
          <w:rFonts w:ascii="Arial" w:hAnsi="Arial" w:cs="Arial"/>
          <w:sz w:val="20"/>
        </w:rPr>
      </w:pPr>
      <w:r w:rsidRPr="006A6C3C">
        <w:rPr>
          <w:rFonts w:ascii="Arial" w:hAnsi="Arial" w:cs="Arial"/>
          <w:sz w:val="20"/>
        </w:rPr>
        <w:t xml:space="preserve">This section explains </w:t>
      </w:r>
      <w:r w:rsidR="00D20E26">
        <w:rPr>
          <w:rFonts w:ascii="Arial" w:hAnsi="Arial" w:cs="Arial"/>
          <w:sz w:val="20"/>
        </w:rPr>
        <w:t xml:space="preserve">why a notional receiver performance level is needed. The level of interference experienced by a receiver is </w:t>
      </w:r>
      <w:r w:rsidR="0090246B">
        <w:rPr>
          <w:rFonts w:ascii="Arial" w:hAnsi="Arial" w:cs="Arial"/>
          <w:sz w:val="20"/>
        </w:rPr>
        <w:t xml:space="preserve">in part </w:t>
      </w:r>
      <w:r w:rsidR="00D20E26">
        <w:rPr>
          <w:rFonts w:ascii="Arial" w:hAnsi="Arial" w:cs="Arial"/>
          <w:sz w:val="20"/>
        </w:rPr>
        <w:t xml:space="preserve">dependent on the quality of the receiver. Emissions from a transmitter should not have to be reduced below a point where the performance of the receiver is the main cause of the problem. As a result, it is necessary to establish a benchmark performance level for radiocommunications receivers. </w:t>
      </w:r>
    </w:p>
    <w:p w:rsidR="00B8114C" w:rsidRPr="006A6C3C" w:rsidRDefault="00B8114C" w:rsidP="00F24016">
      <w:pPr>
        <w:pStyle w:val="ACMABodyText"/>
        <w:spacing w:line="360" w:lineRule="auto"/>
        <w:rPr>
          <w:rFonts w:ascii="Arial" w:hAnsi="Arial" w:cs="Arial"/>
          <w:sz w:val="20"/>
        </w:rPr>
      </w:pPr>
      <w:r w:rsidRPr="006A6C3C">
        <w:rPr>
          <w:rFonts w:ascii="Arial" w:hAnsi="Arial" w:cs="Arial"/>
          <w:sz w:val="20"/>
        </w:rPr>
        <w:t xml:space="preserve">This section explains that the </w:t>
      </w:r>
      <w:r w:rsidR="0090246B">
        <w:rPr>
          <w:rFonts w:ascii="Arial" w:hAnsi="Arial" w:cs="Arial"/>
          <w:sz w:val="20"/>
        </w:rPr>
        <w:t>benchmark</w:t>
      </w:r>
      <w:r w:rsidR="0090246B" w:rsidRPr="006A6C3C">
        <w:rPr>
          <w:rFonts w:ascii="Arial" w:hAnsi="Arial" w:cs="Arial"/>
          <w:sz w:val="20"/>
        </w:rPr>
        <w:t xml:space="preserve"> </w:t>
      </w:r>
      <w:r w:rsidRPr="006A6C3C">
        <w:rPr>
          <w:rFonts w:ascii="Arial" w:hAnsi="Arial" w:cs="Arial"/>
          <w:sz w:val="20"/>
        </w:rPr>
        <w:t xml:space="preserve">performance level for receivers in the </w:t>
      </w:r>
      <w:r>
        <w:rPr>
          <w:rFonts w:ascii="Arial" w:hAnsi="Arial" w:cs="Arial"/>
          <w:sz w:val="20"/>
        </w:rPr>
        <w:t>700 M</w:t>
      </w:r>
      <w:r w:rsidRPr="006A6C3C">
        <w:rPr>
          <w:rFonts w:ascii="Arial" w:hAnsi="Arial" w:cs="Arial"/>
          <w:sz w:val="20"/>
        </w:rPr>
        <w:t xml:space="preserve">Hz band is set out in Schedule 1 of </w:t>
      </w:r>
      <w:r>
        <w:rPr>
          <w:rFonts w:ascii="Arial" w:hAnsi="Arial" w:cs="Arial"/>
          <w:sz w:val="20"/>
        </w:rPr>
        <w:t>the</w:t>
      </w:r>
      <w:r w:rsidRPr="006A6C3C">
        <w:rPr>
          <w:rFonts w:ascii="Arial" w:hAnsi="Arial" w:cs="Arial"/>
          <w:sz w:val="20"/>
        </w:rPr>
        <w:t xml:space="preserve"> Advisory Guideline</w:t>
      </w:r>
      <w:r>
        <w:rPr>
          <w:rFonts w:ascii="Arial" w:hAnsi="Arial" w:cs="Arial"/>
          <w:sz w:val="20"/>
        </w:rPr>
        <w:t>s</w:t>
      </w:r>
      <w:r w:rsidRPr="006A6C3C">
        <w:rPr>
          <w:rFonts w:ascii="Arial" w:hAnsi="Arial" w:cs="Arial"/>
          <w:sz w:val="20"/>
        </w:rPr>
        <w:t>.</w:t>
      </w:r>
      <w:r w:rsidR="00D20E26" w:rsidRPr="00D20E26">
        <w:rPr>
          <w:rFonts w:cs="Arial"/>
          <w:sz w:val="20"/>
        </w:rPr>
        <w:t xml:space="preserve"> </w:t>
      </w:r>
      <w:r w:rsidR="00D20E26">
        <w:rPr>
          <w:rFonts w:ascii="Arial" w:hAnsi="Arial" w:cs="Arial"/>
          <w:sz w:val="20"/>
        </w:rPr>
        <w:t xml:space="preserve">It also states that a receiver will need to meet this benchmark to </w:t>
      </w:r>
      <w:r w:rsidR="0090246B">
        <w:rPr>
          <w:rFonts w:ascii="Arial" w:hAnsi="Arial" w:cs="Arial"/>
          <w:sz w:val="20"/>
        </w:rPr>
        <w:t>receive</w:t>
      </w:r>
      <w:r w:rsidR="00D20E26">
        <w:rPr>
          <w:rFonts w:ascii="Arial" w:hAnsi="Arial" w:cs="Arial"/>
          <w:sz w:val="20"/>
        </w:rPr>
        <w:t xml:space="preserve"> protect</w:t>
      </w:r>
      <w:r w:rsidR="0090246B">
        <w:rPr>
          <w:rFonts w:ascii="Arial" w:hAnsi="Arial" w:cs="Arial"/>
          <w:sz w:val="20"/>
        </w:rPr>
        <w:t>ion</w:t>
      </w:r>
      <w:r w:rsidR="00D20E26">
        <w:rPr>
          <w:rFonts w:ascii="Arial" w:hAnsi="Arial" w:cs="Arial"/>
          <w:sz w:val="20"/>
        </w:rPr>
        <w:t xml:space="preserve"> </w:t>
      </w:r>
      <w:r w:rsidR="00D3567B">
        <w:rPr>
          <w:rFonts w:ascii="Arial" w:hAnsi="Arial" w:cs="Arial"/>
          <w:sz w:val="20"/>
        </w:rPr>
        <w:t>from interference</w:t>
      </w:r>
      <w:r w:rsidR="00D20E26">
        <w:rPr>
          <w:rFonts w:ascii="Arial" w:hAnsi="Arial" w:cs="Arial"/>
          <w:sz w:val="20"/>
        </w:rPr>
        <w:t xml:space="preserve">. </w:t>
      </w:r>
    </w:p>
    <w:p w:rsidR="00B8114C" w:rsidRDefault="00B8114C" w:rsidP="00F24016">
      <w:pPr>
        <w:pStyle w:val="ACMABodyText"/>
        <w:spacing w:line="360" w:lineRule="auto"/>
        <w:rPr>
          <w:rFonts w:ascii="Arial" w:hAnsi="Arial" w:cs="Arial"/>
          <w:b/>
          <w:sz w:val="20"/>
        </w:rPr>
      </w:pPr>
    </w:p>
    <w:p w:rsidR="00B8114C" w:rsidRPr="006A6C3C" w:rsidRDefault="00B8114C" w:rsidP="00F24016">
      <w:pPr>
        <w:pStyle w:val="ACMABodyText"/>
        <w:spacing w:line="360" w:lineRule="auto"/>
        <w:rPr>
          <w:rFonts w:ascii="Arial" w:hAnsi="Arial" w:cs="Arial"/>
          <w:b/>
          <w:sz w:val="20"/>
        </w:rPr>
      </w:pPr>
      <w:r w:rsidRPr="006A6C3C">
        <w:rPr>
          <w:rFonts w:ascii="Arial" w:hAnsi="Arial" w:cs="Arial"/>
          <w:b/>
          <w:sz w:val="20"/>
        </w:rPr>
        <w:t xml:space="preserve">Part </w:t>
      </w:r>
      <w:r>
        <w:rPr>
          <w:rFonts w:ascii="Arial" w:hAnsi="Arial" w:cs="Arial"/>
          <w:b/>
          <w:sz w:val="20"/>
        </w:rPr>
        <w:t>5</w:t>
      </w:r>
      <w:r w:rsidRPr="006A6C3C">
        <w:rPr>
          <w:rFonts w:ascii="Arial" w:hAnsi="Arial" w:cs="Arial"/>
          <w:b/>
          <w:sz w:val="20"/>
        </w:rPr>
        <w:t xml:space="preserve"> – Compatibility requirement</w:t>
      </w:r>
    </w:p>
    <w:p w:rsidR="00B8114C" w:rsidRDefault="00B8114C" w:rsidP="009D5210">
      <w:pPr>
        <w:pStyle w:val="ACMABodyText"/>
        <w:spacing w:line="360" w:lineRule="auto"/>
        <w:rPr>
          <w:rFonts w:ascii="Arial" w:hAnsi="Arial" w:cs="Arial"/>
          <w:b/>
          <w:sz w:val="20"/>
        </w:rPr>
      </w:pPr>
      <w:r w:rsidRPr="006A6C3C">
        <w:rPr>
          <w:rFonts w:ascii="Arial" w:hAnsi="Arial" w:cs="Arial"/>
          <w:b/>
          <w:sz w:val="20"/>
        </w:rPr>
        <w:t xml:space="preserve">Section </w:t>
      </w:r>
      <w:r>
        <w:rPr>
          <w:rFonts w:ascii="Arial" w:hAnsi="Arial" w:cs="Arial"/>
          <w:b/>
          <w:sz w:val="20"/>
        </w:rPr>
        <w:t>5</w:t>
      </w:r>
      <w:r w:rsidRPr="006A6C3C">
        <w:rPr>
          <w:rFonts w:ascii="Arial" w:hAnsi="Arial" w:cs="Arial"/>
          <w:b/>
          <w:sz w:val="20"/>
        </w:rPr>
        <w:t xml:space="preserve">.1 – </w:t>
      </w:r>
      <w:r>
        <w:rPr>
          <w:rFonts w:ascii="Arial" w:hAnsi="Arial" w:cs="Arial"/>
          <w:b/>
          <w:sz w:val="20"/>
        </w:rPr>
        <w:t>Compatibility</w:t>
      </w:r>
    </w:p>
    <w:p w:rsidR="00D20E26" w:rsidRDefault="00B8114C" w:rsidP="00D20E26">
      <w:pPr>
        <w:pStyle w:val="ACMABodyText"/>
        <w:spacing w:line="360" w:lineRule="auto"/>
        <w:rPr>
          <w:rFonts w:ascii="Arial" w:hAnsi="Arial" w:cs="Arial"/>
          <w:sz w:val="20"/>
        </w:rPr>
      </w:pPr>
      <w:r>
        <w:rPr>
          <w:rFonts w:ascii="Arial" w:hAnsi="Arial" w:cs="Arial"/>
          <w:sz w:val="20"/>
        </w:rPr>
        <w:t>This section sets out the general requirements to be met for a fixed radiocommunications receiver to receive protection from interference.</w:t>
      </w:r>
      <w:r w:rsidR="00D20E26" w:rsidRPr="00D20E26">
        <w:rPr>
          <w:rFonts w:cs="Arial"/>
          <w:sz w:val="20"/>
        </w:rPr>
        <w:t xml:space="preserve"> </w:t>
      </w:r>
      <w:r w:rsidR="00D20E26">
        <w:rPr>
          <w:rFonts w:ascii="Arial" w:hAnsi="Arial" w:cs="Arial"/>
          <w:sz w:val="20"/>
        </w:rPr>
        <w:t>A fixed radiocommunications receiver must:</w:t>
      </w:r>
    </w:p>
    <w:p w:rsidR="00D20E26" w:rsidRDefault="00D20E26" w:rsidP="00D20E26">
      <w:pPr>
        <w:numPr>
          <w:ilvl w:val="0"/>
          <w:numId w:val="25"/>
        </w:numPr>
        <w:spacing w:before="0" w:after="0" w:line="360" w:lineRule="auto"/>
        <w:ind w:left="567" w:hanging="567"/>
        <w:rPr>
          <w:rFonts w:ascii="Arial" w:hAnsi="Arial" w:cs="Arial"/>
          <w:sz w:val="20"/>
        </w:rPr>
      </w:pPr>
      <w:r w:rsidRPr="007449B4">
        <w:rPr>
          <w:rFonts w:ascii="Arial" w:hAnsi="Arial" w:cs="Arial"/>
          <w:sz w:val="20"/>
          <w:szCs w:val="20"/>
        </w:rPr>
        <w:t>have at least the notional level of receiver performance set out in Schedule 1;</w:t>
      </w:r>
    </w:p>
    <w:p w:rsidR="00D20E26" w:rsidRDefault="00D20E26" w:rsidP="00D20E26">
      <w:pPr>
        <w:numPr>
          <w:ilvl w:val="0"/>
          <w:numId w:val="25"/>
        </w:numPr>
        <w:spacing w:before="0" w:after="0" w:line="360" w:lineRule="auto"/>
        <w:ind w:left="567" w:hanging="567"/>
        <w:rPr>
          <w:rFonts w:ascii="Arial" w:hAnsi="Arial" w:cs="Arial"/>
          <w:sz w:val="20"/>
        </w:rPr>
      </w:pPr>
      <w:r>
        <w:rPr>
          <w:rFonts w:ascii="Arial" w:hAnsi="Arial" w:cs="Arial"/>
          <w:sz w:val="20"/>
          <w:szCs w:val="20"/>
        </w:rPr>
        <w:t>m</w:t>
      </w:r>
      <w:r w:rsidRPr="007449B4">
        <w:rPr>
          <w:rFonts w:ascii="Arial" w:hAnsi="Arial" w:cs="Arial"/>
          <w:sz w:val="20"/>
          <w:szCs w:val="20"/>
        </w:rPr>
        <w:t xml:space="preserve">eet the compatibility requirement of the minimum wanted signal level set out in </w:t>
      </w:r>
      <w:r w:rsidR="00B91A53">
        <w:rPr>
          <w:rFonts w:ascii="Arial" w:hAnsi="Arial" w:cs="Arial"/>
          <w:sz w:val="20"/>
          <w:szCs w:val="20"/>
        </w:rPr>
        <w:t>S</w:t>
      </w:r>
      <w:r>
        <w:rPr>
          <w:rFonts w:ascii="Arial" w:hAnsi="Arial" w:cs="Arial"/>
          <w:sz w:val="20"/>
          <w:szCs w:val="20"/>
        </w:rPr>
        <w:t>chedule 2</w:t>
      </w:r>
      <w:r w:rsidRPr="007449B4">
        <w:rPr>
          <w:rFonts w:ascii="Arial" w:hAnsi="Arial" w:cs="Arial"/>
          <w:sz w:val="20"/>
          <w:szCs w:val="20"/>
        </w:rPr>
        <w:t>;</w:t>
      </w:r>
    </w:p>
    <w:p w:rsidR="00D20E26" w:rsidRDefault="00D20E26" w:rsidP="00D20E26">
      <w:pPr>
        <w:numPr>
          <w:ilvl w:val="0"/>
          <w:numId w:val="25"/>
        </w:numPr>
        <w:spacing w:before="0" w:after="0" w:line="360" w:lineRule="auto"/>
        <w:ind w:left="567" w:hanging="567"/>
        <w:rPr>
          <w:rFonts w:ascii="Arial" w:hAnsi="Arial" w:cs="Arial"/>
          <w:sz w:val="20"/>
        </w:rPr>
      </w:pPr>
      <w:r>
        <w:rPr>
          <w:rFonts w:ascii="Arial" w:hAnsi="Arial" w:cs="Arial"/>
          <w:sz w:val="20"/>
          <w:szCs w:val="20"/>
        </w:rPr>
        <w:t>b</w:t>
      </w:r>
      <w:r w:rsidRPr="007449B4">
        <w:rPr>
          <w:rFonts w:ascii="Arial" w:hAnsi="Arial" w:cs="Arial"/>
          <w:sz w:val="20"/>
          <w:szCs w:val="20"/>
        </w:rPr>
        <w:t>e included in the Register before the transmitter with which compatibility is sought is recorded in the Register; and</w:t>
      </w:r>
    </w:p>
    <w:p w:rsidR="00D20E26" w:rsidRDefault="00D20E26" w:rsidP="00D20E26">
      <w:pPr>
        <w:numPr>
          <w:ilvl w:val="0"/>
          <w:numId w:val="25"/>
        </w:numPr>
        <w:spacing w:before="0" w:after="0" w:line="360" w:lineRule="auto"/>
        <w:ind w:left="567" w:hanging="567"/>
        <w:rPr>
          <w:rFonts w:ascii="Arial" w:hAnsi="Arial" w:cs="Arial"/>
          <w:sz w:val="20"/>
        </w:rPr>
      </w:pPr>
      <w:r w:rsidRPr="007449B4">
        <w:rPr>
          <w:rFonts w:ascii="Arial" w:hAnsi="Arial" w:cs="Arial"/>
          <w:sz w:val="20"/>
          <w:szCs w:val="20"/>
        </w:rPr>
        <w:t xml:space="preserve">operate with an effective antenna height </w:t>
      </w:r>
      <w:r>
        <w:rPr>
          <w:rFonts w:ascii="Arial" w:hAnsi="Arial" w:cs="Arial"/>
          <w:sz w:val="20"/>
          <w:szCs w:val="20"/>
        </w:rPr>
        <w:t>that complies</w:t>
      </w:r>
      <w:r w:rsidRPr="007449B4">
        <w:rPr>
          <w:rFonts w:ascii="Arial" w:hAnsi="Arial" w:cs="Arial"/>
          <w:sz w:val="20"/>
          <w:szCs w:val="20"/>
        </w:rPr>
        <w:t xml:space="preserve"> with paragraph 5.1(1)(d).</w:t>
      </w:r>
    </w:p>
    <w:p w:rsidR="00B8114C" w:rsidRDefault="007C2CC6" w:rsidP="00F24016">
      <w:pPr>
        <w:pStyle w:val="ACMABodyText"/>
        <w:spacing w:line="360" w:lineRule="auto"/>
        <w:rPr>
          <w:rFonts w:ascii="Arial" w:hAnsi="Arial" w:cs="Arial"/>
          <w:b/>
          <w:sz w:val="20"/>
        </w:rPr>
      </w:pPr>
      <w:r>
        <w:rPr>
          <w:rFonts w:ascii="Arial" w:hAnsi="Arial" w:cs="Arial"/>
          <w:b/>
          <w:sz w:val="20"/>
        </w:rPr>
        <w:br w:type="page"/>
      </w:r>
    </w:p>
    <w:p w:rsidR="00B8114C" w:rsidRPr="006A6C3C" w:rsidRDefault="00B8114C" w:rsidP="00F24016">
      <w:pPr>
        <w:pStyle w:val="ACMABodyText"/>
        <w:spacing w:line="360" w:lineRule="auto"/>
        <w:rPr>
          <w:rFonts w:ascii="Arial" w:hAnsi="Arial" w:cs="Arial"/>
          <w:b/>
          <w:sz w:val="20"/>
        </w:rPr>
      </w:pPr>
      <w:r w:rsidRPr="006A6C3C">
        <w:rPr>
          <w:rFonts w:ascii="Arial" w:hAnsi="Arial" w:cs="Arial"/>
          <w:b/>
          <w:sz w:val="20"/>
        </w:rPr>
        <w:t xml:space="preserve">Schedule 1 – </w:t>
      </w:r>
      <w:r>
        <w:rPr>
          <w:rFonts w:ascii="Arial" w:hAnsi="Arial" w:cs="Arial"/>
          <w:b/>
          <w:sz w:val="20"/>
        </w:rPr>
        <w:t>Notional r</w:t>
      </w:r>
      <w:r w:rsidRPr="006A6C3C">
        <w:rPr>
          <w:rFonts w:ascii="Arial" w:hAnsi="Arial" w:cs="Arial"/>
          <w:b/>
          <w:sz w:val="20"/>
        </w:rPr>
        <w:t>eceiver performance level</w:t>
      </w:r>
    </w:p>
    <w:p w:rsidR="00B8114C" w:rsidRPr="006A6C3C" w:rsidRDefault="00B8114C" w:rsidP="00F24016">
      <w:pPr>
        <w:pStyle w:val="ACMABodyText"/>
        <w:spacing w:line="360" w:lineRule="auto"/>
        <w:rPr>
          <w:rFonts w:ascii="Arial" w:hAnsi="Arial" w:cs="Arial"/>
          <w:sz w:val="20"/>
        </w:rPr>
      </w:pPr>
      <w:r w:rsidRPr="006A6C3C">
        <w:rPr>
          <w:rFonts w:ascii="Arial" w:hAnsi="Arial" w:cs="Arial"/>
          <w:sz w:val="20"/>
        </w:rPr>
        <w:t xml:space="preserve">This </w:t>
      </w:r>
      <w:r w:rsidR="00B91A53">
        <w:rPr>
          <w:rFonts w:ascii="Arial" w:hAnsi="Arial" w:cs="Arial"/>
          <w:sz w:val="20"/>
        </w:rPr>
        <w:t>s</w:t>
      </w:r>
      <w:r w:rsidRPr="006A6C3C">
        <w:rPr>
          <w:rFonts w:ascii="Arial" w:hAnsi="Arial" w:cs="Arial"/>
          <w:sz w:val="20"/>
        </w:rPr>
        <w:t xml:space="preserve">chedule provides spectrum licensees with information regarding the </w:t>
      </w:r>
      <w:r>
        <w:rPr>
          <w:rFonts w:ascii="Arial" w:hAnsi="Arial" w:cs="Arial"/>
          <w:sz w:val="20"/>
        </w:rPr>
        <w:t xml:space="preserve">notional </w:t>
      </w:r>
      <w:r w:rsidRPr="006A6C3C">
        <w:rPr>
          <w:rFonts w:ascii="Arial" w:hAnsi="Arial" w:cs="Arial"/>
          <w:sz w:val="20"/>
        </w:rPr>
        <w:t xml:space="preserve">performance of receivers operating in the </w:t>
      </w:r>
      <w:r>
        <w:rPr>
          <w:rFonts w:ascii="Arial" w:hAnsi="Arial" w:cs="Arial"/>
          <w:sz w:val="20"/>
        </w:rPr>
        <w:t>700</w:t>
      </w:r>
      <w:r w:rsidRPr="006A6C3C">
        <w:rPr>
          <w:rFonts w:ascii="Arial" w:hAnsi="Arial" w:cs="Arial"/>
          <w:sz w:val="20"/>
        </w:rPr>
        <w:t xml:space="preserve"> </w:t>
      </w:r>
      <w:r>
        <w:rPr>
          <w:rFonts w:ascii="Arial" w:hAnsi="Arial" w:cs="Arial"/>
          <w:sz w:val="20"/>
        </w:rPr>
        <w:t>M</w:t>
      </w:r>
      <w:r w:rsidRPr="006A6C3C">
        <w:rPr>
          <w:rFonts w:ascii="Arial" w:hAnsi="Arial" w:cs="Arial"/>
          <w:sz w:val="20"/>
        </w:rPr>
        <w:t xml:space="preserve">Hz band. The </w:t>
      </w:r>
      <w:r w:rsidR="00B91A53">
        <w:rPr>
          <w:rFonts w:ascii="Arial" w:hAnsi="Arial" w:cs="Arial"/>
          <w:sz w:val="20"/>
        </w:rPr>
        <w:t>s</w:t>
      </w:r>
      <w:r w:rsidRPr="006A6C3C">
        <w:rPr>
          <w:rFonts w:ascii="Arial" w:hAnsi="Arial" w:cs="Arial"/>
          <w:sz w:val="20"/>
        </w:rPr>
        <w:t>chedule provides information relating to:</w:t>
      </w:r>
    </w:p>
    <w:p w:rsidR="00B8114C" w:rsidRPr="006A6C3C" w:rsidRDefault="00926C62" w:rsidP="00F24016">
      <w:pPr>
        <w:pStyle w:val="ACMABodyText"/>
        <w:numPr>
          <w:ilvl w:val="0"/>
          <w:numId w:val="26"/>
        </w:numPr>
        <w:spacing w:line="360" w:lineRule="auto"/>
        <w:rPr>
          <w:rFonts w:ascii="Arial" w:hAnsi="Arial" w:cs="Arial"/>
          <w:sz w:val="20"/>
        </w:rPr>
      </w:pPr>
      <w:r>
        <w:rPr>
          <w:rFonts w:ascii="Arial" w:hAnsi="Arial" w:cs="Arial"/>
          <w:sz w:val="20"/>
        </w:rPr>
        <w:t>r</w:t>
      </w:r>
      <w:r w:rsidR="00B8114C" w:rsidRPr="006A6C3C">
        <w:rPr>
          <w:rFonts w:ascii="Arial" w:hAnsi="Arial" w:cs="Arial"/>
          <w:sz w:val="20"/>
        </w:rPr>
        <w:t xml:space="preserve">eceiver </w:t>
      </w:r>
      <w:r w:rsidR="00B8114C">
        <w:rPr>
          <w:rFonts w:ascii="Arial" w:hAnsi="Arial" w:cs="Arial"/>
          <w:sz w:val="20"/>
        </w:rPr>
        <w:t>adjacent channel selectivity</w:t>
      </w:r>
      <w:r w:rsidR="00B8114C" w:rsidRPr="006A6C3C">
        <w:rPr>
          <w:rFonts w:ascii="Arial" w:hAnsi="Arial" w:cs="Arial"/>
          <w:sz w:val="20"/>
        </w:rPr>
        <w:t>;</w:t>
      </w:r>
    </w:p>
    <w:p w:rsidR="00B8114C" w:rsidRPr="006A6C3C" w:rsidRDefault="00926C62" w:rsidP="00F24016">
      <w:pPr>
        <w:pStyle w:val="ACMABodyText"/>
        <w:numPr>
          <w:ilvl w:val="0"/>
          <w:numId w:val="26"/>
        </w:numPr>
        <w:spacing w:line="360" w:lineRule="auto"/>
        <w:rPr>
          <w:rFonts w:ascii="Arial" w:hAnsi="Arial" w:cs="Arial"/>
          <w:sz w:val="20"/>
        </w:rPr>
      </w:pPr>
      <w:r>
        <w:rPr>
          <w:rFonts w:ascii="Arial" w:hAnsi="Arial" w:cs="Arial"/>
          <w:sz w:val="20"/>
        </w:rPr>
        <w:t>r</w:t>
      </w:r>
      <w:r w:rsidR="00B8114C" w:rsidRPr="006A6C3C">
        <w:rPr>
          <w:rFonts w:ascii="Arial" w:hAnsi="Arial" w:cs="Arial"/>
          <w:sz w:val="20"/>
        </w:rPr>
        <w:t>eceiver intermodulation response rejection;</w:t>
      </w:r>
    </w:p>
    <w:p w:rsidR="00B8114C" w:rsidRDefault="00926C62" w:rsidP="00F24016">
      <w:pPr>
        <w:pStyle w:val="ACMABodyText"/>
        <w:numPr>
          <w:ilvl w:val="0"/>
          <w:numId w:val="26"/>
        </w:numPr>
        <w:spacing w:line="360" w:lineRule="auto"/>
        <w:rPr>
          <w:rFonts w:ascii="Arial" w:hAnsi="Arial" w:cs="Arial"/>
          <w:sz w:val="20"/>
        </w:rPr>
      </w:pPr>
      <w:r>
        <w:rPr>
          <w:rFonts w:ascii="Arial" w:hAnsi="Arial" w:cs="Arial"/>
          <w:sz w:val="20"/>
        </w:rPr>
        <w:t>r</w:t>
      </w:r>
      <w:r w:rsidR="00B8114C" w:rsidRPr="006A6C3C">
        <w:rPr>
          <w:rFonts w:ascii="Arial" w:hAnsi="Arial" w:cs="Arial"/>
          <w:sz w:val="20"/>
        </w:rPr>
        <w:t>eceiver blocking</w:t>
      </w:r>
      <w:r w:rsidR="00B8114C">
        <w:rPr>
          <w:rFonts w:ascii="Arial" w:hAnsi="Arial" w:cs="Arial"/>
          <w:sz w:val="20"/>
        </w:rPr>
        <w:t>; and</w:t>
      </w:r>
    </w:p>
    <w:p w:rsidR="00B8114C" w:rsidRDefault="002A407B" w:rsidP="00F24016">
      <w:pPr>
        <w:pStyle w:val="ACMABodyText"/>
        <w:numPr>
          <w:ilvl w:val="0"/>
          <w:numId w:val="26"/>
        </w:numPr>
        <w:spacing w:line="360" w:lineRule="auto"/>
        <w:rPr>
          <w:rFonts w:ascii="Arial" w:hAnsi="Arial" w:cs="Arial"/>
          <w:sz w:val="20"/>
        </w:rPr>
      </w:pPr>
      <w:r>
        <w:rPr>
          <w:rFonts w:ascii="Arial" w:hAnsi="Arial" w:cs="Arial"/>
          <w:sz w:val="20"/>
        </w:rPr>
        <w:t>s</w:t>
      </w:r>
      <w:r w:rsidR="00B8114C">
        <w:rPr>
          <w:rFonts w:ascii="Arial" w:hAnsi="Arial" w:cs="Arial"/>
          <w:sz w:val="20"/>
        </w:rPr>
        <w:t>purious response immunity.</w:t>
      </w:r>
    </w:p>
    <w:p w:rsidR="00B8114C" w:rsidRDefault="00B8114C" w:rsidP="00F24016">
      <w:pPr>
        <w:pStyle w:val="ACMABodyText"/>
        <w:spacing w:line="360" w:lineRule="auto"/>
        <w:rPr>
          <w:rFonts w:ascii="Arial" w:hAnsi="Arial" w:cs="Arial"/>
          <w:sz w:val="20"/>
        </w:rPr>
      </w:pPr>
      <w:r>
        <w:rPr>
          <w:rFonts w:ascii="Arial" w:hAnsi="Arial" w:cs="Arial"/>
          <w:sz w:val="20"/>
        </w:rPr>
        <w:t>It also provides information on measuring these values, and assumptions that can be made regarding notional receivers.</w:t>
      </w:r>
    </w:p>
    <w:p w:rsidR="00D20E26" w:rsidRDefault="00D20E26" w:rsidP="00D20E26">
      <w:pPr>
        <w:pStyle w:val="ACMABodyText"/>
        <w:spacing w:line="360" w:lineRule="auto"/>
        <w:rPr>
          <w:rFonts w:ascii="Arial" w:hAnsi="Arial" w:cs="Arial"/>
          <w:sz w:val="20"/>
        </w:rPr>
      </w:pPr>
      <w:r>
        <w:rPr>
          <w:rFonts w:ascii="Arial" w:hAnsi="Arial" w:cs="Arial"/>
          <w:sz w:val="20"/>
        </w:rPr>
        <w:t xml:space="preserve">Spectrum-licensed radiocommunications receivers operating in the </w:t>
      </w:r>
      <w:r w:rsidR="008E0635">
        <w:rPr>
          <w:rFonts w:ascii="Arial" w:hAnsi="Arial" w:cs="Arial"/>
          <w:sz w:val="20"/>
        </w:rPr>
        <w:t>700</w:t>
      </w:r>
      <w:r w:rsidR="00647292">
        <w:rPr>
          <w:rFonts w:ascii="Arial" w:hAnsi="Arial" w:cs="Arial"/>
          <w:sz w:val="20"/>
        </w:rPr>
        <w:t xml:space="preserve"> </w:t>
      </w:r>
      <w:r w:rsidR="008E0635">
        <w:rPr>
          <w:rFonts w:ascii="Arial" w:hAnsi="Arial" w:cs="Arial"/>
          <w:sz w:val="20"/>
        </w:rPr>
        <w:t>M</w:t>
      </w:r>
      <w:r>
        <w:rPr>
          <w:rFonts w:ascii="Arial" w:hAnsi="Arial" w:cs="Arial"/>
          <w:sz w:val="20"/>
        </w:rPr>
        <w:t>Hz band should meet this performance level in order to minimise interference from transmitters operating under other types of licences.</w:t>
      </w:r>
    </w:p>
    <w:p w:rsidR="00D20E26" w:rsidRPr="006A6C3C" w:rsidRDefault="00D20E26" w:rsidP="00F24016">
      <w:pPr>
        <w:pStyle w:val="ACMABodyText"/>
        <w:spacing w:line="360" w:lineRule="auto"/>
        <w:rPr>
          <w:rFonts w:ascii="Arial" w:hAnsi="Arial" w:cs="Arial"/>
          <w:sz w:val="20"/>
        </w:rPr>
      </w:pPr>
    </w:p>
    <w:p w:rsidR="00B8114C" w:rsidRDefault="00B8114C" w:rsidP="009D5210">
      <w:pPr>
        <w:pStyle w:val="ACMABodyText"/>
        <w:spacing w:line="360" w:lineRule="auto"/>
        <w:rPr>
          <w:rFonts w:ascii="Arial" w:hAnsi="Arial" w:cs="Arial"/>
          <w:b/>
          <w:sz w:val="20"/>
        </w:rPr>
      </w:pPr>
      <w:r>
        <w:rPr>
          <w:rFonts w:ascii="Arial" w:hAnsi="Arial" w:cs="Arial"/>
          <w:b/>
          <w:sz w:val="20"/>
        </w:rPr>
        <w:t>Schedule 2</w:t>
      </w:r>
      <w:r w:rsidRPr="006A6C3C">
        <w:rPr>
          <w:rFonts w:ascii="Arial" w:hAnsi="Arial" w:cs="Arial"/>
          <w:b/>
          <w:sz w:val="20"/>
        </w:rPr>
        <w:t xml:space="preserve"> – </w:t>
      </w:r>
      <w:r>
        <w:rPr>
          <w:rFonts w:ascii="Arial" w:hAnsi="Arial" w:cs="Arial"/>
          <w:b/>
          <w:sz w:val="20"/>
        </w:rPr>
        <w:t>Compatibility requirement</w:t>
      </w:r>
    </w:p>
    <w:p w:rsidR="00B8114C" w:rsidRDefault="00B8114C" w:rsidP="002C2C67">
      <w:pPr>
        <w:pStyle w:val="ACMABodyText"/>
        <w:spacing w:line="360" w:lineRule="auto"/>
        <w:rPr>
          <w:rFonts w:ascii="Arial" w:hAnsi="Arial" w:cs="Arial"/>
          <w:sz w:val="20"/>
        </w:rPr>
      </w:pPr>
      <w:r w:rsidRPr="006A6C3C">
        <w:rPr>
          <w:rFonts w:ascii="Arial" w:hAnsi="Arial" w:cs="Arial"/>
          <w:sz w:val="20"/>
        </w:rPr>
        <w:t>This s</w:t>
      </w:r>
      <w:r>
        <w:rPr>
          <w:rFonts w:ascii="Arial" w:hAnsi="Arial" w:cs="Arial"/>
          <w:sz w:val="20"/>
        </w:rPr>
        <w:t>chedule</w:t>
      </w:r>
      <w:r w:rsidRPr="006A6C3C">
        <w:rPr>
          <w:rFonts w:ascii="Arial" w:hAnsi="Arial" w:cs="Arial"/>
          <w:sz w:val="20"/>
        </w:rPr>
        <w:t xml:space="preserve"> outlines what </w:t>
      </w:r>
      <w:r>
        <w:rPr>
          <w:rFonts w:ascii="Arial" w:hAnsi="Arial" w:cs="Arial"/>
          <w:sz w:val="20"/>
        </w:rPr>
        <w:t xml:space="preserve">minimum </w:t>
      </w:r>
      <w:r w:rsidRPr="006A6C3C">
        <w:rPr>
          <w:rFonts w:ascii="Arial" w:hAnsi="Arial" w:cs="Arial"/>
          <w:sz w:val="20"/>
        </w:rPr>
        <w:t xml:space="preserve">level of wanted signal </w:t>
      </w:r>
      <w:r>
        <w:rPr>
          <w:rFonts w:ascii="Arial" w:hAnsi="Arial" w:cs="Arial"/>
          <w:sz w:val="20"/>
        </w:rPr>
        <w:t>is to be protected from interference at an otherwise</w:t>
      </w:r>
      <w:r w:rsidRPr="006A6C3C">
        <w:rPr>
          <w:rFonts w:ascii="Arial" w:hAnsi="Arial" w:cs="Arial"/>
          <w:sz w:val="20"/>
        </w:rPr>
        <w:t xml:space="preserve"> </w:t>
      </w:r>
      <w:r>
        <w:rPr>
          <w:rFonts w:ascii="Arial" w:hAnsi="Arial" w:cs="Arial"/>
          <w:sz w:val="20"/>
        </w:rPr>
        <w:t>compatible</w:t>
      </w:r>
      <w:r w:rsidRPr="006A6C3C">
        <w:rPr>
          <w:rFonts w:ascii="Arial" w:hAnsi="Arial" w:cs="Arial"/>
          <w:sz w:val="20"/>
        </w:rPr>
        <w:t xml:space="preserve"> receiver in the </w:t>
      </w:r>
      <w:r>
        <w:rPr>
          <w:rFonts w:ascii="Arial" w:hAnsi="Arial" w:cs="Arial"/>
          <w:sz w:val="20"/>
        </w:rPr>
        <w:t>700 M</w:t>
      </w:r>
      <w:r w:rsidRPr="006A6C3C">
        <w:rPr>
          <w:rFonts w:ascii="Arial" w:hAnsi="Arial" w:cs="Arial"/>
          <w:sz w:val="20"/>
        </w:rPr>
        <w:t>Hz band.</w:t>
      </w:r>
      <w:r w:rsidR="002E53E0">
        <w:rPr>
          <w:rFonts w:ascii="Arial" w:hAnsi="Arial" w:cs="Arial"/>
          <w:sz w:val="20"/>
        </w:rPr>
        <w:t xml:space="preserve"> The note clarifies that this requirement is only for managing out-of-band interference.</w:t>
      </w:r>
    </w:p>
    <w:p w:rsidR="00687576" w:rsidRPr="006A6C3C" w:rsidRDefault="00687576" w:rsidP="002C2C67">
      <w:pPr>
        <w:pStyle w:val="ACMABodyText"/>
        <w:spacing w:line="360" w:lineRule="auto"/>
        <w:rPr>
          <w:rFonts w:ascii="Arial" w:hAnsi="Arial" w:cs="Arial"/>
          <w:sz w:val="20"/>
        </w:rPr>
      </w:pPr>
    </w:p>
    <w:p w:rsidR="00B8114C" w:rsidRDefault="00B8114C" w:rsidP="009D5210">
      <w:pPr>
        <w:pStyle w:val="ACMABodyText"/>
        <w:spacing w:line="360" w:lineRule="auto"/>
        <w:rPr>
          <w:rFonts w:ascii="Arial" w:hAnsi="Arial" w:cs="Arial"/>
          <w:b/>
          <w:sz w:val="20"/>
        </w:rPr>
      </w:pPr>
      <w:r>
        <w:rPr>
          <w:rFonts w:ascii="Arial" w:hAnsi="Arial" w:cs="Arial"/>
          <w:b/>
          <w:sz w:val="20"/>
        </w:rPr>
        <w:t xml:space="preserve">Schedule 3 – </w:t>
      </w:r>
      <w:r w:rsidRPr="009D5210">
        <w:rPr>
          <w:rFonts w:ascii="Arial" w:hAnsi="Arial" w:cs="Arial"/>
          <w:b/>
          <w:sz w:val="20"/>
        </w:rPr>
        <w:t xml:space="preserve">Managing interference to 700 MHz band receivers from broadcast services </w:t>
      </w:r>
      <w:r w:rsidR="00F91682">
        <w:rPr>
          <w:rFonts w:ascii="Arial" w:hAnsi="Arial" w:cs="Arial"/>
          <w:b/>
          <w:sz w:val="20"/>
        </w:rPr>
        <w:t xml:space="preserve">that may continue to operate in the 694-820 MHz band after the reallocation period </w:t>
      </w:r>
    </w:p>
    <w:p w:rsidR="00B8114C" w:rsidRDefault="00B8114C" w:rsidP="009D5210">
      <w:pPr>
        <w:pStyle w:val="ACMABodyText"/>
        <w:spacing w:line="360" w:lineRule="auto"/>
        <w:rPr>
          <w:rFonts w:ascii="Arial" w:hAnsi="Arial" w:cs="Arial"/>
          <w:sz w:val="20"/>
        </w:rPr>
      </w:pPr>
      <w:r>
        <w:rPr>
          <w:rFonts w:ascii="Arial" w:hAnsi="Arial" w:cs="Arial"/>
          <w:sz w:val="20"/>
        </w:rPr>
        <w:t>This schedule describes how information about broadcasting services</w:t>
      </w:r>
      <w:r w:rsidR="000D5F97">
        <w:rPr>
          <w:rFonts w:ascii="Arial" w:hAnsi="Arial" w:cs="Arial"/>
          <w:sz w:val="20"/>
        </w:rPr>
        <w:t xml:space="preserve"> or retransmission services</w:t>
      </w:r>
      <w:r>
        <w:rPr>
          <w:rFonts w:ascii="Arial" w:hAnsi="Arial" w:cs="Arial"/>
          <w:sz w:val="20"/>
        </w:rPr>
        <w:t xml:space="preserve"> in the 700</w:t>
      </w:r>
      <w:r w:rsidR="00E65369">
        <w:rPr>
          <w:rFonts w:ascii="Arial" w:hAnsi="Arial" w:cs="Arial"/>
          <w:sz w:val="20"/>
        </w:rPr>
        <w:t xml:space="preserve"> </w:t>
      </w:r>
      <w:r>
        <w:rPr>
          <w:rFonts w:ascii="Arial" w:hAnsi="Arial" w:cs="Arial"/>
          <w:sz w:val="20"/>
        </w:rPr>
        <w:t>MHz band will be available</w:t>
      </w:r>
      <w:r w:rsidR="00E65369">
        <w:rPr>
          <w:rFonts w:ascii="Arial" w:hAnsi="Arial" w:cs="Arial"/>
          <w:sz w:val="20"/>
        </w:rPr>
        <w:t>,</w:t>
      </w:r>
      <w:r>
        <w:rPr>
          <w:rFonts w:ascii="Arial" w:hAnsi="Arial" w:cs="Arial"/>
          <w:sz w:val="20"/>
        </w:rPr>
        <w:t xml:space="preserve"> and can be used by spectrum licensees to assess the potential for interference to their receivers from these services. </w:t>
      </w:r>
    </w:p>
    <w:p w:rsidR="00A45821" w:rsidRDefault="00A45821" w:rsidP="009D5210">
      <w:pPr>
        <w:pStyle w:val="ACMABodyText"/>
        <w:spacing w:line="360" w:lineRule="auto"/>
        <w:rPr>
          <w:rFonts w:ascii="Arial" w:hAnsi="Arial" w:cs="Arial"/>
          <w:sz w:val="20"/>
        </w:rPr>
      </w:pPr>
      <w:r>
        <w:rPr>
          <w:rFonts w:ascii="Arial" w:hAnsi="Arial" w:cs="Arial"/>
          <w:sz w:val="20"/>
        </w:rPr>
        <w:t xml:space="preserve">The schedule indicates that the ACMA will publish a set of coordination maps showing exclusion zones required for the protection of digital television receivers. </w:t>
      </w:r>
      <w:r w:rsidR="00B77F5E">
        <w:rPr>
          <w:rFonts w:ascii="Arial" w:hAnsi="Arial" w:cs="Arial"/>
          <w:sz w:val="20"/>
        </w:rPr>
        <w:t>Th</w:t>
      </w:r>
      <w:r w:rsidR="00B91A53">
        <w:rPr>
          <w:rFonts w:ascii="Arial" w:hAnsi="Arial" w:cs="Arial"/>
          <w:sz w:val="20"/>
        </w:rPr>
        <w:t xml:space="preserve">e maps will be available on the ACMA’s website. </w:t>
      </w:r>
      <w:r>
        <w:rPr>
          <w:rFonts w:ascii="Arial" w:hAnsi="Arial" w:cs="Arial"/>
          <w:sz w:val="20"/>
        </w:rPr>
        <w:t xml:space="preserve">The maps will not define the separation distance required to protect spectrum </w:t>
      </w:r>
      <w:r w:rsidR="00B91A53">
        <w:rPr>
          <w:rFonts w:ascii="Arial" w:hAnsi="Arial" w:cs="Arial"/>
          <w:sz w:val="20"/>
        </w:rPr>
        <w:t>licens</w:t>
      </w:r>
      <w:r>
        <w:rPr>
          <w:rFonts w:ascii="Arial" w:hAnsi="Arial" w:cs="Arial"/>
          <w:sz w:val="20"/>
        </w:rPr>
        <w:t>e</w:t>
      </w:r>
      <w:r w:rsidR="00B91A53">
        <w:rPr>
          <w:rFonts w:ascii="Arial" w:hAnsi="Arial" w:cs="Arial"/>
          <w:sz w:val="20"/>
        </w:rPr>
        <w:t>d</w:t>
      </w:r>
      <w:r>
        <w:rPr>
          <w:rFonts w:ascii="Arial" w:hAnsi="Arial" w:cs="Arial"/>
          <w:sz w:val="20"/>
        </w:rPr>
        <w:t xml:space="preserve"> receivers. However, spectrum licences may use the data on operating digital television transmitters to determine the separation zones that they may wish to implement to protect their receivers operating under their spectrum licence(s).</w:t>
      </w:r>
    </w:p>
    <w:p w:rsidR="00687576" w:rsidRDefault="007C2CC6" w:rsidP="009D5210">
      <w:pPr>
        <w:pStyle w:val="ACMABodyText"/>
        <w:spacing w:line="360" w:lineRule="auto"/>
        <w:rPr>
          <w:rFonts w:ascii="Arial" w:hAnsi="Arial" w:cs="Arial"/>
          <w:sz w:val="20"/>
        </w:rPr>
      </w:pPr>
      <w:r>
        <w:rPr>
          <w:rFonts w:ascii="Arial" w:hAnsi="Arial" w:cs="Arial"/>
          <w:sz w:val="20"/>
        </w:rPr>
        <w:br w:type="page"/>
      </w:r>
    </w:p>
    <w:p w:rsidR="00B8114C" w:rsidRDefault="00B8114C" w:rsidP="009D5210">
      <w:pPr>
        <w:pStyle w:val="ACMABodyText"/>
        <w:spacing w:line="360" w:lineRule="auto"/>
        <w:rPr>
          <w:rFonts w:ascii="Arial" w:hAnsi="Arial" w:cs="Arial"/>
          <w:b/>
          <w:sz w:val="20"/>
        </w:rPr>
      </w:pPr>
      <w:r>
        <w:rPr>
          <w:rFonts w:ascii="Arial" w:hAnsi="Arial" w:cs="Arial"/>
          <w:b/>
          <w:sz w:val="20"/>
        </w:rPr>
        <w:t xml:space="preserve">Schedule 4 – </w:t>
      </w:r>
      <w:r w:rsidRPr="009D5210">
        <w:rPr>
          <w:rFonts w:ascii="Arial" w:hAnsi="Arial" w:cs="Arial"/>
          <w:b/>
          <w:sz w:val="20"/>
        </w:rPr>
        <w:t>Managing interference from frequency adjacent digital television transmitters to 700 MHz band receivers</w:t>
      </w:r>
    </w:p>
    <w:p w:rsidR="00B8114C" w:rsidRPr="002C2C67" w:rsidRDefault="00B8114C" w:rsidP="009D5210">
      <w:pPr>
        <w:pStyle w:val="ACMABodyText"/>
        <w:spacing w:line="360" w:lineRule="auto"/>
        <w:rPr>
          <w:rFonts w:ascii="Arial" w:hAnsi="Arial" w:cs="Arial"/>
          <w:sz w:val="20"/>
        </w:rPr>
      </w:pPr>
      <w:r w:rsidRPr="00C4519E">
        <w:rPr>
          <w:rFonts w:ascii="Arial" w:hAnsi="Arial" w:cs="Arial"/>
          <w:sz w:val="20"/>
        </w:rPr>
        <w:t>This</w:t>
      </w:r>
      <w:r>
        <w:rPr>
          <w:rFonts w:ascii="Arial" w:hAnsi="Arial" w:cs="Arial"/>
          <w:sz w:val="20"/>
        </w:rPr>
        <w:t xml:space="preserve"> schedule notes that information on adjacent band broadcasting services will be available in the Register, and that spectrum licensees should be able to manage interference to their own receivers using this information.</w:t>
      </w:r>
    </w:p>
    <w:p w:rsidR="00B8114C" w:rsidRDefault="00B8114C" w:rsidP="00AF12CE">
      <w:pPr>
        <w:spacing w:line="360" w:lineRule="auto"/>
        <w:jc w:val="both"/>
        <w:rPr>
          <w:rFonts w:ascii="Arial" w:hAnsi="Arial" w:cs="Arial"/>
          <w:sz w:val="20"/>
          <w:szCs w:val="20"/>
          <w:lang w:val="en-US"/>
        </w:rPr>
      </w:pPr>
    </w:p>
    <w:p w:rsidR="00B8114C" w:rsidRPr="00EC4D12" w:rsidRDefault="00B8114C" w:rsidP="00AF12CE">
      <w:pPr>
        <w:spacing w:line="360" w:lineRule="auto"/>
        <w:ind w:left="7371"/>
        <w:rPr>
          <w:rFonts w:ascii="Arial" w:hAnsi="Arial" w:cs="Arial"/>
          <w:b/>
          <w:sz w:val="20"/>
          <w:szCs w:val="20"/>
        </w:rPr>
      </w:pPr>
      <w:r>
        <w:rPr>
          <w:rFonts w:ascii="Arial" w:hAnsi="Arial" w:cs="Arial"/>
          <w:sz w:val="20"/>
        </w:rPr>
        <w:br w:type="page"/>
      </w:r>
      <w:r>
        <w:rPr>
          <w:rFonts w:ascii="Arial" w:hAnsi="Arial" w:cs="Arial"/>
          <w:b/>
          <w:sz w:val="20"/>
          <w:szCs w:val="20"/>
        </w:rPr>
        <w:t>A</w:t>
      </w:r>
      <w:r w:rsidRPr="00EC4D12">
        <w:rPr>
          <w:rFonts w:ascii="Arial" w:hAnsi="Arial" w:cs="Arial"/>
          <w:b/>
          <w:sz w:val="20"/>
          <w:szCs w:val="20"/>
        </w:rPr>
        <w:t>TTACHMENT B</w:t>
      </w:r>
    </w:p>
    <w:p w:rsidR="00B8114C" w:rsidRPr="00EC4D12" w:rsidRDefault="00B8114C" w:rsidP="00AF12CE">
      <w:pPr>
        <w:spacing w:line="360" w:lineRule="auto"/>
        <w:jc w:val="center"/>
        <w:rPr>
          <w:rFonts w:ascii="Arial" w:hAnsi="Arial" w:cs="Arial"/>
          <w:sz w:val="20"/>
          <w:szCs w:val="20"/>
        </w:rPr>
      </w:pPr>
    </w:p>
    <w:p w:rsidR="00B8114C" w:rsidRPr="00EC4D12" w:rsidRDefault="00B8114C" w:rsidP="00AF12CE">
      <w:pPr>
        <w:spacing w:line="360" w:lineRule="auto"/>
        <w:jc w:val="center"/>
        <w:rPr>
          <w:rFonts w:ascii="Arial" w:hAnsi="Arial" w:cs="Arial"/>
          <w:b/>
          <w:sz w:val="20"/>
          <w:szCs w:val="20"/>
        </w:rPr>
      </w:pPr>
      <w:r w:rsidRPr="00EC4D12">
        <w:rPr>
          <w:rFonts w:ascii="Arial" w:hAnsi="Arial" w:cs="Arial"/>
          <w:b/>
          <w:sz w:val="20"/>
          <w:szCs w:val="20"/>
        </w:rPr>
        <w:t>Statement of Compatibility with Human Rights</w:t>
      </w:r>
    </w:p>
    <w:p w:rsidR="00B8114C" w:rsidRPr="00EC4D12" w:rsidRDefault="00B8114C" w:rsidP="00AF12CE">
      <w:pPr>
        <w:spacing w:line="360" w:lineRule="auto"/>
        <w:jc w:val="center"/>
        <w:rPr>
          <w:rFonts w:ascii="Arial" w:hAnsi="Arial" w:cs="Arial"/>
          <w:sz w:val="20"/>
          <w:szCs w:val="20"/>
        </w:rPr>
      </w:pPr>
      <w:r w:rsidRPr="00EC4D12">
        <w:rPr>
          <w:rFonts w:ascii="Arial" w:hAnsi="Arial" w:cs="Arial"/>
          <w:sz w:val="20"/>
          <w:szCs w:val="20"/>
        </w:rPr>
        <w:t>Prepared in accordance with Part 3 of the Human Rights (Parliamentary Scrutiny) Act 2011</w:t>
      </w:r>
    </w:p>
    <w:p w:rsidR="00B8114C" w:rsidRPr="00EC4D12" w:rsidRDefault="00B8114C" w:rsidP="00AF12CE">
      <w:pPr>
        <w:rPr>
          <w:rFonts w:ascii="Arial" w:hAnsi="Arial" w:cs="Arial"/>
          <w:i/>
          <w:sz w:val="20"/>
          <w:szCs w:val="20"/>
        </w:rPr>
      </w:pPr>
    </w:p>
    <w:p w:rsidR="00B8114C" w:rsidRPr="00EC4D12" w:rsidRDefault="00B8114C" w:rsidP="00AF12CE">
      <w:pPr>
        <w:jc w:val="center"/>
        <w:rPr>
          <w:rFonts w:ascii="Arial" w:hAnsi="Arial" w:cs="Arial"/>
          <w:b/>
          <w:sz w:val="20"/>
          <w:szCs w:val="20"/>
        </w:rPr>
      </w:pPr>
    </w:p>
    <w:p w:rsidR="00B8114C" w:rsidRPr="00EC4D12" w:rsidRDefault="00B8114C" w:rsidP="00AF12CE">
      <w:pPr>
        <w:spacing w:line="360" w:lineRule="auto"/>
        <w:jc w:val="center"/>
        <w:rPr>
          <w:rFonts w:ascii="Arial" w:hAnsi="Arial" w:cs="Arial"/>
          <w:b/>
          <w:i/>
          <w:sz w:val="20"/>
          <w:szCs w:val="20"/>
        </w:rPr>
      </w:pPr>
      <w:r w:rsidRPr="00EC4D12">
        <w:rPr>
          <w:rFonts w:ascii="Arial" w:hAnsi="Arial" w:cs="Arial"/>
          <w:b/>
          <w:i/>
          <w:sz w:val="20"/>
          <w:szCs w:val="20"/>
        </w:rPr>
        <w:t xml:space="preserve">Radiocommunications Advisory Guidelines (Managing Interference </w:t>
      </w:r>
      <w:r w:rsidR="00935D2E">
        <w:rPr>
          <w:rFonts w:ascii="Arial" w:hAnsi="Arial" w:cs="Arial"/>
          <w:b/>
          <w:i/>
          <w:sz w:val="20"/>
          <w:szCs w:val="20"/>
        </w:rPr>
        <w:t>to</w:t>
      </w:r>
      <w:r w:rsidR="00935D2E" w:rsidRPr="00EC4D12">
        <w:rPr>
          <w:rFonts w:ascii="Arial" w:hAnsi="Arial" w:cs="Arial"/>
          <w:b/>
          <w:i/>
          <w:sz w:val="20"/>
          <w:szCs w:val="20"/>
        </w:rPr>
        <w:t xml:space="preserve"> </w:t>
      </w:r>
      <w:r w:rsidR="00935D2E">
        <w:rPr>
          <w:rFonts w:ascii="Arial" w:hAnsi="Arial" w:cs="Arial"/>
          <w:b/>
          <w:i/>
          <w:sz w:val="20"/>
          <w:szCs w:val="20"/>
        </w:rPr>
        <w:t xml:space="preserve">Receivers </w:t>
      </w:r>
      <w:r>
        <w:rPr>
          <w:rFonts w:ascii="Arial" w:hAnsi="Arial" w:cs="Arial"/>
          <w:b/>
          <w:i/>
          <w:sz w:val="20"/>
          <w:szCs w:val="20"/>
        </w:rPr>
        <w:t>– 700</w:t>
      </w:r>
      <w:r w:rsidRPr="00EC4D12">
        <w:rPr>
          <w:rFonts w:ascii="Arial" w:hAnsi="Arial" w:cs="Arial"/>
          <w:b/>
          <w:i/>
          <w:sz w:val="20"/>
          <w:szCs w:val="20"/>
        </w:rPr>
        <w:t xml:space="preserve"> </w:t>
      </w:r>
      <w:r>
        <w:rPr>
          <w:rFonts w:ascii="Arial" w:hAnsi="Arial" w:cs="Arial"/>
          <w:b/>
          <w:i/>
          <w:sz w:val="20"/>
          <w:szCs w:val="20"/>
        </w:rPr>
        <w:t>M</w:t>
      </w:r>
      <w:r w:rsidRPr="00EC4D12">
        <w:rPr>
          <w:rFonts w:ascii="Arial" w:hAnsi="Arial" w:cs="Arial"/>
          <w:b/>
          <w:i/>
          <w:sz w:val="20"/>
          <w:szCs w:val="20"/>
        </w:rPr>
        <w:t>Hz Band) 2012</w:t>
      </w:r>
    </w:p>
    <w:p w:rsidR="00B8114C" w:rsidRPr="00EC4D12" w:rsidRDefault="00B8114C" w:rsidP="00AF12CE">
      <w:pPr>
        <w:jc w:val="center"/>
        <w:rPr>
          <w:rFonts w:ascii="Arial" w:hAnsi="Arial" w:cs="Arial"/>
          <w:b/>
          <w:sz w:val="20"/>
          <w:szCs w:val="20"/>
        </w:rPr>
      </w:pPr>
    </w:p>
    <w:p w:rsidR="00B8114C" w:rsidRPr="00EC4D12" w:rsidRDefault="00B8114C" w:rsidP="00AF12CE">
      <w:pPr>
        <w:jc w:val="center"/>
        <w:rPr>
          <w:rFonts w:ascii="Arial" w:hAnsi="Arial" w:cs="Arial"/>
          <w:b/>
          <w:sz w:val="20"/>
          <w:szCs w:val="20"/>
        </w:rPr>
      </w:pPr>
    </w:p>
    <w:p w:rsidR="00B8114C" w:rsidRPr="00EC4D12" w:rsidRDefault="00B8114C" w:rsidP="00AF12CE">
      <w:pPr>
        <w:spacing w:line="360" w:lineRule="auto"/>
        <w:rPr>
          <w:rFonts w:ascii="Arial" w:hAnsi="Arial" w:cs="Arial"/>
          <w:sz w:val="20"/>
          <w:szCs w:val="20"/>
        </w:rPr>
      </w:pPr>
      <w:r w:rsidRPr="00EC4D12">
        <w:rPr>
          <w:rFonts w:ascii="Arial" w:hAnsi="Arial" w:cs="Arial"/>
          <w:sz w:val="20"/>
          <w:szCs w:val="20"/>
        </w:rPr>
        <w:t xml:space="preserve">This legislative instrument is compatible with the human rights and freedoms recognised or declared in the international instruments listed in section 3 of the </w:t>
      </w:r>
      <w:r w:rsidRPr="00EC4D12">
        <w:rPr>
          <w:rFonts w:ascii="Arial" w:hAnsi="Arial" w:cs="Arial"/>
          <w:i/>
          <w:sz w:val="20"/>
          <w:szCs w:val="20"/>
        </w:rPr>
        <w:t>Human Rights (Parliamentary Scrutiny) Act 2011</w:t>
      </w:r>
      <w:r w:rsidRPr="006670DF">
        <w:rPr>
          <w:rFonts w:ascii="Arial" w:hAnsi="Arial" w:cs="Arial"/>
          <w:sz w:val="20"/>
          <w:szCs w:val="20"/>
        </w:rPr>
        <w:t>.</w:t>
      </w:r>
    </w:p>
    <w:p w:rsidR="00B8114C" w:rsidRPr="00EC4D12" w:rsidRDefault="00B8114C" w:rsidP="00AF12CE">
      <w:pPr>
        <w:spacing w:line="360" w:lineRule="auto"/>
        <w:rPr>
          <w:rFonts w:ascii="Arial" w:hAnsi="Arial" w:cs="Arial"/>
          <w:b/>
          <w:sz w:val="20"/>
          <w:szCs w:val="20"/>
        </w:rPr>
      </w:pPr>
      <w:r w:rsidRPr="00EC4D12">
        <w:rPr>
          <w:rFonts w:ascii="Arial" w:hAnsi="Arial" w:cs="Arial"/>
          <w:b/>
          <w:sz w:val="20"/>
          <w:szCs w:val="20"/>
        </w:rPr>
        <w:t>Overview of the Legislative Instrument</w:t>
      </w:r>
    </w:p>
    <w:p w:rsidR="00B8114C" w:rsidRPr="00EC4D12" w:rsidRDefault="00B8114C" w:rsidP="00AF12CE">
      <w:pPr>
        <w:spacing w:line="360" w:lineRule="auto"/>
        <w:rPr>
          <w:rFonts w:ascii="Arial" w:hAnsi="Arial" w:cs="Arial"/>
          <w:sz w:val="20"/>
          <w:szCs w:val="20"/>
        </w:rPr>
      </w:pPr>
      <w:r w:rsidRPr="00EC4D12">
        <w:rPr>
          <w:rFonts w:ascii="Arial" w:hAnsi="Arial" w:cs="Arial"/>
          <w:sz w:val="20"/>
          <w:szCs w:val="20"/>
        </w:rPr>
        <w:t>Section 262 of the Radiocommunications Act 1992 (</w:t>
      </w:r>
      <w:r w:rsidRPr="00EC4D12">
        <w:rPr>
          <w:rFonts w:ascii="Arial" w:hAnsi="Arial" w:cs="Arial"/>
          <w:b/>
          <w:sz w:val="20"/>
          <w:szCs w:val="20"/>
        </w:rPr>
        <w:t>Act</w:t>
      </w:r>
      <w:r w:rsidRPr="00EC4D12">
        <w:rPr>
          <w:rFonts w:ascii="Arial" w:hAnsi="Arial" w:cs="Arial"/>
          <w:sz w:val="20"/>
          <w:szCs w:val="20"/>
        </w:rPr>
        <w:t>) permits the Australian Communications and Media Authority (</w:t>
      </w:r>
      <w:r w:rsidRPr="00EC4D12">
        <w:rPr>
          <w:rFonts w:ascii="Arial" w:hAnsi="Arial" w:cs="Arial"/>
          <w:b/>
          <w:sz w:val="20"/>
          <w:szCs w:val="20"/>
        </w:rPr>
        <w:t>ACMA</w:t>
      </w:r>
      <w:r w:rsidRPr="00EC4D12">
        <w:rPr>
          <w:rFonts w:ascii="Arial" w:hAnsi="Arial" w:cs="Arial"/>
          <w:sz w:val="20"/>
          <w:szCs w:val="20"/>
        </w:rPr>
        <w:t xml:space="preserve">) to may make advisory guidelines about any aspect of radiocommunication or radio emissions.  </w:t>
      </w:r>
    </w:p>
    <w:p w:rsidR="00B8114C" w:rsidRPr="00EC4D12" w:rsidRDefault="00B8114C" w:rsidP="00AF12CE">
      <w:pPr>
        <w:spacing w:line="360" w:lineRule="auto"/>
        <w:rPr>
          <w:rFonts w:ascii="Arial" w:hAnsi="Arial" w:cs="Arial"/>
          <w:sz w:val="20"/>
          <w:szCs w:val="20"/>
        </w:rPr>
      </w:pPr>
      <w:r w:rsidRPr="00EC4D12">
        <w:rPr>
          <w:rFonts w:ascii="Arial" w:hAnsi="Arial" w:cs="Arial"/>
          <w:sz w:val="20"/>
          <w:szCs w:val="20"/>
        </w:rPr>
        <w:t xml:space="preserve">The purpose of the </w:t>
      </w:r>
      <w:r w:rsidRPr="00EC4D12">
        <w:rPr>
          <w:rFonts w:ascii="Arial" w:hAnsi="Arial" w:cs="Arial"/>
          <w:i/>
          <w:sz w:val="20"/>
          <w:szCs w:val="20"/>
        </w:rPr>
        <w:t xml:space="preserve">Radiocommunications Advisory Guidelines (Managing Interference </w:t>
      </w:r>
      <w:r w:rsidR="00935D2E">
        <w:rPr>
          <w:rFonts w:ascii="Arial" w:hAnsi="Arial" w:cs="Arial"/>
          <w:i/>
          <w:sz w:val="20"/>
          <w:szCs w:val="20"/>
        </w:rPr>
        <w:t>to Receivers</w:t>
      </w:r>
      <w:r w:rsidRPr="00EC4D12">
        <w:rPr>
          <w:rFonts w:ascii="Arial" w:hAnsi="Arial" w:cs="Arial"/>
          <w:i/>
          <w:sz w:val="20"/>
          <w:szCs w:val="20"/>
        </w:rPr>
        <w:t xml:space="preserve"> – </w:t>
      </w:r>
      <w:r>
        <w:rPr>
          <w:rFonts w:ascii="Arial" w:hAnsi="Arial" w:cs="Arial"/>
          <w:i/>
          <w:sz w:val="20"/>
          <w:szCs w:val="20"/>
        </w:rPr>
        <w:t>700</w:t>
      </w:r>
      <w:r w:rsidRPr="00EC4D12">
        <w:rPr>
          <w:rFonts w:ascii="Arial" w:hAnsi="Arial" w:cs="Arial"/>
          <w:i/>
          <w:sz w:val="20"/>
          <w:szCs w:val="20"/>
        </w:rPr>
        <w:t xml:space="preserve"> </w:t>
      </w:r>
      <w:r>
        <w:rPr>
          <w:rFonts w:ascii="Arial" w:hAnsi="Arial" w:cs="Arial"/>
          <w:i/>
          <w:sz w:val="20"/>
          <w:szCs w:val="20"/>
        </w:rPr>
        <w:t>M</w:t>
      </w:r>
      <w:r w:rsidRPr="00EC4D12">
        <w:rPr>
          <w:rFonts w:ascii="Arial" w:hAnsi="Arial" w:cs="Arial"/>
          <w:i/>
          <w:sz w:val="20"/>
          <w:szCs w:val="20"/>
        </w:rPr>
        <w:t>Hz Band) 2012</w:t>
      </w:r>
      <w:r w:rsidRPr="00EC4D12">
        <w:rPr>
          <w:rFonts w:ascii="Arial" w:hAnsi="Arial" w:cs="Arial"/>
          <w:sz w:val="20"/>
          <w:szCs w:val="20"/>
        </w:rPr>
        <w:t xml:space="preserve"> (the </w:t>
      </w:r>
      <w:r w:rsidRPr="00EC4D12">
        <w:rPr>
          <w:rFonts w:ascii="Arial" w:hAnsi="Arial" w:cs="Arial"/>
          <w:b/>
          <w:sz w:val="20"/>
          <w:szCs w:val="20"/>
        </w:rPr>
        <w:t>Advisory Guideline</w:t>
      </w:r>
      <w:r>
        <w:rPr>
          <w:rFonts w:ascii="Arial" w:hAnsi="Arial" w:cs="Arial"/>
          <w:b/>
          <w:sz w:val="20"/>
          <w:szCs w:val="20"/>
        </w:rPr>
        <w:t>s</w:t>
      </w:r>
      <w:r w:rsidRPr="00EC4D12">
        <w:rPr>
          <w:rFonts w:ascii="Arial" w:hAnsi="Arial" w:cs="Arial"/>
          <w:sz w:val="20"/>
          <w:szCs w:val="20"/>
        </w:rPr>
        <w:t xml:space="preserve">) is to provide for the protection of radiocommunications receivers operating under </w:t>
      </w:r>
      <w:r w:rsidRPr="006A6C3C">
        <w:rPr>
          <w:rFonts w:ascii="Arial" w:hAnsi="Arial" w:cs="Arial"/>
          <w:sz w:val="20"/>
        </w:rPr>
        <w:t xml:space="preserve">spectrum licences issued in the </w:t>
      </w:r>
      <w:r>
        <w:rPr>
          <w:rFonts w:ascii="Arial" w:hAnsi="Arial" w:cs="Arial"/>
          <w:sz w:val="20"/>
        </w:rPr>
        <w:t>700</w:t>
      </w:r>
      <w:r w:rsidRPr="006A6C3C">
        <w:rPr>
          <w:rFonts w:ascii="Arial" w:hAnsi="Arial" w:cs="Arial"/>
          <w:sz w:val="20"/>
        </w:rPr>
        <w:t xml:space="preserve"> </w:t>
      </w:r>
      <w:r>
        <w:rPr>
          <w:rFonts w:ascii="Arial" w:hAnsi="Arial" w:cs="Arial"/>
          <w:sz w:val="20"/>
        </w:rPr>
        <w:t>M</w:t>
      </w:r>
      <w:r w:rsidRPr="006A6C3C">
        <w:rPr>
          <w:rFonts w:ascii="Arial" w:hAnsi="Arial" w:cs="Arial"/>
          <w:sz w:val="20"/>
        </w:rPr>
        <w:t>Hz band</w:t>
      </w:r>
      <w:r w:rsidRPr="00EC4D12">
        <w:rPr>
          <w:rFonts w:ascii="Arial" w:hAnsi="Arial" w:cs="Arial"/>
          <w:sz w:val="20"/>
          <w:szCs w:val="20"/>
        </w:rPr>
        <w:t xml:space="preserve"> </w:t>
      </w:r>
      <w:r>
        <w:rPr>
          <w:rFonts w:ascii="Arial" w:hAnsi="Arial" w:cs="Arial"/>
          <w:sz w:val="20"/>
          <w:szCs w:val="20"/>
        </w:rPr>
        <w:t xml:space="preserve">from </w:t>
      </w:r>
      <w:r w:rsidRPr="006A6C3C">
        <w:rPr>
          <w:rFonts w:ascii="Arial" w:hAnsi="Arial" w:cs="Arial"/>
          <w:sz w:val="20"/>
        </w:rPr>
        <w:t>interference</w:t>
      </w:r>
      <w:r>
        <w:rPr>
          <w:rFonts w:ascii="Arial" w:hAnsi="Arial" w:cs="Arial"/>
          <w:sz w:val="20"/>
        </w:rPr>
        <w:t xml:space="preserve"> which may be</w:t>
      </w:r>
      <w:r w:rsidRPr="006A6C3C">
        <w:rPr>
          <w:rFonts w:ascii="Arial" w:hAnsi="Arial" w:cs="Arial"/>
          <w:sz w:val="20"/>
        </w:rPr>
        <w:t xml:space="preserve"> caused by transmitters operated under </w:t>
      </w:r>
      <w:r w:rsidR="002A407B">
        <w:rPr>
          <w:rFonts w:ascii="Arial" w:hAnsi="Arial" w:cs="Arial"/>
          <w:sz w:val="20"/>
        </w:rPr>
        <w:t xml:space="preserve">other </w:t>
      </w:r>
      <w:r w:rsidRPr="006A6C3C">
        <w:rPr>
          <w:rFonts w:ascii="Arial" w:hAnsi="Arial" w:cs="Arial"/>
          <w:sz w:val="20"/>
        </w:rPr>
        <w:t>licences</w:t>
      </w:r>
      <w:r w:rsidRPr="00EC4D12">
        <w:rPr>
          <w:rFonts w:ascii="Arial" w:hAnsi="Arial" w:cs="Arial"/>
          <w:sz w:val="20"/>
          <w:szCs w:val="20"/>
        </w:rPr>
        <w:t xml:space="preserve">. </w:t>
      </w:r>
    </w:p>
    <w:p w:rsidR="00B8114C" w:rsidRPr="00EC4D12" w:rsidRDefault="00B8114C" w:rsidP="00AF12CE">
      <w:pPr>
        <w:spacing w:line="360" w:lineRule="auto"/>
        <w:rPr>
          <w:rFonts w:ascii="Arial" w:hAnsi="Arial" w:cs="Arial"/>
          <w:sz w:val="20"/>
          <w:szCs w:val="20"/>
        </w:rPr>
      </w:pPr>
      <w:r w:rsidRPr="00EC4D12">
        <w:rPr>
          <w:rFonts w:ascii="Arial" w:hAnsi="Arial" w:cs="Arial"/>
          <w:sz w:val="20"/>
          <w:szCs w:val="20"/>
        </w:rPr>
        <w:t xml:space="preserve">Subsection 9(1) of the </w:t>
      </w:r>
      <w:r w:rsidRPr="00EC4D12">
        <w:rPr>
          <w:rFonts w:ascii="Arial" w:hAnsi="Arial" w:cs="Arial"/>
          <w:i/>
          <w:sz w:val="20"/>
          <w:szCs w:val="20"/>
        </w:rPr>
        <w:t>Human Rights (Parliamentary Scrutiny) Act 2011</w:t>
      </w:r>
      <w:r w:rsidRPr="00EC4D12">
        <w:rPr>
          <w:rFonts w:ascii="Arial" w:hAnsi="Arial" w:cs="Arial"/>
          <w:sz w:val="20"/>
          <w:szCs w:val="20"/>
        </w:rPr>
        <w:t xml:space="preserve"> requires the rule</w:t>
      </w:r>
      <w:r w:rsidRPr="00EC4D12">
        <w:rPr>
          <w:rFonts w:ascii="Arial" w:eastAsia="MS Mincho" w:hAnsi="MS Mincho" w:cs="Arial"/>
          <w:sz w:val="20"/>
          <w:szCs w:val="20"/>
        </w:rPr>
        <w:t xml:space="preserve"> </w:t>
      </w:r>
      <w:r w:rsidRPr="00EC4D12">
        <w:rPr>
          <w:rFonts w:ascii="Arial" w:hAnsi="Arial" w:cs="Arial"/>
          <w:sz w:val="20"/>
          <w:szCs w:val="20"/>
        </w:rPr>
        <w:t xml:space="preserve">maker in relation to a legislative instrument to which section 42 (disallowance) of the </w:t>
      </w:r>
      <w:r w:rsidRPr="00EC4D12">
        <w:rPr>
          <w:rFonts w:ascii="Arial" w:hAnsi="Arial" w:cs="Arial"/>
          <w:i/>
          <w:sz w:val="20"/>
          <w:szCs w:val="20"/>
        </w:rPr>
        <w:t>Legislative Instruments Act 2003</w:t>
      </w:r>
      <w:r w:rsidRPr="00EC4D12">
        <w:rPr>
          <w:rFonts w:ascii="Arial" w:hAnsi="Arial" w:cs="Arial"/>
          <w:sz w:val="20"/>
          <w:szCs w:val="20"/>
        </w:rPr>
        <w:t xml:space="preserve"> </w:t>
      </w:r>
      <w:r>
        <w:rPr>
          <w:rFonts w:ascii="Arial" w:hAnsi="Arial" w:cs="Arial"/>
          <w:sz w:val="20"/>
          <w:szCs w:val="20"/>
        </w:rPr>
        <w:t xml:space="preserve">(the </w:t>
      </w:r>
      <w:r w:rsidR="006E1DF9" w:rsidRPr="006E1DF9">
        <w:rPr>
          <w:rFonts w:ascii="Arial" w:hAnsi="Arial" w:cs="Arial"/>
          <w:b/>
          <w:sz w:val="20"/>
          <w:szCs w:val="20"/>
        </w:rPr>
        <w:t>LIA</w:t>
      </w:r>
      <w:r>
        <w:rPr>
          <w:rFonts w:ascii="Arial" w:hAnsi="Arial" w:cs="Arial"/>
          <w:sz w:val="20"/>
          <w:szCs w:val="20"/>
        </w:rPr>
        <w:t xml:space="preserve">) </w:t>
      </w:r>
      <w:r w:rsidRPr="00EC4D12">
        <w:rPr>
          <w:rFonts w:ascii="Arial" w:hAnsi="Arial" w:cs="Arial"/>
          <w:sz w:val="20"/>
          <w:szCs w:val="20"/>
        </w:rPr>
        <w:t>applies to cause a statement of compatibility to be prepared in respect of that legislative instrument.</w:t>
      </w:r>
    </w:p>
    <w:p w:rsidR="00B8114C" w:rsidRDefault="00B8114C" w:rsidP="00AF12CE">
      <w:pPr>
        <w:spacing w:line="360" w:lineRule="auto"/>
        <w:rPr>
          <w:rFonts w:ascii="Arial" w:hAnsi="Arial" w:cs="Arial"/>
          <w:sz w:val="20"/>
          <w:szCs w:val="20"/>
        </w:rPr>
      </w:pPr>
      <w:r>
        <w:rPr>
          <w:rFonts w:ascii="Arial" w:hAnsi="Arial" w:cs="Arial"/>
          <w:sz w:val="20"/>
          <w:szCs w:val="20"/>
        </w:rPr>
        <w:t>T</w:t>
      </w:r>
      <w:r w:rsidRPr="00EC4D12">
        <w:rPr>
          <w:rFonts w:ascii="Arial" w:hAnsi="Arial" w:cs="Arial"/>
          <w:sz w:val="20"/>
          <w:szCs w:val="20"/>
        </w:rPr>
        <w:t>h</w:t>
      </w:r>
      <w:r>
        <w:rPr>
          <w:rFonts w:ascii="Arial" w:hAnsi="Arial" w:cs="Arial"/>
          <w:sz w:val="20"/>
          <w:szCs w:val="20"/>
        </w:rPr>
        <w:t>e Advisory Guidelines are</w:t>
      </w:r>
      <w:r w:rsidRPr="00EC4D12">
        <w:rPr>
          <w:rFonts w:ascii="Arial" w:hAnsi="Arial" w:cs="Arial"/>
          <w:sz w:val="20"/>
          <w:szCs w:val="20"/>
        </w:rPr>
        <w:t xml:space="preserve"> </w:t>
      </w:r>
      <w:r>
        <w:rPr>
          <w:rFonts w:ascii="Arial" w:hAnsi="Arial" w:cs="Arial"/>
          <w:sz w:val="20"/>
          <w:szCs w:val="20"/>
        </w:rPr>
        <w:t xml:space="preserve">a </w:t>
      </w:r>
      <w:r w:rsidRPr="00EC4D12">
        <w:rPr>
          <w:rFonts w:ascii="Arial" w:hAnsi="Arial" w:cs="Arial"/>
          <w:sz w:val="20"/>
          <w:szCs w:val="20"/>
        </w:rPr>
        <w:t xml:space="preserve">legislative instrument </w:t>
      </w:r>
      <w:r>
        <w:rPr>
          <w:rFonts w:ascii="Arial" w:hAnsi="Arial" w:cs="Arial"/>
          <w:sz w:val="20"/>
          <w:szCs w:val="20"/>
        </w:rPr>
        <w:t xml:space="preserve">that </w:t>
      </w:r>
      <w:r w:rsidRPr="00EC4D12">
        <w:rPr>
          <w:rFonts w:ascii="Arial" w:hAnsi="Arial" w:cs="Arial"/>
          <w:sz w:val="20"/>
          <w:szCs w:val="20"/>
        </w:rPr>
        <w:t xml:space="preserve">is subject to disallowance under section 42 of the </w:t>
      </w:r>
      <w:r w:rsidR="006E1DF9" w:rsidRPr="006E1DF9">
        <w:rPr>
          <w:rFonts w:ascii="Arial" w:hAnsi="Arial" w:cs="Arial"/>
          <w:b/>
          <w:sz w:val="20"/>
          <w:szCs w:val="20"/>
        </w:rPr>
        <w:t>LIA</w:t>
      </w:r>
      <w:r w:rsidRPr="00EC4D12">
        <w:rPr>
          <w:rFonts w:ascii="Arial" w:hAnsi="Arial" w:cs="Arial"/>
          <w:sz w:val="20"/>
          <w:szCs w:val="20"/>
        </w:rPr>
        <w:t>.</w:t>
      </w:r>
    </w:p>
    <w:p w:rsidR="00B8114C" w:rsidRDefault="00B8114C" w:rsidP="00AF12CE">
      <w:pPr>
        <w:spacing w:line="360" w:lineRule="auto"/>
        <w:rPr>
          <w:rFonts w:ascii="Arial" w:hAnsi="Arial" w:cs="Arial"/>
          <w:b/>
          <w:sz w:val="20"/>
          <w:szCs w:val="20"/>
        </w:rPr>
      </w:pPr>
      <w:r w:rsidRPr="00EC4D12">
        <w:rPr>
          <w:rFonts w:ascii="Arial" w:hAnsi="Arial" w:cs="Arial"/>
          <w:b/>
          <w:sz w:val="20"/>
          <w:szCs w:val="20"/>
        </w:rPr>
        <w:t>Human Rights Implications</w:t>
      </w:r>
    </w:p>
    <w:p w:rsidR="00B8114C" w:rsidRPr="00EC4D12" w:rsidRDefault="00B8114C" w:rsidP="00AF12CE">
      <w:pPr>
        <w:spacing w:line="360" w:lineRule="auto"/>
        <w:rPr>
          <w:rFonts w:ascii="Arial" w:hAnsi="Arial" w:cs="Arial"/>
          <w:sz w:val="20"/>
          <w:szCs w:val="20"/>
        </w:rPr>
      </w:pPr>
      <w:r>
        <w:rPr>
          <w:rFonts w:ascii="Arial" w:hAnsi="Arial" w:cs="Arial"/>
          <w:sz w:val="20"/>
          <w:szCs w:val="20"/>
        </w:rPr>
        <w:t>T</w:t>
      </w:r>
      <w:r w:rsidRPr="00EC4D12">
        <w:rPr>
          <w:rFonts w:ascii="Arial" w:hAnsi="Arial" w:cs="Arial"/>
          <w:sz w:val="20"/>
          <w:szCs w:val="20"/>
        </w:rPr>
        <w:t>h</w:t>
      </w:r>
      <w:r>
        <w:rPr>
          <w:rFonts w:ascii="Arial" w:hAnsi="Arial" w:cs="Arial"/>
          <w:sz w:val="20"/>
          <w:szCs w:val="20"/>
        </w:rPr>
        <w:t>e Advisory Guidelines</w:t>
      </w:r>
      <w:r w:rsidRPr="00EC4D12">
        <w:rPr>
          <w:rFonts w:ascii="Arial" w:hAnsi="Arial" w:cs="Arial"/>
          <w:sz w:val="20"/>
          <w:szCs w:val="20"/>
        </w:rPr>
        <w:t xml:space="preserve"> do not engage any of the applicable rights or freedoms.</w:t>
      </w:r>
    </w:p>
    <w:p w:rsidR="00B8114C" w:rsidRPr="00EC4D12" w:rsidRDefault="00B8114C" w:rsidP="00AF12CE">
      <w:pPr>
        <w:spacing w:line="360" w:lineRule="auto"/>
        <w:rPr>
          <w:rFonts w:ascii="Arial" w:hAnsi="Arial" w:cs="Arial"/>
          <w:b/>
          <w:sz w:val="20"/>
          <w:szCs w:val="20"/>
        </w:rPr>
      </w:pPr>
      <w:r w:rsidRPr="00EC4D12">
        <w:rPr>
          <w:rFonts w:ascii="Arial" w:hAnsi="Arial" w:cs="Arial"/>
          <w:b/>
          <w:sz w:val="20"/>
          <w:szCs w:val="20"/>
        </w:rPr>
        <w:t>Conclusion</w:t>
      </w:r>
    </w:p>
    <w:p w:rsidR="00B8114C" w:rsidRPr="003869D2" w:rsidRDefault="00B8114C" w:rsidP="003869D2">
      <w:pPr>
        <w:spacing w:line="360" w:lineRule="auto"/>
        <w:rPr>
          <w:rFonts w:ascii="Arial" w:hAnsi="Arial" w:cs="Arial"/>
          <w:b/>
          <w:sz w:val="20"/>
          <w:szCs w:val="20"/>
        </w:rPr>
      </w:pPr>
      <w:r>
        <w:rPr>
          <w:rFonts w:ascii="Arial" w:hAnsi="Arial" w:cs="Arial"/>
          <w:sz w:val="20"/>
          <w:szCs w:val="20"/>
        </w:rPr>
        <w:t>The Advisory Guidelines are</w:t>
      </w:r>
      <w:r w:rsidRPr="00EC4D12">
        <w:rPr>
          <w:rFonts w:ascii="Arial" w:hAnsi="Arial" w:cs="Arial"/>
          <w:sz w:val="20"/>
          <w:szCs w:val="20"/>
        </w:rPr>
        <w:t xml:space="preserve"> compatible with human rights as</w:t>
      </w:r>
      <w:r>
        <w:rPr>
          <w:rFonts w:ascii="Arial" w:hAnsi="Arial" w:cs="Arial"/>
          <w:sz w:val="20"/>
          <w:szCs w:val="20"/>
        </w:rPr>
        <w:t xml:space="preserve"> they do not</w:t>
      </w:r>
      <w:r w:rsidRPr="00EC4D12">
        <w:rPr>
          <w:rFonts w:ascii="Arial" w:hAnsi="Arial" w:cs="Arial"/>
          <w:sz w:val="20"/>
          <w:szCs w:val="20"/>
        </w:rPr>
        <w:t xml:space="preserve"> raise any human rights issues.</w:t>
      </w:r>
    </w:p>
    <w:sectPr w:rsidR="00B8114C" w:rsidRPr="003869D2" w:rsidSect="00DA3882">
      <w:footerReference w:type="default" r:id="rId9"/>
      <w:pgSz w:w="11907" w:h="16840" w:code="9"/>
      <w:pgMar w:top="1418" w:right="1418" w:bottom="1418" w:left="1418" w:header="720" w:footer="72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369" w:rsidRDefault="00E65369" w:rsidP="00AF12CE">
      <w:pPr>
        <w:spacing w:before="0" w:after="0" w:line="240" w:lineRule="auto"/>
      </w:pPr>
      <w:r>
        <w:separator/>
      </w:r>
    </w:p>
  </w:endnote>
  <w:endnote w:type="continuationSeparator" w:id="0">
    <w:p w:rsidR="00E65369" w:rsidRDefault="00E65369" w:rsidP="00AF12C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369" w:rsidRPr="00342DBB" w:rsidRDefault="001C605D">
    <w:pPr>
      <w:pStyle w:val="Footer"/>
      <w:jc w:val="center"/>
      <w:rPr>
        <w:rFonts w:ascii="Arial" w:hAnsi="Arial" w:cs="Arial"/>
        <w:sz w:val="20"/>
        <w:szCs w:val="20"/>
      </w:rPr>
    </w:pPr>
    <w:r w:rsidRPr="00A721BC">
      <w:rPr>
        <w:rFonts w:ascii="Arial" w:hAnsi="Arial" w:cs="Arial"/>
        <w:sz w:val="20"/>
        <w:szCs w:val="20"/>
      </w:rPr>
      <w:fldChar w:fldCharType="begin"/>
    </w:r>
    <w:r w:rsidR="00E65369" w:rsidRPr="00A721BC">
      <w:rPr>
        <w:rFonts w:ascii="Arial" w:hAnsi="Arial" w:cs="Arial"/>
        <w:sz w:val="20"/>
        <w:szCs w:val="20"/>
      </w:rPr>
      <w:instrText xml:space="preserve"> PAGE   \* MERGEFORMAT </w:instrText>
    </w:r>
    <w:r w:rsidRPr="00A721BC">
      <w:rPr>
        <w:rFonts w:ascii="Arial" w:hAnsi="Arial" w:cs="Arial"/>
        <w:sz w:val="20"/>
        <w:szCs w:val="20"/>
      </w:rPr>
      <w:fldChar w:fldCharType="separate"/>
    </w:r>
    <w:r w:rsidR="000E6736">
      <w:rPr>
        <w:rFonts w:ascii="Arial" w:hAnsi="Arial" w:cs="Arial"/>
        <w:noProof/>
        <w:sz w:val="20"/>
        <w:szCs w:val="20"/>
      </w:rPr>
      <w:t>1</w:t>
    </w:r>
    <w:r w:rsidRPr="00A721BC">
      <w:rPr>
        <w:rFonts w:ascii="Arial" w:hAnsi="Arial" w:cs="Arial"/>
        <w:sz w:val="20"/>
        <w:szCs w:val="20"/>
      </w:rPr>
      <w:fldChar w:fldCharType="end"/>
    </w:r>
  </w:p>
  <w:p w:rsidR="00E65369" w:rsidRDefault="00E653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369" w:rsidRDefault="00E65369" w:rsidP="00AF12CE">
      <w:pPr>
        <w:spacing w:before="0" w:after="0" w:line="240" w:lineRule="auto"/>
      </w:pPr>
      <w:r>
        <w:separator/>
      </w:r>
    </w:p>
  </w:footnote>
  <w:footnote w:type="continuationSeparator" w:id="0">
    <w:p w:rsidR="00E65369" w:rsidRDefault="00E65369" w:rsidP="00AF12CE">
      <w:pPr>
        <w:spacing w:before="0" w:after="0" w:line="240" w:lineRule="auto"/>
      </w:pPr>
      <w:r>
        <w:continuationSeparator/>
      </w:r>
    </w:p>
  </w:footnote>
  <w:footnote w:id="1">
    <w:p w:rsidR="00E65369" w:rsidRDefault="00E65369" w:rsidP="00432C9E">
      <w:pPr>
        <w:pStyle w:val="FootnoteText"/>
      </w:pPr>
      <w:r>
        <w:rPr>
          <w:rStyle w:val="FootnoteReference"/>
          <w:rFonts w:ascii="Arial" w:hAnsi="Arial" w:cs="Arial"/>
          <w:sz w:val="18"/>
          <w:szCs w:val="18"/>
        </w:rPr>
        <w:footnoteRef/>
      </w:r>
      <w:r w:rsidRPr="006E1DF9">
        <w:rPr>
          <w:rFonts w:ascii="Arial" w:hAnsi="Arial" w:cs="Arial"/>
          <w:sz w:val="18"/>
          <w:szCs w:val="18"/>
        </w:rPr>
        <w:t xml:space="preserve"> A copy of this paper can be found on </w:t>
      </w:r>
      <w:r w:rsidRPr="00F62ADB">
        <w:t>www.dbcde.gov.au</w:t>
      </w:r>
    </w:p>
  </w:footnote>
  <w:footnote w:id="2">
    <w:p w:rsidR="00E65369" w:rsidRDefault="00E65369" w:rsidP="00432C9E">
      <w:pPr>
        <w:pStyle w:val="FootnoteText"/>
      </w:pPr>
      <w:r>
        <w:rPr>
          <w:rStyle w:val="FootnoteReference"/>
          <w:rFonts w:ascii="Arial" w:hAnsi="Arial" w:cs="Arial"/>
          <w:sz w:val="18"/>
          <w:szCs w:val="18"/>
        </w:rPr>
        <w:footnoteRef/>
      </w:r>
      <w:r w:rsidRPr="006E1DF9">
        <w:rPr>
          <w:rFonts w:ascii="Arial" w:hAnsi="Arial" w:cs="Arial"/>
          <w:sz w:val="18"/>
          <w:szCs w:val="18"/>
        </w:rPr>
        <w:t xml:space="preserve"> A copy of the media release is available at </w:t>
      </w:r>
      <w:hyperlink r:id="rId1" w:history="1">
        <w:r w:rsidRPr="00C638C8">
          <w:rPr>
            <w:rFonts w:ascii="Arial" w:hAnsi="Arial" w:cs="Arial"/>
            <w:sz w:val="18"/>
            <w:szCs w:val="18"/>
          </w:rPr>
          <w:t>www.minister.dbcde.gov.au</w:t>
        </w:r>
      </w:hyperlink>
      <w:r>
        <w:t>.</w:t>
      </w:r>
    </w:p>
  </w:footnote>
  <w:footnote w:id="3">
    <w:p w:rsidR="00E65369" w:rsidRDefault="00E65369" w:rsidP="002C7C6F">
      <w:pPr>
        <w:pStyle w:val="FootnoteText"/>
      </w:pPr>
      <w:r>
        <w:rPr>
          <w:rStyle w:val="FootnoteReference"/>
          <w:rFonts w:ascii="Arial" w:hAnsi="Arial" w:cs="Arial"/>
          <w:sz w:val="18"/>
          <w:szCs w:val="18"/>
        </w:rPr>
        <w:footnoteRef/>
      </w:r>
      <w:r w:rsidRPr="006E1DF9">
        <w:rPr>
          <w:rFonts w:ascii="Arial" w:hAnsi="Arial" w:cs="Arial"/>
          <w:sz w:val="18"/>
          <w:szCs w:val="18"/>
        </w:rPr>
        <w:t xml:space="preserve"> A copy of this direction (</w:t>
      </w:r>
      <w:r w:rsidRPr="006E1DF9">
        <w:rPr>
          <w:rFonts w:ascii="Arial" w:hAnsi="Arial" w:cs="Arial"/>
          <w:i/>
          <w:sz w:val="18"/>
          <w:szCs w:val="18"/>
        </w:rPr>
        <w:t>Australian Communications and Media Authority (Releasing the Digital Dividend) Direction 2010</w:t>
      </w:r>
      <w:r w:rsidRPr="006E1DF9">
        <w:rPr>
          <w:rFonts w:ascii="Arial" w:hAnsi="Arial" w:cs="Arial"/>
          <w:sz w:val="18"/>
          <w:szCs w:val="18"/>
        </w:rPr>
        <w:t xml:space="preserve">) can be found at </w:t>
      </w:r>
      <w:r w:rsidRPr="00C638C8">
        <w:rPr>
          <w:rFonts w:ascii="Arial" w:hAnsi="Arial" w:cs="Arial"/>
          <w:sz w:val="18"/>
          <w:szCs w:val="18"/>
        </w:rPr>
        <w:t>http://www.comlaw.gov.au</w:t>
      </w:r>
      <w:r>
        <w:rPr>
          <w:rFonts w:ascii="Arial" w:hAnsi="Arial" w:cs="Arial"/>
          <w:sz w:val="18"/>
          <w:szCs w:val="18"/>
        </w:rPr>
        <w:t>.</w:t>
      </w:r>
    </w:p>
  </w:footnote>
  <w:footnote w:id="4">
    <w:p w:rsidR="00E65369" w:rsidRDefault="00E65369" w:rsidP="00C3418A">
      <w:pPr>
        <w:pStyle w:val="FootnoteText"/>
      </w:pPr>
      <w:r>
        <w:rPr>
          <w:rStyle w:val="FootnoteReference"/>
          <w:rFonts w:ascii="Arial" w:hAnsi="Arial" w:cs="Arial"/>
          <w:sz w:val="18"/>
          <w:szCs w:val="18"/>
        </w:rPr>
        <w:footnoteRef/>
      </w:r>
      <w:r w:rsidRPr="006E1DF9">
        <w:rPr>
          <w:rFonts w:ascii="Arial" w:hAnsi="Arial" w:cs="Arial"/>
          <w:sz w:val="18"/>
          <w:szCs w:val="18"/>
        </w:rPr>
        <w:t xml:space="preserve"> See </w:t>
      </w:r>
      <w:hyperlink r:id="rId2" w:history="1">
        <w:r w:rsidRPr="00C638C8">
          <w:rPr>
            <w:rFonts w:ascii="Arial" w:hAnsi="Arial" w:cs="Arial"/>
            <w:sz w:val="18"/>
            <w:szCs w:val="18"/>
          </w:rPr>
          <w:t>www.acma.gov.au</w:t>
        </w:r>
      </w:hyperlink>
      <w:r w:rsidRPr="006E1DF9">
        <w:rPr>
          <w:rFonts w:ascii="Arial" w:hAnsi="Arial" w:cs="Arial"/>
          <w:sz w:val="18"/>
          <w:szCs w:val="18"/>
        </w:rPr>
        <w:t>.</w:t>
      </w:r>
      <w:r w:rsidRPr="00B8114C" w:rsidDel="00C638C8">
        <w:rPr>
          <w:rFonts w:ascii="Arial" w:hAnsi="Arial" w:cs="Arial"/>
          <w:sz w:val="18"/>
          <w:szCs w:val="18"/>
        </w:rPr>
        <w:t xml:space="preserve"> </w:t>
      </w:r>
    </w:p>
  </w:footnote>
  <w:footnote w:id="5">
    <w:p w:rsidR="00E65369" w:rsidRPr="00B8114C" w:rsidRDefault="00E65369">
      <w:pPr>
        <w:pStyle w:val="FootnoteText"/>
        <w:rPr>
          <w:rFonts w:ascii="Arial" w:hAnsi="Arial" w:cs="Arial"/>
          <w:sz w:val="18"/>
          <w:szCs w:val="18"/>
        </w:rPr>
      </w:pPr>
      <w:r>
        <w:rPr>
          <w:rStyle w:val="FootnoteReference"/>
          <w:rFonts w:ascii="Arial" w:hAnsi="Arial" w:cs="Arial"/>
          <w:sz w:val="18"/>
          <w:szCs w:val="18"/>
        </w:rPr>
        <w:footnoteRef/>
      </w:r>
      <w:r w:rsidRPr="006E1DF9">
        <w:rPr>
          <w:rFonts w:ascii="Arial" w:hAnsi="Arial" w:cs="Arial"/>
          <w:sz w:val="18"/>
          <w:szCs w:val="18"/>
        </w:rPr>
        <w:t xml:space="preserve"> See</w:t>
      </w:r>
      <w:r w:rsidRPr="00C638C8">
        <w:rPr>
          <w:rFonts w:ascii="Arial" w:hAnsi="Arial" w:cs="Arial"/>
          <w:sz w:val="18"/>
          <w:szCs w:val="18"/>
        </w:rPr>
        <w:t xml:space="preserve"> </w:t>
      </w:r>
      <w:hyperlink r:id="rId3" w:history="1">
        <w:r w:rsidRPr="00C638C8">
          <w:rPr>
            <w:rFonts w:ascii="Arial" w:hAnsi="Arial" w:cs="Arial"/>
            <w:sz w:val="18"/>
            <w:szCs w:val="18"/>
          </w:rPr>
          <w:t>http://engage.acma.gov.au</w:t>
        </w:r>
      </w:hyperlink>
      <w:r w:rsidRPr="006E1DF9">
        <w:rPr>
          <w:rFonts w:ascii="Arial" w:hAnsi="Arial" w:cs="Arial"/>
          <w:sz w:val="18"/>
          <w:szCs w:val="18"/>
        </w:rPr>
        <w:t>.</w:t>
      </w:r>
    </w:p>
    <w:p w:rsidR="00E65369" w:rsidRDefault="00E65369">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0AE00CA"/>
    <w:lvl w:ilvl="0">
      <w:start w:val="1"/>
      <w:numFmt w:val="bullet"/>
      <w:lvlText w:val=""/>
      <w:lvlJc w:val="left"/>
      <w:pPr>
        <w:tabs>
          <w:tab w:val="num" w:pos="360"/>
        </w:tabs>
        <w:ind w:left="360" w:hanging="360"/>
      </w:pPr>
      <w:rPr>
        <w:rFonts w:ascii="Symbol" w:hAnsi="Symbol" w:hint="default"/>
      </w:rPr>
    </w:lvl>
  </w:abstractNum>
  <w:abstractNum w:abstractNumId="1">
    <w:nsid w:val="1AB41ED6"/>
    <w:multiLevelType w:val="hybridMultilevel"/>
    <w:tmpl w:val="7BE46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D050615"/>
    <w:multiLevelType w:val="hybridMultilevel"/>
    <w:tmpl w:val="FA80BA1C"/>
    <w:lvl w:ilvl="0" w:tplc="6CB6E33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DDB13EC"/>
    <w:multiLevelType w:val="hybridMultilevel"/>
    <w:tmpl w:val="05B2F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DE22093"/>
    <w:multiLevelType w:val="hybridMultilevel"/>
    <w:tmpl w:val="D3585D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FB76651"/>
    <w:multiLevelType w:val="hybridMultilevel"/>
    <w:tmpl w:val="0D2CB68C"/>
    <w:lvl w:ilvl="0" w:tplc="44D64128">
      <w:start w:val="1"/>
      <w:numFmt w:val="bullet"/>
      <w:lvlText w:val="˃"/>
      <w:lvlJc w:val="left"/>
      <w:pPr>
        <w:ind w:left="720" w:hanging="360"/>
      </w:pPr>
      <w:rPr>
        <w:rFonts w:ascii="Arial" w:hAnsi="Arial" w:hint="default"/>
      </w:rPr>
    </w:lvl>
    <w:lvl w:ilvl="1" w:tplc="0C090019">
      <w:start w:val="1"/>
      <w:numFmt w:val="lowerLetter"/>
      <w:lvlText w:val="%2."/>
      <w:lvlJc w:val="left"/>
      <w:pPr>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6">
    <w:nsid w:val="2AAA7E62"/>
    <w:multiLevelType w:val="hybridMultilevel"/>
    <w:tmpl w:val="7E8C6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0AA3204"/>
    <w:multiLevelType w:val="hybridMultilevel"/>
    <w:tmpl w:val="007CE9EA"/>
    <w:lvl w:ilvl="0" w:tplc="1BE0D760">
      <w:start w:val="1"/>
      <w:numFmt w:val="bullet"/>
      <w:lvlText w:val=""/>
      <w:lvlJc w:val="left"/>
      <w:pPr>
        <w:ind w:left="360" w:hanging="360"/>
      </w:pPr>
      <w:rPr>
        <w:rFonts w:ascii="Symbol" w:hAnsi="Symbol" w:hint="default"/>
      </w:rPr>
    </w:lvl>
    <w:lvl w:ilvl="1" w:tplc="002E589A" w:tentative="1">
      <w:start w:val="1"/>
      <w:numFmt w:val="bullet"/>
      <w:lvlText w:val="o"/>
      <w:lvlJc w:val="left"/>
      <w:pPr>
        <w:ind w:left="1080" w:hanging="360"/>
      </w:pPr>
      <w:rPr>
        <w:rFonts w:ascii="Courier New" w:hAnsi="Courier New" w:hint="default"/>
      </w:rPr>
    </w:lvl>
    <w:lvl w:ilvl="2" w:tplc="A1221E10" w:tentative="1">
      <w:start w:val="1"/>
      <w:numFmt w:val="bullet"/>
      <w:lvlText w:val=""/>
      <w:lvlJc w:val="left"/>
      <w:pPr>
        <w:ind w:left="1800" w:hanging="360"/>
      </w:pPr>
      <w:rPr>
        <w:rFonts w:ascii="Wingdings" w:hAnsi="Wingdings" w:hint="default"/>
      </w:rPr>
    </w:lvl>
    <w:lvl w:ilvl="3" w:tplc="C2A48F08" w:tentative="1">
      <w:start w:val="1"/>
      <w:numFmt w:val="bullet"/>
      <w:lvlText w:val=""/>
      <w:lvlJc w:val="left"/>
      <w:pPr>
        <w:ind w:left="2520" w:hanging="360"/>
      </w:pPr>
      <w:rPr>
        <w:rFonts w:ascii="Symbol" w:hAnsi="Symbol" w:hint="default"/>
      </w:rPr>
    </w:lvl>
    <w:lvl w:ilvl="4" w:tplc="B5E0047A" w:tentative="1">
      <w:start w:val="1"/>
      <w:numFmt w:val="bullet"/>
      <w:lvlText w:val="o"/>
      <w:lvlJc w:val="left"/>
      <w:pPr>
        <w:ind w:left="3240" w:hanging="360"/>
      </w:pPr>
      <w:rPr>
        <w:rFonts w:ascii="Courier New" w:hAnsi="Courier New" w:hint="default"/>
      </w:rPr>
    </w:lvl>
    <w:lvl w:ilvl="5" w:tplc="1E7A944C" w:tentative="1">
      <w:start w:val="1"/>
      <w:numFmt w:val="bullet"/>
      <w:lvlText w:val=""/>
      <w:lvlJc w:val="left"/>
      <w:pPr>
        <w:ind w:left="3960" w:hanging="360"/>
      </w:pPr>
      <w:rPr>
        <w:rFonts w:ascii="Wingdings" w:hAnsi="Wingdings" w:hint="default"/>
      </w:rPr>
    </w:lvl>
    <w:lvl w:ilvl="6" w:tplc="BF62B0BE" w:tentative="1">
      <w:start w:val="1"/>
      <w:numFmt w:val="bullet"/>
      <w:lvlText w:val=""/>
      <w:lvlJc w:val="left"/>
      <w:pPr>
        <w:ind w:left="4680" w:hanging="360"/>
      </w:pPr>
      <w:rPr>
        <w:rFonts w:ascii="Symbol" w:hAnsi="Symbol" w:hint="default"/>
      </w:rPr>
    </w:lvl>
    <w:lvl w:ilvl="7" w:tplc="E28CC8E2" w:tentative="1">
      <w:start w:val="1"/>
      <w:numFmt w:val="bullet"/>
      <w:lvlText w:val="o"/>
      <w:lvlJc w:val="left"/>
      <w:pPr>
        <w:ind w:left="5400" w:hanging="360"/>
      </w:pPr>
      <w:rPr>
        <w:rFonts w:ascii="Courier New" w:hAnsi="Courier New" w:hint="default"/>
      </w:rPr>
    </w:lvl>
    <w:lvl w:ilvl="8" w:tplc="178A595E" w:tentative="1">
      <w:start w:val="1"/>
      <w:numFmt w:val="bullet"/>
      <w:lvlText w:val=""/>
      <w:lvlJc w:val="left"/>
      <w:pPr>
        <w:ind w:left="6120" w:hanging="360"/>
      </w:pPr>
      <w:rPr>
        <w:rFonts w:ascii="Wingdings" w:hAnsi="Wingdings" w:hint="default"/>
      </w:rPr>
    </w:lvl>
  </w:abstractNum>
  <w:abstractNum w:abstractNumId="8">
    <w:nsid w:val="3CE1545C"/>
    <w:multiLevelType w:val="hybridMultilevel"/>
    <w:tmpl w:val="46441218"/>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D586584"/>
    <w:multiLevelType w:val="hybridMultilevel"/>
    <w:tmpl w:val="BCB86E14"/>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F173593"/>
    <w:multiLevelType w:val="hybridMultilevel"/>
    <w:tmpl w:val="49887CEC"/>
    <w:lvl w:ilvl="0" w:tplc="44D6412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DD47610"/>
    <w:multiLevelType w:val="hybridMultilevel"/>
    <w:tmpl w:val="F0FEC55A"/>
    <w:lvl w:ilvl="0" w:tplc="923458AE">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0"/>
  </w:num>
  <w:num w:numId="20">
    <w:abstractNumId w:val="9"/>
  </w:num>
  <w:num w:numId="21">
    <w:abstractNumId w:val="11"/>
  </w:num>
  <w:num w:numId="22">
    <w:abstractNumId w:val="6"/>
  </w:num>
  <w:num w:numId="23">
    <w:abstractNumId w:val="7"/>
  </w:num>
  <w:num w:numId="24">
    <w:abstractNumId w:val="3"/>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5"/>
  </w:num>
  <w:num w:numId="28">
    <w:abstractNumId w:val="8"/>
  </w:num>
  <w:num w:numId="29">
    <w:abstractNumId w:val="2"/>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12CE"/>
    <w:rsid w:val="00017BB7"/>
    <w:rsid w:val="00026D00"/>
    <w:rsid w:val="00041367"/>
    <w:rsid w:val="00060959"/>
    <w:rsid w:val="00071815"/>
    <w:rsid w:val="00087821"/>
    <w:rsid w:val="00093F5A"/>
    <w:rsid w:val="000B2CDE"/>
    <w:rsid w:val="000B632B"/>
    <w:rsid w:val="000C2F58"/>
    <w:rsid w:val="000C38FA"/>
    <w:rsid w:val="000D5F97"/>
    <w:rsid w:val="000E5821"/>
    <w:rsid w:val="000E6736"/>
    <w:rsid w:val="001355AD"/>
    <w:rsid w:val="00143CA0"/>
    <w:rsid w:val="001552D8"/>
    <w:rsid w:val="0019150C"/>
    <w:rsid w:val="00192F06"/>
    <w:rsid w:val="001969F1"/>
    <w:rsid w:val="001B1CA9"/>
    <w:rsid w:val="001B78C4"/>
    <w:rsid w:val="001C3A8C"/>
    <w:rsid w:val="001C605D"/>
    <w:rsid w:val="001D05BF"/>
    <w:rsid w:val="001D6BBA"/>
    <w:rsid w:val="001F6EA6"/>
    <w:rsid w:val="00203F3D"/>
    <w:rsid w:val="00242A82"/>
    <w:rsid w:val="00271494"/>
    <w:rsid w:val="0027238E"/>
    <w:rsid w:val="0028106C"/>
    <w:rsid w:val="00282A22"/>
    <w:rsid w:val="002879AA"/>
    <w:rsid w:val="002A407B"/>
    <w:rsid w:val="002B2AC3"/>
    <w:rsid w:val="002B4CE3"/>
    <w:rsid w:val="002C2385"/>
    <w:rsid w:val="002C2C67"/>
    <w:rsid w:val="002C47F7"/>
    <w:rsid w:val="002C7C6F"/>
    <w:rsid w:val="002D3A4F"/>
    <w:rsid w:val="002E53E0"/>
    <w:rsid w:val="002E5D60"/>
    <w:rsid w:val="002F0F7C"/>
    <w:rsid w:val="0030098C"/>
    <w:rsid w:val="00305231"/>
    <w:rsid w:val="00311A38"/>
    <w:rsid w:val="00327030"/>
    <w:rsid w:val="00336D28"/>
    <w:rsid w:val="00342DBB"/>
    <w:rsid w:val="00351566"/>
    <w:rsid w:val="00354DA6"/>
    <w:rsid w:val="003567B3"/>
    <w:rsid w:val="00363831"/>
    <w:rsid w:val="0037505C"/>
    <w:rsid w:val="00382A11"/>
    <w:rsid w:val="00384359"/>
    <w:rsid w:val="003869D2"/>
    <w:rsid w:val="00390D21"/>
    <w:rsid w:val="00391C26"/>
    <w:rsid w:val="00392D4C"/>
    <w:rsid w:val="00395ED1"/>
    <w:rsid w:val="00402D1E"/>
    <w:rsid w:val="00422AA3"/>
    <w:rsid w:val="0043012D"/>
    <w:rsid w:val="004310A4"/>
    <w:rsid w:val="0043298F"/>
    <w:rsid w:val="00432C9E"/>
    <w:rsid w:val="004369FB"/>
    <w:rsid w:val="0044117B"/>
    <w:rsid w:val="00455A0C"/>
    <w:rsid w:val="004818D3"/>
    <w:rsid w:val="004A1CE6"/>
    <w:rsid w:val="004B243E"/>
    <w:rsid w:val="004B329C"/>
    <w:rsid w:val="004E2677"/>
    <w:rsid w:val="004E7344"/>
    <w:rsid w:val="005077CA"/>
    <w:rsid w:val="005111D2"/>
    <w:rsid w:val="00515869"/>
    <w:rsid w:val="00520E19"/>
    <w:rsid w:val="00532ABF"/>
    <w:rsid w:val="005522EA"/>
    <w:rsid w:val="0057564F"/>
    <w:rsid w:val="005B760E"/>
    <w:rsid w:val="005C0F50"/>
    <w:rsid w:val="005C60CE"/>
    <w:rsid w:val="005E0DDD"/>
    <w:rsid w:val="005F508E"/>
    <w:rsid w:val="0060556A"/>
    <w:rsid w:val="00640F28"/>
    <w:rsid w:val="00645E33"/>
    <w:rsid w:val="0064610A"/>
    <w:rsid w:val="00647292"/>
    <w:rsid w:val="00647FC6"/>
    <w:rsid w:val="00651861"/>
    <w:rsid w:val="006561A0"/>
    <w:rsid w:val="006614D4"/>
    <w:rsid w:val="006670DF"/>
    <w:rsid w:val="0067052F"/>
    <w:rsid w:val="00672FE6"/>
    <w:rsid w:val="00681045"/>
    <w:rsid w:val="00681350"/>
    <w:rsid w:val="00686EAB"/>
    <w:rsid w:val="00687576"/>
    <w:rsid w:val="00692744"/>
    <w:rsid w:val="0069497B"/>
    <w:rsid w:val="00697757"/>
    <w:rsid w:val="006A6C3C"/>
    <w:rsid w:val="006B58FC"/>
    <w:rsid w:val="006E1DF9"/>
    <w:rsid w:val="006F0C25"/>
    <w:rsid w:val="006F5046"/>
    <w:rsid w:val="00707E91"/>
    <w:rsid w:val="00712E31"/>
    <w:rsid w:val="00716830"/>
    <w:rsid w:val="00740CF6"/>
    <w:rsid w:val="0075333B"/>
    <w:rsid w:val="0075354A"/>
    <w:rsid w:val="00755F38"/>
    <w:rsid w:val="00762FC0"/>
    <w:rsid w:val="007A1C49"/>
    <w:rsid w:val="007A742F"/>
    <w:rsid w:val="007B7946"/>
    <w:rsid w:val="007C2CC6"/>
    <w:rsid w:val="007D2A39"/>
    <w:rsid w:val="007E1421"/>
    <w:rsid w:val="007E787D"/>
    <w:rsid w:val="007F3BC5"/>
    <w:rsid w:val="007F73BE"/>
    <w:rsid w:val="0081415A"/>
    <w:rsid w:val="00814CA6"/>
    <w:rsid w:val="00820C30"/>
    <w:rsid w:val="00850500"/>
    <w:rsid w:val="00854F72"/>
    <w:rsid w:val="00875D43"/>
    <w:rsid w:val="0087714F"/>
    <w:rsid w:val="008B201F"/>
    <w:rsid w:val="008B623A"/>
    <w:rsid w:val="008B7407"/>
    <w:rsid w:val="008C0EAF"/>
    <w:rsid w:val="008C174F"/>
    <w:rsid w:val="008D64CA"/>
    <w:rsid w:val="008E0635"/>
    <w:rsid w:val="00901F3F"/>
    <w:rsid w:val="0090246B"/>
    <w:rsid w:val="009127B8"/>
    <w:rsid w:val="00926C62"/>
    <w:rsid w:val="00935D2E"/>
    <w:rsid w:val="00945475"/>
    <w:rsid w:val="009578CC"/>
    <w:rsid w:val="00962793"/>
    <w:rsid w:val="0096701B"/>
    <w:rsid w:val="0097120A"/>
    <w:rsid w:val="00972DC7"/>
    <w:rsid w:val="0097357D"/>
    <w:rsid w:val="0097494E"/>
    <w:rsid w:val="009806DB"/>
    <w:rsid w:val="00986435"/>
    <w:rsid w:val="009C68D1"/>
    <w:rsid w:val="009D2F01"/>
    <w:rsid w:val="009D5210"/>
    <w:rsid w:val="009F4F08"/>
    <w:rsid w:val="00A018FF"/>
    <w:rsid w:val="00A02816"/>
    <w:rsid w:val="00A03C73"/>
    <w:rsid w:val="00A1401D"/>
    <w:rsid w:val="00A2733B"/>
    <w:rsid w:val="00A418BB"/>
    <w:rsid w:val="00A45821"/>
    <w:rsid w:val="00A56B84"/>
    <w:rsid w:val="00A61E89"/>
    <w:rsid w:val="00A6345E"/>
    <w:rsid w:val="00A71723"/>
    <w:rsid w:val="00A721BC"/>
    <w:rsid w:val="00A73B59"/>
    <w:rsid w:val="00A75696"/>
    <w:rsid w:val="00A85D26"/>
    <w:rsid w:val="00AC2DFA"/>
    <w:rsid w:val="00AD5397"/>
    <w:rsid w:val="00AD71F4"/>
    <w:rsid w:val="00AE2B6A"/>
    <w:rsid w:val="00AE45B4"/>
    <w:rsid w:val="00AE6DD9"/>
    <w:rsid w:val="00AF12CE"/>
    <w:rsid w:val="00B253AF"/>
    <w:rsid w:val="00B27F6B"/>
    <w:rsid w:val="00B50848"/>
    <w:rsid w:val="00B52D55"/>
    <w:rsid w:val="00B77F5E"/>
    <w:rsid w:val="00B77F97"/>
    <w:rsid w:val="00B8114C"/>
    <w:rsid w:val="00B867C7"/>
    <w:rsid w:val="00B908F0"/>
    <w:rsid w:val="00B91A53"/>
    <w:rsid w:val="00B9607D"/>
    <w:rsid w:val="00BA16C3"/>
    <w:rsid w:val="00BA349F"/>
    <w:rsid w:val="00BB03C0"/>
    <w:rsid w:val="00BB1EEE"/>
    <w:rsid w:val="00BB5303"/>
    <w:rsid w:val="00BC581E"/>
    <w:rsid w:val="00BE08C6"/>
    <w:rsid w:val="00BF219C"/>
    <w:rsid w:val="00C1208B"/>
    <w:rsid w:val="00C13F2C"/>
    <w:rsid w:val="00C24665"/>
    <w:rsid w:val="00C3418A"/>
    <w:rsid w:val="00C44AE4"/>
    <w:rsid w:val="00C4519E"/>
    <w:rsid w:val="00C466F3"/>
    <w:rsid w:val="00C638C8"/>
    <w:rsid w:val="00C96792"/>
    <w:rsid w:val="00CA5F1C"/>
    <w:rsid w:val="00CA7615"/>
    <w:rsid w:val="00CD7C76"/>
    <w:rsid w:val="00CE2AA0"/>
    <w:rsid w:val="00CE3DE5"/>
    <w:rsid w:val="00D00320"/>
    <w:rsid w:val="00D15162"/>
    <w:rsid w:val="00D155F9"/>
    <w:rsid w:val="00D20E26"/>
    <w:rsid w:val="00D2638A"/>
    <w:rsid w:val="00D3567B"/>
    <w:rsid w:val="00D45AAB"/>
    <w:rsid w:val="00D46286"/>
    <w:rsid w:val="00D622DF"/>
    <w:rsid w:val="00D646C2"/>
    <w:rsid w:val="00D849FD"/>
    <w:rsid w:val="00DA3882"/>
    <w:rsid w:val="00DB18FE"/>
    <w:rsid w:val="00DB54EB"/>
    <w:rsid w:val="00DC170E"/>
    <w:rsid w:val="00DC2E17"/>
    <w:rsid w:val="00DC759A"/>
    <w:rsid w:val="00DC7D7B"/>
    <w:rsid w:val="00DD509C"/>
    <w:rsid w:val="00DE3BF3"/>
    <w:rsid w:val="00DE5DBA"/>
    <w:rsid w:val="00DF175D"/>
    <w:rsid w:val="00E056C4"/>
    <w:rsid w:val="00E14B41"/>
    <w:rsid w:val="00E20D85"/>
    <w:rsid w:val="00E22F03"/>
    <w:rsid w:val="00E30B7E"/>
    <w:rsid w:val="00E41248"/>
    <w:rsid w:val="00E42AD5"/>
    <w:rsid w:val="00E47DAB"/>
    <w:rsid w:val="00E50A01"/>
    <w:rsid w:val="00E572DB"/>
    <w:rsid w:val="00E65369"/>
    <w:rsid w:val="00E719B4"/>
    <w:rsid w:val="00E9167C"/>
    <w:rsid w:val="00E92871"/>
    <w:rsid w:val="00EC4AA0"/>
    <w:rsid w:val="00EC4B80"/>
    <w:rsid w:val="00EC4D12"/>
    <w:rsid w:val="00ED60FD"/>
    <w:rsid w:val="00EE139B"/>
    <w:rsid w:val="00F04BF8"/>
    <w:rsid w:val="00F12932"/>
    <w:rsid w:val="00F15945"/>
    <w:rsid w:val="00F1642F"/>
    <w:rsid w:val="00F24016"/>
    <w:rsid w:val="00F55A5F"/>
    <w:rsid w:val="00F62ADB"/>
    <w:rsid w:val="00F647A5"/>
    <w:rsid w:val="00F67345"/>
    <w:rsid w:val="00F75CBF"/>
    <w:rsid w:val="00F84016"/>
    <w:rsid w:val="00F84438"/>
    <w:rsid w:val="00F86551"/>
    <w:rsid w:val="00F90683"/>
    <w:rsid w:val="00F91682"/>
    <w:rsid w:val="00F9221B"/>
    <w:rsid w:val="00FB1E13"/>
    <w:rsid w:val="00FC1132"/>
    <w:rsid w:val="00FC59B7"/>
    <w:rsid w:val="00FD0CBC"/>
    <w:rsid w:val="00FD4D87"/>
    <w:rsid w:val="00FE2B7B"/>
    <w:rsid w:val="00FF223E"/>
    <w:rsid w:val="00FF326C"/>
    <w:rsid w:val="00FF3A09"/>
    <w:rsid w:val="00FF41FF"/>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2CE"/>
    <w:pPr>
      <w:spacing w:before="80" w:after="120" w:line="280" w:lineRule="atLeast"/>
    </w:pPr>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 Body Text"/>
    <w:link w:val="ACMABodyTextChar1"/>
    <w:uiPriority w:val="99"/>
    <w:rsid w:val="00AF12CE"/>
    <w:pPr>
      <w:suppressAutoHyphens/>
      <w:spacing w:before="80" w:after="120" w:line="280" w:lineRule="atLeast"/>
    </w:pPr>
    <w:rPr>
      <w:rFonts w:ascii="Times New Roman" w:eastAsia="Times New Roman" w:hAnsi="Times New Roman"/>
      <w:sz w:val="24"/>
      <w:lang w:eastAsia="en-US"/>
    </w:rPr>
  </w:style>
  <w:style w:type="paragraph" w:customStyle="1" w:styleId="ACMAHeading2">
    <w:name w:val="ACMA Heading 2"/>
    <w:next w:val="ACMABodyText"/>
    <w:uiPriority w:val="99"/>
    <w:rsid w:val="00AF12CE"/>
    <w:pPr>
      <w:keepNext/>
      <w:suppressAutoHyphens/>
      <w:spacing w:before="240"/>
      <w:outlineLvl w:val="2"/>
    </w:pPr>
    <w:rPr>
      <w:rFonts w:ascii="Arial" w:eastAsia="Times New Roman" w:hAnsi="Arial"/>
      <w:b/>
      <w:caps/>
      <w:sz w:val="26"/>
      <w:szCs w:val="26"/>
      <w:lang w:val="en-US" w:eastAsia="en-US"/>
    </w:rPr>
  </w:style>
  <w:style w:type="paragraph" w:customStyle="1" w:styleId="ACMAHeading3">
    <w:name w:val="ACMA Heading 3"/>
    <w:next w:val="ACMABodyText"/>
    <w:uiPriority w:val="99"/>
    <w:rsid w:val="00AF12CE"/>
    <w:pPr>
      <w:keepNext/>
      <w:suppressAutoHyphens/>
      <w:spacing w:before="240"/>
      <w:outlineLvl w:val="3"/>
    </w:pPr>
    <w:rPr>
      <w:rFonts w:ascii="Arial" w:eastAsia="Times New Roman" w:hAnsi="Arial"/>
      <w:b/>
      <w:sz w:val="24"/>
      <w:lang w:val="en-US" w:eastAsia="en-US"/>
    </w:rPr>
  </w:style>
  <w:style w:type="character" w:styleId="FootnoteReference">
    <w:name w:val="footnote reference"/>
    <w:aliases w:val="Appel note de bas de p,Appel note de bas de p + 11 pt,Italic,Footnote,Appel note de bas de p1,Appel note de bas de p2,Appel note de bas de p3,Footnote Reference/"/>
    <w:basedOn w:val="DefaultParagraphFont"/>
    <w:uiPriority w:val="99"/>
    <w:rsid w:val="00AF12CE"/>
    <w:rPr>
      <w:rFonts w:cs="Times New Roman"/>
      <w:vertAlign w:val="superscript"/>
    </w:rPr>
  </w:style>
  <w:style w:type="paragraph" w:styleId="FootnoteText">
    <w:name w:val="footnote text"/>
    <w:aliases w:val="ACMA Footnote Text,Footnote Text Char1,Footnote Text Char Char,Footnote Text Char1 Char Char,Footnote Text Char Char Char Char,Footnote Text Char1 Char Char Char Char,Footnote Text Char Char Char Char Char Char,f"/>
    <w:basedOn w:val="Normal"/>
    <w:link w:val="FootnoteTextChar2"/>
    <w:uiPriority w:val="99"/>
    <w:rsid w:val="00AF12CE"/>
    <w:pPr>
      <w:tabs>
        <w:tab w:val="left" w:pos="284"/>
      </w:tabs>
      <w:spacing w:before="0" w:after="0" w:line="240" w:lineRule="auto"/>
      <w:ind w:left="288" w:hanging="288"/>
    </w:pPr>
    <w:rPr>
      <w:sz w:val="20"/>
      <w:szCs w:val="20"/>
    </w:rPr>
  </w:style>
  <w:style w:type="character" w:customStyle="1" w:styleId="FootnoteTextChar">
    <w:name w:val="Footnote Text Char"/>
    <w:aliases w:val="ACMA Footnote Text Char,Footnote Text Char1 Char,Footnote Text Char Char Char,Footnote Text Char1 Char Char Char,Footnote Text Char Char Char Char Char,Footnote Text Char1 Char Char Char Char Char,f Char"/>
    <w:basedOn w:val="DefaultParagraphFont"/>
    <w:link w:val="FootnoteText"/>
    <w:uiPriority w:val="99"/>
    <w:semiHidden/>
    <w:locked/>
    <w:rsid w:val="00D646C2"/>
    <w:rPr>
      <w:rFonts w:ascii="Times New Roman" w:hAnsi="Times New Roman" w:cs="Times New Roman"/>
      <w:sz w:val="20"/>
      <w:szCs w:val="20"/>
      <w:lang w:eastAsia="en-US"/>
    </w:rPr>
  </w:style>
  <w:style w:type="character" w:customStyle="1" w:styleId="FootnoteTextChar2">
    <w:name w:val="Footnote Text Char2"/>
    <w:aliases w:val="ACMA Footnote Text Char1,Footnote Text Char1 Char1,Footnote Text Char Char Char1,Footnote Text Char1 Char Char Char1,Footnote Text Char Char Char Char Char1,Footnote Text Char1 Char Char Char Char Char1,f Char1"/>
    <w:basedOn w:val="DefaultParagraphFont"/>
    <w:link w:val="FootnoteText"/>
    <w:uiPriority w:val="99"/>
    <w:locked/>
    <w:rsid w:val="00AF12CE"/>
    <w:rPr>
      <w:rFonts w:ascii="Times New Roman" w:hAnsi="Times New Roman" w:cs="Times New Roman"/>
      <w:lang w:val="en-AU" w:eastAsia="en-US" w:bidi="ar-SA"/>
    </w:rPr>
  </w:style>
  <w:style w:type="character" w:styleId="Hyperlink">
    <w:name w:val="Hyperlink"/>
    <w:basedOn w:val="DefaultParagraphFont"/>
    <w:uiPriority w:val="99"/>
    <w:rsid w:val="00AF12CE"/>
    <w:rPr>
      <w:rFonts w:cs="Times New Roman"/>
      <w:color w:val="0000FF"/>
      <w:u w:val="single"/>
    </w:rPr>
  </w:style>
  <w:style w:type="paragraph" w:styleId="ListBullet">
    <w:name w:val="List Bullet"/>
    <w:basedOn w:val="Normal"/>
    <w:autoRedefine/>
    <w:uiPriority w:val="99"/>
    <w:rsid w:val="00AF12CE"/>
    <w:pPr>
      <w:numPr>
        <w:numId w:val="21"/>
      </w:numPr>
      <w:spacing w:before="0" w:after="80" w:line="360" w:lineRule="auto"/>
      <w:jc w:val="both"/>
    </w:pPr>
    <w:rPr>
      <w:lang w:eastAsia="en-AU"/>
    </w:rPr>
  </w:style>
  <w:style w:type="character" w:customStyle="1" w:styleId="ACMABodyTextChar1">
    <w:name w:val="ACMA Body Text Char1"/>
    <w:basedOn w:val="DefaultParagraphFont"/>
    <w:link w:val="ACMABodyText"/>
    <w:uiPriority w:val="99"/>
    <w:locked/>
    <w:rsid w:val="00AF12CE"/>
    <w:rPr>
      <w:rFonts w:ascii="Times New Roman" w:eastAsia="Times New Roman" w:hAnsi="Times New Roman"/>
      <w:sz w:val="24"/>
      <w:lang w:val="en-AU" w:eastAsia="en-US" w:bidi="ar-SA"/>
    </w:rPr>
  </w:style>
  <w:style w:type="paragraph" w:styleId="CommentText">
    <w:name w:val="annotation text"/>
    <w:basedOn w:val="Normal"/>
    <w:link w:val="CommentTextChar"/>
    <w:uiPriority w:val="99"/>
    <w:semiHidden/>
    <w:rsid w:val="00AF12CE"/>
    <w:pPr>
      <w:spacing w:before="0" w:after="0" w:line="240" w:lineRule="auto"/>
    </w:pPr>
    <w:rPr>
      <w:sz w:val="20"/>
      <w:szCs w:val="20"/>
      <w:lang w:val="en-US"/>
    </w:rPr>
  </w:style>
  <w:style w:type="character" w:customStyle="1" w:styleId="CommentTextChar">
    <w:name w:val="Comment Text Char"/>
    <w:basedOn w:val="DefaultParagraphFont"/>
    <w:link w:val="CommentText"/>
    <w:uiPriority w:val="99"/>
    <w:semiHidden/>
    <w:locked/>
    <w:rsid w:val="00AF12CE"/>
    <w:rPr>
      <w:rFonts w:ascii="Times New Roman" w:hAnsi="Times New Roman" w:cs="Times New Roman"/>
      <w:sz w:val="20"/>
      <w:szCs w:val="20"/>
      <w:lang w:val="en-US"/>
    </w:rPr>
  </w:style>
  <w:style w:type="character" w:styleId="CommentReference">
    <w:name w:val="annotation reference"/>
    <w:basedOn w:val="DefaultParagraphFont"/>
    <w:uiPriority w:val="99"/>
    <w:semiHidden/>
    <w:rsid w:val="00AF12CE"/>
    <w:rPr>
      <w:rFonts w:cs="Times New Roman"/>
      <w:sz w:val="16"/>
      <w:szCs w:val="16"/>
    </w:rPr>
  </w:style>
  <w:style w:type="paragraph" w:styleId="BalloonText">
    <w:name w:val="Balloon Text"/>
    <w:basedOn w:val="Normal"/>
    <w:link w:val="BalloonTextChar"/>
    <w:uiPriority w:val="99"/>
    <w:semiHidden/>
    <w:rsid w:val="00AF12C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12CE"/>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2CDE"/>
    <w:pPr>
      <w:spacing w:before="80" w:after="120"/>
    </w:pPr>
    <w:rPr>
      <w:b/>
      <w:bCs/>
      <w:lang w:val="en-AU"/>
    </w:rPr>
  </w:style>
  <w:style w:type="character" w:customStyle="1" w:styleId="CommentSubjectChar">
    <w:name w:val="Comment Subject Char"/>
    <w:basedOn w:val="CommentTextChar"/>
    <w:link w:val="CommentSubject"/>
    <w:uiPriority w:val="99"/>
    <w:semiHidden/>
    <w:locked/>
    <w:rsid w:val="000B2CDE"/>
    <w:rPr>
      <w:b/>
      <w:bCs/>
    </w:rPr>
  </w:style>
  <w:style w:type="paragraph" w:styleId="ListParagraph">
    <w:name w:val="List Paragraph"/>
    <w:basedOn w:val="Normal"/>
    <w:uiPriority w:val="99"/>
    <w:qFormat/>
    <w:rsid w:val="00DB54EB"/>
    <w:pPr>
      <w:ind w:left="720"/>
      <w:contextualSpacing/>
    </w:pPr>
  </w:style>
  <w:style w:type="character" w:styleId="FollowedHyperlink">
    <w:name w:val="FollowedHyperlink"/>
    <w:basedOn w:val="DefaultParagraphFont"/>
    <w:uiPriority w:val="99"/>
    <w:semiHidden/>
    <w:rsid w:val="00BC581E"/>
    <w:rPr>
      <w:rFonts w:cs="Times New Roman"/>
      <w:color w:val="800080"/>
      <w:u w:val="single"/>
    </w:rPr>
  </w:style>
  <w:style w:type="paragraph" w:styleId="Header">
    <w:name w:val="header"/>
    <w:basedOn w:val="Normal"/>
    <w:link w:val="HeaderChar"/>
    <w:uiPriority w:val="99"/>
    <w:semiHidden/>
    <w:rsid w:val="007E1421"/>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locked/>
    <w:rsid w:val="007E1421"/>
    <w:rPr>
      <w:rFonts w:ascii="Times New Roman" w:hAnsi="Times New Roman" w:cs="Times New Roman"/>
      <w:sz w:val="24"/>
      <w:szCs w:val="24"/>
    </w:rPr>
  </w:style>
  <w:style w:type="paragraph" w:styleId="Footer">
    <w:name w:val="footer"/>
    <w:basedOn w:val="Normal"/>
    <w:link w:val="FooterChar"/>
    <w:uiPriority w:val="99"/>
    <w:rsid w:val="007E1421"/>
    <w:pPr>
      <w:tabs>
        <w:tab w:val="center" w:pos="4513"/>
        <w:tab w:val="right" w:pos="9026"/>
      </w:tabs>
      <w:spacing w:before="0" w:after="0" w:line="240" w:lineRule="auto"/>
    </w:pPr>
  </w:style>
  <w:style w:type="character" w:customStyle="1" w:styleId="FooterChar">
    <w:name w:val="Footer Char"/>
    <w:basedOn w:val="DefaultParagraphFont"/>
    <w:link w:val="Footer"/>
    <w:uiPriority w:val="99"/>
    <w:locked/>
    <w:rsid w:val="007E1421"/>
    <w:rPr>
      <w:rFonts w:ascii="Times New Roman" w:hAnsi="Times New Roman" w:cs="Times New Roman"/>
      <w:sz w:val="24"/>
      <w:szCs w:val="24"/>
    </w:rPr>
  </w:style>
  <w:style w:type="paragraph" w:styleId="Revision">
    <w:name w:val="Revision"/>
    <w:hidden/>
    <w:uiPriority w:val="99"/>
    <w:semiHidden/>
    <w:rsid w:val="009D5210"/>
    <w:rPr>
      <w:rFonts w:ascii="Times New Roman" w:eastAsia="Times New Roman"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15511920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law.gov.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engage.acma.gov.au/digitaldividend/instruments-consultation/" TargetMode="External"/><Relationship Id="rId2" Type="http://schemas.openxmlformats.org/officeDocument/2006/relationships/hyperlink" Target="file:///C:\Users\ewoo\AppData\Local\TOWER%20Software\TRIM5\TEMP\CONTEXT.4416\www.acma.gov.au" TargetMode="External"/><Relationship Id="rId1" Type="http://schemas.openxmlformats.org/officeDocument/2006/relationships/hyperlink" Target="http://www.minister.dbcde.gov.au/media/media_releases/2010/0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D1B82-C4EC-4A56-AF3B-CA48906F1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3287</Words>
  <Characters>19359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Communications and Media Authority</Company>
  <LinksUpToDate>false</LinksUpToDate>
  <CharactersWithSpaces>22601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ewoo</dc:creator>
  <cp:lastModifiedBy>Helen Turnbull</cp:lastModifiedBy>
  <cp:revision>3</cp:revision>
  <cp:lastPrinted>2012-07-26T08:06:00Z</cp:lastPrinted>
  <dcterms:created xsi:type="dcterms:W3CDTF">2012-12-18T04:20:00Z</dcterms:created>
  <dcterms:modified xsi:type="dcterms:W3CDTF">2012-12-18T05:51:00Z</dcterms:modified>
</cp:coreProperties>
</file>