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D3" w:rsidRPr="0056029A" w:rsidRDefault="00F648D3" w:rsidP="00E818EB">
      <w:pPr>
        <w:pStyle w:val="Heading2"/>
        <w:spacing w:before="120" w:after="120" w:line="240" w:lineRule="atLeast"/>
        <w:jc w:val="center"/>
        <w:rPr>
          <w:i w:val="0"/>
          <w:sz w:val="20"/>
          <w:szCs w:val="20"/>
          <w:u w:val="single"/>
        </w:rPr>
      </w:pPr>
      <w:r w:rsidRPr="00562229">
        <w:rPr>
          <w:i w:val="0"/>
          <w:sz w:val="20"/>
          <w:szCs w:val="20"/>
          <w:u w:val="single"/>
        </w:rPr>
        <w:t>EXPLANATORY STATEMENT</w:t>
      </w:r>
    </w:p>
    <w:p w:rsidR="00F648D3" w:rsidRDefault="00F648D3" w:rsidP="00E818EB">
      <w:pPr>
        <w:spacing w:before="120" w:after="120" w:line="240" w:lineRule="atLeast"/>
        <w:jc w:val="center"/>
        <w:rPr>
          <w:rFonts w:cs="Arial"/>
          <w:b/>
          <w:color w:val="262626"/>
          <w:lang w:eastAsia="en-AU" w:bidi="ar-SA"/>
        </w:rPr>
      </w:pPr>
    </w:p>
    <w:p w:rsidR="00F648D3" w:rsidRPr="00E818EB" w:rsidRDefault="00F648D3" w:rsidP="00E818EB">
      <w:pPr>
        <w:spacing w:before="120" w:after="120" w:line="240" w:lineRule="atLeast"/>
        <w:jc w:val="center"/>
        <w:rPr>
          <w:rFonts w:cs="Arial"/>
          <w:b/>
          <w:color w:val="262626"/>
          <w:lang w:eastAsia="en-AU" w:bidi="ar-SA"/>
        </w:rPr>
      </w:pPr>
      <w:r w:rsidRPr="00E818EB">
        <w:rPr>
          <w:rFonts w:cs="Arial"/>
          <w:b/>
          <w:color w:val="262626"/>
          <w:lang w:eastAsia="en-AU" w:bidi="ar-SA"/>
        </w:rPr>
        <w:t>Issued by the Australian Communications and Media Authority</w:t>
      </w:r>
    </w:p>
    <w:p w:rsidR="00F648D3" w:rsidRDefault="00F648D3" w:rsidP="00E818EB">
      <w:pPr>
        <w:spacing w:before="120" w:after="120" w:line="240" w:lineRule="atLeast"/>
        <w:jc w:val="center"/>
        <w:rPr>
          <w:rFonts w:cs="Arial"/>
          <w:b/>
          <w:i/>
        </w:rPr>
      </w:pPr>
    </w:p>
    <w:p w:rsidR="00F648D3" w:rsidRPr="00E818EB" w:rsidRDefault="00F648D3" w:rsidP="00E818EB">
      <w:pPr>
        <w:spacing w:before="120" w:after="120" w:line="240" w:lineRule="atLeast"/>
        <w:jc w:val="center"/>
        <w:rPr>
          <w:rFonts w:cs="Arial"/>
          <w:b/>
          <w:i/>
        </w:rPr>
      </w:pPr>
      <w:r>
        <w:rPr>
          <w:rFonts w:cs="Arial"/>
          <w:b/>
          <w:i/>
        </w:rPr>
        <w:t>Radiocommunications (Unacceptable Levels of Interference – 2.5 GHz Band) Determination 2012</w:t>
      </w:r>
      <w:r w:rsidRPr="00E818EB">
        <w:rPr>
          <w:rFonts w:cs="Arial"/>
          <w:b/>
          <w:i/>
        </w:rPr>
        <w:t xml:space="preserve"> </w:t>
      </w:r>
    </w:p>
    <w:p w:rsidR="00F648D3" w:rsidRPr="00E818EB" w:rsidRDefault="00F648D3" w:rsidP="00E818EB">
      <w:pPr>
        <w:pStyle w:val="Subtitle"/>
        <w:spacing w:after="80"/>
        <w:rPr>
          <w:b/>
          <w:i/>
          <w:color w:val="262626"/>
          <w:sz w:val="20"/>
          <w:szCs w:val="20"/>
        </w:rPr>
      </w:pPr>
      <w:r w:rsidRPr="00E818EB">
        <w:rPr>
          <w:b/>
          <w:i/>
          <w:color w:val="262626"/>
          <w:sz w:val="20"/>
          <w:szCs w:val="20"/>
        </w:rPr>
        <w:t>Radiocommunications Act 1992</w:t>
      </w:r>
    </w:p>
    <w:p w:rsidR="00F648D3" w:rsidRDefault="00F648D3" w:rsidP="00E818EB">
      <w:pPr>
        <w:pStyle w:val="Heading2"/>
        <w:rPr>
          <w:i w:val="0"/>
          <w:sz w:val="20"/>
          <w:szCs w:val="20"/>
        </w:rPr>
      </w:pPr>
    </w:p>
    <w:p w:rsidR="00F648D3" w:rsidRPr="00E818EB" w:rsidRDefault="00F648D3" w:rsidP="00E818EB">
      <w:pPr>
        <w:pStyle w:val="Heading2"/>
        <w:rPr>
          <w:i w:val="0"/>
          <w:sz w:val="20"/>
          <w:szCs w:val="20"/>
        </w:rPr>
      </w:pPr>
      <w:r w:rsidRPr="00E818EB">
        <w:rPr>
          <w:i w:val="0"/>
          <w:sz w:val="20"/>
          <w:szCs w:val="20"/>
        </w:rPr>
        <w:t>Purpose</w:t>
      </w:r>
    </w:p>
    <w:p w:rsidR="00F648D3" w:rsidRPr="008A6881" w:rsidRDefault="00F648D3" w:rsidP="00E10325">
      <w:pPr>
        <w:pStyle w:val="ACMABodyText"/>
        <w:spacing w:line="360" w:lineRule="auto"/>
        <w:jc w:val="both"/>
        <w:rPr>
          <w:rFonts w:ascii="Arial" w:hAnsi="Arial" w:cs="Arial"/>
          <w:sz w:val="20"/>
        </w:rPr>
      </w:pPr>
      <w:r w:rsidRPr="007032FD">
        <w:rPr>
          <w:rFonts w:ascii="Arial" w:hAnsi="Arial" w:cs="Arial"/>
          <w:sz w:val="20"/>
        </w:rPr>
        <w:t xml:space="preserve">The purpose of </w:t>
      </w:r>
      <w:r w:rsidR="00375748">
        <w:rPr>
          <w:rFonts w:ascii="Arial" w:hAnsi="Arial" w:cs="Arial"/>
          <w:sz w:val="20"/>
        </w:rPr>
        <w:t xml:space="preserve">the </w:t>
      </w:r>
      <w:r w:rsidRPr="007032FD">
        <w:rPr>
          <w:rFonts w:ascii="Arial" w:hAnsi="Arial" w:cs="Arial"/>
          <w:i/>
          <w:sz w:val="20"/>
        </w:rPr>
        <w:t xml:space="preserve">Radiocommunications (Unacceptable </w:t>
      </w:r>
      <w:r w:rsidR="005636A4">
        <w:rPr>
          <w:rFonts w:ascii="Arial" w:hAnsi="Arial" w:cs="Arial"/>
          <w:i/>
          <w:sz w:val="20"/>
        </w:rPr>
        <w:t xml:space="preserve">Levels of </w:t>
      </w:r>
      <w:r w:rsidRPr="007032FD">
        <w:rPr>
          <w:rFonts w:ascii="Arial" w:hAnsi="Arial" w:cs="Arial"/>
          <w:i/>
          <w:sz w:val="20"/>
        </w:rPr>
        <w:t>Interference – 2.5 GHz Band) Determination 2012</w:t>
      </w:r>
      <w:r>
        <w:rPr>
          <w:rFonts w:ascii="Arial" w:hAnsi="Arial" w:cs="Arial"/>
          <w:i/>
          <w:sz w:val="20"/>
        </w:rPr>
        <w:t xml:space="preserve"> </w:t>
      </w:r>
      <w:r w:rsidRPr="00E10325">
        <w:rPr>
          <w:rFonts w:ascii="Arial" w:hAnsi="Arial" w:cs="Arial"/>
          <w:sz w:val="20"/>
        </w:rPr>
        <w:t>(</w:t>
      </w:r>
      <w:r w:rsidRPr="004A172C">
        <w:rPr>
          <w:rFonts w:ascii="Arial" w:hAnsi="Arial" w:cs="Arial"/>
          <w:sz w:val="20"/>
        </w:rPr>
        <w:t xml:space="preserve">the </w:t>
      </w:r>
      <w:r w:rsidRPr="00E10325">
        <w:rPr>
          <w:rFonts w:ascii="Arial" w:hAnsi="Arial" w:cs="Arial"/>
          <w:b/>
          <w:sz w:val="20"/>
        </w:rPr>
        <w:t>Determination</w:t>
      </w:r>
      <w:r>
        <w:rPr>
          <w:rFonts w:ascii="Arial" w:hAnsi="Arial" w:cs="Arial"/>
          <w:sz w:val="20"/>
        </w:rPr>
        <w:t>)</w:t>
      </w:r>
      <w:r w:rsidRPr="004A172C">
        <w:rPr>
          <w:rFonts w:ascii="Arial" w:hAnsi="Arial" w:cs="Arial"/>
          <w:sz w:val="20"/>
        </w:rPr>
        <w:t xml:space="preserve"> </w:t>
      </w:r>
      <w:r w:rsidRPr="008A6881">
        <w:rPr>
          <w:rFonts w:ascii="Arial" w:hAnsi="Arial" w:cs="Arial"/>
          <w:sz w:val="20"/>
        </w:rPr>
        <w:t>is to set out what is an unacceptable level of interference caused by a transmitter operating under a spectrum licence issued in the 2.</w:t>
      </w:r>
      <w:r>
        <w:rPr>
          <w:rFonts w:ascii="Arial" w:hAnsi="Arial" w:cs="Arial"/>
          <w:sz w:val="20"/>
        </w:rPr>
        <w:t>5</w:t>
      </w:r>
      <w:r w:rsidRPr="008A6881">
        <w:rPr>
          <w:rFonts w:ascii="Arial" w:hAnsi="Arial" w:cs="Arial"/>
          <w:sz w:val="20"/>
        </w:rPr>
        <w:t xml:space="preserve"> GHz band.  The Determination aims to ensure that high levels of emission from transmitters operated under a </w:t>
      </w:r>
      <w:r>
        <w:rPr>
          <w:rFonts w:ascii="Arial" w:hAnsi="Arial" w:cs="Arial"/>
          <w:sz w:val="20"/>
        </w:rPr>
        <w:t xml:space="preserve">spectrum </w:t>
      </w:r>
      <w:r w:rsidRPr="008A6881">
        <w:rPr>
          <w:rFonts w:ascii="Arial" w:hAnsi="Arial" w:cs="Arial"/>
          <w:sz w:val="20"/>
        </w:rPr>
        <w:t>licence are kept within the geographic area and frequency band of the licence.</w:t>
      </w:r>
    </w:p>
    <w:p w:rsidR="00F648D3" w:rsidRPr="00E818EB" w:rsidRDefault="00F648D3" w:rsidP="00E10325">
      <w:pPr>
        <w:pStyle w:val="Heading2"/>
        <w:spacing w:line="360" w:lineRule="auto"/>
        <w:rPr>
          <w:i w:val="0"/>
          <w:sz w:val="20"/>
          <w:szCs w:val="20"/>
        </w:rPr>
      </w:pPr>
      <w:r w:rsidRPr="00E818EB">
        <w:rPr>
          <w:i w:val="0"/>
          <w:sz w:val="20"/>
          <w:szCs w:val="20"/>
        </w:rPr>
        <w:t>Legislative Provisions</w:t>
      </w:r>
    </w:p>
    <w:p w:rsidR="00F648D3" w:rsidRDefault="00F648D3" w:rsidP="00E10325">
      <w:pPr>
        <w:spacing w:line="360" w:lineRule="auto"/>
        <w:jc w:val="both"/>
        <w:rPr>
          <w:rFonts w:cs="Arial"/>
        </w:rPr>
      </w:pPr>
      <w:r w:rsidRPr="00E818EB">
        <w:rPr>
          <w:rFonts w:cs="Arial"/>
        </w:rPr>
        <w:t xml:space="preserve">The </w:t>
      </w:r>
      <w:r>
        <w:rPr>
          <w:rFonts w:cs="Arial"/>
        </w:rPr>
        <w:t>Determination is made under sub</w:t>
      </w:r>
      <w:r w:rsidRPr="00E818EB">
        <w:rPr>
          <w:rFonts w:cs="Arial"/>
        </w:rPr>
        <w:t xml:space="preserve">section </w:t>
      </w:r>
      <w:r>
        <w:rPr>
          <w:rFonts w:cs="Arial"/>
        </w:rPr>
        <w:t>145(4)</w:t>
      </w:r>
      <w:r w:rsidRPr="00E818EB">
        <w:rPr>
          <w:rFonts w:cs="Arial"/>
        </w:rPr>
        <w:t xml:space="preserve"> of the </w:t>
      </w:r>
      <w:r>
        <w:rPr>
          <w:rFonts w:cs="Arial"/>
          <w:i/>
        </w:rPr>
        <w:t xml:space="preserve">Radiocommunications </w:t>
      </w:r>
      <w:r w:rsidRPr="00E818EB">
        <w:rPr>
          <w:rFonts w:cs="Arial"/>
          <w:i/>
        </w:rPr>
        <w:t>Act 19</w:t>
      </w:r>
      <w:r>
        <w:rPr>
          <w:rFonts w:cs="Arial"/>
          <w:i/>
        </w:rPr>
        <w:t>92</w:t>
      </w:r>
      <w:r w:rsidRPr="00E818EB">
        <w:rPr>
          <w:rFonts w:cs="Arial"/>
        </w:rPr>
        <w:t xml:space="preserve"> </w:t>
      </w:r>
      <w:r>
        <w:rPr>
          <w:rFonts w:cs="Arial"/>
        </w:rPr>
        <w:t xml:space="preserve">(the </w:t>
      </w:r>
      <w:r w:rsidRPr="00602606">
        <w:rPr>
          <w:rFonts w:cs="Arial"/>
          <w:b/>
        </w:rPr>
        <w:t>Act</w:t>
      </w:r>
      <w:r>
        <w:rPr>
          <w:rFonts w:cs="Arial"/>
        </w:rPr>
        <w:t xml:space="preserve">), </w:t>
      </w:r>
      <w:r w:rsidRPr="00E818EB">
        <w:rPr>
          <w:rFonts w:cs="Arial"/>
        </w:rPr>
        <w:t>which provides that the Australian Communications and Media Authority (</w:t>
      </w:r>
      <w:r>
        <w:rPr>
          <w:rFonts w:cs="Arial"/>
        </w:rPr>
        <w:t xml:space="preserve">the </w:t>
      </w:r>
      <w:r w:rsidRPr="00DE217A">
        <w:rPr>
          <w:rFonts w:cs="Arial"/>
          <w:b/>
        </w:rPr>
        <w:t>ACMA</w:t>
      </w:r>
      <w:r w:rsidRPr="00E818EB">
        <w:rPr>
          <w:rFonts w:cs="Arial"/>
        </w:rPr>
        <w:t>) may</w:t>
      </w:r>
      <w:r>
        <w:rPr>
          <w:rFonts w:cs="Arial"/>
        </w:rPr>
        <w:t xml:space="preserve">, by written instrument, determine what are unacceptable levels of interference for the purposes of deciding whether to refuse to register the details of a </w:t>
      </w:r>
      <w:proofErr w:type="spellStart"/>
      <w:r>
        <w:rPr>
          <w:rFonts w:cs="Arial"/>
        </w:rPr>
        <w:t>radiocommunications</w:t>
      </w:r>
      <w:proofErr w:type="spellEnd"/>
      <w:r>
        <w:rPr>
          <w:rFonts w:cs="Arial"/>
        </w:rPr>
        <w:t xml:space="preserve"> transmitter for operation under </w:t>
      </w:r>
      <w:r w:rsidR="00375748">
        <w:rPr>
          <w:rFonts w:cs="Arial"/>
        </w:rPr>
        <w:t xml:space="preserve">a </w:t>
      </w:r>
      <w:r>
        <w:rPr>
          <w:rFonts w:cs="Arial"/>
        </w:rPr>
        <w:t>spectrum licence in the Register of Radiocommunications Licences.</w:t>
      </w:r>
    </w:p>
    <w:p w:rsidR="00F648D3" w:rsidRDefault="00F648D3" w:rsidP="00E10325">
      <w:pPr>
        <w:spacing w:line="360" w:lineRule="auto"/>
        <w:jc w:val="both"/>
        <w:rPr>
          <w:rFonts w:cs="Arial"/>
        </w:rPr>
      </w:pPr>
    </w:p>
    <w:p w:rsidR="0083299D" w:rsidRDefault="00F648D3" w:rsidP="0083299D">
      <w:pPr>
        <w:spacing w:line="360" w:lineRule="auto"/>
        <w:jc w:val="both"/>
        <w:rPr>
          <w:rFonts w:cs="Arial"/>
        </w:rPr>
      </w:pPr>
      <w:r w:rsidRPr="008A6881">
        <w:rPr>
          <w:rFonts w:cs="Arial"/>
        </w:rPr>
        <w:t xml:space="preserve">Section 69 of the Act requires each spectrum licence to include a condition which specifies that a </w:t>
      </w:r>
      <w:proofErr w:type="spellStart"/>
      <w:r w:rsidRPr="008A6881">
        <w:rPr>
          <w:rFonts w:cs="Arial"/>
        </w:rPr>
        <w:t>radiocommunications</w:t>
      </w:r>
      <w:proofErr w:type="spellEnd"/>
      <w:r w:rsidRPr="008A6881">
        <w:rPr>
          <w:rFonts w:cs="Arial"/>
        </w:rPr>
        <w:t xml:space="preserve"> transmitter must not be operated under the licence unless the requirements of</w:t>
      </w:r>
      <w:r>
        <w:rPr>
          <w:rFonts w:cs="Arial"/>
        </w:rPr>
        <w:t xml:space="preserve"> the</w:t>
      </w:r>
      <w:r w:rsidRPr="008A6881">
        <w:rPr>
          <w:rFonts w:cs="Arial"/>
        </w:rPr>
        <w:t xml:space="preserve"> ACMA under Part 3.5 of the Act for registration of transmitters have been met. Section 69 also provides that the condition may exempt </w:t>
      </w:r>
      <w:proofErr w:type="spellStart"/>
      <w:r w:rsidRPr="008A6881">
        <w:rPr>
          <w:rFonts w:cs="Arial"/>
        </w:rPr>
        <w:t>radiocommunications</w:t>
      </w:r>
      <w:proofErr w:type="spellEnd"/>
      <w:r w:rsidRPr="008A6881">
        <w:rPr>
          <w:rFonts w:cs="Arial"/>
        </w:rPr>
        <w:t xml:space="preserve"> transmitters of particular kinds from having to meet those registration requirements. </w:t>
      </w:r>
    </w:p>
    <w:p w:rsidR="00F648D3" w:rsidRPr="00732CBF" w:rsidRDefault="00F648D3" w:rsidP="00E10325">
      <w:pPr>
        <w:pStyle w:val="Heading2"/>
        <w:spacing w:line="360" w:lineRule="auto"/>
        <w:rPr>
          <w:i w:val="0"/>
          <w:sz w:val="20"/>
          <w:szCs w:val="20"/>
        </w:rPr>
      </w:pPr>
      <w:r w:rsidRPr="00732CBF">
        <w:rPr>
          <w:i w:val="0"/>
          <w:sz w:val="20"/>
          <w:szCs w:val="20"/>
        </w:rPr>
        <w:t>Background</w:t>
      </w:r>
    </w:p>
    <w:p w:rsidR="00F648D3" w:rsidRDefault="00F648D3" w:rsidP="00A227F1">
      <w:pPr>
        <w:spacing w:after="80" w:line="360" w:lineRule="auto"/>
        <w:jc w:val="both"/>
        <w:rPr>
          <w:rFonts w:cs="Arial"/>
        </w:rPr>
      </w:pPr>
      <w:r>
        <w:rPr>
          <w:rFonts w:cs="Arial"/>
        </w:rPr>
        <w:t>T</w:t>
      </w:r>
      <w:r w:rsidRPr="007170A6">
        <w:rPr>
          <w:rFonts w:cs="Arial"/>
        </w:rPr>
        <w:t>he 2.5 GHz band is currently used primarily by free to air broadcasters</w:t>
      </w:r>
      <w:r>
        <w:rPr>
          <w:rFonts w:cs="Arial"/>
        </w:rPr>
        <w:t xml:space="preserve"> and the Australian Broadcasting Corporation</w:t>
      </w:r>
      <w:r w:rsidRPr="007170A6">
        <w:rPr>
          <w:rFonts w:cs="Arial"/>
        </w:rPr>
        <w:t xml:space="preserve"> for </w:t>
      </w:r>
      <w:r w:rsidRPr="00963F61">
        <w:rPr>
          <w:rFonts w:cs="Arial"/>
        </w:rPr>
        <w:t>television outside broadcasting</w:t>
      </w:r>
      <w:r>
        <w:rPr>
          <w:rFonts w:cs="Arial"/>
        </w:rPr>
        <w:t xml:space="preserve"> (</w:t>
      </w:r>
      <w:r w:rsidRPr="00E82C33">
        <w:rPr>
          <w:rFonts w:cs="Arial"/>
          <w:b/>
        </w:rPr>
        <w:t>T</w:t>
      </w:r>
      <w:r>
        <w:rPr>
          <w:rFonts w:cs="Arial"/>
          <w:b/>
        </w:rPr>
        <w:t>V</w:t>
      </w:r>
      <w:r w:rsidRPr="00E82C33">
        <w:rPr>
          <w:rFonts w:cs="Arial"/>
          <w:b/>
        </w:rPr>
        <w:t>OB</w:t>
      </w:r>
      <w:r>
        <w:rPr>
          <w:rFonts w:cs="Arial"/>
        </w:rPr>
        <w:t>)</w:t>
      </w:r>
      <w:r w:rsidRPr="00963F61">
        <w:rPr>
          <w:rFonts w:cs="Arial"/>
        </w:rPr>
        <w:t xml:space="preserve">, including </w:t>
      </w:r>
      <w:r>
        <w:rPr>
          <w:rFonts w:cs="Arial"/>
        </w:rPr>
        <w:t>electronic news-gathering (</w:t>
      </w:r>
      <w:r w:rsidRPr="00E82C33">
        <w:rPr>
          <w:rFonts w:cs="Arial"/>
          <w:b/>
        </w:rPr>
        <w:t>ENG</w:t>
      </w:r>
      <w:r>
        <w:rPr>
          <w:rFonts w:cs="Arial"/>
        </w:rPr>
        <w:t>)</w:t>
      </w:r>
      <w:r w:rsidRPr="007170A6">
        <w:rPr>
          <w:rFonts w:cs="Arial"/>
        </w:rPr>
        <w:t>. However, broadcasters have faced uncertainty about long-term spectrum arrangements since 2000, when the band was identified internationally for broadband wireless access services</w:t>
      </w:r>
      <w:r>
        <w:rPr>
          <w:rFonts w:cs="Arial"/>
        </w:rPr>
        <w:t xml:space="preserve"> (</w:t>
      </w:r>
      <w:r w:rsidRPr="00FC0DE1">
        <w:rPr>
          <w:rFonts w:cs="Arial"/>
          <w:b/>
        </w:rPr>
        <w:t>WAS</w:t>
      </w:r>
      <w:r>
        <w:rPr>
          <w:rFonts w:cs="Arial"/>
        </w:rPr>
        <w:t>)</w:t>
      </w:r>
      <w:r w:rsidRPr="007170A6">
        <w:rPr>
          <w:rFonts w:cs="Arial"/>
        </w:rPr>
        <w:t>.</w:t>
      </w:r>
    </w:p>
    <w:p w:rsidR="00F648D3" w:rsidRPr="007B429E" w:rsidRDefault="00F648D3" w:rsidP="00E10325">
      <w:pPr>
        <w:spacing w:after="80" w:line="360" w:lineRule="auto"/>
        <w:jc w:val="both"/>
        <w:rPr>
          <w:rFonts w:cs="Arial"/>
        </w:rPr>
      </w:pPr>
      <w:r w:rsidRPr="007B429E">
        <w:rPr>
          <w:rFonts w:cs="Arial"/>
        </w:rPr>
        <w:t xml:space="preserve">In January 2010, the ACMA </w:t>
      </w:r>
      <w:r>
        <w:rPr>
          <w:rFonts w:cs="Arial"/>
        </w:rPr>
        <w:t>commenced a review of the 2500-2690 MHz frequency band to</w:t>
      </w:r>
      <w:r w:rsidRPr="007B429E">
        <w:rPr>
          <w:rFonts w:cs="Arial"/>
        </w:rPr>
        <w:t>:</w:t>
      </w:r>
    </w:p>
    <w:p w:rsidR="00F648D3" w:rsidRDefault="00F648D3">
      <w:pPr>
        <w:pStyle w:val="ACMABodyText"/>
        <w:numPr>
          <w:ilvl w:val="0"/>
          <w:numId w:val="48"/>
        </w:numPr>
        <w:spacing w:line="360" w:lineRule="auto"/>
        <w:rPr>
          <w:rFonts w:ascii="Arial" w:hAnsi="Arial"/>
          <w:sz w:val="20"/>
        </w:rPr>
      </w:pPr>
      <w:bookmarkStart w:id="0" w:name="OLE_LINK9"/>
      <w:bookmarkStart w:id="1" w:name="OLE_LINK12"/>
      <w:r w:rsidRPr="00820A4F">
        <w:rPr>
          <w:rFonts w:ascii="Arial" w:hAnsi="Arial"/>
          <w:sz w:val="20"/>
        </w:rPr>
        <w:t>replan and allocate the 2.5 GHz band to maximise the overall benefit derived from that spectrum;</w:t>
      </w:r>
      <w:r>
        <w:rPr>
          <w:rFonts w:ascii="Arial" w:hAnsi="Arial"/>
          <w:sz w:val="20"/>
        </w:rPr>
        <w:t xml:space="preserve"> and</w:t>
      </w:r>
    </w:p>
    <w:p w:rsidR="00F648D3" w:rsidRDefault="00F648D3">
      <w:pPr>
        <w:pStyle w:val="ACMABodyText"/>
        <w:numPr>
          <w:ilvl w:val="0"/>
          <w:numId w:val="48"/>
        </w:numPr>
        <w:spacing w:line="360" w:lineRule="auto"/>
        <w:rPr>
          <w:rFonts w:ascii="Arial" w:hAnsi="Arial"/>
          <w:sz w:val="20"/>
        </w:rPr>
      </w:pPr>
      <w:r w:rsidRPr="00820A4F">
        <w:rPr>
          <w:rFonts w:ascii="Arial" w:hAnsi="Arial"/>
          <w:sz w:val="20"/>
        </w:rPr>
        <w:lastRenderedPageBreak/>
        <w:t>provi</w:t>
      </w:r>
      <w:r w:rsidRPr="00602606">
        <w:rPr>
          <w:rFonts w:ascii="Arial" w:hAnsi="Arial"/>
          <w:sz w:val="20"/>
        </w:rPr>
        <w:t xml:space="preserve">de  incumbent licensees with greater long-term certainty  </w:t>
      </w:r>
      <w:r w:rsidRPr="00E82C33">
        <w:rPr>
          <w:rFonts w:ascii="Arial" w:hAnsi="Arial"/>
          <w:sz w:val="20"/>
        </w:rPr>
        <w:t>in light of strong emerging demand for the band to be used for competing purposes—for example, for</w:t>
      </w:r>
      <w:r>
        <w:rPr>
          <w:rFonts w:ascii="Arial" w:hAnsi="Arial"/>
          <w:sz w:val="20"/>
        </w:rPr>
        <w:t xml:space="preserve"> WAS</w:t>
      </w:r>
      <w:r w:rsidRPr="00820A4F">
        <w:rPr>
          <w:rFonts w:ascii="Arial" w:hAnsi="Arial"/>
          <w:sz w:val="20"/>
        </w:rPr>
        <w:t>.</w:t>
      </w:r>
    </w:p>
    <w:bookmarkEnd w:id="0"/>
    <w:bookmarkEnd w:id="1"/>
    <w:p w:rsidR="00F648D3" w:rsidRPr="007B429E" w:rsidRDefault="00F648D3" w:rsidP="00E10325">
      <w:pPr>
        <w:spacing w:after="80" w:line="360" w:lineRule="auto"/>
        <w:jc w:val="both"/>
        <w:rPr>
          <w:rFonts w:cs="Arial"/>
        </w:rPr>
      </w:pPr>
      <w:r>
        <w:rPr>
          <w:rFonts w:cs="Arial"/>
        </w:rPr>
        <w:t>I</w:t>
      </w:r>
      <w:r w:rsidRPr="004F4310">
        <w:rPr>
          <w:rFonts w:cs="Arial"/>
        </w:rPr>
        <w:t xml:space="preserve">n January 2010, the ACMA released a discussion paper, </w:t>
      </w:r>
      <w:r>
        <w:rPr>
          <w:rFonts w:cs="Arial"/>
        </w:rPr>
        <w:t>‘</w:t>
      </w:r>
      <w:r w:rsidRPr="004F4310">
        <w:rPr>
          <w:rFonts w:cs="Arial"/>
          <w:i/>
        </w:rPr>
        <w:t>Review of the 2.5 GHz band and long-term arrangements for ENG</w:t>
      </w:r>
      <w:r w:rsidR="00375748">
        <w:rPr>
          <w:rFonts w:cs="Arial"/>
          <w:i/>
        </w:rPr>
        <w:t>.</w:t>
      </w:r>
      <w:r>
        <w:rPr>
          <w:rFonts w:cs="Arial"/>
          <w:i/>
        </w:rPr>
        <w:t>’</w:t>
      </w:r>
      <w:r>
        <w:rPr>
          <w:rStyle w:val="FootnoteReference"/>
          <w:rFonts w:cs="Arial"/>
          <w:i/>
        </w:rPr>
        <w:footnoteReference w:id="1"/>
      </w:r>
      <w:r>
        <w:rPr>
          <w:rFonts w:cs="Arial"/>
          <w:i/>
        </w:rPr>
        <w:t xml:space="preserve"> </w:t>
      </w:r>
      <w:proofErr w:type="gramStart"/>
      <w:r w:rsidRPr="007B429E">
        <w:rPr>
          <w:rFonts w:cs="Arial"/>
        </w:rPr>
        <w:t>The</w:t>
      </w:r>
      <w:proofErr w:type="gramEnd"/>
      <w:r w:rsidRPr="007B429E">
        <w:rPr>
          <w:rFonts w:cs="Arial"/>
        </w:rPr>
        <w:t xml:space="preserve"> paper indicated </w:t>
      </w:r>
      <w:r>
        <w:rPr>
          <w:rFonts w:cs="Arial"/>
        </w:rPr>
        <w:t xml:space="preserve">that </w:t>
      </w:r>
      <w:r w:rsidRPr="007B429E">
        <w:rPr>
          <w:rFonts w:cs="Arial"/>
        </w:rPr>
        <w:t xml:space="preserve">the ACMA </w:t>
      </w:r>
      <w:r>
        <w:rPr>
          <w:rFonts w:cs="Arial"/>
        </w:rPr>
        <w:t xml:space="preserve">had formed a preliminary view on its </w:t>
      </w:r>
      <w:r w:rsidRPr="007B429E">
        <w:rPr>
          <w:rFonts w:cs="Arial"/>
        </w:rPr>
        <w:t>preferred approach for the band, which was broadly:</w:t>
      </w:r>
    </w:p>
    <w:p w:rsidR="00F648D3" w:rsidRDefault="00F648D3">
      <w:pPr>
        <w:pStyle w:val="ListBullet"/>
        <w:numPr>
          <w:ilvl w:val="0"/>
          <w:numId w:val="49"/>
        </w:numPr>
        <w:spacing w:after="80" w:line="360" w:lineRule="auto"/>
        <w:jc w:val="both"/>
        <w:rPr>
          <w:rFonts w:ascii="Arial" w:hAnsi="Arial" w:cs="Arial"/>
          <w:sz w:val="20"/>
          <w:szCs w:val="20"/>
        </w:rPr>
      </w:pPr>
      <w:r w:rsidRPr="007B429E">
        <w:rPr>
          <w:rFonts w:ascii="Arial" w:hAnsi="Arial" w:cs="Arial"/>
          <w:sz w:val="20"/>
          <w:szCs w:val="20"/>
        </w:rPr>
        <w:t xml:space="preserve">reallocation of </w:t>
      </w:r>
      <w:r>
        <w:rPr>
          <w:rFonts w:ascii="Arial" w:hAnsi="Arial" w:cs="Arial"/>
          <w:sz w:val="20"/>
          <w:szCs w:val="20"/>
        </w:rPr>
        <w:t xml:space="preserve">the </w:t>
      </w:r>
      <w:r w:rsidRPr="007B429E">
        <w:rPr>
          <w:rFonts w:ascii="Arial" w:hAnsi="Arial" w:cs="Arial"/>
          <w:sz w:val="20"/>
          <w:szCs w:val="20"/>
        </w:rPr>
        <w:t xml:space="preserve">2500–2570 MHz and 2620–2690 MHz </w:t>
      </w:r>
      <w:r>
        <w:rPr>
          <w:rFonts w:ascii="Arial" w:hAnsi="Arial" w:cs="Arial"/>
          <w:sz w:val="20"/>
          <w:szCs w:val="20"/>
        </w:rPr>
        <w:t>bands</w:t>
      </w:r>
      <w:r w:rsidRPr="007B429E">
        <w:rPr>
          <w:rFonts w:ascii="Arial" w:hAnsi="Arial" w:cs="Arial"/>
          <w:sz w:val="20"/>
          <w:szCs w:val="20"/>
        </w:rPr>
        <w:t xml:space="preserve"> </w:t>
      </w:r>
      <w:r>
        <w:rPr>
          <w:rFonts w:ascii="Arial" w:hAnsi="Arial" w:cs="Arial"/>
          <w:sz w:val="20"/>
          <w:szCs w:val="20"/>
        </w:rPr>
        <w:t>via</w:t>
      </w:r>
      <w:r w:rsidRPr="007B429E">
        <w:rPr>
          <w:rFonts w:ascii="Arial" w:hAnsi="Arial" w:cs="Arial"/>
          <w:sz w:val="20"/>
          <w:szCs w:val="20"/>
        </w:rPr>
        <w:t xml:space="preserve"> spectrum licen</w:t>
      </w:r>
      <w:r>
        <w:rPr>
          <w:rFonts w:ascii="Arial" w:hAnsi="Arial" w:cs="Arial"/>
          <w:sz w:val="20"/>
          <w:szCs w:val="20"/>
        </w:rPr>
        <w:t>sing</w:t>
      </w:r>
      <w:r w:rsidRPr="007B429E">
        <w:rPr>
          <w:rFonts w:ascii="Arial" w:hAnsi="Arial" w:cs="Arial"/>
          <w:sz w:val="20"/>
          <w:szCs w:val="20"/>
        </w:rPr>
        <w:t xml:space="preserve">, with technical frameworks that are technology flexible but </w:t>
      </w:r>
      <w:r>
        <w:rPr>
          <w:rFonts w:ascii="Arial" w:hAnsi="Arial" w:cs="Arial"/>
          <w:sz w:val="20"/>
          <w:szCs w:val="20"/>
        </w:rPr>
        <w:t xml:space="preserve">are </w:t>
      </w:r>
      <w:r w:rsidRPr="007B429E">
        <w:rPr>
          <w:rFonts w:ascii="Arial" w:hAnsi="Arial" w:cs="Arial"/>
          <w:sz w:val="20"/>
          <w:szCs w:val="20"/>
        </w:rPr>
        <w:t>optimised for</w:t>
      </w:r>
      <w:r w:rsidR="0099303E">
        <w:rPr>
          <w:rFonts w:ascii="Arial" w:hAnsi="Arial" w:cs="Arial"/>
          <w:sz w:val="20"/>
          <w:szCs w:val="20"/>
        </w:rPr>
        <w:t xml:space="preserve"> WAS</w:t>
      </w:r>
      <w:r>
        <w:rPr>
          <w:rFonts w:ascii="Arial" w:hAnsi="Arial" w:cs="Arial"/>
          <w:sz w:val="20"/>
          <w:szCs w:val="20"/>
        </w:rPr>
        <w:t>;</w:t>
      </w:r>
    </w:p>
    <w:p w:rsidR="00F648D3" w:rsidRDefault="00F648D3">
      <w:pPr>
        <w:pStyle w:val="ListBullet"/>
        <w:numPr>
          <w:ilvl w:val="0"/>
          <w:numId w:val="49"/>
        </w:numPr>
        <w:spacing w:after="80" w:line="360" w:lineRule="auto"/>
        <w:jc w:val="both"/>
        <w:rPr>
          <w:rFonts w:ascii="Arial" w:hAnsi="Arial" w:cs="Arial"/>
          <w:sz w:val="20"/>
          <w:szCs w:val="20"/>
        </w:rPr>
      </w:pPr>
      <w:r w:rsidRPr="007B429E">
        <w:rPr>
          <w:rFonts w:ascii="Arial" w:hAnsi="Arial" w:cs="Arial"/>
          <w:sz w:val="20"/>
          <w:szCs w:val="20"/>
        </w:rPr>
        <w:t>conversion of ENG apparatus licences to spectrum licences in the 2570–2620 MHz</w:t>
      </w:r>
      <w:r>
        <w:rPr>
          <w:rFonts w:ascii="Arial" w:hAnsi="Arial" w:cs="Arial"/>
          <w:sz w:val="20"/>
          <w:szCs w:val="20"/>
        </w:rPr>
        <w:t xml:space="preserve"> band; and</w:t>
      </w:r>
    </w:p>
    <w:p w:rsidR="00F648D3" w:rsidRDefault="00F648D3">
      <w:pPr>
        <w:pStyle w:val="ListBullet"/>
        <w:numPr>
          <w:ilvl w:val="0"/>
          <w:numId w:val="49"/>
        </w:numPr>
        <w:spacing w:after="80" w:line="360" w:lineRule="auto"/>
        <w:jc w:val="both"/>
        <w:rPr>
          <w:rFonts w:ascii="Arial" w:hAnsi="Arial" w:cs="Arial"/>
          <w:sz w:val="20"/>
          <w:szCs w:val="20"/>
        </w:rPr>
      </w:pPr>
      <w:proofErr w:type="gramStart"/>
      <w:r w:rsidRPr="007B429E">
        <w:rPr>
          <w:rFonts w:ascii="Arial" w:hAnsi="Arial" w:cs="Arial"/>
          <w:sz w:val="20"/>
          <w:szCs w:val="20"/>
        </w:rPr>
        <w:t>facilitation</w:t>
      </w:r>
      <w:proofErr w:type="gramEnd"/>
      <w:r w:rsidRPr="007B429E">
        <w:rPr>
          <w:rFonts w:ascii="Arial" w:hAnsi="Arial" w:cs="Arial"/>
          <w:sz w:val="20"/>
          <w:szCs w:val="20"/>
        </w:rPr>
        <w:t xml:space="preserve"> of ENG</w:t>
      </w:r>
      <w:r>
        <w:rPr>
          <w:rFonts w:ascii="Arial" w:hAnsi="Arial" w:cs="Arial"/>
          <w:sz w:val="20"/>
          <w:szCs w:val="20"/>
        </w:rPr>
        <w:t>/TVOB</w:t>
      </w:r>
      <w:r w:rsidRPr="007B429E">
        <w:rPr>
          <w:rFonts w:ascii="Arial" w:hAnsi="Arial" w:cs="Arial"/>
          <w:sz w:val="20"/>
          <w:szCs w:val="20"/>
        </w:rPr>
        <w:t xml:space="preserve"> access to identified alternative bands</w:t>
      </w:r>
      <w:r>
        <w:rPr>
          <w:rFonts w:ascii="Arial" w:hAnsi="Arial" w:cs="Arial"/>
          <w:sz w:val="20"/>
          <w:szCs w:val="20"/>
        </w:rPr>
        <w:t>.</w:t>
      </w:r>
    </w:p>
    <w:p w:rsidR="00F648D3" w:rsidRDefault="00F648D3">
      <w:pPr>
        <w:spacing w:before="240" w:after="240" w:line="360" w:lineRule="auto"/>
        <w:jc w:val="both"/>
        <w:rPr>
          <w:rFonts w:cs="Arial"/>
        </w:rPr>
      </w:pPr>
      <w:r w:rsidRPr="0059377F">
        <w:rPr>
          <w:rFonts w:cs="Arial"/>
        </w:rPr>
        <w:t>Following consideration of responses received to its January discussion paper</w:t>
      </w:r>
      <w:r>
        <w:rPr>
          <w:rFonts w:cs="Arial"/>
        </w:rPr>
        <w:t>, in</w:t>
      </w:r>
      <w:r w:rsidRPr="00422AA3">
        <w:rPr>
          <w:rFonts w:cs="Arial"/>
        </w:rPr>
        <w:t xml:space="preserve"> October 2010 the ACMA announced</w:t>
      </w:r>
      <w:r w:rsidRPr="004F4310" w:rsidDel="00286D4B">
        <w:rPr>
          <w:rStyle w:val="FootnoteReference"/>
          <w:rFonts w:cs="Arial"/>
        </w:rPr>
        <w:t xml:space="preserve"> </w:t>
      </w:r>
      <w:r w:rsidRPr="006C6B27">
        <w:rPr>
          <w:rFonts w:cs="Arial"/>
        </w:rPr>
        <w:t xml:space="preserve"> its intention </w:t>
      </w:r>
      <w:r>
        <w:rPr>
          <w:rFonts w:cs="Arial"/>
        </w:rPr>
        <w:t xml:space="preserve">to give existing ENG services </w:t>
      </w:r>
      <w:r w:rsidRPr="00EA4C4C">
        <w:rPr>
          <w:rFonts w:cs="Arial"/>
        </w:rPr>
        <w:t xml:space="preserve">access to the central 2570-2620 MHz </w:t>
      </w:r>
      <w:r w:rsidR="00ED7FB4">
        <w:rPr>
          <w:rFonts w:cs="Arial"/>
        </w:rPr>
        <w:t xml:space="preserve">band </w:t>
      </w:r>
      <w:r>
        <w:rPr>
          <w:rFonts w:cs="Arial"/>
        </w:rPr>
        <w:t xml:space="preserve">(the </w:t>
      </w:r>
      <w:r w:rsidRPr="00532ABF">
        <w:rPr>
          <w:rFonts w:cs="Arial"/>
          <w:b/>
        </w:rPr>
        <w:t>mid-band gap</w:t>
      </w:r>
      <w:r>
        <w:rPr>
          <w:rFonts w:cs="Arial"/>
        </w:rPr>
        <w:t xml:space="preserve">) </w:t>
      </w:r>
      <w:r w:rsidRPr="00EA4C4C">
        <w:rPr>
          <w:rFonts w:cs="Arial"/>
        </w:rPr>
        <w:t xml:space="preserve">and </w:t>
      </w:r>
      <w:r>
        <w:rPr>
          <w:rFonts w:cs="Arial"/>
        </w:rPr>
        <w:t xml:space="preserve">to make </w:t>
      </w:r>
      <w:r w:rsidRPr="00EA4C4C">
        <w:rPr>
          <w:rFonts w:cs="Arial"/>
        </w:rPr>
        <w:t xml:space="preserve">the </w:t>
      </w:r>
      <w:r>
        <w:rPr>
          <w:rFonts w:cs="Arial"/>
        </w:rPr>
        <w:t xml:space="preserve">2500-2570 MHz and the 2620-2690 MHz bands (together the </w:t>
      </w:r>
      <w:r w:rsidRPr="00532ABF">
        <w:rPr>
          <w:rFonts w:cs="Arial"/>
          <w:b/>
        </w:rPr>
        <w:t>2.5 GHz band</w:t>
      </w:r>
      <w:r>
        <w:rPr>
          <w:rFonts w:cs="Arial"/>
        </w:rPr>
        <w:t xml:space="preserve">) available </w:t>
      </w:r>
      <w:r w:rsidRPr="00EA4C4C">
        <w:rPr>
          <w:rFonts w:cs="Arial"/>
        </w:rPr>
        <w:t xml:space="preserve">in Australia to support </w:t>
      </w:r>
      <w:r>
        <w:rPr>
          <w:rFonts w:cs="Arial"/>
        </w:rPr>
        <w:t>WAS,</w:t>
      </w:r>
      <w:r w:rsidRPr="00EA4C4C">
        <w:rPr>
          <w:rFonts w:cs="Arial"/>
        </w:rPr>
        <w:t xml:space="preserve"> including </w:t>
      </w:r>
      <w:r>
        <w:rPr>
          <w:rFonts w:cs="Arial"/>
        </w:rPr>
        <w:t>4G mobile broadband.</w:t>
      </w:r>
      <w:r>
        <w:rPr>
          <w:rStyle w:val="FootnoteReference"/>
          <w:rFonts w:cs="Arial"/>
        </w:rPr>
        <w:footnoteReference w:id="2"/>
      </w:r>
      <w:r>
        <w:rPr>
          <w:rFonts w:cs="Arial"/>
        </w:rPr>
        <w:t xml:space="preserve"> </w:t>
      </w:r>
      <w:r w:rsidRPr="0059377F">
        <w:rPr>
          <w:rFonts w:cs="Arial"/>
        </w:rPr>
        <w:t>To assist stakeholders in understanding how the ACMA reached a view on appropriate future arrangements in the 2.5 GHz and alternative bands, the ACMA released a Response to Submissions paper which summarise</w:t>
      </w:r>
      <w:r>
        <w:rPr>
          <w:rFonts w:cs="Arial"/>
        </w:rPr>
        <w:t>d</w:t>
      </w:r>
      <w:r w:rsidRPr="0059377F">
        <w:rPr>
          <w:rFonts w:cs="Arial"/>
        </w:rPr>
        <w:t xml:space="preserve"> issues raised in response to the January discussion paper and provide</w:t>
      </w:r>
      <w:r>
        <w:rPr>
          <w:rFonts w:cs="Arial"/>
        </w:rPr>
        <w:t>d</w:t>
      </w:r>
      <w:r w:rsidRPr="0059377F">
        <w:rPr>
          <w:rFonts w:cs="Arial"/>
        </w:rPr>
        <w:t xml:space="preserve"> the ACMA’s preliminary response to those issues</w:t>
      </w:r>
      <w:r w:rsidR="00375748">
        <w:rPr>
          <w:rFonts w:cs="Arial"/>
        </w:rPr>
        <w:t>.</w:t>
      </w:r>
      <w:r>
        <w:rPr>
          <w:rStyle w:val="FootnoteReference"/>
          <w:rFonts w:cs="Arial"/>
        </w:rPr>
        <w:footnoteReference w:id="3"/>
      </w:r>
    </w:p>
    <w:p w:rsidR="00F648D3" w:rsidRDefault="00F648D3" w:rsidP="009E7335">
      <w:pPr>
        <w:pStyle w:val="ACMABodyText"/>
        <w:spacing w:line="360" w:lineRule="auto"/>
        <w:jc w:val="both"/>
        <w:rPr>
          <w:rFonts w:ascii="Arial" w:hAnsi="Arial" w:cs="Arial"/>
          <w:sz w:val="20"/>
        </w:rPr>
      </w:pPr>
      <w:r>
        <w:rPr>
          <w:rFonts w:ascii="Arial" w:hAnsi="Arial" w:cs="Arial"/>
          <w:sz w:val="20"/>
        </w:rPr>
        <w:t>To enable spectrum in the 2.5 GHz band to support WAS</w:t>
      </w:r>
      <w:proofErr w:type="gramStart"/>
      <w:r>
        <w:rPr>
          <w:rFonts w:ascii="Arial" w:hAnsi="Arial" w:cs="Arial"/>
          <w:sz w:val="20"/>
        </w:rPr>
        <w:t>,</w:t>
      </w:r>
      <w:proofErr w:type="gramEnd"/>
      <w:r>
        <w:rPr>
          <w:rFonts w:ascii="Arial" w:hAnsi="Arial" w:cs="Arial"/>
          <w:sz w:val="20"/>
        </w:rPr>
        <w:t xml:space="preserve"> the ACMA will need to put into place a spectrum licence technical framework for the 2.5 GHz band which, while technology flexible,</w:t>
      </w:r>
      <w:r w:rsidRPr="007B429E">
        <w:rPr>
          <w:rFonts w:ascii="Arial" w:hAnsi="Arial" w:cs="Arial"/>
          <w:sz w:val="20"/>
        </w:rPr>
        <w:t xml:space="preserve"> </w:t>
      </w:r>
      <w:r>
        <w:rPr>
          <w:rFonts w:ascii="Arial" w:hAnsi="Arial" w:cs="Arial"/>
          <w:sz w:val="20"/>
        </w:rPr>
        <w:t xml:space="preserve">is </w:t>
      </w:r>
      <w:r w:rsidRPr="007B429E">
        <w:rPr>
          <w:rFonts w:ascii="Arial" w:hAnsi="Arial" w:cs="Arial"/>
          <w:sz w:val="20"/>
        </w:rPr>
        <w:t>optimised for</w:t>
      </w:r>
      <w:r w:rsidR="00D365E6">
        <w:rPr>
          <w:rFonts w:ascii="Arial" w:hAnsi="Arial" w:cs="Arial"/>
          <w:sz w:val="20"/>
        </w:rPr>
        <w:t xml:space="preserve"> WAS</w:t>
      </w:r>
      <w:r>
        <w:rPr>
          <w:rFonts w:ascii="Arial" w:hAnsi="Arial" w:cs="Arial"/>
          <w:sz w:val="20"/>
        </w:rPr>
        <w:t xml:space="preserve">. </w:t>
      </w:r>
      <w:r w:rsidRPr="001E0522">
        <w:rPr>
          <w:rFonts w:ascii="Arial" w:hAnsi="Arial" w:cs="Arial"/>
          <w:sz w:val="20"/>
        </w:rPr>
        <w:t xml:space="preserve">The technical framework </w:t>
      </w:r>
      <w:r>
        <w:rPr>
          <w:rFonts w:ascii="Arial" w:hAnsi="Arial" w:cs="Arial"/>
          <w:sz w:val="20"/>
        </w:rPr>
        <w:t xml:space="preserve">will </w:t>
      </w:r>
      <w:r w:rsidRPr="001E0522">
        <w:rPr>
          <w:rFonts w:ascii="Arial" w:hAnsi="Arial" w:cs="Arial"/>
          <w:sz w:val="20"/>
        </w:rPr>
        <w:t>define</w:t>
      </w:r>
      <w:r>
        <w:rPr>
          <w:rFonts w:ascii="Arial" w:hAnsi="Arial" w:cs="Arial"/>
          <w:sz w:val="20"/>
        </w:rPr>
        <w:t xml:space="preserve"> </w:t>
      </w:r>
      <w:r w:rsidRPr="00384359">
        <w:rPr>
          <w:rFonts w:ascii="Arial" w:hAnsi="Arial" w:cs="Arial"/>
          <w:sz w:val="20"/>
        </w:rPr>
        <w:t>a spectrum licensee’s rights and obligations and provid</w:t>
      </w:r>
      <w:r>
        <w:rPr>
          <w:rFonts w:ascii="Arial" w:hAnsi="Arial" w:cs="Arial"/>
          <w:sz w:val="20"/>
        </w:rPr>
        <w:t>e</w:t>
      </w:r>
      <w:r w:rsidRPr="00384359">
        <w:rPr>
          <w:rFonts w:ascii="Arial" w:hAnsi="Arial" w:cs="Arial"/>
          <w:sz w:val="20"/>
        </w:rPr>
        <w:t xml:space="preserve"> an interference management framework</w:t>
      </w:r>
      <w:r>
        <w:rPr>
          <w:rFonts w:ascii="Arial" w:hAnsi="Arial" w:cs="Arial"/>
          <w:sz w:val="20"/>
        </w:rPr>
        <w:t xml:space="preserve"> for the 2.5 GHz band</w:t>
      </w:r>
      <w:r w:rsidRPr="001E0522">
        <w:rPr>
          <w:rFonts w:ascii="Arial" w:hAnsi="Arial" w:cs="Arial"/>
          <w:sz w:val="20"/>
        </w:rPr>
        <w:t>.</w:t>
      </w:r>
      <w:r>
        <w:rPr>
          <w:rFonts w:ascii="Arial" w:hAnsi="Arial" w:cs="Arial"/>
          <w:sz w:val="20"/>
        </w:rPr>
        <w:t xml:space="preserve"> </w:t>
      </w:r>
    </w:p>
    <w:p w:rsidR="00F648D3" w:rsidRPr="008A6881" w:rsidRDefault="00F648D3" w:rsidP="00E10325">
      <w:pPr>
        <w:pStyle w:val="ACMABodyText"/>
        <w:spacing w:line="360" w:lineRule="auto"/>
        <w:jc w:val="both"/>
        <w:rPr>
          <w:rFonts w:ascii="Arial" w:hAnsi="Arial" w:cs="Arial"/>
          <w:sz w:val="20"/>
        </w:rPr>
      </w:pPr>
      <w:r>
        <w:rPr>
          <w:rFonts w:ascii="Arial" w:hAnsi="Arial" w:cs="Arial"/>
          <w:sz w:val="20"/>
        </w:rPr>
        <w:t>The</w:t>
      </w:r>
      <w:r w:rsidRPr="008A6881">
        <w:rPr>
          <w:rFonts w:ascii="Arial" w:hAnsi="Arial" w:cs="Arial"/>
          <w:sz w:val="20"/>
        </w:rPr>
        <w:t xml:space="preserve"> Determination is part of a set of leg</w:t>
      </w:r>
      <w:r>
        <w:rPr>
          <w:rFonts w:ascii="Arial" w:hAnsi="Arial" w:cs="Arial"/>
          <w:sz w:val="20"/>
        </w:rPr>
        <w:t>islative</w:t>
      </w:r>
      <w:r w:rsidRPr="008A6881">
        <w:rPr>
          <w:rFonts w:ascii="Arial" w:hAnsi="Arial" w:cs="Arial"/>
          <w:sz w:val="20"/>
        </w:rPr>
        <w:t xml:space="preserve"> instruments to give effect to th</w:t>
      </w:r>
      <w:r>
        <w:rPr>
          <w:rFonts w:ascii="Arial" w:hAnsi="Arial" w:cs="Arial"/>
          <w:sz w:val="20"/>
        </w:rPr>
        <w:t>at</w:t>
      </w:r>
      <w:r w:rsidRPr="008A6881">
        <w:rPr>
          <w:rFonts w:ascii="Arial" w:hAnsi="Arial" w:cs="Arial"/>
          <w:sz w:val="20"/>
        </w:rPr>
        <w:t xml:space="preserve"> technical framework. The set of instruments required for this purpose is listed below:</w:t>
      </w:r>
    </w:p>
    <w:p w:rsidR="003126C6" w:rsidRDefault="00F648D3">
      <w:pPr>
        <w:pStyle w:val="ACMABodyText"/>
        <w:numPr>
          <w:ilvl w:val="0"/>
          <w:numId w:val="63"/>
        </w:numPr>
        <w:spacing w:line="360" w:lineRule="auto"/>
        <w:jc w:val="both"/>
        <w:rPr>
          <w:rFonts w:ascii="Arial" w:hAnsi="Arial" w:cs="Arial"/>
          <w:sz w:val="20"/>
        </w:rPr>
      </w:pPr>
      <w:r w:rsidRPr="008A6881">
        <w:rPr>
          <w:rFonts w:ascii="Arial" w:hAnsi="Arial" w:cs="Arial"/>
          <w:i/>
          <w:sz w:val="20"/>
        </w:rPr>
        <w:t>Radiocommunications (Spectrum Designation) Notice No. 1 of 20</w:t>
      </w:r>
      <w:r>
        <w:rPr>
          <w:rFonts w:ascii="Arial" w:hAnsi="Arial" w:cs="Arial"/>
          <w:i/>
          <w:sz w:val="20"/>
        </w:rPr>
        <w:t>12</w:t>
      </w:r>
      <w:r w:rsidRPr="008A6881">
        <w:rPr>
          <w:rFonts w:ascii="Arial" w:hAnsi="Arial" w:cs="Arial"/>
          <w:sz w:val="20"/>
        </w:rPr>
        <w:t>;</w:t>
      </w:r>
    </w:p>
    <w:p w:rsidR="00032C30" w:rsidRPr="004F4310" w:rsidRDefault="00032C30" w:rsidP="00032C30">
      <w:pPr>
        <w:pStyle w:val="ACMABodyText"/>
        <w:numPr>
          <w:ilvl w:val="0"/>
          <w:numId w:val="63"/>
        </w:numPr>
        <w:spacing w:line="360" w:lineRule="auto"/>
        <w:jc w:val="both"/>
        <w:rPr>
          <w:rFonts w:ascii="Arial" w:hAnsi="Arial" w:cs="Arial"/>
          <w:sz w:val="20"/>
        </w:rPr>
      </w:pPr>
      <w:r w:rsidRPr="00135D9C">
        <w:rPr>
          <w:rFonts w:ascii="Arial" w:hAnsi="Arial" w:cs="Arial"/>
          <w:i/>
          <w:sz w:val="20"/>
        </w:rPr>
        <w:t>Radiocommunications (Spectrum Re-allocation) Declaration No. 2 of 2011</w:t>
      </w:r>
      <w:r w:rsidR="005636A4">
        <w:rPr>
          <w:rFonts w:ascii="Arial" w:hAnsi="Arial" w:cs="Arial"/>
          <w:i/>
          <w:sz w:val="20"/>
        </w:rPr>
        <w:t>;</w:t>
      </w:r>
      <w:r w:rsidRPr="0023281A">
        <w:rPr>
          <w:rFonts w:ascii="Arial" w:hAnsi="Arial" w:cs="Arial"/>
          <w:i/>
          <w:sz w:val="20"/>
        </w:rPr>
        <w:t xml:space="preserve"> </w:t>
      </w:r>
    </w:p>
    <w:p w:rsidR="003126C6" w:rsidRDefault="00F648D3">
      <w:pPr>
        <w:pStyle w:val="ACMABodyText"/>
        <w:numPr>
          <w:ilvl w:val="0"/>
          <w:numId w:val="63"/>
        </w:numPr>
        <w:spacing w:line="360" w:lineRule="auto"/>
        <w:jc w:val="both"/>
        <w:rPr>
          <w:rFonts w:ascii="Arial" w:hAnsi="Arial" w:cs="Arial"/>
          <w:sz w:val="20"/>
        </w:rPr>
      </w:pPr>
      <w:r w:rsidRPr="008A6881">
        <w:rPr>
          <w:rFonts w:ascii="Arial" w:hAnsi="Arial" w:cs="Arial"/>
          <w:i/>
          <w:sz w:val="20"/>
        </w:rPr>
        <w:t>Radiocommunications Spectrum Marketing Plan (2.</w:t>
      </w:r>
      <w:r>
        <w:rPr>
          <w:rFonts w:ascii="Arial" w:hAnsi="Arial" w:cs="Arial"/>
          <w:i/>
          <w:sz w:val="20"/>
        </w:rPr>
        <w:t>5</w:t>
      </w:r>
      <w:r w:rsidRPr="008A6881">
        <w:rPr>
          <w:rFonts w:ascii="Arial" w:hAnsi="Arial" w:cs="Arial"/>
          <w:i/>
          <w:sz w:val="20"/>
        </w:rPr>
        <w:t xml:space="preserve"> GHz Band) 20</w:t>
      </w:r>
      <w:r>
        <w:rPr>
          <w:rFonts w:ascii="Arial" w:hAnsi="Arial" w:cs="Arial"/>
          <w:i/>
          <w:sz w:val="20"/>
        </w:rPr>
        <w:t>12</w:t>
      </w:r>
      <w:r w:rsidRPr="008A6881">
        <w:rPr>
          <w:rFonts w:ascii="Arial" w:hAnsi="Arial" w:cs="Arial"/>
          <w:sz w:val="20"/>
        </w:rPr>
        <w:t>;</w:t>
      </w:r>
    </w:p>
    <w:p w:rsidR="003126C6" w:rsidRDefault="005636A4">
      <w:pPr>
        <w:pStyle w:val="ACMABodyText"/>
        <w:numPr>
          <w:ilvl w:val="0"/>
          <w:numId w:val="63"/>
        </w:numPr>
        <w:spacing w:line="360" w:lineRule="auto"/>
        <w:jc w:val="both"/>
        <w:rPr>
          <w:rFonts w:ascii="Arial" w:hAnsi="Arial" w:cs="Arial"/>
          <w:sz w:val="20"/>
        </w:rPr>
      </w:pPr>
      <w:r w:rsidRPr="005636A4">
        <w:rPr>
          <w:rFonts w:ascii="Arial" w:hAnsi="Arial" w:cs="Arial"/>
          <w:sz w:val="20"/>
        </w:rPr>
        <w:t>this</w:t>
      </w:r>
      <w:r w:rsidR="00D5152D" w:rsidRPr="00D5152D">
        <w:rPr>
          <w:rFonts w:ascii="Arial" w:hAnsi="Arial"/>
          <w:sz w:val="20"/>
        </w:rPr>
        <w:t xml:space="preserve"> Determination</w:t>
      </w:r>
      <w:r w:rsidR="00F648D3" w:rsidRPr="00EE682F">
        <w:rPr>
          <w:rFonts w:ascii="Arial" w:hAnsi="Arial" w:cs="Arial"/>
          <w:sz w:val="20"/>
        </w:rPr>
        <w:t>;</w:t>
      </w:r>
    </w:p>
    <w:p w:rsidR="003126C6" w:rsidRDefault="00F648D3">
      <w:pPr>
        <w:pStyle w:val="ACMABodyText"/>
        <w:numPr>
          <w:ilvl w:val="0"/>
          <w:numId w:val="63"/>
        </w:numPr>
        <w:spacing w:line="360" w:lineRule="auto"/>
        <w:jc w:val="both"/>
        <w:rPr>
          <w:rFonts w:ascii="Arial" w:hAnsi="Arial" w:cs="Arial"/>
          <w:sz w:val="20"/>
        </w:rPr>
      </w:pPr>
      <w:r w:rsidRPr="008A6881">
        <w:rPr>
          <w:rFonts w:ascii="Arial" w:hAnsi="Arial" w:cs="Arial"/>
          <w:i/>
          <w:sz w:val="20"/>
        </w:rPr>
        <w:lastRenderedPageBreak/>
        <w:t>Radiocommunications Advisory Guidelines (Managing Interference from Transmitters – 2.</w:t>
      </w:r>
      <w:r>
        <w:rPr>
          <w:rFonts w:ascii="Arial" w:hAnsi="Arial" w:cs="Arial"/>
          <w:i/>
          <w:sz w:val="20"/>
        </w:rPr>
        <w:t>5</w:t>
      </w:r>
      <w:r w:rsidRPr="008A6881">
        <w:rPr>
          <w:rFonts w:ascii="Arial" w:hAnsi="Arial" w:cs="Arial"/>
          <w:i/>
          <w:sz w:val="20"/>
        </w:rPr>
        <w:t xml:space="preserve"> GHz</w:t>
      </w:r>
      <w:r>
        <w:rPr>
          <w:rFonts w:ascii="Arial" w:hAnsi="Arial" w:cs="Arial"/>
          <w:i/>
          <w:sz w:val="20"/>
        </w:rPr>
        <w:t xml:space="preserve"> Band</w:t>
      </w:r>
      <w:r w:rsidRPr="008A6881">
        <w:rPr>
          <w:rFonts w:ascii="Arial" w:hAnsi="Arial" w:cs="Arial"/>
          <w:i/>
          <w:sz w:val="20"/>
        </w:rPr>
        <w:t>) 20</w:t>
      </w:r>
      <w:r>
        <w:rPr>
          <w:rFonts w:ascii="Arial" w:hAnsi="Arial" w:cs="Arial"/>
          <w:i/>
          <w:sz w:val="20"/>
        </w:rPr>
        <w:t>12</w:t>
      </w:r>
      <w:r w:rsidRPr="008A6881">
        <w:rPr>
          <w:rFonts w:ascii="Arial" w:hAnsi="Arial" w:cs="Arial"/>
          <w:sz w:val="20"/>
        </w:rPr>
        <w:t>;</w:t>
      </w:r>
      <w:r>
        <w:rPr>
          <w:rFonts w:ascii="Arial" w:hAnsi="Arial" w:cs="Arial"/>
          <w:sz w:val="20"/>
        </w:rPr>
        <w:t xml:space="preserve"> and</w:t>
      </w:r>
    </w:p>
    <w:p w:rsidR="003126C6" w:rsidRDefault="00F648D3">
      <w:pPr>
        <w:pStyle w:val="ACMABodyText"/>
        <w:numPr>
          <w:ilvl w:val="0"/>
          <w:numId w:val="63"/>
        </w:numPr>
        <w:spacing w:line="360" w:lineRule="auto"/>
        <w:jc w:val="both"/>
        <w:rPr>
          <w:rFonts w:ascii="Arial" w:hAnsi="Arial" w:cs="Arial"/>
          <w:i/>
          <w:sz w:val="20"/>
        </w:rPr>
      </w:pPr>
      <w:r w:rsidRPr="008A6881">
        <w:rPr>
          <w:rFonts w:ascii="Arial" w:hAnsi="Arial" w:cs="Arial"/>
          <w:i/>
          <w:sz w:val="20"/>
        </w:rPr>
        <w:t>Radiocommunications Advisory Guidelines (Managing Interference to Receivers – 2.</w:t>
      </w:r>
      <w:r w:rsidRPr="00EE682F">
        <w:rPr>
          <w:rFonts w:ascii="Arial" w:hAnsi="Arial" w:cs="Arial"/>
          <w:i/>
          <w:sz w:val="20"/>
        </w:rPr>
        <w:t>5</w:t>
      </w:r>
      <w:r w:rsidRPr="008A6881">
        <w:rPr>
          <w:rFonts w:ascii="Arial" w:hAnsi="Arial" w:cs="Arial"/>
          <w:i/>
          <w:sz w:val="20"/>
        </w:rPr>
        <w:t xml:space="preserve"> GHz</w:t>
      </w:r>
      <w:r>
        <w:rPr>
          <w:rFonts w:ascii="Arial" w:hAnsi="Arial" w:cs="Arial"/>
          <w:i/>
          <w:sz w:val="20"/>
        </w:rPr>
        <w:t xml:space="preserve"> Band</w:t>
      </w:r>
      <w:r w:rsidRPr="008A6881">
        <w:rPr>
          <w:rFonts w:ascii="Arial" w:hAnsi="Arial" w:cs="Arial"/>
          <w:i/>
          <w:sz w:val="20"/>
        </w:rPr>
        <w:t>) 20</w:t>
      </w:r>
      <w:r w:rsidRPr="00EE682F">
        <w:rPr>
          <w:rFonts w:ascii="Arial" w:hAnsi="Arial" w:cs="Arial"/>
          <w:i/>
          <w:sz w:val="20"/>
        </w:rPr>
        <w:t>12</w:t>
      </w:r>
      <w:r>
        <w:rPr>
          <w:rFonts w:ascii="Arial" w:hAnsi="Arial" w:cs="Arial"/>
          <w:i/>
          <w:sz w:val="20"/>
        </w:rPr>
        <w:t>.</w:t>
      </w:r>
    </w:p>
    <w:p w:rsidR="00F648D3" w:rsidRPr="00A03B6D" w:rsidRDefault="00F648D3" w:rsidP="00E10325">
      <w:pPr>
        <w:pStyle w:val="Heading2"/>
        <w:spacing w:line="360" w:lineRule="auto"/>
        <w:rPr>
          <w:i w:val="0"/>
          <w:sz w:val="20"/>
          <w:szCs w:val="20"/>
        </w:rPr>
      </w:pPr>
      <w:r w:rsidRPr="00A03B6D">
        <w:rPr>
          <w:i w:val="0"/>
          <w:sz w:val="20"/>
          <w:szCs w:val="20"/>
        </w:rPr>
        <w:t>Operation</w:t>
      </w:r>
    </w:p>
    <w:p w:rsidR="00F648D3" w:rsidRDefault="00F648D3" w:rsidP="00224E6E">
      <w:pPr>
        <w:spacing w:after="240" w:line="360" w:lineRule="auto"/>
        <w:jc w:val="both"/>
        <w:rPr>
          <w:rFonts w:cs="Arial"/>
        </w:rPr>
      </w:pPr>
      <w:r w:rsidRPr="00762FC0">
        <w:rPr>
          <w:rFonts w:cs="Arial"/>
        </w:rPr>
        <w:t xml:space="preserve">A spectrum licence </w:t>
      </w:r>
      <w:r>
        <w:rPr>
          <w:rFonts w:cs="Arial"/>
        </w:rPr>
        <w:t xml:space="preserve">permits a licensee, subject to specified conditions, to operate </w:t>
      </w:r>
      <w:proofErr w:type="spellStart"/>
      <w:r>
        <w:rPr>
          <w:rFonts w:cs="Arial"/>
        </w:rPr>
        <w:t>radiocommunications</w:t>
      </w:r>
      <w:proofErr w:type="spellEnd"/>
      <w:r>
        <w:rPr>
          <w:rFonts w:cs="Arial"/>
        </w:rPr>
        <w:t xml:space="preserve"> devices</w:t>
      </w:r>
      <w:r w:rsidRPr="00EC4D12">
        <w:rPr>
          <w:rFonts w:cs="Arial"/>
        </w:rPr>
        <w:t xml:space="preserve"> </w:t>
      </w:r>
      <w:r>
        <w:rPr>
          <w:rFonts w:cs="Arial"/>
        </w:rPr>
        <w:t>within spectrum space defined by</w:t>
      </w:r>
      <w:r w:rsidRPr="00EC4D12">
        <w:rPr>
          <w:rFonts w:cs="Arial"/>
        </w:rPr>
        <w:t xml:space="preserve"> </w:t>
      </w:r>
      <w:r w:rsidRPr="00762FC0">
        <w:rPr>
          <w:rFonts w:cs="Arial"/>
        </w:rPr>
        <w:t>a frequency band and a geographic area.  Interference occurring between adjacen</w:t>
      </w:r>
      <w:r>
        <w:rPr>
          <w:rFonts w:cs="Arial"/>
        </w:rPr>
        <w:t xml:space="preserve">t spectrum licences consists of </w:t>
      </w:r>
      <w:r>
        <w:t>i</w:t>
      </w:r>
      <w:r w:rsidRPr="00762FC0">
        <w:t>n-band interference, a</w:t>
      </w:r>
      <w:r>
        <w:t xml:space="preserve">cross the geographic boundaries, </w:t>
      </w:r>
      <w:r w:rsidRPr="00762FC0">
        <w:t>and</w:t>
      </w:r>
      <w:r>
        <w:t xml:space="preserve"> o</w:t>
      </w:r>
      <w:r w:rsidRPr="00762FC0">
        <w:t>ut-of-band interference, across the frequency boundaries.</w:t>
      </w:r>
      <w:r>
        <w:rPr>
          <w:rFonts w:cs="Arial"/>
        </w:rPr>
        <w:t xml:space="preserve"> I</w:t>
      </w:r>
      <w:r w:rsidRPr="00762FC0">
        <w:rPr>
          <w:rFonts w:cs="Arial"/>
        </w:rPr>
        <w:t xml:space="preserve">nterference can also occur between spectrum licensed services and services operating under apparatus and class licensing arrangements respectively.  </w:t>
      </w:r>
    </w:p>
    <w:p w:rsidR="00F648D3" w:rsidRPr="00762FC0" w:rsidRDefault="00F648D3" w:rsidP="00224E6E">
      <w:pPr>
        <w:spacing w:after="240" w:line="360" w:lineRule="auto"/>
        <w:jc w:val="both"/>
        <w:rPr>
          <w:rFonts w:cs="Arial"/>
        </w:rPr>
      </w:pPr>
      <w:r w:rsidRPr="00762FC0">
        <w:rPr>
          <w:rFonts w:cs="Arial"/>
        </w:rPr>
        <w:t xml:space="preserve">Interference is generally managed by a set of interference management tools given effect by the Act and implemented by </w:t>
      </w:r>
      <w:r>
        <w:rPr>
          <w:rFonts w:cs="Arial"/>
        </w:rPr>
        <w:t xml:space="preserve">the </w:t>
      </w:r>
      <w:r w:rsidRPr="00762FC0">
        <w:rPr>
          <w:rFonts w:cs="Arial"/>
        </w:rPr>
        <w:t>ACMA.  These tools include:</w:t>
      </w:r>
    </w:p>
    <w:p w:rsidR="00F648D3" w:rsidRPr="00762FC0" w:rsidRDefault="00F648D3" w:rsidP="00224E6E">
      <w:pPr>
        <w:pStyle w:val="ACMABodyText"/>
        <w:numPr>
          <w:ilvl w:val="0"/>
          <w:numId w:val="50"/>
        </w:numPr>
        <w:spacing w:line="360" w:lineRule="auto"/>
        <w:rPr>
          <w:rFonts w:ascii="Arial" w:hAnsi="Arial"/>
          <w:sz w:val="20"/>
        </w:rPr>
      </w:pPr>
      <w:r>
        <w:rPr>
          <w:rFonts w:ascii="Arial" w:hAnsi="Arial"/>
          <w:sz w:val="20"/>
        </w:rPr>
        <w:t>t</w:t>
      </w:r>
      <w:r w:rsidRPr="00762FC0">
        <w:rPr>
          <w:rFonts w:ascii="Arial" w:hAnsi="Arial"/>
          <w:sz w:val="20"/>
        </w:rPr>
        <w:t>he core conditions of the spectrum licence;</w:t>
      </w:r>
    </w:p>
    <w:p w:rsidR="003126C6" w:rsidRDefault="00F648D3">
      <w:pPr>
        <w:pStyle w:val="ACMABodyText"/>
        <w:numPr>
          <w:ilvl w:val="0"/>
          <w:numId w:val="50"/>
        </w:numPr>
        <w:spacing w:line="360" w:lineRule="auto"/>
        <w:rPr>
          <w:rFonts w:ascii="Arial" w:hAnsi="Arial"/>
          <w:sz w:val="20"/>
        </w:rPr>
      </w:pPr>
      <w:r>
        <w:rPr>
          <w:rFonts w:ascii="Arial" w:hAnsi="Arial"/>
          <w:sz w:val="20"/>
        </w:rPr>
        <w:t>a</w:t>
      </w:r>
      <w:r w:rsidRPr="00762FC0">
        <w:rPr>
          <w:rFonts w:ascii="Arial" w:hAnsi="Arial"/>
          <w:sz w:val="20"/>
        </w:rPr>
        <w:t xml:space="preserve"> determination made under s</w:t>
      </w:r>
      <w:r>
        <w:rPr>
          <w:rFonts w:ascii="Arial" w:hAnsi="Arial"/>
          <w:sz w:val="20"/>
        </w:rPr>
        <w:t xml:space="preserve">ection </w:t>
      </w:r>
      <w:r w:rsidRPr="00762FC0">
        <w:rPr>
          <w:rFonts w:ascii="Arial" w:hAnsi="Arial"/>
          <w:sz w:val="20"/>
        </w:rPr>
        <w:t xml:space="preserve">145 of the Act about what constitutes </w:t>
      </w:r>
      <w:r>
        <w:rPr>
          <w:rFonts w:ascii="Arial" w:hAnsi="Arial"/>
          <w:sz w:val="20"/>
        </w:rPr>
        <w:t>un</w:t>
      </w:r>
      <w:r w:rsidRPr="00762FC0">
        <w:rPr>
          <w:rFonts w:ascii="Arial" w:hAnsi="Arial"/>
          <w:sz w:val="20"/>
        </w:rPr>
        <w:t>acceptable interference; and</w:t>
      </w:r>
    </w:p>
    <w:p w:rsidR="003126C6" w:rsidRDefault="00F648D3">
      <w:pPr>
        <w:pStyle w:val="ACMABodyText"/>
        <w:numPr>
          <w:ilvl w:val="0"/>
          <w:numId w:val="50"/>
        </w:numPr>
        <w:spacing w:line="360" w:lineRule="auto"/>
        <w:rPr>
          <w:rFonts w:ascii="Arial" w:hAnsi="Arial"/>
          <w:sz w:val="20"/>
        </w:rPr>
      </w:pPr>
      <w:proofErr w:type="gramStart"/>
      <w:r>
        <w:rPr>
          <w:rFonts w:ascii="Arial" w:hAnsi="Arial"/>
          <w:sz w:val="20"/>
        </w:rPr>
        <w:t>a</w:t>
      </w:r>
      <w:r w:rsidRPr="00762FC0">
        <w:rPr>
          <w:rFonts w:ascii="Arial" w:hAnsi="Arial"/>
          <w:sz w:val="20"/>
        </w:rPr>
        <w:t>dvisory</w:t>
      </w:r>
      <w:proofErr w:type="gramEnd"/>
      <w:r w:rsidRPr="00762FC0">
        <w:rPr>
          <w:rFonts w:ascii="Arial" w:hAnsi="Arial"/>
          <w:sz w:val="20"/>
        </w:rPr>
        <w:t xml:space="preserve"> guidelines made under s</w:t>
      </w:r>
      <w:r>
        <w:rPr>
          <w:rFonts w:ascii="Arial" w:hAnsi="Arial"/>
          <w:sz w:val="20"/>
        </w:rPr>
        <w:t xml:space="preserve">ection </w:t>
      </w:r>
      <w:r w:rsidRPr="00762FC0">
        <w:rPr>
          <w:rFonts w:ascii="Arial" w:hAnsi="Arial"/>
          <w:sz w:val="20"/>
        </w:rPr>
        <w:t>262 of the Act about managing interference in specific circumstances.</w:t>
      </w:r>
      <w:r>
        <w:rPr>
          <w:rFonts w:ascii="Arial" w:hAnsi="Arial"/>
          <w:sz w:val="20"/>
        </w:rPr>
        <w:t xml:space="preserve"> </w:t>
      </w:r>
    </w:p>
    <w:p w:rsidR="00F648D3" w:rsidRDefault="00F648D3" w:rsidP="00E10325">
      <w:pPr>
        <w:pStyle w:val="ACMABodyText"/>
        <w:spacing w:line="360" w:lineRule="auto"/>
        <w:jc w:val="both"/>
        <w:rPr>
          <w:rFonts w:ascii="Arial" w:hAnsi="Arial" w:cs="Arial"/>
          <w:sz w:val="20"/>
        </w:rPr>
      </w:pPr>
      <w:r>
        <w:rPr>
          <w:rFonts w:ascii="Arial" w:hAnsi="Arial" w:cs="Arial"/>
          <w:sz w:val="20"/>
        </w:rPr>
        <w:t>Under subsection 145(1)</w:t>
      </w:r>
      <w:r w:rsidR="00762364">
        <w:rPr>
          <w:rFonts w:ascii="Arial" w:hAnsi="Arial" w:cs="Arial"/>
          <w:sz w:val="20"/>
        </w:rPr>
        <w:t xml:space="preserve"> of the Act</w:t>
      </w:r>
      <w:r>
        <w:rPr>
          <w:rFonts w:ascii="Arial" w:hAnsi="Arial" w:cs="Arial"/>
          <w:sz w:val="20"/>
        </w:rPr>
        <w:t xml:space="preserve">, the ACMA may refuse to register a </w:t>
      </w:r>
      <w:proofErr w:type="spellStart"/>
      <w:r>
        <w:rPr>
          <w:rFonts w:ascii="Arial" w:hAnsi="Arial" w:cs="Arial"/>
          <w:sz w:val="20"/>
        </w:rPr>
        <w:t>radiocommunications</w:t>
      </w:r>
      <w:proofErr w:type="spellEnd"/>
      <w:r>
        <w:rPr>
          <w:rFonts w:ascii="Arial" w:hAnsi="Arial" w:cs="Arial"/>
          <w:sz w:val="20"/>
        </w:rPr>
        <w:t xml:space="preserve"> transmitter that is proposed to be operated under a spectrum licence if the ACMA is satisfied that the operation of the transmitter could cause an unacceptable level of interference to other </w:t>
      </w:r>
      <w:proofErr w:type="spellStart"/>
      <w:r>
        <w:rPr>
          <w:rFonts w:ascii="Arial" w:hAnsi="Arial" w:cs="Arial"/>
          <w:sz w:val="20"/>
        </w:rPr>
        <w:t>radiocommunications</w:t>
      </w:r>
      <w:proofErr w:type="spellEnd"/>
      <w:r>
        <w:rPr>
          <w:rFonts w:ascii="Arial" w:hAnsi="Arial" w:cs="Arial"/>
          <w:sz w:val="20"/>
        </w:rPr>
        <w:t xml:space="preserve"> devices. The</w:t>
      </w:r>
      <w:r w:rsidRPr="00EE682F">
        <w:rPr>
          <w:rFonts w:ascii="Arial" w:hAnsi="Arial" w:cs="Arial"/>
          <w:sz w:val="20"/>
        </w:rPr>
        <w:t xml:space="preserve"> </w:t>
      </w:r>
      <w:r w:rsidRPr="008A6881">
        <w:rPr>
          <w:rFonts w:ascii="Arial" w:hAnsi="Arial" w:cs="Arial"/>
          <w:sz w:val="20"/>
        </w:rPr>
        <w:t xml:space="preserve">Determination </w:t>
      </w:r>
      <w:r>
        <w:rPr>
          <w:rFonts w:ascii="Arial" w:hAnsi="Arial" w:cs="Arial"/>
          <w:sz w:val="20"/>
        </w:rPr>
        <w:t xml:space="preserve">defines what is meant by an ‘unacceptable level of interference’ for the purpose of the application of that subsection in relation to a transmitter operating under a spectrum licence issued in the 2.5 GHz band. </w:t>
      </w:r>
    </w:p>
    <w:p w:rsidR="00F648D3" w:rsidRPr="00A03B6D" w:rsidRDefault="00F648D3" w:rsidP="00E10325">
      <w:pPr>
        <w:pStyle w:val="Heading2"/>
        <w:spacing w:line="360" w:lineRule="auto"/>
        <w:rPr>
          <w:i w:val="0"/>
          <w:sz w:val="20"/>
          <w:szCs w:val="20"/>
        </w:rPr>
      </w:pPr>
      <w:r w:rsidRPr="00A03B6D">
        <w:rPr>
          <w:i w:val="0"/>
          <w:sz w:val="20"/>
          <w:szCs w:val="20"/>
        </w:rPr>
        <w:t>Consultation</w:t>
      </w:r>
    </w:p>
    <w:p w:rsidR="00F648D3" w:rsidRDefault="00F648D3" w:rsidP="0014405F">
      <w:pPr>
        <w:spacing w:line="360" w:lineRule="auto"/>
        <w:rPr>
          <w:rFonts w:cs="Arial"/>
        </w:rPr>
      </w:pPr>
      <w:r>
        <w:rPr>
          <w:rFonts w:cs="Arial"/>
        </w:rPr>
        <w:t>The ACMA has engaged extensively with stakeholders about its plans to develop a spectrum licensing technical framework for the 2.5 GHz band.</w:t>
      </w:r>
    </w:p>
    <w:p w:rsidR="00F648D3" w:rsidRDefault="00F648D3" w:rsidP="0014405F">
      <w:pPr>
        <w:spacing w:line="360" w:lineRule="auto"/>
        <w:rPr>
          <w:rFonts w:cs="Arial"/>
        </w:rPr>
      </w:pPr>
    </w:p>
    <w:p w:rsidR="00F648D3" w:rsidRDefault="00F648D3" w:rsidP="0014405F">
      <w:pPr>
        <w:spacing w:line="360" w:lineRule="auto"/>
        <w:rPr>
          <w:rFonts w:cs="Arial"/>
        </w:rPr>
      </w:pPr>
      <w:r w:rsidRPr="00532ABF">
        <w:rPr>
          <w:rFonts w:cs="Arial"/>
        </w:rPr>
        <w:t>In July 2011</w:t>
      </w:r>
      <w:r>
        <w:rPr>
          <w:rFonts w:cs="Arial"/>
        </w:rPr>
        <w:t xml:space="preserve">, </w:t>
      </w:r>
      <w:r w:rsidRPr="00532ABF">
        <w:rPr>
          <w:rFonts w:cs="Arial"/>
        </w:rPr>
        <w:t xml:space="preserve">the ACMA set up a </w:t>
      </w:r>
      <w:r>
        <w:rPr>
          <w:rFonts w:cs="Arial"/>
        </w:rPr>
        <w:t xml:space="preserve">short-term </w:t>
      </w:r>
      <w:r w:rsidRPr="00532ABF">
        <w:rPr>
          <w:rFonts w:cs="Arial"/>
        </w:rPr>
        <w:t xml:space="preserve">industry technical liaison group </w:t>
      </w:r>
      <w:r>
        <w:rPr>
          <w:rFonts w:cs="Arial"/>
        </w:rPr>
        <w:t xml:space="preserve">(the </w:t>
      </w:r>
      <w:r w:rsidRPr="006F0C25">
        <w:rPr>
          <w:rFonts w:cs="Arial"/>
          <w:b/>
        </w:rPr>
        <w:t>TLG</w:t>
      </w:r>
      <w:r>
        <w:rPr>
          <w:rFonts w:cs="Arial"/>
        </w:rPr>
        <w:t xml:space="preserve">) </w:t>
      </w:r>
      <w:r w:rsidRPr="00532ABF">
        <w:rPr>
          <w:rFonts w:cs="Arial"/>
        </w:rPr>
        <w:t xml:space="preserve">to </w:t>
      </w:r>
      <w:r>
        <w:rPr>
          <w:rFonts w:cs="Arial"/>
        </w:rPr>
        <w:t xml:space="preserve">support the </w:t>
      </w:r>
      <w:r w:rsidRPr="00532ABF">
        <w:rPr>
          <w:rFonts w:cs="Arial"/>
        </w:rPr>
        <w:t>develop</w:t>
      </w:r>
      <w:r>
        <w:rPr>
          <w:rFonts w:cs="Arial"/>
        </w:rPr>
        <w:t xml:space="preserve">ment of </w:t>
      </w:r>
      <w:r w:rsidRPr="00532ABF">
        <w:rPr>
          <w:rFonts w:cs="Arial"/>
        </w:rPr>
        <w:t>a technical framework to support the introduction of 4</w:t>
      </w:r>
      <w:r w:rsidRPr="0098278C">
        <w:rPr>
          <w:rFonts w:cs="Arial"/>
          <w:vertAlign w:val="superscript"/>
        </w:rPr>
        <w:t>th</w:t>
      </w:r>
      <w:r w:rsidRPr="00532ABF">
        <w:rPr>
          <w:rFonts w:cs="Arial"/>
        </w:rPr>
        <w:t xml:space="preserve"> generation broadband mobile/</w:t>
      </w:r>
      <w:r w:rsidR="00C619F9">
        <w:rPr>
          <w:rFonts w:cs="Arial"/>
        </w:rPr>
        <w:t>WAS</w:t>
      </w:r>
      <w:r w:rsidRPr="00532ABF">
        <w:rPr>
          <w:rFonts w:cs="Arial"/>
        </w:rPr>
        <w:t xml:space="preserve"> in the 2500-2570 </w:t>
      </w:r>
      <w:r w:rsidR="00C34F74">
        <w:rPr>
          <w:rFonts w:cs="Arial"/>
        </w:rPr>
        <w:t>M</w:t>
      </w:r>
      <w:r w:rsidRPr="00532ABF">
        <w:rPr>
          <w:rFonts w:cs="Arial"/>
        </w:rPr>
        <w:t>Hz and 2620-2690 MHz bands within the 2.5 GHz band.</w:t>
      </w:r>
    </w:p>
    <w:p w:rsidR="00F648D3" w:rsidRDefault="00F648D3" w:rsidP="0014405F">
      <w:pPr>
        <w:spacing w:line="360" w:lineRule="auto"/>
        <w:rPr>
          <w:rFonts w:cs="Arial"/>
        </w:rPr>
      </w:pPr>
    </w:p>
    <w:p w:rsidR="00F648D3" w:rsidRDefault="00F648D3" w:rsidP="0014405F">
      <w:pPr>
        <w:spacing w:line="360" w:lineRule="auto"/>
        <w:rPr>
          <w:rFonts w:cs="Arial"/>
        </w:rPr>
      </w:pPr>
      <w:r>
        <w:rPr>
          <w:rFonts w:cs="Arial"/>
        </w:rPr>
        <w:t>The TLG was asked to consider and provide advice to the ACMA on technical aspects required for the development of the spectrum licence technical framework. These included:</w:t>
      </w:r>
    </w:p>
    <w:p w:rsidR="00F648D3" w:rsidRDefault="00F648D3" w:rsidP="0014405F">
      <w:pPr>
        <w:spacing w:line="360" w:lineRule="auto"/>
        <w:rPr>
          <w:rFonts w:cs="Arial"/>
        </w:rPr>
      </w:pPr>
    </w:p>
    <w:p w:rsidR="0083299D" w:rsidRDefault="00F648D3" w:rsidP="0083299D">
      <w:pPr>
        <w:numPr>
          <w:ilvl w:val="0"/>
          <w:numId w:val="47"/>
        </w:numPr>
        <w:spacing w:line="360" w:lineRule="auto"/>
        <w:ind w:left="567" w:hanging="567"/>
        <w:rPr>
          <w:rFonts w:cs="Arial"/>
        </w:rPr>
      </w:pPr>
      <w:r>
        <w:rPr>
          <w:rFonts w:cs="Arial"/>
        </w:rPr>
        <w:lastRenderedPageBreak/>
        <w:t>the development of the core conditions of the spectrum licensed band  in accordance with section 66 of the Act;</w:t>
      </w:r>
    </w:p>
    <w:p w:rsidR="0083299D" w:rsidRDefault="00F648D3" w:rsidP="0083299D">
      <w:pPr>
        <w:numPr>
          <w:ilvl w:val="0"/>
          <w:numId w:val="47"/>
        </w:numPr>
        <w:spacing w:line="360" w:lineRule="auto"/>
        <w:ind w:left="567" w:hanging="567"/>
        <w:rPr>
          <w:rFonts w:cs="Arial"/>
        </w:rPr>
      </w:pPr>
      <w:r>
        <w:rPr>
          <w:rFonts w:cs="Arial"/>
        </w:rPr>
        <w:t>the development of the Determination;</w:t>
      </w:r>
    </w:p>
    <w:p w:rsidR="0083299D" w:rsidRDefault="00F648D3" w:rsidP="0083299D">
      <w:pPr>
        <w:numPr>
          <w:ilvl w:val="0"/>
          <w:numId w:val="47"/>
        </w:numPr>
        <w:spacing w:line="360" w:lineRule="auto"/>
        <w:ind w:left="567" w:hanging="567"/>
        <w:rPr>
          <w:rFonts w:cs="Arial"/>
        </w:rPr>
      </w:pPr>
      <w:r>
        <w:rPr>
          <w:rFonts w:cs="Arial"/>
        </w:rPr>
        <w:t xml:space="preserve">the development of any associated </w:t>
      </w:r>
      <w:r w:rsidR="001A5C25">
        <w:rPr>
          <w:rFonts w:cs="Arial"/>
        </w:rPr>
        <w:t>a</w:t>
      </w:r>
      <w:r>
        <w:rPr>
          <w:rFonts w:cs="Arial"/>
        </w:rPr>
        <w:t xml:space="preserve">dvisory </w:t>
      </w:r>
      <w:r w:rsidR="001A5C25">
        <w:rPr>
          <w:rFonts w:cs="Arial"/>
        </w:rPr>
        <w:t>g</w:t>
      </w:r>
      <w:r>
        <w:rPr>
          <w:rFonts w:cs="Arial"/>
        </w:rPr>
        <w:t>uidelines made under section 262 of the Act;</w:t>
      </w:r>
    </w:p>
    <w:p w:rsidR="0083299D" w:rsidRDefault="00F648D3" w:rsidP="0083299D">
      <w:pPr>
        <w:numPr>
          <w:ilvl w:val="0"/>
          <w:numId w:val="47"/>
        </w:numPr>
        <w:spacing w:line="360" w:lineRule="auto"/>
        <w:ind w:left="567" w:hanging="567"/>
        <w:rPr>
          <w:rFonts w:cs="Arial"/>
        </w:rPr>
      </w:pPr>
      <w:r>
        <w:rPr>
          <w:rFonts w:cs="Arial"/>
        </w:rPr>
        <w:t>the development of the draft spectrum licence; and</w:t>
      </w:r>
    </w:p>
    <w:p w:rsidR="0083299D" w:rsidRDefault="00F648D3" w:rsidP="0083299D">
      <w:pPr>
        <w:numPr>
          <w:ilvl w:val="0"/>
          <w:numId w:val="47"/>
        </w:numPr>
        <w:spacing w:line="360" w:lineRule="auto"/>
        <w:ind w:left="567" w:hanging="567"/>
        <w:rPr>
          <w:rFonts w:cs="Arial"/>
        </w:rPr>
      </w:pPr>
      <w:proofErr w:type="gramStart"/>
      <w:r>
        <w:rPr>
          <w:rFonts w:cs="Arial"/>
        </w:rPr>
        <w:t>the</w:t>
      </w:r>
      <w:proofErr w:type="gramEnd"/>
      <w:r>
        <w:rPr>
          <w:rFonts w:cs="Arial"/>
        </w:rPr>
        <w:t xml:space="preserve"> development of the minimum contiguous bandwidth for spectrum licences in the 2.5 GHz band. </w:t>
      </w:r>
    </w:p>
    <w:p w:rsidR="00F648D3" w:rsidRDefault="00F648D3" w:rsidP="0014405F">
      <w:pPr>
        <w:spacing w:line="360" w:lineRule="auto"/>
        <w:rPr>
          <w:rFonts w:cs="Arial"/>
        </w:rPr>
      </w:pPr>
    </w:p>
    <w:p w:rsidR="00F648D3" w:rsidRDefault="00F648D3" w:rsidP="0014405F">
      <w:pPr>
        <w:spacing w:line="360" w:lineRule="auto"/>
        <w:rPr>
          <w:rFonts w:cs="Arial"/>
        </w:rPr>
      </w:pPr>
      <w:r>
        <w:rPr>
          <w:rFonts w:cs="Arial"/>
        </w:rPr>
        <w:t>The ACMA developed three papers which outlined its proposed approach to the spectrum licensing framework for the 2.5 GHz band. These papers were made available by the ACMA to the TLG members for comment. These papers can be found on the ACMA’s website</w:t>
      </w:r>
      <w:r w:rsidR="001A3500">
        <w:rPr>
          <w:rFonts w:cs="Arial"/>
        </w:rPr>
        <w:t>.</w:t>
      </w:r>
      <w:r>
        <w:rPr>
          <w:rStyle w:val="FootnoteReference"/>
          <w:rFonts w:cs="Arial"/>
        </w:rPr>
        <w:footnoteReference w:id="4"/>
      </w:r>
      <w:r>
        <w:rPr>
          <w:rFonts w:cs="Arial"/>
        </w:rPr>
        <w:t xml:space="preserve">  The ACMA had regard to the views expressed by the TLG members when preparing the Determination. </w:t>
      </w:r>
    </w:p>
    <w:p w:rsidR="00F648D3" w:rsidRDefault="00F648D3" w:rsidP="00E10325">
      <w:pPr>
        <w:spacing w:line="360" w:lineRule="auto"/>
        <w:jc w:val="both"/>
        <w:rPr>
          <w:rFonts w:cs="Arial"/>
        </w:rPr>
      </w:pPr>
    </w:p>
    <w:p w:rsidR="00F648D3" w:rsidRDefault="00F648D3" w:rsidP="00DB36FA">
      <w:pPr>
        <w:spacing w:line="360" w:lineRule="auto"/>
      </w:pPr>
      <w:r>
        <w:rPr>
          <w:rFonts w:cs="Arial"/>
        </w:rPr>
        <w:t xml:space="preserve">The ACMA has also undertaken </w:t>
      </w:r>
      <w:r w:rsidR="005971F4">
        <w:rPr>
          <w:rFonts w:cs="Arial"/>
        </w:rPr>
        <w:t xml:space="preserve">public </w:t>
      </w:r>
      <w:r>
        <w:rPr>
          <w:rFonts w:cs="Arial"/>
        </w:rPr>
        <w:t>consultation in relation to the Determination.  On 11</w:t>
      </w:r>
      <w:r w:rsidRPr="00A03B6D">
        <w:rPr>
          <w:rFonts w:cs="Arial"/>
        </w:rPr>
        <w:t xml:space="preserve"> </w:t>
      </w:r>
      <w:r>
        <w:rPr>
          <w:rFonts w:cs="Arial"/>
        </w:rPr>
        <w:t>April</w:t>
      </w:r>
      <w:r w:rsidRPr="00A03B6D">
        <w:rPr>
          <w:rFonts w:cs="Arial"/>
        </w:rPr>
        <w:t xml:space="preserve"> 201</w:t>
      </w:r>
      <w:r>
        <w:rPr>
          <w:rFonts w:cs="Arial"/>
        </w:rPr>
        <w:t>2,</w:t>
      </w:r>
      <w:r w:rsidRPr="00A03B6D">
        <w:rPr>
          <w:rFonts w:cs="Arial"/>
        </w:rPr>
        <w:t xml:space="preserve"> the </w:t>
      </w:r>
      <w:r>
        <w:rPr>
          <w:rFonts w:cs="Arial"/>
        </w:rPr>
        <w:t xml:space="preserve">ACMA </w:t>
      </w:r>
      <w:r>
        <w:t xml:space="preserve">released the draft legislative instruments for the digital dividend auction (including the Determination) for comment. These instruments were accompanied by an information paper to </w:t>
      </w:r>
      <w:r w:rsidRPr="0097494E">
        <w:t>explain the draft instruments and provide context to assist interested parties in making a submission</w:t>
      </w:r>
      <w:r>
        <w:t xml:space="preserve">. </w:t>
      </w:r>
    </w:p>
    <w:p w:rsidR="00F648D3" w:rsidRDefault="00F648D3" w:rsidP="00DB36FA">
      <w:pPr>
        <w:spacing w:line="360" w:lineRule="auto"/>
      </w:pPr>
    </w:p>
    <w:p w:rsidR="00F648D3" w:rsidRDefault="00F648D3" w:rsidP="00DB36FA">
      <w:pPr>
        <w:spacing w:line="360" w:lineRule="auto"/>
        <w:rPr>
          <w:lang w:val="en-US"/>
        </w:rPr>
      </w:pPr>
      <w:r>
        <w:t>The information paper was made available on the ACMA’s website</w:t>
      </w:r>
      <w:r>
        <w:rPr>
          <w:rStyle w:val="FootnoteReference"/>
        </w:rPr>
        <w:footnoteReference w:id="5"/>
      </w:r>
      <w:r>
        <w:t xml:space="preserve">, and was publicised via a media release on 11 April 2012, notices on the ACMA’s website and in the Spectrum Auction e-Bulletin publication. </w:t>
      </w:r>
      <w:r w:rsidRPr="0097494E">
        <w:rPr>
          <w:lang w:val="en-US"/>
        </w:rPr>
        <w:t xml:space="preserve">On 24 April 2012, the ACMA </w:t>
      </w:r>
      <w:r>
        <w:rPr>
          <w:lang w:val="en-US"/>
        </w:rPr>
        <w:t xml:space="preserve">also </w:t>
      </w:r>
      <w:r w:rsidRPr="0097494E">
        <w:rPr>
          <w:lang w:val="en-US"/>
        </w:rPr>
        <w:t xml:space="preserve">held an </w:t>
      </w:r>
      <w:r w:rsidRPr="00B0579A">
        <w:t>industry briefing</w:t>
      </w:r>
      <w:r w:rsidRPr="0097494E">
        <w:rPr>
          <w:lang w:val="en-US"/>
        </w:rPr>
        <w:t xml:space="preserve"> on the </w:t>
      </w:r>
      <w:r w:rsidRPr="00B0579A">
        <w:t>draft legislative instruments</w:t>
      </w:r>
      <w:r w:rsidRPr="0097494E">
        <w:rPr>
          <w:lang w:val="en-US"/>
        </w:rPr>
        <w:t xml:space="preserve"> for the digital dividend auction.</w:t>
      </w:r>
      <w:r>
        <w:rPr>
          <w:lang w:val="en-US"/>
        </w:rPr>
        <w:t xml:space="preserve"> This briefing (conducted through a</w:t>
      </w:r>
      <w:r w:rsidR="00263968">
        <w:rPr>
          <w:lang w:val="en-US"/>
        </w:rPr>
        <w:t>n online seminar</w:t>
      </w:r>
      <w:r>
        <w:rPr>
          <w:lang w:val="en-US"/>
        </w:rPr>
        <w:t>) outlined key aspects of the ACMA’s</w:t>
      </w:r>
      <w:r w:rsidRPr="0097494E">
        <w:rPr>
          <w:lang w:val="en-US"/>
        </w:rPr>
        <w:t xml:space="preserve"> draft instruments </w:t>
      </w:r>
      <w:r>
        <w:rPr>
          <w:lang w:val="en-US"/>
        </w:rPr>
        <w:t>and was aimed at assisting</w:t>
      </w:r>
      <w:r w:rsidRPr="0097494E">
        <w:rPr>
          <w:lang w:val="en-US"/>
        </w:rPr>
        <w:t xml:space="preserve"> interested parties</w:t>
      </w:r>
      <w:r>
        <w:rPr>
          <w:lang w:val="en-US"/>
        </w:rPr>
        <w:t xml:space="preserve"> to</w:t>
      </w:r>
      <w:r w:rsidRPr="0097494E">
        <w:rPr>
          <w:lang w:val="en-US"/>
        </w:rPr>
        <w:t xml:space="preserve"> </w:t>
      </w:r>
      <w:r>
        <w:rPr>
          <w:lang w:val="en-US"/>
        </w:rPr>
        <w:t>make a submission.</w:t>
      </w:r>
    </w:p>
    <w:p w:rsidR="00F648D3" w:rsidRDefault="00F648D3" w:rsidP="00E10325">
      <w:pPr>
        <w:spacing w:line="360" w:lineRule="auto"/>
        <w:jc w:val="both"/>
        <w:rPr>
          <w:rFonts w:cs="Arial"/>
        </w:rPr>
      </w:pPr>
      <w:r>
        <w:rPr>
          <w:rFonts w:cs="Arial"/>
        </w:rPr>
        <w:t xml:space="preserve"> </w:t>
      </w:r>
    </w:p>
    <w:p w:rsidR="00F648D3" w:rsidRDefault="00F648D3">
      <w:pPr>
        <w:spacing w:line="360" w:lineRule="auto"/>
        <w:jc w:val="both"/>
        <w:rPr>
          <w:rFonts w:cs="Arial"/>
        </w:rPr>
      </w:pPr>
      <w:r w:rsidRPr="00F264C8">
        <w:rPr>
          <w:rFonts w:cs="Arial"/>
        </w:rPr>
        <w:t xml:space="preserve">Submissions to the consultation were </w:t>
      </w:r>
      <w:r>
        <w:rPr>
          <w:rFonts w:cs="Arial"/>
        </w:rPr>
        <w:t xml:space="preserve">originally </w:t>
      </w:r>
      <w:r w:rsidRPr="00F264C8">
        <w:rPr>
          <w:rFonts w:cs="Arial"/>
        </w:rPr>
        <w:t xml:space="preserve">due on </w:t>
      </w:r>
      <w:r>
        <w:rPr>
          <w:rFonts w:cs="Arial"/>
        </w:rPr>
        <w:t>9 May</w:t>
      </w:r>
      <w:r w:rsidRPr="00F264C8">
        <w:rPr>
          <w:rFonts w:cs="Arial"/>
        </w:rPr>
        <w:t xml:space="preserve"> 201</w:t>
      </w:r>
      <w:r>
        <w:rPr>
          <w:rFonts w:cs="Arial"/>
        </w:rPr>
        <w:t>2, although this was subsequently extended to 14 May 2012. A total of 11</w:t>
      </w:r>
      <w:r w:rsidRPr="007D3895">
        <w:rPr>
          <w:rFonts w:cs="Arial"/>
        </w:rPr>
        <w:t xml:space="preserve"> responses were received</w:t>
      </w:r>
      <w:r>
        <w:rPr>
          <w:rFonts w:cs="Arial"/>
        </w:rPr>
        <w:t xml:space="preserve">.  </w:t>
      </w:r>
    </w:p>
    <w:p w:rsidR="00F648D3" w:rsidRDefault="00F648D3" w:rsidP="00E10325">
      <w:pPr>
        <w:spacing w:line="360" w:lineRule="auto"/>
        <w:jc w:val="both"/>
        <w:rPr>
          <w:rFonts w:cs="Arial"/>
        </w:rPr>
      </w:pPr>
    </w:p>
    <w:p w:rsidR="00F648D3" w:rsidRPr="00EC4D12" w:rsidRDefault="00F648D3" w:rsidP="00E10325">
      <w:pPr>
        <w:spacing w:line="360" w:lineRule="auto"/>
        <w:rPr>
          <w:rFonts w:cs="Arial"/>
          <w:b/>
        </w:rPr>
      </w:pPr>
      <w:r w:rsidRPr="00EC4D12">
        <w:rPr>
          <w:rFonts w:cs="Arial"/>
          <w:b/>
        </w:rPr>
        <w:t>Statement of compatibility with human rights</w:t>
      </w:r>
    </w:p>
    <w:p w:rsidR="00F648D3" w:rsidRPr="00EC4D12" w:rsidRDefault="00F648D3" w:rsidP="00E10325">
      <w:pPr>
        <w:spacing w:line="360" w:lineRule="auto"/>
        <w:rPr>
          <w:rFonts w:cs="Arial"/>
        </w:rPr>
      </w:pPr>
      <w:r w:rsidRPr="00EC4D12">
        <w:rPr>
          <w:rFonts w:cs="Arial"/>
        </w:rPr>
        <w:t xml:space="preserve">Subsection 9(1) of the </w:t>
      </w:r>
      <w:r w:rsidRPr="00EC4D12">
        <w:rPr>
          <w:rFonts w:cs="Arial"/>
          <w:i/>
        </w:rPr>
        <w:t>Human Rights (Parliamentary Scrutiny) Act 2011</w:t>
      </w:r>
      <w:r w:rsidRPr="00EC4D12">
        <w:rPr>
          <w:rFonts w:cs="Arial"/>
        </w:rPr>
        <w:t xml:space="preserve"> requires the rule maker in relation to a legislative instrument to which section 42 (disallowance) of the </w:t>
      </w:r>
      <w:r w:rsidRPr="00EC4D12">
        <w:rPr>
          <w:rFonts w:cs="Arial"/>
          <w:i/>
        </w:rPr>
        <w:t>Legislative Instruments Act 2003</w:t>
      </w:r>
      <w:r w:rsidRPr="00EC4D12">
        <w:rPr>
          <w:rFonts w:cs="Arial"/>
        </w:rPr>
        <w:t xml:space="preserve"> applies to cause a statement of compatibility to be prepared in respect of that legislative instrument. This statement is in </w:t>
      </w:r>
      <w:r>
        <w:rPr>
          <w:rFonts w:cs="Arial"/>
          <w:b/>
        </w:rPr>
        <w:t>A</w:t>
      </w:r>
      <w:r w:rsidRPr="00EC4D12">
        <w:rPr>
          <w:rFonts w:cs="Arial"/>
          <w:b/>
        </w:rPr>
        <w:t>ttachment B</w:t>
      </w:r>
      <w:r w:rsidRPr="00EC4D12">
        <w:rPr>
          <w:rFonts w:cs="Arial"/>
        </w:rPr>
        <w:t>.</w:t>
      </w:r>
    </w:p>
    <w:p w:rsidR="00F648D3" w:rsidRDefault="00F648D3" w:rsidP="00E10325">
      <w:pPr>
        <w:spacing w:line="360" w:lineRule="auto"/>
        <w:rPr>
          <w:rFonts w:cs="Arial"/>
        </w:rPr>
      </w:pPr>
    </w:p>
    <w:p w:rsidR="00F648D3" w:rsidRDefault="00F648D3" w:rsidP="00E10325">
      <w:pPr>
        <w:pStyle w:val="ACMANumberedList"/>
        <w:keepNext/>
        <w:numPr>
          <w:ilvl w:val="0"/>
          <w:numId w:val="0"/>
        </w:numPr>
        <w:spacing w:line="360" w:lineRule="auto"/>
        <w:rPr>
          <w:rFonts w:ascii="Arial" w:hAnsi="Arial" w:cs="Arial"/>
          <w:b/>
          <w:color w:val="262626"/>
          <w:sz w:val="20"/>
        </w:rPr>
      </w:pPr>
      <w:r w:rsidRPr="00695E9A">
        <w:rPr>
          <w:rFonts w:ascii="Arial" w:hAnsi="Arial" w:cs="Arial"/>
          <w:b/>
          <w:color w:val="262626"/>
          <w:sz w:val="20"/>
        </w:rPr>
        <w:t>Regulatory Impact</w:t>
      </w:r>
      <w:r>
        <w:rPr>
          <w:rFonts w:ascii="Arial" w:hAnsi="Arial" w:cs="Arial"/>
          <w:b/>
          <w:color w:val="262626"/>
          <w:sz w:val="20"/>
        </w:rPr>
        <w:t xml:space="preserve"> Analysis</w:t>
      </w:r>
    </w:p>
    <w:p w:rsidR="00F648D3" w:rsidRDefault="00F648D3" w:rsidP="00E10325">
      <w:pPr>
        <w:spacing w:line="360" w:lineRule="auto"/>
        <w:contextualSpacing/>
        <w:jc w:val="both"/>
        <w:rPr>
          <w:rFonts w:cs="Arial"/>
        </w:rPr>
      </w:pPr>
      <w:r w:rsidRPr="00695E9A">
        <w:rPr>
          <w:rFonts w:cs="Arial"/>
        </w:rPr>
        <w:t>The Office of Best Practice and Regulation (</w:t>
      </w:r>
      <w:r>
        <w:rPr>
          <w:rFonts w:cs="Arial"/>
        </w:rPr>
        <w:t xml:space="preserve">the </w:t>
      </w:r>
      <w:r w:rsidR="0083299D" w:rsidRPr="0083299D">
        <w:rPr>
          <w:rFonts w:cs="Arial"/>
          <w:b/>
        </w:rPr>
        <w:t>OBPR</w:t>
      </w:r>
      <w:r w:rsidRPr="00695E9A">
        <w:rPr>
          <w:rFonts w:cs="Arial"/>
        </w:rPr>
        <w:t xml:space="preserve">) </w:t>
      </w:r>
      <w:r>
        <w:rPr>
          <w:rFonts w:cs="Arial"/>
        </w:rPr>
        <w:t>advised in August 2011 that the Determination, being an outcome of the 2.5 GHz review, is covered by the existing regulat</w:t>
      </w:r>
      <w:r w:rsidR="00117E49">
        <w:rPr>
          <w:rFonts w:cs="Arial"/>
        </w:rPr>
        <w:t>ion</w:t>
      </w:r>
      <w:r>
        <w:rPr>
          <w:rFonts w:cs="Arial"/>
        </w:rPr>
        <w:t xml:space="preserve"> impact statement (</w:t>
      </w:r>
      <w:r w:rsidR="0083299D" w:rsidRPr="0083299D">
        <w:rPr>
          <w:rFonts w:cs="Arial"/>
          <w:b/>
        </w:rPr>
        <w:t>RIS</w:t>
      </w:r>
      <w:r>
        <w:rPr>
          <w:rFonts w:cs="Arial"/>
        </w:rPr>
        <w:t xml:space="preserve">) for the 2.5 GHz review (OBPR ID 11300) and that no further RIS is required.  </w:t>
      </w:r>
    </w:p>
    <w:p w:rsidR="00C75300" w:rsidRDefault="00C75300" w:rsidP="00886996">
      <w:pPr>
        <w:spacing w:line="360" w:lineRule="auto"/>
        <w:contextualSpacing/>
        <w:jc w:val="both"/>
        <w:rPr>
          <w:rFonts w:cs="Arial"/>
        </w:rPr>
      </w:pPr>
    </w:p>
    <w:p w:rsidR="00886996" w:rsidRDefault="00886996" w:rsidP="00886996">
      <w:pPr>
        <w:spacing w:line="360" w:lineRule="auto"/>
        <w:contextualSpacing/>
        <w:jc w:val="both"/>
        <w:rPr>
          <w:rFonts w:cs="Arial"/>
        </w:rPr>
      </w:pPr>
      <w:r>
        <w:rPr>
          <w:rFonts w:cs="Arial"/>
        </w:rPr>
        <w:t>On 17 August 2012, OBPR confirmed that no further RIS is required</w:t>
      </w:r>
      <w:r w:rsidRPr="007550C9">
        <w:rPr>
          <w:rFonts w:cs="Arial"/>
        </w:rPr>
        <w:t xml:space="preserve"> </w:t>
      </w:r>
      <w:r>
        <w:rPr>
          <w:rFonts w:cs="Arial"/>
        </w:rPr>
        <w:t>as OBPR considers these Advisory Guidelines will have only minor and machinery impacts. The OBPR reference for this later assessment is ID 14150.</w:t>
      </w:r>
    </w:p>
    <w:p w:rsidR="00886996" w:rsidRDefault="00886996" w:rsidP="00E10325">
      <w:pPr>
        <w:spacing w:line="360" w:lineRule="auto"/>
        <w:rPr>
          <w:rFonts w:cs="Arial"/>
          <w:b/>
        </w:rPr>
      </w:pPr>
    </w:p>
    <w:p w:rsidR="00F648D3" w:rsidRPr="00EC4D12" w:rsidRDefault="00F648D3" w:rsidP="00E10325">
      <w:pPr>
        <w:spacing w:line="360" w:lineRule="auto"/>
        <w:rPr>
          <w:rFonts w:cs="Arial"/>
          <w:b/>
        </w:rPr>
      </w:pPr>
      <w:r w:rsidRPr="00EC4D12">
        <w:rPr>
          <w:rFonts w:cs="Arial"/>
          <w:b/>
        </w:rPr>
        <w:t xml:space="preserve">Documents </w:t>
      </w:r>
      <w:r w:rsidR="00F7606F">
        <w:rPr>
          <w:rFonts w:cs="Arial"/>
          <w:b/>
        </w:rPr>
        <w:t>I</w:t>
      </w:r>
      <w:r w:rsidRPr="00EC4D12">
        <w:rPr>
          <w:rFonts w:cs="Arial"/>
          <w:b/>
        </w:rPr>
        <w:t>ncorporated by Reference</w:t>
      </w:r>
      <w:r w:rsidR="00C52DBF">
        <w:rPr>
          <w:rFonts w:cs="Arial"/>
          <w:b/>
        </w:rPr>
        <w:t xml:space="preserve"> or </w:t>
      </w:r>
      <w:r w:rsidR="00F7606F">
        <w:rPr>
          <w:rFonts w:cs="Arial"/>
          <w:b/>
        </w:rPr>
        <w:t>O</w:t>
      </w:r>
      <w:r w:rsidR="00C52DBF">
        <w:rPr>
          <w:rFonts w:cs="Arial"/>
          <w:b/>
        </w:rPr>
        <w:t xml:space="preserve">therwise </w:t>
      </w:r>
      <w:r w:rsidR="00F7606F">
        <w:rPr>
          <w:rFonts w:cs="Arial"/>
          <w:b/>
        </w:rPr>
        <w:t xml:space="preserve">Referred </w:t>
      </w:r>
      <w:r w:rsidR="00C52DBF">
        <w:rPr>
          <w:rFonts w:cs="Arial"/>
          <w:b/>
        </w:rPr>
        <w:t>to</w:t>
      </w:r>
    </w:p>
    <w:p w:rsidR="00F648D3" w:rsidRDefault="00F648D3" w:rsidP="00441362">
      <w:pPr>
        <w:spacing w:line="360" w:lineRule="auto"/>
        <w:contextualSpacing/>
        <w:jc w:val="both"/>
        <w:rPr>
          <w:rFonts w:cs="Arial"/>
        </w:rPr>
      </w:pPr>
      <w:r>
        <w:rPr>
          <w:rFonts w:cs="Arial"/>
        </w:rPr>
        <w:t xml:space="preserve">The Determination </w:t>
      </w:r>
      <w:r w:rsidRPr="00441362">
        <w:rPr>
          <w:rFonts w:cs="Arial"/>
        </w:rPr>
        <w:t>incorporate</w:t>
      </w:r>
      <w:r>
        <w:rPr>
          <w:rFonts w:cs="Arial"/>
        </w:rPr>
        <w:t>s</w:t>
      </w:r>
      <w:r w:rsidRPr="00441362">
        <w:rPr>
          <w:rFonts w:cs="Arial"/>
        </w:rPr>
        <w:t xml:space="preserve"> </w:t>
      </w:r>
      <w:r w:rsidR="003126C6">
        <w:rPr>
          <w:rFonts w:cs="Arial"/>
        </w:rPr>
        <w:t>the following</w:t>
      </w:r>
      <w:r w:rsidRPr="00441362">
        <w:rPr>
          <w:rFonts w:cs="Arial"/>
        </w:rPr>
        <w:t xml:space="preserve"> instruments and documents</w:t>
      </w:r>
      <w:r w:rsidR="003126C6">
        <w:rPr>
          <w:rFonts w:cs="Arial"/>
        </w:rPr>
        <w:t xml:space="preserve"> by reference</w:t>
      </w:r>
      <w:r w:rsidR="00C52DBF">
        <w:rPr>
          <w:rFonts w:cs="Arial"/>
        </w:rPr>
        <w:t>, or otherwise refers to them</w:t>
      </w:r>
      <w:r>
        <w:rPr>
          <w:rFonts w:cs="Arial"/>
        </w:rPr>
        <w:t>:</w:t>
      </w:r>
      <w:r w:rsidRPr="00441362">
        <w:rPr>
          <w:rFonts w:cs="Arial"/>
        </w:rPr>
        <w:t xml:space="preserve"> </w:t>
      </w:r>
    </w:p>
    <w:p w:rsidR="00D55CE0" w:rsidRDefault="00D55CE0" w:rsidP="00D55CE0">
      <w:pPr>
        <w:numPr>
          <w:ilvl w:val="0"/>
          <w:numId w:val="47"/>
        </w:numPr>
        <w:spacing w:line="360" w:lineRule="auto"/>
        <w:ind w:left="567" w:hanging="567"/>
        <w:rPr>
          <w:rFonts w:cs="Arial"/>
        </w:rPr>
      </w:pPr>
      <w:r w:rsidRPr="004470EC">
        <w:rPr>
          <w:rFonts w:cs="Arial"/>
        </w:rPr>
        <w:t xml:space="preserve">The “Digital Elevation Model Interpretation” document published by the ACMA to provide accredited persons and/or licensees with the necessary information to achieve the same output as the ACMA from DEM-9S based on given latitude and longitude points for a single point and in calculation of the device boundary criterion. A copy of this document can be obtained from the ACMA’s website at </w:t>
      </w:r>
      <w:r w:rsidR="00B949D8" w:rsidRPr="00B949D8">
        <w:t>http://www.acma.gov.au</w:t>
      </w:r>
      <w:r w:rsidRPr="004470EC">
        <w:rPr>
          <w:rFonts w:cs="Arial"/>
        </w:rPr>
        <w:t>.</w:t>
      </w:r>
    </w:p>
    <w:p w:rsidR="00D55CE0" w:rsidRDefault="00D55CE0" w:rsidP="0083299D">
      <w:pPr>
        <w:numPr>
          <w:ilvl w:val="0"/>
          <w:numId w:val="47"/>
        </w:numPr>
        <w:spacing w:line="360" w:lineRule="auto"/>
        <w:ind w:left="567" w:hanging="567"/>
        <w:rPr>
          <w:rFonts w:cs="Arial"/>
        </w:rPr>
      </w:pPr>
      <w:r w:rsidRPr="00922A65">
        <w:rPr>
          <w:rFonts w:cs="Arial"/>
        </w:rPr>
        <w:t>The Business Operating Procedure (</w:t>
      </w:r>
      <w:r>
        <w:rPr>
          <w:rFonts w:cs="Arial"/>
        </w:rPr>
        <w:t xml:space="preserve">the </w:t>
      </w:r>
      <w:r w:rsidRPr="00263241">
        <w:rPr>
          <w:rFonts w:cs="Arial"/>
          <w:b/>
        </w:rPr>
        <w:t>BOP</w:t>
      </w:r>
      <w:r w:rsidRPr="00922A65">
        <w:rPr>
          <w:rFonts w:cs="Arial"/>
        </w:rPr>
        <w:t xml:space="preserve">) titled </w:t>
      </w:r>
      <w:r>
        <w:rPr>
          <w:rFonts w:cs="Arial"/>
        </w:rPr>
        <w:t>‘</w:t>
      </w:r>
      <w:r w:rsidRPr="00922A65">
        <w:rPr>
          <w:rFonts w:cs="Arial"/>
          <w:i/>
        </w:rPr>
        <w:t>Radiocommunications site data requirements</w:t>
      </w:r>
      <w:r w:rsidR="00A31E68">
        <w:rPr>
          <w:rFonts w:cs="Arial"/>
          <w:i/>
        </w:rPr>
        <w:t>’</w:t>
      </w:r>
      <w:r w:rsidRPr="00922A65">
        <w:rPr>
          <w:rFonts w:cs="Arial"/>
        </w:rPr>
        <w:t xml:space="preserve"> </w:t>
      </w:r>
      <w:r w:rsidR="00F7606F">
        <w:rPr>
          <w:rFonts w:cs="Arial"/>
        </w:rPr>
        <w:t xml:space="preserve"> </w:t>
      </w:r>
      <w:r w:rsidRPr="00922A65">
        <w:rPr>
          <w:rFonts w:cs="Arial"/>
        </w:rPr>
        <w:t xml:space="preserve">which is a document published by the ACMA which provides requirements for creating and managing </w:t>
      </w:r>
      <w:proofErr w:type="spellStart"/>
      <w:r w:rsidRPr="00922A65">
        <w:rPr>
          <w:rFonts w:cs="Arial"/>
        </w:rPr>
        <w:t>radiocommunications</w:t>
      </w:r>
      <w:proofErr w:type="spellEnd"/>
      <w:r w:rsidRPr="00922A65">
        <w:rPr>
          <w:rFonts w:cs="Arial"/>
        </w:rPr>
        <w:t xml:space="preserve"> site data in the ACMA's </w:t>
      </w:r>
      <w:proofErr w:type="spellStart"/>
      <w:r w:rsidRPr="00922A65">
        <w:rPr>
          <w:rFonts w:cs="Arial"/>
        </w:rPr>
        <w:t>radiocommunications</w:t>
      </w:r>
      <w:proofErr w:type="spellEnd"/>
      <w:r w:rsidRPr="00922A65">
        <w:rPr>
          <w:rFonts w:cs="Arial"/>
        </w:rPr>
        <w:t xml:space="preserve"> licensing database (</w:t>
      </w:r>
      <w:r>
        <w:rPr>
          <w:rFonts w:cs="Arial"/>
        </w:rPr>
        <w:t>‘</w:t>
      </w:r>
      <w:r w:rsidRPr="00922A65">
        <w:rPr>
          <w:rFonts w:cs="Arial"/>
        </w:rPr>
        <w:t>RADCOM</w:t>
      </w:r>
      <w:r>
        <w:rPr>
          <w:rFonts w:cs="Arial"/>
        </w:rPr>
        <w:t>’</w:t>
      </w:r>
      <w:r w:rsidRPr="00922A65">
        <w:rPr>
          <w:rFonts w:cs="Arial"/>
        </w:rPr>
        <w:t>) and via the accredited persons on-line submission system. A copy of this document can be obtained from the ACMA’s website</w:t>
      </w:r>
    </w:p>
    <w:p w:rsidR="0083299D" w:rsidRDefault="003126C6" w:rsidP="0083299D">
      <w:pPr>
        <w:numPr>
          <w:ilvl w:val="0"/>
          <w:numId w:val="47"/>
        </w:numPr>
        <w:spacing w:line="360" w:lineRule="auto"/>
        <w:ind w:left="567" w:hanging="567"/>
        <w:rPr>
          <w:rFonts w:cs="Arial"/>
        </w:rPr>
      </w:pPr>
      <w:r>
        <w:rPr>
          <w:rFonts w:cs="Arial"/>
        </w:rPr>
        <w:t xml:space="preserve">DEM-9S, which is the “GEODATA 9 Second Elevation Model (DEM-9S) Version 3” (Australia New Zealand Land Information </w:t>
      </w:r>
      <w:r w:rsidR="00764961">
        <w:rPr>
          <w:rFonts w:cs="Arial"/>
        </w:rPr>
        <w:t xml:space="preserve">Council unique identifier ANZCW070311541) containing modelled terrain height information for Australia, published by </w:t>
      </w:r>
      <w:proofErr w:type="spellStart"/>
      <w:r w:rsidR="00764961">
        <w:rPr>
          <w:rFonts w:cs="Arial"/>
        </w:rPr>
        <w:t>Geoscience</w:t>
      </w:r>
      <w:proofErr w:type="spellEnd"/>
      <w:r w:rsidR="00764961">
        <w:rPr>
          <w:rFonts w:cs="Arial"/>
        </w:rPr>
        <w:t xml:space="preserve"> Australia as in force from time to time. Copies can be obtained from </w:t>
      </w:r>
      <w:proofErr w:type="spellStart"/>
      <w:r w:rsidR="00764961">
        <w:rPr>
          <w:rFonts w:cs="Arial"/>
        </w:rPr>
        <w:t>Geoscience</w:t>
      </w:r>
      <w:proofErr w:type="spellEnd"/>
      <w:r w:rsidR="00764961">
        <w:rPr>
          <w:rFonts w:cs="Arial"/>
        </w:rPr>
        <w:t xml:space="preserve"> Australia: </w:t>
      </w:r>
      <w:r w:rsidR="00B949D8" w:rsidRPr="00B949D8">
        <w:t>www.ga.gov.au</w:t>
      </w:r>
      <w:r w:rsidR="00764961">
        <w:rPr>
          <w:rFonts w:cs="Arial"/>
        </w:rPr>
        <w:t>.</w:t>
      </w:r>
    </w:p>
    <w:p w:rsidR="0083299D" w:rsidRDefault="00764961" w:rsidP="0083299D">
      <w:pPr>
        <w:numPr>
          <w:ilvl w:val="0"/>
          <w:numId w:val="47"/>
        </w:numPr>
        <w:spacing w:line="360" w:lineRule="auto"/>
        <w:ind w:left="567" w:hanging="567"/>
        <w:rPr>
          <w:rFonts w:cs="Arial"/>
        </w:rPr>
      </w:pPr>
      <w:r>
        <w:rPr>
          <w:rFonts w:cs="Arial"/>
        </w:rPr>
        <w:t xml:space="preserve">Geocentric Datum of Australia 1994, which is the geodetic datum designed as the “Geocentric Datum of Australia (GDA94)” gazetted in the Commonwealth of Australia Gazette No. GN 35 on 6 September 1995. More information on the GDA94 can be obtained from </w:t>
      </w:r>
      <w:proofErr w:type="spellStart"/>
      <w:r>
        <w:rPr>
          <w:rFonts w:cs="Arial"/>
        </w:rPr>
        <w:t>Geoscience</w:t>
      </w:r>
      <w:proofErr w:type="spellEnd"/>
      <w:r>
        <w:rPr>
          <w:rFonts w:cs="Arial"/>
        </w:rPr>
        <w:t xml:space="preserve"> Australia: </w:t>
      </w:r>
      <w:r w:rsidR="00B949D8" w:rsidRPr="00B949D8">
        <w:t>www.ga.gov.au</w:t>
      </w:r>
      <w:r>
        <w:rPr>
          <w:rFonts w:cs="Arial"/>
        </w:rPr>
        <w:t>.</w:t>
      </w:r>
    </w:p>
    <w:p w:rsidR="0083299D" w:rsidRDefault="00764961" w:rsidP="0083299D">
      <w:pPr>
        <w:numPr>
          <w:ilvl w:val="0"/>
          <w:numId w:val="47"/>
        </w:numPr>
        <w:spacing w:line="360" w:lineRule="auto"/>
        <w:ind w:left="567" w:hanging="567"/>
        <w:rPr>
          <w:rFonts w:cs="Arial"/>
        </w:rPr>
      </w:pPr>
      <w:r>
        <w:rPr>
          <w:rFonts w:cs="Arial"/>
        </w:rPr>
        <w:t xml:space="preserve">Radio Regulations, which are the “Radio </w:t>
      </w:r>
      <w:proofErr w:type="gramStart"/>
      <w:r>
        <w:rPr>
          <w:rFonts w:cs="Arial"/>
        </w:rPr>
        <w:t>Regulations”</w:t>
      </w:r>
      <w:proofErr w:type="gramEnd"/>
      <w:r>
        <w:rPr>
          <w:rFonts w:cs="Arial"/>
        </w:rPr>
        <w:t xml:space="preserve"> published by the International Telecommunication Union</w:t>
      </w:r>
      <w:r w:rsidR="00A31E68">
        <w:rPr>
          <w:rFonts w:cs="Arial"/>
        </w:rPr>
        <w:t xml:space="preserve"> (the </w:t>
      </w:r>
      <w:r w:rsidR="00D5152D" w:rsidRPr="00D5152D">
        <w:rPr>
          <w:rFonts w:cs="Arial"/>
          <w:b/>
        </w:rPr>
        <w:t>ITU</w:t>
      </w:r>
      <w:r w:rsidR="00A31E68">
        <w:rPr>
          <w:rFonts w:cs="Arial"/>
        </w:rPr>
        <w:t>)</w:t>
      </w:r>
      <w:r>
        <w:rPr>
          <w:rFonts w:cs="Arial"/>
        </w:rPr>
        <w:t xml:space="preserve">, as in force on the day the Determination commences.  The ITU Radio Regulations </w:t>
      </w:r>
      <w:r w:rsidRPr="00D4027C">
        <w:rPr>
          <w:rFonts w:cs="Arial"/>
        </w:rPr>
        <w:t xml:space="preserve">contains Articles, Appendices, Resolutions and Recommendations of the </w:t>
      </w:r>
      <w:r w:rsidR="00A31E68">
        <w:rPr>
          <w:rFonts w:cs="Arial"/>
        </w:rPr>
        <w:t>ITU</w:t>
      </w:r>
      <w:r w:rsidRPr="00D4027C">
        <w:rPr>
          <w:rFonts w:cs="Arial"/>
        </w:rPr>
        <w:t xml:space="preserve"> relating to international </w:t>
      </w:r>
      <w:proofErr w:type="spellStart"/>
      <w:r w:rsidRPr="00D4027C">
        <w:rPr>
          <w:rFonts w:cs="Arial"/>
        </w:rPr>
        <w:t>radiocommunications</w:t>
      </w:r>
      <w:proofErr w:type="spellEnd"/>
      <w:r w:rsidRPr="00D4027C">
        <w:rPr>
          <w:rFonts w:cs="Arial"/>
        </w:rPr>
        <w:t xml:space="preserve"> coordination</w:t>
      </w:r>
      <w:r>
        <w:rPr>
          <w:rFonts w:cs="Arial"/>
        </w:rPr>
        <w:t xml:space="preserve">. This document can be found on the </w:t>
      </w:r>
      <w:r w:rsidR="00A31E68">
        <w:rPr>
          <w:rFonts w:cs="Arial"/>
        </w:rPr>
        <w:t>ITU</w:t>
      </w:r>
      <w:r>
        <w:rPr>
          <w:rFonts w:cs="Arial"/>
        </w:rPr>
        <w:t>’s internet site (</w:t>
      </w:r>
      <w:hyperlink r:id="rId9" w:history="1">
        <w:r w:rsidR="00605092" w:rsidRPr="00263968">
          <w:rPr>
            <w:rFonts w:cs="Arial"/>
          </w:rPr>
          <w:t>www.itu.int</w:t>
        </w:r>
      </w:hyperlink>
      <w:r>
        <w:rPr>
          <w:rFonts w:cs="Arial"/>
        </w:rPr>
        <w:t>).</w:t>
      </w:r>
    </w:p>
    <w:p w:rsidR="00F648D3" w:rsidRDefault="00F648D3" w:rsidP="006A377F">
      <w:pPr>
        <w:pStyle w:val="ACMABodyText"/>
        <w:spacing w:line="360" w:lineRule="auto"/>
        <w:rPr>
          <w:rFonts w:ascii="Arial" w:hAnsi="Arial" w:cs="Arial"/>
          <w:sz w:val="20"/>
        </w:rPr>
      </w:pPr>
      <w:r>
        <w:rPr>
          <w:rFonts w:ascii="Arial" w:hAnsi="Arial" w:cs="Arial"/>
          <w:sz w:val="20"/>
        </w:rPr>
        <w:t xml:space="preserve">In accordance with subsection </w:t>
      </w:r>
      <w:proofErr w:type="gramStart"/>
      <w:r>
        <w:rPr>
          <w:rFonts w:ascii="Arial" w:hAnsi="Arial" w:cs="Arial"/>
          <w:sz w:val="20"/>
        </w:rPr>
        <w:t>314A(</w:t>
      </w:r>
      <w:proofErr w:type="gramEnd"/>
      <w:r>
        <w:rPr>
          <w:rFonts w:ascii="Arial" w:hAnsi="Arial" w:cs="Arial"/>
          <w:sz w:val="20"/>
        </w:rPr>
        <w:t xml:space="preserve">2) of the Act, a legislative instrument made under the Act may incorporate a matter contained in any other instrument or writing as in force from time to time. </w:t>
      </w:r>
    </w:p>
    <w:p w:rsidR="00F648D3" w:rsidRPr="005B787B" w:rsidRDefault="00F648D3" w:rsidP="00E10325">
      <w:pPr>
        <w:spacing w:before="240" w:after="120" w:line="360" w:lineRule="auto"/>
        <w:rPr>
          <w:rFonts w:cs="Arial"/>
          <w:b/>
          <w:color w:val="262626"/>
        </w:rPr>
      </w:pPr>
      <w:r w:rsidRPr="005B787B">
        <w:rPr>
          <w:rFonts w:cs="Arial"/>
          <w:b/>
          <w:color w:val="262626"/>
        </w:rPr>
        <w:t>Detail</w:t>
      </w:r>
      <w:r>
        <w:rPr>
          <w:rFonts w:cs="Arial"/>
          <w:b/>
          <w:color w:val="262626"/>
        </w:rPr>
        <w:t xml:space="preserve">ed Description of the </w:t>
      </w:r>
      <w:r w:rsidR="00B62328">
        <w:rPr>
          <w:rFonts w:cs="Arial"/>
          <w:b/>
          <w:color w:val="262626"/>
        </w:rPr>
        <w:t>I</w:t>
      </w:r>
      <w:r>
        <w:rPr>
          <w:rFonts w:cs="Arial"/>
          <w:b/>
          <w:color w:val="262626"/>
        </w:rPr>
        <w:t>nstrument</w:t>
      </w:r>
    </w:p>
    <w:p w:rsidR="00F648D3" w:rsidRPr="005B787B" w:rsidRDefault="00F648D3" w:rsidP="00E10325">
      <w:pPr>
        <w:spacing w:before="80" w:after="120" w:line="360" w:lineRule="auto"/>
        <w:rPr>
          <w:rFonts w:cs="Arial"/>
          <w:color w:val="262626"/>
        </w:rPr>
      </w:pPr>
      <w:r>
        <w:rPr>
          <w:rFonts w:cs="Arial"/>
          <w:color w:val="262626"/>
        </w:rPr>
        <w:t>Further d</w:t>
      </w:r>
      <w:r w:rsidRPr="005B787B">
        <w:rPr>
          <w:rFonts w:cs="Arial"/>
          <w:color w:val="262626"/>
        </w:rPr>
        <w:t xml:space="preserve">etails of the </w:t>
      </w:r>
      <w:r>
        <w:rPr>
          <w:rFonts w:cs="Arial"/>
          <w:color w:val="262626"/>
        </w:rPr>
        <w:t>Determination</w:t>
      </w:r>
      <w:r w:rsidRPr="005B787B">
        <w:rPr>
          <w:rFonts w:cs="Arial"/>
          <w:color w:val="262626"/>
        </w:rPr>
        <w:t xml:space="preserve"> are provided </w:t>
      </w:r>
      <w:r>
        <w:rPr>
          <w:rFonts w:cs="Arial"/>
          <w:color w:val="262626"/>
        </w:rPr>
        <w:t>in</w:t>
      </w:r>
      <w:r w:rsidRPr="005B787B">
        <w:rPr>
          <w:rFonts w:cs="Arial"/>
          <w:color w:val="262626"/>
        </w:rPr>
        <w:t xml:space="preserve"> </w:t>
      </w:r>
      <w:r w:rsidRPr="00562229">
        <w:rPr>
          <w:rFonts w:cs="Arial"/>
          <w:b/>
          <w:color w:val="262626"/>
        </w:rPr>
        <w:t>Attachment A</w:t>
      </w:r>
      <w:r w:rsidRPr="005B787B">
        <w:rPr>
          <w:rFonts w:cs="Arial"/>
          <w:color w:val="262626"/>
        </w:rPr>
        <w:t>.</w:t>
      </w:r>
    </w:p>
    <w:p w:rsidR="00F648D3" w:rsidRPr="00E818EB" w:rsidRDefault="00F648D3" w:rsidP="00E10325">
      <w:pPr>
        <w:spacing w:line="360" w:lineRule="auto"/>
        <w:jc w:val="right"/>
        <w:rPr>
          <w:rFonts w:cs="Arial"/>
          <w:b/>
        </w:rPr>
      </w:pPr>
      <w:r w:rsidRPr="00E818EB">
        <w:rPr>
          <w:rFonts w:cs="Arial"/>
        </w:rPr>
        <w:br w:type="page"/>
      </w:r>
      <w:r w:rsidRPr="00E818EB">
        <w:rPr>
          <w:rFonts w:cs="Arial"/>
          <w:b/>
        </w:rPr>
        <w:t xml:space="preserve">ATTACHMENT </w:t>
      </w:r>
      <w:r>
        <w:rPr>
          <w:rFonts w:cs="Arial"/>
          <w:b/>
        </w:rPr>
        <w:t>A</w:t>
      </w:r>
    </w:p>
    <w:p w:rsidR="00F648D3" w:rsidRPr="00E818EB" w:rsidRDefault="00F648D3" w:rsidP="00E10325">
      <w:pPr>
        <w:spacing w:line="360" w:lineRule="auto"/>
        <w:rPr>
          <w:rFonts w:cs="Arial"/>
          <w:b/>
        </w:rPr>
      </w:pPr>
    </w:p>
    <w:p w:rsidR="00F648D3" w:rsidRPr="00E818EB" w:rsidRDefault="00F648D3" w:rsidP="00E10325">
      <w:pPr>
        <w:spacing w:before="120" w:after="120" w:line="240" w:lineRule="atLeast"/>
        <w:jc w:val="center"/>
        <w:rPr>
          <w:rFonts w:cs="Arial"/>
          <w:b/>
          <w:i/>
        </w:rPr>
      </w:pPr>
      <w:r w:rsidRPr="00EC4D12">
        <w:rPr>
          <w:rFonts w:cs="Arial"/>
          <w:b/>
        </w:rPr>
        <w:t>DETAILS OF THE</w:t>
      </w:r>
      <w:r w:rsidRPr="00E10325">
        <w:rPr>
          <w:rFonts w:cs="Arial"/>
          <w:b/>
          <w:i/>
        </w:rPr>
        <w:t xml:space="preserve"> </w:t>
      </w:r>
      <w:r w:rsidRPr="00485124">
        <w:rPr>
          <w:b/>
          <w:i/>
        </w:rPr>
        <w:t>RADIOCOMMUNICATIONS (UNACCEPTABLE LEVELS OF INTERFERENCE – 2.5 GH</w:t>
      </w:r>
      <w:r w:rsidR="00915981">
        <w:rPr>
          <w:b/>
          <w:i/>
        </w:rPr>
        <w:t>z</w:t>
      </w:r>
      <w:r w:rsidRPr="00485124">
        <w:rPr>
          <w:b/>
          <w:i/>
        </w:rPr>
        <w:t xml:space="preserve"> BAND) DETERMINATION 2012</w:t>
      </w:r>
      <w:r w:rsidRPr="00E818EB">
        <w:rPr>
          <w:rFonts w:cs="Arial"/>
          <w:b/>
          <w:i/>
        </w:rPr>
        <w:t xml:space="preserve"> </w:t>
      </w:r>
    </w:p>
    <w:p w:rsidR="00F648D3" w:rsidRPr="00E818EB" w:rsidRDefault="00F648D3" w:rsidP="00E10325">
      <w:pPr>
        <w:spacing w:line="360" w:lineRule="auto"/>
        <w:rPr>
          <w:rFonts w:cs="Arial"/>
          <w:b/>
        </w:rPr>
      </w:pPr>
    </w:p>
    <w:p w:rsidR="00F648D3" w:rsidRPr="00BF4F62" w:rsidRDefault="00F648D3" w:rsidP="00E10325">
      <w:pPr>
        <w:pStyle w:val="Heading2"/>
        <w:spacing w:line="360" w:lineRule="auto"/>
        <w:rPr>
          <w:i w:val="0"/>
          <w:sz w:val="20"/>
        </w:rPr>
      </w:pPr>
      <w:bookmarkStart w:id="2" w:name="_Toc78106018"/>
      <w:r w:rsidRPr="00EA4BE7">
        <w:rPr>
          <w:i w:val="0"/>
          <w:sz w:val="20"/>
        </w:rPr>
        <w:t>Section 1</w:t>
      </w:r>
      <w:r w:rsidRPr="00EA4BE7">
        <w:rPr>
          <w:i w:val="0"/>
          <w:sz w:val="20"/>
        </w:rPr>
        <w:tab/>
      </w:r>
      <w:r w:rsidRPr="00EA4BE7">
        <w:rPr>
          <w:i w:val="0"/>
          <w:sz w:val="20"/>
        </w:rPr>
        <w:tab/>
        <w:t xml:space="preserve">Name of </w:t>
      </w:r>
      <w:bookmarkEnd w:id="2"/>
      <w:r>
        <w:rPr>
          <w:i w:val="0"/>
          <w:sz w:val="20"/>
        </w:rPr>
        <w:t>Determination</w:t>
      </w:r>
    </w:p>
    <w:p w:rsidR="00F648D3" w:rsidRPr="00E818EB" w:rsidRDefault="00F648D3" w:rsidP="00E10325">
      <w:pPr>
        <w:spacing w:line="360" w:lineRule="auto"/>
        <w:rPr>
          <w:rFonts w:cs="Arial"/>
        </w:rPr>
      </w:pPr>
      <w:r w:rsidRPr="00E818EB">
        <w:rPr>
          <w:rFonts w:cs="Arial"/>
        </w:rPr>
        <w:t xml:space="preserve">Section 1 provides the </w:t>
      </w:r>
      <w:r>
        <w:rPr>
          <w:rFonts w:cs="Arial"/>
        </w:rPr>
        <w:t xml:space="preserve">citation </w:t>
      </w:r>
      <w:r w:rsidRPr="00E818EB">
        <w:rPr>
          <w:rFonts w:cs="Arial"/>
        </w:rPr>
        <w:t xml:space="preserve">of the </w:t>
      </w:r>
      <w:r>
        <w:rPr>
          <w:rFonts w:cs="Arial"/>
        </w:rPr>
        <w:t>Determination</w:t>
      </w:r>
      <w:r w:rsidRPr="00E818EB">
        <w:rPr>
          <w:rFonts w:cs="Arial"/>
        </w:rPr>
        <w:t>.</w:t>
      </w:r>
    </w:p>
    <w:p w:rsidR="00F648D3" w:rsidRPr="00BF4F62" w:rsidRDefault="00F648D3" w:rsidP="00E10325">
      <w:pPr>
        <w:pStyle w:val="Heading2"/>
        <w:spacing w:line="360" w:lineRule="auto"/>
        <w:rPr>
          <w:i w:val="0"/>
          <w:sz w:val="20"/>
        </w:rPr>
      </w:pPr>
      <w:bookmarkStart w:id="3" w:name="_Toc78106019"/>
      <w:r w:rsidRPr="00EA4BE7">
        <w:rPr>
          <w:i w:val="0"/>
          <w:sz w:val="20"/>
        </w:rPr>
        <w:t>Section 2</w:t>
      </w:r>
      <w:r w:rsidRPr="00EA4BE7">
        <w:rPr>
          <w:rStyle w:val="CharSectno"/>
          <w:rFonts w:cs="Arial"/>
          <w:i w:val="0"/>
          <w:sz w:val="20"/>
        </w:rPr>
        <w:tab/>
      </w:r>
      <w:r w:rsidRPr="00EA4BE7">
        <w:rPr>
          <w:rStyle w:val="CharSectno"/>
          <w:rFonts w:cs="Arial"/>
          <w:i w:val="0"/>
          <w:sz w:val="20"/>
        </w:rPr>
        <w:tab/>
      </w:r>
      <w:r w:rsidRPr="00EA4BE7">
        <w:rPr>
          <w:i w:val="0"/>
          <w:sz w:val="20"/>
        </w:rPr>
        <w:t>Commencement</w:t>
      </w:r>
      <w:bookmarkEnd w:id="3"/>
    </w:p>
    <w:p w:rsidR="00F648D3" w:rsidRPr="00E818EB" w:rsidRDefault="00F648D3" w:rsidP="00E10325">
      <w:pPr>
        <w:spacing w:line="360" w:lineRule="auto"/>
        <w:jc w:val="both"/>
        <w:rPr>
          <w:rFonts w:cs="Arial"/>
          <w:lang w:val="en-US"/>
        </w:rPr>
      </w:pPr>
      <w:r>
        <w:rPr>
          <w:rFonts w:cs="Arial"/>
          <w:lang w:val="en-US"/>
        </w:rPr>
        <w:t>This s</w:t>
      </w:r>
      <w:r w:rsidRPr="00E818EB">
        <w:rPr>
          <w:rFonts w:cs="Arial"/>
          <w:lang w:val="en-US"/>
        </w:rPr>
        <w:t xml:space="preserve">ection provides that the </w:t>
      </w:r>
      <w:r>
        <w:rPr>
          <w:rFonts w:cs="Arial"/>
          <w:lang w:val="en-US"/>
        </w:rPr>
        <w:t>Determination</w:t>
      </w:r>
      <w:r w:rsidRPr="00E818EB">
        <w:rPr>
          <w:rFonts w:cs="Arial"/>
          <w:lang w:val="en-US"/>
        </w:rPr>
        <w:t xml:space="preserve"> commences on </w:t>
      </w:r>
      <w:r>
        <w:rPr>
          <w:rFonts w:cs="Arial"/>
          <w:lang w:val="en-US"/>
        </w:rPr>
        <w:t xml:space="preserve">the day </w:t>
      </w:r>
      <w:r w:rsidR="006A049A">
        <w:rPr>
          <w:rFonts w:cs="Arial"/>
          <w:lang w:val="en-US"/>
        </w:rPr>
        <w:t>after it is registered</w:t>
      </w:r>
      <w:r>
        <w:rPr>
          <w:rFonts w:cs="Arial"/>
          <w:lang w:val="en-US"/>
        </w:rPr>
        <w:t xml:space="preserve">. </w:t>
      </w:r>
    </w:p>
    <w:p w:rsidR="00F648D3" w:rsidRDefault="00F648D3" w:rsidP="00E10325">
      <w:pPr>
        <w:pStyle w:val="Heading2"/>
        <w:spacing w:line="360" w:lineRule="auto"/>
        <w:rPr>
          <w:i w:val="0"/>
          <w:sz w:val="20"/>
        </w:rPr>
      </w:pPr>
      <w:bookmarkStart w:id="4" w:name="_Toc78106021"/>
      <w:r w:rsidRPr="00EA4BE7">
        <w:rPr>
          <w:i w:val="0"/>
          <w:sz w:val="20"/>
        </w:rPr>
        <w:t>Section 3</w:t>
      </w:r>
      <w:bookmarkEnd w:id="4"/>
      <w:r>
        <w:rPr>
          <w:i w:val="0"/>
          <w:sz w:val="20"/>
        </w:rPr>
        <w:tab/>
      </w:r>
      <w:r>
        <w:rPr>
          <w:i w:val="0"/>
          <w:sz w:val="20"/>
        </w:rPr>
        <w:tab/>
        <w:t xml:space="preserve">Purpose </w:t>
      </w:r>
    </w:p>
    <w:p w:rsidR="00F648D3" w:rsidRDefault="00F648D3" w:rsidP="00E10325">
      <w:pPr>
        <w:pStyle w:val="ACMABodyText"/>
        <w:spacing w:line="360" w:lineRule="auto"/>
        <w:jc w:val="both"/>
        <w:rPr>
          <w:rFonts w:ascii="Arial" w:hAnsi="Arial" w:cs="Arial"/>
          <w:sz w:val="20"/>
        </w:rPr>
      </w:pPr>
      <w:r w:rsidRPr="008A6881">
        <w:rPr>
          <w:rFonts w:ascii="Arial" w:hAnsi="Arial" w:cs="Arial"/>
          <w:sz w:val="20"/>
        </w:rPr>
        <w:t xml:space="preserve">This section states the purpose of the Determination, which is to set out the technical rules defining what will be considered unacceptable levels of interference when a licensee applies to </w:t>
      </w:r>
      <w:r w:rsidR="00A3099F">
        <w:rPr>
          <w:rFonts w:ascii="Arial" w:hAnsi="Arial" w:cs="Arial"/>
          <w:sz w:val="20"/>
        </w:rPr>
        <w:t xml:space="preserve">the </w:t>
      </w:r>
      <w:r w:rsidRPr="008A6881">
        <w:rPr>
          <w:rFonts w:ascii="Arial" w:hAnsi="Arial" w:cs="Arial"/>
          <w:sz w:val="20"/>
        </w:rPr>
        <w:t xml:space="preserve">ACMA to register </w:t>
      </w:r>
      <w:r w:rsidR="00A3099F">
        <w:rPr>
          <w:rFonts w:ascii="Arial" w:hAnsi="Arial" w:cs="Arial"/>
          <w:sz w:val="20"/>
        </w:rPr>
        <w:t xml:space="preserve">a </w:t>
      </w:r>
      <w:r w:rsidRPr="008A6881">
        <w:rPr>
          <w:rFonts w:ascii="Arial" w:hAnsi="Arial" w:cs="Arial"/>
          <w:sz w:val="20"/>
        </w:rPr>
        <w:t>transmitter for operation in the 2.</w:t>
      </w:r>
      <w:r>
        <w:rPr>
          <w:rFonts w:ascii="Arial" w:hAnsi="Arial" w:cs="Arial"/>
          <w:sz w:val="20"/>
        </w:rPr>
        <w:t>5</w:t>
      </w:r>
      <w:r w:rsidRPr="008A6881">
        <w:rPr>
          <w:rFonts w:ascii="Arial" w:hAnsi="Arial" w:cs="Arial"/>
          <w:sz w:val="20"/>
        </w:rPr>
        <w:t xml:space="preserve"> GHz band.</w:t>
      </w:r>
      <w:r>
        <w:rPr>
          <w:rFonts w:ascii="Arial" w:hAnsi="Arial" w:cs="Arial"/>
          <w:sz w:val="20"/>
        </w:rPr>
        <w:t xml:space="preserve"> </w:t>
      </w:r>
      <w:r w:rsidR="003040FA">
        <w:rPr>
          <w:rFonts w:ascii="Arial" w:hAnsi="Arial" w:cs="Arial"/>
          <w:sz w:val="20"/>
        </w:rPr>
        <w:t xml:space="preserve">The unacceptable level of interference is defined so as to ensure that high emission levels from spectrum-licensed </w:t>
      </w:r>
      <w:proofErr w:type="spellStart"/>
      <w:r w:rsidR="003040FA">
        <w:rPr>
          <w:rFonts w:ascii="Arial" w:hAnsi="Arial" w:cs="Arial"/>
          <w:sz w:val="20"/>
        </w:rPr>
        <w:t>radiocommunications</w:t>
      </w:r>
      <w:proofErr w:type="spellEnd"/>
      <w:r w:rsidR="003040FA">
        <w:rPr>
          <w:rFonts w:ascii="Arial" w:hAnsi="Arial" w:cs="Arial"/>
          <w:sz w:val="20"/>
        </w:rPr>
        <w:t xml:space="preserve"> are contained within the geographic area and frequency bands of the licence. </w:t>
      </w:r>
      <w:r>
        <w:rPr>
          <w:rFonts w:ascii="Arial" w:hAnsi="Arial" w:cs="Arial"/>
          <w:sz w:val="20"/>
        </w:rPr>
        <w:t>There are three notes</w:t>
      </w:r>
      <w:r w:rsidR="003040FA">
        <w:rPr>
          <w:rFonts w:ascii="Arial" w:hAnsi="Arial" w:cs="Arial"/>
          <w:sz w:val="20"/>
        </w:rPr>
        <w:t xml:space="preserve"> that clarify and provide further information about the purpose of the Determination</w:t>
      </w:r>
      <w:r>
        <w:rPr>
          <w:rFonts w:ascii="Arial" w:hAnsi="Arial" w:cs="Arial"/>
          <w:sz w:val="20"/>
        </w:rPr>
        <w:t>.</w:t>
      </w:r>
    </w:p>
    <w:p w:rsidR="00F648D3" w:rsidRDefault="00F648D3" w:rsidP="00E10325">
      <w:pPr>
        <w:pStyle w:val="ACMABodyText"/>
        <w:spacing w:line="360" w:lineRule="auto"/>
        <w:rPr>
          <w:rFonts w:ascii="Arial" w:hAnsi="Arial" w:cs="Arial"/>
          <w:sz w:val="20"/>
        </w:rPr>
      </w:pPr>
      <w:r>
        <w:rPr>
          <w:rFonts w:ascii="Arial" w:hAnsi="Arial" w:cs="Arial"/>
          <w:sz w:val="20"/>
        </w:rPr>
        <w:t xml:space="preserve">Note 1 explains that the ACMA may refuse to register a device under a spectrum licence if it believes it will cause unacceptable interference under subsection 145(1) of the Act. </w:t>
      </w:r>
    </w:p>
    <w:p w:rsidR="00F648D3" w:rsidRPr="00B718FD" w:rsidRDefault="00F648D3" w:rsidP="00E10325">
      <w:pPr>
        <w:pStyle w:val="ACMABodyText"/>
        <w:spacing w:line="360" w:lineRule="auto"/>
        <w:rPr>
          <w:rFonts w:ascii="Arial" w:hAnsi="Arial" w:cs="Arial"/>
          <w:sz w:val="20"/>
        </w:rPr>
      </w:pPr>
      <w:r>
        <w:rPr>
          <w:rFonts w:ascii="Arial" w:hAnsi="Arial" w:cs="Arial"/>
          <w:sz w:val="20"/>
        </w:rPr>
        <w:t xml:space="preserve">Note 2 </w:t>
      </w:r>
      <w:proofErr w:type="gramStart"/>
      <w:r>
        <w:rPr>
          <w:rFonts w:ascii="Arial" w:hAnsi="Arial" w:cs="Arial"/>
          <w:sz w:val="20"/>
        </w:rPr>
        <w:t>indicates</w:t>
      </w:r>
      <w:proofErr w:type="gramEnd"/>
      <w:r>
        <w:rPr>
          <w:rFonts w:ascii="Arial" w:hAnsi="Arial" w:cs="Arial"/>
          <w:sz w:val="20"/>
        </w:rPr>
        <w:t xml:space="preserve"> that the ACMA may register a transmitter even if it could cause unacceptable interference as defined in the Determination in certain circumstances. The note refers to an information paper, titled </w:t>
      </w:r>
      <w:r>
        <w:rPr>
          <w:rFonts w:ascii="Arial" w:hAnsi="Arial" w:cs="Arial"/>
          <w:i/>
          <w:sz w:val="20"/>
        </w:rPr>
        <w:t xml:space="preserve">Registration of </w:t>
      </w:r>
      <w:proofErr w:type="spellStart"/>
      <w:r>
        <w:rPr>
          <w:rFonts w:ascii="Arial" w:hAnsi="Arial" w:cs="Arial"/>
          <w:i/>
          <w:sz w:val="20"/>
        </w:rPr>
        <w:t>radiocommunications</w:t>
      </w:r>
      <w:proofErr w:type="spellEnd"/>
      <w:r>
        <w:rPr>
          <w:rFonts w:ascii="Arial" w:hAnsi="Arial" w:cs="Arial"/>
          <w:i/>
          <w:sz w:val="20"/>
        </w:rPr>
        <w:t xml:space="preserve"> devices under spectrum licences</w:t>
      </w:r>
      <w:r>
        <w:rPr>
          <w:rFonts w:ascii="Arial" w:hAnsi="Arial" w:cs="Arial"/>
          <w:sz w:val="20"/>
        </w:rPr>
        <w:t>, which is available from the ACMA’s website, which provides guidance to licensees on when the ACMA may choose to exercise this discretion.</w:t>
      </w:r>
    </w:p>
    <w:p w:rsidR="00F648D3" w:rsidRPr="008A6881" w:rsidRDefault="00F648D3" w:rsidP="00E10325">
      <w:pPr>
        <w:pStyle w:val="ACMABodyText"/>
        <w:spacing w:line="360" w:lineRule="auto"/>
        <w:rPr>
          <w:rFonts w:ascii="Arial" w:hAnsi="Arial" w:cs="Arial"/>
          <w:sz w:val="20"/>
        </w:rPr>
      </w:pPr>
      <w:r>
        <w:rPr>
          <w:rFonts w:ascii="Arial" w:hAnsi="Arial" w:cs="Arial"/>
          <w:sz w:val="20"/>
        </w:rPr>
        <w:t>Note 3 indicates that the ACMA will also take into consideration two Advisory Guidelines made under section 262 of the Act when determining if a transmitter is likely to cause unacceptable interference and explains where these guidelines can be obtained.</w:t>
      </w:r>
    </w:p>
    <w:p w:rsidR="00F648D3" w:rsidRPr="00BF4F62" w:rsidRDefault="00F648D3" w:rsidP="00E10325">
      <w:pPr>
        <w:pStyle w:val="Heading2"/>
        <w:spacing w:line="360" w:lineRule="auto"/>
        <w:rPr>
          <w:rStyle w:val="CharSectno"/>
          <w:rFonts w:cs="Arial"/>
          <w:i w:val="0"/>
          <w:sz w:val="20"/>
        </w:rPr>
      </w:pPr>
      <w:r w:rsidRPr="00EA4BE7">
        <w:rPr>
          <w:i w:val="0"/>
          <w:sz w:val="20"/>
        </w:rPr>
        <w:t>Section 4</w:t>
      </w:r>
      <w:r w:rsidRPr="00EA4BE7">
        <w:rPr>
          <w:rStyle w:val="CharSectno"/>
          <w:rFonts w:cs="Arial"/>
          <w:i w:val="0"/>
          <w:sz w:val="20"/>
        </w:rPr>
        <w:tab/>
      </w:r>
      <w:r w:rsidRPr="00EA4BE7">
        <w:rPr>
          <w:rStyle w:val="CharSectno"/>
          <w:rFonts w:cs="Arial"/>
          <w:i w:val="0"/>
          <w:sz w:val="20"/>
        </w:rPr>
        <w:tab/>
      </w:r>
      <w:r>
        <w:rPr>
          <w:i w:val="0"/>
          <w:sz w:val="20"/>
        </w:rPr>
        <w:t>Interpretation</w:t>
      </w:r>
    </w:p>
    <w:p w:rsidR="00F648D3" w:rsidRDefault="00F648D3" w:rsidP="00E10325">
      <w:pPr>
        <w:spacing w:line="360" w:lineRule="auto"/>
        <w:rPr>
          <w:rFonts w:cs="Arial"/>
          <w:lang w:val="en-US"/>
        </w:rPr>
      </w:pPr>
      <w:r w:rsidRPr="00C85581">
        <w:rPr>
          <w:rFonts w:cs="Arial"/>
          <w:lang w:val="en-US"/>
        </w:rPr>
        <w:t xml:space="preserve">Section </w:t>
      </w:r>
      <w:r>
        <w:rPr>
          <w:rFonts w:cs="Arial"/>
          <w:lang w:val="en-US"/>
        </w:rPr>
        <w:t>4</w:t>
      </w:r>
      <w:r w:rsidRPr="00C85581">
        <w:rPr>
          <w:rFonts w:cs="Arial"/>
          <w:lang w:val="en-US"/>
        </w:rPr>
        <w:t xml:space="preserve"> provides</w:t>
      </w:r>
      <w:r>
        <w:rPr>
          <w:rFonts w:cs="Arial"/>
          <w:lang w:val="en-US"/>
        </w:rPr>
        <w:t xml:space="preserve"> definitions for terms used in the Determination.</w:t>
      </w:r>
    </w:p>
    <w:p w:rsidR="00F648D3" w:rsidRDefault="00F648D3" w:rsidP="00E10325">
      <w:pPr>
        <w:pStyle w:val="Heading2"/>
        <w:spacing w:line="360" w:lineRule="auto"/>
        <w:rPr>
          <w:i w:val="0"/>
          <w:sz w:val="20"/>
        </w:rPr>
      </w:pPr>
      <w:r w:rsidRPr="00EA4BE7">
        <w:rPr>
          <w:i w:val="0"/>
          <w:sz w:val="20"/>
        </w:rPr>
        <w:t>Section</w:t>
      </w:r>
      <w:r>
        <w:rPr>
          <w:i w:val="0"/>
          <w:sz w:val="20"/>
        </w:rPr>
        <w:t xml:space="preserve"> 5 </w:t>
      </w:r>
      <w:r>
        <w:rPr>
          <w:i w:val="0"/>
          <w:sz w:val="20"/>
        </w:rPr>
        <w:tab/>
      </w:r>
      <w:r>
        <w:rPr>
          <w:i w:val="0"/>
          <w:sz w:val="20"/>
        </w:rPr>
        <w:tab/>
        <w:t>Emission designator</w:t>
      </w:r>
    </w:p>
    <w:p w:rsidR="00F648D3" w:rsidRPr="003F521D" w:rsidRDefault="00F648D3" w:rsidP="00E10325">
      <w:pPr>
        <w:spacing w:line="360" w:lineRule="auto"/>
        <w:rPr>
          <w:lang w:eastAsia="en-AU" w:bidi="ar-SA"/>
        </w:rPr>
      </w:pPr>
      <w:r>
        <w:rPr>
          <w:lang w:eastAsia="en-AU" w:bidi="ar-SA"/>
        </w:rPr>
        <w:t xml:space="preserve">This section clarifies that for the purposes of determining the emission designation of a transmitter for the purposes of registration, </w:t>
      </w:r>
      <w:r>
        <w:rPr>
          <w:rFonts w:cs="Arial"/>
        </w:rPr>
        <w:t>the occupied bandwidth of the transmitter should be used as the bandwidth</w:t>
      </w:r>
      <w:r>
        <w:rPr>
          <w:lang w:eastAsia="en-AU" w:bidi="ar-SA"/>
        </w:rPr>
        <w:t>.</w:t>
      </w:r>
      <w:r w:rsidR="003040FA">
        <w:rPr>
          <w:lang w:eastAsia="en-AU" w:bidi="ar-SA"/>
        </w:rPr>
        <w:t xml:space="preserve"> The designation of a </w:t>
      </w:r>
      <w:proofErr w:type="spellStart"/>
      <w:r w:rsidR="003040FA">
        <w:rPr>
          <w:lang w:eastAsia="en-AU" w:bidi="ar-SA"/>
        </w:rPr>
        <w:t>radiocommunications</w:t>
      </w:r>
      <w:proofErr w:type="spellEnd"/>
      <w:r w:rsidR="003040FA">
        <w:rPr>
          <w:lang w:eastAsia="en-AU" w:bidi="ar-SA"/>
        </w:rPr>
        <w:t xml:space="preserve"> transmitter’s emission is relevant </w:t>
      </w:r>
      <w:r w:rsidR="00436D0A">
        <w:rPr>
          <w:lang w:eastAsia="en-AU" w:bidi="ar-SA"/>
        </w:rPr>
        <w:t xml:space="preserve">for the coordination and identification of radio emissions and is also used </w:t>
      </w:r>
      <w:r w:rsidR="003040FA">
        <w:rPr>
          <w:lang w:eastAsia="en-AU" w:bidi="ar-SA"/>
        </w:rPr>
        <w:t>when determining whether</w:t>
      </w:r>
      <w:r w:rsidR="00217C3D">
        <w:rPr>
          <w:lang w:eastAsia="en-AU" w:bidi="ar-SA"/>
        </w:rPr>
        <w:t xml:space="preserve"> two</w:t>
      </w:r>
      <w:r w:rsidR="003040FA">
        <w:rPr>
          <w:lang w:eastAsia="en-AU" w:bidi="ar-SA"/>
        </w:rPr>
        <w:t xml:space="preserve"> or more fixed transmitters are a group of </w:t>
      </w:r>
      <w:proofErr w:type="spellStart"/>
      <w:r w:rsidR="003040FA">
        <w:rPr>
          <w:lang w:eastAsia="en-AU" w:bidi="ar-SA"/>
        </w:rPr>
        <w:t>radiocommunications</w:t>
      </w:r>
      <w:proofErr w:type="spellEnd"/>
      <w:r w:rsidR="003040FA">
        <w:rPr>
          <w:lang w:eastAsia="en-AU" w:bidi="ar-SA"/>
        </w:rPr>
        <w:t xml:space="preserve"> transmitters under section 6 and is a registration requirement.</w:t>
      </w:r>
    </w:p>
    <w:p w:rsidR="00F648D3" w:rsidRDefault="00F648D3" w:rsidP="00E10325">
      <w:pPr>
        <w:pStyle w:val="Heading2"/>
        <w:spacing w:line="360" w:lineRule="auto"/>
        <w:rPr>
          <w:i w:val="0"/>
          <w:sz w:val="20"/>
        </w:rPr>
      </w:pPr>
      <w:r>
        <w:rPr>
          <w:i w:val="0"/>
          <w:sz w:val="20"/>
        </w:rPr>
        <w:t>Section 6</w:t>
      </w:r>
      <w:r>
        <w:rPr>
          <w:i w:val="0"/>
          <w:sz w:val="20"/>
        </w:rPr>
        <w:tab/>
      </w:r>
      <w:r>
        <w:rPr>
          <w:i w:val="0"/>
          <w:sz w:val="20"/>
        </w:rPr>
        <w:tab/>
        <w:t xml:space="preserve">Group of </w:t>
      </w:r>
      <w:proofErr w:type="spellStart"/>
      <w:r>
        <w:rPr>
          <w:i w:val="0"/>
          <w:sz w:val="20"/>
        </w:rPr>
        <w:t>radiocommunications</w:t>
      </w:r>
      <w:proofErr w:type="spellEnd"/>
      <w:r>
        <w:rPr>
          <w:i w:val="0"/>
          <w:sz w:val="20"/>
        </w:rPr>
        <w:t xml:space="preserve"> transmitters</w:t>
      </w:r>
    </w:p>
    <w:p w:rsidR="00F648D3" w:rsidRPr="008A6881" w:rsidRDefault="00F648D3" w:rsidP="00E10325">
      <w:pPr>
        <w:pStyle w:val="ACMABodyText"/>
        <w:spacing w:line="360" w:lineRule="auto"/>
        <w:jc w:val="both"/>
        <w:rPr>
          <w:rFonts w:ascii="Arial" w:hAnsi="Arial" w:cs="Arial"/>
          <w:sz w:val="20"/>
        </w:rPr>
      </w:pPr>
      <w:r w:rsidRPr="008A6881">
        <w:rPr>
          <w:rFonts w:ascii="Arial" w:hAnsi="Arial" w:cs="Arial"/>
          <w:sz w:val="20"/>
        </w:rPr>
        <w:t xml:space="preserve">This section defines what ‘a group of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 xml:space="preserve">transmitters’ </w:t>
      </w:r>
      <w:r>
        <w:rPr>
          <w:rFonts w:ascii="Arial" w:hAnsi="Arial" w:cs="Arial"/>
          <w:sz w:val="20"/>
        </w:rPr>
        <w:t xml:space="preserve">is </w:t>
      </w:r>
      <w:r w:rsidRPr="008A6881">
        <w:rPr>
          <w:rFonts w:ascii="Arial" w:hAnsi="Arial" w:cs="Arial"/>
          <w:sz w:val="20"/>
        </w:rPr>
        <w:t xml:space="preserve">for the purpose of the Determination. A group of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 xml:space="preserve">transmitters consists of two or more fixed transmitters </w:t>
      </w:r>
      <w:r>
        <w:rPr>
          <w:rFonts w:ascii="Arial" w:hAnsi="Arial" w:cs="Arial"/>
          <w:sz w:val="20"/>
        </w:rPr>
        <w:t xml:space="preserve">at a common site </w:t>
      </w:r>
      <w:r w:rsidRPr="008A6881">
        <w:rPr>
          <w:rFonts w:ascii="Arial" w:hAnsi="Arial" w:cs="Arial"/>
          <w:sz w:val="20"/>
        </w:rPr>
        <w:t>that have common features</w:t>
      </w:r>
      <w:r>
        <w:rPr>
          <w:rFonts w:ascii="Arial" w:hAnsi="Arial" w:cs="Arial"/>
          <w:sz w:val="20"/>
        </w:rPr>
        <w:t>.</w:t>
      </w:r>
      <w:r w:rsidR="00617E87">
        <w:rPr>
          <w:rFonts w:ascii="Arial" w:hAnsi="Arial" w:cs="Arial"/>
          <w:sz w:val="20"/>
        </w:rPr>
        <w:t xml:space="preserve"> Definition of </w:t>
      </w:r>
      <w:proofErr w:type="spellStart"/>
      <w:r w:rsidR="00617E87">
        <w:rPr>
          <w:rFonts w:ascii="Arial" w:hAnsi="Arial" w:cs="Arial"/>
          <w:sz w:val="20"/>
        </w:rPr>
        <w:t>radiocommunications</w:t>
      </w:r>
      <w:proofErr w:type="spellEnd"/>
      <w:r w:rsidR="00617E87">
        <w:rPr>
          <w:rFonts w:ascii="Arial" w:hAnsi="Arial" w:cs="Arial"/>
          <w:sz w:val="20"/>
        </w:rPr>
        <w:t xml:space="preserve"> transmitters as a group may make registration of devices easier for licensees. </w:t>
      </w:r>
    </w:p>
    <w:p w:rsidR="00F648D3" w:rsidRPr="00BF4F62" w:rsidRDefault="00F648D3" w:rsidP="00E10325">
      <w:pPr>
        <w:pStyle w:val="Heading2"/>
        <w:spacing w:line="360" w:lineRule="auto"/>
        <w:ind w:left="1440" w:hanging="1440"/>
        <w:rPr>
          <w:rStyle w:val="CharSectno"/>
          <w:rFonts w:cs="Arial"/>
          <w:i w:val="0"/>
          <w:sz w:val="20"/>
        </w:rPr>
      </w:pPr>
      <w:r>
        <w:rPr>
          <w:i w:val="0"/>
          <w:sz w:val="20"/>
        </w:rPr>
        <w:t>Section 7</w:t>
      </w:r>
      <w:r w:rsidRPr="00EA4BE7">
        <w:rPr>
          <w:rStyle w:val="CharSectno"/>
          <w:rFonts w:cs="Arial"/>
          <w:i w:val="0"/>
          <w:sz w:val="20"/>
        </w:rPr>
        <w:tab/>
      </w:r>
      <w:r>
        <w:rPr>
          <w:rStyle w:val="CharSectno"/>
          <w:rFonts w:cs="Arial"/>
          <w:i w:val="0"/>
          <w:sz w:val="20"/>
        </w:rPr>
        <w:tab/>
        <w:t xml:space="preserve">Group of </w:t>
      </w:r>
      <w:proofErr w:type="spellStart"/>
      <w:r>
        <w:rPr>
          <w:rStyle w:val="CharSectno"/>
          <w:rFonts w:cs="Arial"/>
          <w:i w:val="0"/>
          <w:sz w:val="20"/>
        </w:rPr>
        <w:t>radiocommunications</w:t>
      </w:r>
      <w:proofErr w:type="spellEnd"/>
      <w:r>
        <w:rPr>
          <w:rStyle w:val="CharSectno"/>
          <w:rFonts w:cs="Arial"/>
          <w:i w:val="0"/>
          <w:sz w:val="20"/>
        </w:rPr>
        <w:t xml:space="preserve"> receivers</w:t>
      </w:r>
      <w:r w:rsidRPr="00EA4BE7">
        <w:rPr>
          <w:i w:val="0"/>
          <w:sz w:val="20"/>
        </w:rPr>
        <w:t xml:space="preserve"> </w:t>
      </w:r>
    </w:p>
    <w:p w:rsidR="00F648D3" w:rsidRPr="008A6881" w:rsidRDefault="00F648D3" w:rsidP="00E10325">
      <w:pPr>
        <w:pStyle w:val="ACMABodyText"/>
        <w:spacing w:line="360" w:lineRule="auto"/>
        <w:jc w:val="both"/>
        <w:rPr>
          <w:rFonts w:ascii="Arial" w:hAnsi="Arial" w:cs="Arial"/>
          <w:sz w:val="20"/>
        </w:rPr>
      </w:pPr>
      <w:r w:rsidRPr="008A6881">
        <w:rPr>
          <w:rFonts w:ascii="Arial" w:hAnsi="Arial" w:cs="Arial"/>
          <w:sz w:val="20"/>
        </w:rPr>
        <w:t xml:space="preserve">This section defines what ‘a group of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 xml:space="preserve">receivers’ </w:t>
      </w:r>
      <w:r>
        <w:rPr>
          <w:rFonts w:ascii="Arial" w:hAnsi="Arial" w:cs="Arial"/>
          <w:sz w:val="20"/>
        </w:rPr>
        <w:t xml:space="preserve">is </w:t>
      </w:r>
      <w:r w:rsidRPr="008A6881">
        <w:rPr>
          <w:rFonts w:ascii="Arial" w:hAnsi="Arial" w:cs="Arial"/>
          <w:sz w:val="20"/>
        </w:rPr>
        <w:t>for the purpose of the Determination.</w:t>
      </w:r>
      <w:r>
        <w:rPr>
          <w:rFonts w:ascii="Arial" w:hAnsi="Arial" w:cs="Arial"/>
          <w:sz w:val="20"/>
        </w:rPr>
        <w:t xml:space="preserve">  </w:t>
      </w:r>
      <w:r w:rsidRPr="008A6881">
        <w:rPr>
          <w:rFonts w:ascii="Arial" w:hAnsi="Arial" w:cs="Arial"/>
          <w:sz w:val="20"/>
        </w:rPr>
        <w:t xml:space="preserve">A group of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receivers consists of two or more fixed receivers</w:t>
      </w:r>
      <w:r>
        <w:rPr>
          <w:rFonts w:ascii="Arial" w:hAnsi="Arial" w:cs="Arial"/>
          <w:sz w:val="20"/>
        </w:rPr>
        <w:t>, located</w:t>
      </w:r>
      <w:r w:rsidRPr="008A6881">
        <w:rPr>
          <w:rFonts w:ascii="Arial" w:hAnsi="Arial" w:cs="Arial"/>
          <w:sz w:val="20"/>
        </w:rPr>
        <w:t xml:space="preserve"> </w:t>
      </w:r>
      <w:r>
        <w:rPr>
          <w:rFonts w:ascii="Arial" w:hAnsi="Arial" w:cs="Arial"/>
          <w:sz w:val="20"/>
        </w:rPr>
        <w:t xml:space="preserve">at a common site, </w:t>
      </w:r>
      <w:r w:rsidRPr="008A6881">
        <w:rPr>
          <w:rFonts w:ascii="Arial" w:hAnsi="Arial" w:cs="Arial"/>
          <w:sz w:val="20"/>
        </w:rPr>
        <w:t xml:space="preserve">that have </w:t>
      </w:r>
      <w:r>
        <w:rPr>
          <w:rFonts w:ascii="Arial" w:hAnsi="Arial" w:cs="Arial"/>
          <w:sz w:val="20"/>
        </w:rPr>
        <w:t>certain</w:t>
      </w:r>
      <w:r w:rsidRPr="008A6881">
        <w:rPr>
          <w:rFonts w:ascii="Arial" w:hAnsi="Arial" w:cs="Arial"/>
          <w:sz w:val="20"/>
        </w:rPr>
        <w:t xml:space="preserve"> features</w:t>
      </w:r>
      <w:r>
        <w:rPr>
          <w:rFonts w:ascii="Arial" w:hAnsi="Arial" w:cs="Arial"/>
          <w:sz w:val="20"/>
        </w:rPr>
        <w:t xml:space="preserve"> in common.</w:t>
      </w:r>
      <w:r w:rsidR="00617E87">
        <w:rPr>
          <w:rFonts w:ascii="Arial" w:hAnsi="Arial" w:cs="Arial"/>
          <w:sz w:val="20"/>
        </w:rPr>
        <w:t xml:space="preserve"> Definition of </w:t>
      </w:r>
      <w:proofErr w:type="spellStart"/>
      <w:r w:rsidR="00617E87">
        <w:rPr>
          <w:rFonts w:ascii="Arial" w:hAnsi="Arial" w:cs="Arial"/>
          <w:sz w:val="20"/>
        </w:rPr>
        <w:t>radiocommunications</w:t>
      </w:r>
      <w:proofErr w:type="spellEnd"/>
      <w:r w:rsidR="00617E87">
        <w:rPr>
          <w:rFonts w:ascii="Arial" w:hAnsi="Arial" w:cs="Arial"/>
          <w:sz w:val="20"/>
        </w:rPr>
        <w:t xml:space="preserve"> receivers as a group may make registration of devices easier for licensees. </w:t>
      </w:r>
    </w:p>
    <w:p w:rsidR="00F648D3" w:rsidRPr="00BF4F62" w:rsidRDefault="00F648D3" w:rsidP="00E10325">
      <w:pPr>
        <w:pStyle w:val="Heading2"/>
        <w:spacing w:line="360" w:lineRule="auto"/>
        <w:ind w:left="1440" w:hanging="1440"/>
        <w:rPr>
          <w:rStyle w:val="CharSectno"/>
          <w:rFonts w:cs="Arial"/>
          <w:i w:val="0"/>
          <w:sz w:val="20"/>
        </w:rPr>
      </w:pPr>
      <w:r>
        <w:rPr>
          <w:i w:val="0"/>
          <w:sz w:val="20"/>
        </w:rPr>
        <w:t>Section 8</w:t>
      </w:r>
      <w:r w:rsidRPr="00EA4BE7">
        <w:rPr>
          <w:rStyle w:val="CharSectno"/>
          <w:rFonts w:cs="Arial"/>
          <w:i w:val="0"/>
          <w:sz w:val="20"/>
        </w:rPr>
        <w:tab/>
      </w:r>
      <w:r>
        <w:rPr>
          <w:rStyle w:val="CharSectno"/>
          <w:rFonts w:cs="Arial"/>
          <w:i w:val="0"/>
          <w:sz w:val="20"/>
        </w:rPr>
        <w:tab/>
        <w:t>Unacceptable level of interference</w:t>
      </w:r>
      <w:r w:rsidRPr="00EA4BE7">
        <w:rPr>
          <w:i w:val="0"/>
          <w:sz w:val="20"/>
        </w:rPr>
        <w:t xml:space="preserve"> </w:t>
      </w:r>
    </w:p>
    <w:p w:rsidR="00F648D3" w:rsidRPr="008A6881" w:rsidRDefault="00F648D3" w:rsidP="00E10325">
      <w:pPr>
        <w:pStyle w:val="ACMABodyText"/>
        <w:spacing w:line="360" w:lineRule="auto"/>
        <w:jc w:val="both"/>
        <w:rPr>
          <w:rFonts w:ascii="Arial" w:hAnsi="Arial" w:cs="Arial"/>
          <w:sz w:val="20"/>
        </w:rPr>
      </w:pPr>
      <w:r w:rsidRPr="008A6881">
        <w:rPr>
          <w:rFonts w:ascii="Arial" w:hAnsi="Arial" w:cs="Arial"/>
          <w:sz w:val="20"/>
        </w:rPr>
        <w:t xml:space="preserve">This section provides </w:t>
      </w:r>
      <w:r>
        <w:rPr>
          <w:rFonts w:ascii="Arial" w:hAnsi="Arial" w:cs="Arial"/>
          <w:sz w:val="20"/>
        </w:rPr>
        <w:t>the</w:t>
      </w:r>
      <w:r w:rsidRPr="008A6881">
        <w:rPr>
          <w:rFonts w:ascii="Arial" w:hAnsi="Arial" w:cs="Arial"/>
          <w:sz w:val="20"/>
        </w:rPr>
        <w:t xml:space="preserve"> technical definition of what will be deemed unacceptable levels of interference for the purpose of interference management in </w:t>
      </w:r>
      <w:r>
        <w:rPr>
          <w:rFonts w:ascii="Arial" w:hAnsi="Arial" w:cs="Arial"/>
          <w:sz w:val="20"/>
        </w:rPr>
        <w:t xml:space="preserve">the 2.5 GHz </w:t>
      </w:r>
      <w:r w:rsidRPr="008A6881">
        <w:rPr>
          <w:rFonts w:ascii="Arial" w:hAnsi="Arial" w:cs="Arial"/>
          <w:sz w:val="20"/>
        </w:rPr>
        <w:t xml:space="preserve">band. A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 xml:space="preserve">transmitter producing emissions that </w:t>
      </w:r>
      <w:r>
        <w:rPr>
          <w:rFonts w:ascii="Arial" w:hAnsi="Arial" w:cs="Arial"/>
          <w:sz w:val="20"/>
        </w:rPr>
        <w:t>are</w:t>
      </w:r>
      <w:r w:rsidRPr="008A6881">
        <w:rPr>
          <w:rFonts w:ascii="Arial" w:hAnsi="Arial" w:cs="Arial"/>
          <w:sz w:val="20"/>
        </w:rPr>
        <w:t xml:space="preserve"> found to cause unacceptable levels of interference to other services </w:t>
      </w:r>
      <w:r>
        <w:rPr>
          <w:rFonts w:ascii="Arial" w:hAnsi="Arial" w:cs="Arial"/>
          <w:sz w:val="20"/>
        </w:rPr>
        <w:t>will, in most circumstances,</w:t>
      </w:r>
      <w:r w:rsidRPr="008A6881">
        <w:rPr>
          <w:rFonts w:ascii="Arial" w:hAnsi="Arial" w:cs="Arial"/>
          <w:sz w:val="20"/>
        </w:rPr>
        <w:t xml:space="preserve"> not be registered on the Register</w:t>
      </w:r>
      <w:r>
        <w:rPr>
          <w:rFonts w:ascii="Arial" w:hAnsi="Arial" w:cs="Arial"/>
          <w:sz w:val="20"/>
        </w:rPr>
        <w:t xml:space="preserve"> of Radiocommunications Licenses</w:t>
      </w:r>
      <w:r w:rsidRPr="008A6881">
        <w:rPr>
          <w:rFonts w:ascii="Arial" w:hAnsi="Arial" w:cs="Arial"/>
          <w:sz w:val="20"/>
        </w:rPr>
        <w:t xml:space="preserve"> for operation </w:t>
      </w:r>
      <w:r>
        <w:rPr>
          <w:rFonts w:ascii="Arial" w:hAnsi="Arial" w:cs="Arial"/>
          <w:sz w:val="20"/>
        </w:rPr>
        <w:t xml:space="preserve">under a spectrum licence </w:t>
      </w:r>
      <w:r w:rsidRPr="008A6881">
        <w:rPr>
          <w:rFonts w:ascii="Arial" w:hAnsi="Arial" w:cs="Arial"/>
          <w:sz w:val="20"/>
        </w:rPr>
        <w:t>in the band</w:t>
      </w:r>
      <w:r>
        <w:rPr>
          <w:rFonts w:ascii="Arial" w:hAnsi="Arial" w:cs="Arial"/>
          <w:sz w:val="20"/>
        </w:rPr>
        <w:t>, in accordance with subsection 145(1) of the Act</w:t>
      </w:r>
      <w:r w:rsidRPr="008A6881">
        <w:rPr>
          <w:rFonts w:ascii="Arial" w:hAnsi="Arial" w:cs="Arial"/>
          <w:sz w:val="20"/>
        </w:rPr>
        <w:t xml:space="preserve">. Licensees who operate </w:t>
      </w:r>
      <w:r>
        <w:rPr>
          <w:rFonts w:ascii="Arial" w:hAnsi="Arial" w:cs="Arial"/>
          <w:sz w:val="20"/>
        </w:rPr>
        <w:t>s</w:t>
      </w:r>
      <w:r w:rsidRPr="008A6881">
        <w:rPr>
          <w:rFonts w:ascii="Arial" w:hAnsi="Arial" w:cs="Arial"/>
          <w:sz w:val="20"/>
        </w:rPr>
        <w:t xml:space="preserve">uch devices without registration </w:t>
      </w:r>
      <w:r>
        <w:rPr>
          <w:rFonts w:ascii="Arial" w:hAnsi="Arial" w:cs="Arial"/>
          <w:sz w:val="20"/>
        </w:rPr>
        <w:t xml:space="preserve">will be in breach of section 69 of the Act and </w:t>
      </w:r>
      <w:r w:rsidRPr="008A6881">
        <w:rPr>
          <w:rFonts w:ascii="Arial" w:hAnsi="Arial" w:cs="Arial"/>
          <w:sz w:val="20"/>
        </w:rPr>
        <w:t>may become subject to further compliance action under the Act.</w:t>
      </w:r>
    </w:p>
    <w:p w:rsidR="00F648D3" w:rsidRPr="008A6881" w:rsidRDefault="00F648D3" w:rsidP="00E10325">
      <w:pPr>
        <w:pStyle w:val="ACMABodyText"/>
        <w:spacing w:line="360" w:lineRule="auto"/>
        <w:jc w:val="both"/>
        <w:rPr>
          <w:rFonts w:ascii="Arial" w:hAnsi="Arial" w:cs="Arial"/>
          <w:sz w:val="20"/>
        </w:rPr>
      </w:pPr>
      <w:r w:rsidRPr="008A6881">
        <w:rPr>
          <w:rFonts w:ascii="Arial" w:hAnsi="Arial" w:cs="Arial"/>
          <w:sz w:val="20"/>
        </w:rPr>
        <w:t xml:space="preserve">Under section </w:t>
      </w:r>
      <w:r>
        <w:rPr>
          <w:rFonts w:ascii="Arial" w:hAnsi="Arial" w:cs="Arial"/>
          <w:sz w:val="20"/>
        </w:rPr>
        <w:t>8</w:t>
      </w:r>
      <w:r w:rsidRPr="008A6881">
        <w:rPr>
          <w:rFonts w:ascii="Arial" w:hAnsi="Arial" w:cs="Arial"/>
          <w:sz w:val="20"/>
        </w:rPr>
        <w:t>, a transmitter is taken to be causing unacceptable interference if:</w:t>
      </w:r>
    </w:p>
    <w:p w:rsidR="00F648D3" w:rsidRPr="008A6881" w:rsidRDefault="00F648D3" w:rsidP="00E10325">
      <w:pPr>
        <w:pStyle w:val="ACMABodyText"/>
        <w:numPr>
          <w:ilvl w:val="0"/>
          <w:numId w:val="46"/>
        </w:numPr>
        <w:spacing w:line="360" w:lineRule="auto"/>
        <w:jc w:val="both"/>
        <w:rPr>
          <w:rFonts w:ascii="Arial" w:hAnsi="Arial" w:cs="Arial"/>
          <w:sz w:val="20"/>
        </w:rPr>
      </w:pPr>
      <w:r w:rsidRPr="008A6881">
        <w:rPr>
          <w:rFonts w:ascii="Arial" w:hAnsi="Arial" w:cs="Arial"/>
          <w:sz w:val="20"/>
        </w:rPr>
        <w:t>the operation of the transmitter breaches the core conditions of the licence</w:t>
      </w:r>
      <w:r>
        <w:rPr>
          <w:rFonts w:ascii="Arial" w:hAnsi="Arial" w:cs="Arial"/>
          <w:sz w:val="20"/>
        </w:rPr>
        <w:t xml:space="preserve"> relating to the maximum permitted level of radio emissions from the </w:t>
      </w:r>
      <w:proofErr w:type="spellStart"/>
      <w:r>
        <w:rPr>
          <w:rFonts w:ascii="Arial" w:hAnsi="Arial" w:cs="Arial"/>
          <w:sz w:val="20"/>
        </w:rPr>
        <w:t>radiocommunications</w:t>
      </w:r>
      <w:proofErr w:type="spellEnd"/>
      <w:r>
        <w:rPr>
          <w:rFonts w:ascii="Arial" w:hAnsi="Arial" w:cs="Arial"/>
          <w:sz w:val="20"/>
        </w:rPr>
        <w:t xml:space="preserve"> transmitter</w:t>
      </w:r>
      <w:r w:rsidRPr="008A6881">
        <w:rPr>
          <w:rFonts w:ascii="Arial" w:hAnsi="Arial" w:cs="Arial"/>
          <w:sz w:val="20"/>
        </w:rPr>
        <w:t xml:space="preserve"> outside the geographic and frequency boundaries of the licence; or</w:t>
      </w:r>
    </w:p>
    <w:p w:rsidR="00F648D3" w:rsidRPr="008A6881" w:rsidRDefault="00066F0C" w:rsidP="00E10325">
      <w:pPr>
        <w:pStyle w:val="ACMABodyText"/>
        <w:numPr>
          <w:ilvl w:val="0"/>
          <w:numId w:val="46"/>
        </w:numPr>
        <w:spacing w:line="360" w:lineRule="auto"/>
        <w:jc w:val="both"/>
        <w:rPr>
          <w:rFonts w:ascii="Arial" w:hAnsi="Arial" w:cs="Arial"/>
          <w:sz w:val="20"/>
        </w:rPr>
      </w:pPr>
      <w:proofErr w:type="gramStart"/>
      <w:r>
        <w:rPr>
          <w:rFonts w:ascii="Arial" w:hAnsi="Arial" w:cs="Arial"/>
          <w:sz w:val="20"/>
        </w:rPr>
        <w:t>if</w:t>
      </w:r>
      <w:proofErr w:type="gramEnd"/>
      <w:r>
        <w:rPr>
          <w:rFonts w:ascii="Arial" w:hAnsi="Arial" w:cs="Arial"/>
          <w:sz w:val="20"/>
        </w:rPr>
        <w:t xml:space="preserve"> any part of </w:t>
      </w:r>
      <w:r w:rsidR="00F648D3" w:rsidRPr="008A6881">
        <w:rPr>
          <w:rFonts w:ascii="Arial" w:hAnsi="Arial" w:cs="Arial"/>
          <w:sz w:val="20"/>
        </w:rPr>
        <w:t xml:space="preserve">the device boundary of the transmitter </w:t>
      </w:r>
      <w:r>
        <w:rPr>
          <w:rFonts w:ascii="Arial" w:hAnsi="Arial" w:cs="Arial"/>
          <w:sz w:val="20"/>
        </w:rPr>
        <w:t>lies outside</w:t>
      </w:r>
      <w:r w:rsidRPr="008A6881">
        <w:rPr>
          <w:rFonts w:ascii="Arial" w:hAnsi="Arial" w:cs="Arial"/>
          <w:sz w:val="20"/>
        </w:rPr>
        <w:t xml:space="preserve"> </w:t>
      </w:r>
      <w:r w:rsidR="00F648D3" w:rsidRPr="008A6881">
        <w:rPr>
          <w:rFonts w:ascii="Arial" w:hAnsi="Arial" w:cs="Arial"/>
          <w:sz w:val="20"/>
        </w:rPr>
        <w:t xml:space="preserve">the geographic </w:t>
      </w:r>
      <w:r w:rsidR="00F648D3">
        <w:rPr>
          <w:rFonts w:ascii="Arial" w:hAnsi="Arial" w:cs="Arial"/>
          <w:sz w:val="20"/>
        </w:rPr>
        <w:t>area</w:t>
      </w:r>
      <w:r w:rsidR="00F648D3" w:rsidRPr="008A6881">
        <w:rPr>
          <w:rFonts w:ascii="Arial" w:hAnsi="Arial" w:cs="Arial"/>
          <w:sz w:val="20"/>
        </w:rPr>
        <w:t xml:space="preserve"> of the licence. The ‘device boundary’ is a theoretical boundary calculated around the device using the methodology set out in </w:t>
      </w:r>
      <w:r w:rsidR="00F648D3">
        <w:rPr>
          <w:rFonts w:ascii="Arial" w:hAnsi="Arial" w:cs="Arial"/>
          <w:sz w:val="20"/>
        </w:rPr>
        <w:t xml:space="preserve">the Schedules to </w:t>
      </w:r>
      <w:r w:rsidR="00F648D3" w:rsidRPr="008A6881">
        <w:rPr>
          <w:rFonts w:ascii="Arial" w:hAnsi="Arial" w:cs="Arial"/>
          <w:sz w:val="20"/>
        </w:rPr>
        <w:t>th</w:t>
      </w:r>
      <w:r w:rsidR="00F648D3">
        <w:rPr>
          <w:rFonts w:ascii="Arial" w:hAnsi="Arial" w:cs="Arial"/>
          <w:sz w:val="20"/>
        </w:rPr>
        <w:t>e</w:t>
      </w:r>
      <w:r w:rsidR="00F648D3" w:rsidRPr="008A6881">
        <w:rPr>
          <w:rFonts w:ascii="Arial" w:hAnsi="Arial" w:cs="Arial"/>
          <w:sz w:val="20"/>
        </w:rPr>
        <w:t xml:space="preserve"> Determination; or</w:t>
      </w:r>
    </w:p>
    <w:p w:rsidR="00F648D3" w:rsidRPr="008A6881" w:rsidRDefault="00F648D3" w:rsidP="00E10325">
      <w:pPr>
        <w:pStyle w:val="ACMABodyText"/>
        <w:numPr>
          <w:ilvl w:val="0"/>
          <w:numId w:val="46"/>
        </w:numPr>
        <w:spacing w:line="360" w:lineRule="auto"/>
        <w:jc w:val="both"/>
        <w:rPr>
          <w:rFonts w:ascii="Arial" w:hAnsi="Arial" w:cs="Arial"/>
          <w:sz w:val="20"/>
        </w:rPr>
      </w:pPr>
      <w:r w:rsidRPr="008A6881">
        <w:rPr>
          <w:rFonts w:ascii="Arial" w:hAnsi="Arial" w:cs="Arial"/>
          <w:sz w:val="20"/>
        </w:rPr>
        <w:t>the device boundary of the transmitter</w:t>
      </w:r>
      <w:r>
        <w:rPr>
          <w:rFonts w:ascii="Arial" w:hAnsi="Arial" w:cs="Arial"/>
          <w:sz w:val="20"/>
        </w:rPr>
        <w:t xml:space="preserve"> cannot be calculated in accordance with Schedule 2 to the Determination</w:t>
      </w:r>
      <w:r w:rsidRPr="008A6881">
        <w:rPr>
          <w:rFonts w:ascii="Arial" w:hAnsi="Arial" w:cs="Arial"/>
          <w:sz w:val="20"/>
        </w:rPr>
        <w:t>; or</w:t>
      </w:r>
    </w:p>
    <w:p w:rsidR="00F648D3" w:rsidRDefault="00F648D3" w:rsidP="00E10325">
      <w:pPr>
        <w:pStyle w:val="ACMABodyText"/>
        <w:numPr>
          <w:ilvl w:val="0"/>
          <w:numId w:val="46"/>
        </w:numPr>
        <w:spacing w:line="360" w:lineRule="auto"/>
        <w:jc w:val="both"/>
        <w:rPr>
          <w:rFonts w:ascii="Arial" w:hAnsi="Arial" w:cs="Arial"/>
          <w:sz w:val="20"/>
        </w:rPr>
      </w:pPr>
      <w:r w:rsidRPr="008A6881">
        <w:rPr>
          <w:rFonts w:ascii="Arial" w:hAnsi="Arial" w:cs="Arial"/>
          <w:sz w:val="20"/>
        </w:rPr>
        <w:t xml:space="preserve">the </w:t>
      </w:r>
      <w:r>
        <w:rPr>
          <w:rFonts w:ascii="Arial" w:hAnsi="Arial" w:cs="Arial"/>
          <w:sz w:val="20"/>
        </w:rPr>
        <w:t xml:space="preserve">operation of the </w:t>
      </w:r>
      <w:r w:rsidRPr="008A6881">
        <w:rPr>
          <w:rFonts w:ascii="Arial" w:hAnsi="Arial" w:cs="Arial"/>
          <w:sz w:val="20"/>
        </w:rPr>
        <w:t xml:space="preserve">transmitter </w:t>
      </w:r>
      <w:r>
        <w:rPr>
          <w:rFonts w:ascii="Arial" w:hAnsi="Arial" w:cs="Arial"/>
          <w:sz w:val="20"/>
        </w:rPr>
        <w:t>would exceed a specified level of emissions above the horizon; or</w:t>
      </w:r>
    </w:p>
    <w:p w:rsidR="00F648D3" w:rsidRDefault="00F648D3" w:rsidP="00E10325">
      <w:pPr>
        <w:pStyle w:val="ACMABodyText"/>
        <w:numPr>
          <w:ilvl w:val="0"/>
          <w:numId w:val="46"/>
        </w:numPr>
        <w:spacing w:line="360" w:lineRule="auto"/>
        <w:jc w:val="both"/>
        <w:rPr>
          <w:rFonts w:ascii="Arial" w:hAnsi="Arial" w:cs="Arial"/>
          <w:sz w:val="20"/>
        </w:rPr>
      </w:pPr>
      <w:proofErr w:type="gramStart"/>
      <w:r>
        <w:rPr>
          <w:rFonts w:ascii="Arial" w:hAnsi="Arial" w:cs="Arial"/>
          <w:sz w:val="20"/>
        </w:rPr>
        <w:t>the</w:t>
      </w:r>
      <w:proofErr w:type="gramEnd"/>
      <w:r>
        <w:rPr>
          <w:rFonts w:ascii="Arial" w:hAnsi="Arial" w:cs="Arial"/>
          <w:sz w:val="20"/>
        </w:rPr>
        <w:t xml:space="preserve"> device operates in the lower 2.5 GHz frequency band (i.e. the band 2500-2570 MHz) with an </w:t>
      </w:r>
      <w:r w:rsidR="00FB5022">
        <w:rPr>
          <w:rFonts w:ascii="Arial" w:hAnsi="Arial" w:cs="Arial"/>
          <w:sz w:val="20"/>
        </w:rPr>
        <w:t xml:space="preserve">effective </w:t>
      </w:r>
      <w:r>
        <w:rPr>
          <w:rFonts w:ascii="Arial" w:hAnsi="Arial" w:cs="Arial"/>
          <w:sz w:val="20"/>
        </w:rPr>
        <w:t>antenna height greater than 10m</w:t>
      </w:r>
      <w:r w:rsidRPr="008A6881">
        <w:rPr>
          <w:rFonts w:ascii="Arial" w:hAnsi="Arial" w:cs="Arial"/>
          <w:sz w:val="20"/>
        </w:rPr>
        <w:t>.</w:t>
      </w:r>
    </w:p>
    <w:p w:rsidR="00DD4B2C" w:rsidRDefault="00DD4B2C" w:rsidP="00DD4B2C">
      <w:pPr>
        <w:pStyle w:val="ACMABodyText"/>
        <w:tabs>
          <w:tab w:val="left" w:pos="0"/>
        </w:tabs>
        <w:spacing w:line="360" w:lineRule="auto"/>
        <w:jc w:val="both"/>
        <w:rPr>
          <w:rFonts w:ascii="Arial" w:hAnsi="Arial" w:cs="Arial"/>
          <w:sz w:val="20"/>
        </w:rPr>
      </w:pPr>
      <w:r>
        <w:rPr>
          <w:rFonts w:ascii="Arial" w:hAnsi="Arial" w:cs="Arial"/>
          <w:sz w:val="20"/>
        </w:rPr>
        <w:t>Subsection 8(2)</w:t>
      </w:r>
      <w:r w:rsidR="00FB5022">
        <w:rPr>
          <w:rFonts w:ascii="Arial" w:hAnsi="Arial" w:cs="Arial"/>
          <w:sz w:val="20"/>
        </w:rPr>
        <w:t xml:space="preserve"> </w:t>
      </w:r>
      <w:r>
        <w:rPr>
          <w:rFonts w:ascii="Arial" w:hAnsi="Arial" w:cs="Arial"/>
          <w:sz w:val="20"/>
        </w:rPr>
        <w:t>provide</w:t>
      </w:r>
      <w:r w:rsidR="00FB5022">
        <w:rPr>
          <w:rFonts w:ascii="Arial" w:hAnsi="Arial" w:cs="Arial"/>
          <w:sz w:val="20"/>
        </w:rPr>
        <w:t xml:space="preserve">s that the level of interference is </w:t>
      </w:r>
      <w:r w:rsidR="00263968">
        <w:rPr>
          <w:rFonts w:ascii="Arial" w:hAnsi="Arial" w:cs="Arial"/>
          <w:sz w:val="20"/>
        </w:rPr>
        <w:t>not un</w:t>
      </w:r>
      <w:r w:rsidR="00FB5022">
        <w:rPr>
          <w:rFonts w:ascii="Arial" w:hAnsi="Arial" w:cs="Arial"/>
          <w:sz w:val="20"/>
        </w:rPr>
        <w:t xml:space="preserve">acceptable at part of a transmitter’s device boundary </w:t>
      </w:r>
      <w:r>
        <w:rPr>
          <w:rFonts w:ascii="Arial" w:hAnsi="Arial" w:cs="Arial"/>
          <w:sz w:val="20"/>
        </w:rPr>
        <w:t>that is outside the geographic area of a licence, so long as it is:</w:t>
      </w:r>
    </w:p>
    <w:p w:rsidR="00DD4B2C" w:rsidRDefault="00DD4B2C" w:rsidP="00DD4B2C">
      <w:pPr>
        <w:pStyle w:val="ACMABodyText"/>
        <w:numPr>
          <w:ilvl w:val="0"/>
          <w:numId w:val="65"/>
        </w:numPr>
        <w:tabs>
          <w:tab w:val="left" w:pos="0"/>
        </w:tabs>
        <w:spacing w:line="360" w:lineRule="auto"/>
        <w:ind w:left="794" w:hanging="397"/>
        <w:jc w:val="both"/>
        <w:rPr>
          <w:rFonts w:ascii="Arial" w:hAnsi="Arial" w:cs="Arial"/>
          <w:sz w:val="20"/>
        </w:rPr>
      </w:pPr>
      <w:r w:rsidRPr="004224CE">
        <w:rPr>
          <w:rFonts w:ascii="Arial" w:hAnsi="Arial" w:cs="Arial"/>
          <w:sz w:val="20"/>
        </w:rPr>
        <w:t xml:space="preserve"> in a geographic area that is outside the </w:t>
      </w:r>
      <w:r w:rsidRPr="004E57FC">
        <w:rPr>
          <w:rFonts w:ascii="Arial" w:hAnsi="Arial" w:cs="Arial"/>
          <w:i/>
          <w:sz w:val="20"/>
        </w:rPr>
        <w:t>Australian Spectrum Map Grid 2012</w:t>
      </w:r>
      <w:r w:rsidRPr="004224CE">
        <w:rPr>
          <w:rFonts w:ascii="Arial" w:hAnsi="Arial" w:cs="Arial"/>
          <w:sz w:val="20"/>
        </w:rPr>
        <w:t xml:space="preserve"> (ASMG)</w:t>
      </w:r>
      <w:r>
        <w:rPr>
          <w:rFonts w:ascii="Arial" w:hAnsi="Arial" w:cs="Arial"/>
          <w:sz w:val="20"/>
        </w:rPr>
        <w:t>;</w:t>
      </w:r>
      <w:r w:rsidRPr="004224CE">
        <w:rPr>
          <w:rFonts w:ascii="Arial" w:hAnsi="Arial" w:cs="Arial"/>
          <w:sz w:val="20"/>
        </w:rPr>
        <w:t xml:space="preserve"> </w:t>
      </w:r>
    </w:p>
    <w:p w:rsidR="00DD4B2C" w:rsidRDefault="00DD4B2C" w:rsidP="00DD4B2C">
      <w:pPr>
        <w:pStyle w:val="ACMABodyText"/>
        <w:numPr>
          <w:ilvl w:val="0"/>
          <w:numId w:val="65"/>
        </w:numPr>
        <w:tabs>
          <w:tab w:val="left" w:pos="0"/>
        </w:tabs>
        <w:spacing w:line="360" w:lineRule="auto"/>
        <w:ind w:left="794" w:hanging="397"/>
        <w:jc w:val="both"/>
        <w:rPr>
          <w:rFonts w:ascii="Arial" w:hAnsi="Arial" w:cs="Arial"/>
          <w:sz w:val="20"/>
        </w:rPr>
      </w:pPr>
      <w:r>
        <w:rPr>
          <w:rFonts w:ascii="Arial" w:hAnsi="Arial" w:cs="Arial"/>
          <w:sz w:val="20"/>
        </w:rPr>
        <w:t xml:space="preserve"> </w:t>
      </w:r>
      <w:r w:rsidRPr="004224CE">
        <w:rPr>
          <w:rFonts w:ascii="Arial" w:hAnsi="Arial" w:cs="Arial"/>
          <w:sz w:val="20"/>
        </w:rPr>
        <w:t xml:space="preserve">is connected to a radial referred to in Part 1 of Schedule 2; and </w:t>
      </w:r>
    </w:p>
    <w:p w:rsidR="0083299D" w:rsidRDefault="00DD4B2C" w:rsidP="00DD4B2C">
      <w:pPr>
        <w:pStyle w:val="ACMABodyText"/>
        <w:spacing w:line="360" w:lineRule="auto"/>
        <w:ind w:left="794" w:hanging="397"/>
        <w:jc w:val="both"/>
        <w:rPr>
          <w:rFonts w:ascii="Arial" w:hAnsi="Arial" w:cs="Arial"/>
          <w:sz w:val="20"/>
        </w:rPr>
      </w:pPr>
      <w:r w:rsidRPr="004224CE">
        <w:rPr>
          <w:rFonts w:ascii="Arial" w:hAnsi="Arial" w:cs="Arial"/>
          <w:sz w:val="20"/>
        </w:rPr>
        <w:t>(c)</w:t>
      </w:r>
      <w:r w:rsidRPr="004224CE">
        <w:rPr>
          <w:rFonts w:ascii="Arial" w:hAnsi="Arial" w:cs="Arial"/>
          <w:sz w:val="20"/>
        </w:rPr>
        <w:tab/>
      </w:r>
      <w:proofErr w:type="gramStart"/>
      <w:r w:rsidRPr="004224CE">
        <w:rPr>
          <w:rFonts w:ascii="Arial" w:hAnsi="Arial" w:cs="Arial"/>
          <w:sz w:val="20"/>
        </w:rPr>
        <w:t>does</w:t>
      </w:r>
      <w:proofErr w:type="gramEnd"/>
      <w:r w:rsidRPr="004224CE">
        <w:rPr>
          <w:rFonts w:ascii="Arial" w:hAnsi="Arial" w:cs="Arial"/>
          <w:sz w:val="20"/>
        </w:rPr>
        <w:t xml:space="preserve"> not cross the geographic area of another licence</w:t>
      </w:r>
      <w:r w:rsidR="00FB5022">
        <w:rPr>
          <w:rFonts w:ascii="Arial" w:hAnsi="Arial" w:cs="Arial"/>
          <w:sz w:val="20"/>
        </w:rPr>
        <w:t>.</w:t>
      </w:r>
    </w:p>
    <w:p w:rsidR="00182ADF" w:rsidRDefault="00182ADF" w:rsidP="00182ADF">
      <w:pPr>
        <w:pStyle w:val="ACMABodyText"/>
        <w:tabs>
          <w:tab w:val="left" w:pos="0"/>
        </w:tabs>
        <w:spacing w:line="360" w:lineRule="auto"/>
        <w:jc w:val="both"/>
        <w:rPr>
          <w:rFonts w:ascii="Arial" w:hAnsi="Arial" w:cs="Arial"/>
          <w:sz w:val="20"/>
        </w:rPr>
      </w:pPr>
      <w:r>
        <w:rPr>
          <w:rFonts w:ascii="Arial" w:hAnsi="Arial" w:cs="Arial"/>
          <w:sz w:val="20"/>
        </w:rPr>
        <w:t xml:space="preserve">Subsection 8(2) </w:t>
      </w:r>
      <w:r w:rsidR="0055067C">
        <w:rPr>
          <w:rFonts w:ascii="Arial" w:hAnsi="Arial" w:cs="Arial"/>
          <w:sz w:val="20"/>
        </w:rPr>
        <w:t>provide</w:t>
      </w:r>
      <w:r>
        <w:rPr>
          <w:rFonts w:ascii="Arial" w:hAnsi="Arial" w:cs="Arial"/>
          <w:sz w:val="20"/>
        </w:rPr>
        <w:t>s that if</w:t>
      </w:r>
      <w:r w:rsidR="0055067C">
        <w:rPr>
          <w:rFonts w:ascii="Arial" w:hAnsi="Arial" w:cs="Arial"/>
          <w:sz w:val="20"/>
        </w:rPr>
        <w:t>,</w:t>
      </w:r>
      <w:r>
        <w:rPr>
          <w:rFonts w:ascii="Arial" w:hAnsi="Arial" w:cs="Arial"/>
          <w:sz w:val="20"/>
        </w:rPr>
        <w:t xml:space="preserve"> in the calculation of the device boundary</w:t>
      </w:r>
      <w:r w:rsidR="0055067C">
        <w:rPr>
          <w:rFonts w:ascii="Arial" w:hAnsi="Arial" w:cs="Arial"/>
          <w:sz w:val="20"/>
        </w:rPr>
        <w:t>,</w:t>
      </w:r>
      <w:r>
        <w:rPr>
          <w:rFonts w:ascii="Arial" w:hAnsi="Arial" w:cs="Arial"/>
          <w:sz w:val="20"/>
        </w:rPr>
        <w:t xml:space="preserve"> a point lies outside the ASMG (outside Australia) that has not been declared for reallocation by spectrum licensing and does not encroach on the licence area of another spectrum licensee</w:t>
      </w:r>
      <w:r w:rsidR="0055067C">
        <w:rPr>
          <w:rFonts w:ascii="Arial" w:hAnsi="Arial" w:cs="Arial"/>
          <w:sz w:val="20"/>
        </w:rPr>
        <w:t>,</w:t>
      </w:r>
      <w:r>
        <w:rPr>
          <w:rFonts w:ascii="Arial" w:hAnsi="Arial" w:cs="Arial"/>
          <w:sz w:val="20"/>
        </w:rPr>
        <w:t xml:space="preserve"> then the device is not declared to be causing unacceptable interference. </w:t>
      </w:r>
    </w:p>
    <w:p w:rsidR="0083299D" w:rsidRPr="0083299D" w:rsidRDefault="0083299D" w:rsidP="0083299D">
      <w:pPr>
        <w:pStyle w:val="ACMABodyText"/>
        <w:spacing w:line="360" w:lineRule="auto"/>
        <w:jc w:val="both"/>
        <w:rPr>
          <w:rFonts w:ascii="Arial" w:hAnsi="Arial" w:cs="Arial"/>
          <w:sz w:val="20"/>
        </w:rPr>
      </w:pPr>
      <w:r w:rsidRPr="0083299D">
        <w:rPr>
          <w:rFonts w:ascii="Arial" w:hAnsi="Arial" w:cs="Arial"/>
          <w:sz w:val="20"/>
        </w:rPr>
        <w:t xml:space="preserve">The </w:t>
      </w:r>
      <w:r w:rsidR="00E13098">
        <w:rPr>
          <w:rFonts w:ascii="Arial" w:hAnsi="Arial" w:cs="Arial"/>
          <w:sz w:val="20"/>
        </w:rPr>
        <w:t>ASMG</w:t>
      </w:r>
      <w:r w:rsidRPr="0083299D">
        <w:rPr>
          <w:rFonts w:ascii="Arial" w:hAnsi="Arial" w:cs="Arial"/>
          <w:sz w:val="20"/>
        </w:rPr>
        <w:t xml:space="preserve"> is used to identify geographic areas of spectrum licences. In accordance with paragraph 66(1)(c) of the Act, a condition specifying the geographic area within which operation of </w:t>
      </w:r>
      <w:proofErr w:type="spellStart"/>
      <w:r w:rsidRPr="0083299D">
        <w:rPr>
          <w:rFonts w:ascii="Arial" w:hAnsi="Arial" w:cs="Arial"/>
          <w:sz w:val="20"/>
        </w:rPr>
        <w:t>radiocommunications</w:t>
      </w:r>
      <w:proofErr w:type="spellEnd"/>
      <w:r w:rsidRPr="0083299D">
        <w:rPr>
          <w:rFonts w:ascii="Arial" w:hAnsi="Arial" w:cs="Arial"/>
          <w:sz w:val="20"/>
        </w:rPr>
        <w:t xml:space="preserve"> devices is permitted under the licence, is a core condition of a spectrum licence. </w:t>
      </w:r>
    </w:p>
    <w:p w:rsidR="0083299D" w:rsidRPr="0083299D" w:rsidRDefault="0083299D" w:rsidP="0083299D">
      <w:pPr>
        <w:pStyle w:val="ACMABodyText"/>
        <w:spacing w:line="360" w:lineRule="auto"/>
        <w:jc w:val="both"/>
        <w:rPr>
          <w:rFonts w:ascii="Arial" w:hAnsi="Arial" w:cs="Arial"/>
          <w:sz w:val="20"/>
        </w:rPr>
      </w:pPr>
      <w:r w:rsidRPr="0083299D">
        <w:rPr>
          <w:rFonts w:ascii="Arial" w:hAnsi="Arial" w:cs="Arial"/>
          <w:sz w:val="20"/>
        </w:rPr>
        <w:t>The ASMG incorporates both geographic coordinates (latitude/longitude) and grid coordinates (zones/</w:t>
      </w:r>
      <w:proofErr w:type="spellStart"/>
      <w:r w:rsidRPr="0083299D">
        <w:rPr>
          <w:rFonts w:ascii="Arial" w:hAnsi="Arial" w:cs="Arial"/>
          <w:sz w:val="20"/>
        </w:rPr>
        <w:t>eastings</w:t>
      </w:r>
      <w:proofErr w:type="spellEnd"/>
      <w:r w:rsidRPr="0083299D">
        <w:rPr>
          <w:rFonts w:ascii="Arial" w:hAnsi="Arial" w:cs="Arial"/>
          <w:sz w:val="20"/>
        </w:rPr>
        <w:t>/</w:t>
      </w:r>
      <w:proofErr w:type="spellStart"/>
      <w:r w:rsidRPr="0083299D">
        <w:rPr>
          <w:rFonts w:ascii="Arial" w:hAnsi="Arial" w:cs="Arial"/>
          <w:sz w:val="20"/>
        </w:rPr>
        <w:t>northings</w:t>
      </w:r>
      <w:proofErr w:type="spellEnd"/>
      <w:r w:rsidRPr="0083299D">
        <w:rPr>
          <w:rFonts w:ascii="Arial" w:hAnsi="Arial" w:cs="Arial"/>
          <w:sz w:val="20"/>
        </w:rPr>
        <w:t xml:space="preserve">). These coordinates are specified under the </w:t>
      </w:r>
      <w:hyperlink r:id="rId10" w:history="1">
        <w:r w:rsidRPr="0083299D">
          <w:rPr>
            <w:rFonts w:ascii="Arial" w:hAnsi="Arial" w:cs="Arial"/>
            <w:sz w:val="20"/>
          </w:rPr>
          <w:t>Geocentric Datum of Australia 1994</w:t>
        </w:r>
      </w:hyperlink>
      <w:r w:rsidRPr="0083299D">
        <w:rPr>
          <w:rFonts w:ascii="Arial" w:hAnsi="Arial" w:cs="Arial"/>
          <w:sz w:val="20"/>
        </w:rPr>
        <w:t xml:space="preserve"> (GDA94). The ASMG </w:t>
      </w:r>
      <w:r w:rsidR="00E01964">
        <w:rPr>
          <w:rFonts w:ascii="Arial" w:hAnsi="Arial" w:cs="Arial"/>
          <w:sz w:val="20"/>
        </w:rPr>
        <w:t xml:space="preserve">now </w:t>
      </w:r>
      <w:r w:rsidRPr="0083299D">
        <w:rPr>
          <w:rFonts w:ascii="Arial" w:hAnsi="Arial" w:cs="Arial"/>
          <w:sz w:val="20"/>
        </w:rPr>
        <w:t xml:space="preserve">provides a hierarchical cell identification scheme, which is intended </w:t>
      </w:r>
      <w:r w:rsidR="00FF067A">
        <w:rPr>
          <w:rFonts w:ascii="Arial" w:hAnsi="Arial" w:cs="Arial"/>
          <w:sz w:val="20"/>
        </w:rPr>
        <w:t xml:space="preserve">to </w:t>
      </w:r>
      <w:r w:rsidRPr="0083299D">
        <w:rPr>
          <w:rFonts w:ascii="Arial" w:hAnsi="Arial" w:cs="Arial"/>
          <w:sz w:val="20"/>
        </w:rPr>
        <w:t>provide greater clarity, flexibility and certainty in identifying the geographic area of spectrum licences for the purposes of issue or trading.</w:t>
      </w:r>
    </w:p>
    <w:p w:rsidR="00E4565B" w:rsidRDefault="004E5A87" w:rsidP="00E10325">
      <w:pPr>
        <w:pStyle w:val="ACMABodyText"/>
        <w:spacing w:line="360" w:lineRule="auto"/>
        <w:jc w:val="both"/>
        <w:rPr>
          <w:rFonts w:ascii="Arial" w:hAnsi="Arial" w:cs="Arial"/>
          <w:sz w:val="20"/>
        </w:rPr>
      </w:pPr>
      <w:r>
        <w:rPr>
          <w:rFonts w:ascii="Arial" w:hAnsi="Arial" w:cs="Arial"/>
          <w:sz w:val="20"/>
        </w:rPr>
        <w:t>Further details about t</w:t>
      </w:r>
      <w:r w:rsidR="0083299D" w:rsidRPr="0083299D">
        <w:rPr>
          <w:rFonts w:ascii="Arial" w:hAnsi="Arial" w:cs="Arial"/>
          <w:sz w:val="20"/>
        </w:rPr>
        <w:t>he AS</w:t>
      </w:r>
      <w:r>
        <w:rPr>
          <w:rFonts w:ascii="Arial" w:hAnsi="Arial" w:cs="Arial"/>
          <w:sz w:val="20"/>
        </w:rPr>
        <w:t xml:space="preserve">MG can be found </w:t>
      </w:r>
      <w:r w:rsidRPr="004E5A87">
        <w:rPr>
          <w:rFonts w:ascii="Arial" w:hAnsi="Arial" w:cs="Arial"/>
          <w:sz w:val="20"/>
        </w:rPr>
        <w:t xml:space="preserve">in the ACMA information paper, </w:t>
      </w:r>
      <w:r w:rsidR="0083299D" w:rsidRPr="0083299D">
        <w:rPr>
          <w:rFonts w:ascii="Arial" w:hAnsi="Arial" w:cs="Arial"/>
          <w:i/>
          <w:sz w:val="20"/>
        </w:rPr>
        <w:t>The Australian spectrum map grid 2012</w:t>
      </w:r>
      <w:r w:rsidR="0083299D" w:rsidRPr="0083299D">
        <w:rPr>
          <w:rFonts w:ascii="Arial" w:hAnsi="Arial" w:cs="Arial"/>
          <w:sz w:val="20"/>
        </w:rPr>
        <w:t xml:space="preserve">, available from the ACMA website </w:t>
      </w:r>
      <w:hyperlink r:id="rId11" w:history="1">
        <w:r w:rsidR="0083299D" w:rsidRPr="0083299D">
          <w:rPr>
            <w:rFonts w:ascii="Arial" w:hAnsi="Arial" w:cs="Arial"/>
            <w:sz w:val="20"/>
          </w:rPr>
          <w:t>www.acma.gov.au</w:t>
        </w:r>
      </w:hyperlink>
      <w:r w:rsidR="0083299D" w:rsidRPr="0083299D">
        <w:rPr>
          <w:rFonts w:ascii="Arial" w:hAnsi="Arial" w:cs="Arial"/>
          <w:sz w:val="20"/>
        </w:rPr>
        <w:t>.</w:t>
      </w:r>
    </w:p>
    <w:p w:rsidR="00F648D3" w:rsidRPr="008A6881" w:rsidRDefault="00F648D3" w:rsidP="00E10325">
      <w:pPr>
        <w:pStyle w:val="ACMABodyText"/>
        <w:spacing w:line="360" w:lineRule="auto"/>
        <w:jc w:val="both"/>
        <w:rPr>
          <w:rFonts w:ascii="Arial" w:hAnsi="Arial" w:cs="Arial"/>
          <w:sz w:val="20"/>
        </w:rPr>
      </w:pPr>
      <w:r w:rsidRPr="008A6881">
        <w:rPr>
          <w:rFonts w:ascii="Arial" w:hAnsi="Arial" w:cs="Arial"/>
          <w:sz w:val="20"/>
        </w:rPr>
        <w:t xml:space="preserve">A note to this section </w:t>
      </w:r>
      <w:r>
        <w:rPr>
          <w:rFonts w:ascii="Arial" w:hAnsi="Arial" w:cs="Arial"/>
          <w:sz w:val="20"/>
        </w:rPr>
        <w:t>indicates</w:t>
      </w:r>
      <w:r w:rsidRPr="008A6881">
        <w:rPr>
          <w:rFonts w:ascii="Arial" w:hAnsi="Arial" w:cs="Arial"/>
          <w:sz w:val="20"/>
        </w:rPr>
        <w:t xml:space="preserve"> that low power transmitters are exempt from the registration requirement. These devices are exempt because they have a low interference potential</w:t>
      </w:r>
      <w:r>
        <w:rPr>
          <w:rFonts w:ascii="Arial" w:hAnsi="Arial" w:cs="Arial"/>
          <w:sz w:val="20"/>
        </w:rPr>
        <w:t xml:space="preserve"> and the spectrum licence contains a clause exempting them from the registration requirement</w:t>
      </w:r>
      <w:r w:rsidRPr="008A6881">
        <w:rPr>
          <w:rFonts w:ascii="Arial" w:hAnsi="Arial" w:cs="Arial"/>
          <w:sz w:val="20"/>
        </w:rPr>
        <w:t>.</w:t>
      </w:r>
    </w:p>
    <w:p w:rsidR="00F648D3" w:rsidRPr="00BF4F62" w:rsidRDefault="00F648D3" w:rsidP="00E10325">
      <w:pPr>
        <w:pStyle w:val="Heading2"/>
        <w:spacing w:line="360" w:lineRule="auto"/>
        <w:ind w:left="1440" w:hanging="1440"/>
        <w:rPr>
          <w:rStyle w:val="CharSectno"/>
          <w:rFonts w:cs="Arial"/>
          <w:i w:val="0"/>
          <w:sz w:val="20"/>
        </w:rPr>
      </w:pPr>
      <w:r w:rsidRPr="00EA4BE7">
        <w:rPr>
          <w:i w:val="0"/>
          <w:sz w:val="20"/>
        </w:rPr>
        <w:t xml:space="preserve">Section </w:t>
      </w:r>
      <w:r>
        <w:rPr>
          <w:i w:val="0"/>
          <w:sz w:val="20"/>
        </w:rPr>
        <w:t>9</w:t>
      </w:r>
      <w:r>
        <w:rPr>
          <w:rStyle w:val="CharSectno"/>
          <w:rFonts w:cs="Arial"/>
          <w:i w:val="0"/>
          <w:sz w:val="20"/>
        </w:rPr>
        <w:tab/>
      </w:r>
      <w:r>
        <w:rPr>
          <w:rStyle w:val="CharSectno"/>
          <w:rFonts w:cs="Arial"/>
          <w:i w:val="0"/>
          <w:sz w:val="20"/>
        </w:rPr>
        <w:tab/>
        <w:t>Accuracy</w:t>
      </w:r>
    </w:p>
    <w:p w:rsidR="00F648D3" w:rsidRDefault="00F648D3" w:rsidP="00E10325">
      <w:pPr>
        <w:spacing w:line="360" w:lineRule="auto"/>
        <w:jc w:val="both"/>
        <w:rPr>
          <w:rFonts w:cs="Arial"/>
          <w:lang w:val="en-US"/>
        </w:rPr>
      </w:pPr>
      <w:r w:rsidRPr="00C85581">
        <w:rPr>
          <w:rFonts w:cs="Arial"/>
          <w:lang w:val="en-US"/>
        </w:rPr>
        <w:t xml:space="preserve">Section </w:t>
      </w:r>
      <w:r>
        <w:rPr>
          <w:rFonts w:cs="Arial"/>
          <w:lang w:val="en-US"/>
        </w:rPr>
        <w:t>9 specifies that values of parameters estimated for the purpose of Schedule</w:t>
      </w:r>
      <w:r w:rsidR="00D813EF">
        <w:rPr>
          <w:rFonts w:cs="Arial"/>
          <w:lang w:val="en-US"/>
        </w:rPr>
        <w:t>s</w:t>
      </w:r>
      <w:r>
        <w:rPr>
          <w:rFonts w:cs="Arial"/>
          <w:lang w:val="en-US"/>
        </w:rPr>
        <w:t xml:space="preserve"> 2 and 3 must be estimated with a level of confidence of not less than 95 percent that the true or actual value of the parameter of a </w:t>
      </w:r>
      <w:proofErr w:type="spellStart"/>
      <w:r>
        <w:rPr>
          <w:rFonts w:cs="Arial"/>
          <w:lang w:val="en-US"/>
        </w:rPr>
        <w:t>radiocommunications</w:t>
      </w:r>
      <w:proofErr w:type="spellEnd"/>
      <w:r>
        <w:rPr>
          <w:rFonts w:cs="Arial"/>
          <w:lang w:val="en-US"/>
        </w:rPr>
        <w:t xml:space="preserve"> transmitter will be below the requirement specified in Schedules 2 and 3 of the Determination.  That is to say, an estimate must have a likelihood of 95 percent or greater of being within the </w:t>
      </w:r>
      <w:r w:rsidR="00617E87">
        <w:rPr>
          <w:rFonts w:cs="Arial"/>
          <w:lang w:val="en-US"/>
        </w:rPr>
        <w:t xml:space="preserve">requirement for the </w:t>
      </w:r>
      <w:r>
        <w:rPr>
          <w:rFonts w:cs="Arial"/>
          <w:lang w:val="en-US"/>
        </w:rPr>
        <w:t>parameter.</w:t>
      </w:r>
    </w:p>
    <w:p w:rsidR="00F648D3" w:rsidRDefault="00F648D3" w:rsidP="00E10325">
      <w:pPr>
        <w:spacing w:line="360" w:lineRule="auto"/>
        <w:jc w:val="both"/>
        <w:rPr>
          <w:rFonts w:cs="Arial"/>
          <w:lang w:val="en-US"/>
        </w:rPr>
      </w:pPr>
    </w:p>
    <w:p w:rsidR="00F648D3" w:rsidRPr="008A6881" w:rsidRDefault="00F648D3" w:rsidP="00E10325">
      <w:pPr>
        <w:pStyle w:val="ACMABodyText"/>
        <w:spacing w:line="360" w:lineRule="auto"/>
        <w:rPr>
          <w:rFonts w:ascii="Arial" w:hAnsi="Arial" w:cs="Arial"/>
          <w:b/>
          <w:sz w:val="20"/>
        </w:rPr>
      </w:pPr>
      <w:r w:rsidRPr="008A6881">
        <w:rPr>
          <w:rFonts w:ascii="Arial" w:hAnsi="Arial" w:cs="Arial"/>
          <w:b/>
          <w:sz w:val="20"/>
        </w:rPr>
        <w:t xml:space="preserve">Schedule 1 – </w:t>
      </w:r>
      <w:r>
        <w:rPr>
          <w:rFonts w:ascii="Arial" w:hAnsi="Arial" w:cs="Arial"/>
          <w:b/>
          <w:sz w:val="20"/>
        </w:rPr>
        <w:t>L</w:t>
      </w:r>
      <w:r w:rsidRPr="008A6881">
        <w:rPr>
          <w:rFonts w:ascii="Arial" w:hAnsi="Arial" w:cs="Arial"/>
          <w:b/>
          <w:sz w:val="20"/>
        </w:rPr>
        <w:t>ocation of a transmitter</w:t>
      </w:r>
    </w:p>
    <w:p w:rsidR="00F648D3" w:rsidRDefault="00F648D3" w:rsidP="00E10325">
      <w:pPr>
        <w:pStyle w:val="ACMABodyText"/>
        <w:spacing w:line="360" w:lineRule="auto"/>
        <w:jc w:val="both"/>
        <w:rPr>
          <w:rFonts w:ascii="Arial" w:hAnsi="Arial" w:cs="Arial"/>
          <w:sz w:val="20"/>
        </w:rPr>
      </w:pPr>
      <w:r w:rsidRPr="008A6881">
        <w:rPr>
          <w:rFonts w:ascii="Arial" w:hAnsi="Arial" w:cs="Arial"/>
          <w:sz w:val="20"/>
        </w:rPr>
        <w:t>This Schedule defines the location</w:t>
      </w:r>
      <w:r>
        <w:rPr>
          <w:rFonts w:ascii="Arial" w:hAnsi="Arial" w:cs="Arial"/>
          <w:sz w:val="20"/>
        </w:rPr>
        <w:t xml:space="preserve"> of a </w:t>
      </w:r>
      <w:proofErr w:type="spellStart"/>
      <w:r>
        <w:rPr>
          <w:rFonts w:ascii="Arial" w:hAnsi="Arial" w:cs="Arial"/>
          <w:sz w:val="20"/>
        </w:rPr>
        <w:t>radiocommunications</w:t>
      </w:r>
      <w:proofErr w:type="spellEnd"/>
      <w:r>
        <w:rPr>
          <w:rFonts w:ascii="Arial" w:hAnsi="Arial" w:cs="Arial"/>
          <w:sz w:val="20"/>
        </w:rPr>
        <w:t xml:space="preserve"> transmitter (and for a group of </w:t>
      </w:r>
      <w:proofErr w:type="spellStart"/>
      <w:r>
        <w:rPr>
          <w:rFonts w:ascii="Arial" w:hAnsi="Arial" w:cs="Arial"/>
          <w:sz w:val="20"/>
        </w:rPr>
        <w:t>radiocommunications</w:t>
      </w:r>
      <w:proofErr w:type="spellEnd"/>
      <w:r>
        <w:rPr>
          <w:rFonts w:ascii="Arial" w:hAnsi="Arial" w:cs="Arial"/>
          <w:sz w:val="20"/>
        </w:rPr>
        <w:t xml:space="preserve"> transmitters) in </w:t>
      </w:r>
      <w:r w:rsidRPr="008A6881">
        <w:rPr>
          <w:rFonts w:ascii="Arial" w:hAnsi="Arial" w:cs="Arial"/>
          <w:sz w:val="20"/>
        </w:rPr>
        <w:t xml:space="preserve">terms of the location of the </w:t>
      </w:r>
      <w:r>
        <w:rPr>
          <w:rFonts w:ascii="Arial" w:hAnsi="Arial" w:cs="Arial"/>
          <w:sz w:val="20"/>
        </w:rPr>
        <w:t xml:space="preserve">centre of the </w:t>
      </w:r>
      <w:r w:rsidRPr="008A6881">
        <w:rPr>
          <w:rFonts w:ascii="Arial" w:hAnsi="Arial" w:cs="Arial"/>
          <w:sz w:val="20"/>
        </w:rPr>
        <w:t xml:space="preserve">antenna </w:t>
      </w:r>
      <w:r>
        <w:rPr>
          <w:rFonts w:ascii="Arial" w:hAnsi="Arial" w:cs="Arial"/>
          <w:sz w:val="20"/>
        </w:rPr>
        <w:t xml:space="preserve">or antennas specified </w:t>
      </w:r>
      <w:r w:rsidRPr="008A6881">
        <w:rPr>
          <w:rFonts w:ascii="Arial" w:hAnsi="Arial" w:cs="Arial"/>
          <w:sz w:val="20"/>
        </w:rPr>
        <w:t>in latitude and longitude for use in determining unacceptable levels of interference under section </w:t>
      </w:r>
      <w:r>
        <w:rPr>
          <w:rFonts w:ascii="Arial" w:hAnsi="Arial" w:cs="Arial"/>
          <w:sz w:val="20"/>
        </w:rPr>
        <w:t>8</w:t>
      </w:r>
      <w:r w:rsidRPr="008A6881">
        <w:rPr>
          <w:rFonts w:ascii="Arial" w:hAnsi="Arial" w:cs="Arial"/>
          <w:sz w:val="20"/>
        </w:rPr>
        <w:t>.</w:t>
      </w:r>
      <w:r>
        <w:rPr>
          <w:rFonts w:ascii="Arial" w:hAnsi="Arial" w:cs="Arial"/>
          <w:sz w:val="20"/>
        </w:rPr>
        <w:t xml:space="preserve">  There are two notes to this section.</w:t>
      </w:r>
      <w:r w:rsidRPr="008A6881">
        <w:rPr>
          <w:rFonts w:ascii="Arial" w:hAnsi="Arial" w:cs="Arial"/>
          <w:sz w:val="20"/>
        </w:rPr>
        <w:t xml:space="preserve"> </w:t>
      </w:r>
    </w:p>
    <w:p w:rsidR="00F648D3" w:rsidRDefault="00F648D3" w:rsidP="00E10325">
      <w:pPr>
        <w:pStyle w:val="ACMABodyText"/>
        <w:spacing w:line="360" w:lineRule="auto"/>
        <w:jc w:val="both"/>
        <w:rPr>
          <w:rFonts w:ascii="Arial" w:hAnsi="Arial" w:cs="Arial"/>
          <w:sz w:val="20"/>
        </w:rPr>
      </w:pPr>
      <w:r>
        <w:rPr>
          <w:rFonts w:ascii="Arial" w:hAnsi="Arial" w:cs="Arial"/>
          <w:sz w:val="20"/>
        </w:rPr>
        <w:t xml:space="preserve">Note 1 indicates that site identifiers for frequently used existing </w:t>
      </w:r>
      <w:proofErr w:type="spellStart"/>
      <w:r>
        <w:rPr>
          <w:rFonts w:ascii="Arial" w:hAnsi="Arial" w:cs="Arial"/>
          <w:sz w:val="20"/>
        </w:rPr>
        <w:t>radiocommunications</w:t>
      </w:r>
      <w:proofErr w:type="spellEnd"/>
      <w:r>
        <w:rPr>
          <w:rFonts w:ascii="Arial" w:hAnsi="Arial" w:cs="Arial"/>
          <w:sz w:val="20"/>
        </w:rPr>
        <w:t xml:space="preserve"> sites are available from the ACMA.</w:t>
      </w:r>
    </w:p>
    <w:p w:rsidR="00F648D3" w:rsidRDefault="00F648D3" w:rsidP="00E10325">
      <w:pPr>
        <w:pStyle w:val="ACMABodyText"/>
        <w:spacing w:line="360" w:lineRule="auto"/>
        <w:jc w:val="both"/>
        <w:rPr>
          <w:rFonts w:ascii="Arial" w:hAnsi="Arial" w:cs="Arial"/>
          <w:sz w:val="20"/>
        </w:rPr>
      </w:pPr>
      <w:r>
        <w:rPr>
          <w:rFonts w:ascii="Arial" w:hAnsi="Arial" w:cs="Arial"/>
          <w:sz w:val="20"/>
        </w:rPr>
        <w:t>Note 2 indicates the existence of the ACMA Business operating procedure, or BOP which provides advice for determining the location and measurement error of a transmitter site, which is available on the ACMA’s website.</w:t>
      </w:r>
    </w:p>
    <w:p w:rsidR="00F648D3" w:rsidRPr="008A6881" w:rsidRDefault="00F648D3" w:rsidP="00E10325">
      <w:pPr>
        <w:pStyle w:val="ACMABodyText"/>
        <w:spacing w:line="360" w:lineRule="auto"/>
        <w:rPr>
          <w:rFonts w:ascii="Arial" w:hAnsi="Arial" w:cs="Arial"/>
          <w:b/>
          <w:sz w:val="20"/>
        </w:rPr>
      </w:pPr>
      <w:r w:rsidRPr="008A6881">
        <w:rPr>
          <w:rFonts w:ascii="Arial" w:hAnsi="Arial" w:cs="Arial"/>
          <w:b/>
          <w:sz w:val="20"/>
        </w:rPr>
        <w:t>Schedule 2 – Device boundaries and device boundary criteria</w:t>
      </w:r>
    </w:p>
    <w:p w:rsidR="00F648D3" w:rsidRDefault="001A5C25" w:rsidP="00E10325">
      <w:pPr>
        <w:pStyle w:val="ACMABodyText"/>
        <w:spacing w:line="360" w:lineRule="auto"/>
        <w:jc w:val="both"/>
        <w:rPr>
          <w:rFonts w:ascii="Arial" w:hAnsi="Arial" w:cs="Arial"/>
          <w:sz w:val="20"/>
        </w:rPr>
      </w:pPr>
      <w:r>
        <w:rPr>
          <w:rFonts w:ascii="Arial" w:hAnsi="Arial" w:cs="Arial"/>
          <w:sz w:val="20"/>
        </w:rPr>
        <w:t>T</w:t>
      </w:r>
      <w:r w:rsidR="00F648D3" w:rsidRPr="008A6881">
        <w:rPr>
          <w:rFonts w:ascii="Arial" w:hAnsi="Arial" w:cs="Arial"/>
          <w:sz w:val="20"/>
        </w:rPr>
        <w:t xml:space="preserve">his Schedule sets out the technical procedure for calculating the device boundary of a </w:t>
      </w:r>
      <w:proofErr w:type="spellStart"/>
      <w:r w:rsidR="00F648D3">
        <w:rPr>
          <w:rFonts w:ascii="Arial" w:hAnsi="Arial" w:cs="Arial"/>
          <w:sz w:val="20"/>
        </w:rPr>
        <w:t>radiocommunications</w:t>
      </w:r>
      <w:proofErr w:type="spellEnd"/>
      <w:r w:rsidR="00F648D3">
        <w:rPr>
          <w:rFonts w:ascii="Arial" w:hAnsi="Arial" w:cs="Arial"/>
          <w:sz w:val="20"/>
        </w:rPr>
        <w:t xml:space="preserve"> </w:t>
      </w:r>
      <w:r w:rsidR="00F648D3" w:rsidRPr="008A6881">
        <w:rPr>
          <w:rFonts w:ascii="Arial" w:hAnsi="Arial" w:cs="Arial"/>
          <w:sz w:val="20"/>
        </w:rPr>
        <w:t>transmitter</w:t>
      </w:r>
      <w:r w:rsidR="00F648D3">
        <w:rPr>
          <w:rFonts w:ascii="Arial" w:hAnsi="Arial" w:cs="Arial"/>
          <w:sz w:val="20"/>
        </w:rPr>
        <w:t xml:space="preserve"> or group of </w:t>
      </w:r>
      <w:proofErr w:type="spellStart"/>
      <w:r w:rsidR="00F648D3">
        <w:rPr>
          <w:rFonts w:ascii="Arial" w:hAnsi="Arial" w:cs="Arial"/>
          <w:sz w:val="20"/>
        </w:rPr>
        <w:t>radiocommunications</w:t>
      </w:r>
      <w:proofErr w:type="spellEnd"/>
      <w:r w:rsidR="00F648D3">
        <w:rPr>
          <w:rFonts w:ascii="Arial" w:hAnsi="Arial" w:cs="Arial"/>
          <w:sz w:val="20"/>
        </w:rPr>
        <w:t xml:space="preserve"> transmitters, which is relevant for the application of section 8 of the Determination</w:t>
      </w:r>
      <w:r w:rsidR="00F648D3" w:rsidRPr="008A6881">
        <w:rPr>
          <w:rFonts w:ascii="Arial" w:hAnsi="Arial" w:cs="Arial"/>
          <w:sz w:val="20"/>
        </w:rPr>
        <w:t xml:space="preserve">. Under </w:t>
      </w:r>
      <w:r w:rsidR="00F648D3">
        <w:rPr>
          <w:rFonts w:ascii="Arial" w:hAnsi="Arial" w:cs="Arial"/>
          <w:sz w:val="20"/>
        </w:rPr>
        <w:t>paragraph 8</w:t>
      </w:r>
      <w:r w:rsidR="00F648D3" w:rsidRPr="008A6881">
        <w:rPr>
          <w:rFonts w:ascii="Arial" w:hAnsi="Arial" w:cs="Arial"/>
          <w:sz w:val="20"/>
        </w:rPr>
        <w:t>(</w:t>
      </w:r>
      <w:r w:rsidR="00F648D3">
        <w:rPr>
          <w:rFonts w:ascii="Arial" w:hAnsi="Arial" w:cs="Arial"/>
          <w:sz w:val="20"/>
        </w:rPr>
        <w:t>1</w:t>
      </w:r>
      <w:proofErr w:type="gramStart"/>
      <w:r w:rsidR="00F648D3" w:rsidRPr="008A6881">
        <w:rPr>
          <w:rFonts w:ascii="Arial" w:hAnsi="Arial" w:cs="Arial"/>
          <w:sz w:val="20"/>
        </w:rPr>
        <w:t>)</w:t>
      </w:r>
      <w:r w:rsidR="00F648D3">
        <w:rPr>
          <w:rFonts w:ascii="Arial" w:hAnsi="Arial" w:cs="Arial"/>
          <w:sz w:val="20"/>
        </w:rPr>
        <w:t>(</w:t>
      </w:r>
      <w:proofErr w:type="gramEnd"/>
      <w:r w:rsidR="00F648D3">
        <w:rPr>
          <w:rFonts w:ascii="Arial" w:hAnsi="Arial" w:cs="Arial"/>
          <w:sz w:val="20"/>
        </w:rPr>
        <w:t>b) of the Determination</w:t>
      </w:r>
      <w:r w:rsidR="00F648D3" w:rsidRPr="008A6881">
        <w:rPr>
          <w:rFonts w:ascii="Arial" w:hAnsi="Arial" w:cs="Arial"/>
          <w:sz w:val="20"/>
        </w:rPr>
        <w:t xml:space="preserve">, a transmitter is taken to cause an unacceptable level of interference if its device boundary exceeds the geographic boundary of the spectrum licence. </w:t>
      </w:r>
      <w:r w:rsidR="00617E87">
        <w:rPr>
          <w:rFonts w:ascii="Arial" w:hAnsi="Arial" w:cs="Arial"/>
          <w:sz w:val="20"/>
        </w:rPr>
        <w:t xml:space="preserve"> Under paragraph 8(1)(c) of the Determination, a transmitter is also taken to cause an unacceptable level of interference if the device boundary of the transmitter cannot be calculated in accordance with Part 1 of this Schedule.</w:t>
      </w:r>
    </w:p>
    <w:p w:rsidR="00B31336" w:rsidRPr="00E83A7C" w:rsidRDefault="00605092" w:rsidP="00E10325">
      <w:pPr>
        <w:pStyle w:val="ACMABodyText"/>
        <w:spacing w:line="360" w:lineRule="auto"/>
        <w:jc w:val="both"/>
        <w:rPr>
          <w:rFonts w:ascii="Arial" w:hAnsi="Arial" w:cs="Arial"/>
          <w:i/>
          <w:sz w:val="20"/>
        </w:rPr>
      </w:pPr>
      <w:r w:rsidRPr="00605092">
        <w:rPr>
          <w:rFonts w:ascii="Arial" w:hAnsi="Arial" w:cs="Arial"/>
          <w:i/>
          <w:sz w:val="20"/>
        </w:rPr>
        <w:t>Part 1</w:t>
      </w:r>
      <w:r w:rsidR="00B31336" w:rsidRPr="00E83A7C">
        <w:rPr>
          <w:rFonts w:ascii="Arial" w:hAnsi="Arial" w:cs="Arial"/>
          <w:i/>
          <w:sz w:val="20"/>
        </w:rPr>
        <w:t xml:space="preserve"> of Schedule 2</w:t>
      </w:r>
    </w:p>
    <w:p w:rsidR="000A4A6B" w:rsidRDefault="00F648D3" w:rsidP="00E10325">
      <w:pPr>
        <w:pStyle w:val="ACMABodyText"/>
        <w:spacing w:line="360" w:lineRule="auto"/>
        <w:jc w:val="both"/>
        <w:rPr>
          <w:rFonts w:ascii="Arial" w:hAnsi="Arial" w:cs="Arial"/>
          <w:sz w:val="20"/>
        </w:rPr>
      </w:pPr>
      <w:r>
        <w:rPr>
          <w:rFonts w:ascii="Arial" w:hAnsi="Arial" w:cs="Arial"/>
          <w:sz w:val="20"/>
        </w:rPr>
        <w:t>Part</w:t>
      </w:r>
      <w:r w:rsidRPr="008A6881">
        <w:rPr>
          <w:rFonts w:ascii="Arial" w:hAnsi="Arial" w:cs="Arial"/>
          <w:sz w:val="20"/>
        </w:rPr>
        <w:t xml:space="preserve"> 1 of the Schedule details the steps involved in </w:t>
      </w:r>
      <w:r>
        <w:rPr>
          <w:rFonts w:ascii="Arial" w:hAnsi="Arial" w:cs="Arial"/>
          <w:sz w:val="20"/>
        </w:rPr>
        <w:t xml:space="preserve">calculating </w:t>
      </w:r>
      <w:r w:rsidRPr="008A6881">
        <w:rPr>
          <w:rFonts w:ascii="Arial" w:hAnsi="Arial" w:cs="Arial"/>
          <w:sz w:val="20"/>
        </w:rPr>
        <w:t>the device boundary. The calculation is an iterative process and involves testing whether the device boundary criterion specified in Part 2 is m</w:t>
      </w:r>
      <w:r w:rsidRPr="00D35838">
        <w:rPr>
          <w:rFonts w:ascii="Arial" w:hAnsi="Arial" w:cs="Arial"/>
          <w:sz w:val="20"/>
        </w:rPr>
        <w:t xml:space="preserve">et </w:t>
      </w:r>
      <w:r w:rsidRPr="00D35838">
        <w:rPr>
          <w:rFonts w:ascii="Arial" w:hAnsi="Arial"/>
          <w:sz w:val="20"/>
        </w:rPr>
        <w:t>at increasing distances</w:t>
      </w:r>
      <w:r>
        <w:rPr>
          <w:rFonts w:ascii="Arial" w:hAnsi="Arial"/>
          <w:sz w:val="20"/>
        </w:rPr>
        <w:t xml:space="preserve"> (</w:t>
      </w:r>
      <w:r w:rsidRPr="00D35838">
        <w:rPr>
          <w:rFonts w:ascii="Arial" w:hAnsi="Arial"/>
          <w:sz w:val="20"/>
        </w:rPr>
        <w:t>of 5</w:t>
      </w:r>
      <w:r>
        <w:rPr>
          <w:rFonts w:ascii="Arial" w:hAnsi="Arial"/>
          <w:sz w:val="20"/>
        </w:rPr>
        <w:t>00</w:t>
      </w:r>
      <w:r w:rsidRPr="00D35838">
        <w:rPr>
          <w:rFonts w:ascii="Arial" w:hAnsi="Arial"/>
          <w:sz w:val="20"/>
        </w:rPr>
        <w:t xml:space="preserve"> m</w:t>
      </w:r>
      <w:r>
        <w:rPr>
          <w:rFonts w:ascii="Arial" w:hAnsi="Arial"/>
          <w:sz w:val="20"/>
        </w:rPr>
        <w:t>etre</w:t>
      </w:r>
      <w:r w:rsidRPr="00D35838">
        <w:rPr>
          <w:rFonts w:ascii="Arial" w:hAnsi="Arial"/>
          <w:sz w:val="20"/>
        </w:rPr>
        <w:t xml:space="preserve"> increments</w:t>
      </w:r>
      <w:r>
        <w:rPr>
          <w:rFonts w:ascii="Arial" w:hAnsi="Arial"/>
          <w:sz w:val="20"/>
        </w:rPr>
        <w:t>)</w:t>
      </w:r>
      <w:r w:rsidRPr="00D35838">
        <w:rPr>
          <w:rFonts w:ascii="Arial" w:hAnsi="Arial"/>
          <w:sz w:val="20"/>
        </w:rPr>
        <w:t xml:space="preserve"> from the transmitter along </w:t>
      </w:r>
      <w:proofErr w:type="spellStart"/>
      <w:r w:rsidRPr="00D35838">
        <w:rPr>
          <w:rFonts w:ascii="Arial" w:hAnsi="Arial"/>
          <w:sz w:val="20"/>
        </w:rPr>
        <w:t>radial</w:t>
      </w:r>
      <w:proofErr w:type="spellEnd"/>
      <w:r w:rsidRPr="00D35838">
        <w:rPr>
          <w:rFonts w:ascii="Arial" w:hAnsi="Arial"/>
          <w:sz w:val="20"/>
        </w:rPr>
        <w:t xml:space="preserve"> lines spaced around the centre location of the transmitter.</w:t>
      </w:r>
      <w:r w:rsidRPr="00D35838">
        <w:rPr>
          <w:rFonts w:ascii="Arial" w:hAnsi="Arial" w:cs="Arial"/>
          <w:sz w:val="20"/>
        </w:rPr>
        <w:t xml:space="preserve"> </w:t>
      </w:r>
      <w:r>
        <w:rPr>
          <w:rFonts w:ascii="Arial" w:hAnsi="Arial" w:cs="Arial"/>
          <w:sz w:val="20"/>
        </w:rPr>
        <w:t xml:space="preserve"> </w:t>
      </w:r>
      <w:r w:rsidR="00617E87">
        <w:rPr>
          <w:rFonts w:ascii="Arial" w:hAnsi="Arial" w:cs="Arial"/>
          <w:sz w:val="20"/>
        </w:rPr>
        <w:t xml:space="preserve">The latitude and longitude of the first point on a radial where the device boundary </w:t>
      </w:r>
      <w:r w:rsidR="000A4A6B">
        <w:rPr>
          <w:rFonts w:ascii="Arial" w:hAnsi="Arial" w:cs="Arial"/>
          <w:sz w:val="20"/>
        </w:rPr>
        <w:t>criterion is less than or equal to zero is considered to be the furthest point of the device boundary on this radial. The end points of each radial must be within the geographic boundary of the licence to be deemed not to cause unacceptable interference.</w:t>
      </w:r>
    </w:p>
    <w:p w:rsidR="00F648D3" w:rsidRDefault="00F648D3" w:rsidP="00E10325">
      <w:pPr>
        <w:pStyle w:val="ACMABodyText"/>
        <w:spacing w:line="360" w:lineRule="auto"/>
        <w:jc w:val="both"/>
        <w:rPr>
          <w:rFonts w:ascii="Arial" w:hAnsi="Arial" w:cs="Arial"/>
          <w:sz w:val="20"/>
        </w:rPr>
      </w:pPr>
      <w:r>
        <w:rPr>
          <w:rFonts w:ascii="Arial" w:hAnsi="Arial" w:cs="Arial"/>
          <w:sz w:val="20"/>
        </w:rPr>
        <w:t>There are two notes to Part 1 of this Schedule.</w:t>
      </w:r>
    </w:p>
    <w:p w:rsidR="00F648D3" w:rsidRDefault="00F648D3" w:rsidP="00E10325">
      <w:pPr>
        <w:pStyle w:val="ACMABodyText"/>
        <w:spacing w:line="360" w:lineRule="auto"/>
        <w:jc w:val="both"/>
        <w:rPr>
          <w:rFonts w:ascii="Arial" w:hAnsi="Arial" w:cs="Arial"/>
          <w:sz w:val="20"/>
        </w:rPr>
      </w:pPr>
      <w:r>
        <w:rPr>
          <w:rFonts w:ascii="Arial" w:hAnsi="Arial" w:cs="Arial"/>
          <w:sz w:val="20"/>
        </w:rPr>
        <w:t>Note 1 indicates that it is not necessary to calculate a device boundary for low power devices that are exempt from the registration requirement.</w:t>
      </w:r>
    </w:p>
    <w:p w:rsidR="00F648D3" w:rsidRPr="00D35838" w:rsidRDefault="00F648D3" w:rsidP="00E10325">
      <w:pPr>
        <w:pStyle w:val="ACMABodyText"/>
        <w:spacing w:line="360" w:lineRule="auto"/>
        <w:jc w:val="both"/>
        <w:rPr>
          <w:rFonts w:ascii="Arial" w:hAnsi="Arial" w:cs="Arial"/>
          <w:sz w:val="20"/>
        </w:rPr>
      </w:pPr>
      <w:r>
        <w:rPr>
          <w:rFonts w:ascii="Arial" w:hAnsi="Arial" w:cs="Arial"/>
          <w:sz w:val="20"/>
        </w:rPr>
        <w:t xml:space="preserve">Note 2 </w:t>
      </w:r>
      <w:proofErr w:type="gramStart"/>
      <w:r>
        <w:rPr>
          <w:rFonts w:ascii="Arial" w:hAnsi="Arial" w:cs="Arial"/>
          <w:sz w:val="20"/>
        </w:rPr>
        <w:t>indicates</w:t>
      </w:r>
      <w:proofErr w:type="gramEnd"/>
      <w:r>
        <w:rPr>
          <w:rFonts w:ascii="Arial" w:hAnsi="Arial" w:cs="Arial"/>
          <w:sz w:val="20"/>
        </w:rPr>
        <w:t xml:space="preserve"> that the device boundary criterion is calculated as in Part 2 of this Schedule.</w:t>
      </w:r>
    </w:p>
    <w:p w:rsidR="000A4A6B" w:rsidRPr="00E83A7C" w:rsidRDefault="00605092" w:rsidP="00E10325">
      <w:pPr>
        <w:pStyle w:val="ACMABodyText"/>
        <w:spacing w:line="360" w:lineRule="auto"/>
        <w:jc w:val="both"/>
        <w:rPr>
          <w:rFonts w:ascii="Arial" w:hAnsi="Arial" w:cs="Arial"/>
          <w:i/>
          <w:sz w:val="20"/>
        </w:rPr>
      </w:pPr>
      <w:r w:rsidRPr="00605092">
        <w:rPr>
          <w:rFonts w:ascii="Arial" w:hAnsi="Arial" w:cs="Arial"/>
          <w:i/>
          <w:sz w:val="20"/>
        </w:rPr>
        <w:t>Part 2 of Schedule 2</w:t>
      </w:r>
    </w:p>
    <w:p w:rsidR="00F648D3" w:rsidRDefault="00F648D3" w:rsidP="00E10325">
      <w:pPr>
        <w:pStyle w:val="ACMABodyText"/>
        <w:spacing w:line="360" w:lineRule="auto"/>
        <w:jc w:val="both"/>
        <w:rPr>
          <w:rFonts w:ascii="Arial" w:hAnsi="Arial" w:cs="Arial"/>
          <w:sz w:val="20"/>
        </w:rPr>
      </w:pPr>
      <w:r w:rsidRPr="00D35838">
        <w:rPr>
          <w:rFonts w:ascii="Arial" w:hAnsi="Arial" w:cs="Arial"/>
          <w:sz w:val="20"/>
        </w:rPr>
        <w:t>Part 2 provides the device boundary criterion</w:t>
      </w:r>
      <w:r w:rsidR="00B31336">
        <w:rPr>
          <w:rFonts w:ascii="Arial" w:hAnsi="Arial" w:cs="Arial"/>
          <w:sz w:val="20"/>
        </w:rPr>
        <w:t xml:space="preserve"> which is the mathematical expression used to calculate a device boundary in accordance with Part 1 of this Schedule. </w:t>
      </w:r>
      <w:r w:rsidR="00FE7D89">
        <w:rPr>
          <w:rFonts w:ascii="Arial" w:hAnsi="Arial" w:cs="Arial"/>
          <w:sz w:val="20"/>
        </w:rPr>
        <w:t xml:space="preserve">The mathematical expression consists of the </w:t>
      </w:r>
      <w:r w:rsidR="00E5536B">
        <w:rPr>
          <w:rFonts w:ascii="Arial" w:hAnsi="Arial" w:cs="Arial"/>
          <w:sz w:val="20"/>
        </w:rPr>
        <w:t xml:space="preserve">horizontally </w:t>
      </w:r>
      <w:r w:rsidR="00FE7D89">
        <w:rPr>
          <w:rFonts w:ascii="Arial" w:hAnsi="Arial" w:cs="Arial"/>
          <w:sz w:val="20"/>
        </w:rPr>
        <w:t xml:space="preserve">radiated power of the device minus the </w:t>
      </w:r>
      <w:r w:rsidR="00E5536B">
        <w:rPr>
          <w:rFonts w:ascii="Arial" w:hAnsi="Arial" w:cs="Arial"/>
          <w:sz w:val="20"/>
        </w:rPr>
        <w:t>path loss</w:t>
      </w:r>
      <w:r w:rsidR="00FE7D89">
        <w:rPr>
          <w:rFonts w:ascii="Arial" w:hAnsi="Arial" w:cs="Arial"/>
          <w:sz w:val="20"/>
        </w:rPr>
        <w:t xml:space="preserve"> function. The device boundary criterion has function dependencies which include the horizontally radiated power</w:t>
      </w:r>
      <w:r w:rsidR="0056570F">
        <w:rPr>
          <w:rFonts w:ascii="Arial" w:hAnsi="Arial" w:cs="Arial"/>
          <w:sz w:val="20"/>
        </w:rPr>
        <w:t xml:space="preserve">, the receiver level of protection and the propagation loss set out in Part 3 of this Schedule for each segment </w:t>
      </w:r>
      <w:r w:rsidR="00E5536B">
        <w:rPr>
          <w:rFonts w:ascii="Arial" w:hAnsi="Arial" w:cs="Arial"/>
          <w:sz w:val="20"/>
        </w:rPr>
        <w:t>along each radial</w:t>
      </w:r>
      <w:r w:rsidR="0056570F">
        <w:rPr>
          <w:rFonts w:ascii="Arial" w:hAnsi="Arial" w:cs="Arial"/>
          <w:sz w:val="20"/>
        </w:rPr>
        <w:t>.</w:t>
      </w:r>
    </w:p>
    <w:p w:rsidR="001A5C25" w:rsidRDefault="001A5C25" w:rsidP="00E10325">
      <w:pPr>
        <w:pStyle w:val="ACMABodyText"/>
        <w:spacing w:line="360" w:lineRule="auto"/>
        <w:jc w:val="both"/>
        <w:rPr>
          <w:rFonts w:ascii="Arial" w:hAnsi="Arial" w:cs="Arial"/>
          <w:i/>
          <w:sz w:val="20"/>
        </w:rPr>
      </w:pPr>
    </w:p>
    <w:p w:rsidR="001A5C25" w:rsidRDefault="001A5C25" w:rsidP="00E10325">
      <w:pPr>
        <w:pStyle w:val="ACMABodyText"/>
        <w:spacing w:line="360" w:lineRule="auto"/>
        <w:jc w:val="both"/>
        <w:rPr>
          <w:rFonts w:ascii="Arial" w:hAnsi="Arial" w:cs="Arial"/>
          <w:i/>
          <w:sz w:val="20"/>
        </w:rPr>
      </w:pPr>
    </w:p>
    <w:p w:rsidR="0056570F" w:rsidRPr="00E83A7C" w:rsidRDefault="00605092" w:rsidP="00E10325">
      <w:pPr>
        <w:pStyle w:val="ACMABodyText"/>
        <w:spacing w:line="360" w:lineRule="auto"/>
        <w:jc w:val="both"/>
        <w:rPr>
          <w:rFonts w:ascii="Arial" w:hAnsi="Arial" w:cs="Arial"/>
          <w:i/>
          <w:sz w:val="20"/>
        </w:rPr>
      </w:pPr>
      <w:r w:rsidRPr="00605092">
        <w:rPr>
          <w:rFonts w:ascii="Arial" w:hAnsi="Arial" w:cs="Arial"/>
          <w:i/>
          <w:sz w:val="20"/>
        </w:rPr>
        <w:t>Part 3 of Schedule 2</w:t>
      </w:r>
    </w:p>
    <w:p w:rsidR="00F648D3" w:rsidRPr="00D35838" w:rsidRDefault="00F648D3" w:rsidP="00E10325">
      <w:pPr>
        <w:pStyle w:val="ACMABodyText"/>
        <w:spacing w:line="360" w:lineRule="auto"/>
        <w:jc w:val="both"/>
        <w:rPr>
          <w:rFonts w:ascii="Arial" w:hAnsi="Arial" w:cs="Arial"/>
          <w:sz w:val="20"/>
        </w:rPr>
      </w:pPr>
      <w:r>
        <w:rPr>
          <w:rFonts w:ascii="Arial" w:hAnsi="Arial" w:cs="Arial"/>
          <w:sz w:val="20"/>
        </w:rPr>
        <w:t>Part 3 provides the mathematical expression for determining the propagation loss component of the expression for determining the device boundary criterion in Part 2.</w:t>
      </w:r>
      <w:r w:rsidRPr="00D35838">
        <w:rPr>
          <w:rFonts w:ascii="Arial" w:hAnsi="Arial" w:cs="Arial"/>
          <w:sz w:val="20"/>
        </w:rPr>
        <w:t xml:space="preserve"> </w:t>
      </w:r>
    </w:p>
    <w:p w:rsidR="00F648D3" w:rsidRPr="00D35838" w:rsidRDefault="00F648D3" w:rsidP="00E10325">
      <w:pPr>
        <w:pStyle w:val="ACMABodyText"/>
        <w:spacing w:line="360" w:lineRule="auto"/>
        <w:rPr>
          <w:rFonts w:ascii="Arial" w:hAnsi="Arial" w:cs="Arial"/>
          <w:sz w:val="20"/>
        </w:rPr>
      </w:pPr>
    </w:p>
    <w:p w:rsidR="00F648D3" w:rsidRPr="00D35838" w:rsidRDefault="00F648D3" w:rsidP="00E10325">
      <w:pPr>
        <w:pStyle w:val="ACMABodyText"/>
        <w:spacing w:line="360" w:lineRule="auto"/>
        <w:rPr>
          <w:rFonts w:ascii="Arial" w:hAnsi="Arial" w:cs="Arial"/>
          <w:b/>
          <w:sz w:val="20"/>
        </w:rPr>
      </w:pPr>
      <w:r w:rsidRPr="00D35838">
        <w:rPr>
          <w:rFonts w:ascii="Arial" w:hAnsi="Arial" w:cs="Arial"/>
          <w:b/>
          <w:sz w:val="20"/>
        </w:rPr>
        <w:t xml:space="preserve">Schedule 3 – </w:t>
      </w:r>
      <w:r>
        <w:rPr>
          <w:rFonts w:ascii="Arial" w:hAnsi="Arial" w:cs="Arial"/>
          <w:b/>
          <w:sz w:val="20"/>
        </w:rPr>
        <w:t>Ground and e</w:t>
      </w:r>
      <w:r w:rsidRPr="00D35838">
        <w:rPr>
          <w:rFonts w:ascii="Arial" w:hAnsi="Arial" w:cs="Arial"/>
          <w:b/>
          <w:sz w:val="20"/>
        </w:rPr>
        <w:t>ffective antenna height</w:t>
      </w:r>
    </w:p>
    <w:p w:rsidR="00E83A7C" w:rsidRPr="00E83A7C" w:rsidRDefault="00605092" w:rsidP="00E10325">
      <w:pPr>
        <w:pStyle w:val="ACMABodyText"/>
        <w:spacing w:line="360" w:lineRule="auto"/>
        <w:jc w:val="both"/>
        <w:rPr>
          <w:rFonts w:ascii="Arial" w:hAnsi="Arial"/>
          <w:i/>
          <w:sz w:val="20"/>
        </w:rPr>
      </w:pPr>
      <w:r w:rsidRPr="00605092">
        <w:rPr>
          <w:rFonts w:ascii="Arial" w:hAnsi="Arial"/>
          <w:i/>
          <w:sz w:val="20"/>
        </w:rPr>
        <w:t>Part 1 of Schedule 3</w:t>
      </w:r>
    </w:p>
    <w:p w:rsidR="00F648D3" w:rsidRPr="00D35838" w:rsidRDefault="00F648D3" w:rsidP="00E10325">
      <w:pPr>
        <w:pStyle w:val="ACMABodyText"/>
        <w:spacing w:line="360" w:lineRule="auto"/>
        <w:jc w:val="both"/>
        <w:rPr>
          <w:rFonts w:ascii="Arial" w:hAnsi="Arial"/>
          <w:sz w:val="20"/>
        </w:rPr>
      </w:pPr>
      <w:r>
        <w:rPr>
          <w:rFonts w:ascii="Arial" w:hAnsi="Arial"/>
          <w:sz w:val="20"/>
        </w:rPr>
        <w:t>Part 1 of t</w:t>
      </w:r>
      <w:r w:rsidRPr="00D35838">
        <w:rPr>
          <w:rFonts w:ascii="Arial" w:hAnsi="Arial"/>
          <w:sz w:val="20"/>
        </w:rPr>
        <w:t xml:space="preserve">his </w:t>
      </w:r>
      <w:r>
        <w:rPr>
          <w:rFonts w:ascii="Arial" w:hAnsi="Arial"/>
          <w:sz w:val="20"/>
        </w:rPr>
        <w:t>S</w:t>
      </w:r>
      <w:r w:rsidRPr="00D35838">
        <w:rPr>
          <w:rFonts w:ascii="Arial" w:hAnsi="Arial"/>
          <w:sz w:val="20"/>
        </w:rPr>
        <w:t>chedule specifies the procedure for calculating effective antenna height</w:t>
      </w:r>
      <w:r w:rsidR="00E83A7C">
        <w:rPr>
          <w:rFonts w:ascii="Arial" w:hAnsi="Arial"/>
          <w:sz w:val="20"/>
        </w:rPr>
        <w:t xml:space="preserve"> for the</w:t>
      </w:r>
      <w:r w:rsidR="008C4933">
        <w:rPr>
          <w:rFonts w:ascii="Arial" w:hAnsi="Arial"/>
          <w:sz w:val="20"/>
        </w:rPr>
        <w:t xml:space="preserve"> pu</w:t>
      </w:r>
      <w:r w:rsidR="00E83A7C">
        <w:rPr>
          <w:rFonts w:ascii="Arial" w:hAnsi="Arial"/>
          <w:sz w:val="20"/>
        </w:rPr>
        <w:t>r</w:t>
      </w:r>
      <w:r w:rsidR="008C4933">
        <w:rPr>
          <w:rFonts w:ascii="Arial" w:hAnsi="Arial"/>
          <w:sz w:val="20"/>
        </w:rPr>
        <w:t>pose of the Determination</w:t>
      </w:r>
      <w:r w:rsidRPr="00D35838">
        <w:rPr>
          <w:rFonts w:ascii="Arial" w:hAnsi="Arial"/>
          <w:sz w:val="20"/>
        </w:rPr>
        <w:t>, taking account of average ground height above sea level and antenna height above ground.</w:t>
      </w:r>
      <w:r w:rsidR="008C4933">
        <w:rPr>
          <w:rFonts w:ascii="Arial" w:hAnsi="Arial"/>
          <w:sz w:val="20"/>
        </w:rPr>
        <w:t xml:space="preserve"> The effective antenna height of a spectrum-licensed </w:t>
      </w:r>
      <w:proofErr w:type="spellStart"/>
      <w:r w:rsidR="008C4933">
        <w:rPr>
          <w:rFonts w:ascii="Arial" w:hAnsi="Arial"/>
          <w:sz w:val="20"/>
        </w:rPr>
        <w:t>radiocommunications</w:t>
      </w:r>
      <w:proofErr w:type="spellEnd"/>
      <w:r w:rsidR="008C4933">
        <w:rPr>
          <w:rFonts w:ascii="Arial" w:hAnsi="Arial"/>
          <w:sz w:val="20"/>
        </w:rPr>
        <w:t xml:space="preserve"> device is </w:t>
      </w:r>
      <w:r w:rsidR="00E83A7C">
        <w:rPr>
          <w:rFonts w:ascii="Arial" w:hAnsi="Arial"/>
          <w:sz w:val="20"/>
        </w:rPr>
        <w:t xml:space="preserve">used to </w:t>
      </w:r>
      <w:r w:rsidR="008C4933">
        <w:rPr>
          <w:rFonts w:ascii="Arial" w:hAnsi="Arial"/>
          <w:sz w:val="20"/>
        </w:rPr>
        <w:t>calculat</w:t>
      </w:r>
      <w:r w:rsidR="00E83A7C">
        <w:rPr>
          <w:rFonts w:ascii="Arial" w:hAnsi="Arial"/>
          <w:sz w:val="20"/>
        </w:rPr>
        <w:t>e</w:t>
      </w:r>
      <w:r w:rsidR="008C4933">
        <w:rPr>
          <w:rFonts w:ascii="Arial" w:hAnsi="Arial"/>
          <w:sz w:val="20"/>
        </w:rPr>
        <w:t xml:space="preserve"> the propagation loss component of the device boundary criterion</w:t>
      </w:r>
      <w:r w:rsidR="00E83A7C">
        <w:rPr>
          <w:rFonts w:ascii="Arial" w:hAnsi="Arial"/>
          <w:sz w:val="20"/>
        </w:rPr>
        <w:t>. The device boundary criterion is set out in Part 2 of Schedule 2</w:t>
      </w:r>
      <w:r w:rsidR="008C4933">
        <w:rPr>
          <w:rFonts w:ascii="Arial" w:hAnsi="Arial"/>
          <w:sz w:val="20"/>
        </w:rPr>
        <w:t xml:space="preserve">. </w:t>
      </w:r>
      <w:r w:rsidR="00E83A7C">
        <w:rPr>
          <w:rFonts w:ascii="Arial" w:hAnsi="Arial"/>
          <w:sz w:val="20"/>
        </w:rPr>
        <w:t>The device boundary criterion is</w:t>
      </w:r>
      <w:r w:rsidR="00E83A7C">
        <w:rPr>
          <w:rFonts w:ascii="Arial" w:hAnsi="Arial" w:cs="Arial"/>
          <w:sz w:val="20"/>
        </w:rPr>
        <w:t xml:space="preserve"> the mathematical expression used to calculate a device boundary. The process for calculating a device boundary is set out in Part 1 of Schedule 2</w:t>
      </w:r>
      <w:r w:rsidR="00E83A7C">
        <w:rPr>
          <w:rFonts w:ascii="Arial" w:hAnsi="Arial"/>
          <w:sz w:val="20"/>
        </w:rPr>
        <w:t xml:space="preserve">. </w:t>
      </w:r>
    </w:p>
    <w:p w:rsidR="00E83A7C" w:rsidRPr="00E83A7C" w:rsidRDefault="00605092" w:rsidP="00E10325">
      <w:pPr>
        <w:pStyle w:val="ACMABodyText"/>
        <w:spacing w:line="360" w:lineRule="auto"/>
        <w:jc w:val="both"/>
        <w:rPr>
          <w:rFonts w:ascii="Arial" w:hAnsi="Arial" w:cs="Arial"/>
          <w:i/>
          <w:sz w:val="20"/>
        </w:rPr>
      </w:pPr>
      <w:r w:rsidRPr="00605092">
        <w:rPr>
          <w:rFonts w:ascii="Arial" w:hAnsi="Arial" w:cs="Arial"/>
          <w:i/>
          <w:sz w:val="20"/>
        </w:rPr>
        <w:t>Part 2 of Schedule 3</w:t>
      </w:r>
    </w:p>
    <w:p w:rsidR="00F648D3" w:rsidRDefault="00F648D3" w:rsidP="00E10325">
      <w:pPr>
        <w:pStyle w:val="ACMABodyText"/>
        <w:spacing w:line="360" w:lineRule="auto"/>
        <w:jc w:val="both"/>
        <w:rPr>
          <w:rFonts w:ascii="Arial" w:hAnsi="Arial" w:cs="Arial"/>
          <w:sz w:val="20"/>
        </w:rPr>
      </w:pPr>
      <w:r>
        <w:rPr>
          <w:rFonts w:ascii="Arial" w:hAnsi="Arial" w:cs="Arial"/>
          <w:sz w:val="20"/>
        </w:rPr>
        <w:t xml:space="preserve">Part 2 of this Schedule sets out the procedure for calculating the average ground height, taking account of the height of the cell in the digital elevation model corresponding to the location determined from the latitude and longitude of the </w:t>
      </w:r>
      <w:proofErr w:type="spellStart"/>
      <w:r>
        <w:rPr>
          <w:rFonts w:ascii="Arial" w:hAnsi="Arial" w:cs="Arial"/>
          <w:sz w:val="20"/>
        </w:rPr>
        <w:t>m</w:t>
      </w:r>
      <w:r w:rsidRPr="000A6253">
        <w:rPr>
          <w:rFonts w:ascii="Arial" w:hAnsi="Arial" w:cs="Arial"/>
          <w:sz w:val="20"/>
          <w:vertAlign w:val="superscript"/>
        </w:rPr>
        <w:t>th</w:t>
      </w:r>
      <w:proofErr w:type="spellEnd"/>
      <w:r>
        <w:rPr>
          <w:rFonts w:ascii="Arial" w:hAnsi="Arial" w:cs="Arial"/>
          <w:sz w:val="20"/>
        </w:rPr>
        <w:t xml:space="preserve"> increment along the n</w:t>
      </w:r>
      <w:r w:rsidRPr="000A6253">
        <w:rPr>
          <w:rFonts w:ascii="Arial" w:hAnsi="Arial" w:cs="Arial"/>
          <w:sz w:val="20"/>
          <w:vertAlign w:val="superscript"/>
        </w:rPr>
        <w:t>th</w:t>
      </w:r>
      <w:r>
        <w:rPr>
          <w:rFonts w:ascii="Arial" w:hAnsi="Arial" w:cs="Arial"/>
          <w:sz w:val="20"/>
        </w:rPr>
        <w:t xml:space="preserve"> radial about the location of the transmitter and the surrounding cells.</w:t>
      </w:r>
    </w:p>
    <w:p w:rsidR="00F648D3" w:rsidRDefault="00F648D3" w:rsidP="00E10325">
      <w:pPr>
        <w:pStyle w:val="ACMABodyText"/>
        <w:spacing w:line="360" w:lineRule="auto"/>
        <w:jc w:val="both"/>
        <w:rPr>
          <w:rFonts w:ascii="Arial" w:hAnsi="Arial" w:cs="Arial"/>
          <w:sz w:val="20"/>
        </w:rPr>
      </w:pPr>
      <w:r w:rsidRPr="00D35838">
        <w:rPr>
          <w:rFonts w:ascii="Arial" w:hAnsi="Arial" w:cs="Arial"/>
          <w:sz w:val="20"/>
        </w:rPr>
        <w:t xml:space="preserve">These heights are calculated with reference to a digital elevation model sourced from </w:t>
      </w:r>
      <w:proofErr w:type="spellStart"/>
      <w:r w:rsidRPr="00D35838">
        <w:rPr>
          <w:rFonts w:ascii="Arial" w:hAnsi="Arial" w:cs="Arial"/>
          <w:sz w:val="20"/>
        </w:rPr>
        <w:t>Geoscience</w:t>
      </w:r>
      <w:proofErr w:type="spellEnd"/>
      <w:r w:rsidRPr="00D35838">
        <w:rPr>
          <w:rFonts w:ascii="Arial" w:hAnsi="Arial" w:cs="Arial"/>
          <w:sz w:val="20"/>
        </w:rPr>
        <w:t xml:space="preserve"> Australia and are made available to all spectrum licensees to ensure consistency in application of the propagation loss calculations.</w:t>
      </w:r>
    </w:p>
    <w:p w:rsidR="00E83A7C" w:rsidRPr="00E83A7C" w:rsidRDefault="00605092" w:rsidP="00E10325">
      <w:pPr>
        <w:pStyle w:val="ACMABodyText"/>
        <w:spacing w:line="360" w:lineRule="auto"/>
        <w:jc w:val="both"/>
        <w:rPr>
          <w:rFonts w:ascii="Arial" w:hAnsi="Arial" w:cs="Arial"/>
          <w:i/>
          <w:sz w:val="20"/>
        </w:rPr>
      </w:pPr>
      <w:r w:rsidRPr="00605092">
        <w:rPr>
          <w:rFonts w:ascii="Arial" w:hAnsi="Arial" w:cs="Arial"/>
          <w:i/>
          <w:sz w:val="20"/>
        </w:rPr>
        <w:t>Part 3 of Schedule 3</w:t>
      </w:r>
    </w:p>
    <w:p w:rsidR="00F648D3" w:rsidRDefault="00F648D3" w:rsidP="00E10325">
      <w:pPr>
        <w:pStyle w:val="ACMABodyText"/>
        <w:spacing w:line="360" w:lineRule="auto"/>
        <w:jc w:val="both"/>
        <w:rPr>
          <w:rFonts w:ascii="Arial" w:hAnsi="Arial" w:cs="Arial"/>
          <w:sz w:val="20"/>
        </w:rPr>
      </w:pPr>
      <w:r>
        <w:rPr>
          <w:rFonts w:ascii="Arial" w:hAnsi="Arial" w:cs="Arial"/>
          <w:sz w:val="20"/>
        </w:rPr>
        <w:t xml:space="preserve">Part 3 provides the mathematical formula for </w:t>
      </w:r>
      <w:proofErr w:type="spellStart"/>
      <w:r>
        <w:rPr>
          <w:rFonts w:ascii="Arial" w:hAnsi="Arial" w:cs="Arial"/>
          <w:sz w:val="20"/>
        </w:rPr>
        <w:t>Vincenty’s</w:t>
      </w:r>
      <w:proofErr w:type="spellEnd"/>
      <w:r>
        <w:rPr>
          <w:rFonts w:ascii="Arial" w:hAnsi="Arial" w:cs="Arial"/>
          <w:sz w:val="20"/>
        </w:rPr>
        <w:t xml:space="preserve"> Formula, which is used </w:t>
      </w:r>
      <w:r w:rsidR="00E83A7C">
        <w:rPr>
          <w:rFonts w:ascii="Arial" w:hAnsi="Arial" w:cs="Arial"/>
          <w:sz w:val="20"/>
        </w:rPr>
        <w:t xml:space="preserve">in the calculation of </w:t>
      </w:r>
      <w:r w:rsidR="004B5682">
        <w:rPr>
          <w:rFonts w:ascii="Arial" w:hAnsi="Arial" w:cs="Arial"/>
          <w:sz w:val="20"/>
        </w:rPr>
        <w:t>the coordinates (in Latitude and Longitude) of the points along the radials about the transmitter in Part 1. These coordinates are used in Part 2 to obtain the average ground h</w:t>
      </w:r>
      <w:r w:rsidR="00FE2A2B">
        <w:rPr>
          <w:rFonts w:ascii="Arial" w:hAnsi="Arial" w:cs="Arial"/>
          <w:sz w:val="20"/>
        </w:rPr>
        <w:t>e</w:t>
      </w:r>
      <w:r w:rsidR="004B5682">
        <w:rPr>
          <w:rFonts w:ascii="Arial" w:hAnsi="Arial" w:cs="Arial"/>
          <w:sz w:val="20"/>
        </w:rPr>
        <w:t>ight for that point for use in Part 1</w:t>
      </w:r>
      <w:r w:rsidR="00AF521B">
        <w:rPr>
          <w:rFonts w:ascii="Arial" w:hAnsi="Arial" w:cs="Arial"/>
          <w:sz w:val="20"/>
        </w:rPr>
        <w:t>.</w:t>
      </w:r>
      <w:r>
        <w:rPr>
          <w:rFonts w:ascii="Arial" w:hAnsi="Arial" w:cs="Arial"/>
          <w:sz w:val="20"/>
        </w:rPr>
        <w:t xml:space="preserve"> </w:t>
      </w:r>
      <w:r w:rsidR="00E83A7C">
        <w:rPr>
          <w:rFonts w:ascii="Arial" w:hAnsi="Arial" w:cs="Arial"/>
          <w:sz w:val="20"/>
        </w:rPr>
        <w:t xml:space="preserve">This simplification of </w:t>
      </w:r>
      <w:proofErr w:type="spellStart"/>
      <w:r w:rsidR="00E83A7C">
        <w:rPr>
          <w:rFonts w:ascii="Arial" w:hAnsi="Arial" w:cs="Arial"/>
          <w:sz w:val="20"/>
        </w:rPr>
        <w:t>Vicenty’s</w:t>
      </w:r>
      <w:proofErr w:type="spellEnd"/>
      <w:r w:rsidR="00E83A7C">
        <w:rPr>
          <w:rFonts w:ascii="Arial" w:hAnsi="Arial" w:cs="Arial"/>
          <w:sz w:val="20"/>
        </w:rPr>
        <w:t xml:space="preserve"> Formulae </w:t>
      </w:r>
      <w:r w:rsidR="006B2454">
        <w:rPr>
          <w:rFonts w:ascii="Arial" w:hAnsi="Arial" w:cs="Arial"/>
          <w:sz w:val="20"/>
        </w:rPr>
        <w:t>performs location calculations over the GRS80 ellipsoid as referenced by the Geocentric Datum of Australia 1</w:t>
      </w:r>
      <w:r w:rsidR="00DD4B2C">
        <w:rPr>
          <w:rFonts w:ascii="Arial" w:hAnsi="Arial" w:cs="Arial"/>
          <w:sz w:val="20"/>
        </w:rPr>
        <w:t xml:space="preserve">994 to a </w:t>
      </w:r>
      <w:proofErr w:type="gramStart"/>
      <w:r w:rsidR="00DD4B2C">
        <w:rPr>
          <w:rFonts w:ascii="Arial" w:hAnsi="Arial" w:cs="Arial"/>
          <w:sz w:val="20"/>
        </w:rPr>
        <w:t>high  degree</w:t>
      </w:r>
      <w:proofErr w:type="gramEnd"/>
      <w:r w:rsidR="00DD4B2C">
        <w:rPr>
          <w:rFonts w:ascii="Arial" w:hAnsi="Arial" w:cs="Arial"/>
          <w:sz w:val="20"/>
        </w:rPr>
        <w:t xml:space="preserve"> of accura</w:t>
      </w:r>
      <w:r w:rsidR="006B2454">
        <w:rPr>
          <w:rFonts w:ascii="Arial" w:hAnsi="Arial" w:cs="Arial"/>
          <w:sz w:val="20"/>
        </w:rPr>
        <w:t>cy using an iterative routine. The geocentric datum to be used in these calculations is the Geocentric Datum of Australia 1994.</w:t>
      </w:r>
    </w:p>
    <w:p w:rsidR="00F648D3" w:rsidRDefault="00F648D3">
      <w:pPr>
        <w:spacing w:line="360" w:lineRule="auto"/>
        <w:ind w:left="5760" w:firstLine="720"/>
        <w:rPr>
          <w:rFonts w:cs="Arial"/>
          <w:b/>
        </w:rPr>
      </w:pPr>
      <w:r>
        <w:rPr>
          <w:rFonts w:cs="Arial"/>
        </w:rPr>
        <w:br w:type="page"/>
      </w:r>
      <w:r>
        <w:rPr>
          <w:rFonts w:cs="Arial"/>
          <w:b/>
        </w:rPr>
        <w:t>A</w:t>
      </w:r>
      <w:r w:rsidRPr="00EC4D12">
        <w:rPr>
          <w:rFonts w:cs="Arial"/>
          <w:b/>
        </w:rPr>
        <w:t>TTACHMENT B</w:t>
      </w:r>
    </w:p>
    <w:p w:rsidR="00F648D3" w:rsidRPr="00EC4D12" w:rsidRDefault="00F648D3" w:rsidP="002B5E7E">
      <w:pPr>
        <w:spacing w:line="360" w:lineRule="auto"/>
        <w:jc w:val="center"/>
        <w:rPr>
          <w:rFonts w:cs="Arial"/>
        </w:rPr>
      </w:pPr>
    </w:p>
    <w:p w:rsidR="00F648D3" w:rsidRPr="00EC4D12" w:rsidRDefault="00F648D3" w:rsidP="002B5E7E">
      <w:pPr>
        <w:spacing w:line="360" w:lineRule="auto"/>
        <w:jc w:val="center"/>
        <w:rPr>
          <w:rFonts w:cs="Arial"/>
          <w:b/>
        </w:rPr>
      </w:pPr>
      <w:r w:rsidRPr="00EC4D12">
        <w:rPr>
          <w:rFonts w:cs="Arial"/>
          <w:b/>
        </w:rPr>
        <w:t>Statement of Compatibility with Human Rights</w:t>
      </w:r>
    </w:p>
    <w:p w:rsidR="00F648D3" w:rsidRPr="00EC4D12" w:rsidRDefault="00F648D3" w:rsidP="002B5E7E">
      <w:pPr>
        <w:spacing w:line="360" w:lineRule="auto"/>
        <w:jc w:val="center"/>
        <w:rPr>
          <w:rFonts w:cs="Arial"/>
        </w:rPr>
      </w:pPr>
      <w:r w:rsidRPr="00EC4D12">
        <w:rPr>
          <w:rFonts w:cs="Arial"/>
        </w:rPr>
        <w:t xml:space="preserve">Prepared in accordance with Part 3 of the </w:t>
      </w:r>
      <w:r w:rsidRPr="002B5E7E">
        <w:rPr>
          <w:rFonts w:cs="Arial"/>
          <w:i/>
        </w:rPr>
        <w:t>Human Rights (Parliamentary Scrutiny) Act 2011</w:t>
      </w:r>
    </w:p>
    <w:p w:rsidR="0083299D" w:rsidRDefault="0083299D" w:rsidP="0083299D">
      <w:pPr>
        <w:rPr>
          <w:rFonts w:cs="Arial"/>
          <w:b/>
        </w:rPr>
      </w:pPr>
    </w:p>
    <w:p w:rsidR="00F648D3" w:rsidRPr="00E818EB" w:rsidRDefault="00F648D3" w:rsidP="002B5E7E">
      <w:pPr>
        <w:spacing w:before="120" w:after="120" w:line="240" w:lineRule="atLeast"/>
        <w:jc w:val="center"/>
        <w:rPr>
          <w:rFonts w:cs="Arial"/>
          <w:b/>
          <w:i/>
        </w:rPr>
      </w:pPr>
      <w:r>
        <w:rPr>
          <w:rFonts w:cs="Arial"/>
          <w:b/>
          <w:i/>
        </w:rPr>
        <w:t>Radiocommunications (Unacceptable Levels of Interference – 2.5 GHz Band) Determination 2012</w:t>
      </w:r>
      <w:r w:rsidRPr="00E818EB">
        <w:rPr>
          <w:rFonts w:cs="Arial"/>
          <w:b/>
          <w:i/>
        </w:rPr>
        <w:t xml:space="preserve"> </w:t>
      </w:r>
    </w:p>
    <w:p w:rsidR="0083299D" w:rsidRDefault="0083299D" w:rsidP="0083299D">
      <w:pPr>
        <w:rPr>
          <w:rFonts w:cs="Arial"/>
          <w:b/>
        </w:rPr>
      </w:pPr>
    </w:p>
    <w:p w:rsidR="00F648D3" w:rsidRDefault="00F648D3" w:rsidP="002B5E7E">
      <w:pPr>
        <w:spacing w:line="360" w:lineRule="auto"/>
        <w:rPr>
          <w:rFonts w:cs="Arial"/>
        </w:rPr>
      </w:pPr>
      <w:r w:rsidRPr="00EC4D12">
        <w:rPr>
          <w:rFonts w:cs="Arial"/>
        </w:rPr>
        <w:t xml:space="preserve">This legislative instrument is compatible with the human rights and freedoms recognised or declared in the international instruments listed in section 3 of the </w:t>
      </w:r>
      <w:r w:rsidRPr="00EC4D12">
        <w:rPr>
          <w:rFonts w:cs="Arial"/>
          <w:i/>
        </w:rPr>
        <w:t>Human Rights (Parliamentary Scrutiny) Act 2011</w:t>
      </w:r>
      <w:r w:rsidRPr="00EC4D12">
        <w:rPr>
          <w:rFonts w:cs="Arial"/>
        </w:rPr>
        <w:t>.</w:t>
      </w:r>
    </w:p>
    <w:p w:rsidR="00F648D3" w:rsidRPr="00EC4D12" w:rsidRDefault="00F648D3" w:rsidP="002B5E7E">
      <w:pPr>
        <w:spacing w:line="360" w:lineRule="auto"/>
        <w:rPr>
          <w:rFonts w:cs="Arial"/>
        </w:rPr>
      </w:pPr>
    </w:p>
    <w:p w:rsidR="00F648D3" w:rsidRDefault="00F648D3" w:rsidP="002B5E7E">
      <w:pPr>
        <w:spacing w:line="360" w:lineRule="auto"/>
        <w:rPr>
          <w:rFonts w:cs="Arial"/>
        </w:rPr>
      </w:pPr>
      <w:r w:rsidRPr="00EC4D12">
        <w:rPr>
          <w:rFonts w:cs="Arial"/>
          <w:b/>
        </w:rPr>
        <w:t>Overview of the Legislative Instrument</w:t>
      </w:r>
      <w:r>
        <w:rPr>
          <w:rFonts w:cs="Arial"/>
          <w:b/>
        </w:rPr>
        <w:t xml:space="preserve"> </w:t>
      </w:r>
    </w:p>
    <w:p w:rsidR="00F648D3" w:rsidRPr="002B5E7E" w:rsidRDefault="00F648D3" w:rsidP="002B5E7E">
      <w:pPr>
        <w:spacing w:line="360" w:lineRule="auto"/>
        <w:rPr>
          <w:rFonts w:cs="Arial"/>
        </w:rPr>
      </w:pPr>
      <w:r w:rsidRPr="002B5E7E">
        <w:rPr>
          <w:rFonts w:cs="Arial"/>
        </w:rPr>
        <w:t>Th</w:t>
      </w:r>
      <w:r>
        <w:rPr>
          <w:rFonts w:cs="Arial"/>
        </w:rPr>
        <w:t xml:space="preserve">e legislative instrument </w:t>
      </w:r>
      <w:r w:rsidRPr="002B5E7E">
        <w:rPr>
          <w:rFonts w:cs="Arial"/>
        </w:rPr>
        <w:t xml:space="preserve">is made under subsection 145(4) of the </w:t>
      </w:r>
      <w:r w:rsidRPr="00DE217A">
        <w:rPr>
          <w:rFonts w:cs="Arial"/>
          <w:i/>
        </w:rPr>
        <w:t>Radiocommunications Act 1992</w:t>
      </w:r>
      <w:r w:rsidRPr="002B5E7E">
        <w:rPr>
          <w:rFonts w:cs="Arial"/>
        </w:rPr>
        <w:t xml:space="preserve"> (</w:t>
      </w:r>
      <w:r>
        <w:rPr>
          <w:rFonts w:cs="Arial"/>
        </w:rPr>
        <w:t xml:space="preserve">the </w:t>
      </w:r>
      <w:r w:rsidRPr="00DE217A">
        <w:rPr>
          <w:rFonts w:cs="Arial"/>
          <w:b/>
        </w:rPr>
        <w:t>Act</w:t>
      </w:r>
      <w:r w:rsidRPr="002B5E7E">
        <w:rPr>
          <w:rFonts w:cs="Arial"/>
        </w:rPr>
        <w:t>) which provides that the Australian Communications and Media Authority (</w:t>
      </w:r>
      <w:r>
        <w:rPr>
          <w:rFonts w:cs="Arial"/>
        </w:rPr>
        <w:t xml:space="preserve">the </w:t>
      </w:r>
      <w:r w:rsidRPr="00DE217A">
        <w:rPr>
          <w:rFonts w:cs="Arial"/>
          <w:b/>
        </w:rPr>
        <w:t>ACMA</w:t>
      </w:r>
      <w:r w:rsidRPr="002B5E7E">
        <w:rPr>
          <w:rFonts w:cs="Arial"/>
        </w:rPr>
        <w:t xml:space="preserve">) may, by written instrument, determine what are unacceptable levels of interference for the purposes of deciding whether to refuse to register the details of a </w:t>
      </w:r>
      <w:proofErr w:type="spellStart"/>
      <w:r w:rsidRPr="002B5E7E">
        <w:rPr>
          <w:rFonts w:cs="Arial"/>
        </w:rPr>
        <w:t>radiocommunications</w:t>
      </w:r>
      <w:proofErr w:type="spellEnd"/>
      <w:r w:rsidRPr="002B5E7E">
        <w:rPr>
          <w:rFonts w:cs="Arial"/>
        </w:rPr>
        <w:t xml:space="preserve"> transmitter for operation under spectrum licence in the Register of Radiocommunications Licences.</w:t>
      </w:r>
    </w:p>
    <w:p w:rsidR="00F648D3" w:rsidRPr="002B5E7E" w:rsidRDefault="00F648D3" w:rsidP="002B5E7E">
      <w:pPr>
        <w:spacing w:line="360" w:lineRule="auto"/>
        <w:rPr>
          <w:rFonts w:cs="Arial"/>
        </w:rPr>
      </w:pPr>
    </w:p>
    <w:p w:rsidR="00F648D3" w:rsidRPr="00EC4D12" w:rsidRDefault="00F648D3" w:rsidP="002B5E7E">
      <w:pPr>
        <w:spacing w:line="360" w:lineRule="auto"/>
        <w:rPr>
          <w:rFonts w:cs="Arial"/>
        </w:rPr>
      </w:pPr>
      <w:r w:rsidRPr="00EC4D12">
        <w:rPr>
          <w:rFonts w:cs="Arial"/>
        </w:rPr>
        <w:t xml:space="preserve">The purpose of the </w:t>
      </w:r>
      <w:r w:rsidRPr="00503E25">
        <w:rPr>
          <w:rFonts w:cs="Arial"/>
          <w:i/>
        </w:rPr>
        <w:t xml:space="preserve">Radiocommunications (Unacceptable Levels of Interference – </w:t>
      </w:r>
      <w:r>
        <w:rPr>
          <w:rFonts w:cs="Arial"/>
          <w:i/>
        </w:rPr>
        <w:t>2.5 GHz</w:t>
      </w:r>
      <w:r w:rsidRPr="00503E25">
        <w:rPr>
          <w:rFonts w:cs="Arial"/>
          <w:i/>
        </w:rPr>
        <w:t xml:space="preserve"> Band) Determination 2012</w:t>
      </w:r>
      <w:r>
        <w:rPr>
          <w:rFonts w:cs="Arial"/>
          <w:i/>
        </w:rPr>
        <w:t xml:space="preserve"> </w:t>
      </w:r>
      <w:r w:rsidRPr="00EC4D12">
        <w:rPr>
          <w:rFonts w:cs="Arial"/>
        </w:rPr>
        <w:t xml:space="preserve"> (the </w:t>
      </w:r>
      <w:r>
        <w:rPr>
          <w:rFonts w:cs="Arial"/>
          <w:b/>
        </w:rPr>
        <w:t>Determination</w:t>
      </w:r>
      <w:r>
        <w:rPr>
          <w:rFonts w:cs="Arial"/>
        </w:rPr>
        <w:t>)</w:t>
      </w:r>
      <w:r w:rsidRPr="00EC4D12">
        <w:rPr>
          <w:rFonts w:cs="Arial"/>
        </w:rPr>
        <w:t xml:space="preserve"> </w:t>
      </w:r>
      <w:r w:rsidRPr="008A6881">
        <w:rPr>
          <w:rFonts w:cs="Arial"/>
        </w:rPr>
        <w:t>is to set out what is an unacceptable level of interference caused by a transmitter operating under a spectrum licence issued in the 2.</w:t>
      </w:r>
      <w:r>
        <w:rPr>
          <w:rFonts w:cs="Arial"/>
        </w:rPr>
        <w:t>5</w:t>
      </w:r>
      <w:r w:rsidRPr="008A6881">
        <w:rPr>
          <w:rFonts w:cs="Arial"/>
        </w:rPr>
        <w:t xml:space="preserve"> GHz band.  The </w:t>
      </w:r>
      <w:r>
        <w:rPr>
          <w:rFonts w:cs="Arial"/>
        </w:rPr>
        <w:t>Determination</w:t>
      </w:r>
      <w:r w:rsidRPr="008A6881">
        <w:rPr>
          <w:rFonts w:cs="Arial"/>
        </w:rPr>
        <w:t xml:space="preserve"> aims to ensure that high levels of emission from transmitters operated under a </w:t>
      </w:r>
      <w:r>
        <w:rPr>
          <w:rFonts w:cs="Arial"/>
        </w:rPr>
        <w:t xml:space="preserve">spectrum </w:t>
      </w:r>
      <w:r w:rsidRPr="008A6881">
        <w:rPr>
          <w:rFonts w:cs="Arial"/>
        </w:rPr>
        <w:t>licence are kept within the geographic area and frequency band of the licence.</w:t>
      </w:r>
    </w:p>
    <w:p w:rsidR="00F648D3" w:rsidRDefault="00F648D3" w:rsidP="002B5E7E">
      <w:pPr>
        <w:spacing w:line="360" w:lineRule="auto"/>
        <w:rPr>
          <w:rFonts w:cs="Arial"/>
        </w:rPr>
      </w:pPr>
    </w:p>
    <w:p w:rsidR="00F648D3" w:rsidRPr="00EC4D12" w:rsidRDefault="00F648D3" w:rsidP="002B5E7E">
      <w:pPr>
        <w:spacing w:line="360" w:lineRule="auto"/>
        <w:rPr>
          <w:rFonts w:cs="Arial"/>
        </w:rPr>
      </w:pPr>
      <w:r w:rsidRPr="00EC4D12">
        <w:rPr>
          <w:rFonts w:cs="Arial"/>
        </w:rPr>
        <w:t xml:space="preserve">Subsection 9(1) of the </w:t>
      </w:r>
      <w:r w:rsidRPr="00EC4D12">
        <w:rPr>
          <w:rFonts w:cs="Arial"/>
          <w:i/>
        </w:rPr>
        <w:t>Human Rights (Parliamentary Scrutiny) Act 2011</w:t>
      </w:r>
      <w:r w:rsidRPr="00EC4D12">
        <w:rPr>
          <w:rFonts w:cs="Arial"/>
        </w:rPr>
        <w:t xml:space="preserve"> requires the rule</w:t>
      </w:r>
      <w:r w:rsidRPr="00EC4D12">
        <w:rPr>
          <w:rFonts w:eastAsia="MS Mincho" w:hAnsi="MS Mincho" w:cs="Arial"/>
        </w:rPr>
        <w:t xml:space="preserve"> </w:t>
      </w:r>
      <w:r w:rsidRPr="00EC4D12">
        <w:rPr>
          <w:rFonts w:cs="Arial"/>
        </w:rPr>
        <w:t xml:space="preserve">maker in relation to a legislative instrument to which section 42 (disallowance) of the </w:t>
      </w:r>
      <w:r w:rsidRPr="00EC4D12">
        <w:rPr>
          <w:rFonts w:cs="Arial"/>
          <w:i/>
        </w:rPr>
        <w:t>Legislative Instruments Act 2003</w:t>
      </w:r>
      <w:r w:rsidRPr="00EC4D12">
        <w:rPr>
          <w:rFonts w:cs="Arial"/>
        </w:rPr>
        <w:t xml:space="preserve"> </w:t>
      </w:r>
      <w:r>
        <w:rPr>
          <w:rFonts w:cs="Arial"/>
        </w:rPr>
        <w:t xml:space="preserve">(the </w:t>
      </w:r>
      <w:r w:rsidR="0083299D" w:rsidRPr="0083299D">
        <w:rPr>
          <w:rFonts w:cs="Arial"/>
          <w:b/>
        </w:rPr>
        <w:t>LIA</w:t>
      </w:r>
      <w:r>
        <w:rPr>
          <w:rFonts w:cs="Arial"/>
        </w:rPr>
        <w:t xml:space="preserve">) </w:t>
      </w:r>
      <w:r w:rsidRPr="00EC4D12">
        <w:rPr>
          <w:rFonts w:cs="Arial"/>
        </w:rPr>
        <w:t>applies to cause a statement of compatibility to be prepared in respect of that legislative instrument.</w:t>
      </w:r>
    </w:p>
    <w:p w:rsidR="00F648D3" w:rsidRDefault="00F648D3" w:rsidP="002B5E7E">
      <w:pPr>
        <w:spacing w:line="360" w:lineRule="auto"/>
        <w:rPr>
          <w:rFonts w:cs="Arial"/>
        </w:rPr>
      </w:pPr>
    </w:p>
    <w:p w:rsidR="00F648D3" w:rsidRDefault="00F648D3" w:rsidP="002B5E7E">
      <w:pPr>
        <w:spacing w:line="360" w:lineRule="auto"/>
        <w:rPr>
          <w:rFonts w:cs="Arial"/>
        </w:rPr>
      </w:pPr>
      <w:r>
        <w:rPr>
          <w:rFonts w:cs="Arial"/>
        </w:rPr>
        <w:t>T</w:t>
      </w:r>
      <w:r w:rsidRPr="00EC4D12">
        <w:rPr>
          <w:rFonts w:cs="Arial"/>
        </w:rPr>
        <w:t>h</w:t>
      </w:r>
      <w:r>
        <w:rPr>
          <w:rFonts w:cs="Arial"/>
        </w:rPr>
        <w:t>e Determination</w:t>
      </w:r>
      <w:r w:rsidRPr="008A6881">
        <w:rPr>
          <w:rFonts w:cs="Arial"/>
        </w:rPr>
        <w:t xml:space="preserve"> </w:t>
      </w:r>
      <w:r w:rsidRPr="00EC4D12">
        <w:rPr>
          <w:rFonts w:cs="Arial"/>
        </w:rPr>
        <w:t xml:space="preserve">is </w:t>
      </w:r>
      <w:r>
        <w:rPr>
          <w:rFonts w:cs="Arial"/>
        </w:rPr>
        <w:t xml:space="preserve">a </w:t>
      </w:r>
      <w:r w:rsidRPr="00EC4D12">
        <w:rPr>
          <w:rFonts w:cs="Arial"/>
        </w:rPr>
        <w:t xml:space="preserve">legislative instrument </w:t>
      </w:r>
      <w:r>
        <w:rPr>
          <w:rFonts w:cs="Arial"/>
        </w:rPr>
        <w:t xml:space="preserve">that </w:t>
      </w:r>
      <w:r w:rsidRPr="00EC4D12">
        <w:rPr>
          <w:rFonts w:cs="Arial"/>
        </w:rPr>
        <w:t xml:space="preserve">is subject to disallowance under section 42 of the </w:t>
      </w:r>
      <w:r w:rsidR="0083299D" w:rsidRPr="0083299D">
        <w:rPr>
          <w:rFonts w:cs="Arial"/>
        </w:rPr>
        <w:t>LIA</w:t>
      </w:r>
      <w:r w:rsidRPr="00EC4D12">
        <w:rPr>
          <w:rFonts w:cs="Arial"/>
        </w:rPr>
        <w:t>.</w:t>
      </w:r>
    </w:p>
    <w:p w:rsidR="00F648D3" w:rsidRDefault="00F648D3" w:rsidP="002B5E7E">
      <w:pPr>
        <w:spacing w:line="360" w:lineRule="auto"/>
        <w:rPr>
          <w:rFonts w:cs="Arial"/>
          <w:b/>
        </w:rPr>
      </w:pPr>
    </w:p>
    <w:p w:rsidR="00F648D3" w:rsidRDefault="00F648D3" w:rsidP="002B5E7E">
      <w:pPr>
        <w:spacing w:line="360" w:lineRule="auto"/>
        <w:rPr>
          <w:rFonts w:cs="Arial"/>
          <w:b/>
        </w:rPr>
      </w:pPr>
      <w:r w:rsidRPr="00EC4D12">
        <w:rPr>
          <w:rFonts w:cs="Arial"/>
          <w:b/>
        </w:rPr>
        <w:t>Human Rights Implications</w:t>
      </w:r>
    </w:p>
    <w:p w:rsidR="00F648D3" w:rsidRPr="00EC4D12" w:rsidRDefault="00F648D3" w:rsidP="002B5E7E">
      <w:pPr>
        <w:spacing w:line="360" w:lineRule="auto"/>
        <w:rPr>
          <w:rFonts w:cs="Arial"/>
        </w:rPr>
      </w:pPr>
      <w:r>
        <w:rPr>
          <w:rFonts w:cs="Arial"/>
        </w:rPr>
        <w:t>T</w:t>
      </w:r>
      <w:r w:rsidRPr="00EC4D12">
        <w:rPr>
          <w:rFonts w:cs="Arial"/>
        </w:rPr>
        <w:t>h</w:t>
      </w:r>
      <w:r>
        <w:rPr>
          <w:rFonts w:cs="Arial"/>
        </w:rPr>
        <w:t>e Determination</w:t>
      </w:r>
      <w:r w:rsidRPr="008A6881">
        <w:rPr>
          <w:rFonts w:cs="Arial"/>
        </w:rPr>
        <w:t xml:space="preserve"> </w:t>
      </w:r>
      <w:r w:rsidRPr="00EC4D12">
        <w:rPr>
          <w:rFonts w:cs="Arial"/>
        </w:rPr>
        <w:t>do</w:t>
      </w:r>
      <w:r>
        <w:rPr>
          <w:rFonts w:cs="Arial"/>
        </w:rPr>
        <w:t>es</w:t>
      </w:r>
      <w:r w:rsidRPr="00EC4D12">
        <w:rPr>
          <w:rFonts w:cs="Arial"/>
        </w:rPr>
        <w:t xml:space="preserve"> not engage any of the applicable rights or freedoms.</w:t>
      </w:r>
    </w:p>
    <w:p w:rsidR="00F648D3" w:rsidRDefault="00F648D3" w:rsidP="002B5E7E">
      <w:pPr>
        <w:spacing w:line="360" w:lineRule="auto"/>
        <w:rPr>
          <w:rFonts w:cs="Arial"/>
          <w:b/>
        </w:rPr>
      </w:pPr>
    </w:p>
    <w:p w:rsidR="00983286" w:rsidRPr="00EC4D12" w:rsidRDefault="00F648D3" w:rsidP="002B5E7E">
      <w:pPr>
        <w:spacing w:line="360" w:lineRule="auto"/>
        <w:rPr>
          <w:rFonts w:cs="Arial"/>
          <w:b/>
        </w:rPr>
      </w:pPr>
      <w:r w:rsidRPr="00EC4D12">
        <w:rPr>
          <w:rFonts w:cs="Arial"/>
          <w:b/>
        </w:rPr>
        <w:t>Conclusion</w:t>
      </w:r>
    </w:p>
    <w:p w:rsidR="005971F4" w:rsidRDefault="00F648D3">
      <w:pPr>
        <w:spacing w:line="360" w:lineRule="auto"/>
      </w:pPr>
      <w:r>
        <w:rPr>
          <w:rFonts w:cs="Arial"/>
        </w:rPr>
        <w:t>The Determination</w:t>
      </w:r>
      <w:r w:rsidRPr="008A6881">
        <w:rPr>
          <w:rFonts w:cs="Arial"/>
        </w:rPr>
        <w:t xml:space="preserve"> </w:t>
      </w:r>
      <w:r>
        <w:rPr>
          <w:rFonts w:cs="Arial"/>
        </w:rPr>
        <w:t>is</w:t>
      </w:r>
      <w:r w:rsidRPr="00EC4D12">
        <w:rPr>
          <w:rFonts w:cs="Arial"/>
        </w:rPr>
        <w:t xml:space="preserve"> compatible with human rights as</w:t>
      </w:r>
      <w:r>
        <w:rPr>
          <w:rFonts w:cs="Arial"/>
        </w:rPr>
        <w:t xml:space="preserve"> it</w:t>
      </w:r>
      <w:r w:rsidRPr="00EC4D12">
        <w:rPr>
          <w:rFonts w:cs="Arial"/>
        </w:rPr>
        <w:t xml:space="preserve"> do</w:t>
      </w:r>
      <w:r>
        <w:rPr>
          <w:rFonts w:cs="Arial"/>
        </w:rPr>
        <w:t>es</w:t>
      </w:r>
      <w:r w:rsidRPr="00EC4D12">
        <w:rPr>
          <w:rFonts w:cs="Arial"/>
        </w:rPr>
        <w:t xml:space="preserve"> not raise any human rights issues.</w:t>
      </w:r>
    </w:p>
    <w:sectPr w:rsidR="005971F4" w:rsidSect="00C15692">
      <w:headerReference w:type="even" r:id="rId12"/>
      <w:footerReference w:type="default" r:id="rId13"/>
      <w:headerReference w:type="first" r:id="rId14"/>
      <w:type w:val="continuous"/>
      <w:pgSz w:w="11907" w:h="16839" w:code="1"/>
      <w:pgMar w:top="1440" w:right="1797" w:bottom="1440"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6F" w:rsidRDefault="00F7606F">
      <w:r>
        <w:separator/>
      </w:r>
    </w:p>
  </w:endnote>
  <w:endnote w:type="continuationSeparator" w:id="0">
    <w:p w:rsidR="00F7606F" w:rsidRDefault="00F76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F" w:rsidRPr="005636A4" w:rsidRDefault="00987102">
    <w:pPr>
      <w:pStyle w:val="Footer"/>
      <w:jc w:val="center"/>
      <w:rPr>
        <w:sz w:val="16"/>
        <w:szCs w:val="16"/>
      </w:rPr>
    </w:pPr>
    <w:r w:rsidRPr="005636A4">
      <w:rPr>
        <w:sz w:val="16"/>
        <w:szCs w:val="16"/>
      </w:rPr>
      <w:fldChar w:fldCharType="begin"/>
    </w:r>
    <w:r w:rsidR="00F7606F" w:rsidRPr="005636A4">
      <w:rPr>
        <w:sz w:val="16"/>
        <w:szCs w:val="16"/>
      </w:rPr>
      <w:instrText xml:space="preserve"> PAGE   \* MERGEFORMAT </w:instrText>
    </w:r>
    <w:r w:rsidRPr="005636A4">
      <w:rPr>
        <w:sz w:val="16"/>
        <w:szCs w:val="16"/>
      </w:rPr>
      <w:fldChar w:fldCharType="separate"/>
    </w:r>
    <w:r w:rsidR="00E5015B">
      <w:rPr>
        <w:noProof/>
        <w:sz w:val="16"/>
        <w:szCs w:val="16"/>
      </w:rPr>
      <w:t>2</w:t>
    </w:r>
    <w:r w:rsidRPr="005636A4">
      <w:rPr>
        <w:sz w:val="16"/>
        <w:szCs w:val="16"/>
      </w:rPr>
      <w:fldChar w:fldCharType="end"/>
    </w:r>
  </w:p>
  <w:p w:rsidR="00F7606F" w:rsidRDefault="00F76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6F" w:rsidRDefault="00F7606F">
      <w:r>
        <w:separator/>
      </w:r>
    </w:p>
  </w:footnote>
  <w:footnote w:type="continuationSeparator" w:id="0">
    <w:p w:rsidR="00F7606F" w:rsidRDefault="00F7606F">
      <w:r>
        <w:continuationSeparator/>
      </w:r>
    </w:p>
  </w:footnote>
  <w:footnote w:id="1">
    <w:p w:rsidR="00F7606F" w:rsidRDefault="00F7606F">
      <w:pPr>
        <w:pStyle w:val="FootnoteText"/>
      </w:pPr>
      <w:r>
        <w:rPr>
          <w:rStyle w:val="FootnoteReference"/>
          <w:rFonts w:ascii="Arial" w:hAnsi="Arial" w:cs="Arial"/>
          <w:sz w:val="18"/>
          <w:szCs w:val="18"/>
        </w:rPr>
        <w:footnoteRef/>
      </w:r>
      <w:r w:rsidRPr="00972001">
        <w:rPr>
          <w:rFonts w:ascii="Arial" w:hAnsi="Arial" w:cs="Arial"/>
          <w:sz w:val="18"/>
          <w:szCs w:val="18"/>
        </w:rPr>
        <w:t xml:space="preserve"> Full discussion paper can be accessed at </w:t>
      </w:r>
      <w:r w:rsidRPr="005971F4">
        <w:rPr>
          <w:rFonts w:ascii="Arial" w:hAnsi="Arial" w:cs="Arial"/>
          <w:sz w:val="18"/>
          <w:szCs w:val="18"/>
        </w:rPr>
        <w:t>http://www.acma.gov.au</w:t>
      </w:r>
    </w:p>
  </w:footnote>
  <w:footnote w:id="2">
    <w:p w:rsidR="00F7606F" w:rsidRDefault="00F7606F" w:rsidP="00820A4F">
      <w:pPr>
        <w:pStyle w:val="FootnoteText"/>
      </w:pPr>
      <w:r>
        <w:rPr>
          <w:rStyle w:val="FootnoteReference"/>
          <w:rFonts w:ascii="Arial" w:hAnsi="Arial" w:cs="Arial"/>
          <w:sz w:val="18"/>
          <w:szCs w:val="18"/>
        </w:rPr>
        <w:footnoteRef/>
      </w:r>
      <w:r w:rsidRPr="00972001">
        <w:rPr>
          <w:rFonts w:ascii="Arial" w:hAnsi="Arial" w:cs="Arial"/>
          <w:sz w:val="18"/>
          <w:szCs w:val="18"/>
        </w:rPr>
        <w:t xml:space="preserve"> </w:t>
      </w:r>
      <w:r w:rsidRPr="00145930">
        <w:rPr>
          <w:rFonts w:ascii="Arial" w:hAnsi="Arial" w:cs="Arial"/>
          <w:sz w:val="18"/>
          <w:szCs w:val="18"/>
        </w:rPr>
        <w:t xml:space="preserve">See ACMA media release 132/2010, 21 October </w:t>
      </w:r>
      <w:r w:rsidRPr="005971F4">
        <w:rPr>
          <w:rFonts w:ascii="Arial" w:hAnsi="Arial" w:cs="Arial"/>
          <w:sz w:val="18"/>
          <w:szCs w:val="18"/>
        </w:rPr>
        <w:t>http://www.acma.gov.au</w:t>
      </w:r>
    </w:p>
  </w:footnote>
  <w:footnote w:id="3">
    <w:p w:rsidR="00F7606F" w:rsidRPr="00F648D3" w:rsidRDefault="00F7606F" w:rsidP="002A050E">
      <w:pPr>
        <w:pStyle w:val="FootnoteText"/>
        <w:rPr>
          <w:rFonts w:ascii="Arial" w:hAnsi="Arial" w:cs="Arial"/>
          <w:sz w:val="18"/>
          <w:szCs w:val="18"/>
        </w:rPr>
      </w:pPr>
      <w:r>
        <w:rPr>
          <w:rStyle w:val="FootnoteReference"/>
          <w:rFonts w:ascii="Arial" w:hAnsi="Arial" w:cs="Arial"/>
          <w:sz w:val="18"/>
          <w:szCs w:val="18"/>
        </w:rPr>
        <w:footnoteRef/>
      </w:r>
      <w:r w:rsidRPr="00972001">
        <w:rPr>
          <w:rFonts w:ascii="Arial" w:hAnsi="Arial" w:cs="Arial"/>
          <w:sz w:val="18"/>
          <w:szCs w:val="18"/>
        </w:rPr>
        <w:t xml:space="preserve"> Response to submissions paper, and submissions received, can be accessed at</w:t>
      </w:r>
    </w:p>
    <w:p w:rsidR="00F7606F" w:rsidRPr="001A5C25" w:rsidRDefault="00F7606F" w:rsidP="002A050E">
      <w:pPr>
        <w:pStyle w:val="FootnoteText"/>
        <w:rPr>
          <w:rFonts w:ascii="Arial" w:hAnsi="Arial" w:cs="Arial"/>
          <w:sz w:val="18"/>
          <w:szCs w:val="18"/>
        </w:rPr>
      </w:pPr>
      <w:r w:rsidRPr="001A5C25">
        <w:rPr>
          <w:rFonts w:ascii="Arial" w:hAnsi="Arial" w:cs="Arial"/>
          <w:sz w:val="18"/>
          <w:szCs w:val="18"/>
        </w:rPr>
        <w:t>www.acma.gov.au</w:t>
      </w:r>
    </w:p>
  </w:footnote>
  <w:footnote w:id="4">
    <w:p w:rsidR="00F7606F" w:rsidRDefault="00F7606F">
      <w:pPr>
        <w:pStyle w:val="FootnoteText"/>
      </w:pPr>
      <w:r>
        <w:rPr>
          <w:rStyle w:val="FootnoteReference"/>
          <w:rFonts w:ascii="Arial" w:hAnsi="Arial" w:cs="Arial"/>
          <w:sz w:val="18"/>
          <w:szCs w:val="18"/>
        </w:rPr>
        <w:footnoteRef/>
      </w:r>
      <w:r w:rsidRPr="0083299D">
        <w:rPr>
          <w:rFonts w:ascii="Arial" w:hAnsi="Arial" w:cs="Arial"/>
          <w:sz w:val="18"/>
          <w:szCs w:val="18"/>
        </w:rPr>
        <w:t xml:space="preserve"> </w:t>
      </w:r>
      <w:r w:rsidRPr="005971F4">
        <w:rPr>
          <w:rFonts w:ascii="Arial" w:hAnsi="Arial" w:cs="Arial"/>
          <w:sz w:val="18"/>
          <w:szCs w:val="18"/>
        </w:rPr>
        <w:t>www.acma.gov.au</w:t>
      </w:r>
    </w:p>
  </w:footnote>
  <w:footnote w:id="5">
    <w:p w:rsidR="00F7606F" w:rsidRDefault="00F7606F">
      <w:pPr>
        <w:pStyle w:val="FootnoteText"/>
      </w:pPr>
      <w:r>
        <w:rPr>
          <w:rStyle w:val="FootnoteReference"/>
          <w:rFonts w:ascii="Arial" w:hAnsi="Arial" w:cs="Arial"/>
          <w:sz w:val="18"/>
          <w:szCs w:val="18"/>
        </w:rPr>
        <w:footnoteRef/>
      </w:r>
      <w:r w:rsidRPr="0083299D">
        <w:rPr>
          <w:rFonts w:ascii="Arial" w:hAnsi="Arial" w:cs="Arial"/>
          <w:sz w:val="18"/>
          <w:szCs w:val="18"/>
        </w:rPr>
        <w:t xml:space="preserve"> </w:t>
      </w:r>
      <w:r w:rsidRPr="001A5C25">
        <w:rPr>
          <w:rFonts w:ascii="Arial" w:hAnsi="Arial" w:cs="Arial"/>
          <w:sz w:val="18"/>
          <w:szCs w:val="18"/>
        </w:rPr>
        <w:t>www.engage.acma.gov.au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F" w:rsidRDefault="00987102">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50" o:spid="_x0000_s2050" type="#_x0000_t75" style="position:absolute;margin-left:0;margin-top:0;width:431.85pt;height:482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6F" w:rsidRPr="00C63C44" w:rsidRDefault="00987102" w:rsidP="00E11AB6">
    <w:pPr>
      <w:pStyle w:val="ACMAHeading3"/>
      <w:jc w:val="right"/>
      <w:rPr>
        <w:lang w:eastAsia="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49" o:spid="_x0000_s2049" type="#_x0000_t75" style="position:absolute;left:0;text-align:left;margin-left:0;margin-top:0;width:431.85pt;height:482pt;z-index:-251659264;mso-position-horizontal:center;mso-position-horizontal-relative:margin;mso-position-vertical:center;mso-position-vertical-relative:margin" o:allowincell="f">
          <v:imagedata r:id="rId1" o:title="" gain="19661f" blacklevel="22938f"/>
          <w10:wrap anchorx="margin" anchory="margin"/>
        </v:shape>
      </w:pict>
    </w:r>
    <w:r w:rsidR="00F7606F">
      <w:tab/>
    </w:r>
    <w:r w:rsidR="00F7606F" w:rsidRPr="00C63C44">
      <w:rPr>
        <w:lang w:eastAsia="en-AU"/>
      </w:rPr>
      <w:t xml:space="preserve">Attachment </w:t>
    </w:r>
    <w:r w:rsidR="00F7606F">
      <w:rPr>
        <w:lang w:eastAsia="en-AU"/>
      </w:rPr>
      <w:t>E</w:t>
    </w:r>
  </w:p>
  <w:p w:rsidR="00F7606F" w:rsidRDefault="00F7606F" w:rsidP="008A0882">
    <w:pPr>
      <w:pStyle w:val="Header"/>
      <w:tabs>
        <w:tab w:val="left" w:pos="70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0A9B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3A38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4887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C406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F260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B627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4AE1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CEEC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4E76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CE53A2"/>
    <w:lvl w:ilvl="0">
      <w:start w:val="1"/>
      <w:numFmt w:val="bullet"/>
      <w:lvlText w:val=""/>
      <w:lvlJc w:val="left"/>
      <w:pPr>
        <w:tabs>
          <w:tab w:val="num" w:pos="360"/>
        </w:tabs>
        <w:ind w:left="360" w:hanging="360"/>
      </w:pPr>
      <w:rPr>
        <w:rFonts w:ascii="Symbol" w:hAnsi="Symbol" w:hint="default"/>
      </w:rPr>
    </w:lvl>
  </w:abstractNum>
  <w:abstractNum w:abstractNumId="10">
    <w:nsid w:val="07F571A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10F3603E"/>
    <w:multiLevelType w:val="hybridMultilevel"/>
    <w:tmpl w:val="39FE2ADA"/>
    <w:lvl w:ilvl="0" w:tplc="1FEAC79A">
      <w:start w:val="1"/>
      <w:numFmt w:val="bullet"/>
      <w:pStyle w:val="ACMATableBullet"/>
      <w:lvlText w:val=""/>
      <w:lvlJc w:val="left"/>
      <w:pPr>
        <w:tabs>
          <w:tab w:val="num" w:pos="720"/>
        </w:tabs>
        <w:ind w:left="720" w:hanging="360"/>
      </w:pPr>
      <w:rPr>
        <w:rFonts w:ascii="Symbol" w:hAnsi="Symbol" w:hint="default"/>
      </w:rPr>
    </w:lvl>
    <w:lvl w:ilvl="1" w:tplc="EE32AAA0" w:tentative="1">
      <w:start w:val="1"/>
      <w:numFmt w:val="bullet"/>
      <w:lvlText w:val="o"/>
      <w:lvlJc w:val="left"/>
      <w:pPr>
        <w:tabs>
          <w:tab w:val="num" w:pos="1440"/>
        </w:tabs>
        <w:ind w:left="1440" w:hanging="360"/>
      </w:pPr>
      <w:rPr>
        <w:rFonts w:ascii="Courier New" w:hAnsi="Courier New" w:hint="default"/>
      </w:rPr>
    </w:lvl>
    <w:lvl w:ilvl="2" w:tplc="36B66E34" w:tentative="1">
      <w:start w:val="1"/>
      <w:numFmt w:val="bullet"/>
      <w:lvlText w:val=""/>
      <w:lvlJc w:val="left"/>
      <w:pPr>
        <w:tabs>
          <w:tab w:val="num" w:pos="2160"/>
        </w:tabs>
        <w:ind w:left="2160" w:hanging="360"/>
      </w:pPr>
      <w:rPr>
        <w:rFonts w:ascii="Wingdings" w:hAnsi="Wingdings" w:hint="default"/>
      </w:rPr>
    </w:lvl>
    <w:lvl w:ilvl="3" w:tplc="28C0B728" w:tentative="1">
      <w:start w:val="1"/>
      <w:numFmt w:val="bullet"/>
      <w:lvlText w:val=""/>
      <w:lvlJc w:val="left"/>
      <w:pPr>
        <w:tabs>
          <w:tab w:val="num" w:pos="2880"/>
        </w:tabs>
        <w:ind w:left="2880" w:hanging="360"/>
      </w:pPr>
      <w:rPr>
        <w:rFonts w:ascii="Symbol" w:hAnsi="Symbol" w:hint="default"/>
      </w:rPr>
    </w:lvl>
    <w:lvl w:ilvl="4" w:tplc="16C63112" w:tentative="1">
      <w:start w:val="1"/>
      <w:numFmt w:val="bullet"/>
      <w:lvlText w:val="o"/>
      <w:lvlJc w:val="left"/>
      <w:pPr>
        <w:tabs>
          <w:tab w:val="num" w:pos="3600"/>
        </w:tabs>
        <w:ind w:left="3600" w:hanging="360"/>
      </w:pPr>
      <w:rPr>
        <w:rFonts w:ascii="Courier New" w:hAnsi="Courier New" w:hint="default"/>
      </w:rPr>
    </w:lvl>
    <w:lvl w:ilvl="5" w:tplc="EB4ECE14" w:tentative="1">
      <w:start w:val="1"/>
      <w:numFmt w:val="bullet"/>
      <w:lvlText w:val=""/>
      <w:lvlJc w:val="left"/>
      <w:pPr>
        <w:tabs>
          <w:tab w:val="num" w:pos="4320"/>
        </w:tabs>
        <w:ind w:left="4320" w:hanging="360"/>
      </w:pPr>
      <w:rPr>
        <w:rFonts w:ascii="Wingdings" w:hAnsi="Wingdings" w:hint="default"/>
      </w:rPr>
    </w:lvl>
    <w:lvl w:ilvl="6" w:tplc="527E4036" w:tentative="1">
      <w:start w:val="1"/>
      <w:numFmt w:val="bullet"/>
      <w:lvlText w:val=""/>
      <w:lvlJc w:val="left"/>
      <w:pPr>
        <w:tabs>
          <w:tab w:val="num" w:pos="5040"/>
        </w:tabs>
        <w:ind w:left="5040" w:hanging="360"/>
      </w:pPr>
      <w:rPr>
        <w:rFonts w:ascii="Symbol" w:hAnsi="Symbol" w:hint="default"/>
      </w:rPr>
    </w:lvl>
    <w:lvl w:ilvl="7" w:tplc="DCAE8740" w:tentative="1">
      <w:start w:val="1"/>
      <w:numFmt w:val="bullet"/>
      <w:lvlText w:val="o"/>
      <w:lvlJc w:val="left"/>
      <w:pPr>
        <w:tabs>
          <w:tab w:val="num" w:pos="5760"/>
        </w:tabs>
        <w:ind w:left="5760" w:hanging="360"/>
      </w:pPr>
      <w:rPr>
        <w:rFonts w:ascii="Courier New" w:hAnsi="Courier New" w:hint="default"/>
      </w:rPr>
    </w:lvl>
    <w:lvl w:ilvl="8" w:tplc="1C3EBDA2" w:tentative="1">
      <w:start w:val="1"/>
      <w:numFmt w:val="bullet"/>
      <w:lvlText w:val=""/>
      <w:lvlJc w:val="left"/>
      <w:pPr>
        <w:tabs>
          <w:tab w:val="num" w:pos="6480"/>
        </w:tabs>
        <w:ind w:left="6480" w:hanging="360"/>
      </w:pPr>
      <w:rPr>
        <w:rFonts w:ascii="Wingdings" w:hAnsi="Wingdings" w:hint="default"/>
      </w:rPr>
    </w:lvl>
  </w:abstractNum>
  <w:abstractNum w:abstractNumId="13">
    <w:nsid w:val="13EE495C"/>
    <w:multiLevelType w:val="hybridMultilevel"/>
    <w:tmpl w:val="1D8498B0"/>
    <w:lvl w:ilvl="0" w:tplc="785CD5D4">
      <w:start w:val="1"/>
      <w:numFmt w:val="lowerLetter"/>
      <w:pStyle w:val="ACMAletteredlist"/>
      <w:lvlText w:val="%1."/>
      <w:lvlJc w:val="left"/>
      <w:pPr>
        <w:tabs>
          <w:tab w:val="num" w:pos="360"/>
        </w:tabs>
        <w:ind w:left="360" w:hanging="360"/>
      </w:pPr>
      <w:rPr>
        <w:rFonts w:cs="Times New Roman"/>
      </w:rPr>
    </w:lvl>
    <w:lvl w:ilvl="1" w:tplc="C9C4DA40">
      <w:start w:val="1"/>
      <w:numFmt w:val="lowerLetter"/>
      <w:lvlText w:val="%2."/>
      <w:lvlJc w:val="left"/>
      <w:pPr>
        <w:tabs>
          <w:tab w:val="num" w:pos="1440"/>
        </w:tabs>
        <w:ind w:left="1440" w:hanging="360"/>
      </w:pPr>
      <w:rPr>
        <w:rFonts w:cs="Times New Roman" w:hint="default"/>
      </w:rPr>
    </w:lvl>
    <w:lvl w:ilvl="2" w:tplc="48AA0CF2" w:tentative="1">
      <w:start w:val="1"/>
      <w:numFmt w:val="lowerRoman"/>
      <w:lvlText w:val="%3."/>
      <w:lvlJc w:val="right"/>
      <w:pPr>
        <w:tabs>
          <w:tab w:val="num" w:pos="2160"/>
        </w:tabs>
        <w:ind w:left="2160" w:hanging="180"/>
      </w:pPr>
      <w:rPr>
        <w:rFonts w:cs="Times New Roman"/>
      </w:rPr>
    </w:lvl>
    <w:lvl w:ilvl="3" w:tplc="ED58EE4A" w:tentative="1">
      <w:start w:val="1"/>
      <w:numFmt w:val="decimal"/>
      <w:lvlText w:val="%4."/>
      <w:lvlJc w:val="left"/>
      <w:pPr>
        <w:tabs>
          <w:tab w:val="num" w:pos="2880"/>
        </w:tabs>
        <w:ind w:left="2880" w:hanging="360"/>
      </w:pPr>
      <w:rPr>
        <w:rFonts w:cs="Times New Roman"/>
      </w:rPr>
    </w:lvl>
    <w:lvl w:ilvl="4" w:tplc="2F72B708" w:tentative="1">
      <w:start w:val="1"/>
      <w:numFmt w:val="lowerLetter"/>
      <w:lvlText w:val="%5."/>
      <w:lvlJc w:val="left"/>
      <w:pPr>
        <w:tabs>
          <w:tab w:val="num" w:pos="3600"/>
        </w:tabs>
        <w:ind w:left="3600" w:hanging="360"/>
      </w:pPr>
      <w:rPr>
        <w:rFonts w:cs="Times New Roman"/>
      </w:rPr>
    </w:lvl>
    <w:lvl w:ilvl="5" w:tplc="4DCABDD8" w:tentative="1">
      <w:start w:val="1"/>
      <w:numFmt w:val="lowerRoman"/>
      <w:lvlText w:val="%6."/>
      <w:lvlJc w:val="right"/>
      <w:pPr>
        <w:tabs>
          <w:tab w:val="num" w:pos="4320"/>
        </w:tabs>
        <w:ind w:left="4320" w:hanging="180"/>
      </w:pPr>
      <w:rPr>
        <w:rFonts w:cs="Times New Roman"/>
      </w:rPr>
    </w:lvl>
    <w:lvl w:ilvl="6" w:tplc="7F9E5598" w:tentative="1">
      <w:start w:val="1"/>
      <w:numFmt w:val="decimal"/>
      <w:lvlText w:val="%7."/>
      <w:lvlJc w:val="left"/>
      <w:pPr>
        <w:tabs>
          <w:tab w:val="num" w:pos="5040"/>
        </w:tabs>
        <w:ind w:left="5040" w:hanging="360"/>
      </w:pPr>
      <w:rPr>
        <w:rFonts w:cs="Times New Roman"/>
      </w:rPr>
    </w:lvl>
    <w:lvl w:ilvl="7" w:tplc="22EAE1CA" w:tentative="1">
      <w:start w:val="1"/>
      <w:numFmt w:val="lowerLetter"/>
      <w:lvlText w:val="%8."/>
      <w:lvlJc w:val="left"/>
      <w:pPr>
        <w:tabs>
          <w:tab w:val="num" w:pos="5760"/>
        </w:tabs>
        <w:ind w:left="5760" w:hanging="360"/>
      </w:pPr>
      <w:rPr>
        <w:rFonts w:cs="Times New Roman"/>
      </w:rPr>
    </w:lvl>
    <w:lvl w:ilvl="8" w:tplc="9BBE66D2" w:tentative="1">
      <w:start w:val="1"/>
      <w:numFmt w:val="lowerRoman"/>
      <w:lvlText w:val="%9."/>
      <w:lvlJc w:val="right"/>
      <w:pPr>
        <w:tabs>
          <w:tab w:val="num" w:pos="6480"/>
        </w:tabs>
        <w:ind w:left="6480" w:hanging="180"/>
      </w:pPr>
      <w:rPr>
        <w:rFonts w:cs="Times New Roman"/>
      </w:rPr>
    </w:lvl>
  </w:abstractNum>
  <w:abstractNum w:abstractNumId="14">
    <w:nsid w:val="17EE2D66"/>
    <w:multiLevelType w:val="hybridMultilevel"/>
    <w:tmpl w:val="97949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A81D5F"/>
    <w:multiLevelType w:val="hybridMultilevel"/>
    <w:tmpl w:val="D9C4DF86"/>
    <w:lvl w:ilvl="0" w:tplc="3356E966">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050615"/>
    <w:multiLevelType w:val="hybridMultilevel"/>
    <w:tmpl w:val="FA80BA1C"/>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9">
    <w:nsid w:val="234C55D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81D1869"/>
    <w:multiLevelType w:val="hybridMultilevel"/>
    <w:tmpl w:val="44CCDBB4"/>
    <w:lvl w:ilvl="0" w:tplc="0C090001">
      <w:start w:val="1"/>
      <w:numFmt w:val="decimal"/>
      <w:pStyle w:val="ACMANumberedList"/>
      <w:lvlText w:val="%1."/>
      <w:lvlJc w:val="left"/>
      <w:pPr>
        <w:tabs>
          <w:tab w:val="num" w:pos="720"/>
        </w:tabs>
        <w:ind w:left="720" w:hanging="360"/>
      </w:pPr>
      <w:rPr>
        <w:rFonts w:cs="Times New Roman" w:hint="default"/>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21">
    <w:nsid w:val="2AAA7E62"/>
    <w:multiLevelType w:val="hybridMultilevel"/>
    <w:tmpl w:val="7E8C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53392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2F5A5080"/>
    <w:multiLevelType w:val="hybridMultilevel"/>
    <w:tmpl w:val="24705096"/>
    <w:lvl w:ilvl="0" w:tplc="1046B696">
      <w:start w:val="1"/>
      <w:numFmt w:val="bullet"/>
      <w:pStyle w:val="ACMABulletLevel1"/>
      <w:lvlText w:val="●"/>
      <w:lvlJc w:val="left"/>
      <w:pPr>
        <w:tabs>
          <w:tab w:val="num" w:pos="-31680"/>
        </w:tabs>
        <w:ind w:left="357" w:hanging="357"/>
      </w:pPr>
      <w:rPr>
        <w:rFonts w:ascii="Times New Roman" w:hAnsi="Times New Roman" w:hint="default"/>
      </w:rPr>
    </w:lvl>
    <w:lvl w:ilvl="1" w:tplc="0C090003" w:tentative="1">
      <w:start w:val="1"/>
      <w:numFmt w:val="bullet"/>
      <w:lvlText w:val="o"/>
      <w:lvlJc w:val="left"/>
      <w:pPr>
        <w:tabs>
          <w:tab w:val="num" w:pos="1728"/>
        </w:tabs>
        <w:ind w:left="1728" w:hanging="360"/>
      </w:pPr>
      <w:rPr>
        <w:rFonts w:ascii="Courier New" w:hAnsi="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24">
    <w:nsid w:val="336F5465"/>
    <w:multiLevelType w:val="hybridMultilevel"/>
    <w:tmpl w:val="B96E4E0C"/>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1C19D5"/>
    <w:multiLevelType w:val="hybridMultilevel"/>
    <w:tmpl w:val="0284C75C"/>
    <w:lvl w:ilvl="0" w:tplc="A1D032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BAF6E0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463556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DE342F8"/>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5082517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433794D"/>
    <w:multiLevelType w:val="hybridMultilevel"/>
    <w:tmpl w:val="AD54E152"/>
    <w:lvl w:ilvl="0" w:tplc="F6908E8E">
      <w:start w:val="1"/>
      <w:numFmt w:val="bullet"/>
      <w:pStyle w:val="Dotpoints"/>
      <w:lvlText w:val=""/>
      <w:lvlJc w:val="left"/>
      <w:pPr>
        <w:tabs>
          <w:tab w:val="num" w:pos="720"/>
        </w:tabs>
        <w:ind w:left="720" w:hanging="360"/>
      </w:pPr>
      <w:rPr>
        <w:rFonts w:ascii="Symbol" w:hAnsi="Symbol" w:hint="default"/>
        <w:sz w:val="20"/>
      </w:rPr>
    </w:lvl>
    <w:lvl w:ilvl="1" w:tplc="4EB25560" w:tentative="1">
      <w:start w:val="1"/>
      <w:numFmt w:val="bullet"/>
      <w:lvlText w:val="o"/>
      <w:lvlJc w:val="left"/>
      <w:pPr>
        <w:tabs>
          <w:tab w:val="num" w:pos="1440"/>
        </w:tabs>
        <w:ind w:left="1440" w:hanging="360"/>
      </w:pPr>
      <w:rPr>
        <w:rFonts w:ascii="Courier New" w:hAnsi="Courier New" w:hint="default"/>
      </w:rPr>
    </w:lvl>
    <w:lvl w:ilvl="2" w:tplc="B58C6916" w:tentative="1">
      <w:start w:val="1"/>
      <w:numFmt w:val="bullet"/>
      <w:lvlText w:val=""/>
      <w:lvlJc w:val="left"/>
      <w:pPr>
        <w:tabs>
          <w:tab w:val="num" w:pos="2160"/>
        </w:tabs>
        <w:ind w:left="2160" w:hanging="360"/>
      </w:pPr>
      <w:rPr>
        <w:rFonts w:ascii="Wingdings" w:hAnsi="Wingdings" w:hint="default"/>
      </w:rPr>
    </w:lvl>
    <w:lvl w:ilvl="3" w:tplc="04987D6E" w:tentative="1">
      <w:start w:val="1"/>
      <w:numFmt w:val="bullet"/>
      <w:lvlText w:val=""/>
      <w:lvlJc w:val="left"/>
      <w:pPr>
        <w:tabs>
          <w:tab w:val="num" w:pos="2880"/>
        </w:tabs>
        <w:ind w:left="2880" w:hanging="360"/>
      </w:pPr>
      <w:rPr>
        <w:rFonts w:ascii="Symbol" w:hAnsi="Symbol" w:hint="default"/>
      </w:rPr>
    </w:lvl>
    <w:lvl w:ilvl="4" w:tplc="84CE6DEC" w:tentative="1">
      <w:start w:val="1"/>
      <w:numFmt w:val="bullet"/>
      <w:lvlText w:val="o"/>
      <w:lvlJc w:val="left"/>
      <w:pPr>
        <w:tabs>
          <w:tab w:val="num" w:pos="3600"/>
        </w:tabs>
        <w:ind w:left="3600" w:hanging="360"/>
      </w:pPr>
      <w:rPr>
        <w:rFonts w:ascii="Courier New" w:hAnsi="Courier New" w:hint="default"/>
      </w:rPr>
    </w:lvl>
    <w:lvl w:ilvl="5" w:tplc="59AA5C3A" w:tentative="1">
      <w:start w:val="1"/>
      <w:numFmt w:val="bullet"/>
      <w:lvlText w:val=""/>
      <w:lvlJc w:val="left"/>
      <w:pPr>
        <w:tabs>
          <w:tab w:val="num" w:pos="4320"/>
        </w:tabs>
        <w:ind w:left="4320" w:hanging="360"/>
      </w:pPr>
      <w:rPr>
        <w:rFonts w:ascii="Wingdings" w:hAnsi="Wingdings" w:hint="default"/>
      </w:rPr>
    </w:lvl>
    <w:lvl w:ilvl="6" w:tplc="B3EE3E4C" w:tentative="1">
      <w:start w:val="1"/>
      <w:numFmt w:val="bullet"/>
      <w:lvlText w:val=""/>
      <w:lvlJc w:val="left"/>
      <w:pPr>
        <w:tabs>
          <w:tab w:val="num" w:pos="5040"/>
        </w:tabs>
        <w:ind w:left="5040" w:hanging="360"/>
      </w:pPr>
      <w:rPr>
        <w:rFonts w:ascii="Symbol" w:hAnsi="Symbol" w:hint="default"/>
      </w:rPr>
    </w:lvl>
    <w:lvl w:ilvl="7" w:tplc="3964FD4C" w:tentative="1">
      <w:start w:val="1"/>
      <w:numFmt w:val="bullet"/>
      <w:lvlText w:val="o"/>
      <w:lvlJc w:val="left"/>
      <w:pPr>
        <w:tabs>
          <w:tab w:val="num" w:pos="5760"/>
        </w:tabs>
        <w:ind w:left="5760" w:hanging="360"/>
      </w:pPr>
      <w:rPr>
        <w:rFonts w:ascii="Courier New" w:hAnsi="Courier New" w:hint="default"/>
      </w:rPr>
    </w:lvl>
    <w:lvl w:ilvl="8" w:tplc="013CC708" w:tentative="1">
      <w:start w:val="1"/>
      <w:numFmt w:val="bullet"/>
      <w:lvlText w:val=""/>
      <w:lvlJc w:val="left"/>
      <w:pPr>
        <w:tabs>
          <w:tab w:val="num" w:pos="6480"/>
        </w:tabs>
        <w:ind w:left="6480" w:hanging="360"/>
      </w:pPr>
      <w:rPr>
        <w:rFonts w:ascii="Wingdings" w:hAnsi="Wingdings" w:hint="default"/>
      </w:rPr>
    </w:lvl>
  </w:abstractNum>
  <w:abstractNum w:abstractNumId="32">
    <w:nsid w:val="59304E1F"/>
    <w:multiLevelType w:val="hybridMultilevel"/>
    <w:tmpl w:val="5C86E1F4"/>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6028A5"/>
    <w:multiLevelType w:val="hybridMultilevel"/>
    <w:tmpl w:val="0026179A"/>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905E86"/>
    <w:multiLevelType w:val="multilevel"/>
    <w:tmpl w:val="AB58DA0A"/>
    <w:lvl w:ilvl="0">
      <w:start w:val="181"/>
      <w:numFmt w:val="bullet"/>
      <w:pStyle w:val="List-Bullet1"/>
      <w:lvlText w:val=""/>
      <w:lvlJc w:val="left"/>
      <w:pPr>
        <w:tabs>
          <w:tab w:val="num" w:pos="357"/>
        </w:tabs>
        <w:ind w:left="357" w:hanging="357"/>
      </w:pPr>
      <w:rPr>
        <w:rFonts w:ascii="Wingdings" w:hAnsi="Wingdings" w:hint="default"/>
        <w:color w:val="82A996"/>
        <w:position w:val="-6"/>
        <w:sz w:val="32"/>
      </w:rPr>
    </w:lvl>
    <w:lvl w:ilvl="1">
      <w:start w:val="1"/>
      <w:numFmt w:val="bullet"/>
      <w:lvlRestart w:val="0"/>
      <w:pStyle w:val="List-Bullet2"/>
      <w:lvlText w:val=""/>
      <w:lvlJc w:val="left"/>
      <w:pPr>
        <w:tabs>
          <w:tab w:val="num" w:pos="714"/>
        </w:tabs>
        <w:ind w:left="714" w:hanging="357"/>
      </w:pPr>
      <w:rPr>
        <w:rFonts w:ascii="Symbol" w:hAnsi="Symbol" w:hint="default"/>
        <w:color w:val="82A996"/>
        <w:sz w:val="28"/>
      </w:rPr>
    </w:lvl>
    <w:lvl w:ilvl="2">
      <w:start w:val="1"/>
      <w:numFmt w:val="bullet"/>
      <w:lvlRestart w:val="0"/>
      <w:pStyle w:val="List-Bullet3"/>
      <w:lvlText w:val=""/>
      <w:lvlJc w:val="left"/>
      <w:pPr>
        <w:tabs>
          <w:tab w:val="num" w:pos="1021"/>
        </w:tabs>
        <w:ind w:left="1021" w:hanging="307"/>
      </w:pPr>
      <w:rPr>
        <w:rFonts w:ascii="Wingdings" w:hAnsi="Wingdings" w:hint="default"/>
        <w:b/>
        <w:i w:val="0"/>
        <w:color w:val="82A996"/>
        <w:sz w:val="22"/>
      </w:rPr>
    </w:lvl>
    <w:lvl w:ilvl="3">
      <w:start w:val="1"/>
      <w:numFmt w:val="bullet"/>
      <w:lvlRestart w:val="0"/>
      <w:lvlText w:val=""/>
      <w:lvlJc w:val="left"/>
      <w:pPr>
        <w:tabs>
          <w:tab w:val="num" w:pos="1381"/>
        </w:tabs>
        <w:ind w:left="1383" w:hanging="362"/>
      </w:pPr>
      <w:rPr>
        <w:rFonts w:ascii="Symbol" w:hAnsi="Symbol" w:hint="default"/>
        <w:color w:val="82A996"/>
        <w:sz w:val="28"/>
      </w:rPr>
    </w:lvl>
    <w:lvl w:ilvl="4">
      <w:start w:val="1"/>
      <w:numFmt w:val="bullet"/>
      <w:lvlRestart w:val="0"/>
      <w:lvlText w:val=""/>
      <w:lvlJc w:val="left"/>
      <w:pPr>
        <w:tabs>
          <w:tab w:val="num" w:pos="1721"/>
        </w:tabs>
        <w:ind w:left="1724" w:hanging="363"/>
      </w:pPr>
      <w:rPr>
        <w:rFonts w:ascii="Symbol" w:hAnsi="Symbol" w:hint="default"/>
        <w:color w:val="82A996"/>
        <w:sz w:val="20"/>
      </w:rPr>
    </w:lvl>
    <w:lvl w:ilvl="5">
      <w:start w:val="1"/>
      <w:numFmt w:val="none"/>
      <w:lvlRestart w:val="0"/>
      <w:lvlText w:val="%6)"/>
      <w:lvlJc w:val="left"/>
      <w:pPr>
        <w:tabs>
          <w:tab w:val="num" w:pos="1152"/>
        </w:tabs>
        <w:ind w:left="1152" w:hanging="432"/>
      </w:pPr>
      <w:rPr>
        <w:rFonts w:cs="Times New Roman" w:hint="default"/>
      </w:rPr>
    </w:lvl>
    <w:lvl w:ilvl="6">
      <w:start w:val="1"/>
      <w:numFmt w:val="none"/>
      <w:lvlRestart w:val="0"/>
      <w:lvlText w:val="%7)"/>
      <w:lvlJc w:val="right"/>
      <w:pPr>
        <w:tabs>
          <w:tab w:val="num" w:pos="1296"/>
        </w:tabs>
        <w:ind w:left="1296" w:hanging="288"/>
      </w:pPr>
      <w:rPr>
        <w:rFonts w:cs="Times New Roman" w:hint="default"/>
      </w:rPr>
    </w:lvl>
    <w:lvl w:ilvl="7">
      <w:start w:val="1"/>
      <w:numFmt w:val="none"/>
      <w:lvlRestart w:val="0"/>
      <w:lvlText w:val="%8."/>
      <w:lvlJc w:val="left"/>
      <w:pPr>
        <w:tabs>
          <w:tab w:val="num" w:pos="1440"/>
        </w:tabs>
        <w:ind w:left="1440" w:hanging="432"/>
      </w:pPr>
      <w:rPr>
        <w:rFonts w:cs="Times New Roman" w:hint="default"/>
      </w:rPr>
    </w:lvl>
    <w:lvl w:ilvl="8">
      <w:start w:val="1"/>
      <w:numFmt w:val="none"/>
      <w:lvlRestart w:val="0"/>
      <w:lvlText w:val="%9."/>
      <w:lvlJc w:val="right"/>
      <w:pPr>
        <w:tabs>
          <w:tab w:val="num" w:pos="1584"/>
        </w:tabs>
        <w:ind w:left="1584" w:hanging="144"/>
      </w:pPr>
      <w:rPr>
        <w:rFonts w:cs="Times New Roman" w:hint="default"/>
      </w:rPr>
    </w:lvl>
  </w:abstractNum>
  <w:abstractNum w:abstractNumId="35">
    <w:nsid w:val="5F173593"/>
    <w:multiLevelType w:val="hybridMultilevel"/>
    <w:tmpl w:val="49887CEC"/>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F633263"/>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618E4243"/>
    <w:multiLevelType w:val="hybridMultilevel"/>
    <w:tmpl w:val="6D4A1390"/>
    <w:lvl w:ilvl="0" w:tplc="44D64128">
      <w:start w:val="1"/>
      <w:numFmt w:val="bullet"/>
      <w:lvlText w:val="˃"/>
      <w:lvlJc w:val="left"/>
      <w:pPr>
        <w:tabs>
          <w:tab w:val="num" w:pos="720"/>
        </w:tabs>
        <w:ind w:left="720" w:hanging="360"/>
      </w:pPr>
      <w:rPr>
        <w:rFonts w:ascii="Arial" w:hAnsi="Arial" w:hint="default"/>
        <w:sz w:val="20"/>
      </w:rPr>
    </w:lvl>
    <w:lvl w:ilvl="1" w:tplc="4EB25560" w:tentative="1">
      <w:start w:val="1"/>
      <w:numFmt w:val="bullet"/>
      <w:lvlText w:val="o"/>
      <w:lvlJc w:val="left"/>
      <w:pPr>
        <w:tabs>
          <w:tab w:val="num" w:pos="1440"/>
        </w:tabs>
        <w:ind w:left="1440" w:hanging="360"/>
      </w:pPr>
      <w:rPr>
        <w:rFonts w:ascii="Courier New" w:hAnsi="Courier New" w:hint="default"/>
      </w:rPr>
    </w:lvl>
    <w:lvl w:ilvl="2" w:tplc="B58C6916" w:tentative="1">
      <w:start w:val="1"/>
      <w:numFmt w:val="bullet"/>
      <w:lvlText w:val=""/>
      <w:lvlJc w:val="left"/>
      <w:pPr>
        <w:tabs>
          <w:tab w:val="num" w:pos="2160"/>
        </w:tabs>
        <w:ind w:left="2160" w:hanging="360"/>
      </w:pPr>
      <w:rPr>
        <w:rFonts w:ascii="Wingdings" w:hAnsi="Wingdings" w:hint="default"/>
      </w:rPr>
    </w:lvl>
    <w:lvl w:ilvl="3" w:tplc="04987D6E" w:tentative="1">
      <w:start w:val="1"/>
      <w:numFmt w:val="bullet"/>
      <w:lvlText w:val=""/>
      <w:lvlJc w:val="left"/>
      <w:pPr>
        <w:tabs>
          <w:tab w:val="num" w:pos="2880"/>
        </w:tabs>
        <w:ind w:left="2880" w:hanging="360"/>
      </w:pPr>
      <w:rPr>
        <w:rFonts w:ascii="Symbol" w:hAnsi="Symbol" w:hint="default"/>
      </w:rPr>
    </w:lvl>
    <w:lvl w:ilvl="4" w:tplc="84CE6DEC" w:tentative="1">
      <w:start w:val="1"/>
      <w:numFmt w:val="bullet"/>
      <w:lvlText w:val="o"/>
      <w:lvlJc w:val="left"/>
      <w:pPr>
        <w:tabs>
          <w:tab w:val="num" w:pos="3600"/>
        </w:tabs>
        <w:ind w:left="3600" w:hanging="360"/>
      </w:pPr>
      <w:rPr>
        <w:rFonts w:ascii="Courier New" w:hAnsi="Courier New" w:hint="default"/>
      </w:rPr>
    </w:lvl>
    <w:lvl w:ilvl="5" w:tplc="59AA5C3A" w:tentative="1">
      <w:start w:val="1"/>
      <w:numFmt w:val="bullet"/>
      <w:lvlText w:val=""/>
      <w:lvlJc w:val="left"/>
      <w:pPr>
        <w:tabs>
          <w:tab w:val="num" w:pos="4320"/>
        </w:tabs>
        <w:ind w:left="4320" w:hanging="360"/>
      </w:pPr>
      <w:rPr>
        <w:rFonts w:ascii="Wingdings" w:hAnsi="Wingdings" w:hint="default"/>
      </w:rPr>
    </w:lvl>
    <w:lvl w:ilvl="6" w:tplc="B3EE3E4C" w:tentative="1">
      <w:start w:val="1"/>
      <w:numFmt w:val="bullet"/>
      <w:lvlText w:val=""/>
      <w:lvlJc w:val="left"/>
      <w:pPr>
        <w:tabs>
          <w:tab w:val="num" w:pos="5040"/>
        </w:tabs>
        <w:ind w:left="5040" w:hanging="360"/>
      </w:pPr>
      <w:rPr>
        <w:rFonts w:ascii="Symbol" w:hAnsi="Symbol" w:hint="default"/>
      </w:rPr>
    </w:lvl>
    <w:lvl w:ilvl="7" w:tplc="3964FD4C" w:tentative="1">
      <w:start w:val="1"/>
      <w:numFmt w:val="bullet"/>
      <w:lvlText w:val="o"/>
      <w:lvlJc w:val="left"/>
      <w:pPr>
        <w:tabs>
          <w:tab w:val="num" w:pos="5760"/>
        </w:tabs>
        <w:ind w:left="5760" w:hanging="360"/>
      </w:pPr>
      <w:rPr>
        <w:rFonts w:ascii="Courier New" w:hAnsi="Courier New" w:hint="default"/>
      </w:rPr>
    </w:lvl>
    <w:lvl w:ilvl="8" w:tplc="013CC708" w:tentative="1">
      <w:start w:val="1"/>
      <w:numFmt w:val="bullet"/>
      <w:lvlText w:val=""/>
      <w:lvlJc w:val="left"/>
      <w:pPr>
        <w:tabs>
          <w:tab w:val="num" w:pos="6480"/>
        </w:tabs>
        <w:ind w:left="6480" w:hanging="360"/>
      </w:pPr>
      <w:rPr>
        <w:rFonts w:ascii="Wingdings" w:hAnsi="Wingdings" w:hint="default"/>
      </w:rPr>
    </w:lvl>
  </w:abstractNum>
  <w:abstractNum w:abstractNumId="38">
    <w:nsid w:val="74E251ED"/>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9">
    <w:nsid w:val="766848BA"/>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13"/>
  </w:num>
  <w:num w:numId="36">
    <w:abstractNumId w:val="20"/>
  </w:num>
  <w:num w:numId="37">
    <w:abstractNumId w:val="23"/>
  </w:num>
  <w:num w:numId="38">
    <w:abstractNumId w:val="15"/>
  </w:num>
  <w:num w:numId="39">
    <w:abstractNumId w:val="12"/>
  </w:num>
  <w:num w:numId="40">
    <w:abstractNumId w:val="31"/>
  </w:num>
  <w:num w:numId="41">
    <w:abstractNumId w:val="34"/>
  </w:num>
  <w:num w:numId="42">
    <w:abstractNumId w:val="11"/>
  </w:num>
  <w:num w:numId="43">
    <w:abstractNumId w:val="17"/>
  </w:num>
  <w:num w:numId="44">
    <w:abstractNumId w:val="27"/>
  </w:num>
  <w:num w:numId="45">
    <w:abstractNumId w:val="21"/>
  </w:num>
  <w:num w:numId="46">
    <w:abstractNumId w:val="14"/>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2"/>
  </w:num>
  <w:num w:numId="50">
    <w:abstractNumId w:val="35"/>
  </w:num>
  <w:num w:numId="51">
    <w:abstractNumId w:val="38"/>
  </w:num>
  <w:num w:numId="52">
    <w:abstractNumId w:val="28"/>
  </w:num>
  <w:num w:numId="53">
    <w:abstractNumId w:val="19"/>
  </w:num>
  <w:num w:numId="54">
    <w:abstractNumId w:val="22"/>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29"/>
  </w:num>
  <w:num w:numId="58">
    <w:abstractNumId w:val="39"/>
  </w:num>
  <w:num w:numId="59">
    <w:abstractNumId w:val="10"/>
  </w:num>
  <w:num w:numId="60">
    <w:abstractNumId w:val="26"/>
  </w:num>
  <w:num w:numId="61">
    <w:abstractNumId w:val="30"/>
  </w:num>
  <w:num w:numId="62">
    <w:abstractNumId w:val="18"/>
  </w:num>
  <w:num w:numId="63">
    <w:abstractNumId w:val="33"/>
  </w:num>
  <w:num w:numId="64">
    <w:abstractNumId w:val="24"/>
  </w:num>
  <w:num w:numId="65">
    <w:abstractNumId w:val="25"/>
  </w:num>
  <w:num w:numId="66">
    <w:abstractNumId w:val="1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92B"/>
    <w:rsid w:val="000058EC"/>
    <w:rsid w:val="000068D3"/>
    <w:rsid w:val="00006914"/>
    <w:rsid w:val="0000761D"/>
    <w:rsid w:val="000304E5"/>
    <w:rsid w:val="00032C30"/>
    <w:rsid w:val="000344E2"/>
    <w:rsid w:val="00034EAB"/>
    <w:rsid w:val="00036C8B"/>
    <w:rsid w:val="00046FD2"/>
    <w:rsid w:val="000516D8"/>
    <w:rsid w:val="00054094"/>
    <w:rsid w:val="00055867"/>
    <w:rsid w:val="000566A9"/>
    <w:rsid w:val="00056FCC"/>
    <w:rsid w:val="00061560"/>
    <w:rsid w:val="000615A6"/>
    <w:rsid w:val="00061825"/>
    <w:rsid w:val="00062543"/>
    <w:rsid w:val="00066F0C"/>
    <w:rsid w:val="000718A9"/>
    <w:rsid w:val="000718BC"/>
    <w:rsid w:val="0007368D"/>
    <w:rsid w:val="00073FFB"/>
    <w:rsid w:val="00074BEB"/>
    <w:rsid w:val="0007553F"/>
    <w:rsid w:val="00075E72"/>
    <w:rsid w:val="000770E9"/>
    <w:rsid w:val="00081D49"/>
    <w:rsid w:val="0008434F"/>
    <w:rsid w:val="00086FE0"/>
    <w:rsid w:val="00087CCE"/>
    <w:rsid w:val="000A27B6"/>
    <w:rsid w:val="000A4A6B"/>
    <w:rsid w:val="000A6253"/>
    <w:rsid w:val="000B011A"/>
    <w:rsid w:val="000B25CB"/>
    <w:rsid w:val="000B3A14"/>
    <w:rsid w:val="000B3F02"/>
    <w:rsid w:val="000B7DBE"/>
    <w:rsid w:val="000C0128"/>
    <w:rsid w:val="000C1989"/>
    <w:rsid w:val="000C23F2"/>
    <w:rsid w:val="000C2C4E"/>
    <w:rsid w:val="000C2CB2"/>
    <w:rsid w:val="000C3F7E"/>
    <w:rsid w:val="000D7A1F"/>
    <w:rsid w:val="000E3AD3"/>
    <w:rsid w:val="000E3AE1"/>
    <w:rsid w:val="000E3BC4"/>
    <w:rsid w:val="000F1573"/>
    <w:rsid w:val="0010149B"/>
    <w:rsid w:val="00102A94"/>
    <w:rsid w:val="001033B8"/>
    <w:rsid w:val="00105847"/>
    <w:rsid w:val="00110301"/>
    <w:rsid w:val="00110ADD"/>
    <w:rsid w:val="00114026"/>
    <w:rsid w:val="00114EAB"/>
    <w:rsid w:val="00115F3D"/>
    <w:rsid w:val="00117E49"/>
    <w:rsid w:val="00120FE7"/>
    <w:rsid w:val="001222C2"/>
    <w:rsid w:val="00123EEA"/>
    <w:rsid w:val="001329AE"/>
    <w:rsid w:val="00135B36"/>
    <w:rsid w:val="00141D1B"/>
    <w:rsid w:val="0014405F"/>
    <w:rsid w:val="00144C8B"/>
    <w:rsid w:val="00145930"/>
    <w:rsid w:val="00147870"/>
    <w:rsid w:val="00151062"/>
    <w:rsid w:val="001513CE"/>
    <w:rsid w:val="00151634"/>
    <w:rsid w:val="00161725"/>
    <w:rsid w:val="001708B3"/>
    <w:rsid w:val="00171C26"/>
    <w:rsid w:val="001743AC"/>
    <w:rsid w:val="00174B77"/>
    <w:rsid w:val="00177652"/>
    <w:rsid w:val="00177DB7"/>
    <w:rsid w:val="00181B04"/>
    <w:rsid w:val="00182ADF"/>
    <w:rsid w:val="00184CC0"/>
    <w:rsid w:val="001859C4"/>
    <w:rsid w:val="00186375"/>
    <w:rsid w:val="00187359"/>
    <w:rsid w:val="001916A1"/>
    <w:rsid w:val="00191B4A"/>
    <w:rsid w:val="001948B3"/>
    <w:rsid w:val="00194E86"/>
    <w:rsid w:val="001A1963"/>
    <w:rsid w:val="001A2162"/>
    <w:rsid w:val="001A3500"/>
    <w:rsid w:val="001A351D"/>
    <w:rsid w:val="001A5C25"/>
    <w:rsid w:val="001A70BF"/>
    <w:rsid w:val="001B6B1D"/>
    <w:rsid w:val="001C01F2"/>
    <w:rsid w:val="001C2A3A"/>
    <w:rsid w:val="001C5671"/>
    <w:rsid w:val="001C7C04"/>
    <w:rsid w:val="001D2F2B"/>
    <w:rsid w:val="001D59FE"/>
    <w:rsid w:val="001D5B7F"/>
    <w:rsid w:val="001D6F64"/>
    <w:rsid w:val="001E0522"/>
    <w:rsid w:val="001E2FAB"/>
    <w:rsid w:val="001E2FF7"/>
    <w:rsid w:val="001F10E3"/>
    <w:rsid w:val="001F18E5"/>
    <w:rsid w:val="001F2542"/>
    <w:rsid w:val="001F2C5C"/>
    <w:rsid w:val="001F682B"/>
    <w:rsid w:val="002017FD"/>
    <w:rsid w:val="00202956"/>
    <w:rsid w:val="002029C4"/>
    <w:rsid w:val="002030CA"/>
    <w:rsid w:val="00205965"/>
    <w:rsid w:val="002177C1"/>
    <w:rsid w:val="00217C3D"/>
    <w:rsid w:val="002223DE"/>
    <w:rsid w:val="00224E6E"/>
    <w:rsid w:val="00230719"/>
    <w:rsid w:val="00232F58"/>
    <w:rsid w:val="0023400C"/>
    <w:rsid w:val="00237A5A"/>
    <w:rsid w:val="002453C2"/>
    <w:rsid w:val="00246151"/>
    <w:rsid w:val="0025082B"/>
    <w:rsid w:val="002509EA"/>
    <w:rsid w:val="00255D57"/>
    <w:rsid w:val="00261383"/>
    <w:rsid w:val="00263968"/>
    <w:rsid w:val="002646E3"/>
    <w:rsid w:val="00264E3F"/>
    <w:rsid w:val="00264F37"/>
    <w:rsid w:val="00276372"/>
    <w:rsid w:val="0028020D"/>
    <w:rsid w:val="0028076F"/>
    <w:rsid w:val="0028397A"/>
    <w:rsid w:val="00285445"/>
    <w:rsid w:val="00286D4B"/>
    <w:rsid w:val="00290C34"/>
    <w:rsid w:val="002912E2"/>
    <w:rsid w:val="002A050E"/>
    <w:rsid w:val="002A0817"/>
    <w:rsid w:val="002A226E"/>
    <w:rsid w:val="002A5F81"/>
    <w:rsid w:val="002B5E7E"/>
    <w:rsid w:val="002C11B8"/>
    <w:rsid w:val="002C1C0F"/>
    <w:rsid w:val="002C351E"/>
    <w:rsid w:val="002C47D7"/>
    <w:rsid w:val="002D1862"/>
    <w:rsid w:val="002D1A5D"/>
    <w:rsid w:val="002D36A4"/>
    <w:rsid w:val="002D74FC"/>
    <w:rsid w:val="002E28F2"/>
    <w:rsid w:val="002E33A0"/>
    <w:rsid w:val="002E3EF1"/>
    <w:rsid w:val="002F3DF0"/>
    <w:rsid w:val="002F5489"/>
    <w:rsid w:val="003040FA"/>
    <w:rsid w:val="00304672"/>
    <w:rsid w:val="00304E43"/>
    <w:rsid w:val="00306402"/>
    <w:rsid w:val="0031114A"/>
    <w:rsid w:val="003126C6"/>
    <w:rsid w:val="00313C79"/>
    <w:rsid w:val="003152B8"/>
    <w:rsid w:val="00317D76"/>
    <w:rsid w:val="003237DC"/>
    <w:rsid w:val="003317C4"/>
    <w:rsid w:val="00333057"/>
    <w:rsid w:val="003347A3"/>
    <w:rsid w:val="003375F4"/>
    <w:rsid w:val="003415C1"/>
    <w:rsid w:val="0034527C"/>
    <w:rsid w:val="00351C42"/>
    <w:rsid w:val="00353CDC"/>
    <w:rsid w:val="003544CC"/>
    <w:rsid w:val="003549FF"/>
    <w:rsid w:val="003620D0"/>
    <w:rsid w:val="00365DE9"/>
    <w:rsid w:val="003673B6"/>
    <w:rsid w:val="00367420"/>
    <w:rsid w:val="003705CF"/>
    <w:rsid w:val="003709F7"/>
    <w:rsid w:val="00375748"/>
    <w:rsid w:val="00375C2C"/>
    <w:rsid w:val="003807FA"/>
    <w:rsid w:val="00382385"/>
    <w:rsid w:val="003827B7"/>
    <w:rsid w:val="003829E8"/>
    <w:rsid w:val="00383B2D"/>
    <w:rsid w:val="00384359"/>
    <w:rsid w:val="003867BD"/>
    <w:rsid w:val="00390021"/>
    <w:rsid w:val="003910C5"/>
    <w:rsid w:val="003918D9"/>
    <w:rsid w:val="00392B0D"/>
    <w:rsid w:val="003A1530"/>
    <w:rsid w:val="003A20D0"/>
    <w:rsid w:val="003A4B7C"/>
    <w:rsid w:val="003B05DA"/>
    <w:rsid w:val="003B56C1"/>
    <w:rsid w:val="003C0079"/>
    <w:rsid w:val="003C0F58"/>
    <w:rsid w:val="003C6AE3"/>
    <w:rsid w:val="003C7C49"/>
    <w:rsid w:val="003D44BA"/>
    <w:rsid w:val="003D5FB5"/>
    <w:rsid w:val="003D7596"/>
    <w:rsid w:val="003D7CE4"/>
    <w:rsid w:val="003E2851"/>
    <w:rsid w:val="003E2C81"/>
    <w:rsid w:val="003E36FE"/>
    <w:rsid w:val="003E4AEE"/>
    <w:rsid w:val="003F20A5"/>
    <w:rsid w:val="003F521D"/>
    <w:rsid w:val="003F7958"/>
    <w:rsid w:val="00401AB5"/>
    <w:rsid w:val="0040290A"/>
    <w:rsid w:val="00403951"/>
    <w:rsid w:val="00404C9E"/>
    <w:rsid w:val="004069F6"/>
    <w:rsid w:val="004106A3"/>
    <w:rsid w:val="004151B3"/>
    <w:rsid w:val="00416B05"/>
    <w:rsid w:val="004201F9"/>
    <w:rsid w:val="004223EF"/>
    <w:rsid w:val="00422AA3"/>
    <w:rsid w:val="004316FE"/>
    <w:rsid w:val="00434066"/>
    <w:rsid w:val="004349C5"/>
    <w:rsid w:val="00436D0A"/>
    <w:rsid w:val="00441362"/>
    <w:rsid w:val="004434DF"/>
    <w:rsid w:val="00443BE3"/>
    <w:rsid w:val="0045349D"/>
    <w:rsid w:val="00455FA5"/>
    <w:rsid w:val="00456F71"/>
    <w:rsid w:val="00461A7D"/>
    <w:rsid w:val="0046579F"/>
    <w:rsid w:val="00470367"/>
    <w:rsid w:val="004730CC"/>
    <w:rsid w:val="00476CF6"/>
    <w:rsid w:val="004828FD"/>
    <w:rsid w:val="00485124"/>
    <w:rsid w:val="004852B2"/>
    <w:rsid w:val="00485BA8"/>
    <w:rsid w:val="0049175F"/>
    <w:rsid w:val="004927F4"/>
    <w:rsid w:val="00493158"/>
    <w:rsid w:val="00493DA8"/>
    <w:rsid w:val="00494001"/>
    <w:rsid w:val="00494DDC"/>
    <w:rsid w:val="00494EE5"/>
    <w:rsid w:val="0049619B"/>
    <w:rsid w:val="004A0FA7"/>
    <w:rsid w:val="004A172C"/>
    <w:rsid w:val="004A6340"/>
    <w:rsid w:val="004A7F21"/>
    <w:rsid w:val="004B289C"/>
    <w:rsid w:val="004B2B3B"/>
    <w:rsid w:val="004B51F3"/>
    <w:rsid w:val="004B5682"/>
    <w:rsid w:val="004B6682"/>
    <w:rsid w:val="004B6F3C"/>
    <w:rsid w:val="004C51BC"/>
    <w:rsid w:val="004C60E0"/>
    <w:rsid w:val="004D24FF"/>
    <w:rsid w:val="004D4794"/>
    <w:rsid w:val="004D5E83"/>
    <w:rsid w:val="004E5A87"/>
    <w:rsid w:val="004E5B50"/>
    <w:rsid w:val="004E6647"/>
    <w:rsid w:val="004E7A86"/>
    <w:rsid w:val="004F053D"/>
    <w:rsid w:val="004F12D3"/>
    <w:rsid w:val="004F4310"/>
    <w:rsid w:val="004F5360"/>
    <w:rsid w:val="004F61AF"/>
    <w:rsid w:val="00502741"/>
    <w:rsid w:val="00503E25"/>
    <w:rsid w:val="00507400"/>
    <w:rsid w:val="00515E77"/>
    <w:rsid w:val="005252D5"/>
    <w:rsid w:val="00527681"/>
    <w:rsid w:val="0053030C"/>
    <w:rsid w:val="00532ABF"/>
    <w:rsid w:val="00535E5B"/>
    <w:rsid w:val="00536411"/>
    <w:rsid w:val="00543B21"/>
    <w:rsid w:val="00544B0B"/>
    <w:rsid w:val="00547AD5"/>
    <w:rsid w:val="00547D21"/>
    <w:rsid w:val="00547D94"/>
    <w:rsid w:val="0055067C"/>
    <w:rsid w:val="005508BA"/>
    <w:rsid w:val="00552082"/>
    <w:rsid w:val="005529DD"/>
    <w:rsid w:val="005556ED"/>
    <w:rsid w:val="00557333"/>
    <w:rsid w:val="00557869"/>
    <w:rsid w:val="005601B3"/>
    <w:rsid w:val="0056029A"/>
    <w:rsid w:val="00560789"/>
    <w:rsid w:val="00562229"/>
    <w:rsid w:val="00562C02"/>
    <w:rsid w:val="005636A4"/>
    <w:rsid w:val="005645D1"/>
    <w:rsid w:val="0056570F"/>
    <w:rsid w:val="00577F00"/>
    <w:rsid w:val="00583D81"/>
    <w:rsid w:val="005861A9"/>
    <w:rsid w:val="00592B40"/>
    <w:rsid w:val="0059377F"/>
    <w:rsid w:val="005956B1"/>
    <w:rsid w:val="00596EE1"/>
    <w:rsid w:val="005971F4"/>
    <w:rsid w:val="005A4B1F"/>
    <w:rsid w:val="005A6AEA"/>
    <w:rsid w:val="005B4AB2"/>
    <w:rsid w:val="005B51D1"/>
    <w:rsid w:val="005B787B"/>
    <w:rsid w:val="005C32BB"/>
    <w:rsid w:val="005C4239"/>
    <w:rsid w:val="005C4910"/>
    <w:rsid w:val="005C6E09"/>
    <w:rsid w:val="005C7BCB"/>
    <w:rsid w:val="005D4AE7"/>
    <w:rsid w:val="005E3FEC"/>
    <w:rsid w:val="005F068C"/>
    <w:rsid w:val="005F0E30"/>
    <w:rsid w:val="005F3A8E"/>
    <w:rsid w:val="005F4163"/>
    <w:rsid w:val="005F6357"/>
    <w:rsid w:val="00602606"/>
    <w:rsid w:val="00605092"/>
    <w:rsid w:val="00611405"/>
    <w:rsid w:val="00612955"/>
    <w:rsid w:val="00613EF5"/>
    <w:rsid w:val="006177AF"/>
    <w:rsid w:val="00617E87"/>
    <w:rsid w:val="00620BC4"/>
    <w:rsid w:val="00621A6D"/>
    <w:rsid w:val="006262A8"/>
    <w:rsid w:val="006263AD"/>
    <w:rsid w:val="0063399E"/>
    <w:rsid w:val="0063493C"/>
    <w:rsid w:val="00634DC7"/>
    <w:rsid w:val="0063556E"/>
    <w:rsid w:val="00635A5F"/>
    <w:rsid w:val="00641D8C"/>
    <w:rsid w:val="006428E5"/>
    <w:rsid w:val="00642EBC"/>
    <w:rsid w:val="0064734C"/>
    <w:rsid w:val="006521AA"/>
    <w:rsid w:val="006557E6"/>
    <w:rsid w:val="00657274"/>
    <w:rsid w:val="0066520F"/>
    <w:rsid w:val="00667B42"/>
    <w:rsid w:val="00676494"/>
    <w:rsid w:val="00676C5E"/>
    <w:rsid w:val="00677574"/>
    <w:rsid w:val="00677CB5"/>
    <w:rsid w:val="0068252D"/>
    <w:rsid w:val="006872B0"/>
    <w:rsid w:val="00690169"/>
    <w:rsid w:val="00690982"/>
    <w:rsid w:val="00692DD3"/>
    <w:rsid w:val="00695235"/>
    <w:rsid w:val="00695E9A"/>
    <w:rsid w:val="006A049A"/>
    <w:rsid w:val="006A2327"/>
    <w:rsid w:val="006A377F"/>
    <w:rsid w:val="006A3B38"/>
    <w:rsid w:val="006A4E87"/>
    <w:rsid w:val="006A58DD"/>
    <w:rsid w:val="006B2454"/>
    <w:rsid w:val="006B31FA"/>
    <w:rsid w:val="006B531D"/>
    <w:rsid w:val="006C14E7"/>
    <w:rsid w:val="006C28A9"/>
    <w:rsid w:val="006C294F"/>
    <w:rsid w:val="006C30AA"/>
    <w:rsid w:val="006C6877"/>
    <w:rsid w:val="006C6B27"/>
    <w:rsid w:val="006C77B5"/>
    <w:rsid w:val="006D0602"/>
    <w:rsid w:val="006D08D9"/>
    <w:rsid w:val="006D5420"/>
    <w:rsid w:val="006D5C9C"/>
    <w:rsid w:val="006E09C2"/>
    <w:rsid w:val="006E1E23"/>
    <w:rsid w:val="006F0C25"/>
    <w:rsid w:val="006F17E9"/>
    <w:rsid w:val="006F20D9"/>
    <w:rsid w:val="006F23C3"/>
    <w:rsid w:val="006F34F1"/>
    <w:rsid w:val="006F5962"/>
    <w:rsid w:val="006F59D7"/>
    <w:rsid w:val="006F5C8A"/>
    <w:rsid w:val="006F6966"/>
    <w:rsid w:val="006F6F5B"/>
    <w:rsid w:val="00700F05"/>
    <w:rsid w:val="00701B7B"/>
    <w:rsid w:val="007032FD"/>
    <w:rsid w:val="00703B01"/>
    <w:rsid w:val="0071396B"/>
    <w:rsid w:val="007161EC"/>
    <w:rsid w:val="007170A6"/>
    <w:rsid w:val="007226E9"/>
    <w:rsid w:val="00723C6B"/>
    <w:rsid w:val="007259CD"/>
    <w:rsid w:val="00726225"/>
    <w:rsid w:val="00732CBF"/>
    <w:rsid w:val="00734CEE"/>
    <w:rsid w:val="00734D13"/>
    <w:rsid w:val="00735CA8"/>
    <w:rsid w:val="007408E4"/>
    <w:rsid w:val="007408F8"/>
    <w:rsid w:val="00742778"/>
    <w:rsid w:val="007466FD"/>
    <w:rsid w:val="00750856"/>
    <w:rsid w:val="00752F6D"/>
    <w:rsid w:val="00753E66"/>
    <w:rsid w:val="00754930"/>
    <w:rsid w:val="0076218C"/>
    <w:rsid w:val="00762364"/>
    <w:rsid w:val="00762FC0"/>
    <w:rsid w:val="00764961"/>
    <w:rsid w:val="00765046"/>
    <w:rsid w:val="00767722"/>
    <w:rsid w:val="00771CA8"/>
    <w:rsid w:val="00785854"/>
    <w:rsid w:val="00786386"/>
    <w:rsid w:val="007B1F0D"/>
    <w:rsid w:val="007B2A25"/>
    <w:rsid w:val="007B429E"/>
    <w:rsid w:val="007C3C0E"/>
    <w:rsid w:val="007D0DB5"/>
    <w:rsid w:val="007D3895"/>
    <w:rsid w:val="007E006C"/>
    <w:rsid w:val="007E1C52"/>
    <w:rsid w:val="007E1FDA"/>
    <w:rsid w:val="007F0D4D"/>
    <w:rsid w:val="007F0F1E"/>
    <w:rsid w:val="007F5454"/>
    <w:rsid w:val="007F56E8"/>
    <w:rsid w:val="008075F9"/>
    <w:rsid w:val="00816DC2"/>
    <w:rsid w:val="008203E1"/>
    <w:rsid w:val="00820A4F"/>
    <w:rsid w:val="00821892"/>
    <w:rsid w:val="00821DCA"/>
    <w:rsid w:val="008232AD"/>
    <w:rsid w:val="00825672"/>
    <w:rsid w:val="0082578E"/>
    <w:rsid w:val="00826947"/>
    <w:rsid w:val="0083299D"/>
    <w:rsid w:val="008362DE"/>
    <w:rsid w:val="008366C3"/>
    <w:rsid w:val="00836833"/>
    <w:rsid w:val="00837886"/>
    <w:rsid w:val="00842BE2"/>
    <w:rsid w:val="0084385C"/>
    <w:rsid w:val="00844468"/>
    <w:rsid w:val="00850CC6"/>
    <w:rsid w:val="00852F1D"/>
    <w:rsid w:val="0085459C"/>
    <w:rsid w:val="008549FD"/>
    <w:rsid w:val="00857A26"/>
    <w:rsid w:val="00857A76"/>
    <w:rsid w:val="00862D4B"/>
    <w:rsid w:val="00866ECC"/>
    <w:rsid w:val="00871483"/>
    <w:rsid w:val="0087410A"/>
    <w:rsid w:val="0088239E"/>
    <w:rsid w:val="00883B39"/>
    <w:rsid w:val="0088460E"/>
    <w:rsid w:val="00886996"/>
    <w:rsid w:val="008869A3"/>
    <w:rsid w:val="00886F42"/>
    <w:rsid w:val="00897216"/>
    <w:rsid w:val="008A0882"/>
    <w:rsid w:val="008A3770"/>
    <w:rsid w:val="008A4353"/>
    <w:rsid w:val="008A4471"/>
    <w:rsid w:val="008A45F1"/>
    <w:rsid w:val="008A6881"/>
    <w:rsid w:val="008B3984"/>
    <w:rsid w:val="008B4825"/>
    <w:rsid w:val="008B7D77"/>
    <w:rsid w:val="008C077D"/>
    <w:rsid w:val="008C1A29"/>
    <w:rsid w:val="008C4933"/>
    <w:rsid w:val="008C6C8F"/>
    <w:rsid w:val="008C7D8D"/>
    <w:rsid w:val="008D3B84"/>
    <w:rsid w:val="008D5622"/>
    <w:rsid w:val="008E300C"/>
    <w:rsid w:val="008E32A7"/>
    <w:rsid w:val="008E7375"/>
    <w:rsid w:val="008E7396"/>
    <w:rsid w:val="008F60E3"/>
    <w:rsid w:val="00900D4A"/>
    <w:rsid w:val="00903406"/>
    <w:rsid w:val="0091089F"/>
    <w:rsid w:val="00912281"/>
    <w:rsid w:val="0091427A"/>
    <w:rsid w:val="00915981"/>
    <w:rsid w:val="00915BFE"/>
    <w:rsid w:val="00916D9D"/>
    <w:rsid w:val="009171E1"/>
    <w:rsid w:val="00922B72"/>
    <w:rsid w:val="00931E3A"/>
    <w:rsid w:val="009359AB"/>
    <w:rsid w:val="0095230A"/>
    <w:rsid w:val="00952814"/>
    <w:rsid w:val="0095294D"/>
    <w:rsid w:val="00963F61"/>
    <w:rsid w:val="00965C04"/>
    <w:rsid w:val="00967A51"/>
    <w:rsid w:val="00972001"/>
    <w:rsid w:val="009745AF"/>
    <w:rsid w:val="0097494E"/>
    <w:rsid w:val="0098278C"/>
    <w:rsid w:val="00982846"/>
    <w:rsid w:val="00983286"/>
    <w:rsid w:val="00987102"/>
    <w:rsid w:val="00992750"/>
    <w:rsid w:val="0099303E"/>
    <w:rsid w:val="00993DEB"/>
    <w:rsid w:val="0099659F"/>
    <w:rsid w:val="009976A5"/>
    <w:rsid w:val="009B009C"/>
    <w:rsid w:val="009C2535"/>
    <w:rsid w:val="009C473A"/>
    <w:rsid w:val="009C5367"/>
    <w:rsid w:val="009D51E9"/>
    <w:rsid w:val="009D5303"/>
    <w:rsid w:val="009E32A8"/>
    <w:rsid w:val="009E61BC"/>
    <w:rsid w:val="009E7335"/>
    <w:rsid w:val="009F123A"/>
    <w:rsid w:val="009F35EA"/>
    <w:rsid w:val="00A03570"/>
    <w:rsid w:val="00A0357C"/>
    <w:rsid w:val="00A03B6D"/>
    <w:rsid w:val="00A05D06"/>
    <w:rsid w:val="00A0692B"/>
    <w:rsid w:val="00A06D43"/>
    <w:rsid w:val="00A10FC4"/>
    <w:rsid w:val="00A15CC4"/>
    <w:rsid w:val="00A2132C"/>
    <w:rsid w:val="00A2153B"/>
    <w:rsid w:val="00A22359"/>
    <w:rsid w:val="00A227F1"/>
    <w:rsid w:val="00A23CEE"/>
    <w:rsid w:val="00A2581B"/>
    <w:rsid w:val="00A25C0F"/>
    <w:rsid w:val="00A3099F"/>
    <w:rsid w:val="00A31E68"/>
    <w:rsid w:val="00A37078"/>
    <w:rsid w:val="00A4165C"/>
    <w:rsid w:val="00A472B9"/>
    <w:rsid w:val="00A50CA9"/>
    <w:rsid w:val="00A542EB"/>
    <w:rsid w:val="00A54628"/>
    <w:rsid w:val="00A552FE"/>
    <w:rsid w:val="00A621A2"/>
    <w:rsid w:val="00A6430F"/>
    <w:rsid w:val="00A646D6"/>
    <w:rsid w:val="00A75499"/>
    <w:rsid w:val="00A76DDC"/>
    <w:rsid w:val="00A8274F"/>
    <w:rsid w:val="00A92064"/>
    <w:rsid w:val="00AA6BA3"/>
    <w:rsid w:val="00AA7668"/>
    <w:rsid w:val="00AB7F21"/>
    <w:rsid w:val="00AC3F6E"/>
    <w:rsid w:val="00AC4B1E"/>
    <w:rsid w:val="00AC4D87"/>
    <w:rsid w:val="00AC5415"/>
    <w:rsid w:val="00AD797B"/>
    <w:rsid w:val="00AE009B"/>
    <w:rsid w:val="00AE20A6"/>
    <w:rsid w:val="00AE2154"/>
    <w:rsid w:val="00AE21B0"/>
    <w:rsid w:val="00AE5CC9"/>
    <w:rsid w:val="00AF521B"/>
    <w:rsid w:val="00B01A4B"/>
    <w:rsid w:val="00B042FF"/>
    <w:rsid w:val="00B04A78"/>
    <w:rsid w:val="00B04F2A"/>
    <w:rsid w:val="00B0579A"/>
    <w:rsid w:val="00B064AB"/>
    <w:rsid w:val="00B07CDC"/>
    <w:rsid w:val="00B116F6"/>
    <w:rsid w:val="00B14B05"/>
    <w:rsid w:val="00B163CE"/>
    <w:rsid w:val="00B16C4B"/>
    <w:rsid w:val="00B174D7"/>
    <w:rsid w:val="00B17E50"/>
    <w:rsid w:val="00B2189F"/>
    <w:rsid w:val="00B31336"/>
    <w:rsid w:val="00B32F8F"/>
    <w:rsid w:val="00B33B13"/>
    <w:rsid w:val="00B35ECE"/>
    <w:rsid w:val="00B36041"/>
    <w:rsid w:val="00B50F4E"/>
    <w:rsid w:val="00B61756"/>
    <w:rsid w:val="00B62328"/>
    <w:rsid w:val="00B633E4"/>
    <w:rsid w:val="00B65B13"/>
    <w:rsid w:val="00B66E9F"/>
    <w:rsid w:val="00B67D70"/>
    <w:rsid w:val="00B718FD"/>
    <w:rsid w:val="00B77CA4"/>
    <w:rsid w:val="00B80B9A"/>
    <w:rsid w:val="00B87DC2"/>
    <w:rsid w:val="00B91764"/>
    <w:rsid w:val="00B936A8"/>
    <w:rsid w:val="00B949D8"/>
    <w:rsid w:val="00B96C82"/>
    <w:rsid w:val="00BA34AB"/>
    <w:rsid w:val="00BA45AA"/>
    <w:rsid w:val="00BA64CA"/>
    <w:rsid w:val="00BB7043"/>
    <w:rsid w:val="00BC1796"/>
    <w:rsid w:val="00BC2336"/>
    <w:rsid w:val="00BC384A"/>
    <w:rsid w:val="00BC4969"/>
    <w:rsid w:val="00BC4B6C"/>
    <w:rsid w:val="00BD7474"/>
    <w:rsid w:val="00BE022E"/>
    <w:rsid w:val="00BE0775"/>
    <w:rsid w:val="00BE1CD4"/>
    <w:rsid w:val="00BE32D0"/>
    <w:rsid w:val="00BE58ED"/>
    <w:rsid w:val="00BF3CC7"/>
    <w:rsid w:val="00BF4F62"/>
    <w:rsid w:val="00BF6135"/>
    <w:rsid w:val="00C00199"/>
    <w:rsid w:val="00C005A9"/>
    <w:rsid w:val="00C114DE"/>
    <w:rsid w:val="00C15113"/>
    <w:rsid w:val="00C15692"/>
    <w:rsid w:val="00C15693"/>
    <w:rsid w:val="00C21F27"/>
    <w:rsid w:val="00C24BAE"/>
    <w:rsid w:val="00C25952"/>
    <w:rsid w:val="00C328A2"/>
    <w:rsid w:val="00C3465C"/>
    <w:rsid w:val="00C34F74"/>
    <w:rsid w:val="00C406BA"/>
    <w:rsid w:val="00C47DCF"/>
    <w:rsid w:val="00C50124"/>
    <w:rsid w:val="00C52DBF"/>
    <w:rsid w:val="00C53C80"/>
    <w:rsid w:val="00C53CF0"/>
    <w:rsid w:val="00C567C2"/>
    <w:rsid w:val="00C61893"/>
    <w:rsid w:val="00C619F9"/>
    <w:rsid w:val="00C61BE7"/>
    <w:rsid w:val="00C63C44"/>
    <w:rsid w:val="00C66549"/>
    <w:rsid w:val="00C7392F"/>
    <w:rsid w:val="00C73F71"/>
    <w:rsid w:val="00C75280"/>
    <w:rsid w:val="00C75300"/>
    <w:rsid w:val="00C76ED7"/>
    <w:rsid w:val="00C823F4"/>
    <w:rsid w:val="00C8275E"/>
    <w:rsid w:val="00C82C91"/>
    <w:rsid w:val="00C85581"/>
    <w:rsid w:val="00C857BA"/>
    <w:rsid w:val="00C87E25"/>
    <w:rsid w:val="00C90792"/>
    <w:rsid w:val="00C92526"/>
    <w:rsid w:val="00CA054F"/>
    <w:rsid w:val="00CA29C1"/>
    <w:rsid w:val="00CA2A33"/>
    <w:rsid w:val="00CA37BB"/>
    <w:rsid w:val="00CA3BA1"/>
    <w:rsid w:val="00CA6EF1"/>
    <w:rsid w:val="00CB0FF4"/>
    <w:rsid w:val="00CB10D2"/>
    <w:rsid w:val="00CB17BC"/>
    <w:rsid w:val="00CB3522"/>
    <w:rsid w:val="00CB47EC"/>
    <w:rsid w:val="00CB5DDB"/>
    <w:rsid w:val="00CB676B"/>
    <w:rsid w:val="00CC3A1F"/>
    <w:rsid w:val="00CC3B3C"/>
    <w:rsid w:val="00CD0BF7"/>
    <w:rsid w:val="00CD109F"/>
    <w:rsid w:val="00CD3EB6"/>
    <w:rsid w:val="00CD51E4"/>
    <w:rsid w:val="00CE03D6"/>
    <w:rsid w:val="00CE251E"/>
    <w:rsid w:val="00CE30F0"/>
    <w:rsid w:val="00CE4A8A"/>
    <w:rsid w:val="00CE5AF9"/>
    <w:rsid w:val="00CF1EAF"/>
    <w:rsid w:val="00CF5D3F"/>
    <w:rsid w:val="00CF5EC5"/>
    <w:rsid w:val="00D00F82"/>
    <w:rsid w:val="00D01B11"/>
    <w:rsid w:val="00D0539D"/>
    <w:rsid w:val="00D054D1"/>
    <w:rsid w:val="00D05732"/>
    <w:rsid w:val="00D10ACA"/>
    <w:rsid w:val="00D148FA"/>
    <w:rsid w:val="00D20ABE"/>
    <w:rsid w:val="00D20BC0"/>
    <w:rsid w:val="00D21CFA"/>
    <w:rsid w:val="00D21FA8"/>
    <w:rsid w:val="00D22243"/>
    <w:rsid w:val="00D25B0A"/>
    <w:rsid w:val="00D30BF2"/>
    <w:rsid w:val="00D35838"/>
    <w:rsid w:val="00D3592B"/>
    <w:rsid w:val="00D365E6"/>
    <w:rsid w:val="00D37D71"/>
    <w:rsid w:val="00D40855"/>
    <w:rsid w:val="00D40928"/>
    <w:rsid w:val="00D414E0"/>
    <w:rsid w:val="00D5152D"/>
    <w:rsid w:val="00D54C00"/>
    <w:rsid w:val="00D5519F"/>
    <w:rsid w:val="00D55CE0"/>
    <w:rsid w:val="00D55E54"/>
    <w:rsid w:val="00D62A27"/>
    <w:rsid w:val="00D663D0"/>
    <w:rsid w:val="00D729F2"/>
    <w:rsid w:val="00D748D2"/>
    <w:rsid w:val="00D813EF"/>
    <w:rsid w:val="00D81A7B"/>
    <w:rsid w:val="00D82952"/>
    <w:rsid w:val="00D8379D"/>
    <w:rsid w:val="00D844B7"/>
    <w:rsid w:val="00D84AE5"/>
    <w:rsid w:val="00D8768A"/>
    <w:rsid w:val="00D9019E"/>
    <w:rsid w:val="00D92A22"/>
    <w:rsid w:val="00DA2BD1"/>
    <w:rsid w:val="00DA4616"/>
    <w:rsid w:val="00DB36FA"/>
    <w:rsid w:val="00DB79EB"/>
    <w:rsid w:val="00DC02BF"/>
    <w:rsid w:val="00DC11A0"/>
    <w:rsid w:val="00DC307C"/>
    <w:rsid w:val="00DC5ADF"/>
    <w:rsid w:val="00DD0277"/>
    <w:rsid w:val="00DD0F32"/>
    <w:rsid w:val="00DD2659"/>
    <w:rsid w:val="00DD3600"/>
    <w:rsid w:val="00DD4B2C"/>
    <w:rsid w:val="00DD635C"/>
    <w:rsid w:val="00DE09D2"/>
    <w:rsid w:val="00DE217A"/>
    <w:rsid w:val="00DE6E98"/>
    <w:rsid w:val="00DF3A47"/>
    <w:rsid w:val="00E01964"/>
    <w:rsid w:val="00E07891"/>
    <w:rsid w:val="00E07CC4"/>
    <w:rsid w:val="00E10325"/>
    <w:rsid w:val="00E10BF9"/>
    <w:rsid w:val="00E11370"/>
    <w:rsid w:val="00E11AB6"/>
    <w:rsid w:val="00E13098"/>
    <w:rsid w:val="00E1677E"/>
    <w:rsid w:val="00E20794"/>
    <w:rsid w:val="00E20841"/>
    <w:rsid w:val="00E20BA3"/>
    <w:rsid w:val="00E21841"/>
    <w:rsid w:val="00E27830"/>
    <w:rsid w:val="00E35302"/>
    <w:rsid w:val="00E43306"/>
    <w:rsid w:val="00E4565B"/>
    <w:rsid w:val="00E4796D"/>
    <w:rsid w:val="00E47AC3"/>
    <w:rsid w:val="00E47C21"/>
    <w:rsid w:val="00E5015B"/>
    <w:rsid w:val="00E54B3A"/>
    <w:rsid w:val="00E54F43"/>
    <w:rsid w:val="00E5536B"/>
    <w:rsid w:val="00E55C9D"/>
    <w:rsid w:val="00E61EFB"/>
    <w:rsid w:val="00E6307A"/>
    <w:rsid w:val="00E63E44"/>
    <w:rsid w:val="00E65AB6"/>
    <w:rsid w:val="00E70637"/>
    <w:rsid w:val="00E818EB"/>
    <w:rsid w:val="00E82C33"/>
    <w:rsid w:val="00E83580"/>
    <w:rsid w:val="00E83A7C"/>
    <w:rsid w:val="00E83AFC"/>
    <w:rsid w:val="00E96503"/>
    <w:rsid w:val="00EA05D0"/>
    <w:rsid w:val="00EA1354"/>
    <w:rsid w:val="00EA4BE7"/>
    <w:rsid w:val="00EA4C4C"/>
    <w:rsid w:val="00EA59DA"/>
    <w:rsid w:val="00EA60E2"/>
    <w:rsid w:val="00EA61EF"/>
    <w:rsid w:val="00EA6283"/>
    <w:rsid w:val="00EB2842"/>
    <w:rsid w:val="00EB7B88"/>
    <w:rsid w:val="00EC3106"/>
    <w:rsid w:val="00EC4D12"/>
    <w:rsid w:val="00EC5C29"/>
    <w:rsid w:val="00ED4643"/>
    <w:rsid w:val="00ED7FB4"/>
    <w:rsid w:val="00ED7FEC"/>
    <w:rsid w:val="00EE37C4"/>
    <w:rsid w:val="00EE661D"/>
    <w:rsid w:val="00EE682F"/>
    <w:rsid w:val="00EF0209"/>
    <w:rsid w:val="00EF1419"/>
    <w:rsid w:val="00F00A4E"/>
    <w:rsid w:val="00F05308"/>
    <w:rsid w:val="00F06928"/>
    <w:rsid w:val="00F07995"/>
    <w:rsid w:val="00F12DED"/>
    <w:rsid w:val="00F149F3"/>
    <w:rsid w:val="00F2061F"/>
    <w:rsid w:val="00F264C8"/>
    <w:rsid w:val="00F31266"/>
    <w:rsid w:val="00F41478"/>
    <w:rsid w:val="00F43D43"/>
    <w:rsid w:val="00F4764D"/>
    <w:rsid w:val="00F47DDF"/>
    <w:rsid w:val="00F50637"/>
    <w:rsid w:val="00F51211"/>
    <w:rsid w:val="00F513E2"/>
    <w:rsid w:val="00F52A9F"/>
    <w:rsid w:val="00F53511"/>
    <w:rsid w:val="00F54F77"/>
    <w:rsid w:val="00F559CA"/>
    <w:rsid w:val="00F564E8"/>
    <w:rsid w:val="00F63827"/>
    <w:rsid w:val="00F648D3"/>
    <w:rsid w:val="00F67B67"/>
    <w:rsid w:val="00F7606F"/>
    <w:rsid w:val="00F849EC"/>
    <w:rsid w:val="00F86453"/>
    <w:rsid w:val="00F87FA4"/>
    <w:rsid w:val="00F915D6"/>
    <w:rsid w:val="00F92D4A"/>
    <w:rsid w:val="00F9502B"/>
    <w:rsid w:val="00FA1219"/>
    <w:rsid w:val="00FA1863"/>
    <w:rsid w:val="00FA207A"/>
    <w:rsid w:val="00FA59F5"/>
    <w:rsid w:val="00FB5022"/>
    <w:rsid w:val="00FC0DE1"/>
    <w:rsid w:val="00FC0E3D"/>
    <w:rsid w:val="00FC1BB6"/>
    <w:rsid w:val="00FC22DA"/>
    <w:rsid w:val="00FC2A1B"/>
    <w:rsid w:val="00FC62B2"/>
    <w:rsid w:val="00FC77B1"/>
    <w:rsid w:val="00FD2284"/>
    <w:rsid w:val="00FD2E48"/>
    <w:rsid w:val="00FD4AAD"/>
    <w:rsid w:val="00FD6509"/>
    <w:rsid w:val="00FD707C"/>
    <w:rsid w:val="00FE2A2B"/>
    <w:rsid w:val="00FE372A"/>
    <w:rsid w:val="00FE43D4"/>
    <w:rsid w:val="00FE60EC"/>
    <w:rsid w:val="00FE7D89"/>
    <w:rsid w:val="00FF067A"/>
    <w:rsid w:val="00FF0F4F"/>
    <w:rsid w:val="00FF15C1"/>
    <w:rsid w:val="00FF1BBC"/>
    <w:rsid w:val="00FF2159"/>
    <w:rsid w:val="00FF3F60"/>
    <w:rsid w:val="00FF5D8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592B"/>
    <w:rPr>
      <w:rFonts w:ascii="Arial" w:hAnsi="Arial"/>
      <w:lang w:eastAsia="en-US" w:bidi="he-IL"/>
    </w:rPr>
  </w:style>
  <w:style w:type="paragraph" w:styleId="Heading1">
    <w:name w:val="heading 1"/>
    <w:basedOn w:val="ACMAHeading1"/>
    <w:next w:val="ACMABodyText"/>
    <w:link w:val="Heading1Char"/>
    <w:uiPriority w:val="99"/>
    <w:qFormat/>
    <w:rsid w:val="00367420"/>
    <w:pPr>
      <w:outlineLvl w:val="0"/>
    </w:pPr>
    <w:rPr>
      <w:rFonts w:cs="Arial"/>
      <w:bCs/>
    </w:rPr>
  </w:style>
  <w:style w:type="paragraph" w:styleId="Heading2">
    <w:name w:val="heading 2"/>
    <w:basedOn w:val="Normal"/>
    <w:next w:val="Normal"/>
    <w:link w:val="Heading2Char"/>
    <w:uiPriority w:val="99"/>
    <w:qFormat/>
    <w:rsid w:val="00C63C44"/>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uiPriority w:val="99"/>
    <w:qFormat/>
    <w:rsid w:val="00C63C44"/>
    <w:pPr>
      <w:keepNext/>
      <w:spacing w:before="240" w:after="60"/>
      <w:outlineLvl w:val="2"/>
    </w:pPr>
    <w:rPr>
      <w:rFonts w:cs="Arial"/>
      <w:b/>
      <w:bCs/>
      <w:sz w:val="24"/>
      <w:szCs w:val="24"/>
      <w:lang w:eastAsia="en-AU" w:bidi="ar-SA"/>
    </w:rPr>
  </w:style>
  <w:style w:type="paragraph" w:styleId="Heading4">
    <w:name w:val="heading 4"/>
    <w:basedOn w:val="Normal"/>
    <w:next w:val="Normal"/>
    <w:link w:val="Heading4Char"/>
    <w:uiPriority w:val="99"/>
    <w:qFormat/>
    <w:rsid w:val="009C5367"/>
    <w:pPr>
      <w:keepNext/>
      <w:spacing w:before="240" w:after="60"/>
      <w:outlineLvl w:val="3"/>
    </w:pPr>
    <w:rPr>
      <w:rFonts w:ascii="Times New Roman" w:hAnsi="Times New Roman"/>
      <w:b/>
      <w:bCs/>
      <w:sz w:val="28"/>
      <w:szCs w:val="28"/>
      <w:lang w:eastAsia="en-AU" w:bidi="ar-SA"/>
    </w:rPr>
  </w:style>
  <w:style w:type="paragraph" w:styleId="Heading5">
    <w:name w:val="heading 5"/>
    <w:basedOn w:val="Normal"/>
    <w:next w:val="Normal"/>
    <w:link w:val="Heading5Char"/>
    <w:uiPriority w:val="99"/>
    <w:qFormat/>
    <w:rsid w:val="009C5367"/>
    <w:pPr>
      <w:spacing w:before="240" w:after="60"/>
      <w:outlineLvl w:val="4"/>
    </w:pPr>
    <w:rPr>
      <w:rFonts w:ascii="Times New Roman" w:hAnsi="Times New Roman"/>
      <w:b/>
      <w:bCs/>
      <w:i/>
      <w:iCs/>
      <w:sz w:val="26"/>
      <w:szCs w:val="26"/>
      <w:lang w:eastAsia="en-AU" w:bidi="ar-SA"/>
    </w:rPr>
  </w:style>
  <w:style w:type="paragraph" w:styleId="Heading6">
    <w:name w:val="heading 6"/>
    <w:basedOn w:val="Normal"/>
    <w:next w:val="Normal"/>
    <w:link w:val="Heading6Char"/>
    <w:uiPriority w:val="99"/>
    <w:qFormat/>
    <w:rsid w:val="009C5367"/>
    <w:pPr>
      <w:spacing w:before="240" w:after="60"/>
      <w:outlineLvl w:val="5"/>
    </w:pPr>
    <w:rPr>
      <w:rFonts w:ascii="Times New Roman" w:hAnsi="Times New Roman"/>
      <w:b/>
      <w:bCs/>
      <w:sz w:val="22"/>
      <w:szCs w:val="22"/>
      <w:lang w:eastAsia="en-AU" w:bidi="ar-SA"/>
    </w:rPr>
  </w:style>
  <w:style w:type="paragraph" w:styleId="Heading7">
    <w:name w:val="heading 7"/>
    <w:basedOn w:val="Normal"/>
    <w:next w:val="Normal"/>
    <w:link w:val="Heading7Char"/>
    <w:uiPriority w:val="99"/>
    <w:qFormat/>
    <w:rsid w:val="009C5367"/>
    <w:pPr>
      <w:spacing w:before="240" w:after="60"/>
      <w:outlineLvl w:val="6"/>
    </w:pPr>
    <w:rPr>
      <w:rFonts w:ascii="Times New Roman" w:hAnsi="Times New Roman"/>
      <w:sz w:val="24"/>
      <w:szCs w:val="24"/>
      <w:lang w:eastAsia="en-AU" w:bidi="ar-SA"/>
    </w:rPr>
  </w:style>
  <w:style w:type="paragraph" w:styleId="Heading8">
    <w:name w:val="heading 8"/>
    <w:basedOn w:val="Normal"/>
    <w:next w:val="Normal"/>
    <w:link w:val="Heading8Char"/>
    <w:uiPriority w:val="99"/>
    <w:qFormat/>
    <w:rsid w:val="009C5367"/>
    <w:pPr>
      <w:spacing w:before="240" w:after="60"/>
      <w:outlineLvl w:val="7"/>
    </w:pPr>
    <w:rPr>
      <w:rFonts w:ascii="Times New Roman" w:hAnsi="Times New Roman"/>
      <w:i/>
      <w:iCs/>
      <w:sz w:val="24"/>
      <w:szCs w:val="24"/>
      <w:lang w:eastAsia="en-AU" w:bidi="ar-SA"/>
    </w:rPr>
  </w:style>
  <w:style w:type="paragraph" w:styleId="Heading9">
    <w:name w:val="heading 9"/>
    <w:basedOn w:val="Normal"/>
    <w:next w:val="Normal"/>
    <w:link w:val="Heading9Char"/>
    <w:uiPriority w:val="99"/>
    <w:qFormat/>
    <w:rsid w:val="009C5367"/>
    <w:pPr>
      <w:spacing w:before="240" w:after="60"/>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D77"/>
    <w:rPr>
      <w:rFonts w:ascii="Cambria" w:hAnsi="Cambria" w:cs="Times New Roman"/>
      <w:b/>
      <w:bCs/>
      <w:kern w:val="32"/>
      <w:sz w:val="32"/>
      <w:szCs w:val="32"/>
      <w:lang w:eastAsia="en-US" w:bidi="he-IL"/>
    </w:rPr>
  </w:style>
  <w:style w:type="character" w:customStyle="1" w:styleId="Heading2Char">
    <w:name w:val="Heading 2 Char"/>
    <w:basedOn w:val="DefaultParagraphFont"/>
    <w:link w:val="Heading2"/>
    <w:uiPriority w:val="99"/>
    <w:locked/>
    <w:rsid w:val="00224E6E"/>
    <w:rPr>
      <w:rFonts w:ascii="Arial" w:hAnsi="Arial" w:cs="Arial"/>
      <w:b/>
      <w:bCs/>
      <w:i/>
      <w:iCs/>
      <w:sz w:val="28"/>
      <w:szCs w:val="28"/>
      <w:lang w:val="en-AU" w:eastAsia="en-AU" w:bidi="ar-SA"/>
    </w:rPr>
  </w:style>
  <w:style w:type="character" w:customStyle="1" w:styleId="Heading3Char">
    <w:name w:val="Heading 3 Char"/>
    <w:basedOn w:val="DefaultParagraphFont"/>
    <w:link w:val="Heading3"/>
    <w:uiPriority w:val="99"/>
    <w:semiHidden/>
    <w:locked/>
    <w:rsid w:val="008B7D77"/>
    <w:rPr>
      <w:rFonts w:ascii="Cambria" w:hAnsi="Cambria" w:cs="Times New Roman"/>
      <w:b/>
      <w:bCs/>
      <w:sz w:val="26"/>
      <w:szCs w:val="26"/>
      <w:lang w:eastAsia="en-US" w:bidi="he-IL"/>
    </w:rPr>
  </w:style>
  <w:style w:type="character" w:customStyle="1" w:styleId="Heading4Char">
    <w:name w:val="Heading 4 Char"/>
    <w:basedOn w:val="DefaultParagraphFont"/>
    <w:link w:val="Heading4"/>
    <w:uiPriority w:val="99"/>
    <w:semiHidden/>
    <w:locked/>
    <w:rsid w:val="008B7D77"/>
    <w:rPr>
      <w:rFonts w:ascii="Calibri" w:hAnsi="Calibri" w:cs="Times New Roman"/>
      <w:b/>
      <w:bCs/>
      <w:sz w:val="28"/>
      <w:szCs w:val="28"/>
      <w:lang w:eastAsia="en-US" w:bidi="he-IL"/>
    </w:rPr>
  </w:style>
  <w:style w:type="character" w:customStyle="1" w:styleId="Heading5Char">
    <w:name w:val="Heading 5 Char"/>
    <w:basedOn w:val="DefaultParagraphFont"/>
    <w:link w:val="Heading5"/>
    <w:uiPriority w:val="99"/>
    <w:semiHidden/>
    <w:locked/>
    <w:rsid w:val="008B7D77"/>
    <w:rPr>
      <w:rFonts w:ascii="Calibri" w:hAnsi="Calibri" w:cs="Times New Roman"/>
      <w:b/>
      <w:bCs/>
      <w:i/>
      <w:iCs/>
      <w:sz w:val="26"/>
      <w:szCs w:val="26"/>
      <w:lang w:eastAsia="en-US" w:bidi="he-IL"/>
    </w:rPr>
  </w:style>
  <w:style w:type="character" w:customStyle="1" w:styleId="Heading6Char">
    <w:name w:val="Heading 6 Char"/>
    <w:basedOn w:val="DefaultParagraphFont"/>
    <w:link w:val="Heading6"/>
    <w:uiPriority w:val="99"/>
    <w:semiHidden/>
    <w:locked/>
    <w:rsid w:val="008B7D77"/>
    <w:rPr>
      <w:rFonts w:ascii="Calibri" w:hAnsi="Calibri" w:cs="Times New Roman"/>
      <w:b/>
      <w:bCs/>
      <w:lang w:eastAsia="en-US" w:bidi="he-IL"/>
    </w:rPr>
  </w:style>
  <w:style w:type="character" w:customStyle="1" w:styleId="Heading7Char">
    <w:name w:val="Heading 7 Char"/>
    <w:basedOn w:val="DefaultParagraphFont"/>
    <w:link w:val="Heading7"/>
    <w:uiPriority w:val="99"/>
    <w:semiHidden/>
    <w:locked/>
    <w:rsid w:val="008B7D77"/>
    <w:rPr>
      <w:rFonts w:ascii="Calibri" w:hAnsi="Calibri" w:cs="Times New Roman"/>
      <w:sz w:val="24"/>
      <w:szCs w:val="24"/>
      <w:lang w:eastAsia="en-US" w:bidi="he-IL"/>
    </w:rPr>
  </w:style>
  <w:style w:type="character" w:customStyle="1" w:styleId="Heading8Char">
    <w:name w:val="Heading 8 Char"/>
    <w:basedOn w:val="DefaultParagraphFont"/>
    <w:link w:val="Heading8"/>
    <w:uiPriority w:val="99"/>
    <w:semiHidden/>
    <w:locked/>
    <w:rsid w:val="008B7D77"/>
    <w:rPr>
      <w:rFonts w:ascii="Calibri" w:hAnsi="Calibri" w:cs="Times New Roman"/>
      <w:i/>
      <w:iCs/>
      <w:sz w:val="24"/>
      <w:szCs w:val="24"/>
      <w:lang w:eastAsia="en-US" w:bidi="he-IL"/>
    </w:rPr>
  </w:style>
  <w:style w:type="character" w:customStyle="1" w:styleId="Heading9Char">
    <w:name w:val="Heading 9 Char"/>
    <w:basedOn w:val="DefaultParagraphFont"/>
    <w:link w:val="Heading9"/>
    <w:uiPriority w:val="99"/>
    <w:semiHidden/>
    <w:locked/>
    <w:rsid w:val="008B7D77"/>
    <w:rPr>
      <w:rFonts w:ascii="Cambria" w:hAnsi="Cambria" w:cs="Times New Roman"/>
      <w:lang w:eastAsia="en-US" w:bidi="he-IL"/>
    </w:rPr>
  </w:style>
  <w:style w:type="paragraph" w:customStyle="1" w:styleId="ACMABodyText">
    <w:name w:val="ACMA Body Text"/>
    <w:link w:val="ACMABodyTextChar1"/>
    <w:uiPriority w:val="99"/>
    <w:rsid w:val="00367420"/>
    <w:pPr>
      <w:suppressAutoHyphens/>
      <w:spacing w:before="80" w:after="120" w:line="280" w:lineRule="atLeast"/>
    </w:pPr>
    <w:rPr>
      <w:sz w:val="24"/>
      <w:lang w:eastAsia="en-US"/>
    </w:rPr>
  </w:style>
  <w:style w:type="paragraph" w:customStyle="1" w:styleId="ACMAHeading1">
    <w:name w:val="ACMA Heading 1"/>
    <w:next w:val="ACMABodyText"/>
    <w:uiPriority w:val="99"/>
    <w:rsid w:val="00246151"/>
    <w:pPr>
      <w:keepNext/>
      <w:suppressAutoHyphens/>
      <w:spacing w:before="320"/>
      <w:outlineLvl w:val="1"/>
    </w:pPr>
    <w:rPr>
      <w:rFonts w:ascii="Arial" w:hAnsi="Arial"/>
      <w:b/>
      <w:sz w:val="32"/>
      <w:szCs w:val="32"/>
      <w:lang w:val="en-US" w:eastAsia="en-US"/>
    </w:rPr>
  </w:style>
  <w:style w:type="paragraph" w:customStyle="1" w:styleId="ACMABulletLevel1">
    <w:name w:val="ACMA Bullet Level 1"/>
    <w:uiPriority w:val="99"/>
    <w:rsid w:val="00246151"/>
    <w:pPr>
      <w:numPr>
        <w:numId w:val="37"/>
      </w:numPr>
      <w:spacing w:after="120"/>
    </w:pPr>
    <w:rPr>
      <w:sz w:val="24"/>
      <w:lang w:eastAsia="en-US"/>
    </w:rPr>
  </w:style>
  <w:style w:type="paragraph" w:customStyle="1" w:styleId="ACMABulletLevel2">
    <w:name w:val="ACMA Bullet Level 2"/>
    <w:uiPriority w:val="99"/>
    <w:rsid w:val="00246151"/>
    <w:pPr>
      <w:numPr>
        <w:numId w:val="38"/>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uiPriority w:val="99"/>
    <w:rsid w:val="00246151"/>
    <w:pPr>
      <w:keepNext/>
      <w:suppressAutoHyphens/>
      <w:spacing w:before="2160" w:after="480"/>
      <w:outlineLvl w:val="0"/>
    </w:pPr>
    <w:rPr>
      <w:sz w:val="56"/>
      <w:szCs w:val="56"/>
      <w:lang w:eastAsia="en-US"/>
    </w:rPr>
  </w:style>
  <w:style w:type="paragraph" w:customStyle="1" w:styleId="ACMAConclusion">
    <w:name w:val="ACMA Conclusion"/>
    <w:uiPriority w:val="99"/>
    <w:rsid w:val="00367420"/>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uiPriority w:val="99"/>
    <w:rsid w:val="00246151"/>
    <w:pPr>
      <w:spacing w:before="2160" w:after="480"/>
    </w:pPr>
    <w:rPr>
      <w:sz w:val="56"/>
      <w:szCs w:val="56"/>
      <w:lang w:val="en-US" w:eastAsia="en-US"/>
    </w:rPr>
  </w:style>
  <w:style w:type="paragraph" w:customStyle="1" w:styleId="ACMAFooterEven">
    <w:name w:val="ACMA Footer (Even)"/>
    <w:uiPriority w:val="99"/>
    <w:rsid w:val="00246151"/>
    <w:pPr>
      <w:pBdr>
        <w:top w:val="single" w:sz="2" w:space="4" w:color="auto"/>
      </w:pBdr>
      <w:tabs>
        <w:tab w:val="right" w:pos="8959"/>
      </w:tabs>
    </w:pPr>
    <w:rPr>
      <w:lang w:eastAsia="en-US"/>
    </w:rPr>
  </w:style>
  <w:style w:type="paragraph" w:customStyle="1" w:styleId="ACMAFooterOdd">
    <w:name w:val="ACMA Footer (Odd)"/>
    <w:uiPriority w:val="99"/>
    <w:rsid w:val="00246151"/>
    <w:pPr>
      <w:pBdr>
        <w:top w:val="single" w:sz="2" w:space="4" w:color="auto"/>
      </w:pBdr>
      <w:tabs>
        <w:tab w:val="right" w:pos="8959"/>
      </w:tabs>
    </w:pPr>
    <w:rPr>
      <w:lang w:eastAsia="en-US"/>
    </w:rPr>
  </w:style>
  <w:style w:type="paragraph" w:customStyle="1" w:styleId="ACMAFootnote">
    <w:name w:val="ACMA Footnote"/>
    <w:uiPriority w:val="99"/>
    <w:rsid w:val="00367420"/>
    <w:pPr>
      <w:ind w:left="144" w:hanging="144"/>
    </w:pPr>
    <w:rPr>
      <w:sz w:val="16"/>
      <w:lang w:eastAsia="en-US"/>
    </w:rPr>
  </w:style>
  <w:style w:type="paragraph" w:customStyle="1" w:styleId="ACMAHeaderEven">
    <w:name w:val="ACMA Header (Even)"/>
    <w:uiPriority w:val="99"/>
    <w:rsid w:val="00246151"/>
    <w:rPr>
      <w:i/>
      <w:lang w:val="en-US" w:eastAsia="en-US"/>
    </w:rPr>
  </w:style>
  <w:style w:type="paragraph" w:customStyle="1" w:styleId="ACMAHeaderOdd">
    <w:name w:val="ACMA Header (Odd)"/>
    <w:uiPriority w:val="99"/>
    <w:rsid w:val="00246151"/>
    <w:pPr>
      <w:jc w:val="right"/>
    </w:pPr>
    <w:rPr>
      <w:i/>
      <w:lang w:val="en-US" w:eastAsia="en-US"/>
    </w:rPr>
  </w:style>
  <w:style w:type="paragraph" w:customStyle="1" w:styleId="ACMAHeading2">
    <w:name w:val="ACMA Heading 2"/>
    <w:next w:val="ACMABodyText"/>
    <w:uiPriority w:val="99"/>
    <w:rsid w:val="00246151"/>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uiPriority w:val="99"/>
    <w:rsid w:val="00246151"/>
    <w:pPr>
      <w:keepNext/>
      <w:suppressAutoHyphens/>
      <w:spacing w:before="240"/>
      <w:outlineLvl w:val="3"/>
    </w:pPr>
    <w:rPr>
      <w:rFonts w:ascii="Arial" w:hAnsi="Arial"/>
      <w:b/>
      <w:sz w:val="24"/>
      <w:lang w:val="en-US" w:eastAsia="en-US"/>
    </w:rPr>
  </w:style>
  <w:style w:type="paragraph" w:customStyle="1" w:styleId="ACMAHeading4">
    <w:name w:val="ACMA Heading 4"/>
    <w:next w:val="ACMABodyText"/>
    <w:uiPriority w:val="99"/>
    <w:rsid w:val="00246151"/>
    <w:pPr>
      <w:keepNext/>
      <w:suppressAutoHyphens/>
      <w:spacing w:before="80"/>
      <w:outlineLvl w:val="4"/>
    </w:pPr>
    <w:rPr>
      <w:rFonts w:ascii="Arial" w:hAnsi="Arial"/>
      <w:b/>
      <w:i/>
      <w:lang w:eastAsia="en-US"/>
    </w:rPr>
  </w:style>
  <w:style w:type="paragraph" w:customStyle="1" w:styleId="ACMAletteredlist">
    <w:name w:val="ACMA lettered list"/>
    <w:uiPriority w:val="99"/>
    <w:rsid w:val="00367420"/>
    <w:pPr>
      <w:numPr>
        <w:numId w:val="35"/>
      </w:numPr>
      <w:tabs>
        <w:tab w:val="clear" w:pos="360"/>
      </w:tabs>
      <w:spacing w:before="20" w:after="20"/>
    </w:pPr>
    <w:rPr>
      <w:sz w:val="24"/>
      <w:lang w:eastAsia="en-US"/>
    </w:rPr>
  </w:style>
  <w:style w:type="paragraph" w:customStyle="1" w:styleId="ACMANumberedList">
    <w:name w:val="ACMA Numbered List"/>
    <w:uiPriority w:val="99"/>
    <w:rsid w:val="00367420"/>
    <w:pPr>
      <w:numPr>
        <w:numId w:val="36"/>
      </w:numPr>
      <w:spacing w:before="20" w:after="20"/>
    </w:pPr>
    <w:rPr>
      <w:sz w:val="24"/>
      <w:lang w:eastAsia="en-US"/>
    </w:rPr>
  </w:style>
  <w:style w:type="paragraph" w:customStyle="1" w:styleId="ACMAQuote">
    <w:name w:val="ACMA Quote"/>
    <w:uiPriority w:val="99"/>
    <w:rsid w:val="00367420"/>
    <w:pPr>
      <w:spacing w:line="240" w:lineRule="atLeast"/>
      <w:ind w:left="562" w:right="562"/>
    </w:pPr>
    <w:rPr>
      <w:sz w:val="22"/>
      <w:lang w:eastAsia="en-US"/>
    </w:rPr>
  </w:style>
  <w:style w:type="paragraph" w:customStyle="1" w:styleId="ACMAReportDate">
    <w:name w:val="ACMA Report Date"/>
    <w:uiPriority w:val="99"/>
    <w:rsid w:val="00246151"/>
    <w:rPr>
      <w:lang w:eastAsia="en-US"/>
    </w:rPr>
  </w:style>
  <w:style w:type="paragraph" w:customStyle="1" w:styleId="ACMAReportImprint">
    <w:name w:val="ACMA Report Imprint"/>
    <w:uiPriority w:val="99"/>
    <w:rsid w:val="00246151"/>
    <w:pPr>
      <w:spacing w:after="80"/>
    </w:pPr>
    <w:rPr>
      <w:rFonts w:cs="Arial"/>
      <w:lang w:eastAsia="en-US"/>
    </w:rPr>
  </w:style>
  <w:style w:type="paragraph" w:customStyle="1" w:styleId="ACMAReportSubtitle">
    <w:name w:val="ACMA Report Subtitle"/>
    <w:uiPriority w:val="99"/>
    <w:rsid w:val="00246151"/>
    <w:pPr>
      <w:spacing w:before="1440"/>
    </w:pPr>
    <w:rPr>
      <w:sz w:val="36"/>
      <w:lang w:eastAsia="en-US"/>
    </w:rPr>
  </w:style>
  <w:style w:type="paragraph" w:customStyle="1" w:styleId="ACMAReportTitle">
    <w:name w:val="ACMA Report Title"/>
    <w:uiPriority w:val="99"/>
    <w:rsid w:val="00246151"/>
    <w:pPr>
      <w:spacing w:before="1980"/>
    </w:pPr>
    <w:rPr>
      <w:sz w:val="80"/>
      <w:lang w:eastAsia="en-US"/>
    </w:rPr>
  </w:style>
  <w:style w:type="paragraph" w:customStyle="1" w:styleId="ACMATableBullet">
    <w:name w:val="ACMA Table Bullet"/>
    <w:uiPriority w:val="99"/>
    <w:rsid w:val="00246151"/>
    <w:pPr>
      <w:numPr>
        <w:numId w:val="39"/>
      </w:numPr>
      <w:tabs>
        <w:tab w:val="clear" w:pos="720"/>
        <w:tab w:val="num" w:pos="1008"/>
      </w:tabs>
      <w:spacing w:before="40" w:after="40"/>
      <w:ind w:left="1008"/>
    </w:pPr>
    <w:rPr>
      <w:rFonts w:ascii="Arial" w:hAnsi="Arial"/>
      <w:lang w:eastAsia="en-US"/>
    </w:rPr>
  </w:style>
  <w:style w:type="paragraph" w:customStyle="1" w:styleId="ACMATableCaption">
    <w:name w:val="ACMA Table Caption"/>
    <w:uiPriority w:val="99"/>
    <w:rsid w:val="00367420"/>
    <w:pPr>
      <w:spacing w:after="120"/>
    </w:pPr>
    <w:rPr>
      <w:rFonts w:ascii="Arial" w:hAnsi="Arial"/>
      <w:lang w:eastAsia="en-US"/>
    </w:rPr>
  </w:style>
  <w:style w:type="paragraph" w:customStyle="1" w:styleId="ACMATableHeading">
    <w:name w:val="ACMA Table Heading"/>
    <w:uiPriority w:val="99"/>
    <w:rsid w:val="00367420"/>
    <w:pPr>
      <w:spacing w:before="40" w:after="40"/>
    </w:pPr>
    <w:rPr>
      <w:rFonts w:ascii="Arial" w:hAnsi="Arial"/>
      <w:b/>
      <w:lang w:eastAsia="en-US"/>
    </w:rPr>
  </w:style>
  <w:style w:type="paragraph" w:customStyle="1" w:styleId="ACMATableNumber">
    <w:name w:val="ACMA Table Number"/>
    <w:uiPriority w:val="99"/>
    <w:rsid w:val="00367420"/>
    <w:pPr>
      <w:spacing w:before="160"/>
    </w:pPr>
    <w:rPr>
      <w:rFonts w:ascii="Arial" w:hAnsi="Arial"/>
      <w:b/>
      <w:lang w:eastAsia="en-US"/>
    </w:rPr>
  </w:style>
  <w:style w:type="paragraph" w:customStyle="1" w:styleId="ACMATableText">
    <w:name w:val="ACMA Table Text"/>
    <w:uiPriority w:val="99"/>
    <w:rsid w:val="00367420"/>
    <w:pPr>
      <w:spacing w:before="40" w:after="40"/>
    </w:pPr>
    <w:rPr>
      <w:rFonts w:ascii="Arial" w:hAnsi="Arial"/>
      <w:lang w:eastAsia="en-US"/>
    </w:rPr>
  </w:style>
  <w:style w:type="paragraph" w:customStyle="1" w:styleId="LegislationLvl1">
    <w:name w:val="Legislation Lvl 1"/>
    <w:uiPriority w:val="99"/>
    <w:rsid w:val="00367420"/>
    <w:pPr>
      <w:tabs>
        <w:tab w:val="num" w:pos="851"/>
      </w:tabs>
      <w:ind w:left="850" w:hanging="493"/>
    </w:pPr>
    <w:rPr>
      <w:bCs/>
      <w:sz w:val="22"/>
      <w:lang w:eastAsia="en-US"/>
    </w:rPr>
  </w:style>
  <w:style w:type="paragraph" w:customStyle="1" w:styleId="LegislationLvl2">
    <w:name w:val="Legislation Lvl 2"/>
    <w:uiPriority w:val="99"/>
    <w:rsid w:val="00367420"/>
    <w:pPr>
      <w:tabs>
        <w:tab w:val="num" w:pos="1418"/>
      </w:tabs>
      <w:ind w:left="1418" w:hanging="567"/>
    </w:pPr>
    <w:rPr>
      <w:sz w:val="22"/>
      <w:lang w:eastAsia="en-US"/>
    </w:rPr>
  </w:style>
  <w:style w:type="paragraph" w:customStyle="1" w:styleId="LegislationLvl3">
    <w:name w:val="Legislation Lvl 3"/>
    <w:uiPriority w:val="99"/>
    <w:rsid w:val="00367420"/>
    <w:pPr>
      <w:tabs>
        <w:tab w:val="num" w:pos="1985"/>
      </w:tabs>
      <w:ind w:left="1985" w:hanging="567"/>
    </w:pPr>
    <w:rPr>
      <w:sz w:val="22"/>
      <w:lang w:eastAsia="en-US"/>
    </w:rPr>
  </w:style>
  <w:style w:type="paragraph" w:customStyle="1" w:styleId="LegislationLvl4">
    <w:name w:val="Legislation Lvl 4"/>
    <w:uiPriority w:val="99"/>
    <w:rsid w:val="00367420"/>
    <w:pPr>
      <w:tabs>
        <w:tab w:val="num" w:pos="2694"/>
      </w:tabs>
      <w:ind w:left="2694" w:hanging="426"/>
    </w:pPr>
    <w:rPr>
      <w:sz w:val="22"/>
      <w:lang w:eastAsia="en-US"/>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2"/>
    <w:uiPriority w:val="99"/>
    <w:rsid w:val="00367420"/>
    <w:pPr>
      <w:tabs>
        <w:tab w:val="left" w:pos="284"/>
      </w:tabs>
      <w:ind w:left="288" w:hanging="288"/>
    </w:pPr>
    <w:rPr>
      <w:rFonts w:ascii="Times New Roman" w:hAnsi="Times New Roman"/>
      <w:lang w:bidi="ar-SA"/>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locked/>
    <w:rsid w:val="008B7D77"/>
    <w:rPr>
      <w:rFonts w:ascii="Arial" w:hAnsi="Arial" w:cs="Times New Roman"/>
      <w:sz w:val="20"/>
      <w:szCs w:val="20"/>
      <w:lang w:eastAsia="en-US" w:bidi="he-IL"/>
    </w:rPr>
  </w:style>
  <w:style w:type="paragraph" w:customStyle="1" w:styleId="Pre-NumberedLegisLvl1">
    <w:name w:val="Pre-Numbered Legis Lvl 1"/>
    <w:uiPriority w:val="99"/>
    <w:rsid w:val="00367420"/>
    <w:pPr>
      <w:ind w:left="850" w:hanging="493"/>
    </w:pPr>
    <w:rPr>
      <w:sz w:val="22"/>
      <w:lang w:eastAsia="en-US"/>
    </w:rPr>
  </w:style>
  <w:style w:type="paragraph" w:customStyle="1" w:styleId="Pre-NumberedLegisLvl2">
    <w:name w:val="Pre-Numbered Legis Lvl 2"/>
    <w:uiPriority w:val="99"/>
    <w:rsid w:val="00367420"/>
    <w:pPr>
      <w:ind w:left="1367" w:hanging="516"/>
    </w:pPr>
    <w:rPr>
      <w:sz w:val="22"/>
      <w:lang w:eastAsia="en-US"/>
    </w:rPr>
  </w:style>
  <w:style w:type="paragraph" w:customStyle="1" w:styleId="Pre-NumberedLegisLvl3">
    <w:name w:val="Pre-Numbered Legis Lvl 3"/>
    <w:uiPriority w:val="99"/>
    <w:rsid w:val="00367420"/>
    <w:pPr>
      <w:ind w:left="1985" w:hanging="567"/>
    </w:pPr>
    <w:rPr>
      <w:sz w:val="22"/>
      <w:lang w:eastAsia="en-US"/>
    </w:rPr>
  </w:style>
  <w:style w:type="paragraph" w:customStyle="1" w:styleId="Pre-NumberedLegisLvl4">
    <w:name w:val="Pre-Numbered Legis Lvl 4"/>
    <w:uiPriority w:val="99"/>
    <w:rsid w:val="00367420"/>
    <w:pPr>
      <w:ind w:left="2721" w:hanging="680"/>
    </w:pPr>
    <w:rPr>
      <w:sz w:val="22"/>
      <w:lang w:eastAsia="en-US"/>
    </w:rPr>
  </w:style>
  <w:style w:type="paragraph" w:styleId="TOC1">
    <w:name w:val="toc 1"/>
    <w:aliases w:val="ACMA 1"/>
    <w:basedOn w:val="Normal"/>
    <w:uiPriority w:val="99"/>
    <w:rsid w:val="00246151"/>
    <w:pPr>
      <w:spacing w:before="360"/>
    </w:pPr>
    <w:rPr>
      <w:b/>
      <w:bCs/>
      <w:caps/>
      <w:szCs w:val="28"/>
      <w:lang w:bidi="ar-SA"/>
    </w:rPr>
  </w:style>
  <w:style w:type="paragraph" w:styleId="TOC2">
    <w:name w:val="toc 2"/>
    <w:aliases w:val="ACMA 2"/>
    <w:basedOn w:val="Normal"/>
    <w:uiPriority w:val="99"/>
    <w:rsid w:val="00246151"/>
    <w:pPr>
      <w:spacing w:before="240"/>
    </w:pPr>
    <w:rPr>
      <w:rFonts w:ascii="Times New Roman" w:hAnsi="Times New Roman"/>
      <w:bCs/>
      <w:sz w:val="22"/>
      <w:szCs w:val="24"/>
      <w:lang w:bidi="ar-SA"/>
    </w:rPr>
  </w:style>
  <w:style w:type="paragraph" w:styleId="TOC3">
    <w:name w:val="toc 3"/>
    <w:aliases w:val="ACMA 3"/>
    <w:basedOn w:val="Normal"/>
    <w:uiPriority w:val="99"/>
    <w:rsid w:val="00246151"/>
    <w:pPr>
      <w:ind w:left="198"/>
    </w:pPr>
    <w:rPr>
      <w:rFonts w:ascii="Times New Roman" w:hAnsi="Times New Roman"/>
      <w:sz w:val="22"/>
      <w:szCs w:val="24"/>
      <w:lang w:bidi="ar-SA"/>
    </w:rPr>
  </w:style>
  <w:style w:type="character" w:styleId="Hyperlink">
    <w:name w:val="Hyperlink"/>
    <w:basedOn w:val="DefaultParagraphFont"/>
    <w:uiPriority w:val="99"/>
    <w:rsid w:val="00367420"/>
    <w:rPr>
      <w:rFonts w:cs="Times New Roman"/>
      <w:color w:val="0000FF"/>
      <w:u w:val="single"/>
    </w:rPr>
  </w:style>
  <w:style w:type="table" w:styleId="TableGrid">
    <w:name w:val="Table Grid"/>
    <w:basedOn w:val="TableNormal"/>
    <w:uiPriority w:val="99"/>
    <w:rsid w:val="00246151"/>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uiPriority w:val="99"/>
    <w:rsid w:val="00246151"/>
    <w:pPr>
      <w:spacing w:before="480" w:after="420"/>
    </w:pPr>
  </w:style>
  <w:style w:type="paragraph" w:styleId="Footer">
    <w:name w:val="footer"/>
    <w:basedOn w:val="Normal"/>
    <w:link w:val="FooterChar"/>
    <w:uiPriority w:val="99"/>
    <w:rsid w:val="00246151"/>
    <w:pPr>
      <w:tabs>
        <w:tab w:val="center" w:pos="4320"/>
        <w:tab w:val="right" w:pos="8640"/>
      </w:tabs>
    </w:pPr>
  </w:style>
  <w:style w:type="character" w:customStyle="1" w:styleId="FooterChar">
    <w:name w:val="Footer Char"/>
    <w:basedOn w:val="DefaultParagraphFont"/>
    <w:link w:val="Footer"/>
    <w:uiPriority w:val="99"/>
    <w:locked/>
    <w:rsid w:val="008B7D77"/>
    <w:rPr>
      <w:rFonts w:ascii="Arial" w:hAnsi="Arial" w:cs="Times New Roman"/>
      <w:sz w:val="20"/>
      <w:szCs w:val="20"/>
      <w:lang w:eastAsia="en-US" w:bidi="he-IL"/>
    </w:rPr>
  </w:style>
  <w:style w:type="character" w:styleId="PageNumber">
    <w:name w:val="page number"/>
    <w:basedOn w:val="DefaultParagraphFont"/>
    <w:uiPriority w:val="99"/>
    <w:rsid w:val="00246151"/>
    <w:rPr>
      <w:rFonts w:ascii="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246151"/>
    <w:rPr>
      <w:rFonts w:cs="Times New Roman"/>
      <w:vertAlign w:val="superscript"/>
    </w:rPr>
  </w:style>
  <w:style w:type="paragraph" w:styleId="Header">
    <w:name w:val="header"/>
    <w:basedOn w:val="Normal"/>
    <w:link w:val="HeaderChar"/>
    <w:uiPriority w:val="99"/>
    <w:rsid w:val="000E3AD3"/>
    <w:pPr>
      <w:tabs>
        <w:tab w:val="center" w:pos="4153"/>
        <w:tab w:val="right" w:pos="8306"/>
      </w:tabs>
    </w:pPr>
  </w:style>
  <w:style w:type="character" w:customStyle="1" w:styleId="HeaderChar">
    <w:name w:val="Header Char"/>
    <w:basedOn w:val="DefaultParagraphFont"/>
    <w:link w:val="Header"/>
    <w:uiPriority w:val="99"/>
    <w:semiHidden/>
    <w:locked/>
    <w:rsid w:val="008B7D77"/>
    <w:rPr>
      <w:rFonts w:ascii="Arial" w:hAnsi="Arial" w:cs="Times New Roman"/>
      <w:sz w:val="20"/>
      <w:szCs w:val="20"/>
      <w:lang w:eastAsia="en-US" w:bidi="he-IL"/>
    </w:rPr>
  </w:style>
  <w:style w:type="paragraph" w:styleId="BalloonText">
    <w:name w:val="Balloon Text"/>
    <w:basedOn w:val="Normal"/>
    <w:link w:val="BalloonTextChar"/>
    <w:uiPriority w:val="99"/>
    <w:semiHidden/>
    <w:rsid w:val="00DD26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7D77"/>
    <w:rPr>
      <w:rFonts w:cs="Times New Roman"/>
      <w:sz w:val="2"/>
      <w:lang w:eastAsia="en-US" w:bidi="he-IL"/>
    </w:rPr>
  </w:style>
  <w:style w:type="character" w:styleId="CommentReference">
    <w:name w:val="annotation reference"/>
    <w:basedOn w:val="DefaultParagraphFont"/>
    <w:uiPriority w:val="99"/>
    <w:semiHidden/>
    <w:rsid w:val="00DC02BF"/>
    <w:rPr>
      <w:rFonts w:cs="Times New Roman"/>
      <w:sz w:val="16"/>
      <w:szCs w:val="16"/>
    </w:rPr>
  </w:style>
  <w:style w:type="paragraph" w:styleId="CommentText">
    <w:name w:val="annotation text"/>
    <w:basedOn w:val="Normal"/>
    <w:link w:val="CommentTextChar"/>
    <w:uiPriority w:val="99"/>
    <w:semiHidden/>
    <w:rsid w:val="00DC02BF"/>
  </w:style>
  <w:style w:type="character" w:customStyle="1" w:styleId="CommentTextChar">
    <w:name w:val="Comment Text Char"/>
    <w:basedOn w:val="DefaultParagraphFont"/>
    <w:link w:val="CommentText"/>
    <w:uiPriority w:val="99"/>
    <w:semiHidden/>
    <w:locked/>
    <w:rsid w:val="007161EC"/>
    <w:rPr>
      <w:rFonts w:ascii="Arial" w:hAnsi="Arial" w:cs="Times New Roman"/>
      <w:lang w:eastAsia="en-US" w:bidi="he-IL"/>
    </w:rPr>
  </w:style>
  <w:style w:type="paragraph" w:styleId="CommentSubject">
    <w:name w:val="annotation subject"/>
    <w:basedOn w:val="CommentText"/>
    <w:next w:val="CommentText"/>
    <w:link w:val="CommentSubjectChar"/>
    <w:uiPriority w:val="99"/>
    <w:semiHidden/>
    <w:rsid w:val="00DC02BF"/>
    <w:rPr>
      <w:b/>
      <w:bCs/>
    </w:rPr>
  </w:style>
  <w:style w:type="character" w:customStyle="1" w:styleId="CommentSubjectChar">
    <w:name w:val="Comment Subject Char"/>
    <w:basedOn w:val="CommentTextChar"/>
    <w:link w:val="CommentSubject"/>
    <w:uiPriority w:val="99"/>
    <w:semiHidden/>
    <w:locked/>
    <w:rsid w:val="008B7D77"/>
    <w:rPr>
      <w:b/>
      <w:bCs/>
      <w:sz w:val="20"/>
      <w:szCs w:val="20"/>
    </w:rPr>
  </w:style>
  <w:style w:type="character" w:customStyle="1" w:styleId="CharSectno">
    <w:name w:val="CharSectno"/>
    <w:basedOn w:val="DefaultParagraphFont"/>
    <w:uiPriority w:val="99"/>
    <w:rsid w:val="00C63C44"/>
    <w:rPr>
      <w:rFonts w:cs="Times New Roman"/>
    </w:rPr>
  </w:style>
  <w:style w:type="paragraph" w:customStyle="1" w:styleId="Dotpoints">
    <w:name w:val="Dot points"/>
    <w:basedOn w:val="Normal"/>
    <w:uiPriority w:val="99"/>
    <w:rsid w:val="00C63C44"/>
    <w:pPr>
      <w:numPr>
        <w:numId w:val="40"/>
      </w:numPr>
    </w:pPr>
    <w:rPr>
      <w:rFonts w:ascii="Times New Roman" w:hAnsi="Times New Roman"/>
      <w:sz w:val="24"/>
      <w:szCs w:val="24"/>
      <w:lang w:eastAsia="en-AU" w:bidi="ar-SA"/>
    </w:rPr>
  </w:style>
  <w:style w:type="character" w:customStyle="1" w:styleId="BodyText-Italics">
    <w:name w:val="Body Text - Italics"/>
    <w:basedOn w:val="DefaultParagraphFont"/>
    <w:uiPriority w:val="99"/>
    <w:rsid w:val="00E47AC3"/>
    <w:rPr>
      <w:rFonts w:cs="Times New Roman"/>
      <w:i/>
    </w:rPr>
  </w:style>
  <w:style w:type="paragraph" w:customStyle="1" w:styleId="List-Bullet1">
    <w:name w:val="List - Bullet 1"/>
    <w:basedOn w:val="BodyText"/>
    <w:uiPriority w:val="99"/>
    <w:rsid w:val="00E47AC3"/>
    <w:pPr>
      <w:numPr>
        <w:numId w:val="41"/>
      </w:numPr>
    </w:pPr>
    <w:rPr>
      <w:sz w:val="22"/>
      <w:szCs w:val="22"/>
      <w:lang w:bidi="ar-SA"/>
    </w:rPr>
  </w:style>
  <w:style w:type="paragraph" w:customStyle="1" w:styleId="List-Bullet2">
    <w:name w:val="List - Bullet 2"/>
    <w:basedOn w:val="BodyText"/>
    <w:uiPriority w:val="99"/>
    <w:rsid w:val="00E47AC3"/>
    <w:pPr>
      <w:numPr>
        <w:ilvl w:val="1"/>
        <w:numId w:val="41"/>
      </w:numPr>
    </w:pPr>
    <w:rPr>
      <w:sz w:val="22"/>
      <w:szCs w:val="22"/>
      <w:lang w:bidi="ar-SA"/>
    </w:rPr>
  </w:style>
  <w:style w:type="paragraph" w:customStyle="1" w:styleId="List-Bullet3">
    <w:name w:val="List - Bullet 3"/>
    <w:basedOn w:val="BodyText"/>
    <w:uiPriority w:val="99"/>
    <w:rsid w:val="00E47AC3"/>
    <w:pPr>
      <w:numPr>
        <w:ilvl w:val="2"/>
        <w:numId w:val="41"/>
      </w:numPr>
    </w:pPr>
    <w:rPr>
      <w:sz w:val="22"/>
      <w:szCs w:val="22"/>
      <w:lang w:bidi="ar-SA"/>
    </w:rPr>
  </w:style>
  <w:style w:type="paragraph" w:styleId="BodyText">
    <w:name w:val="Body Text"/>
    <w:basedOn w:val="Normal"/>
    <w:link w:val="BodyTextChar"/>
    <w:uiPriority w:val="99"/>
    <w:rsid w:val="00E47AC3"/>
    <w:pPr>
      <w:spacing w:after="120"/>
    </w:pPr>
  </w:style>
  <w:style w:type="character" w:customStyle="1" w:styleId="BodyTextChar">
    <w:name w:val="Body Text Char"/>
    <w:basedOn w:val="DefaultParagraphFont"/>
    <w:link w:val="BodyText"/>
    <w:uiPriority w:val="99"/>
    <w:semiHidden/>
    <w:locked/>
    <w:rsid w:val="008B7D77"/>
    <w:rPr>
      <w:rFonts w:ascii="Arial" w:hAnsi="Arial" w:cs="Times New Roman"/>
      <w:sz w:val="20"/>
      <w:szCs w:val="20"/>
      <w:lang w:eastAsia="en-US" w:bidi="he-IL"/>
    </w:rPr>
  </w:style>
  <w:style w:type="character" w:customStyle="1" w:styleId="ACMABodyTextChar1">
    <w:name w:val="ACMA Body Text Char1"/>
    <w:basedOn w:val="DefaultParagraphFont"/>
    <w:link w:val="ACMABodyText"/>
    <w:uiPriority w:val="99"/>
    <w:locked/>
    <w:rsid w:val="00086FE0"/>
    <w:rPr>
      <w:sz w:val="24"/>
      <w:lang w:val="en-AU" w:eastAsia="en-US" w:bidi="ar-SA"/>
    </w:rPr>
  </w:style>
  <w:style w:type="paragraph" w:customStyle="1" w:styleId="HeaderBoldEven">
    <w:name w:val="HeaderBoldEven"/>
    <w:basedOn w:val="Normal"/>
    <w:uiPriority w:val="99"/>
    <w:rsid w:val="009C5367"/>
    <w:pPr>
      <w:spacing w:before="120" w:after="60"/>
    </w:pPr>
    <w:rPr>
      <w:b/>
      <w:szCs w:val="24"/>
      <w:lang w:eastAsia="en-AU" w:bidi="ar-SA"/>
    </w:rPr>
  </w:style>
  <w:style w:type="paragraph" w:customStyle="1" w:styleId="HeaderBoldOdd">
    <w:name w:val="HeaderBoldOdd"/>
    <w:basedOn w:val="Normal"/>
    <w:uiPriority w:val="99"/>
    <w:rsid w:val="009C5367"/>
    <w:pPr>
      <w:spacing w:before="120" w:after="60"/>
      <w:jc w:val="right"/>
    </w:pPr>
    <w:rPr>
      <w:b/>
      <w:szCs w:val="24"/>
      <w:lang w:eastAsia="en-AU" w:bidi="ar-SA"/>
    </w:rPr>
  </w:style>
  <w:style w:type="paragraph" w:customStyle="1" w:styleId="HeaderLiteEven">
    <w:name w:val="HeaderLiteEven"/>
    <w:basedOn w:val="Normal"/>
    <w:uiPriority w:val="99"/>
    <w:rsid w:val="009C5367"/>
    <w:pPr>
      <w:tabs>
        <w:tab w:val="center" w:pos="3969"/>
        <w:tab w:val="right" w:pos="8505"/>
      </w:tabs>
      <w:spacing w:before="60"/>
    </w:pPr>
    <w:rPr>
      <w:sz w:val="18"/>
      <w:szCs w:val="24"/>
      <w:lang w:eastAsia="en-AU" w:bidi="ar-SA"/>
    </w:rPr>
  </w:style>
  <w:style w:type="paragraph" w:customStyle="1" w:styleId="HeaderContentsPage">
    <w:name w:val="HeaderContents&quot;Page&quot;"/>
    <w:basedOn w:val="Normal"/>
    <w:uiPriority w:val="99"/>
    <w:rsid w:val="009C5367"/>
    <w:pPr>
      <w:spacing w:before="120" w:after="120"/>
      <w:jc w:val="right"/>
    </w:pPr>
    <w:rPr>
      <w:szCs w:val="24"/>
      <w:lang w:eastAsia="en-AU" w:bidi="ar-SA"/>
    </w:rPr>
  </w:style>
  <w:style w:type="paragraph" w:customStyle="1" w:styleId="HeaderLiteOdd">
    <w:name w:val="HeaderLiteOdd"/>
    <w:basedOn w:val="Normal"/>
    <w:uiPriority w:val="99"/>
    <w:rsid w:val="009C5367"/>
    <w:pPr>
      <w:tabs>
        <w:tab w:val="center" w:pos="3969"/>
        <w:tab w:val="right" w:pos="8505"/>
      </w:tabs>
      <w:spacing w:before="60"/>
      <w:jc w:val="right"/>
    </w:pPr>
    <w:rPr>
      <w:sz w:val="18"/>
      <w:szCs w:val="24"/>
      <w:lang w:eastAsia="en-AU" w:bidi="ar-SA"/>
    </w:rPr>
  </w:style>
  <w:style w:type="paragraph" w:customStyle="1" w:styleId="FooterDraft">
    <w:name w:val="FooterDraft"/>
    <w:basedOn w:val="Normal"/>
    <w:uiPriority w:val="99"/>
    <w:rsid w:val="009C5367"/>
    <w:pPr>
      <w:jc w:val="center"/>
    </w:pPr>
    <w:rPr>
      <w:b/>
      <w:sz w:val="40"/>
      <w:szCs w:val="24"/>
      <w:lang w:eastAsia="en-AU" w:bidi="ar-SA"/>
    </w:rPr>
  </w:style>
  <w:style w:type="paragraph" w:customStyle="1" w:styleId="FooterInfo">
    <w:name w:val="FooterInfo"/>
    <w:basedOn w:val="Normal"/>
    <w:uiPriority w:val="99"/>
    <w:rsid w:val="009C5367"/>
    <w:rPr>
      <w:sz w:val="12"/>
      <w:szCs w:val="24"/>
      <w:lang w:eastAsia="en-AU" w:bidi="ar-SA"/>
    </w:rPr>
  </w:style>
  <w:style w:type="paragraph" w:styleId="BlockText">
    <w:name w:val="Block Text"/>
    <w:basedOn w:val="Normal"/>
    <w:uiPriority w:val="99"/>
    <w:rsid w:val="009C5367"/>
    <w:pPr>
      <w:spacing w:after="120"/>
      <w:ind w:left="1440" w:right="1440"/>
    </w:pPr>
    <w:rPr>
      <w:rFonts w:ascii="Times New Roman" w:hAnsi="Times New Roman"/>
      <w:sz w:val="24"/>
      <w:szCs w:val="24"/>
      <w:lang w:eastAsia="en-AU" w:bidi="ar-SA"/>
    </w:rPr>
  </w:style>
  <w:style w:type="paragraph" w:styleId="BodyText2">
    <w:name w:val="Body Text 2"/>
    <w:basedOn w:val="Normal"/>
    <w:link w:val="BodyText2Char"/>
    <w:uiPriority w:val="99"/>
    <w:rsid w:val="009C5367"/>
    <w:pPr>
      <w:spacing w:after="120" w:line="480" w:lineRule="auto"/>
    </w:pPr>
    <w:rPr>
      <w:rFonts w:ascii="Times New Roman" w:hAnsi="Times New Roman"/>
      <w:sz w:val="24"/>
      <w:szCs w:val="24"/>
      <w:lang w:eastAsia="en-AU" w:bidi="ar-SA"/>
    </w:rPr>
  </w:style>
  <w:style w:type="character" w:customStyle="1" w:styleId="BodyText2Char">
    <w:name w:val="Body Text 2 Char"/>
    <w:basedOn w:val="DefaultParagraphFont"/>
    <w:link w:val="BodyText2"/>
    <w:uiPriority w:val="99"/>
    <w:semiHidden/>
    <w:locked/>
    <w:rsid w:val="008B7D77"/>
    <w:rPr>
      <w:rFonts w:ascii="Arial" w:hAnsi="Arial" w:cs="Times New Roman"/>
      <w:sz w:val="20"/>
      <w:szCs w:val="20"/>
      <w:lang w:eastAsia="en-US" w:bidi="he-IL"/>
    </w:rPr>
  </w:style>
  <w:style w:type="paragraph" w:styleId="BodyText3">
    <w:name w:val="Body Text 3"/>
    <w:basedOn w:val="Normal"/>
    <w:link w:val="BodyText3Char"/>
    <w:uiPriority w:val="99"/>
    <w:rsid w:val="009C5367"/>
    <w:pPr>
      <w:spacing w:after="120"/>
    </w:pPr>
    <w:rPr>
      <w:rFonts w:ascii="Times New Roman" w:hAnsi="Times New Roman"/>
      <w:sz w:val="16"/>
      <w:szCs w:val="16"/>
      <w:lang w:eastAsia="en-AU" w:bidi="ar-SA"/>
    </w:rPr>
  </w:style>
  <w:style w:type="character" w:customStyle="1" w:styleId="BodyText3Char">
    <w:name w:val="Body Text 3 Char"/>
    <w:basedOn w:val="DefaultParagraphFont"/>
    <w:link w:val="BodyText3"/>
    <w:uiPriority w:val="99"/>
    <w:semiHidden/>
    <w:locked/>
    <w:rsid w:val="008B7D77"/>
    <w:rPr>
      <w:rFonts w:ascii="Arial" w:hAnsi="Arial" w:cs="Times New Roman"/>
      <w:sz w:val="16"/>
      <w:szCs w:val="16"/>
      <w:lang w:eastAsia="en-US" w:bidi="he-IL"/>
    </w:rPr>
  </w:style>
  <w:style w:type="paragraph" w:styleId="BodyTextFirstIndent">
    <w:name w:val="Body Text First Indent"/>
    <w:basedOn w:val="BodyText"/>
    <w:link w:val="BodyTextFirstIndentChar"/>
    <w:uiPriority w:val="99"/>
    <w:rsid w:val="009C5367"/>
    <w:pPr>
      <w:ind w:firstLine="210"/>
    </w:pPr>
    <w:rPr>
      <w:rFonts w:ascii="Times New Roman" w:hAnsi="Times New Roman"/>
      <w:sz w:val="24"/>
      <w:szCs w:val="24"/>
      <w:lang w:eastAsia="en-AU" w:bidi="ar-SA"/>
    </w:rPr>
  </w:style>
  <w:style w:type="character" w:customStyle="1" w:styleId="BodyTextFirstIndentChar">
    <w:name w:val="Body Text First Indent Char"/>
    <w:basedOn w:val="BodyTextChar"/>
    <w:link w:val="BodyTextFirstIndent"/>
    <w:uiPriority w:val="99"/>
    <w:semiHidden/>
    <w:locked/>
    <w:rsid w:val="008B7D77"/>
  </w:style>
  <w:style w:type="paragraph" w:styleId="BodyTextIndent">
    <w:name w:val="Body Text Indent"/>
    <w:basedOn w:val="Normal"/>
    <w:link w:val="BodyTextIndentChar"/>
    <w:uiPriority w:val="99"/>
    <w:rsid w:val="009C5367"/>
    <w:pPr>
      <w:spacing w:after="120"/>
      <w:ind w:left="283"/>
    </w:pPr>
    <w:rPr>
      <w:rFonts w:ascii="Times New Roman" w:hAnsi="Times New Roman"/>
      <w:sz w:val="24"/>
      <w:szCs w:val="24"/>
      <w:lang w:eastAsia="en-AU" w:bidi="ar-SA"/>
    </w:rPr>
  </w:style>
  <w:style w:type="character" w:customStyle="1" w:styleId="BodyTextIndentChar">
    <w:name w:val="Body Text Indent Char"/>
    <w:basedOn w:val="DefaultParagraphFont"/>
    <w:link w:val="BodyTextIndent"/>
    <w:uiPriority w:val="99"/>
    <w:semiHidden/>
    <w:locked/>
    <w:rsid w:val="008B7D77"/>
    <w:rPr>
      <w:rFonts w:ascii="Arial" w:hAnsi="Arial" w:cs="Times New Roman"/>
      <w:sz w:val="20"/>
      <w:szCs w:val="20"/>
      <w:lang w:eastAsia="en-US" w:bidi="he-IL"/>
    </w:rPr>
  </w:style>
  <w:style w:type="paragraph" w:styleId="BodyTextFirstIndent2">
    <w:name w:val="Body Text First Indent 2"/>
    <w:basedOn w:val="BodyTextIndent"/>
    <w:link w:val="BodyTextFirstIndent2Char"/>
    <w:uiPriority w:val="99"/>
    <w:rsid w:val="009C5367"/>
    <w:pPr>
      <w:ind w:firstLine="210"/>
    </w:pPr>
  </w:style>
  <w:style w:type="character" w:customStyle="1" w:styleId="BodyTextFirstIndent2Char">
    <w:name w:val="Body Text First Indent 2 Char"/>
    <w:basedOn w:val="BodyTextIndentChar"/>
    <w:link w:val="BodyTextFirstIndent2"/>
    <w:uiPriority w:val="99"/>
    <w:semiHidden/>
    <w:locked/>
    <w:rsid w:val="008B7D77"/>
  </w:style>
  <w:style w:type="paragraph" w:styleId="BodyTextIndent2">
    <w:name w:val="Body Text Indent 2"/>
    <w:basedOn w:val="Normal"/>
    <w:link w:val="BodyTextIndent2Char"/>
    <w:uiPriority w:val="99"/>
    <w:rsid w:val="009C5367"/>
    <w:pPr>
      <w:spacing w:after="120" w:line="480" w:lineRule="auto"/>
      <w:ind w:left="283"/>
    </w:pPr>
    <w:rPr>
      <w:rFonts w:ascii="Times New Roman" w:hAnsi="Times New Roman"/>
      <w:sz w:val="24"/>
      <w:szCs w:val="24"/>
      <w:lang w:eastAsia="en-AU" w:bidi="ar-SA"/>
    </w:rPr>
  </w:style>
  <w:style w:type="character" w:customStyle="1" w:styleId="BodyTextIndent2Char">
    <w:name w:val="Body Text Indent 2 Char"/>
    <w:basedOn w:val="DefaultParagraphFont"/>
    <w:link w:val="BodyTextIndent2"/>
    <w:uiPriority w:val="99"/>
    <w:semiHidden/>
    <w:locked/>
    <w:rsid w:val="008B7D77"/>
    <w:rPr>
      <w:rFonts w:ascii="Arial" w:hAnsi="Arial" w:cs="Times New Roman"/>
      <w:sz w:val="20"/>
      <w:szCs w:val="20"/>
      <w:lang w:eastAsia="en-US" w:bidi="he-IL"/>
    </w:rPr>
  </w:style>
  <w:style w:type="paragraph" w:styleId="BodyTextIndent3">
    <w:name w:val="Body Text Indent 3"/>
    <w:basedOn w:val="Normal"/>
    <w:link w:val="BodyTextIndent3Char"/>
    <w:uiPriority w:val="99"/>
    <w:rsid w:val="009C5367"/>
    <w:pPr>
      <w:spacing w:after="120"/>
      <w:ind w:left="283"/>
    </w:pPr>
    <w:rPr>
      <w:rFonts w:ascii="Times New Roman" w:hAnsi="Times New Roman"/>
      <w:sz w:val="16"/>
      <w:szCs w:val="16"/>
      <w:lang w:eastAsia="en-AU" w:bidi="ar-SA"/>
    </w:rPr>
  </w:style>
  <w:style w:type="character" w:customStyle="1" w:styleId="BodyTextIndent3Char">
    <w:name w:val="Body Text Indent 3 Char"/>
    <w:basedOn w:val="DefaultParagraphFont"/>
    <w:link w:val="BodyTextIndent3"/>
    <w:uiPriority w:val="99"/>
    <w:semiHidden/>
    <w:locked/>
    <w:rsid w:val="008B7D77"/>
    <w:rPr>
      <w:rFonts w:ascii="Arial" w:hAnsi="Arial" w:cs="Times New Roman"/>
      <w:sz w:val="16"/>
      <w:szCs w:val="16"/>
      <w:lang w:eastAsia="en-US" w:bidi="he-IL"/>
    </w:rPr>
  </w:style>
  <w:style w:type="paragraph" w:styleId="Closing">
    <w:name w:val="Closing"/>
    <w:basedOn w:val="Normal"/>
    <w:link w:val="ClosingChar"/>
    <w:uiPriority w:val="99"/>
    <w:rsid w:val="009C5367"/>
    <w:pPr>
      <w:ind w:left="4252"/>
    </w:pPr>
    <w:rPr>
      <w:rFonts w:ascii="Times New Roman" w:hAnsi="Times New Roman"/>
      <w:sz w:val="24"/>
      <w:szCs w:val="24"/>
      <w:lang w:eastAsia="en-AU" w:bidi="ar-SA"/>
    </w:rPr>
  </w:style>
  <w:style w:type="character" w:customStyle="1" w:styleId="ClosingChar">
    <w:name w:val="Closing Char"/>
    <w:basedOn w:val="DefaultParagraphFont"/>
    <w:link w:val="Closing"/>
    <w:uiPriority w:val="99"/>
    <w:semiHidden/>
    <w:locked/>
    <w:rsid w:val="008B7D77"/>
    <w:rPr>
      <w:rFonts w:ascii="Arial" w:hAnsi="Arial" w:cs="Times New Roman"/>
      <w:sz w:val="20"/>
      <w:szCs w:val="20"/>
      <w:lang w:eastAsia="en-US" w:bidi="he-IL"/>
    </w:rPr>
  </w:style>
  <w:style w:type="paragraph" w:styleId="Date">
    <w:name w:val="Date"/>
    <w:basedOn w:val="Normal"/>
    <w:next w:val="Normal"/>
    <w:link w:val="DateChar"/>
    <w:uiPriority w:val="99"/>
    <w:rsid w:val="009C5367"/>
    <w:rPr>
      <w:rFonts w:ascii="Times New Roman" w:hAnsi="Times New Roman"/>
      <w:sz w:val="24"/>
      <w:szCs w:val="24"/>
      <w:lang w:eastAsia="en-AU" w:bidi="ar-SA"/>
    </w:rPr>
  </w:style>
  <w:style w:type="character" w:customStyle="1" w:styleId="DateChar">
    <w:name w:val="Date Char"/>
    <w:basedOn w:val="DefaultParagraphFont"/>
    <w:link w:val="Date"/>
    <w:uiPriority w:val="99"/>
    <w:semiHidden/>
    <w:locked/>
    <w:rsid w:val="008B7D77"/>
    <w:rPr>
      <w:rFonts w:ascii="Arial" w:hAnsi="Arial" w:cs="Times New Roman"/>
      <w:sz w:val="20"/>
      <w:szCs w:val="20"/>
      <w:lang w:eastAsia="en-US" w:bidi="he-IL"/>
    </w:rPr>
  </w:style>
  <w:style w:type="paragraph" w:styleId="E-mailSignature">
    <w:name w:val="E-mail Signature"/>
    <w:basedOn w:val="Normal"/>
    <w:link w:val="E-mailSignatureChar"/>
    <w:uiPriority w:val="99"/>
    <w:rsid w:val="009C5367"/>
    <w:rPr>
      <w:rFonts w:ascii="Times New Roman" w:hAnsi="Times New Roman"/>
      <w:sz w:val="24"/>
      <w:szCs w:val="24"/>
      <w:lang w:eastAsia="en-AU" w:bidi="ar-SA"/>
    </w:rPr>
  </w:style>
  <w:style w:type="character" w:customStyle="1" w:styleId="E-mailSignatureChar">
    <w:name w:val="E-mail Signature Char"/>
    <w:basedOn w:val="DefaultParagraphFont"/>
    <w:link w:val="E-mailSignature"/>
    <w:uiPriority w:val="99"/>
    <w:semiHidden/>
    <w:locked/>
    <w:rsid w:val="008B7D77"/>
    <w:rPr>
      <w:rFonts w:ascii="Arial" w:hAnsi="Arial" w:cs="Times New Roman"/>
      <w:sz w:val="20"/>
      <w:szCs w:val="20"/>
      <w:lang w:eastAsia="en-US" w:bidi="he-IL"/>
    </w:rPr>
  </w:style>
  <w:style w:type="character" w:styleId="Emphasis">
    <w:name w:val="Emphasis"/>
    <w:basedOn w:val="DefaultParagraphFont"/>
    <w:uiPriority w:val="99"/>
    <w:qFormat/>
    <w:rsid w:val="009C5367"/>
    <w:rPr>
      <w:rFonts w:cs="Times New Roman"/>
      <w:i/>
      <w:iCs/>
    </w:rPr>
  </w:style>
  <w:style w:type="paragraph" w:styleId="EnvelopeAddress">
    <w:name w:val="envelope address"/>
    <w:basedOn w:val="Normal"/>
    <w:uiPriority w:val="99"/>
    <w:rsid w:val="009C5367"/>
    <w:pPr>
      <w:framePr w:w="7920" w:h="1980" w:hRule="exact" w:hSpace="180" w:wrap="auto" w:hAnchor="page" w:xAlign="center" w:yAlign="bottom"/>
      <w:ind w:left="2880"/>
    </w:pPr>
    <w:rPr>
      <w:rFonts w:cs="Arial"/>
      <w:sz w:val="24"/>
      <w:szCs w:val="24"/>
      <w:lang w:eastAsia="en-AU" w:bidi="ar-SA"/>
    </w:rPr>
  </w:style>
  <w:style w:type="paragraph" w:styleId="EnvelopeReturn">
    <w:name w:val="envelope return"/>
    <w:basedOn w:val="Normal"/>
    <w:uiPriority w:val="99"/>
    <w:rsid w:val="009C5367"/>
    <w:rPr>
      <w:rFonts w:cs="Arial"/>
      <w:lang w:eastAsia="en-AU" w:bidi="ar-SA"/>
    </w:rPr>
  </w:style>
  <w:style w:type="character" w:styleId="FollowedHyperlink">
    <w:name w:val="FollowedHyperlink"/>
    <w:basedOn w:val="DefaultParagraphFont"/>
    <w:uiPriority w:val="99"/>
    <w:rsid w:val="009C5367"/>
    <w:rPr>
      <w:rFonts w:cs="Times New Roman"/>
      <w:color w:val="800080"/>
      <w:u w:val="single"/>
    </w:rPr>
  </w:style>
  <w:style w:type="character" w:styleId="HTMLAcronym">
    <w:name w:val="HTML Acronym"/>
    <w:basedOn w:val="DefaultParagraphFont"/>
    <w:uiPriority w:val="99"/>
    <w:rsid w:val="009C5367"/>
    <w:rPr>
      <w:rFonts w:cs="Times New Roman"/>
    </w:rPr>
  </w:style>
  <w:style w:type="paragraph" w:styleId="HTMLAddress">
    <w:name w:val="HTML Address"/>
    <w:basedOn w:val="Normal"/>
    <w:link w:val="HTMLAddressChar"/>
    <w:uiPriority w:val="99"/>
    <w:rsid w:val="009C5367"/>
    <w:rPr>
      <w:rFonts w:ascii="Times New Roman" w:hAnsi="Times New Roman"/>
      <w:i/>
      <w:iCs/>
      <w:sz w:val="24"/>
      <w:szCs w:val="24"/>
      <w:lang w:eastAsia="en-AU" w:bidi="ar-SA"/>
    </w:rPr>
  </w:style>
  <w:style w:type="character" w:customStyle="1" w:styleId="HTMLAddressChar">
    <w:name w:val="HTML Address Char"/>
    <w:basedOn w:val="DefaultParagraphFont"/>
    <w:link w:val="HTMLAddress"/>
    <w:uiPriority w:val="99"/>
    <w:semiHidden/>
    <w:locked/>
    <w:rsid w:val="008B7D77"/>
    <w:rPr>
      <w:rFonts w:ascii="Arial" w:hAnsi="Arial" w:cs="Times New Roman"/>
      <w:i/>
      <w:iCs/>
      <w:sz w:val="20"/>
      <w:szCs w:val="20"/>
      <w:lang w:eastAsia="en-US" w:bidi="he-IL"/>
    </w:rPr>
  </w:style>
  <w:style w:type="character" w:styleId="HTMLCite">
    <w:name w:val="HTML Cite"/>
    <w:basedOn w:val="DefaultParagraphFont"/>
    <w:uiPriority w:val="99"/>
    <w:rsid w:val="009C5367"/>
    <w:rPr>
      <w:rFonts w:cs="Times New Roman"/>
      <w:i/>
      <w:iCs/>
    </w:rPr>
  </w:style>
  <w:style w:type="character" w:styleId="HTMLCode">
    <w:name w:val="HTML Code"/>
    <w:basedOn w:val="DefaultParagraphFont"/>
    <w:uiPriority w:val="99"/>
    <w:rsid w:val="009C5367"/>
    <w:rPr>
      <w:rFonts w:ascii="Courier New" w:hAnsi="Courier New" w:cs="Courier New"/>
      <w:sz w:val="20"/>
      <w:szCs w:val="20"/>
    </w:rPr>
  </w:style>
  <w:style w:type="character" w:styleId="HTMLDefinition">
    <w:name w:val="HTML Definition"/>
    <w:basedOn w:val="DefaultParagraphFont"/>
    <w:uiPriority w:val="99"/>
    <w:rsid w:val="009C5367"/>
    <w:rPr>
      <w:rFonts w:cs="Times New Roman"/>
      <w:i/>
      <w:iCs/>
    </w:rPr>
  </w:style>
  <w:style w:type="character" w:styleId="HTMLKeyboard">
    <w:name w:val="HTML Keyboard"/>
    <w:basedOn w:val="DefaultParagraphFont"/>
    <w:uiPriority w:val="99"/>
    <w:rsid w:val="009C5367"/>
    <w:rPr>
      <w:rFonts w:ascii="Courier New" w:hAnsi="Courier New" w:cs="Courier New"/>
      <w:sz w:val="20"/>
      <w:szCs w:val="20"/>
    </w:rPr>
  </w:style>
  <w:style w:type="paragraph" w:styleId="HTMLPreformatted">
    <w:name w:val="HTML Preformatted"/>
    <w:basedOn w:val="Normal"/>
    <w:link w:val="HTMLPreformattedChar"/>
    <w:uiPriority w:val="99"/>
    <w:rsid w:val="009C5367"/>
    <w:rPr>
      <w:rFonts w:ascii="Courier New" w:hAnsi="Courier New" w:cs="Courier New"/>
      <w:lang w:eastAsia="en-AU" w:bidi="ar-SA"/>
    </w:rPr>
  </w:style>
  <w:style w:type="character" w:customStyle="1" w:styleId="HTMLPreformattedChar">
    <w:name w:val="HTML Preformatted Char"/>
    <w:basedOn w:val="DefaultParagraphFont"/>
    <w:link w:val="HTMLPreformatted"/>
    <w:uiPriority w:val="99"/>
    <w:semiHidden/>
    <w:locked/>
    <w:rsid w:val="008B7D77"/>
    <w:rPr>
      <w:rFonts w:ascii="Courier New" w:hAnsi="Courier New" w:cs="Courier New"/>
      <w:sz w:val="20"/>
      <w:szCs w:val="20"/>
      <w:lang w:eastAsia="en-US" w:bidi="he-IL"/>
    </w:rPr>
  </w:style>
  <w:style w:type="character" w:styleId="HTMLSample">
    <w:name w:val="HTML Sample"/>
    <w:basedOn w:val="DefaultParagraphFont"/>
    <w:uiPriority w:val="99"/>
    <w:rsid w:val="009C5367"/>
    <w:rPr>
      <w:rFonts w:ascii="Courier New" w:hAnsi="Courier New" w:cs="Courier New"/>
    </w:rPr>
  </w:style>
  <w:style w:type="character" w:styleId="HTMLTypewriter">
    <w:name w:val="HTML Typewriter"/>
    <w:basedOn w:val="DefaultParagraphFont"/>
    <w:uiPriority w:val="99"/>
    <w:rsid w:val="009C5367"/>
    <w:rPr>
      <w:rFonts w:ascii="Courier New" w:hAnsi="Courier New" w:cs="Courier New"/>
      <w:sz w:val="20"/>
      <w:szCs w:val="20"/>
    </w:rPr>
  </w:style>
  <w:style w:type="character" w:styleId="HTMLVariable">
    <w:name w:val="HTML Variable"/>
    <w:basedOn w:val="DefaultParagraphFont"/>
    <w:uiPriority w:val="99"/>
    <w:rsid w:val="009C5367"/>
    <w:rPr>
      <w:rFonts w:cs="Times New Roman"/>
      <w:i/>
      <w:iCs/>
    </w:rPr>
  </w:style>
  <w:style w:type="character" w:styleId="LineNumber">
    <w:name w:val="line number"/>
    <w:basedOn w:val="DefaultParagraphFont"/>
    <w:uiPriority w:val="99"/>
    <w:rsid w:val="009C5367"/>
    <w:rPr>
      <w:rFonts w:cs="Times New Roman"/>
    </w:rPr>
  </w:style>
  <w:style w:type="paragraph" w:styleId="List">
    <w:name w:val="List"/>
    <w:basedOn w:val="Normal"/>
    <w:uiPriority w:val="99"/>
    <w:rsid w:val="009C5367"/>
    <w:pPr>
      <w:ind w:left="283" w:hanging="283"/>
    </w:pPr>
    <w:rPr>
      <w:rFonts w:ascii="Times New Roman" w:hAnsi="Times New Roman"/>
      <w:sz w:val="24"/>
      <w:szCs w:val="24"/>
      <w:lang w:eastAsia="en-AU" w:bidi="ar-SA"/>
    </w:rPr>
  </w:style>
  <w:style w:type="paragraph" w:styleId="List2">
    <w:name w:val="List 2"/>
    <w:basedOn w:val="Normal"/>
    <w:uiPriority w:val="99"/>
    <w:rsid w:val="009C5367"/>
    <w:pPr>
      <w:ind w:left="566" w:hanging="283"/>
    </w:pPr>
    <w:rPr>
      <w:rFonts w:ascii="Times New Roman" w:hAnsi="Times New Roman"/>
      <w:sz w:val="24"/>
      <w:szCs w:val="24"/>
      <w:lang w:eastAsia="en-AU" w:bidi="ar-SA"/>
    </w:rPr>
  </w:style>
  <w:style w:type="paragraph" w:styleId="List3">
    <w:name w:val="List 3"/>
    <w:basedOn w:val="Normal"/>
    <w:uiPriority w:val="99"/>
    <w:rsid w:val="009C5367"/>
    <w:pPr>
      <w:ind w:left="849" w:hanging="283"/>
    </w:pPr>
    <w:rPr>
      <w:rFonts w:ascii="Times New Roman" w:hAnsi="Times New Roman"/>
      <w:sz w:val="24"/>
      <w:szCs w:val="24"/>
      <w:lang w:eastAsia="en-AU" w:bidi="ar-SA"/>
    </w:rPr>
  </w:style>
  <w:style w:type="paragraph" w:styleId="List4">
    <w:name w:val="List 4"/>
    <w:basedOn w:val="Normal"/>
    <w:uiPriority w:val="99"/>
    <w:rsid w:val="009C5367"/>
    <w:pPr>
      <w:ind w:left="1132" w:hanging="283"/>
    </w:pPr>
    <w:rPr>
      <w:rFonts w:ascii="Times New Roman" w:hAnsi="Times New Roman"/>
      <w:sz w:val="24"/>
      <w:szCs w:val="24"/>
      <w:lang w:eastAsia="en-AU" w:bidi="ar-SA"/>
    </w:rPr>
  </w:style>
  <w:style w:type="paragraph" w:styleId="List5">
    <w:name w:val="List 5"/>
    <w:basedOn w:val="Normal"/>
    <w:uiPriority w:val="99"/>
    <w:rsid w:val="009C5367"/>
    <w:pPr>
      <w:ind w:left="1415" w:hanging="283"/>
    </w:pPr>
    <w:rPr>
      <w:rFonts w:ascii="Times New Roman" w:hAnsi="Times New Roman"/>
      <w:sz w:val="24"/>
      <w:szCs w:val="24"/>
      <w:lang w:eastAsia="en-AU" w:bidi="ar-SA"/>
    </w:rPr>
  </w:style>
  <w:style w:type="paragraph" w:styleId="ListBullet">
    <w:name w:val="List Bullet"/>
    <w:basedOn w:val="Normal"/>
    <w:autoRedefine/>
    <w:uiPriority w:val="99"/>
    <w:rsid w:val="009C5367"/>
    <w:pPr>
      <w:tabs>
        <w:tab w:val="num" w:pos="360"/>
      </w:tabs>
      <w:ind w:left="360" w:hanging="360"/>
    </w:pPr>
    <w:rPr>
      <w:rFonts w:ascii="Times New Roman" w:hAnsi="Times New Roman"/>
      <w:sz w:val="24"/>
      <w:szCs w:val="24"/>
      <w:lang w:eastAsia="en-AU" w:bidi="ar-SA"/>
    </w:rPr>
  </w:style>
  <w:style w:type="paragraph" w:styleId="ListBullet2">
    <w:name w:val="List Bullet 2"/>
    <w:basedOn w:val="Normal"/>
    <w:autoRedefine/>
    <w:uiPriority w:val="99"/>
    <w:rsid w:val="009C5367"/>
    <w:pPr>
      <w:tabs>
        <w:tab w:val="num" w:pos="643"/>
      </w:tabs>
      <w:ind w:left="643" w:hanging="360"/>
    </w:pPr>
    <w:rPr>
      <w:rFonts w:ascii="Times New Roman" w:hAnsi="Times New Roman"/>
      <w:sz w:val="24"/>
      <w:szCs w:val="24"/>
      <w:lang w:eastAsia="en-AU" w:bidi="ar-SA"/>
    </w:rPr>
  </w:style>
  <w:style w:type="paragraph" w:styleId="ListBullet3">
    <w:name w:val="List Bullet 3"/>
    <w:basedOn w:val="Normal"/>
    <w:autoRedefine/>
    <w:uiPriority w:val="99"/>
    <w:rsid w:val="009C5367"/>
    <w:pPr>
      <w:tabs>
        <w:tab w:val="num" w:pos="926"/>
      </w:tabs>
      <w:ind w:left="926" w:hanging="360"/>
    </w:pPr>
    <w:rPr>
      <w:rFonts w:ascii="Times New Roman" w:hAnsi="Times New Roman"/>
      <w:sz w:val="24"/>
      <w:szCs w:val="24"/>
      <w:lang w:eastAsia="en-AU" w:bidi="ar-SA"/>
    </w:rPr>
  </w:style>
  <w:style w:type="paragraph" w:styleId="ListBullet4">
    <w:name w:val="List Bullet 4"/>
    <w:basedOn w:val="Normal"/>
    <w:autoRedefine/>
    <w:uiPriority w:val="99"/>
    <w:rsid w:val="009C5367"/>
    <w:pPr>
      <w:tabs>
        <w:tab w:val="num" w:pos="1209"/>
      </w:tabs>
      <w:ind w:left="1209" w:hanging="360"/>
    </w:pPr>
    <w:rPr>
      <w:rFonts w:ascii="Times New Roman" w:hAnsi="Times New Roman"/>
      <w:sz w:val="24"/>
      <w:szCs w:val="24"/>
      <w:lang w:eastAsia="en-AU" w:bidi="ar-SA"/>
    </w:rPr>
  </w:style>
  <w:style w:type="paragraph" w:styleId="ListBullet5">
    <w:name w:val="List Bullet 5"/>
    <w:basedOn w:val="Normal"/>
    <w:autoRedefine/>
    <w:uiPriority w:val="99"/>
    <w:rsid w:val="009C5367"/>
    <w:pPr>
      <w:tabs>
        <w:tab w:val="num" w:pos="1492"/>
      </w:tabs>
      <w:ind w:left="1492" w:hanging="360"/>
    </w:pPr>
    <w:rPr>
      <w:rFonts w:ascii="Times New Roman" w:hAnsi="Times New Roman"/>
      <w:sz w:val="24"/>
      <w:szCs w:val="24"/>
      <w:lang w:eastAsia="en-AU" w:bidi="ar-SA"/>
    </w:rPr>
  </w:style>
  <w:style w:type="paragraph" w:styleId="ListContinue">
    <w:name w:val="List Continue"/>
    <w:basedOn w:val="Normal"/>
    <w:uiPriority w:val="99"/>
    <w:rsid w:val="009C5367"/>
    <w:pPr>
      <w:spacing w:after="120"/>
      <w:ind w:left="283"/>
    </w:pPr>
    <w:rPr>
      <w:rFonts w:ascii="Times New Roman" w:hAnsi="Times New Roman"/>
      <w:sz w:val="24"/>
      <w:szCs w:val="24"/>
      <w:lang w:eastAsia="en-AU" w:bidi="ar-SA"/>
    </w:rPr>
  </w:style>
  <w:style w:type="paragraph" w:styleId="ListContinue2">
    <w:name w:val="List Continue 2"/>
    <w:basedOn w:val="Normal"/>
    <w:uiPriority w:val="99"/>
    <w:rsid w:val="009C5367"/>
    <w:pPr>
      <w:spacing w:after="120"/>
      <w:ind w:left="566"/>
    </w:pPr>
    <w:rPr>
      <w:rFonts w:ascii="Times New Roman" w:hAnsi="Times New Roman"/>
      <w:sz w:val="24"/>
      <w:szCs w:val="24"/>
      <w:lang w:eastAsia="en-AU" w:bidi="ar-SA"/>
    </w:rPr>
  </w:style>
  <w:style w:type="paragraph" w:styleId="ListContinue3">
    <w:name w:val="List Continue 3"/>
    <w:basedOn w:val="Normal"/>
    <w:uiPriority w:val="99"/>
    <w:rsid w:val="009C5367"/>
    <w:pPr>
      <w:spacing w:after="120"/>
      <w:ind w:left="849"/>
    </w:pPr>
    <w:rPr>
      <w:rFonts w:ascii="Times New Roman" w:hAnsi="Times New Roman"/>
      <w:sz w:val="24"/>
      <w:szCs w:val="24"/>
      <w:lang w:eastAsia="en-AU" w:bidi="ar-SA"/>
    </w:rPr>
  </w:style>
  <w:style w:type="paragraph" w:styleId="ListContinue4">
    <w:name w:val="List Continue 4"/>
    <w:basedOn w:val="Normal"/>
    <w:uiPriority w:val="99"/>
    <w:rsid w:val="009C5367"/>
    <w:pPr>
      <w:spacing w:after="120"/>
      <w:ind w:left="1132"/>
    </w:pPr>
    <w:rPr>
      <w:rFonts w:ascii="Times New Roman" w:hAnsi="Times New Roman"/>
      <w:sz w:val="24"/>
      <w:szCs w:val="24"/>
      <w:lang w:eastAsia="en-AU" w:bidi="ar-SA"/>
    </w:rPr>
  </w:style>
  <w:style w:type="paragraph" w:styleId="ListContinue5">
    <w:name w:val="List Continue 5"/>
    <w:basedOn w:val="Normal"/>
    <w:uiPriority w:val="99"/>
    <w:rsid w:val="009C5367"/>
    <w:pPr>
      <w:spacing w:after="120"/>
      <w:ind w:left="1415"/>
    </w:pPr>
    <w:rPr>
      <w:rFonts w:ascii="Times New Roman" w:hAnsi="Times New Roman"/>
      <w:sz w:val="24"/>
      <w:szCs w:val="24"/>
      <w:lang w:eastAsia="en-AU" w:bidi="ar-SA"/>
    </w:rPr>
  </w:style>
  <w:style w:type="paragraph" w:styleId="ListNumber">
    <w:name w:val="List Number"/>
    <w:basedOn w:val="Normal"/>
    <w:uiPriority w:val="99"/>
    <w:rsid w:val="009C5367"/>
    <w:pPr>
      <w:tabs>
        <w:tab w:val="num" w:pos="360"/>
      </w:tabs>
      <w:ind w:left="360" w:hanging="360"/>
    </w:pPr>
    <w:rPr>
      <w:rFonts w:ascii="Times New Roman" w:hAnsi="Times New Roman"/>
      <w:sz w:val="24"/>
      <w:szCs w:val="24"/>
      <w:lang w:eastAsia="en-AU" w:bidi="ar-SA"/>
    </w:rPr>
  </w:style>
  <w:style w:type="paragraph" w:styleId="ListNumber2">
    <w:name w:val="List Number 2"/>
    <w:basedOn w:val="Normal"/>
    <w:uiPriority w:val="99"/>
    <w:rsid w:val="009C5367"/>
    <w:pPr>
      <w:tabs>
        <w:tab w:val="num" w:pos="643"/>
      </w:tabs>
      <w:ind w:left="643" w:hanging="360"/>
    </w:pPr>
    <w:rPr>
      <w:rFonts w:ascii="Times New Roman" w:hAnsi="Times New Roman"/>
      <w:sz w:val="24"/>
      <w:szCs w:val="24"/>
      <w:lang w:eastAsia="en-AU" w:bidi="ar-SA"/>
    </w:rPr>
  </w:style>
  <w:style w:type="paragraph" w:styleId="ListNumber3">
    <w:name w:val="List Number 3"/>
    <w:basedOn w:val="Normal"/>
    <w:uiPriority w:val="99"/>
    <w:rsid w:val="009C5367"/>
    <w:pPr>
      <w:tabs>
        <w:tab w:val="num" w:pos="926"/>
      </w:tabs>
      <w:ind w:left="926" w:hanging="360"/>
    </w:pPr>
    <w:rPr>
      <w:rFonts w:ascii="Times New Roman" w:hAnsi="Times New Roman"/>
      <w:sz w:val="24"/>
      <w:szCs w:val="24"/>
      <w:lang w:eastAsia="en-AU" w:bidi="ar-SA"/>
    </w:rPr>
  </w:style>
  <w:style w:type="paragraph" w:styleId="ListNumber4">
    <w:name w:val="List Number 4"/>
    <w:basedOn w:val="Normal"/>
    <w:uiPriority w:val="99"/>
    <w:rsid w:val="009C5367"/>
    <w:pPr>
      <w:tabs>
        <w:tab w:val="num" w:pos="1209"/>
      </w:tabs>
      <w:ind w:left="1209" w:hanging="360"/>
    </w:pPr>
    <w:rPr>
      <w:rFonts w:ascii="Times New Roman" w:hAnsi="Times New Roman"/>
      <w:sz w:val="24"/>
      <w:szCs w:val="24"/>
      <w:lang w:eastAsia="en-AU" w:bidi="ar-SA"/>
    </w:rPr>
  </w:style>
  <w:style w:type="paragraph" w:styleId="ListNumber5">
    <w:name w:val="List Number 5"/>
    <w:basedOn w:val="Normal"/>
    <w:uiPriority w:val="99"/>
    <w:rsid w:val="009C5367"/>
    <w:pPr>
      <w:tabs>
        <w:tab w:val="num" w:pos="1492"/>
      </w:tabs>
      <w:ind w:left="1492" w:hanging="360"/>
    </w:pPr>
    <w:rPr>
      <w:rFonts w:ascii="Times New Roman" w:hAnsi="Times New Roman"/>
      <w:sz w:val="24"/>
      <w:szCs w:val="24"/>
      <w:lang w:eastAsia="en-AU" w:bidi="ar-SA"/>
    </w:rPr>
  </w:style>
  <w:style w:type="paragraph" w:styleId="MessageHeader">
    <w:name w:val="Message Header"/>
    <w:basedOn w:val="Normal"/>
    <w:link w:val="MessageHeaderChar"/>
    <w:uiPriority w:val="99"/>
    <w:rsid w:val="009C536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AU" w:bidi="ar-SA"/>
    </w:rPr>
  </w:style>
  <w:style w:type="character" w:customStyle="1" w:styleId="MessageHeaderChar">
    <w:name w:val="Message Header Char"/>
    <w:basedOn w:val="DefaultParagraphFont"/>
    <w:link w:val="MessageHeader"/>
    <w:uiPriority w:val="99"/>
    <w:semiHidden/>
    <w:locked/>
    <w:rsid w:val="008B7D77"/>
    <w:rPr>
      <w:rFonts w:ascii="Cambria" w:hAnsi="Cambria" w:cs="Times New Roman"/>
      <w:sz w:val="24"/>
      <w:szCs w:val="24"/>
      <w:shd w:val="pct20" w:color="auto" w:fill="auto"/>
      <w:lang w:eastAsia="en-US" w:bidi="he-IL"/>
    </w:rPr>
  </w:style>
  <w:style w:type="paragraph" w:styleId="NormalWeb">
    <w:name w:val="Normal (Web)"/>
    <w:basedOn w:val="Normal"/>
    <w:uiPriority w:val="99"/>
    <w:rsid w:val="009C5367"/>
    <w:rPr>
      <w:rFonts w:ascii="Times New Roman" w:hAnsi="Times New Roman"/>
      <w:sz w:val="24"/>
      <w:szCs w:val="24"/>
      <w:lang w:eastAsia="en-AU" w:bidi="ar-SA"/>
    </w:rPr>
  </w:style>
  <w:style w:type="paragraph" w:styleId="NormalIndent">
    <w:name w:val="Normal Indent"/>
    <w:basedOn w:val="Normal"/>
    <w:uiPriority w:val="99"/>
    <w:rsid w:val="009C5367"/>
    <w:pPr>
      <w:ind w:left="720"/>
    </w:pPr>
    <w:rPr>
      <w:rFonts w:ascii="Times New Roman" w:hAnsi="Times New Roman"/>
      <w:sz w:val="24"/>
      <w:szCs w:val="24"/>
      <w:lang w:eastAsia="en-AU" w:bidi="ar-SA"/>
    </w:rPr>
  </w:style>
  <w:style w:type="paragraph" w:styleId="NoteHeading">
    <w:name w:val="Note Heading"/>
    <w:aliases w:val="HN"/>
    <w:basedOn w:val="Normal"/>
    <w:next w:val="Normal"/>
    <w:link w:val="NoteHeadingChar"/>
    <w:uiPriority w:val="99"/>
    <w:rsid w:val="009C5367"/>
    <w:pPr>
      <w:keepNext/>
      <w:keepLines/>
      <w:pageBreakBefore/>
      <w:tabs>
        <w:tab w:val="left" w:pos="1559"/>
      </w:tabs>
      <w:spacing w:before="120" w:line="240" w:lineRule="atLeast"/>
    </w:pPr>
    <w:rPr>
      <w:b/>
      <w:sz w:val="32"/>
      <w:szCs w:val="24"/>
      <w:lang w:eastAsia="en-AU" w:bidi="ar-SA"/>
    </w:rPr>
  </w:style>
  <w:style w:type="character" w:customStyle="1" w:styleId="NoteHeadingChar">
    <w:name w:val="Note Heading Char"/>
    <w:aliases w:val="HN Char"/>
    <w:basedOn w:val="DefaultParagraphFont"/>
    <w:link w:val="NoteHeading"/>
    <w:uiPriority w:val="99"/>
    <w:semiHidden/>
    <w:locked/>
    <w:rsid w:val="008B7D77"/>
    <w:rPr>
      <w:rFonts w:ascii="Arial" w:hAnsi="Arial" w:cs="Times New Roman"/>
      <w:sz w:val="20"/>
      <w:szCs w:val="20"/>
      <w:lang w:eastAsia="en-US" w:bidi="he-IL"/>
    </w:rPr>
  </w:style>
  <w:style w:type="paragraph" w:styleId="PlainText">
    <w:name w:val="Plain Text"/>
    <w:basedOn w:val="Normal"/>
    <w:link w:val="PlainTextChar"/>
    <w:uiPriority w:val="99"/>
    <w:rsid w:val="009C5367"/>
    <w:rPr>
      <w:rFonts w:ascii="Courier New" w:hAnsi="Courier New" w:cs="Courier New"/>
      <w:lang w:eastAsia="en-AU" w:bidi="ar-SA"/>
    </w:rPr>
  </w:style>
  <w:style w:type="character" w:customStyle="1" w:styleId="PlainTextChar">
    <w:name w:val="Plain Text Char"/>
    <w:basedOn w:val="DefaultParagraphFont"/>
    <w:link w:val="PlainText"/>
    <w:uiPriority w:val="99"/>
    <w:semiHidden/>
    <w:locked/>
    <w:rsid w:val="008B7D77"/>
    <w:rPr>
      <w:rFonts w:ascii="Courier New" w:hAnsi="Courier New" w:cs="Courier New"/>
      <w:sz w:val="20"/>
      <w:szCs w:val="20"/>
      <w:lang w:eastAsia="en-US" w:bidi="he-IL"/>
    </w:rPr>
  </w:style>
  <w:style w:type="paragraph" w:styleId="Salutation">
    <w:name w:val="Salutation"/>
    <w:basedOn w:val="Normal"/>
    <w:next w:val="Normal"/>
    <w:link w:val="SalutationChar"/>
    <w:uiPriority w:val="99"/>
    <w:rsid w:val="009C5367"/>
    <w:rPr>
      <w:rFonts w:ascii="Times New Roman" w:hAnsi="Times New Roman"/>
      <w:sz w:val="24"/>
      <w:szCs w:val="24"/>
      <w:lang w:eastAsia="en-AU" w:bidi="ar-SA"/>
    </w:rPr>
  </w:style>
  <w:style w:type="character" w:customStyle="1" w:styleId="SalutationChar">
    <w:name w:val="Salutation Char"/>
    <w:basedOn w:val="DefaultParagraphFont"/>
    <w:link w:val="Salutation"/>
    <w:uiPriority w:val="99"/>
    <w:semiHidden/>
    <w:locked/>
    <w:rsid w:val="008B7D77"/>
    <w:rPr>
      <w:rFonts w:ascii="Arial" w:hAnsi="Arial" w:cs="Times New Roman"/>
      <w:sz w:val="20"/>
      <w:szCs w:val="20"/>
      <w:lang w:eastAsia="en-US" w:bidi="he-IL"/>
    </w:rPr>
  </w:style>
  <w:style w:type="paragraph" w:styleId="Signature">
    <w:name w:val="Signature"/>
    <w:basedOn w:val="Normal"/>
    <w:link w:val="SignatureChar"/>
    <w:uiPriority w:val="99"/>
    <w:rsid w:val="009C5367"/>
    <w:pPr>
      <w:ind w:left="4252"/>
    </w:pPr>
    <w:rPr>
      <w:rFonts w:ascii="Times New Roman" w:hAnsi="Times New Roman"/>
      <w:sz w:val="24"/>
      <w:szCs w:val="24"/>
      <w:lang w:eastAsia="en-AU" w:bidi="ar-SA"/>
    </w:rPr>
  </w:style>
  <w:style w:type="character" w:customStyle="1" w:styleId="SignatureChar">
    <w:name w:val="Signature Char"/>
    <w:basedOn w:val="DefaultParagraphFont"/>
    <w:link w:val="Signature"/>
    <w:uiPriority w:val="99"/>
    <w:semiHidden/>
    <w:locked/>
    <w:rsid w:val="008B7D77"/>
    <w:rPr>
      <w:rFonts w:ascii="Arial" w:hAnsi="Arial" w:cs="Times New Roman"/>
      <w:sz w:val="20"/>
      <w:szCs w:val="20"/>
      <w:lang w:eastAsia="en-US" w:bidi="he-IL"/>
    </w:rPr>
  </w:style>
  <w:style w:type="character" w:styleId="Strong">
    <w:name w:val="Strong"/>
    <w:basedOn w:val="DefaultParagraphFont"/>
    <w:uiPriority w:val="99"/>
    <w:qFormat/>
    <w:rsid w:val="009C5367"/>
    <w:rPr>
      <w:rFonts w:cs="Times New Roman"/>
      <w:b/>
      <w:bCs/>
    </w:rPr>
  </w:style>
  <w:style w:type="paragraph" w:styleId="Subtitle">
    <w:name w:val="Subtitle"/>
    <w:basedOn w:val="Normal"/>
    <w:link w:val="SubtitleChar"/>
    <w:uiPriority w:val="99"/>
    <w:qFormat/>
    <w:rsid w:val="009C5367"/>
    <w:pPr>
      <w:spacing w:after="60"/>
      <w:jc w:val="center"/>
      <w:outlineLvl w:val="1"/>
    </w:pPr>
    <w:rPr>
      <w:rFonts w:cs="Arial"/>
      <w:sz w:val="24"/>
      <w:szCs w:val="24"/>
      <w:lang w:eastAsia="en-AU" w:bidi="ar-SA"/>
    </w:rPr>
  </w:style>
  <w:style w:type="character" w:customStyle="1" w:styleId="SubtitleChar">
    <w:name w:val="Subtitle Char"/>
    <w:basedOn w:val="DefaultParagraphFont"/>
    <w:link w:val="Subtitle"/>
    <w:uiPriority w:val="99"/>
    <w:locked/>
    <w:rsid w:val="00E818EB"/>
    <w:rPr>
      <w:rFonts w:ascii="Arial" w:hAnsi="Arial" w:cs="Arial"/>
      <w:sz w:val="24"/>
      <w:szCs w:val="24"/>
    </w:rPr>
  </w:style>
  <w:style w:type="table" w:styleId="Table3Deffects1">
    <w:name w:val="Table 3D effects 1"/>
    <w:basedOn w:val="TableNormal"/>
    <w:uiPriority w:val="99"/>
    <w:rsid w:val="009C5367"/>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9C5367"/>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9C5367"/>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9C536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9C536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9C536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9C536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9C536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9C536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9C536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9C536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9C5367"/>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9C536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9C5367"/>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9C536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9C536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9C536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9C5367"/>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9C536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9C536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9C536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9C536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9C536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9C53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9C5367"/>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9C536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9C536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9C536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9C536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9C5367"/>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9C5367"/>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9C53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9C5367"/>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9C536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9C5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9C536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9C536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9C536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9C5367"/>
    <w:pPr>
      <w:spacing w:before="480"/>
    </w:pPr>
    <w:rPr>
      <w:rFonts w:cs="Arial"/>
      <w:b/>
      <w:bCs/>
      <w:sz w:val="40"/>
      <w:szCs w:val="40"/>
      <w:lang w:eastAsia="en-AU" w:bidi="ar-SA"/>
    </w:rPr>
  </w:style>
  <w:style w:type="character" w:customStyle="1" w:styleId="TitleChar">
    <w:name w:val="Title Char"/>
    <w:basedOn w:val="DefaultParagraphFont"/>
    <w:link w:val="Title"/>
    <w:uiPriority w:val="99"/>
    <w:locked/>
    <w:rsid w:val="008B7D77"/>
    <w:rPr>
      <w:rFonts w:ascii="Cambria" w:hAnsi="Cambria" w:cs="Times New Roman"/>
      <w:b/>
      <w:bCs/>
      <w:kern w:val="28"/>
      <w:sz w:val="32"/>
      <w:szCs w:val="32"/>
      <w:lang w:eastAsia="en-US" w:bidi="he-IL"/>
    </w:rPr>
  </w:style>
  <w:style w:type="paragraph" w:customStyle="1" w:styleId="A1">
    <w:name w:val="A1"/>
    <w:aliases w:val="Heading Amendment,1. Amendment"/>
    <w:basedOn w:val="Normal"/>
    <w:next w:val="Normal"/>
    <w:uiPriority w:val="99"/>
    <w:rsid w:val="009C5367"/>
    <w:pPr>
      <w:keepNext/>
      <w:keepLines/>
      <w:spacing w:before="480" w:line="260" w:lineRule="exact"/>
      <w:ind w:left="964" w:hanging="964"/>
    </w:pPr>
    <w:rPr>
      <w:b/>
      <w:sz w:val="24"/>
      <w:szCs w:val="24"/>
      <w:lang w:eastAsia="en-AU" w:bidi="ar-SA"/>
    </w:rPr>
  </w:style>
  <w:style w:type="paragraph" w:customStyle="1" w:styleId="A1S">
    <w:name w:val="A1S"/>
    <w:aliases w:val="1.Schedule Amendment"/>
    <w:basedOn w:val="Normal"/>
    <w:next w:val="A2S"/>
    <w:uiPriority w:val="99"/>
    <w:rsid w:val="009C5367"/>
    <w:pPr>
      <w:keepNext/>
      <w:keepLines/>
      <w:spacing w:before="480" w:line="260" w:lineRule="exact"/>
      <w:ind w:left="964" w:hanging="964"/>
    </w:pPr>
    <w:rPr>
      <w:b/>
      <w:sz w:val="24"/>
      <w:szCs w:val="24"/>
      <w:lang w:eastAsia="en-AU" w:bidi="ar-SA"/>
    </w:rPr>
  </w:style>
  <w:style w:type="paragraph" w:customStyle="1" w:styleId="A2">
    <w:name w:val="A2"/>
    <w:aliases w:val="1.1 amendment,Instruction amendment"/>
    <w:basedOn w:val="Normal"/>
    <w:next w:val="Normal"/>
    <w:uiPriority w:val="99"/>
    <w:rsid w:val="009C5367"/>
    <w:pPr>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A2S">
    <w:name w:val="A2S"/>
    <w:aliases w:val="Schedule Inst Amendment"/>
    <w:basedOn w:val="Normal"/>
    <w:next w:val="A3S"/>
    <w:uiPriority w:val="99"/>
    <w:rsid w:val="009C5367"/>
    <w:pPr>
      <w:keepNext/>
      <w:spacing w:before="120" w:line="260" w:lineRule="exact"/>
      <w:ind w:left="964"/>
    </w:pPr>
    <w:rPr>
      <w:rFonts w:ascii="Times New Roman" w:hAnsi="Times New Roman"/>
      <w:i/>
      <w:sz w:val="24"/>
      <w:szCs w:val="24"/>
      <w:lang w:eastAsia="en-AU" w:bidi="ar-SA"/>
    </w:rPr>
  </w:style>
  <w:style w:type="paragraph" w:customStyle="1" w:styleId="A3">
    <w:name w:val="A3"/>
    <w:aliases w:val="1.2 amendment"/>
    <w:basedOn w:val="Normal"/>
    <w:uiPriority w:val="99"/>
    <w:rsid w:val="009C5367"/>
    <w:pPr>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A3S">
    <w:name w:val="A3S"/>
    <w:aliases w:val="Schedule Amendment"/>
    <w:basedOn w:val="Normal"/>
    <w:next w:val="A1S"/>
    <w:uiPriority w:val="99"/>
    <w:rsid w:val="009C5367"/>
    <w:pPr>
      <w:spacing w:before="60" w:line="260" w:lineRule="exact"/>
      <w:ind w:left="1247"/>
      <w:jc w:val="both"/>
    </w:pPr>
    <w:rPr>
      <w:rFonts w:ascii="Times New Roman" w:hAnsi="Times New Roman"/>
      <w:sz w:val="24"/>
      <w:szCs w:val="24"/>
      <w:lang w:eastAsia="en-AU" w:bidi="ar-SA"/>
    </w:rPr>
  </w:style>
  <w:style w:type="paragraph" w:customStyle="1" w:styleId="A4">
    <w:name w:val="A4"/>
    <w:aliases w:val="(a) Amendment"/>
    <w:basedOn w:val="Normal"/>
    <w:uiPriority w:val="99"/>
    <w:rsid w:val="009C5367"/>
    <w:pPr>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A5">
    <w:name w:val="A5"/>
    <w:aliases w:val="(i) Amendment"/>
    <w:basedOn w:val="Normal"/>
    <w:uiPriority w:val="99"/>
    <w:rsid w:val="009C5367"/>
    <w:pPr>
      <w:tabs>
        <w:tab w:val="right" w:pos="1758"/>
      </w:tabs>
      <w:spacing w:before="60" w:line="260" w:lineRule="exact"/>
      <w:ind w:left="2041" w:hanging="2041"/>
      <w:jc w:val="both"/>
    </w:pPr>
    <w:rPr>
      <w:rFonts w:ascii="Times New Roman" w:hAnsi="Times New Roman"/>
      <w:sz w:val="24"/>
      <w:szCs w:val="24"/>
      <w:lang w:eastAsia="en-AU" w:bidi="ar-SA"/>
    </w:rPr>
  </w:style>
  <w:style w:type="paragraph" w:customStyle="1" w:styleId="AN">
    <w:name w:val="AN"/>
    <w:aliases w:val="Note Amendment"/>
    <w:basedOn w:val="Normal"/>
    <w:next w:val="A1"/>
    <w:uiPriority w:val="99"/>
    <w:rsid w:val="009C5367"/>
    <w:pPr>
      <w:spacing w:before="120" w:line="220" w:lineRule="exact"/>
      <w:ind w:left="964"/>
      <w:jc w:val="both"/>
    </w:pPr>
    <w:rPr>
      <w:rFonts w:ascii="Times New Roman" w:hAnsi="Times New Roman"/>
      <w:szCs w:val="24"/>
      <w:lang w:eastAsia="en-AU" w:bidi="ar-SA"/>
    </w:rPr>
  </w:style>
  <w:style w:type="paragraph" w:customStyle="1" w:styleId="ASref">
    <w:name w:val="AS ref"/>
    <w:basedOn w:val="Normal"/>
    <w:next w:val="A1S"/>
    <w:uiPriority w:val="99"/>
    <w:rsid w:val="009C5367"/>
    <w:pPr>
      <w:keepNext/>
      <w:spacing w:before="60" w:line="200" w:lineRule="exact"/>
      <w:ind w:left="2410"/>
    </w:pPr>
    <w:rPr>
      <w:sz w:val="18"/>
      <w:szCs w:val="18"/>
      <w:lang w:eastAsia="en-AU" w:bidi="ar-SA"/>
    </w:rPr>
  </w:style>
  <w:style w:type="paragraph" w:customStyle="1" w:styleId="AS">
    <w:name w:val="AS"/>
    <w:aliases w:val="Schedule title Amendment"/>
    <w:basedOn w:val="Normal"/>
    <w:next w:val="ASref"/>
    <w:uiPriority w:val="99"/>
    <w:rsid w:val="009C5367"/>
    <w:pPr>
      <w:keepNext/>
      <w:keepLines/>
      <w:spacing w:before="480"/>
      <w:ind w:left="2410" w:hanging="2410"/>
    </w:pPr>
    <w:rPr>
      <w:b/>
      <w:sz w:val="32"/>
      <w:szCs w:val="24"/>
      <w:lang w:eastAsia="en-AU" w:bidi="ar-SA"/>
    </w:rPr>
  </w:style>
  <w:style w:type="paragraph" w:customStyle="1" w:styleId="ASP">
    <w:name w:val="ASP"/>
    <w:aliases w:val="Schedule Part Amendment"/>
    <w:basedOn w:val="Normal"/>
    <w:next w:val="A1S"/>
    <w:uiPriority w:val="99"/>
    <w:rsid w:val="009C5367"/>
    <w:pPr>
      <w:keepNext/>
      <w:keepLines/>
      <w:spacing w:before="360"/>
      <w:ind w:left="2410" w:hanging="2410"/>
    </w:pPr>
    <w:rPr>
      <w:b/>
      <w:sz w:val="28"/>
      <w:szCs w:val="24"/>
      <w:lang w:eastAsia="en-AU" w:bidi="ar-SA"/>
    </w:rPr>
  </w:style>
  <w:style w:type="paragraph" w:styleId="Caption">
    <w:name w:val="caption"/>
    <w:basedOn w:val="Normal"/>
    <w:next w:val="Normal"/>
    <w:uiPriority w:val="99"/>
    <w:qFormat/>
    <w:rsid w:val="009C5367"/>
    <w:pPr>
      <w:spacing w:before="120" w:after="120"/>
    </w:pPr>
    <w:rPr>
      <w:rFonts w:ascii="Times New Roman" w:hAnsi="Times New Roman"/>
      <w:b/>
      <w:bCs/>
      <w:lang w:eastAsia="en-AU" w:bidi="ar-SA"/>
    </w:rPr>
  </w:style>
  <w:style w:type="character" w:customStyle="1" w:styleId="CharAmSchNo">
    <w:name w:val="CharAmSchNo"/>
    <w:basedOn w:val="DefaultParagraphFont"/>
    <w:uiPriority w:val="99"/>
    <w:rsid w:val="009C5367"/>
    <w:rPr>
      <w:rFonts w:cs="Times New Roman"/>
    </w:rPr>
  </w:style>
  <w:style w:type="character" w:customStyle="1" w:styleId="CharAmSchText">
    <w:name w:val="CharAmSchText"/>
    <w:basedOn w:val="DefaultParagraphFont"/>
    <w:uiPriority w:val="99"/>
    <w:rsid w:val="009C5367"/>
    <w:rPr>
      <w:rFonts w:cs="Times New Roman"/>
    </w:rPr>
  </w:style>
  <w:style w:type="character" w:customStyle="1" w:styleId="CharChapNo">
    <w:name w:val="CharChapNo"/>
    <w:basedOn w:val="DefaultParagraphFont"/>
    <w:uiPriority w:val="99"/>
    <w:rsid w:val="009C5367"/>
    <w:rPr>
      <w:rFonts w:cs="Times New Roman"/>
    </w:rPr>
  </w:style>
  <w:style w:type="character" w:customStyle="1" w:styleId="CharChapText">
    <w:name w:val="CharChapText"/>
    <w:basedOn w:val="DefaultParagraphFont"/>
    <w:uiPriority w:val="99"/>
    <w:rsid w:val="009C5367"/>
    <w:rPr>
      <w:rFonts w:cs="Times New Roman"/>
    </w:rPr>
  </w:style>
  <w:style w:type="character" w:customStyle="1" w:styleId="CharDivNo">
    <w:name w:val="CharDivNo"/>
    <w:basedOn w:val="DefaultParagraphFont"/>
    <w:uiPriority w:val="99"/>
    <w:rsid w:val="009C5367"/>
    <w:rPr>
      <w:rFonts w:cs="Times New Roman"/>
    </w:rPr>
  </w:style>
  <w:style w:type="character" w:customStyle="1" w:styleId="CharDivText">
    <w:name w:val="CharDivText"/>
    <w:basedOn w:val="DefaultParagraphFont"/>
    <w:uiPriority w:val="99"/>
    <w:rsid w:val="009C5367"/>
    <w:rPr>
      <w:rFonts w:cs="Times New Roman"/>
    </w:rPr>
  </w:style>
  <w:style w:type="character" w:customStyle="1" w:styleId="CharPartNo">
    <w:name w:val="CharPartNo"/>
    <w:basedOn w:val="DefaultParagraphFont"/>
    <w:uiPriority w:val="99"/>
    <w:rsid w:val="009C5367"/>
    <w:rPr>
      <w:rFonts w:cs="Times New Roman"/>
    </w:rPr>
  </w:style>
  <w:style w:type="character" w:customStyle="1" w:styleId="CharPartText">
    <w:name w:val="CharPartText"/>
    <w:basedOn w:val="DefaultParagraphFont"/>
    <w:uiPriority w:val="99"/>
    <w:rsid w:val="009C5367"/>
    <w:rPr>
      <w:rFonts w:cs="Times New Roman"/>
    </w:rPr>
  </w:style>
  <w:style w:type="character" w:customStyle="1" w:styleId="CharSchPTNo">
    <w:name w:val="CharSchPTNo"/>
    <w:basedOn w:val="DefaultParagraphFont"/>
    <w:uiPriority w:val="99"/>
    <w:rsid w:val="009C5367"/>
    <w:rPr>
      <w:rFonts w:cs="Times New Roman"/>
    </w:rPr>
  </w:style>
  <w:style w:type="character" w:customStyle="1" w:styleId="CharSchPTText">
    <w:name w:val="CharSchPTText"/>
    <w:basedOn w:val="DefaultParagraphFont"/>
    <w:uiPriority w:val="99"/>
    <w:rsid w:val="009C5367"/>
    <w:rPr>
      <w:rFonts w:cs="Times New Roman"/>
    </w:rPr>
  </w:style>
  <w:style w:type="paragraph" w:customStyle="1" w:styleId="ContentsHead">
    <w:name w:val="ContentsHead"/>
    <w:basedOn w:val="Normal"/>
    <w:next w:val="Normal"/>
    <w:uiPriority w:val="99"/>
    <w:rsid w:val="009C5367"/>
    <w:pPr>
      <w:keepNext/>
      <w:keepLines/>
      <w:spacing w:before="240" w:after="240"/>
    </w:pPr>
    <w:rPr>
      <w:b/>
      <w:sz w:val="28"/>
      <w:szCs w:val="24"/>
      <w:lang w:eastAsia="en-AU" w:bidi="ar-SA"/>
    </w:rPr>
  </w:style>
  <w:style w:type="paragraph" w:customStyle="1" w:styleId="ContentsSectionBreak">
    <w:name w:val="ContentsSectionBreak"/>
    <w:basedOn w:val="Normal"/>
    <w:next w:val="Normal"/>
    <w:uiPriority w:val="99"/>
    <w:rsid w:val="009C5367"/>
    <w:rPr>
      <w:rFonts w:ascii="Times New Roman" w:hAnsi="Times New Roman"/>
      <w:sz w:val="24"/>
      <w:szCs w:val="24"/>
      <w:lang w:eastAsia="en-AU" w:bidi="ar-SA"/>
    </w:rPr>
  </w:style>
  <w:style w:type="paragraph" w:customStyle="1" w:styleId="DD">
    <w:name w:val="DD"/>
    <w:aliases w:val="Dictionary Definition"/>
    <w:basedOn w:val="Normal"/>
    <w:uiPriority w:val="99"/>
    <w:rsid w:val="009C5367"/>
    <w:pPr>
      <w:spacing w:before="80" w:line="260" w:lineRule="exact"/>
      <w:jc w:val="both"/>
    </w:pPr>
    <w:rPr>
      <w:rFonts w:ascii="Times New Roman" w:hAnsi="Times New Roman"/>
      <w:sz w:val="24"/>
      <w:szCs w:val="24"/>
      <w:lang w:eastAsia="en-AU" w:bidi="ar-SA"/>
    </w:rPr>
  </w:style>
  <w:style w:type="paragraph" w:customStyle="1" w:styleId="definition">
    <w:name w:val="definition"/>
    <w:basedOn w:val="Normal"/>
    <w:uiPriority w:val="99"/>
    <w:rsid w:val="009C5367"/>
    <w:pPr>
      <w:spacing w:before="80" w:line="260" w:lineRule="exact"/>
      <w:ind w:left="964"/>
      <w:jc w:val="both"/>
    </w:pPr>
    <w:rPr>
      <w:rFonts w:ascii="Times New Roman" w:hAnsi="Times New Roman"/>
      <w:sz w:val="24"/>
      <w:szCs w:val="24"/>
      <w:lang w:eastAsia="en-AU" w:bidi="ar-SA"/>
    </w:rPr>
  </w:style>
  <w:style w:type="paragraph" w:customStyle="1" w:styleId="DictionaryHeading">
    <w:name w:val="Dictionary Heading"/>
    <w:basedOn w:val="Normal"/>
    <w:next w:val="DD"/>
    <w:uiPriority w:val="99"/>
    <w:rsid w:val="009C5367"/>
    <w:pPr>
      <w:keepNext/>
      <w:keepLines/>
      <w:spacing w:before="480"/>
      <w:ind w:left="2552" w:hanging="2552"/>
    </w:pPr>
    <w:rPr>
      <w:b/>
      <w:sz w:val="32"/>
      <w:szCs w:val="24"/>
      <w:lang w:eastAsia="en-AU" w:bidi="ar-SA"/>
    </w:rPr>
  </w:style>
  <w:style w:type="paragraph" w:customStyle="1" w:styleId="DictionarySectionBreak">
    <w:name w:val="DictionarySectionBreak"/>
    <w:basedOn w:val="Normal"/>
    <w:next w:val="Normal"/>
    <w:uiPriority w:val="99"/>
    <w:rsid w:val="009C5367"/>
    <w:rPr>
      <w:rFonts w:ascii="Times New Roman" w:hAnsi="Times New Roman"/>
      <w:sz w:val="24"/>
      <w:szCs w:val="24"/>
      <w:lang w:eastAsia="en-AU" w:bidi="ar-SA"/>
    </w:rPr>
  </w:style>
  <w:style w:type="paragraph" w:customStyle="1" w:styleId="DNote">
    <w:name w:val="DNote"/>
    <w:aliases w:val="DictionaryNote"/>
    <w:basedOn w:val="Normal"/>
    <w:uiPriority w:val="99"/>
    <w:rsid w:val="009C5367"/>
    <w:pPr>
      <w:spacing w:before="120" w:line="220" w:lineRule="exact"/>
      <w:ind w:left="425"/>
      <w:jc w:val="both"/>
    </w:pPr>
    <w:rPr>
      <w:rFonts w:ascii="Times New Roman" w:hAnsi="Times New Roman"/>
      <w:szCs w:val="24"/>
      <w:lang w:eastAsia="en-AU" w:bidi="ar-SA"/>
    </w:rPr>
  </w:style>
  <w:style w:type="paragraph" w:styleId="DocumentMap">
    <w:name w:val="Document Map"/>
    <w:basedOn w:val="Normal"/>
    <w:link w:val="DocumentMapChar"/>
    <w:uiPriority w:val="99"/>
    <w:rsid w:val="009C5367"/>
    <w:pPr>
      <w:shd w:val="clear" w:color="auto" w:fill="000080"/>
    </w:pPr>
    <w:rPr>
      <w:rFonts w:ascii="Tahoma" w:hAnsi="Tahoma" w:cs="Tahoma"/>
      <w:sz w:val="24"/>
      <w:szCs w:val="24"/>
      <w:lang w:eastAsia="en-AU" w:bidi="ar-SA"/>
    </w:rPr>
  </w:style>
  <w:style w:type="character" w:customStyle="1" w:styleId="DocumentMapChar">
    <w:name w:val="Document Map Char"/>
    <w:basedOn w:val="DefaultParagraphFont"/>
    <w:link w:val="DocumentMap"/>
    <w:uiPriority w:val="99"/>
    <w:semiHidden/>
    <w:locked/>
    <w:rsid w:val="008B7D77"/>
    <w:rPr>
      <w:rFonts w:cs="Times New Roman"/>
      <w:sz w:val="2"/>
      <w:lang w:eastAsia="en-US" w:bidi="he-IL"/>
    </w:rPr>
  </w:style>
  <w:style w:type="paragraph" w:customStyle="1" w:styleId="DP1a">
    <w:name w:val="DP1(a)"/>
    <w:aliases w:val="Dictionary (a)"/>
    <w:basedOn w:val="Normal"/>
    <w:uiPriority w:val="99"/>
    <w:rsid w:val="009C5367"/>
    <w:pPr>
      <w:tabs>
        <w:tab w:val="right" w:pos="709"/>
      </w:tabs>
      <w:spacing w:before="60" w:line="260" w:lineRule="exact"/>
      <w:ind w:left="936" w:hanging="936"/>
      <w:jc w:val="both"/>
    </w:pPr>
    <w:rPr>
      <w:rFonts w:ascii="Times New Roman" w:hAnsi="Times New Roman"/>
      <w:sz w:val="24"/>
      <w:szCs w:val="24"/>
      <w:lang w:eastAsia="en-AU" w:bidi="ar-SA"/>
    </w:rPr>
  </w:style>
  <w:style w:type="paragraph" w:customStyle="1" w:styleId="DP2i">
    <w:name w:val="DP2(i)"/>
    <w:aliases w:val="Dictionary(i)"/>
    <w:basedOn w:val="Normal"/>
    <w:uiPriority w:val="99"/>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character" w:styleId="EndnoteReference">
    <w:name w:val="endnote reference"/>
    <w:basedOn w:val="DefaultParagraphFont"/>
    <w:uiPriority w:val="99"/>
    <w:rsid w:val="009C5367"/>
    <w:rPr>
      <w:rFonts w:cs="Times New Roman"/>
      <w:vertAlign w:val="superscript"/>
    </w:rPr>
  </w:style>
  <w:style w:type="paragraph" w:styleId="EndnoteText">
    <w:name w:val="endnote text"/>
    <w:basedOn w:val="Normal"/>
    <w:link w:val="EndnoteTextChar"/>
    <w:uiPriority w:val="99"/>
    <w:rsid w:val="009C5367"/>
    <w:rPr>
      <w:rFonts w:ascii="Times New Roman" w:hAnsi="Times New Roman"/>
      <w:lang w:eastAsia="en-AU" w:bidi="ar-SA"/>
    </w:rPr>
  </w:style>
  <w:style w:type="character" w:customStyle="1" w:styleId="EndnoteTextChar">
    <w:name w:val="Endnote Text Char"/>
    <w:basedOn w:val="DefaultParagraphFont"/>
    <w:link w:val="EndnoteText"/>
    <w:uiPriority w:val="99"/>
    <w:semiHidden/>
    <w:locked/>
    <w:rsid w:val="008B7D77"/>
    <w:rPr>
      <w:rFonts w:ascii="Arial" w:hAnsi="Arial" w:cs="Times New Roman"/>
      <w:sz w:val="20"/>
      <w:szCs w:val="20"/>
      <w:lang w:eastAsia="en-US" w:bidi="he-IL"/>
    </w:rPr>
  </w:style>
  <w:style w:type="paragraph" w:customStyle="1" w:styleId="ExampleBody">
    <w:name w:val="Example Body"/>
    <w:basedOn w:val="Normal"/>
    <w:uiPriority w:val="99"/>
    <w:rsid w:val="009C5367"/>
    <w:pPr>
      <w:keepLines/>
      <w:spacing w:before="60" w:line="220" w:lineRule="exact"/>
      <w:ind w:left="964"/>
      <w:jc w:val="both"/>
    </w:pPr>
    <w:rPr>
      <w:rFonts w:ascii="Times New Roman" w:hAnsi="Times New Roman"/>
      <w:szCs w:val="24"/>
      <w:lang w:eastAsia="en-AU" w:bidi="ar-SA"/>
    </w:rPr>
  </w:style>
  <w:style w:type="paragraph" w:customStyle="1" w:styleId="ExampleList">
    <w:name w:val="Example List"/>
    <w:basedOn w:val="Normal"/>
    <w:uiPriority w:val="99"/>
    <w:rsid w:val="009C5367"/>
    <w:pPr>
      <w:keepLines/>
      <w:tabs>
        <w:tab w:val="left" w:pos="1247"/>
        <w:tab w:val="left" w:pos="1349"/>
      </w:tabs>
      <w:spacing w:before="60" w:line="220" w:lineRule="exact"/>
      <w:ind w:left="340" w:firstLine="652"/>
      <w:jc w:val="both"/>
    </w:pPr>
    <w:rPr>
      <w:rFonts w:ascii="Times New Roman" w:hAnsi="Times New Roman"/>
      <w:szCs w:val="24"/>
      <w:lang w:eastAsia="en-AU" w:bidi="ar-SA"/>
    </w:rPr>
  </w:style>
  <w:style w:type="paragraph" w:customStyle="1" w:styleId="Formula">
    <w:name w:val="Formula"/>
    <w:basedOn w:val="Normal"/>
    <w:next w:val="Normal"/>
    <w:uiPriority w:val="99"/>
    <w:rsid w:val="009C5367"/>
    <w:pPr>
      <w:spacing w:before="180" w:after="180"/>
      <w:jc w:val="center"/>
    </w:pPr>
    <w:rPr>
      <w:rFonts w:ascii="Times New Roman" w:hAnsi="Times New Roman"/>
      <w:sz w:val="24"/>
      <w:szCs w:val="24"/>
      <w:lang w:eastAsia="en-AU" w:bidi="ar-SA"/>
    </w:rPr>
  </w:style>
  <w:style w:type="paragraph" w:customStyle="1" w:styleId="HC">
    <w:name w:val="HC"/>
    <w:aliases w:val="Chapter Heading"/>
    <w:basedOn w:val="Normal"/>
    <w:next w:val="Normal"/>
    <w:uiPriority w:val="99"/>
    <w:rsid w:val="009C5367"/>
    <w:pPr>
      <w:keepNext/>
      <w:keepLines/>
      <w:pageBreakBefore/>
      <w:spacing w:before="480"/>
      <w:ind w:left="2410" w:hanging="2410"/>
    </w:pPr>
    <w:rPr>
      <w:b/>
      <w:sz w:val="40"/>
      <w:szCs w:val="24"/>
      <w:lang w:eastAsia="en-AU" w:bidi="ar-SA"/>
    </w:rPr>
  </w:style>
  <w:style w:type="paragraph" w:customStyle="1" w:styleId="HD">
    <w:name w:val="HD"/>
    <w:aliases w:val="Division Heading"/>
    <w:basedOn w:val="Normal"/>
    <w:next w:val="HR"/>
    <w:uiPriority w:val="99"/>
    <w:rsid w:val="009C5367"/>
    <w:pPr>
      <w:keepNext/>
      <w:keepLines/>
      <w:spacing w:before="360"/>
      <w:ind w:left="2410" w:hanging="2410"/>
    </w:pPr>
    <w:rPr>
      <w:b/>
      <w:sz w:val="28"/>
      <w:szCs w:val="24"/>
      <w:lang w:eastAsia="en-AU" w:bidi="ar-SA"/>
    </w:rPr>
  </w:style>
  <w:style w:type="paragraph" w:customStyle="1" w:styleId="HE">
    <w:name w:val="HE"/>
    <w:aliases w:val="Example heading"/>
    <w:basedOn w:val="Normal"/>
    <w:next w:val="ExampleBody"/>
    <w:uiPriority w:val="99"/>
    <w:rsid w:val="009C5367"/>
    <w:pPr>
      <w:keepNext/>
      <w:spacing w:before="120" w:line="220" w:lineRule="exact"/>
      <w:ind w:left="964"/>
    </w:pPr>
    <w:rPr>
      <w:rFonts w:ascii="Times New Roman" w:hAnsi="Times New Roman"/>
      <w:i/>
      <w:szCs w:val="24"/>
      <w:lang w:eastAsia="en-AU" w:bidi="ar-SA"/>
    </w:rPr>
  </w:style>
  <w:style w:type="paragraph" w:customStyle="1" w:styleId="HP">
    <w:name w:val="HP"/>
    <w:aliases w:val="Part Heading"/>
    <w:basedOn w:val="Normal"/>
    <w:next w:val="HD"/>
    <w:uiPriority w:val="99"/>
    <w:rsid w:val="009C5367"/>
    <w:pPr>
      <w:keepNext/>
      <w:keepLines/>
      <w:spacing w:before="360"/>
      <w:ind w:left="2410" w:hanging="2410"/>
    </w:pPr>
    <w:rPr>
      <w:b/>
      <w:sz w:val="32"/>
      <w:szCs w:val="24"/>
      <w:lang w:eastAsia="en-AU" w:bidi="ar-SA"/>
    </w:rPr>
  </w:style>
  <w:style w:type="paragraph" w:customStyle="1" w:styleId="HR">
    <w:name w:val="HR"/>
    <w:aliases w:val="Regulation Heading"/>
    <w:basedOn w:val="Normal"/>
    <w:next w:val="R1"/>
    <w:uiPriority w:val="99"/>
    <w:rsid w:val="009C5367"/>
    <w:pPr>
      <w:keepNext/>
      <w:keepLines/>
      <w:spacing w:before="360"/>
      <w:ind w:left="964" w:hanging="964"/>
    </w:pPr>
    <w:rPr>
      <w:b/>
      <w:sz w:val="24"/>
      <w:szCs w:val="24"/>
      <w:lang w:eastAsia="en-AU" w:bidi="ar-SA"/>
    </w:rPr>
  </w:style>
  <w:style w:type="paragraph" w:customStyle="1" w:styleId="HS">
    <w:name w:val="HS"/>
    <w:aliases w:val="Subdiv Heading"/>
    <w:basedOn w:val="Normal"/>
    <w:next w:val="HR"/>
    <w:uiPriority w:val="99"/>
    <w:rsid w:val="009C5367"/>
    <w:pPr>
      <w:keepNext/>
      <w:keepLines/>
      <w:spacing w:before="360"/>
      <w:ind w:left="2410" w:hanging="2410"/>
    </w:pPr>
    <w:rPr>
      <w:b/>
      <w:sz w:val="24"/>
      <w:szCs w:val="24"/>
      <w:lang w:eastAsia="en-AU" w:bidi="ar-SA"/>
    </w:rPr>
  </w:style>
  <w:style w:type="paragraph" w:customStyle="1" w:styleId="HSR">
    <w:name w:val="HSR"/>
    <w:aliases w:val="Subregulation Heading"/>
    <w:basedOn w:val="Normal"/>
    <w:next w:val="Normal"/>
    <w:uiPriority w:val="99"/>
    <w:rsid w:val="009C5367"/>
    <w:pPr>
      <w:keepNext/>
      <w:spacing w:before="300"/>
      <w:ind w:left="964"/>
    </w:pPr>
    <w:rPr>
      <w:i/>
      <w:sz w:val="24"/>
      <w:szCs w:val="24"/>
      <w:lang w:eastAsia="en-AU" w:bidi="ar-SA"/>
    </w:rPr>
  </w:style>
  <w:style w:type="paragraph" w:styleId="Index1">
    <w:name w:val="index 1"/>
    <w:basedOn w:val="Normal"/>
    <w:next w:val="Normal"/>
    <w:autoRedefine/>
    <w:uiPriority w:val="99"/>
    <w:rsid w:val="009C5367"/>
    <w:pPr>
      <w:ind w:left="240" w:hanging="240"/>
    </w:pPr>
    <w:rPr>
      <w:rFonts w:ascii="Times New Roman" w:hAnsi="Times New Roman"/>
      <w:sz w:val="24"/>
      <w:szCs w:val="24"/>
      <w:lang w:eastAsia="en-AU" w:bidi="ar-SA"/>
    </w:rPr>
  </w:style>
  <w:style w:type="paragraph" w:styleId="Index2">
    <w:name w:val="index 2"/>
    <w:basedOn w:val="Normal"/>
    <w:next w:val="Normal"/>
    <w:autoRedefine/>
    <w:uiPriority w:val="99"/>
    <w:rsid w:val="009C5367"/>
    <w:pPr>
      <w:ind w:left="480" w:hanging="240"/>
    </w:pPr>
    <w:rPr>
      <w:rFonts w:ascii="Times New Roman" w:hAnsi="Times New Roman"/>
      <w:sz w:val="24"/>
      <w:szCs w:val="24"/>
      <w:lang w:eastAsia="en-AU" w:bidi="ar-SA"/>
    </w:rPr>
  </w:style>
  <w:style w:type="paragraph" w:styleId="Index3">
    <w:name w:val="index 3"/>
    <w:basedOn w:val="Normal"/>
    <w:next w:val="Normal"/>
    <w:autoRedefine/>
    <w:uiPriority w:val="99"/>
    <w:rsid w:val="009C5367"/>
    <w:pPr>
      <w:ind w:left="720" w:hanging="240"/>
    </w:pPr>
    <w:rPr>
      <w:rFonts w:ascii="Times New Roman" w:hAnsi="Times New Roman"/>
      <w:sz w:val="24"/>
      <w:szCs w:val="24"/>
      <w:lang w:eastAsia="en-AU" w:bidi="ar-SA"/>
    </w:rPr>
  </w:style>
  <w:style w:type="paragraph" w:styleId="Index4">
    <w:name w:val="index 4"/>
    <w:basedOn w:val="Normal"/>
    <w:next w:val="Normal"/>
    <w:autoRedefine/>
    <w:uiPriority w:val="99"/>
    <w:rsid w:val="009C5367"/>
    <w:pPr>
      <w:ind w:left="960" w:hanging="240"/>
    </w:pPr>
    <w:rPr>
      <w:rFonts w:ascii="Times New Roman" w:hAnsi="Times New Roman"/>
      <w:sz w:val="24"/>
      <w:szCs w:val="24"/>
      <w:lang w:eastAsia="en-AU" w:bidi="ar-SA"/>
    </w:rPr>
  </w:style>
  <w:style w:type="paragraph" w:styleId="Index5">
    <w:name w:val="index 5"/>
    <w:basedOn w:val="Normal"/>
    <w:next w:val="Normal"/>
    <w:autoRedefine/>
    <w:uiPriority w:val="99"/>
    <w:rsid w:val="009C5367"/>
    <w:pPr>
      <w:ind w:left="1200" w:hanging="240"/>
    </w:pPr>
    <w:rPr>
      <w:rFonts w:ascii="Times New Roman" w:hAnsi="Times New Roman"/>
      <w:sz w:val="24"/>
      <w:szCs w:val="24"/>
      <w:lang w:eastAsia="en-AU" w:bidi="ar-SA"/>
    </w:rPr>
  </w:style>
  <w:style w:type="paragraph" w:styleId="Index6">
    <w:name w:val="index 6"/>
    <w:basedOn w:val="Normal"/>
    <w:next w:val="Normal"/>
    <w:autoRedefine/>
    <w:uiPriority w:val="99"/>
    <w:rsid w:val="009C5367"/>
    <w:pPr>
      <w:ind w:left="1440" w:hanging="240"/>
    </w:pPr>
    <w:rPr>
      <w:rFonts w:ascii="Times New Roman" w:hAnsi="Times New Roman"/>
      <w:sz w:val="24"/>
      <w:szCs w:val="24"/>
      <w:lang w:eastAsia="en-AU" w:bidi="ar-SA"/>
    </w:rPr>
  </w:style>
  <w:style w:type="paragraph" w:styleId="Index7">
    <w:name w:val="index 7"/>
    <w:basedOn w:val="Normal"/>
    <w:next w:val="Normal"/>
    <w:autoRedefine/>
    <w:uiPriority w:val="99"/>
    <w:rsid w:val="009C5367"/>
    <w:pPr>
      <w:ind w:left="1680" w:hanging="240"/>
    </w:pPr>
    <w:rPr>
      <w:rFonts w:ascii="Times New Roman" w:hAnsi="Times New Roman"/>
      <w:sz w:val="24"/>
      <w:szCs w:val="24"/>
      <w:lang w:eastAsia="en-AU" w:bidi="ar-SA"/>
    </w:rPr>
  </w:style>
  <w:style w:type="paragraph" w:styleId="Index8">
    <w:name w:val="index 8"/>
    <w:basedOn w:val="Normal"/>
    <w:next w:val="Normal"/>
    <w:autoRedefine/>
    <w:uiPriority w:val="99"/>
    <w:rsid w:val="009C5367"/>
    <w:pPr>
      <w:ind w:left="1920" w:hanging="240"/>
    </w:pPr>
    <w:rPr>
      <w:rFonts w:ascii="Times New Roman" w:hAnsi="Times New Roman"/>
      <w:sz w:val="24"/>
      <w:szCs w:val="24"/>
      <w:lang w:eastAsia="en-AU" w:bidi="ar-SA"/>
    </w:rPr>
  </w:style>
  <w:style w:type="paragraph" w:styleId="Index9">
    <w:name w:val="index 9"/>
    <w:basedOn w:val="Normal"/>
    <w:next w:val="Normal"/>
    <w:autoRedefine/>
    <w:uiPriority w:val="99"/>
    <w:rsid w:val="009C5367"/>
    <w:pPr>
      <w:ind w:left="2160" w:hanging="240"/>
    </w:pPr>
    <w:rPr>
      <w:rFonts w:ascii="Times New Roman" w:hAnsi="Times New Roman"/>
      <w:sz w:val="24"/>
      <w:szCs w:val="24"/>
      <w:lang w:eastAsia="en-AU" w:bidi="ar-SA"/>
    </w:rPr>
  </w:style>
  <w:style w:type="paragraph" w:styleId="IndexHeading">
    <w:name w:val="index heading"/>
    <w:basedOn w:val="Normal"/>
    <w:next w:val="Index1"/>
    <w:uiPriority w:val="99"/>
    <w:rsid w:val="009C5367"/>
    <w:rPr>
      <w:rFonts w:cs="Arial"/>
      <w:b/>
      <w:bCs/>
      <w:sz w:val="24"/>
      <w:szCs w:val="24"/>
      <w:lang w:eastAsia="en-AU" w:bidi="ar-SA"/>
    </w:rPr>
  </w:style>
  <w:style w:type="paragraph" w:customStyle="1" w:styleId="Lt">
    <w:name w:val="Lt"/>
    <w:aliases w:val="Long title"/>
    <w:basedOn w:val="Normal"/>
    <w:uiPriority w:val="99"/>
    <w:rsid w:val="009C5367"/>
    <w:pPr>
      <w:spacing w:before="260"/>
    </w:pPr>
    <w:rPr>
      <w:b/>
      <w:sz w:val="28"/>
      <w:szCs w:val="24"/>
      <w:lang w:eastAsia="en-AU" w:bidi="ar-SA"/>
    </w:rPr>
  </w:style>
  <w:style w:type="paragraph" w:customStyle="1" w:styleId="M1">
    <w:name w:val="M1"/>
    <w:aliases w:val="Modification Heading"/>
    <w:basedOn w:val="Normal"/>
    <w:next w:val="Normal"/>
    <w:uiPriority w:val="99"/>
    <w:rsid w:val="009C5367"/>
    <w:pPr>
      <w:keepNext/>
      <w:spacing w:before="480" w:line="260" w:lineRule="exact"/>
      <w:ind w:left="964" w:hanging="964"/>
    </w:pPr>
    <w:rPr>
      <w:b/>
      <w:sz w:val="24"/>
      <w:szCs w:val="24"/>
      <w:lang w:eastAsia="en-AU" w:bidi="ar-SA"/>
    </w:rPr>
  </w:style>
  <w:style w:type="paragraph" w:customStyle="1" w:styleId="M2">
    <w:name w:val="M2"/>
    <w:aliases w:val="Modification Instruction"/>
    <w:basedOn w:val="Normal"/>
    <w:next w:val="Normal"/>
    <w:uiPriority w:val="99"/>
    <w:rsid w:val="009C5367"/>
    <w:pPr>
      <w:keepNext/>
      <w:spacing w:before="120" w:line="260" w:lineRule="exact"/>
      <w:ind w:left="964"/>
    </w:pPr>
    <w:rPr>
      <w:rFonts w:ascii="Times New Roman" w:hAnsi="Times New Roman"/>
      <w:i/>
      <w:sz w:val="24"/>
      <w:szCs w:val="24"/>
      <w:lang w:eastAsia="en-AU" w:bidi="ar-SA"/>
    </w:rPr>
  </w:style>
  <w:style w:type="paragraph" w:customStyle="1" w:styleId="M3">
    <w:name w:val="M3"/>
    <w:aliases w:val="Modification Text"/>
    <w:basedOn w:val="Normal"/>
    <w:next w:val="M1"/>
    <w:uiPriority w:val="99"/>
    <w:rsid w:val="009C5367"/>
    <w:pPr>
      <w:spacing w:before="60" w:line="260" w:lineRule="exact"/>
      <w:ind w:left="1247"/>
      <w:jc w:val="both"/>
    </w:pPr>
    <w:rPr>
      <w:rFonts w:ascii="Times New Roman" w:hAnsi="Times New Roman"/>
      <w:sz w:val="24"/>
      <w:szCs w:val="24"/>
      <w:lang w:eastAsia="en-AU" w:bidi="ar-SA"/>
    </w:rPr>
  </w:style>
  <w:style w:type="paragraph" w:styleId="MacroText">
    <w:name w:val="macro"/>
    <w:link w:val="MacroTextChar"/>
    <w:uiPriority w:val="99"/>
    <w:rsid w:val="009C53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locked/>
    <w:rsid w:val="008B7D77"/>
    <w:rPr>
      <w:rFonts w:ascii="Courier New" w:hAnsi="Courier New" w:cs="Courier New"/>
      <w:lang w:val="en-AU" w:eastAsia="en-US" w:bidi="ar-SA"/>
    </w:rPr>
  </w:style>
  <w:style w:type="paragraph" w:customStyle="1" w:styleId="MainBodySectionBreak">
    <w:name w:val="MainBody Section Break"/>
    <w:basedOn w:val="Normal"/>
    <w:next w:val="Normal"/>
    <w:uiPriority w:val="99"/>
    <w:rsid w:val="009C5367"/>
    <w:rPr>
      <w:rFonts w:ascii="Times New Roman" w:hAnsi="Times New Roman"/>
      <w:sz w:val="24"/>
      <w:szCs w:val="24"/>
      <w:lang w:eastAsia="en-AU" w:bidi="ar-SA"/>
    </w:rPr>
  </w:style>
  <w:style w:type="paragraph" w:customStyle="1" w:styleId="Maker">
    <w:name w:val="Maker"/>
    <w:basedOn w:val="Normal"/>
    <w:uiPriority w:val="99"/>
    <w:rsid w:val="009C5367"/>
    <w:pPr>
      <w:tabs>
        <w:tab w:val="left" w:pos="3119"/>
      </w:tabs>
      <w:spacing w:line="300" w:lineRule="atLeast"/>
    </w:pPr>
    <w:rPr>
      <w:rFonts w:ascii="Times New Roman" w:hAnsi="Times New Roman"/>
      <w:sz w:val="24"/>
      <w:szCs w:val="24"/>
      <w:lang w:eastAsia="en-AU" w:bidi="ar-SA"/>
    </w:rPr>
  </w:style>
  <w:style w:type="paragraph" w:customStyle="1" w:styleId="MHD">
    <w:name w:val="MHD"/>
    <w:aliases w:val="Mod Division Heading"/>
    <w:basedOn w:val="Normal"/>
    <w:next w:val="Normal"/>
    <w:uiPriority w:val="99"/>
    <w:rsid w:val="009C5367"/>
    <w:pPr>
      <w:keepNext/>
      <w:spacing w:before="360"/>
      <w:ind w:left="2410" w:hanging="2410"/>
    </w:pPr>
    <w:rPr>
      <w:rFonts w:ascii="Times New Roman" w:hAnsi="Times New Roman"/>
      <w:b/>
      <w:sz w:val="28"/>
      <w:szCs w:val="24"/>
      <w:lang w:eastAsia="en-AU" w:bidi="ar-SA"/>
    </w:rPr>
  </w:style>
  <w:style w:type="paragraph" w:customStyle="1" w:styleId="MHP">
    <w:name w:val="MHP"/>
    <w:aliases w:val="Mod Part Heading"/>
    <w:basedOn w:val="Normal"/>
    <w:next w:val="Normal"/>
    <w:uiPriority w:val="99"/>
    <w:rsid w:val="009C5367"/>
    <w:pPr>
      <w:keepNext/>
      <w:spacing w:before="360"/>
      <w:ind w:left="2410" w:hanging="2410"/>
    </w:pPr>
    <w:rPr>
      <w:rFonts w:ascii="Times New Roman" w:hAnsi="Times New Roman"/>
      <w:b/>
      <w:sz w:val="32"/>
      <w:szCs w:val="24"/>
      <w:lang w:eastAsia="en-AU" w:bidi="ar-SA"/>
    </w:rPr>
  </w:style>
  <w:style w:type="paragraph" w:customStyle="1" w:styleId="MHR">
    <w:name w:val="MHR"/>
    <w:aliases w:val="Mod Regulation Heading"/>
    <w:basedOn w:val="Normal"/>
    <w:next w:val="Normal"/>
    <w:uiPriority w:val="99"/>
    <w:rsid w:val="009C5367"/>
    <w:pPr>
      <w:keepNext/>
      <w:spacing w:before="360"/>
      <w:ind w:left="964" w:hanging="964"/>
    </w:pPr>
    <w:rPr>
      <w:rFonts w:ascii="Times New Roman" w:hAnsi="Times New Roman"/>
      <w:b/>
      <w:sz w:val="24"/>
      <w:szCs w:val="24"/>
      <w:lang w:eastAsia="en-AU" w:bidi="ar-SA"/>
    </w:rPr>
  </w:style>
  <w:style w:type="paragraph" w:customStyle="1" w:styleId="MHS">
    <w:name w:val="MHS"/>
    <w:aliases w:val="Mod Subdivision Heading"/>
    <w:basedOn w:val="Normal"/>
    <w:next w:val="MHR"/>
    <w:uiPriority w:val="99"/>
    <w:rsid w:val="009C5367"/>
    <w:pPr>
      <w:keepNext/>
      <w:spacing w:before="360"/>
      <w:ind w:left="2410" w:hanging="2410"/>
    </w:pPr>
    <w:rPr>
      <w:rFonts w:ascii="Times New Roman" w:hAnsi="Times New Roman"/>
      <w:b/>
      <w:sz w:val="24"/>
      <w:szCs w:val="24"/>
      <w:lang w:eastAsia="en-AU" w:bidi="ar-SA"/>
    </w:rPr>
  </w:style>
  <w:style w:type="paragraph" w:customStyle="1" w:styleId="MHSR">
    <w:name w:val="MHSR"/>
    <w:aliases w:val="Mod Subregulation Heading"/>
    <w:basedOn w:val="Normal"/>
    <w:next w:val="Normal"/>
    <w:uiPriority w:val="99"/>
    <w:rsid w:val="009C5367"/>
    <w:pPr>
      <w:keepNext/>
      <w:spacing w:before="300"/>
      <w:ind w:left="964" w:hanging="964"/>
    </w:pPr>
    <w:rPr>
      <w:rFonts w:ascii="Times New Roman" w:hAnsi="Times New Roman"/>
      <w:i/>
      <w:sz w:val="24"/>
      <w:szCs w:val="24"/>
      <w:lang w:eastAsia="en-AU" w:bidi="ar-SA"/>
    </w:rPr>
  </w:style>
  <w:style w:type="paragraph" w:customStyle="1" w:styleId="Note">
    <w:name w:val="Note"/>
    <w:basedOn w:val="Normal"/>
    <w:uiPriority w:val="99"/>
    <w:rsid w:val="009C5367"/>
    <w:pPr>
      <w:keepLines/>
      <w:spacing w:before="120" w:line="220" w:lineRule="exact"/>
      <w:ind w:left="964"/>
      <w:jc w:val="both"/>
    </w:pPr>
    <w:rPr>
      <w:rFonts w:ascii="Times New Roman" w:hAnsi="Times New Roman"/>
      <w:szCs w:val="24"/>
      <w:lang w:eastAsia="en-AU" w:bidi="ar-SA"/>
    </w:rPr>
  </w:style>
  <w:style w:type="paragraph" w:customStyle="1" w:styleId="NoteEnd">
    <w:name w:val="Note End"/>
    <w:basedOn w:val="Normal"/>
    <w:uiPriority w:val="99"/>
    <w:rsid w:val="009C5367"/>
    <w:pPr>
      <w:keepLines/>
      <w:spacing w:before="120" w:line="240" w:lineRule="exact"/>
      <w:ind w:left="567" w:hanging="567"/>
      <w:jc w:val="both"/>
    </w:pPr>
    <w:rPr>
      <w:rFonts w:ascii="Times New Roman" w:hAnsi="Times New Roman"/>
      <w:sz w:val="22"/>
      <w:szCs w:val="24"/>
      <w:lang w:eastAsia="en-AU" w:bidi="ar-SA"/>
    </w:rPr>
  </w:style>
  <w:style w:type="paragraph" w:customStyle="1" w:styleId="Notepara">
    <w:name w:val="Note para"/>
    <w:basedOn w:val="Normal"/>
    <w:uiPriority w:val="99"/>
    <w:rsid w:val="009C5367"/>
    <w:pPr>
      <w:keepLines/>
      <w:spacing w:before="60" w:line="220" w:lineRule="exact"/>
      <w:ind w:left="1304" w:hanging="340"/>
      <w:jc w:val="both"/>
    </w:pPr>
    <w:rPr>
      <w:rFonts w:ascii="Times New Roman" w:hAnsi="Times New Roman"/>
      <w:szCs w:val="24"/>
      <w:lang w:eastAsia="en-AU" w:bidi="ar-SA"/>
    </w:rPr>
  </w:style>
  <w:style w:type="paragraph" w:customStyle="1" w:styleId="NotesSectionBreak">
    <w:name w:val="NotesSectionBreak"/>
    <w:basedOn w:val="Normal"/>
    <w:next w:val="Normal"/>
    <w:uiPriority w:val="99"/>
    <w:rsid w:val="009C5367"/>
    <w:rPr>
      <w:rFonts w:ascii="Times New Roman" w:hAnsi="Times New Roman"/>
      <w:sz w:val="24"/>
      <w:szCs w:val="24"/>
      <w:lang w:eastAsia="en-AU" w:bidi="ar-SA"/>
    </w:rPr>
  </w:style>
  <w:style w:type="paragraph" w:customStyle="1" w:styleId="P1">
    <w:name w:val="P1"/>
    <w:aliases w:val="(a)"/>
    <w:basedOn w:val="Normal"/>
    <w:uiPriority w:val="99"/>
    <w:rsid w:val="009C5367"/>
    <w:pPr>
      <w:keepLines/>
      <w:tabs>
        <w:tab w:val="right" w:pos="1191"/>
      </w:tabs>
      <w:spacing w:before="60" w:line="260" w:lineRule="exact"/>
      <w:ind w:left="1418" w:hanging="1418"/>
      <w:jc w:val="both"/>
    </w:pPr>
    <w:rPr>
      <w:rFonts w:ascii="Times New Roman" w:hAnsi="Times New Roman"/>
      <w:sz w:val="24"/>
      <w:szCs w:val="24"/>
      <w:lang w:eastAsia="en-AU" w:bidi="ar-SA"/>
    </w:rPr>
  </w:style>
  <w:style w:type="paragraph" w:customStyle="1" w:styleId="P2">
    <w:name w:val="P2"/>
    <w:aliases w:val="(i)"/>
    <w:basedOn w:val="Normal"/>
    <w:uiPriority w:val="99"/>
    <w:rsid w:val="009C5367"/>
    <w:pPr>
      <w:keepLines/>
      <w:tabs>
        <w:tab w:val="right" w:pos="1758"/>
        <w:tab w:val="left" w:pos="2155"/>
      </w:tabs>
      <w:spacing w:before="60" w:line="260" w:lineRule="exact"/>
      <w:ind w:left="1985" w:hanging="1985"/>
      <w:jc w:val="both"/>
    </w:pPr>
    <w:rPr>
      <w:rFonts w:ascii="Times New Roman" w:hAnsi="Times New Roman"/>
      <w:sz w:val="24"/>
      <w:szCs w:val="24"/>
      <w:lang w:eastAsia="en-AU" w:bidi="ar-SA"/>
    </w:rPr>
  </w:style>
  <w:style w:type="paragraph" w:customStyle="1" w:styleId="P3">
    <w:name w:val="P3"/>
    <w:aliases w:val="(A)"/>
    <w:basedOn w:val="Normal"/>
    <w:uiPriority w:val="99"/>
    <w:rsid w:val="009C5367"/>
    <w:pPr>
      <w:tabs>
        <w:tab w:val="right" w:pos="2410"/>
      </w:tabs>
      <w:spacing w:before="60" w:line="260" w:lineRule="exact"/>
      <w:ind w:left="2693" w:hanging="2693"/>
      <w:jc w:val="both"/>
    </w:pPr>
    <w:rPr>
      <w:rFonts w:ascii="Times New Roman" w:hAnsi="Times New Roman"/>
      <w:sz w:val="24"/>
      <w:szCs w:val="24"/>
      <w:lang w:eastAsia="en-AU" w:bidi="ar-SA"/>
    </w:rPr>
  </w:style>
  <w:style w:type="paragraph" w:customStyle="1" w:styleId="P4">
    <w:name w:val="P4"/>
    <w:aliases w:val="(I)"/>
    <w:basedOn w:val="Normal"/>
    <w:uiPriority w:val="99"/>
    <w:rsid w:val="009C5367"/>
    <w:pPr>
      <w:tabs>
        <w:tab w:val="right" w:pos="3119"/>
      </w:tabs>
      <w:spacing w:before="60" w:line="260" w:lineRule="exact"/>
      <w:ind w:left="3419" w:hanging="3419"/>
      <w:jc w:val="both"/>
    </w:pPr>
    <w:rPr>
      <w:rFonts w:ascii="Times New Roman" w:hAnsi="Times New Roman"/>
      <w:sz w:val="24"/>
      <w:szCs w:val="24"/>
      <w:lang w:eastAsia="en-AU" w:bidi="ar-SA"/>
    </w:rPr>
  </w:style>
  <w:style w:type="paragraph" w:customStyle="1" w:styleId="PageBreak">
    <w:name w:val="PageBreak"/>
    <w:aliases w:val="pb"/>
    <w:basedOn w:val="Normal"/>
    <w:next w:val="Normal"/>
    <w:uiPriority w:val="99"/>
    <w:rsid w:val="009C5367"/>
    <w:rPr>
      <w:rFonts w:ascii="Times New Roman" w:hAnsi="Times New Roman"/>
      <w:sz w:val="4"/>
      <w:szCs w:val="2"/>
      <w:lang w:eastAsia="en-AU" w:bidi="ar-SA"/>
    </w:rPr>
  </w:style>
  <w:style w:type="paragraph" w:customStyle="1" w:styleId="Penalty">
    <w:name w:val="Penalty"/>
    <w:basedOn w:val="Normal"/>
    <w:next w:val="Normal"/>
    <w:uiPriority w:val="99"/>
    <w:rsid w:val="009C5367"/>
    <w:pPr>
      <w:spacing w:before="180" w:line="260" w:lineRule="exact"/>
      <w:ind w:left="964"/>
      <w:jc w:val="both"/>
    </w:pPr>
    <w:rPr>
      <w:rFonts w:ascii="Times New Roman" w:hAnsi="Times New Roman"/>
      <w:sz w:val="24"/>
      <w:szCs w:val="24"/>
      <w:lang w:eastAsia="en-AU" w:bidi="ar-SA"/>
    </w:rPr>
  </w:style>
  <w:style w:type="paragraph" w:customStyle="1" w:styleId="Query">
    <w:name w:val="Query"/>
    <w:aliases w:val="QY"/>
    <w:basedOn w:val="Normal"/>
    <w:uiPriority w:val="99"/>
    <w:rsid w:val="009C5367"/>
    <w:pPr>
      <w:spacing w:before="180" w:line="260" w:lineRule="exact"/>
      <w:ind w:left="964" w:hanging="964"/>
      <w:jc w:val="both"/>
    </w:pPr>
    <w:rPr>
      <w:rFonts w:ascii="Times New Roman" w:hAnsi="Times New Roman"/>
      <w:b/>
      <w:i/>
      <w:sz w:val="24"/>
      <w:szCs w:val="24"/>
      <w:lang w:eastAsia="en-AU" w:bidi="ar-SA"/>
    </w:rPr>
  </w:style>
  <w:style w:type="paragraph" w:customStyle="1" w:styleId="R1">
    <w:name w:val="R1"/>
    <w:aliases w:val="1. or 1.(1)"/>
    <w:basedOn w:val="Normal"/>
    <w:next w:val="R2"/>
    <w:uiPriority w:val="99"/>
    <w:rsid w:val="009C5367"/>
    <w:pPr>
      <w:keepLines/>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R2">
    <w:name w:val="R2"/>
    <w:aliases w:val="(2)"/>
    <w:basedOn w:val="Normal"/>
    <w:uiPriority w:val="99"/>
    <w:rsid w:val="009C5367"/>
    <w:pPr>
      <w:keepLines/>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Rc">
    <w:name w:val="Rc"/>
    <w:aliases w:val="Rn continued"/>
    <w:basedOn w:val="Normal"/>
    <w:next w:val="R2"/>
    <w:uiPriority w:val="99"/>
    <w:rsid w:val="009C5367"/>
    <w:pPr>
      <w:spacing w:before="60" w:line="260" w:lineRule="exact"/>
      <w:ind w:left="964"/>
      <w:jc w:val="both"/>
    </w:pPr>
    <w:rPr>
      <w:rFonts w:ascii="Times New Roman" w:hAnsi="Times New Roman"/>
      <w:sz w:val="24"/>
      <w:szCs w:val="24"/>
      <w:lang w:eastAsia="en-AU" w:bidi="ar-SA"/>
    </w:rPr>
  </w:style>
  <w:style w:type="paragraph" w:customStyle="1" w:styleId="ReadersGuideSectionBreak">
    <w:name w:val="ReadersGuideSectionBreak"/>
    <w:basedOn w:val="Normal"/>
    <w:next w:val="Normal"/>
    <w:uiPriority w:val="99"/>
    <w:rsid w:val="009C5367"/>
    <w:rPr>
      <w:rFonts w:ascii="Times New Roman" w:hAnsi="Times New Roman"/>
      <w:sz w:val="24"/>
      <w:szCs w:val="24"/>
      <w:lang w:eastAsia="en-AU" w:bidi="ar-SA"/>
    </w:rPr>
  </w:style>
  <w:style w:type="paragraph" w:customStyle="1" w:styleId="RGHead">
    <w:name w:val="RGHead"/>
    <w:basedOn w:val="Normal"/>
    <w:next w:val="Normal"/>
    <w:uiPriority w:val="99"/>
    <w:rsid w:val="009C5367"/>
    <w:pPr>
      <w:keepNext/>
      <w:spacing w:before="360"/>
    </w:pPr>
    <w:rPr>
      <w:b/>
      <w:sz w:val="32"/>
      <w:szCs w:val="24"/>
      <w:lang w:eastAsia="en-AU" w:bidi="ar-SA"/>
    </w:rPr>
  </w:style>
  <w:style w:type="paragraph" w:customStyle="1" w:styleId="RGPara">
    <w:name w:val="RGPara"/>
    <w:aliases w:val="Readers Guide Para"/>
    <w:basedOn w:val="Normal"/>
    <w:uiPriority w:val="99"/>
    <w:rsid w:val="009C5367"/>
    <w:pPr>
      <w:spacing w:before="120" w:line="260" w:lineRule="exact"/>
      <w:jc w:val="both"/>
    </w:pPr>
    <w:rPr>
      <w:rFonts w:ascii="Times New Roman" w:hAnsi="Times New Roman"/>
      <w:sz w:val="24"/>
      <w:szCs w:val="24"/>
      <w:lang w:eastAsia="en-AU" w:bidi="ar-SA"/>
    </w:rPr>
  </w:style>
  <w:style w:type="paragraph" w:customStyle="1" w:styleId="RGPtHd">
    <w:name w:val="RGPtHd"/>
    <w:aliases w:val="Readers Guide PT Heading"/>
    <w:basedOn w:val="Normal"/>
    <w:next w:val="Normal"/>
    <w:uiPriority w:val="99"/>
    <w:rsid w:val="009C5367"/>
    <w:pPr>
      <w:keepNext/>
      <w:spacing w:before="360"/>
    </w:pPr>
    <w:rPr>
      <w:b/>
      <w:sz w:val="28"/>
      <w:szCs w:val="24"/>
      <w:lang w:eastAsia="en-AU" w:bidi="ar-SA"/>
    </w:rPr>
  </w:style>
  <w:style w:type="paragraph" w:customStyle="1" w:styleId="RGSecHdg">
    <w:name w:val="RGSecHdg"/>
    <w:aliases w:val="Readers Guide Sec Heading"/>
    <w:basedOn w:val="Normal"/>
    <w:next w:val="RGPara"/>
    <w:uiPriority w:val="99"/>
    <w:rsid w:val="009C5367"/>
    <w:pPr>
      <w:keepNext/>
      <w:spacing w:before="360"/>
      <w:ind w:left="964" w:hanging="964"/>
    </w:pPr>
    <w:rPr>
      <w:b/>
      <w:sz w:val="24"/>
      <w:szCs w:val="24"/>
      <w:lang w:eastAsia="en-AU" w:bidi="ar-SA"/>
    </w:rPr>
  </w:style>
  <w:style w:type="paragraph" w:customStyle="1" w:styleId="LandscapeSectionBreak">
    <w:name w:val="LandscapeSectionBreak"/>
    <w:basedOn w:val="Normal"/>
    <w:next w:val="Normal"/>
    <w:uiPriority w:val="99"/>
    <w:rsid w:val="009C5367"/>
    <w:rPr>
      <w:rFonts w:ascii="Times New Roman" w:hAnsi="Times New Roman"/>
      <w:sz w:val="24"/>
      <w:szCs w:val="24"/>
      <w:lang w:eastAsia="en-AU" w:bidi="ar-SA"/>
    </w:rPr>
  </w:style>
  <w:style w:type="paragraph" w:customStyle="1" w:styleId="ScheduleDivision">
    <w:name w:val="Schedule Division"/>
    <w:basedOn w:val="Normal"/>
    <w:next w:val="ScheduleHeading"/>
    <w:uiPriority w:val="99"/>
    <w:rsid w:val="009C5367"/>
    <w:pPr>
      <w:keepNext/>
      <w:keepLines/>
      <w:spacing w:before="360"/>
      <w:ind w:left="1559" w:hanging="1559"/>
    </w:pPr>
    <w:rPr>
      <w:b/>
      <w:sz w:val="24"/>
      <w:szCs w:val="24"/>
      <w:lang w:eastAsia="en-AU" w:bidi="ar-SA"/>
    </w:rPr>
  </w:style>
  <w:style w:type="character" w:customStyle="1" w:styleId="CharSchNo">
    <w:name w:val="CharSchNo"/>
    <w:basedOn w:val="DefaultParagraphFont"/>
    <w:uiPriority w:val="99"/>
    <w:rsid w:val="009C5367"/>
    <w:rPr>
      <w:rFonts w:cs="Times New Roman"/>
    </w:rPr>
  </w:style>
  <w:style w:type="character" w:customStyle="1" w:styleId="CharSchText">
    <w:name w:val="CharSchText"/>
    <w:basedOn w:val="DefaultParagraphFont"/>
    <w:uiPriority w:val="99"/>
    <w:rsid w:val="009C5367"/>
    <w:rPr>
      <w:rFonts w:cs="Times New Roman"/>
    </w:rPr>
  </w:style>
  <w:style w:type="paragraph" w:customStyle="1" w:styleId="IntroP1a">
    <w:name w:val="IntroP1(a)"/>
    <w:basedOn w:val="Normal"/>
    <w:uiPriority w:val="99"/>
    <w:rsid w:val="009C5367"/>
    <w:pPr>
      <w:spacing w:before="60" w:line="260" w:lineRule="exact"/>
      <w:ind w:left="454" w:hanging="454"/>
      <w:jc w:val="both"/>
    </w:pPr>
    <w:rPr>
      <w:rFonts w:ascii="Times New Roman" w:hAnsi="Times New Roman"/>
      <w:sz w:val="24"/>
      <w:szCs w:val="24"/>
      <w:lang w:eastAsia="en-AU" w:bidi="ar-SA"/>
    </w:rPr>
  </w:style>
  <w:style w:type="character" w:customStyle="1" w:styleId="CharAmSchPTNo">
    <w:name w:val="CharAmSchPTNo"/>
    <w:basedOn w:val="DefaultParagraphFont"/>
    <w:uiPriority w:val="99"/>
    <w:rsid w:val="009C5367"/>
    <w:rPr>
      <w:rFonts w:cs="Times New Roman"/>
    </w:rPr>
  </w:style>
  <w:style w:type="character" w:customStyle="1" w:styleId="CharAmSchPTText">
    <w:name w:val="CharAmSchPTText"/>
    <w:basedOn w:val="DefaultParagraphFont"/>
    <w:uiPriority w:val="99"/>
    <w:rsid w:val="009C5367"/>
    <w:rPr>
      <w:rFonts w:cs="Times New Roman"/>
    </w:rPr>
  </w:style>
  <w:style w:type="paragraph" w:customStyle="1" w:styleId="Footerinfo0">
    <w:name w:val="Footerinfo"/>
    <w:basedOn w:val="Footer"/>
    <w:uiPriority w:val="99"/>
    <w:rsid w:val="009C5367"/>
    <w:pPr>
      <w:tabs>
        <w:tab w:val="clear" w:pos="4320"/>
        <w:tab w:val="clear" w:pos="8640"/>
        <w:tab w:val="center" w:pos="3600"/>
        <w:tab w:val="right" w:pos="7201"/>
      </w:tabs>
      <w:spacing w:before="20"/>
      <w:jc w:val="center"/>
    </w:pPr>
    <w:rPr>
      <w:i/>
      <w:sz w:val="12"/>
      <w:szCs w:val="18"/>
      <w:lang w:eastAsia="en-AU" w:bidi="ar-SA"/>
    </w:rPr>
  </w:style>
  <w:style w:type="paragraph" w:customStyle="1" w:styleId="FooterPageEven">
    <w:name w:val="FooterPageEven"/>
    <w:basedOn w:val="FooterPageOdd"/>
    <w:uiPriority w:val="99"/>
    <w:rsid w:val="009C5367"/>
    <w:pPr>
      <w:jc w:val="left"/>
    </w:pPr>
  </w:style>
  <w:style w:type="paragraph" w:customStyle="1" w:styleId="FooterPageOdd">
    <w:name w:val="FooterPageOdd"/>
    <w:basedOn w:val="Footer"/>
    <w:uiPriority w:val="99"/>
    <w:rsid w:val="009C5367"/>
    <w:pPr>
      <w:tabs>
        <w:tab w:val="clear" w:pos="4320"/>
        <w:tab w:val="clear" w:pos="8640"/>
        <w:tab w:val="center" w:pos="3600"/>
        <w:tab w:val="right" w:pos="7201"/>
      </w:tabs>
      <w:spacing w:before="20"/>
      <w:jc w:val="right"/>
    </w:pPr>
    <w:rPr>
      <w:sz w:val="22"/>
      <w:szCs w:val="18"/>
      <w:lang w:eastAsia="en-AU" w:bidi="ar-SA"/>
    </w:rPr>
  </w:style>
  <w:style w:type="paragraph" w:customStyle="1" w:styleId="FooterCitation">
    <w:name w:val="FooterCitation"/>
    <w:basedOn w:val="Footer"/>
    <w:uiPriority w:val="99"/>
    <w:rsid w:val="009C5367"/>
    <w:pPr>
      <w:tabs>
        <w:tab w:val="clear" w:pos="4320"/>
        <w:tab w:val="clear" w:pos="8640"/>
        <w:tab w:val="center" w:pos="4153"/>
        <w:tab w:val="right" w:pos="8306"/>
      </w:tabs>
      <w:spacing w:before="20" w:line="240" w:lineRule="exact"/>
      <w:jc w:val="center"/>
    </w:pPr>
    <w:rPr>
      <w:i/>
      <w:sz w:val="18"/>
      <w:szCs w:val="24"/>
      <w:lang w:eastAsia="en-AU" w:bidi="ar-SA"/>
    </w:rPr>
  </w:style>
  <w:style w:type="paragraph" w:customStyle="1" w:styleId="SchedSectionBreak">
    <w:name w:val="SchedSectionBreak"/>
    <w:basedOn w:val="Normal"/>
    <w:next w:val="Normal"/>
    <w:uiPriority w:val="99"/>
    <w:rsid w:val="009C5367"/>
    <w:rPr>
      <w:rFonts w:ascii="Times New Roman" w:hAnsi="Times New Roman"/>
      <w:sz w:val="24"/>
      <w:szCs w:val="24"/>
      <w:lang w:eastAsia="en-AU" w:bidi="ar-SA"/>
    </w:rPr>
  </w:style>
  <w:style w:type="paragraph" w:customStyle="1" w:styleId="ScheduleHeading">
    <w:name w:val="Schedule Heading"/>
    <w:basedOn w:val="Normal"/>
    <w:next w:val="Normal"/>
    <w:uiPriority w:val="99"/>
    <w:rsid w:val="009C5367"/>
    <w:pPr>
      <w:keepNext/>
      <w:keepLines/>
      <w:spacing w:before="360"/>
      <w:ind w:left="964" w:hanging="964"/>
    </w:pPr>
    <w:rPr>
      <w:b/>
      <w:sz w:val="24"/>
      <w:szCs w:val="24"/>
      <w:lang w:eastAsia="en-AU" w:bidi="ar-SA"/>
    </w:rPr>
  </w:style>
  <w:style w:type="paragraph" w:customStyle="1" w:styleId="Schedulelist">
    <w:name w:val="Schedule list"/>
    <w:basedOn w:val="Normal"/>
    <w:uiPriority w:val="99"/>
    <w:rsid w:val="009C5367"/>
    <w:pPr>
      <w:tabs>
        <w:tab w:val="right" w:pos="1985"/>
      </w:tabs>
      <w:spacing w:before="60" w:line="260" w:lineRule="exact"/>
      <w:ind w:left="454"/>
    </w:pPr>
    <w:rPr>
      <w:rFonts w:ascii="Times New Roman" w:hAnsi="Times New Roman"/>
      <w:sz w:val="24"/>
      <w:szCs w:val="24"/>
      <w:lang w:eastAsia="en-AU" w:bidi="ar-SA"/>
    </w:rPr>
  </w:style>
  <w:style w:type="paragraph" w:customStyle="1" w:styleId="Schedulepara">
    <w:name w:val="Schedule para"/>
    <w:basedOn w:val="Normal"/>
    <w:uiPriority w:val="99"/>
    <w:rsid w:val="009C5367"/>
    <w:pPr>
      <w:tabs>
        <w:tab w:val="right" w:pos="567"/>
      </w:tabs>
      <w:spacing w:before="180" w:line="260" w:lineRule="exact"/>
      <w:ind w:left="964" w:hanging="964"/>
      <w:jc w:val="both"/>
    </w:pPr>
    <w:rPr>
      <w:rFonts w:ascii="Times New Roman" w:hAnsi="Times New Roman"/>
      <w:sz w:val="24"/>
      <w:szCs w:val="24"/>
      <w:lang w:eastAsia="en-AU" w:bidi="ar-SA"/>
    </w:rPr>
  </w:style>
  <w:style w:type="paragraph" w:customStyle="1" w:styleId="Schedulepart">
    <w:name w:val="Schedule part"/>
    <w:basedOn w:val="Normal"/>
    <w:uiPriority w:val="99"/>
    <w:rsid w:val="009C5367"/>
    <w:pPr>
      <w:keepNext/>
      <w:keepLines/>
      <w:spacing w:before="360"/>
      <w:ind w:left="1559" w:hanging="1559"/>
    </w:pPr>
    <w:rPr>
      <w:b/>
      <w:sz w:val="28"/>
      <w:szCs w:val="24"/>
      <w:lang w:eastAsia="en-AU" w:bidi="ar-SA"/>
    </w:rPr>
  </w:style>
  <w:style w:type="paragraph" w:customStyle="1" w:styleId="Schedulereference">
    <w:name w:val="Schedule reference"/>
    <w:basedOn w:val="Normal"/>
    <w:next w:val="Schedulepart"/>
    <w:uiPriority w:val="99"/>
    <w:rsid w:val="009C5367"/>
    <w:pPr>
      <w:keepNext/>
      <w:keepLines/>
      <w:spacing w:before="60" w:line="200" w:lineRule="exact"/>
      <w:ind w:left="2410"/>
    </w:pPr>
    <w:rPr>
      <w:sz w:val="18"/>
      <w:szCs w:val="24"/>
      <w:lang w:eastAsia="en-AU" w:bidi="ar-SA"/>
    </w:rPr>
  </w:style>
  <w:style w:type="paragraph" w:customStyle="1" w:styleId="Scheduletitle">
    <w:name w:val="Schedule title"/>
    <w:basedOn w:val="Normal"/>
    <w:next w:val="Schedulereference"/>
    <w:uiPriority w:val="99"/>
    <w:rsid w:val="009C5367"/>
    <w:pPr>
      <w:keepNext/>
      <w:keepLines/>
      <w:spacing w:before="480"/>
      <w:ind w:left="2410" w:hanging="2410"/>
    </w:pPr>
    <w:rPr>
      <w:b/>
      <w:sz w:val="32"/>
      <w:szCs w:val="24"/>
      <w:lang w:eastAsia="en-AU" w:bidi="ar-SA"/>
    </w:rPr>
  </w:style>
  <w:style w:type="paragraph" w:customStyle="1" w:styleId="SigningPageBreak">
    <w:name w:val="SigningPageBreak"/>
    <w:basedOn w:val="Normal"/>
    <w:next w:val="Normal"/>
    <w:uiPriority w:val="99"/>
    <w:rsid w:val="009C5367"/>
    <w:rPr>
      <w:rFonts w:ascii="Times New Roman" w:hAnsi="Times New Roman"/>
      <w:sz w:val="24"/>
      <w:szCs w:val="24"/>
      <w:lang w:eastAsia="en-AU" w:bidi="ar-SA"/>
    </w:rPr>
  </w:style>
  <w:style w:type="paragraph" w:customStyle="1" w:styleId="SRNo">
    <w:name w:val="SRNo"/>
    <w:basedOn w:val="Normal"/>
    <w:next w:val="Normal"/>
    <w:uiPriority w:val="99"/>
    <w:rsid w:val="009C5367"/>
    <w:pPr>
      <w:pBdr>
        <w:bottom w:val="single" w:sz="4" w:space="3" w:color="auto"/>
      </w:pBdr>
      <w:spacing w:before="480"/>
    </w:pPr>
    <w:rPr>
      <w:b/>
      <w:sz w:val="24"/>
      <w:szCs w:val="24"/>
      <w:lang w:eastAsia="en-AU" w:bidi="ar-SA"/>
    </w:rPr>
  </w:style>
  <w:style w:type="paragraph" w:styleId="TableofAuthorities">
    <w:name w:val="table of authorities"/>
    <w:basedOn w:val="Normal"/>
    <w:next w:val="Normal"/>
    <w:uiPriority w:val="99"/>
    <w:rsid w:val="009C5367"/>
    <w:pPr>
      <w:ind w:left="240" w:hanging="240"/>
    </w:pPr>
    <w:rPr>
      <w:rFonts w:ascii="Times New Roman" w:hAnsi="Times New Roman"/>
      <w:sz w:val="24"/>
      <w:szCs w:val="24"/>
      <w:lang w:eastAsia="en-AU" w:bidi="ar-SA"/>
    </w:rPr>
  </w:style>
  <w:style w:type="paragraph" w:styleId="TableofFigures">
    <w:name w:val="table of figures"/>
    <w:basedOn w:val="Normal"/>
    <w:next w:val="Normal"/>
    <w:uiPriority w:val="99"/>
    <w:rsid w:val="009C5367"/>
    <w:pPr>
      <w:ind w:left="480" w:hanging="480"/>
    </w:pPr>
    <w:rPr>
      <w:rFonts w:ascii="Times New Roman" w:hAnsi="Times New Roman"/>
      <w:sz w:val="24"/>
      <w:szCs w:val="24"/>
      <w:lang w:eastAsia="en-AU" w:bidi="ar-SA"/>
    </w:rPr>
  </w:style>
  <w:style w:type="paragraph" w:customStyle="1" w:styleId="TableColHead">
    <w:name w:val="TableColHead"/>
    <w:basedOn w:val="Normal"/>
    <w:uiPriority w:val="99"/>
    <w:rsid w:val="009C5367"/>
    <w:pPr>
      <w:keepNext/>
      <w:spacing w:before="120" w:after="60" w:line="200" w:lineRule="exact"/>
    </w:pPr>
    <w:rPr>
      <w:b/>
      <w:sz w:val="18"/>
      <w:szCs w:val="24"/>
      <w:lang w:eastAsia="en-AU" w:bidi="ar-SA"/>
    </w:rPr>
  </w:style>
  <w:style w:type="table" w:customStyle="1" w:styleId="TableGeneral">
    <w:name w:val="TableGeneral"/>
    <w:uiPriority w:val="99"/>
    <w:rsid w:val="009C5367"/>
    <w:pPr>
      <w:spacing w:before="60" w:after="60" w:line="240" w:lineRule="exact"/>
    </w:pPr>
    <w:tblPr>
      <w:tblCellSpacing w:w="11" w:type="dxa"/>
      <w:tblInd w:w="0" w:type="dxa"/>
      <w:tblCellMar>
        <w:top w:w="0" w:type="dxa"/>
        <w:left w:w="108" w:type="dxa"/>
        <w:bottom w:w="0" w:type="dxa"/>
        <w:right w:w="108" w:type="dxa"/>
      </w:tblCellMar>
    </w:tblPr>
    <w:trPr>
      <w:tblCellSpacing w:w="11" w:type="dxa"/>
    </w:trPr>
  </w:style>
  <w:style w:type="paragraph" w:customStyle="1" w:styleId="TableP1a">
    <w:name w:val="TableP1(a)"/>
    <w:basedOn w:val="Normal"/>
    <w:uiPriority w:val="99"/>
    <w:rsid w:val="009C5367"/>
    <w:pPr>
      <w:tabs>
        <w:tab w:val="right" w:pos="408"/>
      </w:tabs>
      <w:spacing w:after="60" w:line="240" w:lineRule="exact"/>
      <w:ind w:left="533" w:hanging="533"/>
    </w:pPr>
    <w:rPr>
      <w:rFonts w:ascii="Times New Roman" w:hAnsi="Times New Roman"/>
      <w:sz w:val="22"/>
      <w:szCs w:val="24"/>
      <w:lang w:eastAsia="en-AU" w:bidi="ar-SA"/>
    </w:rPr>
  </w:style>
  <w:style w:type="paragraph" w:customStyle="1" w:styleId="TableP2i">
    <w:name w:val="TableP2(i)"/>
    <w:basedOn w:val="Normal"/>
    <w:uiPriority w:val="99"/>
    <w:rsid w:val="009C5367"/>
    <w:pPr>
      <w:tabs>
        <w:tab w:val="right" w:pos="726"/>
      </w:tabs>
      <w:spacing w:after="60" w:line="240" w:lineRule="exact"/>
      <w:ind w:left="868" w:hanging="868"/>
    </w:pPr>
    <w:rPr>
      <w:rFonts w:ascii="Times New Roman" w:hAnsi="Times New Roman"/>
      <w:sz w:val="22"/>
      <w:szCs w:val="24"/>
      <w:lang w:eastAsia="en-AU" w:bidi="ar-SA"/>
    </w:rPr>
  </w:style>
  <w:style w:type="paragraph" w:customStyle="1" w:styleId="TableText">
    <w:name w:val="TableText"/>
    <w:basedOn w:val="Normal"/>
    <w:uiPriority w:val="99"/>
    <w:rsid w:val="009C5367"/>
    <w:pPr>
      <w:spacing w:before="60" w:after="60" w:line="240" w:lineRule="exact"/>
    </w:pPr>
    <w:rPr>
      <w:rFonts w:ascii="Times New Roman" w:hAnsi="Times New Roman"/>
      <w:sz w:val="22"/>
      <w:szCs w:val="24"/>
      <w:lang w:eastAsia="en-AU" w:bidi="ar-SA"/>
    </w:rPr>
  </w:style>
  <w:style w:type="paragraph" w:styleId="TOAHeading">
    <w:name w:val="toa heading"/>
    <w:basedOn w:val="Normal"/>
    <w:next w:val="Normal"/>
    <w:uiPriority w:val="99"/>
    <w:rsid w:val="009C5367"/>
    <w:pPr>
      <w:spacing w:before="120"/>
    </w:pPr>
    <w:rPr>
      <w:rFonts w:cs="Arial"/>
      <w:b/>
      <w:bCs/>
      <w:sz w:val="24"/>
      <w:szCs w:val="24"/>
      <w:lang w:eastAsia="en-AU" w:bidi="ar-SA"/>
    </w:rPr>
  </w:style>
  <w:style w:type="paragraph" w:customStyle="1" w:styleId="TOC">
    <w:name w:val="TOC"/>
    <w:basedOn w:val="Normal"/>
    <w:next w:val="Normal"/>
    <w:uiPriority w:val="99"/>
    <w:rsid w:val="009C5367"/>
    <w:pPr>
      <w:tabs>
        <w:tab w:val="right" w:pos="7088"/>
      </w:tabs>
      <w:spacing w:after="120"/>
    </w:pPr>
    <w:rPr>
      <w:szCs w:val="24"/>
      <w:lang w:bidi="ar-SA"/>
    </w:rPr>
  </w:style>
  <w:style w:type="paragraph" w:styleId="TOC4">
    <w:name w:val="toc 4"/>
    <w:basedOn w:val="Normal"/>
    <w:next w:val="Normal"/>
    <w:autoRedefine/>
    <w:uiPriority w:val="99"/>
    <w:rsid w:val="009C5367"/>
    <w:pPr>
      <w:keepNext/>
      <w:tabs>
        <w:tab w:val="right" w:pos="8278"/>
      </w:tabs>
      <w:spacing w:before="80"/>
      <w:ind w:left="1843" w:hanging="1843"/>
    </w:pPr>
    <w:rPr>
      <w:b/>
      <w:sz w:val="18"/>
      <w:szCs w:val="24"/>
      <w:lang w:bidi="ar-SA"/>
    </w:rPr>
  </w:style>
  <w:style w:type="paragraph" w:styleId="TOC5">
    <w:name w:val="toc 5"/>
    <w:basedOn w:val="Normal"/>
    <w:next w:val="Normal"/>
    <w:autoRedefine/>
    <w:uiPriority w:val="99"/>
    <w:rsid w:val="009C5367"/>
    <w:pPr>
      <w:tabs>
        <w:tab w:val="right" w:pos="1559"/>
        <w:tab w:val="right" w:pos="8278"/>
      </w:tabs>
      <w:spacing w:before="40"/>
      <w:ind w:left="1843" w:right="714" w:hanging="1843"/>
    </w:pPr>
    <w:rPr>
      <w:szCs w:val="24"/>
      <w:lang w:bidi="ar-SA"/>
    </w:rPr>
  </w:style>
  <w:style w:type="paragraph" w:styleId="TOC6">
    <w:name w:val="toc 6"/>
    <w:basedOn w:val="Normal"/>
    <w:next w:val="Normal"/>
    <w:autoRedefine/>
    <w:uiPriority w:val="99"/>
    <w:rsid w:val="009C5367"/>
    <w:pPr>
      <w:keepNext/>
      <w:tabs>
        <w:tab w:val="right" w:pos="8278"/>
      </w:tabs>
      <w:spacing w:before="120"/>
      <w:ind w:left="1843" w:right="561" w:hanging="1843"/>
    </w:pPr>
    <w:rPr>
      <w:b/>
      <w:szCs w:val="24"/>
      <w:lang w:bidi="ar-SA"/>
    </w:rPr>
  </w:style>
  <w:style w:type="paragraph" w:styleId="TOC7">
    <w:name w:val="toc 7"/>
    <w:basedOn w:val="Normal"/>
    <w:next w:val="Normal"/>
    <w:autoRedefine/>
    <w:uiPriority w:val="99"/>
    <w:rsid w:val="009C5367"/>
    <w:pPr>
      <w:tabs>
        <w:tab w:val="right" w:pos="8278"/>
      </w:tabs>
      <w:spacing w:before="240" w:after="120"/>
      <w:ind w:left="1134" w:right="714" w:hanging="1134"/>
    </w:pPr>
    <w:rPr>
      <w:b/>
      <w:szCs w:val="24"/>
      <w:lang w:bidi="ar-SA"/>
    </w:rPr>
  </w:style>
  <w:style w:type="paragraph" w:styleId="TOC8">
    <w:name w:val="toc 8"/>
    <w:basedOn w:val="Normal"/>
    <w:next w:val="Normal"/>
    <w:autoRedefine/>
    <w:uiPriority w:val="99"/>
    <w:rsid w:val="009C5367"/>
    <w:pPr>
      <w:tabs>
        <w:tab w:val="right" w:pos="8278"/>
      </w:tabs>
      <w:spacing w:before="60"/>
      <w:ind w:left="1843" w:right="714" w:hanging="1843"/>
    </w:pPr>
    <w:rPr>
      <w:szCs w:val="24"/>
      <w:lang w:bidi="ar-SA"/>
    </w:rPr>
  </w:style>
  <w:style w:type="paragraph" w:styleId="TOC9">
    <w:name w:val="toc 9"/>
    <w:basedOn w:val="Normal"/>
    <w:next w:val="Normal"/>
    <w:autoRedefine/>
    <w:uiPriority w:val="99"/>
    <w:rsid w:val="009C5367"/>
    <w:pPr>
      <w:tabs>
        <w:tab w:val="right" w:pos="8278"/>
      </w:tabs>
      <w:spacing w:before="240" w:after="120"/>
    </w:pPr>
    <w:rPr>
      <w:b/>
      <w:szCs w:val="24"/>
      <w:lang w:bidi="ar-SA"/>
    </w:rPr>
  </w:style>
  <w:style w:type="paragraph" w:customStyle="1" w:styleId="IntroP2i">
    <w:name w:val="IntroP2(i)"/>
    <w:basedOn w:val="Normal"/>
    <w:uiPriority w:val="99"/>
    <w:rsid w:val="009C5367"/>
    <w:pPr>
      <w:tabs>
        <w:tab w:val="right" w:pos="709"/>
      </w:tabs>
      <w:spacing w:before="60" w:line="260" w:lineRule="exact"/>
      <w:ind w:left="907" w:hanging="907"/>
      <w:jc w:val="both"/>
    </w:pPr>
    <w:rPr>
      <w:rFonts w:ascii="Times New Roman" w:hAnsi="Times New Roman"/>
      <w:sz w:val="24"/>
      <w:szCs w:val="24"/>
      <w:lang w:eastAsia="en-AU" w:bidi="ar-SA"/>
    </w:rPr>
  </w:style>
  <w:style w:type="paragraph" w:customStyle="1" w:styleId="IntroP3A">
    <w:name w:val="IntroP3(A)"/>
    <w:basedOn w:val="Normal"/>
    <w:uiPriority w:val="99"/>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paragraph" w:customStyle="1" w:styleId="InstructorsNote">
    <w:name w:val="InstructorsNote"/>
    <w:basedOn w:val="Normal"/>
    <w:next w:val="Normal"/>
    <w:uiPriority w:val="99"/>
    <w:rsid w:val="009C5367"/>
    <w:pPr>
      <w:spacing w:before="120"/>
      <w:ind w:left="958" w:hanging="958"/>
    </w:pPr>
    <w:rPr>
      <w:rFonts w:cs="Arial"/>
      <w:b/>
      <w:sz w:val="16"/>
      <w:szCs w:val="18"/>
      <w:lang w:bidi="ar-SA"/>
    </w:rPr>
  </w:style>
  <w:style w:type="paragraph" w:customStyle="1" w:styleId="ZA2">
    <w:name w:val="ZA2"/>
    <w:basedOn w:val="A2"/>
    <w:uiPriority w:val="99"/>
    <w:rsid w:val="009C5367"/>
    <w:pPr>
      <w:keepNext/>
    </w:pPr>
  </w:style>
  <w:style w:type="paragraph" w:customStyle="1" w:styleId="ZA3">
    <w:name w:val="ZA3"/>
    <w:basedOn w:val="A3"/>
    <w:uiPriority w:val="99"/>
    <w:rsid w:val="009C5367"/>
    <w:pPr>
      <w:keepNext/>
    </w:pPr>
  </w:style>
  <w:style w:type="paragraph" w:customStyle="1" w:styleId="ZA4">
    <w:name w:val="ZA4"/>
    <w:basedOn w:val="Normal"/>
    <w:next w:val="A4"/>
    <w:uiPriority w:val="99"/>
    <w:rsid w:val="009C5367"/>
    <w:pPr>
      <w:keepNext/>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ZDD">
    <w:name w:val="ZDD"/>
    <w:aliases w:val="Dict Def"/>
    <w:basedOn w:val="DD"/>
    <w:uiPriority w:val="99"/>
    <w:rsid w:val="009C5367"/>
    <w:pPr>
      <w:keepNext/>
    </w:pPr>
  </w:style>
  <w:style w:type="paragraph" w:customStyle="1" w:styleId="Zdefinition">
    <w:name w:val="Zdefinition"/>
    <w:basedOn w:val="definition"/>
    <w:uiPriority w:val="99"/>
    <w:rsid w:val="009C5367"/>
    <w:pPr>
      <w:keepNext/>
    </w:pPr>
  </w:style>
  <w:style w:type="paragraph" w:customStyle="1" w:styleId="ZDP1">
    <w:name w:val="ZDP1"/>
    <w:basedOn w:val="DP1a"/>
    <w:uiPriority w:val="99"/>
    <w:rsid w:val="009C5367"/>
    <w:pPr>
      <w:keepNext/>
    </w:pPr>
  </w:style>
  <w:style w:type="paragraph" w:customStyle="1" w:styleId="ZExampleBody">
    <w:name w:val="ZExample Body"/>
    <w:basedOn w:val="ExampleBody"/>
    <w:uiPriority w:val="99"/>
    <w:rsid w:val="009C5367"/>
    <w:pPr>
      <w:keepNext/>
    </w:pPr>
  </w:style>
  <w:style w:type="paragraph" w:customStyle="1" w:styleId="ZNote">
    <w:name w:val="ZNote"/>
    <w:basedOn w:val="Note"/>
    <w:uiPriority w:val="99"/>
    <w:rsid w:val="009C5367"/>
    <w:pPr>
      <w:keepNext/>
    </w:pPr>
  </w:style>
  <w:style w:type="paragraph" w:customStyle="1" w:styleId="ZP1">
    <w:name w:val="ZP1"/>
    <w:basedOn w:val="P1"/>
    <w:uiPriority w:val="99"/>
    <w:rsid w:val="009C5367"/>
    <w:pPr>
      <w:keepNext/>
    </w:pPr>
  </w:style>
  <w:style w:type="paragraph" w:customStyle="1" w:styleId="ZP2">
    <w:name w:val="ZP2"/>
    <w:basedOn w:val="P2"/>
    <w:uiPriority w:val="99"/>
    <w:rsid w:val="009C5367"/>
    <w:pPr>
      <w:keepNext/>
    </w:pPr>
  </w:style>
  <w:style w:type="paragraph" w:customStyle="1" w:styleId="ZP3">
    <w:name w:val="ZP3"/>
    <w:basedOn w:val="P3"/>
    <w:uiPriority w:val="99"/>
    <w:rsid w:val="009C5367"/>
    <w:pPr>
      <w:keepNext/>
    </w:pPr>
  </w:style>
  <w:style w:type="paragraph" w:customStyle="1" w:styleId="ZR1">
    <w:name w:val="ZR1"/>
    <w:basedOn w:val="R1"/>
    <w:uiPriority w:val="99"/>
    <w:rsid w:val="009C5367"/>
    <w:pPr>
      <w:keepNext/>
    </w:pPr>
  </w:style>
  <w:style w:type="paragraph" w:customStyle="1" w:styleId="ZR2">
    <w:name w:val="ZR2"/>
    <w:basedOn w:val="R2"/>
    <w:uiPriority w:val="99"/>
    <w:rsid w:val="009C5367"/>
    <w:pPr>
      <w:keepNext/>
    </w:pPr>
  </w:style>
  <w:style w:type="paragraph" w:customStyle="1" w:styleId="ZRcN">
    <w:name w:val="ZRcN"/>
    <w:basedOn w:val="Rc"/>
    <w:uiPriority w:val="99"/>
    <w:rsid w:val="009C5367"/>
    <w:pPr>
      <w:keepNext/>
    </w:pPr>
  </w:style>
  <w:style w:type="paragraph" w:styleId="Revision">
    <w:name w:val="Revision"/>
    <w:hidden/>
    <w:uiPriority w:val="99"/>
    <w:semiHidden/>
    <w:rsid w:val="00611405"/>
    <w:rPr>
      <w:rFonts w:ascii="Arial" w:hAnsi="Arial"/>
      <w:lang w:eastAsia="en-US" w:bidi="he-IL"/>
    </w:rPr>
  </w:style>
  <w:style w:type="character" w:customStyle="1" w:styleId="FootnoteTextChar2">
    <w:name w:val="Footnote Text Char2"/>
    <w:aliases w:val="ACMA Footnote Text Char1,Footnote Text Char1 Char1,Footnote Text Char Char Char1,Footnote Text Char1 Char Char Char1,Footnote Text Char Char Char Char Char1,Footnote Text Char1 Char Char Char Char Char1,f Char1"/>
    <w:basedOn w:val="DefaultParagraphFont"/>
    <w:link w:val="FootnoteText"/>
    <w:uiPriority w:val="99"/>
    <w:locked/>
    <w:rsid w:val="007161EC"/>
    <w:rPr>
      <w:rFonts w:cs="Times New Roman"/>
      <w:lang w:val="en-AU" w:eastAsia="en-US" w:bidi="ar-SA"/>
    </w:rPr>
  </w:style>
  <w:style w:type="paragraph" w:customStyle="1" w:styleId="TableBody">
    <w:name w:val="Table Body"/>
    <w:basedOn w:val="Normal"/>
    <w:uiPriority w:val="99"/>
    <w:rsid w:val="00FC1BB6"/>
    <w:rPr>
      <w:rFonts w:ascii="HelveticaNeueLT Std Lt" w:hAnsi="HelveticaNeueLT Std Lt"/>
      <w:szCs w:val="24"/>
      <w:lang w:eastAsia="en-AU" w:bidi="ar-SA"/>
    </w:rPr>
  </w:style>
  <w:style w:type="table" w:styleId="ColorfulShading-Accent1">
    <w:name w:val="Colorful Shading Accent 1"/>
    <w:basedOn w:val="TableNormal"/>
    <w:uiPriority w:val="99"/>
    <w:rsid w:val="00FC1BB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numbering" w:styleId="ArticleSection">
    <w:name w:val="Outline List 3"/>
    <w:basedOn w:val="NoList"/>
    <w:uiPriority w:val="99"/>
    <w:semiHidden/>
    <w:unhideWhenUsed/>
    <w:locked/>
    <w:rsid w:val="002C50AC"/>
    <w:pPr>
      <w:numPr>
        <w:numId w:val="42"/>
      </w:numPr>
    </w:pPr>
  </w:style>
  <w:style w:type="numbering" w:styleId="111111">
    <w:name w:val="Outline List 2"/>
    <w:basedOn w:val="NoList"/>
    <w:uiPriority w:val="99"/>
    <w:semiHidden/>
    <w:unhideWhenUsed/>
    <w:locked/>
    <w:rsid w:val="002C50AC"/>
    <w:pPr>
      <w:numPr>
        <w:numId w:val="43"/>
      </w:numPr>
    </w:pPr>
  </w:style>
  <w:style w:type="numbering" w:styleId="1ai">
    <w:name w:val="Outline List 1"/>
    <w:basedOn w:val="NoList"/>
    <w:uiPriority w:val="99"/>
    <w:semiHidden/>
    <w:unhideWhenUsed/>
    <w:locked/>
    <w:rsid w:val="002C50AC"/>
    <w:pPr>
      <w:numPr>
        <w:numId w:val="44"/>
      </w:numPr>
    </w:pPr>
  </w:style>
</w:styles>
</file>

<file path=word/webSettings.xml><?xml version="1.0" encoding="utf-8"?>
<w:webSettings xmlns:r="http://schemas.openxmlformats.org/officeDocument/2006/relationships" xmlns:w="http://schemas.openxmlformats.org/wordprocessingml/2006/main">
  <w:divs>
    <w:div w:id="394159989">
      <w:marLeft w:val="0"/>
      <w:marRight w:val="0"/>
      <w:marTop w:val="0"/>
      <w:marBottom w:val="0"/>
      <w:divBdr>
        <w:top w:val="none" w:sz="0" w:space="0" w:color="auto"/>
        <w:left w:val="none" w:sz="0" w:space="0" w:color="auto"/>
        <w:bottom w:val="none" w:sz="0" w:space="0" w:color="auto"/>
        <w:right w:val="none" w:sz="0" w:space="0" w:color="auto"/>
      </w:divBdr>
    </w:div>
    <w:div w:id="394159990">
      <w:marLeft w:val="0"/>
      <w:marRight w:val="0"/>
      <w:marTop w:val="0"/>
      <w:marBottom w:val="0"/>
      <w:divBdr>
        <w:top w:val="none" w:sz="0" w:space="0" w:color="auto"/>
        <w:left w:val="none" w:sz="0" w:space="0" w:color="auto"/>
        <w:bottom w:val="none" w:sz="0" w:space="0" w:color="auto"/>
        <w:right w:val="none" w:sz="0" w:space="0" w:color="auto"/>
      </w:divBdr>
    </w:div>
    <w:div w:id="394159993">
      <w:marLeft w:val="0"/>
      <w:marRight w:val="0"/>
      <w:marTop w:val="0"/>
      <w:marBottom w:val="0"/>
      <w:divBdr>
        <w:top w:val="none" w:sz="0" w:space="0" w:color="auto"/>
        <w:left w:val="none" w:sz="0" w:space="0" w:color="auto"/>
        <w:bottom w:val="none" w:sz="0" w:space="0" w:color="auto"/>
        <w:right w:val="none" w:sz="0" w:space="0" w:color="auto"/>
      </w:divBdr>
      <w:divsChild>
        <w:div w:id="394159994">
          <w:marLeft w:val="0"/>
          <w:marRight w:val="0"/>
          <w:marTop w:val="0"/>
          <w:marBottom w:val="0"/>
          <w:divBdr>
            <w:top w:val="none" w:sz="0" w:space="0" w:color="auto"/>
            <w:left w:val="none" w:sz="0" w:space="0" w:color="auto"/>
            <w:bottom w:val="none" w:sz="0" w:space="0" w:color="auto"/>
            <w:right w:val="none" w:sz="0" w:space="0" w:color="auto"/>
          </w:divBdr>
          <w:divsChild>
            <w:div w:id="394159996">
              <w:marLeft w:val="0"/>
              <w:marRight w:val="0"/>
              <w:marTop w:val="0"/>
              <w:marBottom w:val="0"/>
              <w:divBdr>
                <w:top w:val="none" w:sz="0" w:space="0" w:color="auto"/>
                <w:left w:val="none" w:sz="0" w:space="0" w:color="auto"/>
                <w:bottom w:val="none" w:sz="0" w:space="0" w:color="auto"/>
                <w:right w:val="none" w:sz="0" w:space="0" w:color="auto"/>
              </w:divBdr>
              <w:divsChild>
                <w:div w:id="394159997">
                  <w:marLeft w:val="0"/>
                  <w:marRight w:val="0"/>
                  <w:marTop w:val="0"/>
                  <w:marBottom w:val="0"/>
                  <w:divBdr>
                    <w:top w:val="none" w:sz="0" w:space="0" w:color="auto"/>
                    <w:left w:val="none" w:sz="0" w:space="0" w:color="auto"/>
                    <w:bottom w:val="none" w:sz="0" w:space="0" w:color="auto"/>
                    <w:right w:val="none" w:sz="0" w:space="0" w:color="auto"/>
                  </w:divBdr>
                  <w:divsChild>
                    <w:div w:id="394160001">
                      <w:marLeft w:val="0"/>
                      <w:marRight w:val="0"/>
                      <w:marTop w:val="0"/>
                      <w:marBottom w:val="0"/>
                      <w:divBdr>
                        <w:top w:val="none" w:sz="0" w:space="0" w:color="auto"/>
                        <w:left w:val="none" w:sz="0" w:space="0" w:color="auto"/>
                        <w:bottom w:val="none" w:sz="0" w:space="0" w:color="auto"/>
                        <w:right w:val="none" w:sz="0" w:space="0" w:color="auto"/>
                      </w:divBdr>
                      <w:divsChild>
                        <w:div w:id="394160000">
                          <w:marLeft w:val="0"/>
                          <w:marRight w:val="0"/>
                          <w:marTop w:val="0"/>
                          <w:marBottom w:val="0"/>
                          <w:divBdr>
                            <w:top w:val="single" w:sz="6" w:space="0" w:color="828282"/>
                            <w:left w:val="single" w:sz="6" w:space="0" w:color="828282"/>
                            <w:bottom w:val="single" w:sz="6" w:space="0" w:color="828282"/>
                            <w:right w:val="single" w:sz="6" w:space="0" w:color="828282"/>
                          </w:divBdr>
                          <w:divsChild>
                            <w:div w:id="394159999">
                              <w:marLeft w:val="0"/>
                              <w:marRight w:val="0"/>
                              <w:marTop w:val="0"/>
                              <w:marBottom w:val="0"/>
                              <w:divBdr>
                                <w:top w:val="none" w:sz="0" w:space="0" w:color="auto"/>
                                <w:left w:val="none" w:sz="0" w:space="0" w:color="auto"/>
                                <w:bottom w:val="none" w:sz="0" w:space="0" w:color="auto"/>
                                <w:right w:val="none" w:sz="0" w:space="0" w:color="auto"/>
                              </w:divBdr>
                              <w:divsChild>
                                <w:div w:id="394159995">
                                  <w:marLeft w:val="0"/>
                                  <w:marRight w:val="0"/>
                                  <w:marTop w:val="0"/>
                                  <w:marBottom w:val="0"/>
                                  <w:divBdr>
                                    <w:top w:val="none" w:sz="0" w:space="0" w:color="auto"/>
                                    <w:left w:val="none" w:sz="0" w:space="0" w:color="auto"/>
                                    <w:bottom w:val="none" w:sz="0" w:space="0" w:color="auto"/>
                                    <w:right w:val="none" w:sz="0" w:space="0" w:color="auto"/>
                                  </w:divBdr>
                                  <w:divsChild>
                                    <w:div w:id="394159988">
                                      <w:marLeft w:val="0"/>
                                      <w:marRight w:val="0"/>
                                      <w:marTop w:val="0"/>
                                      <w:marBottom w:val="0"/>
                                      <w:divBdr>
                                        <w:top w:val="none" w:sz="0" w:space="0" w:color="auto"/>
                                        <w:left w:val="none" w:sz="0" w:space="0" w:color="auto"/>
                                        <w:bottom w:val="none" w:sz="0" w:space="0" w:color="auto"/>
                                        <w:right w:val="none" w:sz="0" w:space="0" w:color="auto"/>
                                      </w:divBdr>
                                      <w:divsChild>
                                        <w:div w:id="394160002">
                                          <w:marLeft w:val="0"/>
                                          <w:marRight w:val="0"/>
                                          <w:marTop w:val="0"/>
                                          <w:marBottom w:val="0"/>
                                          <w:divBdr>
                                            <w:top w:val="none" w:sz="0" w:space="0" w:color="auto"/>
                                            <w:left w:val="none" w:sz="0" w:space="0" w:color="auto"/>
                                            <w:bottom w:val="none" w:sz="0" w:space="0" w:color="auto"/>
                                            <w:right w:val="none" w:sz="0" w:space="0" w:color="auto"/>
                                          </w:divBdr>
                                          <w:divsChild>
                                            <w:div w:id="394159992">
                                              <w:marLeft w:val="0"/>
                                              <w:marRight w:val="0"/>
                                              <w:marTop w:val="0"/>
                                              <w:marBottom w:val="0"/>
                                              <w:divBdr>
                                                <w:top w:val="none" w:sz="0" w:space="0" w:color="auto"/>
                                                <w:left w:val="none" w:sz="0" w:space="0" w:color="auto"/>
                                                <w:bottom w:val="none" w:sz="0" w:space="0" w:color="auto"/>
                                                <w:right w:val="none" w:sz="0" w:space="0" w:color="auto"/>
                                              </w:divBdr>
                                              <w:divsChild>
                                                <w:div w:id="3941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159998">
      <w:marLeft w:val="0"/>
      <w:marRight w:val="0"/>
      <w:marTop w:val="0"/>
      <w:marBottom w:val="0"/>
      <w:divBdr>
        <w:top w:val="none" w:sz="0" w:space="0" w:color="auto"/>
        <w:left w:val="none" w:sz="0" w:space="0" w:color="auto"/>
        <w:bottom w:val="none" w:sz="0" w:space="0" w:color="auto"/>
        <w:right w:val="none" w:sz="0" w:space="0" w:color="auto"/>
      </w:divBdr>
    </w:div>
    <w:div w:id="394160003">
      <w:marLeft w:val="0"/>
      <w:marRight w:val="0"/>
      <w:marTop w:val="0"/>
      <w:marBottom w:val="0"/>
      <w:divBdr>
        <w:top w:val="none" w:sz="0" w:space="0" w:color="auto"/>
        <w:left w:val="none" w:sz="0" w:space="0" w:color="auto"/>
        <w:bottom w:val="none" w:sz="0" w:space="0" w:color="auto"/>
        <w:right w:val="none" w:sz="0" w:space="0" w:color="auto"/>
      </w:divBdr>
    </w:div>
    <w:div w:id="1186364721">
      <w:bodyDiv w:val="1"/>
      <w:marLeft w:val="0"/>
      <w:marRight w:val="0"/>
      <w:marTop w:val="0"/>
      <w:marBottom w:val="0"/>
      <w:divBdr>
        <w:top w:val="none" w:sz="0" w:space="0" w:color="auto"/>
        <w:left w:val="none" w:sz="0" w:space="0" w:color="auto"/>
        <w:bottom w:val="none" w:sz="0" w:space="0" w:color="auto"/>
        <w:right w:val="none" w:sz="0" w:space="0" w:color="auto"/>
      </w:divBdr>
      <w:divsChild>
        <w:div w:id="955020088">
          <w:marLeft w:val="0"/>
          <w:marRight w:val="0"/>
          <w:marTop w:val="0"/>
          <w:marBottom w:val="0"/>
          <w:divBdr>
            <w:top w:val="none" w:sz="0" w:space="0" w:color="auto"/>
            <w:left w:val="none" w:sz="0" w:space="0" w:color="auto"/>
            <w:bottom w:val="none" w:sz="0" w:space="0" w:color="auto"/>
            <w:right w:val="none" w:sz="0" w:space="0" w:color="auto"/>
          </w:divBdr>
          <w:divsChild>
            <w:div w:id="894313332">
              <w:marLeft w:val="0"/>
              <w:marRight w:val="0"/>
              <w:marTop w:val="0"/>
              <w:marBottom w:val="0"/>
              <w:divBdr>
                <w:top w:val="none" w:sz="0" w:space="0" w:color="auto"/>
                <w:left w:val="none" w:sz="0" w:space="0" w:color="auto"/>
                <w:bottom w:val="none" w:sz="0" w:space="0" w:color="auto"/>
                <w:right w:val="none" w:sz="0" w:space="0" w:color="auto"/>
              </w:divBdr>
              <w:divsChild>
                <w:div w:id="521482134">
                  <w:marLeft w:val="0"/>
                  <w:marRight w:val="0"/>
                  <w:marTop w:val="0"/>
                  <w:marBottom w:val="0"/>
                  <w:divBdr>
                    <w:top w:val="none" w:sz="0" w:space="0" w:color="auto"/>
                    <w:left w:val="none" w:sz="0" w:space="0" w:color="auto"/>
                    <w:bottom w:val="none" w:sz="0" w:space="0" w:color="auto"/>
                    <w:right w:val="none" w:sz="0" w:space="0" w:color="auto"/>
                  </w:divBdr>
                  <w:divsChild>
                    <w:div w:id="1433283144">
                      <w:marLeft w:val="0"/>
                      <w:marRight w:val="0"/>
                      <w:marTop w:val="0"/>
                      <w:marBottom w:val="0"/>
                      <w:divBdr>
                        <w:top w:val="none" w:sz="0" w:space="0" w:color="auto"/>
                        <w:left w:val="none" w:sz="0" w:space="0" w:color="auto"/>
                        <w:bottom w:val="none" w:sz="0" w:space="0" w:color="auto"/>
                        <w:right w:val="none" w:sz="0" w:space="0" w:color="auto"/>
                      </w:divBdr>
                      <w:divsChild>
                        <w:div w:id="13077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ma.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gov.au/earth-monitoring/geodesy/geodetic-datums/GDA.html" TargetMode="External"/><Relationship Id="rId4" Type="http://schemas.openxmlformats.org/officeDocument/2006/relationships/styles" Target="styles.xml"/><Relationship Id="rId9" Type="http://schemas.openxmlformats.org/officeDocument/2006/relationships/hyperlink" Target="http://www.itu.in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F4DD-3A69-4AEA-8D7E-B3541927367E}">
  <ds:schemaRefs>
    <ds:schemaRef ds:uri="http://schemas.openxmlformats.org/officeDocument/2006/bibliography"/>
  </ds:schemaRefs>
</ds:datastoreItem>
</file>

<file path=customXml/itemProps2.xml><?xml version="1.0" encoding="utf-8"?>
<ds:datastoreItem xmlns:ds="http://schemas.openxmlformats.org/officeDocument/2006/customXml" ds:itemID="{B9C90440-413C-4D48-BCC6-F4DA4EA4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3985</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ACMA Normal Template</vt:lpstr>
    </vt:vector>
  </TitlesOfParts>
  <Company>Australian Communications Media Authority</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Normal Template</dc:title>
  <dc:creator>ewoo</dc:creator>
  <cp:lastModifiedBy>Helen Turnbull</cp:lastModifiedBy>
  <cp:revision>3</cp:revision>
  <cp:lastPrinted>2012-07-26T05:54:00Z</cp:lastPrinted>
  <dcterms:created xsi:type="dcterms:W3CDTF">2012-12-18T04:25:00Z</dcterms:created>
  <dcterms:modified xsi:type="dcterms:W3CDTF">2012-12-18T05:56:00Z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kCAADCNob4fmz3j/YuSVkA+Alc2vCWk3Qc8tSy4iKUk9pEp2qHMSD0y3gAYKfL3ouC2QVqpE61RqDSavt0F4q3M4O44t2WxAGbT0in0wakU7Qfalh9soTeERWBjZ3AwA47rGlc0ZLEgCDPcKDDcCZvZu4boLbe7jvnuT</vt:lpwstr>
  </property>
  <property fmtid="{D5CDD505-2E9C-101B-9397-08002B2CF9AE}" pid="4" name="RESPONSE_SENDER_NAME">
    <vt:lpwstr>gAAAdya76B99d4hLGUR1rQ+8TxTv0GGEPdix</vt:lpwstr>
  </property>
  <property fmtid="{D5CDD505-2E9C-101B-9397-08002B2CF9AE}" pid="5" name="EMAIL_OWNER_ADDRESS">
    <vt:lpwstr>4AAA9DNYQidmug51CpmcgNlQ5h8qaQ5GTMEyKDNM2F8YKlI2iDuWwLhbSw==</vt:lpwstr>
  </property>
</Properties>
</file>