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51" w:rsidRPr="0069663C" w:rsidRDefault="00003BC4" w:rsidP="00085BA7">
      <w:pPr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>
            <wp:extent cx="1403350" cy="1084580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51" w:rsidRPr="0069663C" w:rsidRDefault="004D3F2B" w:rsidP="00085BA7">
      <w:pPr>
        <w:pStyle w:val="Title"/>
        <w:pBdr>
          <w:bottom w:val="single" w:sz="4" w:space="3" w:color="auto"/>
        </w:pBdr>
      </w:pPr>
      <w:r>
        <w:t>National Vocational Education and Training Regulator (Charges) Determination 2012 (No. 1)</w:t>
      </w:r>
      <w:r w:rsidR="00ED7251">
        <w:t xml:space="preserve"> </w:t>
      </w:r>
    </w:p>
    <w:p w:rsidR="00ED7251" w:rsidRPr="006578DC" w:rsidRDefault="00ED7251" w:rsidP="00085BA7">
      <w:pPr>
        <w:spacing w:before="360"/>
        <w:jc w:val="both"/>
        <w:rPr>
          <w:i/>
        </w:rPr>
      </w:pPr>
      <w:r>
        <w:t>I, Chris Evans, Minister for Tertiary Education, Skills, Science and Research, make this legislative instrument under subsection</w:t>
      </w:r>
      <w:r w:rsidR="004D3F2B">
        <w:t>s</w:t>
      </w:r>
      <w:r>
        <w:t xml:space="preserve"> </w:t>
      </w:r>
      <w:r w:rsidR="004D3F2B">
        <w:t>9</w:t>
      </w:r>
      <w:r w:rsidR="00F0785F">
        <w:t>(2)</w:t>
      </w:r>
      <w:r w:rsidR="001345CF">
        <w:t xml:space="preserve"> and </w:t>
      </w:r>
      <w:r w:rsidR="004D3F2B">
        <w:t>12</w:t>
      </w:r>
      <w:r w:rsidR="00F0785F">
        <w:t>(2)</w:t>
      </w:r>
      <w:r w:rsidR="007A3FC7">
        <w:t xml:space="preserve"> </w:t>
      </w:r>
      <w:r>
        <w:t xml:space="preserve">of the </w:t>
      </w:r>
      <w:r w:rsidRPr="006578DC">
        <w:rPr>
          <w:i/>
        </w:rPr>
        <w:t xml:space="preserve">National Vocational Education and Training Regulator </w:t>
      </w:r>
      <w:r w:rsidR="004D3F2B">
        <w:rPr>
          <w:i/>
        </w:rPr>
        <w:t>(Charges) Act 2012</w:t>
      </w:r>
      <w:r w:rsidRPr="006578DC">
        <w:rPr>
          <w:i/>
        </w:rPr>
        <w:t xml:space="preserve">. </w:t>
      </w:r>
    </w:p>
    <w:p w:rsidR="00ED7251" w:rsidRDefault="00ED7251" w:rsidP="00085BA7">
      <w:pPr>
        <w:tabs>
          <w:tab w:val="left" w:pos="3119"/>
        </w:tabs>
        <w:spacing w:before="300" w:after="600" w:line="300" w:lineRule="atLeast"/>
      </w:pPr>
      <w:bookmarkStart w:id="0" w:name="MadeByDate"/>
    </w:p>
    <w:p w:rsidR="00ED7251" w:rsidRDefault="00ED7251" w:rsidP="00F802CA">
      <w:pPr>
        <w:tabs>
          <w:tab w:val="left" w:pos="3119"/>
        </w:tabs>
      </w:pPr>
      <w:r w:rsidRPr="0069663C">
        <w:t>Dated</w:t>
      </w:r>
      <w:r w:rsidR="00DE4A0A">
        <w:t xml:space="preserve">   </w:t>
      </w:r>
      <w:bookmarkStart w:id="1" w:name="_GoBack"/>
      <w:bookmarkEnd w:id="1"/>
      <w:r>
        <w:t xml:space="preserve"> </w:t>
      </w:r>
      <w:bookmarkEnd w:id="0"/>
      <w:r w:rsidR="00DE4A0A">
        <w:t>17</w:t>
      </w:r>
      <w:r w:rsidR="00DE4A0A" w:rsidRPr="00DE4A0A">
        <w:rPr>
          <w:vertAlign w:val="superscript"/>
        </w:rPr>
        <w:t>th</w:t>
      </w:r>
      <w:r w:rsidR="00DE4A0A">
        <w:t xml:space="preserve"> December 2012</w:t>
      </w:r>
    </w:p>
    <w:p w:rsidR="00347638" w:rsidRPr="0069663C" w:rsidRDefault="00347638" w:rsidP="00F802CA">
      <w:pPr>
        <w:tabs>
          <w:tab w:val="left" w:pos="3119"/>
        </w:tabs>
      </w:pPr>
    </w:p>
    <w:p w:rsidR="00ED7251" w:rsidRDefault="00ED7251" w:rsidP="00F802CA">
      <w:pPr>
        <w:tabs>
          <w:tab w:val="left" w:pos="3969"/>
        </w:tabs>
      </w:pPr>
    </w:p>
    <w:p w:rsidR="00F802CA" w:rsidRDefault="00F802CA" w:rsidP="00F802CA">
      <w:pPr>
        <w:tabs>
          <w:tab w:val="left" w:pos="3969"/>
        </w:tabs>
      </w:pPr>
    </w:p>
    <w:p w:rsidR="00F802CA" w:rsidRDefault="00F802CA" w:rsidP="00F802CA">
      <w:pPr>
        <w:tabs>
          <w:tab w:val="left" w:pos="3969"/>
        </w:tabs>
      </w:pPr>
    </w:p>
    <w:p w:rsidR="00F802CA" w:rsidRDefault="00F802CA" w:rsidP="00F802CA">
      <w:pPr>
        <w:tabs>
          <w:tab w:val="left" w:pos="3969"/>
        </w:tabs>
      </w:pPr>
    </w:p>
    <w:p w:rsidR="00F802CA" w:rsidRPr="0069663C" w:rsidRDefault="00F802CA" w:rsidP="00F802CA">
      <w:pPr>
        <w:tabs>
          <w:tab w:val="left" w:pos="3969"/>
        </w:tabs>
      </w:pPr>
    </w:p>
    <w:p w:rsidR="00ED7251" w:rsidRDefault="00ED7251" w:rsidP="00085BA7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CHRIS EVANS</w:t>
      </w:r>
    </w:p>
    <w:p w:rsidR="00ED7251" w:rsidRPr="0069663C" w:rsidRDefault="00ED7251" w:rsidP="00085BA7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Minister for Tertiary Education, Skills, Science and Research</w:t>
      </w:r>
    </w:p>
    <w:p w:rsidR="00ED7251" w:rsidRDefault="00ED7251" w:rsidP="00085BA7">
      <w:pPr>
        <w:pStyle w:val="SigningPageBreak"/>
        <w:jc w:val="right"/>
      </w:pPr>
    </w:p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F802CA" w:rsidRDefault="00F802CA" w:rsidP="00085BA7"/>
    <w:p w:rsidR="00F802CA" w:rsidRDefault="00F802CA" w:rsidP="00085BA7"/>
    <w:p w:rsidR="00ED7251" w:rsidRDefault="00ED7251" w:rsidP="00085BA7"/>
    <w:p w:rsidR="00ED7251" w:rsidRDefault="00ED7251">
      <w:r>
        <w:br w:type="page"/>
      </w:r>
    </w:p>
    <w:p w:rsidR="00ED7251" w:rsidRPr="0076500C" w:rsidRDefault="00ED7251" w:rsidP="00085BA7">
      <w:pPr>
        <w:jc w:val="center"/>
        <w:rPr>
          <w:b/>
        </w:rPr>
      </w:pPr>
      <w:r w:rsidRPr="0076500C">
        <w:rPr>
          <w:b/>
        </w:rPr>
        <w:lastRenderedPageBreak/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76500C">
            <w:rPr>
              <w:b/>
            </w:rPr>
            <w:t>Australia</w:t>
          </w:r>
        </w:smartTag>
      </w:smartTag>
    </w:p>
    <w:p w:rsidR="00ED7251" w:rsidRPr="0076500C" w:rsidRDefault="00ED7251" w:rsidP="00085BA7">
      <w:pPr>
        <w:jc w:val="center"/>
        <w:rPr>
          <w:b/>
        </w:rPr>
      </w:pPr>
    </w:p>
    <w:p w:rsidR="00ED7251" w:rsidRPr="0076500C" w:rsidRDefault="00ED7251" w:rsidP="00085BA7">
      <w:pPr>
        <w:jc w:val="center"/>
      </w:pPr>
    </w:p>
    <w:p w:rsidR="00ED7251" w:rsidRPr="0076500C" w:rsidRDefault="00ED7251" w:rsidP="00085BA7">
      <w:pPr>
        <w:jc w:val="center"/>
        <w:rPr>
          <w:b/>
          <w:i/>
        </w:rPr>
      </w:pPr>
      <w:r w:rsidRPr="0076500C">
        <w:rPr>
          <w:b/>
          <w:i/>
        </w:rPr>
        <w:t xml:space="preserve">National Vocational Education and Training Regulator </w:t>
      </w:r>
      <w:r w:rsidR="004A2DAB">
        <w:rPr>
          <w:b/>
          <w:i/>
        </w:rPr>
        <w:t xml:space="preserve">(Charges) </w:t>
      </w:r>
      <w:r w:rsidRPr="0076500C">
        <w:rPr>
          <w:b/>
          <w:i/>
        </w:rPr>
        <w:t>Act 201</w:t>
      </w:r>
      <w:r w:rsidR="004A2DAB">
        <w:rPr>
          <w:b/>
          <w:i/>
        </w:rPr>
        <w:t>2</w:t>
      </w:r>
    </w:p>
    <w:p w:rsidR="00ED7251" w:rsidRPr="0076500C" w:rsidRDefault="00ED7251" w:rsidP="00085BA7">
      <w:pPr>
        <w:jc w:val="center"/>
        <w:rPr>
          <w:b/>
          <w:i/>
        </w:rPr>
      </w:pPr>
    </w:p>
    <w:p w:rsidR="00ED7251" w:rsidRPr="0076500C" w:rsidRDefault="00ED7251" w:rsidP="00085BA7">
      <w:pPr>
        <w:jc w:val="center"/>
        <w:rPr>
          <w:i/>
        </w:rPr>
      </w:pPr>
    </w:p>
    <w:p w:rsidR="00ED7251" w:rsidRPr="0076500C" w:rsidRDefault="004D3F2B" w:rsidP="00085BA7">
      <w:pPr>
        <w:jc w:val="center"/>
        <w:rPr>
          <w:b/>
        </w:rPr>
      </w:pPr>
      <w:r>
        <w:rPr>
          <w:b/>
        </w:rPr>
        <w:t>NATIONAL VOCATIONAL EDUCATION AND TRAINING REGULATOR (CHARGES) DETERMINATION 2012 (No. 1)</w:t>
      </w:r>
    </w:p>
    <w:p w:rsidR="00ED7251" w:rsidRPr="0076500C" w:rsidRDefault="00ED7251" w:rsidP="00085BA7">
      <w:pPr>
        <w:jc w:val="center"/>
        <w:rPr>
          <w:b/>
        </w:rPr>
      </w:pPr>
    </w:p>
    <w:p w:rsidR="00ED7251" w:rsidRPr="0076500C" w:rsidRDefault="00ED7251" w:rsidP="00085BA7">
      <w:pPr>
        <w:jc w:val="center"/>
        <w:rPr>
          <w:b/>
        </w:rPr>
      </w:pPr>
    </w:p>
    <w:p w:rsidR="00ED7251" w:rsidRPr="0076500C" w:rsidRDefault="00ED7251" w:rsidP="006947D3">
      <w:pPr>
        <w:rPr>
          <w:b/>
        </w:rPr>
      </w:pPr>
      <w:r>
        <w:rPr>
          <w:b/>
        </w:rPr>
        <w:t>PART 1</w:t>
      </w:r>
      <w:r>
        <w:rPr>
          <w:b/>
        </w:rPr>
        <w:tab/>
        <w:t>PRELIMINARY</w:t>
      </w:r>
    </w:p>
    <w:p w:rsidR="00ED7251" w:rsidRPr="0076500C" w:rsidRDefault="00ED7251" w:rsidP="00085BA7">
      <w:pPr>
        <w:jc w:val="center"/>
        <w:rPr>
          <w:b/>
        </w:rPr>
      </w:pPr>
    </w:p>
    <w:p w:rsidR="00ED7251" w:rsidRPr="0076500C" w:rsidRDefault="00ED7251" w:rsidP="006947D3">
      <w:pPr>
        <w:rPr>
          <w:b/>
        </w:rPr>
      </w:pPr>
      <w:r>
        <w:rPr>
          <w:b/>
        </w:rPr>
        <w:t>1</w:t>
      </w:r>
      <w:r>
        <w:rPr>
          <w:b/>
        </w:rPr>
        <w:tab/>
        <w:t>Name of Instrument</w:t>
      </w:r>
    </w:p>
    <w:p w:rsidR="00ED7251" w:rsidRPr="0076500C" w:rsidRDefault="00ED7251" w:rsidP="006947D3">
      <w:pPr>
        <w:rPr>
          <w:b/>
        </w:rPr>
      </w:pPr>
    </w:p>
    <w:p w:rsidR="00ED7251" w:rsidRPr="0076500C" w:rsidRDefault="00ED7251" w:rsidP="004D3F2B">
      <w:pPr>
        <w:ind w:left="567"/>
        <w:rPr>
          <w:i/>
        </w:rPr>
      </w:pPr>
      <w:r w:rsidRPr="0076500C">
        <w:t xml:space="preserve">This legislative instrument </w:t>
      </w:r>
      <w:r>
        <w:t>is the</w:t>
      </w:r>
      <w:r w:rsidRPr="0076500C">
        <w:t xml:space="preserve"> </w:t>
      </w:r>
      <w:r w:rsidR="004D3F2B">
        <w:rPr>
          <w:i/>
        </w:rPr>
        <w:t>National Vocational Education and Training Regulator (Charges) Determination 2012 (No. 1)</w:t>
      </w:r>
      <w:r w:rsidR="004A2DAB">
        <w:rPr>
          <w:i/>
        </w:rPr>
        <w:t>.</w:t>
      </w:r>
    </w:p>
    <w:p w:rsidR="00ED7251" w:rsidRPr="0076500C" w:rsidRDefault="00ED7251" w:rsidP="006947D3">
      <w:pPr>
        <w:rPr>
          <w:i/>
        </w:rPr>
      </w:pPr>
    </w:p>
    <w:p w:rsidR="00ED7251" w:rsidRPr="0076500C" w:rsidRDefault="00ED7251" w:rsidP="006947D3">
      <w:pPr>
        <w:rPr>
          <w:b/>
        </w:rPr>
      </w:pPr>
      <w:r>
        <w:rPr>
          <w:b/>
        </w:rPr>
        <w:t>2</w:t>
      </w:r>
      <w:r>
        <w:rPr>
          <w:b/>
        </w:rPr>
        <w:tab/>
        <w:t>Commencement</w:t>
      </w:r>
    </w:p>
    <w:p w:rsidR="00ED7251" w:rsidRPr="0076500C" w:rsidRDefault="00ED7251" w:rsidP="006947D3">
      <w:pPr>
        <w:rPr>
          <w:b/>
        </w:rPr>
      </w:pPr>
    </w:p>
    <w:p w:rsidR="00ED7251" w:rsidRPr="0076500C" w:rsidRDefault="00ED7251" w:rsidP="006947D3">
      <w:pPr>
        <w:ind w:left="567"/>
      </w:pPr>
      <w:r w:rsidRPr="0076500C">
        <w:t xml:space="preserve">This legislative instrument will come into effect </w:t>
      </w:r>
      <w:r w:rsidR="004D3F2B">
        <w:t>from 1 January 2013</w:t>
      </w:r>
      <w:r w:rsidRPr="0076500C">
        <w:t>.</w:t>
      </w:r>
    </w:p>
    <w:p w:rsidR="00ED7251" w:rsidRDefault="00ED7251" w:rsidP="006947D3"/>
    <w:p w:rsidR="00ED7251" w:rsidRDefault="00ED7251" w:rsidP="006947D3">
      <w:pPr>
        <w:rPr>
          <w:b/>
        </w:rPr>
      </w:pPr>
      <w:r>
        <w:rPr>
          <w:b/>
        </w:rPr>
        <w:t>3</w:t>
      </w:r>
      <w:r>
        <w:rPr>
          <w:b/>
        </w:rPr>
        <w:tab/>
      </w:r>
      <w:r w:rsidR="00F0785F">
        <w:rPr>
          <w:b/>
        </w:rPr>
        <w:t>Purpose and Application</w:t>
      </w:r>
    </w:p>
    <w:p w:rsidR="00F0785F" w:rsidRDefault="00F0785F" w:rsidP="006947D3">
      <w:pPr>
        <w:rPr>
          <w:b/>
        </w:rPr>
      </w:pPr>
    </w:p>
    <w:p w:rsidR="00ED7251" w:rsidRDefault="00ED7251" w:rsidP="006947D3">
      <w:pPr>
        <w:ind w:left="567"/>
      </w:pPr>
      <w:r>
        <w:t>This legislative instrument is made under</w:t>
      </w:r>
      <w:r w:rsidR="00347638">
        <w:t xml:space="preserve"> </w:t>
      </w:r>
      <w:r>
        <w:t>subsection</w:t>
      </w:r>
      <w:r w:rsidR="004D3F2B">
        <w:t>s 9</w:t>
      </w:r>
      <w:r w:rsidR="00025914">
        <w:t>(2)</w:t>
      </w:r>
      <w:r w:rsidR="00347638">
        <w:t xml:space="preserve"> and </w:t>
      </w:r>
      <w:r w:rsidR="004D3F2B">
        <w:t>12</w:t>
      </w:r>
      <w:r w:rsidR="00025914">
        <w:t>(2)</w:t>
      </w:r>
      <w:r w:rsidR="00347638">
        <w:t xml:space="preserve"> </w:t>
      </w:r>
      <w:r>
        <w:t xml:space="preserve">of the </w:t>
      </w:r>
      <w:r w:rsidR="004D3F2B">
        <w:t xml:space="preserve">Charges </w:t>
      </w:r>
      <w:r>
        <w:t>Act.</w:t>
      </w:r>
    </w:p>
    <w:p w:rsidR="00ED7251" w:rsidRDefault="00ED7251" w:rsidP="006947D3">
      <w:pPr>
        <w:ind w:left="567"/>
      </w:pPr>
    </w:p>
    <w:p w:rsidR="00ED7251" w:rsidRDefault="00DB0967" w:rsidP="006947D3">
      <w:pPr>
        <w:ind w:left="567"/>
      </w:pPr>
      <w:r>
        <w:t>The purpose of this i</w:t>
      </w:r>
      <w:r w:rsidR="00ED7251">
        <w:t xml:space="preserve">nstrument is to determine the </w:t>
      </w:r>
      <w:r w:rsidR="004D3F2B">
        <w:t xml:space="preserve">formula for calculating a charge payable under </w:t>
      </w:r>
      <w:r w:rsidR="00F0785F">
        <w:t xml:space="preserve">Part 2 and Part 3 of </w:t>
      </w:r>
      <w:r w:rsidR="00AB3EA2">
        <w:t>the Charges Act</w:t>
      </w:r>
      <w:r w:rsidR="00D53494">
        <w:t xml:space="preserve">. </w:t>
      </w:r>
    </w:p>
    <w:p w:rsidR="008B5851" w:rsidRDefault="008B5851" w:rsidP="006947D3">
      <w:pPr>
        <w:ind w:left="567"/>
      </w:pPr>
    </w:p>
    <w:p w:rsidR="007053BF" w:rsidRDefault="008B5851" w:rsidP="006947D3">
      <w:pPr>
        <w:ind w:left="567"/>
      </w:pPr>
      <w:r>
        <w:t>This instrument will apply to compliance audits commenced on or after 1 January 2013</w:t>
      </w:r>
    </w:p>
    <w:p w:rsidR="008B5851" w:rsidRDefault="008B5851" w:rsidP="006947D3">
      <w:pPr>
        <w:ind w:left="567"/>
      </w:pPr>
    </w:p>
    <w:p w:rsidR="008B5851" w:rsidRDefault="008B5851" w:rsidP="006947D3">
      <w:pPr>
        <w:ind w:left="567"/>
      </w:pPr>
      <w:r>
        <w:t xml:space="preserve">This instrument will apply to complaints received by ASQA on or after 1 January 2013. </w:t>
      </w:r>
    </w:p>
    <w:p w:rsidR="00ED7251" w:rsidRPr="006947D3" w:rsidRDefault="00ED7251" w:rsidP="006947D3">
      <w:r>
        <w:tab/>
      </w:r>
    </w:p>
    <w:p w:rsidR="00ED7251" w:rsidRDefault="00ED7251" w:rsidP="00085BA7">
      <w:pPr>
        <w:rPr>
          <w:b/>
        </w:rPr>
      </w:pPr>
      <w:r w:rsidRPr="00FE6D7F">
        <w:rPr>
          <w:b/>
        </w:rPr>
        <w:t>4</w:t>
      </w:r>
      <w:r w:rsidRPr="00FE6D7F">
        <w:rPr>
          <w:b/>
        </w:rPr>
        <w:tab/>
        <w:t>Definitions</w:t>
      </w:r>
    </w:p>
    <w:p w:rsidR="00417CD8" w:rsidRDefault="00ED7251" w:rsidP="00085BA7">
      <w:pPr>
        <w:rPr>
          <w:b/>
        </w:rPr>
      </w:pPr>
      <w:r>
        <w:rPr>
          <w:b/>
        </w:rPr>
        <w:tab/>
      </w:r>
    </w:p>
    <w:p w:rsidR="00ED7251" w:rsidRDefault="00DB0967" w:rsidP="00417CD8">
      <w:pPr>
        <w:ind w:firstLine="567"/>
        <w:rPr>
          <w:b/>
        </w:rPr>
      </w:pPr>
      <w:r>
        <w:t>In this i</w:t>
      </w:r>
      <w:r w:rsidR="00ED7251" w:rsidRPr="00FE6D7F">
        <w:t>nstrument</w:t>
      </w:r>
      <w:r w:rsidR="00ED7251">
        <w:rPr>
          <w:b/>
        </w:rPr>
        <w:t>:</w:t>
      </w:r>
    </w:p>
    <w:p w:rsidR="00ED7251" w:rsidRDefault="00ED7251" w:rsidP="00085BA7">
      <w:pPr>
        <w:rPr>
          <w:b/>
        </w:rPr>
      </w:pPr>
    </w:p>
    <w:p w:rsidR="00ED7251" w:rsidRPr="00003BC4" w:rsidRDefault="00ED7251" w:rsidP="00DB1530">
      <w:pPr>
        <w:ind w:left="567"/>
      </w:pPr>
      <w:r w:rsidRPr="00FE6D7F">
        <w:rPr>
          <w:b/>
          <w:i/>
        </w:rPr>
        <w:t>ASQA</w:t>
      </w:r>
      <w:r>
        <w:t xml:space="preserve"> means the National VET Regulator established under subsection 155(1) of the </w:t>
      </w:r>
      <w:r w:rsidR="00D53494" w:rsidRPr="00D53494">
        <w:rPr>
          <w:i/>
        </w:rPr>
        <w:t>National Vocational Education and Training Regulator Act 2011</w:t>
      </w:r>
      <w:r w:rsidR="00003BC4">
        <w:t xml:space="preserve"> and specified under section 5 of the </w:t>
      </w:r>
      <w:r w:rsidR="00003BC4">
        <w:rPr>
          <w:i/>
        </w:rPr>
        <w:t>National Vocational Education and Training Regulator Regulations 2011</w:t>
      </w:r>
      <w:r w:rsidR="004A2DAB">
        <w:t xml:space="preserve"> to be known as the Australian Skills Quality Authority</w:t>
      </w:r>
      <w:r w:rsidR="00003BC4">
        <w:t>.</w:t>
      </w:r>
    </w:p>
    <w:p w:rsidR="004D3F2B" w:rsidRDefault="004D3F2B" w:rsidP="00DB1530">
      <w:pPr>
        <w:ind w:left="567"/>
      </w:pPr>
    </w:p>
    <w:p w:rsidR="004D3F2B" w:rsidRDefault="004D3F2B" w:rsidP="004D3F2B">
      <w:pPr>
        <w:ind w:left="567"/>
      </w:pPr>
      <w:r>
        <w:rPr>
          <w:b/>
          <w:i/>
        </w:rPr>
        <w:t xml:space="preserve">Charges </w:t>
      </w:r>
      <w:r w:rsidRPr="00FE6D7F">
        <w:rPr>
          <w:b/>
          <w:i/>
        </w:rPr>
        <w:t>Act</w:t>
      </w:r>
      <w:r w:rsidRPr="00FE6D7F">
        <w:t xml:space="preserve"> means the </w:t>
      </w:r>
      <w:r w:rsidRPr="00FE6D7F">
        <w:rPr>
          <w:i/>
        </w:rPr>
        <w:t xml:space="preserve">National Vocational Education and Training Regulator </w:t>
      </w:r>
      <w:r>
        <w:rPr>
          <w:i/>
        </w:rPr>
        <w:t xml:space="preserve">(Charges) </w:t>
      </w:r>
      <w:r w:rsidRPr="00FE6D7F">
        <w:rPr>
          <w:i/>
        </w:rPr>
        <w:t>Act 201</w:t>
      </w:r>
      <w:r>
        <w:rPr>
          <w:i/>
        </w:rPr>
        <w:t>2</w:t>
      </w:r>
      <w:r>
        <w:t xml:space="preserve">. </w:t>
      </w:r>
    </w:p>
    <w:p w:rsidR="00C508F0" w:rsidRDefault="00C508F0" w:rsidP="004D3F2B">
      <w:pPr>
        <w:ind w:left="567"/>
      </w:pPr>
    </w:p>
    <w:p w:rsidR="00656377" w:rsidRDefault="000E2CF6" w:rsidP="004D3F2B">
      <w:pPr>
        <w:ind w:left="567"/>
      </w:pPr>
      <w:r>
        <w:rPr>
          <w:b/>
          <w:i/>
        </w:rPr>
        <w:t>ASQA official</w:t>
      </w:r>
      <w:r w:rsidR="00B7599A" w:rsidRPr="00B7599A">
        <w:rPr>
          <w:b/>
          <w:i/>
        </w:rPr>
        <w:t xml:space="preserve"> travel costs </w:t>
      </w:r>
      <w:r w:rsidR="00C508F0">
        <w:t>means</w:t>
      </w:r>
      <w:r w:rsidR="00656377">
        <w:t xml:space="preserve"> </w:t>
      </w:r>
    </w:p>
    <w:p w:rsidR="0059003E" w:rsidRDefault="00F51AF1">
      <w:pPr>
        <w:pStyle w:val="ListParagraph"/>
        <w:numPr>
          <w:ilvl w:val="0"/>
          <w:numId w:val="12"/>
        </w:numPr>
      </w:pPr>
      <w:r>
        <w:t>r</w:t>
      </w:r>
      <w:r w:rsidR="00BC7A11" w:rsidRPr="00BC7A11">
        <w:t>easonably incurred airfares</w:t>
      </w:r>
      <w:r w:rsidR="00656377" w:rsidRPr="00BC7A11">
        <w:rPr>
          <w:bCs/>
        </w:rPr>
        <w:t>;</w:t>
      </w:r>
      <w:r w:rsidR="0065324A">
        <w:rPr>
          <w:bCs/>
        </w:rPr>
        <w:t xml:space="preserve"> and</w:t>
      </w:r>
    </w:p>
    <w:p w:rsidR="0059003E" w:rsidRDefault="0065324A">
      <w:pPr>
        <w:pStyle w:val="ListParagraph"/>
        <w:numPr>
          <w:ilvl w:val="0"/>
          <w:numId w:val="12"/>
        </w:numPr>
      </w:pPr>
      <w:proofErr w:type="gramStart"/>
      <w:r>
        <w:rPr>
          <w:bCs/>
        </w:rPr>
        <w:t>such</w:t>
      </w:r>
      <w:proofErr w:type="gramEnd"/>
      <w:r>
        <w:rPr>
          <w:bCs/>
        </w:rPr>
        <w:t xml:space="preserve"> other travel expenses which may reasonably be incurred, including </w:t>
      </w:r>
      <w:r w:rsidR="00725F26">
        <w:rPr>
          <w:bCs/>
        </w:rPr>
        <w:t xml:space="preserve">but not limited to </w:t>
      </w:r>
      <w:r w:rsidR="00656377">
        <w:rPr>
          <w:bCs/>
        </w:rPr>
        <w:t>accommodation</w:t>
      </w:r>
      <w:r>
        <w:rPr>
          <w:bCs/>
        </w:rPr>
        <w:t>, car rental</w:t>
      </w:r>
      <w:r w:rsidR="00725F26">
        <w:rPr>
          <w:bCs/>
        </w:rPr>
        <w:t xml:space="preserve"> and meals.</w:t>
      </w:r>
      <w:r w:rsidR="00F175BD" w:rsidRPr="00FE6D7F" w:rsidDel="00F175BD">
        <w:t xml:space="preserve"> </w:t>
      </w:r>
    </w:p>
    <w:p w:rsidR="00F175BD" w:rsidRDefault="00F175BD" w:rsidP="00F0785F">
      <w:pPr>
        <w:ind w:left="1695" w:hanging="1125"/>
        <w:rPr>
          <w:sz w:val="22"/>
          <w:szCs w:val="22"/>
        </w:rPr>
      </w:pPr>
    </w:p>
    <w:p w:rsidR="00ED7251" w:rsidRDefault="00F0785F" w:rsidP="00F0785F">
      <w:pPr>
        <w:ind w:left="1695" w:hanging="1125"/>
        <w:rPr>
          <w:sz w:val="22"/>
          <w:szCs w:val="22"/>
        </w:rPr>
      </w:pPr>
      <w:r w:rsidRPr="00F0785F">
        <w:rPr>
          <w:sz w:val="22"/>
          <w:szCs w:val="22"/>
        </w:rPr>
        <w:lastRenderedPageBreak/>
        <w:t>Note:</w:t>
      </w:r>
      <w:r w:rsidRPr="00F0785F">
        <w:rPr>
          <w:sz w:val="22"/>
          <w:szCs w:val="22"/>
        </w:rPr>
        <w:tab/>
      </w:r>
      <w:r w:rsidR="00003BC4">
        <w:rPr>
          <w:sz w:val="22"/>
          <w:szCs w:val="22"/>
        </w:rPr>
        <w:t>Unless contrary intention appears, a</w:t>
      </w:r>
      <w:r w:rsidRPr="00F0785F">
        <w:rPr>
          <w:sz w:val="22"/>
          <w:szCs w:val="22"/>
        </w:rPr>
        <w:t xml:space="preserve">n expression has the same meaning in this legislative instrument as in the </w:t>
      </w:r>
      <w:r w:rsidRPr="00F0785F">
        <w:rPr>
          <w:i/>
          <w:sz w:val="22"/>
          <w:szCs w:val="22"/>
        </w:rPr>
        <w:t>National Vocational Education and Training Regulator</w:t>
      </w:r>
      <w:r w:rsidR="004A2DAB">
        <w:rPr>
          <w:i/>
          <w:sz w:val="22"/>
          <w:szCs w:val="22"/>
        </w:rPr>
        <w:t xml:space="preserve"> </w:t>
      </w:r>
      <w:r w:rsidR="00060C0A">
        <w:rPr>
          <w:i/>
          <w:sz w:val="22"/>
          <w:szCs w:val="22"/>
        </w:rPr>
        <w:t>(</w:t>
      </w:r>
      <w:r w:rsidR="004A2DAB">
        <w:rPr>
          <w:i/>
          <w:sz w:val="22"/>
          <w:szCs w:val="22"/>
        </w:rPr>
        <w:t>Charges</w:t>
      </w:r>
      <w:r w:rsidR="00060C0A">
        <w:rPr>
          <w:i/>
          <w:sz w:val="22"/>
          <w:szCs w:val="22"/>
        </w:rPr>
        <w:t>)</w:t>
      </w:r>
      <w:r w:rsidRPr="00F0785F">
        <w:rPr>
          <w:i/>
          <w:sz w:val="22"/>
          <w:szCs w:val="22"/>
        </w:rPr>
        <w:t xml:space="preserve"> Act 201</w:t>
      </w:r>
      <w:r w:rsidR="004A2DAB">
        <w:rPr>
          <w:i/>
          <w:sz w:val="22"/>
          <w:szCs w:val="22"/>
        </w:rPr>
        <w:t>2</w:t>
      </w:r>
      <w:r w:rsidRPr="00F0785F">
        <w:rPr>
          <w:sz w:val="22"/>
          <w:szCs w:val="22"/>
        </w:rPr>
        <w:t xml:space="preserve">. </w:t>
      </w:r>
    </w:p>
    <w:p w:rsidR="00060C0A" w:rsidRDefault="00060C0A" w:rsidP="00085BA7">
      <w:pPr>
        <w:rPr>
          <w:b/>
        </w:rPr>
      </w:pPr>
    </w:p>
    <w:p w:rsidR="00060C0A" w:rsidRDefault="00060C0A" w:rsidP="00085BA7">
      <w:pPr>
        <w:rPr>
          <w:b/>
        </w:rPr>
      </w:pPr>
    </w:p>
    <w:p w:rsidR="00060C0A" w:rsidRDefault="00060C0A" w:rsidP="00085BA7">
      <w:pPr>
        <w:rPr>
          <w:b/>
        </w:rPr>
      </w:pPr>
    </w:p>
    <w:p w:rsidR="00ED7251" w:rsidRPr="00FE6D7F" w:rsidRDefault="00055C6E" w:rsidP="00085BA7">
      <w:pPr>
        <w:rPr>
          <w:b/>
        </w:rPr>
      </w:pPr>
      <w:r>
        <w:rPr>
          <w:b/>
        </w:rPr>
        <w:t xml:space="preserve">PART </w:t>
      </w:r>
      <w:r w:rsidR="00F0785F">
        <w:rPr>
          <w:b/>
        </w:rPr>
        <w:t xml:space="preserve">2 CALCULATION </w:t>
      </w:r>
      <w:r w:rsidR="00D60AA5">
        <w:rPr>
          <w:b/>
        </w:rPr>
        <w:t>FORMULAS</w:t>
      </w:r>
    </w:p>
    <w:p w:rsidR="00ED7251" w:rsidRDefault="00ED7251" w:rsidP="0076500C">
      <w:pPr>
        <w:ind w:left="567" w:hanging="567"/>
        <w:rPr>
          <w:b/>
        </w:rPr>
      </w:pPr>
    </w:p>
    <w:p w:rsidR="00ED7251" w:rsidRDefault="00ED7251" w:rsidP="00DB1530">
      <w:pPr>
        <w:ind w:left="567" w:hanging="567"/>
        <w:rPr>
          <w:b/>
        </w:rPr>
      </w:pPr>
      <w:r>
        <w:rPr>
          <w:b/>
        </w:rPr>
        <w:t>5</w:t>
      </w:r>
      <w:r>
        <w:rPr>
          <w:b/>
        </w:rPr>
        <w:tab/>
      </w:r>
      <w:r w:rsidR="00055C6E">
        <w:rPr>
          <w:b/>
        </w:rPr>
        <w:t>Calculation Formula</w:t>
      </w:r>
      <w:r w:rsidR="00D60AA5">
        <w:rPr>
          <w:b/>
        </w:rPr>
        <w:t>s</w:t>
      </w:r>
    </w:p>
    <w:p w:rsidR="00055C6E" w:rsidRDefault="00055C6E" w:rsidP="00DB1530">
      <w:pPr>
        <w:ind w:left="567" w:hanging="567"/>
        <w:rPr>
          <w:b/>
        </w:rPr>
      </w:pPr>
    </w:p>
    <w:p w:rsidR="00055C6E" w:rsidRPr="00055C6E" w:rsidRDefault="00055C6E" w:rsidP="00055C6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055C6E">
        <w:t>For the purpose of subsection 9(1) of the Charges Act, a charge under Part 2 of that Act is to be calculated according to the following formula:</w:t>
      </w:r>
    </w:p>
    <w:p w:rsidR="007A182C" w:rsidRPr="00055C6E" w:rsidRDefault="00C850CD" w:rsidP="00055C6E">
      <w:pPr>
        <w:pStyle w:val="subsection"/>
        <w:numPr>
          <w:ilvl w:val="0"/>
          <w:numId w:val="10"/>
        </w:numPr>
        <w:rPr>
          <w:sz w:val="24"/>
        </w:rPr>
      </w:pPr>
      <w:r>
        <w:rPr>
          <w:sz w:val="24"/>
        </w:rPr>
        <w:t>t</w:t>
      </w:r>
      <w:r w:rsidR="00055C6E" w:rsidRPr="00055C6E">
        <w:rPr>
          <w:sz w:val="24"/>
        </w:rPr>
        <w:t xml:space="preserve">he costs and expenses incurred by </w:t>
      </w:r>
      <w:r w:rsidR="00055C6E">
        <w:rPr>
          <w:sz w:val="24"/>
        </w:rPr>
        <w:t>ASQA</w:t>
      </w:r>
      <w:r w:rsidR="00055C6E" w:rsidRPr="00055C6E">
        <w:rPr>
          <w:sz w:val="24"/>
        </w:rPr>
        <w:t xml:space="preserve"> in conducting </w:t>
      </w:r>
      <w:r w:rsidR="00003BC4">
        <w:rPr>
          <w:sz w:val="24"/>
        </w:rPr>
        <w:t>a</w:t>
      </w:r>
      <w:r w:rsidR="00055C6E" w:rsidRPr="00055C6E">
        <w:rPr>
          <w:sz w:val="24"/>
        </w:rPr>
        <w:t xml:space="preserve"> </w:t>
      </w:r>
      <w:r w:rsidR="00F0785F">
        <w:rPr>
          <w:sz w:val="24"/>
        </w:rPr>
        <w:t xml:space="preserve">compliance </w:t>
      </w:r>
      <w:r w:rsidR="00055C6E" w:rsidRPr="00055C6E">
        <w:rPr>
          <w:sz w:val="24"/>
        </w:rPr>
        <w:t>audit -</w:t>
      </w:r>
      <w:r w:rsidR="00AF24FB">
        <w:rPr>
          <w:sz w:val="24"/>
        </w:rPr>
        <w:t xml:space="preserve"> $150 per hour capped at $5,00</w:t>
      </w:r>
      <w:r w:rsidR="002C2549">
        <w:rPr>
          <w:sz w:val="24"/>
        </w:rPr>
        <w:t>0</w:t>
      </w:r>
      <w:r>
        <w:rPr>
          <w:sz w:val="24"/>
        </w:rPr>
        <w:t xml:space="preserve">; plus </w:t>
      </w:r>
    </w:p>
    <w:p w:rsidR="0059003E" w:rsidRDefault="00C850CD">
      <w:pPr>
        <w:pStyle w:val="subsection"/>
        <w:numPr>
          <w:ilvl w:val="0"/>
          <w:numId w:val="10"/>
        </w:numPr>
        <w:rPr>
          <w:sz w:val="24"/>
        </w:rPr>
      </w:pPr>
      <w:proofErr w:type="gramStart"/>
      <w:r>
        <w:rPr>
          <w:sz w:val="24"/>
        </w:rPr>
        <w:t>i</w:t>
      </w:r>
      <w:r w:rsidRPr="00055C6E">
        <w:rPr>
          <w:sz w:val="24"/>
        </w:rPr>
        <w:t>f</w:t>
      </w:r>
      <w:proofErr w:type="gramEnd"/>
      <w:r w:rsidRPr="00055C6E">
        <w:rPr>
          <w:sz w:val="24"/>
        </w:rPr>
        <w:t xml:space="preserve"> </w:t>
      </w:r>
      <w:r w:rsidR="00003BC4">
        <w:rPr>
          <w:sz w:val="24"/>
        </w:rPr>
        <w:t>an</w:t>
      </w:r>
      <w:r w:rsidR="00055C6E" w:rsidRPr="00055C6E">
        <w:rPr>
          <w:sz w:val="24"/>
        </w:rPr>
        <w:t xml:space="preserve"> audit is conducted outside Australia in whole or in part</w:t>
      </w:r>
      <w:r w:rsidR="00C508F0">
        <w:rPr>
          <w:sz w:val="24"/>
        </w:rPr>
        <w:t xml:space="preserve">, </w:t>
      </w:r>
      <w:r w:rsidR="00BE397B">
        <w:rPr>
          <w:sz w:val="24"/>
        </w:rPr>
        <w:t xml:space="preserve">and commenced on or after 1 January 2014, </w:t>
      </w:r>
      <w:r w:rsidR="00C508F0">
        <w:rPr>
          <w:sz w:val="24"/>
        </w:rPr>
        <w:t xml:space="preserve">any </w:t>
      </w:r>
      <w:r>
        <w:rPr>
          <w:sz w:val="24"/>
        </w:rPr>
        <w:t xml:space="preserve">additional </w:t>
      </w:r>
      <w:r w:rsidR="00C508F0">
        <w:rPr>
          <w:sz w:val="24"/>
        </w:rPr>
        <w:t xml:space="preserve">expenses </w:t>
      </w:r>
      <w:r w:rsidR="00ED4A71">
        <w:rPr>
          <w:sz w:val="24"/>
        </w:rPr>
        <w:t xml:space="preserve">reasonably </w:t>
      </w:r>
      <w:r w:rsidR="00C508F0">
        <w:rPr>
          <w:sz w:val="24"/>
        </w:rPr>
        <w:t>incurred by ASQA relating to the audit or part of the audit</w:t>
      </w:r>
      <w:r>
        <w:rPr>
          <w:sz w:val="24"/>
        </w:rPr>
        <w:t>.</w:t>
      </w:r>
    </w:p>
    <w:p w:rsidR="00C23AAF" w:rsidRPr="00055C6E" w:rsidRDefault="00C23AAF" w:rsidP="00055C6E">
      <w:pPr>
        <w:pStyle w:val="subsection"/>
        <w:ind w:left="2127" w:firstLine="0"/>
        <w:rPr>
          <w:sz w:val="24"/>
        </w:rPr>
      </w:pPr>
    </w:p>
    <w:p w:rsidR="00055C6E" w:rsidRPr="00055C6E" w:rsidRDefault="00055C6E" w:rsidP="00055C6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055C6E">
        <w:t>For the purpose of subsection 12(1) of the Charges Act, a charge under Part 3 of that Act is to be calculated according to the following formula:</w:t>
      </w:r>
    </w:p>
    <w:p w:rsidR="00055C6E" w:rsidRPr="00055C6E" w:rsidRDefault="00C850CD" w:rsidP="00055C6E">
      <w:pPr>
        <w:pStyle w:val="subsection"/>
        <w:numPr>
          <w:ilvl w:val="1"/>
          <w:numId w:val="11"/>
        </w:numPr>
        <w:rPr>
          <w:sz w:val="24"/>
        </w:rPr>
      </w:pPr>
      <w:r>
        <w:rPr>
          <w:sz w:val="24"/>
        </w:rPr>
        <w:t>t</w:t>
      </w:r>
      <w:r w:rsidR="00055C6E" w:rsidRPr="00055C6E">
        <w:rPr>
          <w:sz w:val="24"/>
        </w:rPr>
        <w:t xml:space="preserve">he costs and expenses incurred by </w:t>
      </w:r>
      <w:r w:rsidR="00055C6E">
        <w:rPr>
          <w:sz w:val="24"/>
        </w:rPr>
        <w:t>ASQA</w:t>
      </w:r>
      <w:r w:rsidR="00055C6E" w:rsidRPr="00055C6E">
        <w:rPr>
          <w:sz w:val="24"/>
        </w:rPr>
        <w:t xml:space="preserve"> in conducting:</w:t>
      </w:r>
    </w:p>
    <w:p w:rsidR="00C7062D" w:rsidRPr="00BC7A11" w:rsidRDefault="00003BC4" w:rsidP="00C7062D">
      <w:pPr>
        <w:pStyle w:val="subsection"/>
        <w:numPr>
          <w:ilvl w:val="2"/>
          <w:numId w:val="11"/>
        </w:numPr>
        <w:tabs>
          <w:tab w:val="clear" w:pos="1021"/>
          <w:tab w:val="right" w:pos="1134"/>
        </w:tabs>
        <w:rPr>
          <w:sz w:val="24"/>
        </w:rPr>
      </w:pPr>
      <w:r>
        <w:rPr>
          <w:sz w:val="24"/>
        </w:rPr>
        <w:t>an</w:t>
      </w:r>
      <w:r w:rsidR="00C7062D" w:rsidRPr="00055C6E">
        <w:rPr>
          <w:sz w:val="24"/>
        </w:rPr>
        <w:t xml:space="preserve"> investigation into any substantiated complaint</w:t>
      </w:r>
      <w:r>
        <w:rPr>
          <w:sz w:val="24"/>
        </w:rPr>
        <w:t xml:space="preserve"> </w:t>
      </w:r>
      <w:r w:rsidR="00C7062D" w:rsidRPr="00055C6E">
        <w:rPr>
          <w:sz w:val="24"/>
        </w:rPr>
        <w:t xml:space="preserve">- $150 per hour capped at $3,000, plus </w:t>
      </w:r>
      <w:r w:rsidR="000E2CF6">
        <w:rPr>
          <w:sz w:val="24"/>
        </w:rPr>
        <w:t>ASQA official</w:t>
      </w:r>
      <w:r w:rsidR="00812933">
        <w:rPr>
          <w:sz w:val="24"/>
        </w:rPr>
        <w:t xml:space="preserve"> travel costs; </w:t>
      </w:r>
      <w:r w:rsidR="00C850CD" w:rsidRPr="00BC7A11">
        <w:rPr>
          <w:sz w:val="24"/>
        </w:rPr>
        <w:t>or</w:t>
      </w:r>
    </w:p>
    <w:p w:rsidR="00C7062D" w:rsidRDefault="00C7062D" w:rsidP="00055C6E">
      <w:pPr>
        <w:pStyle w:val="subsection"/>
        <w:numPr>
          <w:ilvl w:val="2"/>
          <w:numId w:val="11"/>
        </w:numPr>
        <w:tabs>
          <w:tab w:val="clear" w:pos="1021"/>
          <w:tab w:val="right" w:pos="1134"/>
        </w:tabs>
        <w:rPr>
          <w:sz w:val="24"/>
        </w:rPr>
      </w:pPr>
      <w:r>
        <w:rPr>
          <w:sz w:val="24"/>
        </w:rPr>
        <w:t>a compliance audit - $150 per hour capped at $5,000</w:t>
      </w:r>
      <w:r w:rsidR="00812933">
        <w:rPr>
          <w:sz w:val="24"/>
        </w:rPr>
        <w:t>,</w:t>
      </w:r>
      <w:r>
        <w:rPr>
          <w:sz w:val="24"/>
        </w:rPr>
        <w:t xml:space="preserve"> plus </w:t>
      </w:r>
      <w:r w:rsidR="000E2CF6">
        <w:rPr>
          <w:sz w:val="24"/>
        </w:rPr>
        <w:t>ASQA official</w:t>
      </w:r>
      <w:r>
        <w:rPr>
          <w:sz w:val="24"/>
        </w:rPr>
        <w:t xml:space="preserve"> travel costs</w:t>
      </w:r>
      <w:r w:rsidR="00C850CD">
        <w:rPr>
          <w:sz w:val="24"/>
        </w:rPr>
        <w:t>; plus</w:t>
      </w:r>
    </w:p>
    <w:p w:rsidR="00BE397B" w:rsidRDefault="00C850CD">
      <w:pPr>
        <w:pStyle w:val="subsection"/>
        <w:numPr>
          <w:ilvl w:val="1"/>
          <w:numId w:val="11"/>
        </w:numPr>
        <w:rPr>
          <w:sz w:val="24"/>
        </w:rPr>
      </w:pPr>
      <w:proofErr w:type="gramStart"/>
      <w:r>
        <w:rPr>
          <w:sz w:val="24"/>
        </w:rPr>
        <w:t>i</w:t>
      </w:r>
      <w:r w:rsidR="00055C6E" w:rsidRPr="00055C6E">
        <w:rPr>
          <w:sz w:val="24"/>
        </w:rPr>
        <w:t>f</w:t>
      </w:r>
      <w:proofErr w:type="gramEnd"/>
      <w:r w:rsidR="00055C6E" w:rsidRPr="00055C6E">
        <w:rPr>
          <w:sz w:val="24"/>
        </w:rPr>
        <w:t xml:space="preserve"> </w:t>
      </w:r>
      <w:r w:rsidR="00003BC4">
        <w:rPr>
          <w:sz w:val="24"/>
        </w:rPr>
        <w:t>an</w:t>
      </w:r>
      <w:r w:rsidR="00055C6E" w:rsidRPr="00055C6E">
        <w:rPr>
          <w:sz w:val="24"/>
        </w:rPr>
        <w:t xml:space="preserve"> investigation or </w:t>
      </w:r>
      <w:r w:rsidR="00ED4A71">
        <w:rPr>
          <w:sz w:val="24"/>
        </w:rPr>
        <w:t xml:space="preserve">compliance </w:t>
      </w:r>
      <w:r w:rsidR="00055C6E" w:rsidRPr="00055C6E">
        <w:rPr>
          <w:sz w:val="24"/>
        </w:rPr>
        <w:t>audit is conducted outside Australia in whole or in part</w:t>
      </w:r>
      <w:r>
        <w:rPr>
          <w:sz w:val="24"/>
        </w:rPr>
        <w:t>,</w:t>
      </w:r>
      <w:r w:rsidR="00055C6E" w:rsidRPr="00055C6E">
        <w:rPr>
          <w:sz w:val="24"/>
        </w:rPr>
        <w:t xml:space="preserve"> </w:t>
      </w:r>
      <w:r w:rsidR="00E97B87">
        <w:rPr>
          <w:sz w:val="24"/>
        </w:rPr>
        <w:t xml:space="preserve">and commenced on or after 1 January 2014, </w:t>
      </w:r>
      <w:r>
        <w:rPr>
          <w:sz w:val="24"/>
        </w:rPr>
        <w:t xml:space="preserve">any additional expenses </w:t>
      </w:r>
      <w:r w:rsidR="00ED4A71">
        <w:rPr>
          <w:sz w:val="24"/>
        </w:rPr>
        <w:t xml:space="preserve">reasonably </w:t>
      </w:r>
      <w:r>
        <w:rPr>
          <w:sz w:val="24"/>
        </w:rPr>
        <w:t xml:space="preserve">incurred by ASQA relating to the </w:t>
      </w:r>
      <w:r w:rsidR="00AA0730" w:rsidRPr="00055C6E">
        <w:rPr>
          <w:sz w:val="24"/>
        </w:rPr>
        <w:t xml:space="preserve">investigation </w:t>
      </w:r>
      <w:r w:rsidR="00AA0730">
        <w:rPr>
          <w:sz w:val="24"/>
        </w:rPr>
        <w:t xml:space="preserve">or </w:t>
      </w:r>
      <w:r>
        <w:rPr>
          <w:sz w:val="24"/>
        </w:rPr>
        <w:t xml:space="preserve">audit or part of the </w:t>
      </w:r>
      <w:r w:rsidRPr="00055C6E">
        <w:rPr>
          <w:sz w:val="24"/>
        </w:rPr>
        <w:t xml:space="preserve">investigation </w:t>
      </w:r>
      <w:r>
        <w:rPr>
          <w:sz w:val="24"/>
        </w:rPr>
        <w:t>or audit.</w:t>
      </w:r>
    </w:p>
    <w:p w:rsidR="007F4EF0" w:rsidRDefault="007F4EF0" w:rsidP="00055C6E">
      <w:pPr>
        <w:pStyle w:val="subsection"/>
        <w:ind w:left="1418" w:hanging="709"/>
      </w:pPr>
    </w:p>
    <w:p w:rsidR="007F4EF0" w:rsidRPr="00417CD8" w:rsidRDefault="007F4EF0" w:rsidP="00417CD8">
      <w:pPr>
        <w:pStyle w:val="subsection"/>
        <w:ind w:left="1418" w:hanging="709"/>
      </w:pPr>
    </w:p>
    <w:sectPr w:rsidR="007F4EF0" w:rsidRPr="00417CD8" w:rsidSect="00417CD8">
      <w:headerReference w:type="default" r:id="rId10"/>
      <w:footerReference w:type="default" r:id="rId11"/>
      <w:pgSz w:w="11906" w:h="16838" w:code="9"/>
      <w:pgMar w:top="1418" w:right="1134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7B" w:rsidRDefault="00BE397B" w:rsidP="00192AC0">
      <w:r>
        <w:separator/>
      </w:r>
    </w:p>
  </w:endnote>
  <w:endnote w:type="continuationSeparator" w:id="0">
    <w:p w:rsidR="00BE397B" w:rsidRDefault="00BE397B" w:rsidP="0019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B" w:rsidRDefault="00A718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A0A">
      <w:rPr>
        <w:noProof/>
      </w:rPr>
      <w:t>2</w:t>
    </w:r>
    <w:r>
      <w:rPr>
        <w:noProof/>
      </w:rPr>
      <w:fldChar w:fldCharType="end"/>
    </w:r>
  </w:p>
  <w:p w:rsidR="00BE397B" w:rsidRDefault="00BE3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7B" w:rsidRDefault="00BE397B" w:rsidP="00192AC0">
      <w:r>
        <w:separator/>
      </w:r>
    </w:p>
  </w:footnote>
  <w:footnote w:type="continuationSeparator" w:id="0">
    <w:p w:rsidR="00BE397B" w:rsidRDefault="00BE397B" w:rsidP="0019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B" w:rsidRDefault="00BE397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E0F"/>
    <w:multiLevelType w:val="hybridMultilevel"/>
    <w:tmpl w:val="DDBC0478"/>
    <w:lvl w:ilvl="0" w:tplc="0C0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0976F26"/>
    <w:multiLevelType w:val="hybridMultilevel"/>
    <w:tmpl w:val="88BE57B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74C8"/>
    <w:multiLevelType w:val="hybridMultilevel"/>
    <w:tmpl w:val="C7022560"/>
    <w:lvl w:ilvl="0" w:tplc="0C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>
    <w:nsid w:val="35775724"/>
    <w:multiLevelType w:val="hybridMultilevel"/>
    <w:tmpl w:val="99B0A05E"/>
    <w:lvl w:ilvl="0" w:tplc="0C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CC750F4"/>
    <w:multiLevelType w:val="hybridMultilevel"/>
    <w:tmpl w:val="7DC8FAF0"/>
    <w:lvl w:ilvl="0" w:tplc="4CC21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25D52"/>
    <w:multiLevelType w:val="hybridMultilevel"/>
    <w:tmpl w:val="B4F23BF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E344FF"/>
    <w:multiLevelType w:val="hybridMultilevel"/>
    <w:tmpl w:val="4490D5DA"/>
    <w:lvl w:ilvl="0" w:tplc="0C09001B">
      <w:start w:val="1"/>
      <w:numFmt w:val="lowerRoman"/>
      <w:lvlText w:val="%1."/>
      <w:lvlJc w:val="right"/>
      <w:pPr>
        <w:ind w:left="257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7">
    <w:nsid w:val="5EE839DE"/>
    <w:multiLevelType w:val="hybridMultilevel"/>
    <w:tmpl w:val="3A289B52"/>
    <w:lvl w:ilvl="0" w:tplc="567E9B3E">
      <w:start w:val="1"/>
      <w:numFmt w:val="lowerLetter"/>
      <w:lvlText w:val="(%1)"/>
      <w:lvlJc w:val="left"/>
      <w:pPr>
        <w:ind w:left="1689" w:hanging="55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61890245"/>
    <w:multiLevelType w:val="hybridMultilevel"/>
    <w:tmpl w:val="2FB8EB2C"/>
    <w:lvl w:ilvl="0" w:tplc="0C09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65E60269"/>
    <w:multiLevelType w:val="hybridMultilevel"/>
    <w:tmpl w:val="285474DA"/>
    <w:lvl w:ilvl="0" w:tplc="7FBCE4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594125"/>
    <w:multiLevelType w:val="hybridMultilevel"/>
    <w:tmpl w:val="C52A8DEC"/>
    <w:lvl w:ilvl="0" w:tplc="0C09001B">
      <w:start w:val="1"/>
      <w:numFmt w:val="lowerRoman"/>
      <w:lvlText w:val="%1."/>
      <w:lvlJc w:val="righ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3641B6D"/>
    <w:multiLevelType w:val="hybridMultilevel"/>
    <w:tmpl w:val="D5FA98A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BA7"/>
    <w:rsid w:val="000008B8"/>
    <w:rsid w:val="00003BC4"/>
    <w:rsid w:val="00007D42"/>
    <w:rsid w:val="00025914"/>
    <w:rsid w:val="00031CB3"/>
    <w:rsid w:val="00055C6E"/>
    <w:rsid w:val="00060C0A"/>
    <w:rsid w:val="00070183"/>
    <w:rsid w:val="00085BA7"/>
    <w:rsid w:val="000B5293"/>
    <w:rsid w:val="000C4331"/>
    <w:rsid w:val="000D24FE"/>
    <w:rsid w:val="000E2CF6"/>
    <w:rsid w:val="000E30A4"/>
    <w:rsid w:val="000E560F"/>
    <w:rsid w:val="00101976"/>
    <w:rsid w:val="0012281F"/>
    <w:rsid w:val="00125567"/>
    <w:rsid w:val="00131DBF"/>
    <w:rsid w:val="001345CF"/>
    <w:rsid w:val="00141027"/>
    <w:rsid w:val="00157BB6"/>
    <w:rsid w:val="00165FDC"/>
    <w:rsid w:val="00175BDF"/>
    <w:rsid w:val="00184CD5"/>
    <w:rsid w:val="00185089"/>
    <w:rsid w:val="00192AC0"/>
    <w:rsid w:val="001A5D4A"/>
    <w:rsid w:val="001D2C88"/>
    <w:rsid w:val="001E3DDF"/>
    <w:rsid w:val="001E406C"/>
    <w:rsid w:val="00203C6C"/>
    <w:rsid w:val="00232B41"/>
    <w:rsid w:val="0024242E"/>
    <w:rsid w:val="00246DEF"/>
    <w:rsid w:val="0025067C"/>
    <w:rsid w:val="00261333"/>
    <w:rsid w:val="00261AF2"/>
    <w:rsid w:val="002866D6"/>
    <w:rsid w:val="00296F0D"/>
    <w:rsid w:val="002A1154"/>
    <w:rsid w:val="002A38BC"/>
    <w:rsid w:val="002B3545"/>
    <w:rsid w:val="002B449C"/>
    <w:rsid w:val="002C2549"/>
    <w:rsid w:val="002D22AC"/>
    <w:rsid w:val="002F05F7"/>
    <w:rsid w:val="00301190"/>
    <w:rsid w:val="00323230"/>
    <w:rsid w:val="00347638"/>
    <w:rsid w:val="00357E11"/>
    <w:rsid w:val="00391402"/>
    <w:rsid w:val="00393C1A"/>
    <w:rsid w:val="003E7282"/>
    <w:rsid w:val="003E765C"/>
    <w:rsid w:val="00403559"/>
    <w:rsid w:val="00407D4D"/>
    <w:rsid w:val="0041644F"/>
    <w:rsid w:val="00417CD8"/>
    <w:rsid w:val="00436623"/>
    <w:rsid w:val="004972FB"/>
    <w:rsid w:val="004A2DAB"/>
    <w:rsid w:val="004A61B5"/>
    <w:rsid w:val="004B33F8"/>
    <w:rsid w:val="004D3F2B"/>
    <w:rsid w:val="004F4B00"/>
    <w:rsid w:val="004F5724"/>
    <w:rsid w:val="00500A8D"/>
    <w:rsid w:val="005370BE"/>
    <w:rsid w:val="00555849"/>
    <w:rsid w:val="00577832"/>
    <w:rsid w:val="0058686B"/>
    <w:rsid w:val="005874FD"/>
    <w:rsid w:val="0059003E"/>
    <w:rsid w:val="005C21B5"/>
    <w:rsid w:val="005D20BD"/>
    <w:rsid w:val="005D236C"/>
    <w:rsid w:val="005D3AA9"/>
    <w:rsid w:val="005E5F66"/>
    <w:rsid w:val="00616AD7"/>
    <w:rsid w:val="006330BC"/>
    <w:rsid w:val="0065324A"/>
    <w:rsid w:val="006545C3"/>
    <w:rsid w:val="00656377"/>
    <w:rsid w:val="006568DF"/>
    <w:rsid w:val="006578DC"/>
    <w:rsid w:val="00662C96"/>
    <w:rsid w:val="00662EDD"/>
    <w:rsid w:val="00676F63"/>
    <w:rsid w:val="0067755C"/>
    <w:rsid w:val="0068310D"/>
    <w:rsid w:val="00685B02"/>
    <w:rsid w:val="006947D3"/>
    <w:rsid w:val="0069563C"/>
    <w:rsid w:val="0069663C"/>
    <w:rsid w:val="007014C8"/>
    <w:rsid w:val="007053BF"/>
    <w:rsid w:val="00710F9A"/>
    <w:rsid w:val="00725F26"/>
    <w:rsid w:val="007267AE"/>
    <w:rsid w:val="007327E8"/>
    <w:rsid w:val="00733644"/>
    <w:rsid w:val="00737AB0"/>
    <w:rsid w:val="0076500C"/>
    <w:rsid w:val="00765C1D"/>
    <w:rsid w:val="00766A7D"/>
    <w:rsid w:val="00773D80"/>
    <w:rsid w:val="00781CEF"/>
    <w:rsid w:val="007A182C"/>
    <w:rsid w:val="007A320A"/>
    <w:rsid w:val="007A3FC7"/>
    <w:rsid w:val="007A44C8"/>
    <w:rsid w:val="007B2438"/>
    <w:rsid w:val="007B7693"/>
    <w:rsid w:val="007D2E8A"/>
    <w:rsid w:val="007F4EF0"/>
    <w:rsid w:val="008004A1"/>
    <w:rsid w:val="00811532"/>
    <w:rsid w:val="00812933"/>
    <w:rsid w:val="00846620"/>
    <w:rsid w:val="008918F2"/>
    <w:rsid w:val="008A210D"/>
    <w:rsid w:val="008A27C5"/>
    <w:rsid w:val="008B5851"/>
    <w:rsid w:val="008D3118"/>
    <w:rsid w:val="008D40C7"/>
    <w:rsid w:val="008E3C34"/>
    <w:rsid w:val="008E5E7C"/>
    <w:rsid w:val="008E7073"/>
    <w:rsid w:val="008F7988"/>
    <w:rsid w:val="0090098B"/>
    <w:rsid w:val="00930E54"/>
    <w:rsid w:val="00980B32"/>
    <w:rsid w:val="009B094F"/>
    <w:rsid w:val="009E38F9"/>
    <w:rsid w:val="009F0E2C"/>
    <w:rsid w:val="00A35BAC"/>
    <w:rsid w:val="00A365CF"/>
    <w:rsid w:val="00A55ABB"/>
    <w:rsid w:val="00A60CC7"/>
    <w:rsid w:val="00A7180B"/>
    <w:rsid w:val="00A75C94"/>
    <w:rsid w:val="00A93FEA"/>
    <w:rsid w:val="00AA0730"/>
    <w:rsid w:val="00AA60FB"/>
    <w:rsid w:val="00AB3EA2"/>
    <w:rsid w:val="00AB3F71"/>
    <w:rsid w:val="00AF24FB"/>
    <w:rsid w:val="00B06F75"/>
    <w:rsid w:val="00B34157"/>
    <w:rsid w:val="00B36B39"/>
    <w:rsid w:val="00B42A77"/>
    <w:rsid w:val="00B4410E"/>
    <w:rsid w:val="00B47F2B"/>
    <w:rsid w:val="00B50677"/>
    <w:rsid w:val="00B7599A"/>
    <w:rsid w:val="00B85788"/>
    <w:rsid w:val="00B86A4D"/>
    <w:rsid w:val="00BA1F94"/>
    <w:rsid w:val="00BC7A11"/>
    <w:rsid w:val="00BE397B"/>
    <w:rsid w:val="00BF4D98"/>
    <w:rsid w:val="00C04C33"/>
    <w:rsid w:val="00C23AAF"/>
    <w:rsid w:val="00C36872"/>
    <w:rsid w:val="00C508F0"/>
    <w:rsid w:val="00C578CA"/>
    <w:rsid w:val="00C7062D"/>
    <w:rsid w:val="00C850CD"/>
    <w:rsid w:val="00CC50B5"/>
    <w:rsid w:val="00CC58E7"/>
    <w:rsid w:val="00CC5AC2"/>
    <w:rsid w:val="00CE1177"/>
    <w:rsid w:val="00CF4533"/>
    <w:rsid w:val="00CF5441"/>
    <w:rsid w:val="00CF690D"/>
    <w:rsid w:val="00D007D3"/>
    <w:rsid w:val="00D32406"/>
    <w:rsid w:val="00D36539"/>
    <w:rsid w:val="00D453FB"/>
    <w:rsid w:val="00D53494"/>
    <w:rsid w:val="00D60AA5"/>
    <w:rsid w:val="00D61BC5"/>
    <w:rsid w:val="00D64342"/>
    <w:rsid w:val="00D663C9"/>
    <w:rsid w:val="00D87B86"/>
    <w:rsid w:val="00DB0967"/>
    <w:rsid w:val="00DB1530"/>
    <w:rsid w:val="00DD6AFA"/>
    <w:rsid w:val="00DE13B6"/>
    <w:rsid w:val="00DE1CDD"/>
    <w:rsid w:val="00DE4A0A"/>
    <w:rsid w:val="00E31394"/>
    <w:rsid w:val="00E62227"/>
    <w:rsid w:val="00E65DE5"/>
    <w:rsid w:val="00E7229B"/>
    <w:rsid w:val="00E73E90"/>
    <w:rsid w:val="00E8404D"/>
    <w:rsid w:val="00E858C7"/>
    <w:rsid w:val="00E85FF0"/>
    <w:rsid w:val="00E97B87"/>
    <w:rsid w:val="00ED4A71"/>
    <w:rsid w:val="00ED7251"/>
    <w:rsid w:val="00EE0908"/>
    <w:rsid w:val="00F0785F"/>
    <w:rsid w:val="00F175BD"/>
    <w:rsid w:val="00F358A3"/>
    <w:rsid w:val="00F51AF1"/>
    <w:rsid w:val="00F75420"/>
    <w:rsid w:val="00F802CA"/>
    <w:rsid w:val="00F8478A"/>
    <w:rsid w:val="00FD16BC"/>
    <w:rsid w:val="00FE0FE6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A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6BC"/>
    <w:pPr>
      <w:keepNext/>
      <w:spacing w:before="240" w:after="60"/>
      <w:outlineLvl w:val="0"/>
    </w:pPr>
    <w:rPr>
      <w:rFonts w:ascii="Arial" w:eastAsia="Batang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16BC"/>
    <w:pPr>
      <w:keepNext/>
      <w:spacing w:before="2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47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47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478A"/>
    <w:rPr>
      <w:rFonts w:ascii="Cambria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85BA7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085BA7"/>
    <w:rPr>
      <w:rFonts w:ascii="Arial" w:hAnsi="Arial" w:cs="Arial"/>
      <w:b/>
      <w:bCs/>
      <w:sz w:val="40"/>
      <w:szCs w:val="40"/>
      <w:lang w:eastAsia="en-US"/>
    </w:rPr>
  </w:style>
  <w:style w:type="paragraph" w:customStyle="1" w:styleId="SigningPageBreak">
    <w:name w:val="SigningPageBreak"/>
    <w:basedOn w:val="Normal"/>
    <w:next w:val="Normal"/>
    <w:uiPriority w:val="99"/>
    <w:rsid w:val="00085BA7"/>
  </w:style>
  <w:style w:type="character" w:styleId="Hyperlink">
    <w:name w:val="Hyperlink"/>
    <w:basedOn w:val="DefaultParagraphFont"/>
    <w:uiPriority w:val="99"/>
    <w:semiHidden/>
    <w:rsid w:val="00085BA7"/>
    <w:rPr>
      <w:rFonts w:cs="Times New Roman"/>
      <w:color w:val="0000FF"/>
      <w:u w:val="single"/>
    </w:rPr>
  </w:style>
  <w:style w:type="paragraph" w:customStyle="1" w:styleId="NoteEnd">
    <w:name w:val="Note End"/>
    <w:basedOn w:val="Normal"/>
    <w:uiPriority w:val="99"/>
    <w:rsid w:val="00085BA7"/>
    <w:pPr>
      <w:spacing w:before="120" w:line="240" w:lineRule="exact"/>
      <w:ind w:left="567" w:hanging="567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5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BA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92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2AC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92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2AC0"/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650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5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500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500C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6500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47F2B"/>
    <w:pPr>
      <w:spacing w:before="100" w:beforeAutospacing="1" w:after="100" w:afterAutospacing="1"/>
    </w:pPr>
    <w:rPr>
      <w:lang w:eastAsia="en-AU"/>
    </w:rPr>
  </w:style>
  <w:style w:type="paragraph" w:customStyle="1" w:styleId="R1">
    <w:name w:val="R1"/>
    <w:aliases w:val="1. or 1.(1)"/>
    <w:basedOn w:val="Normal"/>
    <w:next w:val="Normal"/>
    <w:uiPriority w:val="99"/>
    <w:rsid w:val="00055C6E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ubsection">
    <w:name w:val="subsection"/>
    <w:aliases w:val="ss"/>
    <w:link w:val="subsectionChar"/>
    <w:rsid w:val="00055C6E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055C6E"/>
    <w:rPr>
      <w:sz w:val="22"/>
      <w:szCs w:val="24"/>
      <w:lang w:val="en-AU" w:eastAsia="en-AU" w:bidi="ar-SA"/>
    </w:rPr>
  </w:style>
  <w:style w:type="paragraph" w:styleId="Revision">
    <w:name w:val="Revision"/>
    <w:hidden/>
    <w:uiPriority w:val="99"/>
    <w:semiHidden/>
    <w:rsid w:val="000B529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A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6BC"/>
    <w:pPr>
      <w:keepNext/>
      <w:spacing w:before="240" w:after="60"/>
      <w:outlineLvl w:val="0"/>
    </w:pPr>
    <w:rPr>
      <w:rFonts w:ascii="Arial" w:eastAsia="Batang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16BC"/>
    <w:pPr>
      <w:keepNext/>
      <w:spacing w:before="2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47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47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478A"/>
    <w:rPr>
      <w:rFonts w:ascii="Cambria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85BA7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085BA7"/>
    <w:rPr>
      <w:rFonts w:ascii="Arial" w:hAnsi="Arial" w:cs="Arial"/>
      <w:b/>
      <w:bCs/>
      <w:sz w:val="40"/>
      <w:szCs w:val="40"/>
      <w:lang w:eastAsia="en-US"/>
    </w:rPr>
  </w:style>
  <w:style w:type="paragraph" w:customStyle="1" w:styleId="SigningPageBreak">
    <w:name w:val="SigningPageBreak"/>
    <w:basedOn w:val="Normal"/>
    <w:next w:val="Normal"/>
    <w:uiPriority w:val="99"/>
    <w:rsid w:val="00085BA7"/>
  </w:style>
  <w:style w:type="character" w:styleId="Hyperlink">
    <w:name w:val="Hyperlink"/>
    <w:basedOn w:val="DefaultParagraphFont"/>
    <w:uiPriority w:val="99"/>
    <w:semiHidden/>
    <w:rsid w:val="00085BA7"/>
    <w:rPr>
      <w:rFonts w:cs="Times New Roman"/>
      <w:color w:val="0000FF"/>
      <w:u w:val="single"/>
    </w:rPr>
  </w:style>
  <w:style w:type="paragraph" w:customStyle="1" w:styleId="NoteEnd">
    <w:name w:val="Note End"/>
    <w:basedOn w:val="Normal"/>
    <w:uiPriority w:val="99"/>
    <w:rsid w:val="00085BA7"/>
    <w:pPr>
      <w:spacing w:before="120" w:line="240" w:lineRule="exact"/>
      <w:ind w:left="567" w:hanging="567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5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BA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92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2AC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92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2AC0"/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650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5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500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500C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6500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47F2B"/>
    <w:pPr>
      <w:spacing w:before="100" w:beforeAutospacing="1" w:after="100" w:afterAutospacing="1"/>
    </w:pPr>
    <w:rPr>
      <w:lang w:eastAsia="en-AU"/>
    </w:rPr>
  </w:style>
  <w:style w:type="paragraph" w:customStyle="1" w:styleId="R1">
    <w:name w:val="R1"/>
    <w:aliases w:val="1. or 1.(1)"/>
    <w:basedOn w:val="Normal"/>
    <w:next w:val="Normal"/>
    <w:uiPriority w:val="99"/>
    <w:rsid w:val="00055C6E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ubsection">
    <w:name w:val="subsection"/>
    <w:aliases w:val="ss"/>
    <w:link w:val="subsectionChar"/>
    <w:rsid w:val="00055C6E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055C6E"/>
    <w:rPr>
      <w:sz w:val="22"/>
      <w:szCs w:val="24"/>
      <w:lang w:val="en-AU" w:eastAsia="en-AU" w:bidi="ar-SA"/>
    </w:rPr>
  </w:style>
  <w:style w:type="paragraph" w:styleId="Revision">
    <w:name w:val="Revision"/>
    <w:hidden/>
    <w:uiPriority w:val="99"/>
    <w:semiHidden/>
    <w:rsid w:val="000B52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6086">
                          <w:marLeft w:val="25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7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619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2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9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4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A0A8-8C9E-414B-9B07-D509C374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Sherry</dc:creator>
  <cp:lastModifiedBy>Derrig, Matthew</cp:lastModifiedBy>
  <cp:revision>4</cp:revision>
  <cp:lastPrinted>2012-11-20T21:37:00Z</cp:lastPrinted>
  <dcterms:created xsi:type="dcterms:W3CDTF">2012-12-05T02:04:00Z</dcterms:created>
  <dcterms:modified xsi:type="dcterms:W3CDTF">2012-12-21T00:32:00Z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