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98" w:rsidRDefault="002E3B98" w:rsidP="00A965CB">
      <w:pPr>
        <w:pStyle w:val="Heading1"/>
        <w:jc w:val="center"/>
        <w:rPr>
          <w:rFonts w:ascii="Calibri" w:hAnsi="Calibri" w:cs="Calibri"/>
        </w:rPr>
      </w:pPr>
      <w:r w:rsidRPr="00963C7B">
        <w:rPr>
          <w:rFonts w:ascii="Calibri" w:hAnsi="Calibri" w:cs="Calibri"/>
        </w:rPr>
        <w:t>EXPLANATORY STATEMENT</w:t>
      </w:r>
    </w:p>
    <w:p w:rsidR="00714739" w:rsidRPr="00A965CB" w:rsidRDefault="00714739" w:rsidP="00A965CB">
      <w:pPr>
        <w:jc w:val="center"/>
        <w:rPr>
          <w:i/>
        </w:rPr>
      </w:pPr>
      <w:r w:rsidRPr="00A965CB">
        <w:rPr>
          <w:i/>
        </w:rPr>
        <w:t xml:space="preserve">A </w:t>
      </w:r>
      <w:r>
        <w:rPr>
          <w:i/>
        </w:rPr>
        <w:t xml:space="preserve">Determination made under subsection </w:t>
      </w:r>
      <w:proofErr w:type="gramStart"/>
      <w:r>
        <w:rPr>
          <w:i/>
        </w:rPr>
        <w:t>5D</w:t>
      </w:r>
      <w:r w:rsidR="00B163E4">
        <w:rPr>
          <w:i/>
        </w:rPr>
        <w:t>(</w:t>
      </w:r>
      <w:proofErr w:type="gramEnd"/>
      <w:r w:rsidR="00B163E4">
        <w:rPr>
          <w:i/>
        </w:rPr>
        <w:t>1)</w:t>
      </w:r>
      <w:r>
        <w:rPr>
          <w:i/>
        </w:rPr>
        <w:t xml:space="preserve"> of the Student Assistance Act 1973</w:t>
      </w:r>
    </w:p>
    <w:p w:rsidR="002E3B98" w:rsidRPr="00AE24E0" w:rsidRDefault="002E3B98" w:rsidP="000E709D">
      <w:pPr>
        <w:pStyle w:val="Heading2"/>
        <w:jc w:val="center"/>
      </w:pPr>
      <w:r w:rsidRPr="00AE24E0">
        <w:t>Student Assistance (Education Institutions and Courses) Amendment Determination 201</w:t>
      </w:r>
      <w:r w:rsidR="00C90B65">
        <w:t>2</w:t>
      </w:r>
      <w:r w:rsidRPr="00AE24E0">
        <w:t xml:space="preserve"> (No. </w:t>
      </w:r>
      <w:r w:rsidR="00C90B65">
        <w:t>1</w:t>
      </w:r>
      <w:r w:rsidRPr="00AE24E0">
        <w:t>)</w:t>
      </w:r>
    </w:p>
    <w:p w:rsidR="002E3B98" w:rsidRPr="00963C7B" w:rsidRDefault="002E3B98" w:rsidP="002E3B98">
      <w:pPr>
        <w:pStyle w:val="Heading3"/>
        <w:rPr>
          <w:rFonts w:ascii="Calibri" w:hAnsi="Calibri" w:cs="Calibri"/>
        </w:rPr>
      </w:pPr>
      <w:r w:rsidRPr="00963C7B">
        <w:rPr>
          <w:rFonts w:ascii="Calibri" w:hAnsi="Calibri" w:cs="Calibri"/>
        </w:rPr>
        <w:t>Summary</w:t>
      </w:r>
    </w:p>
    <w:p w:rsidR="002E3B98" w:rsidRPr="00AE24E0" w:rsidRDefault="002E3B98" w:rsidP="002E3B98">
      <w:pPr>
        <w:spacing w:before="120" w:after="240"/>
      </w:pPr>
      <w:r w:rsidRPr="00AE24E0">
        <w:t xml:space="preserve">The </w:t>
      </w:r>
      <w:r w:rsidRPr="00AE24E0">
        <w:rPr>
          <w:i/>
        </w:rPr>
        <w:t>Student Assistance (Education Institutions and Courses) Amendment Determination 201</w:t>
      </w:r>
      <w:r w:rsidR="00C90B65">
        <w:rPr>
          <w:i/>
        </w:rPr>
        <w:t>2</w:t>
      </w:r>
      <w:r w:rsidRPr="00AE24E0">
        <w:rPr>
          <w:i/>
        </w:rPr>
        <w:t xml:space="preserve"> (No. </w:t>
      </w:r>
      <w:r w:rsidR="00C90B65">
        <w:rPr>
          <w:i/>
        </w:rPr>
        <w:t>1</w:t>
      </w:r>
      <w:r w:rsidRPr="00AE24E0">
        <w:rPr>
          <w:i/>
        </w:rPr>
        <w:t>)</w:t>
      </w:r>
      <w:r w:rsidRPr="00AE24E0">
        <w:t xml:space="preserve"> (the Amendment Determination) is made under subsection 5D</w:t>
      </w:r>
      <w:r>
        <w:t xml:space="preserve"> </w:t>
      </w:r>
      <w:r w:rsidRPr="00AE24E0">
        <w:t xml:space="preserve">(1) of the </w:t>
      </w:r>
      <w:r w:rsidRPr="00AE24E0">
        <w:rPr>
          <w:i/>
        </w:rPr>
        <w:t>Student Assistance Act 1973</w:t>
      </w:r>
      <w:r w:rsidRPr="00AE24E0">
        <w:t xml:space="preserve"> (the Act).  Subsection 5D</w:t>
      </w:r>
      <w:r>
        <w:t xml:space="preserve"> </w:t>
      </w:r>
      <w:r w:rsidRPr="00AE24E0">
        <w:t>(3) of the Act provides that a determination under subsection 5D</w:t>
      </w:r>
      <w:r>
        <w:t xml:space="preserve"> </w:t>
      </w:r>
      <w:r w:rsidRPr="00AE24E0">
        <w:t xml:space="preserve">(1) is a disallowable instrument for the purposes of section 46A of the </w:t>
      </w:r>
      <w:r w:rsidRPr="00AE24E0">
        <w:rPr>
          <w:i/>
        </w:rPr>
        <w:t>Acts Interpretation Act 1901</w:t>
      </w:r>
      <w:r w:rsidR="00D26270">
        <w:rPr>
          <w:i/>
        </w:rPr>
        <w:t>.</w:t>
      </w:r>
    </w:p>
    <w:p w:rsidR="0005773F" w:rsidRDefault="002E3B98" w:rsidP="002E3B98">
      <w:pPr>
        <w:spacing w:before="120" w:after="240"/>
      </w:pPr>
      <w:r w:rsidRPr="00AE24E0">
        <w:t xml:space="preserve">The Amendment Determination amends the </w:t>
      </w:r>
      <w:r w:rsidRPr="00AE24E0">
        <w:rPr>
          <w:i/>
        </w:rPr>
        <w:t>Student Assistance (Education Institutions and Courses) Determination 2009 (No. 2)</w:t>
      </w:r>
      <w:r w:rsidRPr="00AE24E0">
        <w:t xml:space="preserve"> (Principal Determination).  The Amendment Determination</w:t>
      </w:r>
      <w:r>
        <w:t xml:space="preserve"> makes changes to the </w:t>
      </w:r>
      <w:r w:rsidRPr="00AE24E0">
        <w:t xml:space="preserve">list of Masters </w:t>
      </w:r>
      <w:proofErr w:type="gramStart"/>
      <w:r w:rsidRPr="00AE24E0">
        <w:t>courses</w:t>
      </w:r>
      <w:proofErr w:type="gramEnd"/>
      <w:r w:rsidRPr="00AE24E0">
        <w:t xml:space="preserve"> in Schedule 3 to the Principal Determination</w:t>
      </w:r>
      <w:r>
        <w:t xml:space="preserve"> </w:t>
      </w:r>
      <w:r w:rsidR="00B163E4">
        <w:t xml:space="preserve">by repealing that schedule </w:t>
      </w:r>
      <w:r w:rsidR="008C7AC8">
        <w:t xml:space="preserve">and substituting </w:t>
      </w:r>
      <w:r w:rsidR="00B163E4">
        <w:t xml:space="preserve">it for a </w:t>
      </w:r>
      <w:r w:rsidR="008C7AC8">
        <w:t>new Schedule 3.</w:t>
      </w:r>
      <w:r>
        <w:t xml:space="preserve"> </w:t>
      </w:r>
    </w:p>
    <w:p w:rsidR="002E3B98" w:rsidRDefault="002E3B98" w:rsidP="002E3B98">
      <w:pPr>
        <w:spacing w:before="120" w:after="240"/>
      </w:pPr>
      <w:r w:rsidRPr="00AE24E0">
        <w:t xml:space="preserve">The Masters courses listed in Schedule 3 are the Masters courses </w:t>
      </w:r>
      <w:r w:rsidR="00A87132">
        <w:t>provided by</w:t>
      </w:r>
      <w:r w:rsidRPr="00AE24E0">
        <w:t xml:space="preserve"> </w:t>
      </w:r>
      <w:r w:rsidR="00F912C8">
        <w:t xml:space="preserve">higher education </w:t>
      </w:r>
      <w:r w:rsidR="00B163E4">
        <w:t>providers</w:t>
      </w:r>
      <w:r w:rsidRPr="00AE24E0">
        <w:t xml:space="preserve"> that are “tertiary courses” for the purposes of the Act.  In turn, the determination of these courses as tertiary courses for the purposes of the Act allows people studying those courses to qualify for certain income support payments</w:t>
      </w:r>
      <w:r w:rsidR="0005773F">
        <w:t xml:space="preserve"> under social security law</w:t>
      </w:r>
      <w:r w:rsidRPr="00AE24E0">
        <w:t>, such as Austudy payment and Youth Allowance (provided they meet the other qualification criteria for those payments).</w:t>
      </w:r>
    </w:p>
    <w:p w:rsidR="002E3B98" w:rsidRPr="00FA63C5" w:rsidRDefault="002E3B98" w:rsidP="002E3B98">
      <w:pPr>
        <w:pStyle w:val="Heading3"/>
        <w:rPr>
          <w:rFonts w:ascii="Calibri" w:hAnsi="Calibri" w:cs="Calibri"/>
          <w:sz w:val="24"/>
          <w:szCs w:val="24"/>
        </w:rPr>
      </w:pPr>
      <w:r w:rsidRPr="00FA63C5">
        <w:rPr>
          <w:rFonts w:ascii="Calibri" w:hAnsi="Calibri" w:cs="Calibri"/>
          <w:sz w:val="24"/>
          <w:szCs w:val="24"/>
        </w:rPr>
        <w:t>Notes on Clauses</w:t>
      </w:r>
    </w:p>
    <w:p w:rsidR="00215FC5" w:rsidRDefault="002E3B98" w:rsidP="000E709D">
      <w:pPr>
        <w:pStyle w:val="Heading5"/>
      </w:pPr>
      <w:r w:rsidRPr="00623263">
        <w:t xml:space="preserve">Section 1 </w:t>
      </w:r>
    </w:p>
    <w:p w:rsidR="002E3B98" w:rsidRDefault="00215FC5" w:rsidP="002E3B98">
      <w:pPr>
        <w:spacing w:before="120" w:after="240"/>
      </w:pPr>
      <w:r w:rsidRPr="00A965CB">
        <w:t xml:space="preserve">Section 1 of the </w:t>
      </w:r>
      <w:r w:rsidR="002E3B98" w:rsidRPr="00A87132">
        <w:t>Amendment</w:t>
      </w:r>
      <w:r w:rsidR="002E3B98">
        <w:t xml:space="preserve"> Determination provide</w:t>
      </w:r>
      <w:r>
        <w:t xml:space="preserve">s </w:t>
      </w:r>
      <w:r w:rsidR="00B163E4">
        <w:t xml:space="preserve">that </w:t>
      </w:r>
      <w:r>
        <w:t xml:space="preserve">the name of the instrument </w:t>
      </w:r>
      <w:r w:rsidR="00B163E4">
        <w:t>is the</w:t>
      </w:r>
      <w:r>
        <w:t xml:space="preserve"> </w:t>
      </w:r>
      <w:r w:rsidRPr="00A965CB">
        <w:rPr>
          <w:i/>
        </w:rPr>
        <w:t>Student Assistance (Education Institutions and Courses) Amendment Determination 2012 (No. 1)</w:t>
      </w:r>
      <w:r>
        <w:t>.</w:t>
      </w:r>
      <w:r w:rsidR="002E3B98">
        <w:t xml:space="preserve"> </w:t>
      </w:r>
    </w:p>
    <w:p w:rsidR="00215FC5" w:rsidRDefault="00215FC5" w:rsidP="000E709D">
      <w:pPr>
        <w:pStyle w:val="Heading5"/>
      </w:pPr>
      <w:r>
        <w:t>Section 2</w:t>
      </w:r>
    </w:p>
    <w:p w:rsidR="00215FC5" w:rsidRPr="00A965CB" w:rsidRDefault="00215FC5" w:rsidP="002E3B98">
      <w:pPr>
        <w:spacing w:before="120" w:after="240"/>
      </w:pPr>
      <w:r>
        <w:t xml:space="preserve">Section 2 of the </w:t>
      </w:r>
      <w:r w:rsidRPr="00DE7B37">
        <w:t>Amendment</w:t>
      </w:r>
      <w:r>
        <w:t xml:space="preserve"> Determination provides that the instrument will commence on the day after it is registered on the Federal Register of Legislative Instruments.</w:t>
      </w:r>
    </w:p>
    <w:p w:rsidR="002E3B98" w:rsidRPr="00890D84" w:rsidRDefault="002E3B98" w:rsidP="000E709D">
      <w:pPr>
        <w:pStyle w:val="Heading5"/>
      </w:pPr>
      <w:r w:rsidRPr="00890D84">
        <w:t>Section 3</w:t>
      </w:r>
    </w:p>
    <w:p w:rsidR="002E3B98" w:rsidRPr="00AE24E0" w:rsidRDefault="002E3B98" w:rsidP="002E3B98">
      <w:pPr>
        <w:spacing w:before="120" w:after="240"/>
      </w:pPr>
      <w:r w:rsidRPr="00D62202">
        <w:t>This clause</w:t>
      </w:r>
      <w:r>
        <w:rPr>
          <w:b/>
        </w:rPr>
        <w:t xml:space="preserve"> </w:t>
      </w:r>
      <w:r w:rsidRPr="00AE24E0">
        <w:t xml:space="preserve">provides that Schedule 1 </w:t>
      </w:r>
      <w:r>
        <w:t>of</w:t>
      </w:r>
      <w:r w:rsidRPr="00AE24E0">
        <w:t xml:space="preserve"> the </w:t>
      </w:r>
      <w:r>
        <w:t xml:space="preserve">Amendment Determination amends </w:t>
      </w:r>
      <w:r w:rsidRPr="00AE24E0">
        <w:t>the Principal Determination.</w:t>
      </w:r>
    </w:p>
    <w:p w:rsidR="002E3B98" w:rsidRPr="002A367D" w:rsidRDefault="002E3B98" w:rsidP="000E709D">
      <w:pPr>
        <w:pStyle w:val="Heading5"/>
        <w:rPr>
          <w:sz w:val="24"/>
          <w:szCs w:val="24"/>
        </w:rPr>
      </w:pPr>
      <w:r w:rsidRPr="002A367D">
        <w:rPr>
          <w:sz w:val="24"/>
          <w:szCs w:val="24"/>
        </w:rPr>
        <w:t xml:space="preserve">Item </w:t>
      </w:r>
      <w:r w:rsidR="00DD6826" w:rsidRPr="002A367D">
        <w:rPr>
          <w:sz w:val="24"/>
          <w:szCs w:val="24"/>
        </w:rPr>
        <w:t xml:space="preserve">1 </w:t>
      </w:r>
      <w:r w:rsidRPr="002A367D">
        <w:rPr>
          <w:sz w:val="24"/>
          <w:szCs w:val="24"/>
        </w:rPr>
        <w:t xml:space="preserve">of Schedule 1 </w:t>
      </w:r>
    </w:p>
    <w:p w:rsidR="00FA776B" w:rsidRDefault="002E3B98" w:rsidP="002E3B98">
      <w:pPr>
        <w:spacing w:before="120" w:after="240"/>
      </w:pPr>
      <w:r>
        <w:t xml:space="preserve">This item </w:t>
      </w:r>
      <w:r w:rsidR="00C31D8E">
        <w:t xml:space="preserve">repeals </w:t>
      </w:r>
      <w:r>
        <w:t>Schedule 3 of the Principle Determination</w:t>
      </w:r>
      <w:r w:rsidR="00C31D8E">
        <w:t xml:space="preserve"> and substitutes it </w:t>
      </w:r>
      <w:r w:rsidR="00B163E4">
        <w:t>with</w:t>
      </w:r>
      <w:r>
        <w:t xml:space="preserve"> Schedule 3</w:t>
      </w:r>
      <w:r w:rsidR="00B2605E">
        <w:t xml:space="preserve"> contained in the </w:t>
      </w:r>
      <w:hyperlink r:id="rId9" w:tooltip="Amedment Determinaiton" w:history="1">
        <w:r w:rsidR="00B2605E" w:rsidRPr="002A367D">
          <w:rPr>
            <w:rStyle w:val="Hyperlink"/>
          </w:rPr>
          <w:t>Amendment De</w:t>
        </w:r>
        <w:bookmarkStart w:id="0" w:name="_GoBack"/>
        <w:bookmarkEnd w:id="0"/>
        <w:r w:rsidR="00B2605E" w:rsidRPr="002A367D">
          <w:rPr>
            <w:rStyle w:val="Hyperlink"/>
          </w:rPr>
          <w:t>t</w:t>
        </w:r>
        <w:r w:rsidR="00B2605E" w:rsidRPr="002A367D">
          <w:rPr>
            <w:rStyle w:val="Hyperlink"/>
          </w:rPr>
          <w:t>ermination</w:t>
        </w:r>
      </w:hyperlink>
      <w:r>
        <w:t xml:space="preserve">. </w:t>
      </w:r>
      <w:r w:rsidRPr="00AE24E0">
        <w:t>The Masters courses listed in the new Schedule 3 include</w:t>
      </w:r>
      <w:r w:rsidR="00B163E4">
        <w:t xml:space="preserve"> the</w:t>
      </w:r>
      <w:r w:rsidRPr="00AE24E0">
        <w:t xml:space="preserve"> </w:t>
      </w:r>
      <w:r w:rsidR="00F05D7D">
        <w:t>35</w:t>
      </w:r>
      <w:r w:rsidR="00F05D7D" w:rsidRPr="00AE24E0">
        <w:t xml:space="preserve"> </w:t>
      </w:r>
      <w:r w:rsidRPr="00AE24E0">
        <w:t xml:space="preserve">Masters courses </w:t>
      </w:r>
      <w:r w:rsidR="00B163E4">
        <w:t xml:space="preserve">listed in the following table </w:t>
      </w:r>
      <w:r w:rsidRPr="00AE24E0">
        <w:t>that were not listed in Schedule 3</w:t>
      </w:r>
      <w:r w:rsidR="00B163E4">
        <w:t xml:space="preserve"> of the Principal Determination</w:t>
      </w:r>
      <w:r w:rsidRPr="00AE24E0">
        <w:t xml:space="preserve">. </w:t>
      </w:r>
      <w:r>
        <w:t xml:space="preserve"> </w:t>
      </w:r>
    </w:p>
    <w:tbl>
      <w:tblPr>
        <w:tblStyle w:val="TableGrid"/>
        <w:tblW w:w="0" w:type="auto"/>
        <w:tblLook w:val="04A0" w:firstRow="1" w:lastRow="0" w:firstColumn="1" w:lastColumn="0" w:noHBand="0" w:noVBand="1"/>
      </w:tblPr>
      <w:tblGrid>
        <w:gridCol w:w="3936"/>
        <w:gridCol w:w="5306"/>
      </w:tblGrid>
      <w:tr w:rsidR="00FA776B" w:rsidTr="00B163E4">
        <w:tc>
          <w:tcPr>
            <w:tcW w:w="3936" w:type="dxa"/>
            <w:shd w:val="clear" w:color="auto" w:fill="D6E3BC" w:themeFill="accent3" w:themeFillTint="66"/>
          </w:tcPr>
          <w:p w:rsidR="00FA776B" w:rsidRPr="00A965CB" w:rsidRDefault="00FA776B" w:rsidP="00A965CB">
            <w:pPr>
              <w:rPr>
                <w:rFonts w:ascii="Arial Narrow" w:hAnsi="Arial Narrow"/>
                <w:b/>
                <w:sz w:val="20"/>
                <w:szCs w:val="20"/>
              </w:rPr>
            </w:pPr>
            <w:r w:rsidRPr="00A965CB">
              <w:rPr>
                <w:rFonts w:ascii="Arial Narrow" w:hAnsi="Arial Narrow"/>
                <w:b/>
                <w:sz w:val="20"/>
              </w:rPr>
              <w:t>Education Institution</w:t>
            </w:r>
          </w:p>
        </w:tc>
        <w:tc>
          <w:tcPr>
            <w:tcW w:w="5306" w:type="dxa"/>
            <w:shd w:val="clear" w:color="auto" w:fill="D6E3BC" w:themeFill="accent3" w:themeFillTint="66"/>
          </w:tcPr>
          <w:p w:rsidR="00FA776B" w:rsidRPr="00A965CB" w:rsidRDefault="00FA776B" w:rsidP="00A965CB">
            <w:pPr>
              <w:rPr>
                <w:rFonts w:ascii="Arial Narrow" w:hAnsi="Arial Narrow"/>
                <w:b/>
                <w:sz w:val="20"/>
                <w:szCs w:val="20"/>
              </w:rPr>
            </w:pPr>
            <w:r w:rsidRPr="00A965CB">
              <w:rPr>
                <w:rFonts w:ascii="Arial Narrow" w:hAnsi="Arial Narrow"/>
                <w:b/>
                <w:sz w:val="20"/>
              </w:rPr>
              <w:t>Course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Australian Catholic University  </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Teaching (Early Years)</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Bond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Architecture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Bond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Environmental Management (Sustainable Development)</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Bond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Information Technology (Industry)</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Charles Darwin University  </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Psychology (Clinical)</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Curtin University of Technology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Health Information Management</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lastRenderedPageBreak/>
              <w:t>Edith Cowan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Midwifery Practice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Edith Cowan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Paramedical Science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Flinders University of South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Doctor of Medicine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Flinders University of South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Optometry</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Griffith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Architecture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Griffith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Autism Studies</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La Trobe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Counselling</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La Trobe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Dietetic Practice</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La Trobe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Orthoptics (Hons)</w:t>
            </w:r>
          </w:p>
        </w:tc>
      </w:tr>
      <w:tr w:rsidR="009E73A4" w:rsidTr="00A965CB">
        <w:tc>
          <w:tcPr>
            <w:tcW w:w="3936" w:type="dxa"/>
          </w:tcPr>
          <w:p w:rsidR="009E73A4" w:rsidRPr="009E73A4" w:rsidRDefault="009E73A4" w:rsidP="00A965CB">
            <w:pPr>
              <w:rPr>
                <w:rFonts w:ascii="Arial Narrow" w:hAnsi="Arial Narrow"/>
                <w:sz w:val="20"/>
              </w:rPr>
            </w:pPr>
            <w:r w:rsidRPr="009E73A4">
              <w:rPr>
                <w:rFonts w:ascii="Arial Narrow" w:hAnsi="Arial Narrow"/>
                <w:sz w:val="20"/>
                <w:szCs w:val="20"/>
              </w:rPr>
              <w:t>La Trobe University</w:t>
            </w:r>
          </w:p>
        </w:tc>
        <w:tc>
          <w:tcPr>
            <w:tcW w:w="5306" w:type="dxa"/>
          </w:tcPr>
          <w:p w:rsidR="009E73A4" w:rsidRPr="009E73A4" w:rsidRDefault="009E73A4" w:rsidP="009E73A4">
            <w:pPr>
              <w:rPr>
                <w:rFonts w:ascii="Arial Narrow" w:hAnsi="Arial Narrow"/>
                <w:sz w:val="20"/>
                <w:szCs w:val="20"/>
              </w:rPr>
            </w:pPr>
            <w:r w:rsidRPr="009E73A4">
              <w:rPr>
                <w:rFonts w:ascii="Arial Narrow" w:hAnsi="Arial Narrow" w:cs="Arial"/>
                <w:sz w:val="20"/>
                <w:szCs w:val="20"/>
              </w:rPr>
              <w:t>Bachelor of Health Sciences and Master Orthoptics (Hons)</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Monash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Teaching (Primary)</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Murdoch University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International Affairs</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Tabor Adelaide</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Divinity</w:t>
            </w:r>
          </w:p>
        </w:tc>
      </w:tr>
      <w:tr w:rsidR="00FA776B" w:rsidTr="00A965CB">
        <w:tc>
          <w:tcPr>
            <w:tcW w:w="3936" w:type="dxa"/>
          </w:tcPr>
          <w:p w:rsidR="00FA776B" w:rsidRPr="00721DFE" w:rsidRDefault="00FA776B" w:rsidP="00A965CB">
            <w:pPr>
              <w:rPr>
                <w:rFonts w:ascii="Arial Narrow" w:hAnsi="Arial Narrow"/>
                <w:sz w:val="20"/>
                <w:szCs w:val="20"/>
              </w:rPr>
            </w:pPr>
            <w:r w:rsidRPr="00721DFE">
              <w:rPr>
                <w:rFonts w:ascii="Arial Narrow" w:hAnsi="Arial Narrow"/>
                <w:sz w:val="20"/>
                <w:szCs w:val="20"/>
              </w:rPr>
              <w:t>Top Education Institute Group Pty Ltd</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Professional Accounting</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Canberra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Teaching</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New South Wales</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Commerce (Finance)</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New South Wales</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Planning</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Queensland</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Occupational Health and Safety Science</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Queensland</w:t>
            </w:r>
          </w:p>
        </w:tc>
        <w:tc>
          <w:tcPr>
            <w:tcW w:w="5306" w:type="dxa"/>
          </w:tcPr>
          <w:p w:rsidR="00FA776B" w:rsidRPr="009E73A4" w:rsidRDefault="009E73A4" w:rsidP="00A965CB">
            <w:pPr>
              <w:rPr>
                <w:rFonts w:ascii="Arial Narrow" w:hAnsi="Arial Narrow"/>
                <w:sz w:val="20"/>
                <w:szCs w:val="20"/>
              </w:rPr>
            </w:pPr>
            <w:r w:rsidRPr="009E73A4">
              <w:rPr>
                <w:rFonts w:ascii="Arial Narrow" w:hAnsi="Arial Narrow" w:cs="Arial"/>
                <w:sz w:val="20"/>
                <w:szCs w:val="20"/>
              </w:rPr>
              <w:t>Master of Urban and Regional Planning</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South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Teaching (Primary)</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South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Teaching (Secondary)</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Sydney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Veterinary Studies</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Western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Juris Doctor</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Western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Doctor of Podiatric Medicine</w:t>
            </w:r>
          </w:p>
        </w:tc>
      </w:tr>
      <w:tr w:rsidR="00FA776B" w:rsidTr="00A965CB">
        <w:tc>
          <w:tcPr>
            <w:tcW w:w="3936" w:type="dxa"/>
          </w:tcPr>
          <w:p w:rsidR="00FA776B" w:rsidRPr="00721DFE" w:rsidRDefault="00FA776B" w:rsidP="00A965CB">
            <w:pPr>
              <w:rPr>
                <w:rFonts w:ascii="Arial Narrow" w:hAnsi="Arial Narrow"/>
                <w:sz w:val="20"/>
                <w:szCs w:val="20"/>
              </w:rPr>
            </w:pPr>
            <w:r w:rsidRPr="00E45559">
              <w:rPr>
                <w:rFonts w:ascii="Arial Narrow" w:hAnsi="Arial Narrow"/>
                <w:sz w:val="20"/>
                <w:szCs w:val="20"/>
              </w:rPr>
              <w:t>University of Western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Doctor of Dental Medicine</w:t>
            </w:r>
          </w:p>
        </w:tc>
      </w:tr>
      <w:tr w:rsidR="00FA776B" w:rsidTr="00A965CB">
        <w:tc>
          <w:tcPr>
            <w:tcW w:w="3936" w:type="dxa"/>
          </w:tcPr>
          <w:p w:rsidR="00FA776B" w:rsidRPr="00E45559" w:rsidRDefault="00FA776B" w:rsidP="00A965CB">
            <w:pPr>
              <w:rPr>
                <w:rFonts w:ascii="Arial Narrow" w:hAnsi="Arial Narrow"/>
                <w:sz w:val="20"/>
                <w:szCs w:val="20"/>
              </w:rPr>
            </w:pPr>
            <w:r w:rsidRPr="00E45559">
              <w:rPr>
                <w:rFonts w:ascii="Arial Narrow" w:hAnsi="Arial Narrow"/>
                <w:sz w:val="20"/>
                <w:szCs w:val="20"/>
              </w:rPr>
              <w:t>University of Western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Professional Engineering</w:t>
            </w:r>
          </w:p>
        </w:tc>
      </w:tr>
      <w:tr w:rsidR="00FA776B" w:rsidTr="00A965CB">
        <w:tc>
          <w:tcPr>
            <w:tcW w:w="3936" w:type="dxa"/>
          </w:tcPr>
          <w:p w:rsidR="00FA776B" w:rsidRPr="00E45559" w:rsidRDefault="00FA776B" w:rsidP="00A965CB">
            <w:pPr>
              <w:rPr>
                <w:rFonts w:ascii="Arial Narrow" w:hAnsi="Arial Narrow"/>
                <w:sz w:val="20"/>
                <w:szCs w:val="20"/>
              </w:rPr>
            </w:pPr>
            <w:r w:rsidRPr="00E45559">
              <w:rPr>
                <w:rFonts w:ascii="Arial Narrow" w:hAnsi="Arial Narrow"/>
                <w:sz w:val="20"/>
                <w:szCs w:val="20"/>
              </w:rPr>
              <w:t>University of Western Australia</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Teaching</w:t>
            </w:r>
          </w:p>
        </w:tc>
      </w:tr>
      <w:tr w:rsidR="00FA776B" w:rsidTr="00A965CB">
        <w:tc>
          <w:tcPr>
            <w:tcW w:w="3936" w:type="dxa"/>
          </w:tcPr>
          <w:p w:rsidR="00FA776B" w:rsidRPr="00E45559" w:rsidRDefault="00FA776B" w:rsidP="00A965CB">
            <w:pPr>
              <w:rPr>
                <w:rFonts w:ascii="Arial Narrow" w:hAnsi="Arial Narrow"/>
                <w:sz w:val="20"/>
                <w:szCs w:val="20"/>
              </w:rPr>
            </w:pPr>
            <w:r w:rsidRPr="00E45559">
              <w:rPr>
                <w:rFonts w:ascii="Arial Narrow" w:hAnsi="Arial Narrow"/>
                <w:sz w:val="20"/>
                <w:szCs w:val="20"/>
              </w:rPr>
              <w:t>University of Western Sydney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Mental Health Nursing (Nurse Practitioner)</w:t>
            </w:r>
          </w:p>
        </w:tc>
      </w:tr>
      <w:tr w:rsidR="00FA776B" w:rsidTr="00A965CB">
        <w:tc>
          <w:tcPr>
            <w:tcW w:w="3936" w:type="dxa"/>
          </w:tcPr>
          <w:p w:rsidR="00FA776B" w:rsidRPr="00E45559" w:rsidRDefault="00FA776B" w:rsidP="00A965CB">
            <w:pPr>
              <w:rPr>
                <w:rFonts w:ascii="Arial Narrow" w:hAnsi="Arial Narrow"/>
                <w:sz w:val="20"/>
                <w:szCs w:val="20"/>
              </w:rPr>
            </w:pPr>
            <w:r w:rsidRPr="00E45559">
              <w:rPr>
                <w:rFonts w:ascii="Arial Narrow" w:hAnsi="Arial Narrow"/>
                <w:sz w:val="20"/>
                <w:szCs w:val="20"/>
              </w:rPr>
              <w:t>University of Western Sydney</w:t>
            </w:r>
          </w:p>
        </w:tc>
        <w:tc>
          <w:tcPr>
            <w:tcW w:w="5306" w:type="dxa"/>
          </w:tcPr>
          <w:p w:rsidR="00FA776B" w:rsidRPr="00B163E4" w:rsidRDefault="00FA776B" w:rsidP="00A965CB">
            <w:pPr>
              <w:rPr>
                <w:rFonts w:ascii="Arial Narrow" w:hAnsi="Arial Narrow"/>
                <w:sz w:val="20"/>
                <w:szCs w:val="20"/>
              </w:rPr>
            </w:pPr>
            <w:r w:rsidRPr="00B163E4">
              <w:rPr>
                <w:rFonts w:ascii="Arial Narrow" w:hAnsi="Arial Narrow"/>
                <w:sz w:val="20"/>
                <w:szCs w:val="20"/>
              </w:rPr>
              <w:t>Master of Urban Management and Planning</w:t>
            </w:r>
          </w:p>
        </w:tc>
      </w:tr>
    </w:tbl>
    <w:p w:rsidR="002E3B98" w:rsidRPr="00AE24E0" w:rsidRDefault="002E3B98" w:rsidP="002E3B98">
      <w:pPr>
        <w:spacing w:before="120" w:after="240"/>
      </w:pPr>
    </w:p>
    <w:p w:rsidR="002E3B98" w:rsidRPr="003335C0" w:rsidRDefault="00C90B65" w:rsidP="002E3B98">
      <w:pPr>
        <w:spacing w:before="120" w:after="240"/>
      </w:pPr>
      <w:r>
        <w:t>Th</w:t>
      </w:r>
      <w:r w:rsidR="004E260C">
        <w:t>e th</w:t>
      </w:r>
      <w:r>
        <w:t>ree</w:t>
      </w:r>
      <w:r w:rsidR="002E3B98" w:rsidRPr="003335C0">
        <w:t xml:space="preserve"> courses </w:t>
      </w:r>
      <w:r w:rsidR="004E260C">
        <w:t xml:space="preserve">listed in the following table were in the list in Schedule 3 of the Principal Determination but </w:t>
      </w:r>
      <w:r w:rsidR="002E3B98" w:rsidRPr="003335C0">
        <w:t>have been removed</w:t>
      </w:r>
      <w:r w:rsidR="004E260C">
        <w:t xml:space="preserve"> from the list in Schedule 3 of the Amendment Determination</w:t>
      </w:r>
      <w:r w:rsidR="002E3B98" w:rsidRPr="003335C0">
        <w:t xml:space="preserve"> at the request of the education pro</w:t>
      </w:r>
      <w:r w:rsidR="00F32056">
        <w:t>vider as the</w:t>
      </w:r>
      <w:r w:rsidR="00867FCC">
        <w:t xml:space="preserve"> provider considers those</w:t>
      </w:r>
      <w:r w:rsidR="00F32056">
        <w:t xml:space="preserve"> courses</w:t>
      </w:r>
      <w:r w:rsidR="002E3B98" w:rsidRPr="003335C0">
        <w:t xml:space="preserve"> are no longer eligible for approval</w:t>
      </w:r>
      <w:r w:rsidR="00245C6C">
        <w:t>.</w:t>
      </w:r>
    </w:p>
    <w:tbl>
      <w:tblPr>
        <w:tblStyle w:val="TableGrid"/>
        <w:tblW w:w="0" w:type="auto"/>
        <w:tblLook w:val="04A0" w:firstRow="1" w:lastRow="0" w:firstColumn="1" w:lastColumn="0" w:noHBand="0" w:noVBand="1"/>
      </w:tblPr>
      <w:tblGrid>
        <w:gridCol w:w="3936"/>
        <w:gridCol w:w="5306"/>
      </w:tblGrid>
      <w:tr w:rsidR="00245C6C" w:rsidRPr="00721DFE" w:rsidTr="00A965CB">
        <w:tc>
          <w:tcPr>
            <w:tcW w:w="3936" w:type="dxa"/>
            <w:shd w:val="clear" w:color="auto" w:fill="D6E3BC" w:themeFill="accent3" w:themeFillTint="66"/>
          </w:tcPr>
          <w:p w:rsidR="00245C6C" w:rsidRPr="00A965CB" w:rsidRDefault="00245C6C" w:rsidP="00A965CB">
            <w:pPr>
              <w:rPr>
                <w:rFonts w:ascii="Arial Narrow" w:hAnsi="Arial Narrow"/>
                <w:b/>
                <w:sz w:val="20"/>
                <w:szCs w:val="20"/>
              </w:rPr>
            </w:pPr>
            <w:r w:rsidRPr="00A965CB">
              <w:rPr>
                <w:rFonts w:ascii="Arial Narrow" w:hAnsi="Arial Narrow"/>
                <w:b/>
                <w:sz w:val="20"/>
              </w:rPr>
              <w:t>Education Institution</w:t>
            </w:r>
          </w:p>
        </w:tc>
        <w:tc>
          <w:tcPr>
            <w:tcW w:w="5306" w:type="dxa"/>
            <w:shd w:val="clear" w:color="auto" w:fill="D6E3BC" w:themeFill="accent3" w:themeFillTint="66"/>
          </w:tcPr>
          <w:p w:rsidR="00245C6C" w:rsidRPr="00A965CB" w:rsidRDefault="00245C6C" w:rsidP="00A965CB">
            <w:pPr>
              <w:rPr>
                <w:rFonts w:ascii="Arial Narrow" w:hAnsi="Arial Narrow"/>
                <w:b/>
                <w:sz w:val="20"/>
                <w:szCs w:val="20"/>
              </w:rPr>
            </w:pPr>
            <w:r w:rsidRPr="00A965CB">
              <w:rPr>
                <w:rFonts w:ascii="Arial Narrow" w:hAnsi="Arial Narrow"/>
                <w:b/>
                <w:sz w:val="20"/>
              </w:rPr>
              <w:t>Course</w:t>
            </w:r>
          </w:p>
        </w:tc>
      </w:tr>
      <w:tr w:rsidR="00245C6C" w:rsidRPr="00E45559" w:rsidTr="00A965CB">
        <w:tc>
          <w:tcPr>
            <w:tcW w:w="393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Griffith University</w:t>
            </w:r>
          </w:p>
        </w:tc>
        <w:tc>
          <w:tcPr>
            <w:tcW w:w="530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Master of Nursing (Nurse Practitioner)</w:t>
            </w:r>
          </w:p>
        </w:tc>
      </w:tr>
      <w:tr w:rsidR="00245C6C" w:rsidRPr="00E45559" w:rsidTr="00A965CB">
        <w:tc>
          <w:tcPr>
            <w:tcW w:w="393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Griffith University</w:t>
            </w:r>
          </w:p>
        </w:tc>
        <w:tc>
          <w:tcPr>
            <w:tcW w:w="530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Master of Teaching Professional Practice) – Secondary</w:t>
            </w:r>
          </w:p>
        </w:tc>
      </w:tr>
      <w:tr w:rsidR="00245C6C" w:rsidRPr="00E45559" w:rsidTr="00A965CB">
        <w:tc>
          <w:tcPr>
            <w:tcW w:w="393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Griffith University</w:t>
            </w:r>
          </w:p>
        </w:tc>
        <w:tc>
          <w:tcPr>
            <w:tcW w:w="5306" w:type="dxa"/>
          </w:tcPr>
          <w:p w:rsidR="00245C6C" w:rsidRPr="00D400D0" w:rsidRDefault="00245C6C" w:rsidP="00A965CB">
            <w:pPr>
              <w:rPr>
                <w:rFonts w:ascii="Arial Narrow" w:hAnsi="Arial Narrow"/>
                <w:sz w:val="20"/>
                <w:szCs w:val="20"/>
              </w:rPr>
            </w:pPr>
            <w:r w:rsidRPr="00D400D0">
              <w:rPr>
                <w:rFonts w:ascii="Arial Narrow" w:hAnsi="Arial Narrow"/>
                <w:sz w:val="20"/>
                <w:szCs w:val="20"/>
              </w:rPr>
              <w:t>Master Teaching (Professional Practice) – Primary</w:t>
            </w:r>
          </w:p>
        </w:tc>
      </w:tr>
    </w:tbl>
    <w:p w:rsidR="002E3B98" w:rsidRDefault="002E3B98" w:rsidP="002E3B98">
      <w:pPr>
        <w:spacing w:before="120" w:after="240"/>
      </w:pPr>
      <w:r w:rsidRPr="003335C0">
        <w:t xml:space="preserve">Four </w:t>
      </w:r>
      <w:r w:rsidR="00246C42">
        <w:t xml:space="preserve">of the currently approved </w:t>
      </w:r>
      <w:r w:rsidRPr="003335C0">
        <w:t>courses</w:t>
      </w:r>
      <w:r w:rsidR="00246C42">
        <w:t xml:space="preserve"> have had their</w:t>
      </w:r>
      <w:r w:rsidRPr="003335C0">
        <w:t xml:space="preserve"> </w:t>
      </w:r>
      <w:r w:rsidR="00F05D7D">
        <w:t xml:space="preserve">names </w:t>
      </w:r>
      <w:r w:rsidR="00246C42">
        <w:t xml:space="preserve">changed as described </w:t>
      </w:r>
      <w:r w:rsidR="00DF423A">
        <w:t>in the table below:</w:t>
      </w:r>
    </w:p>
    <w:tbl>
      <w:tblPr>
        <w:tblStyle w:val="TableGrid"/>
        <w:tblW w:w="9181" w:type="dxa"/>
        <w:tblLook w:val="04A0" w:firstRow="1" w:lastRow="0" w:firstColumn="1" w:lastColumn="0" w:noHBand="0" w:noVBand="1"/>
      </w:tblPr>
      <w:tblGrid>
        <w:gridCol w:w="2235"/>
        <w:gridCol w:w="3402"/>
        <w:gridCol w:w="3544"/>
      </w:tblGrid>
      <w:tr w:rsidR="00DF423A" w:rsidTr="00A965CB">
        <w:tc>
          <w:tcPr>
            <w:tcW w:w="2235" w:type="dxa"/>
            <w:shd w:val="clear" w:color="auto" w:fill="D6E3BC" w:themeFill="accent3" w:themeFillTint="66"/>
          </w:tcPr>
          <w:p w:rsidR="00DF423A" w:rsidRPr="00A965CB" w:rsidRDefault="00DF423A" w:rsidP="00A965CB">
            <w:pPr>
              <w:rPr>
                <w:rFonts w:ascii="Arial Narrow" w:hAnsi="Arial Narrow"/>
                <w:b/>
                <w:sz w:val="20"/>
                <w:szCs w:val="20"/>
              </w:rPr>
            </w:pPr>
            <w:r w:rsidRPr="00A965CB">
              <w:rPr>
                <w:rFonts w:ascii="Arial Narrow" w:hAnsi="Arial Narrow"/>
                <w:b/>
                <w:sz w:val="20"/>
              </w:rPr>
              <w:t>Education Institution</w:t>
            </w:r>
          </w:p>
        </w:tc>
        <w:tc>
          <w:tcPr>
            <w:tcW w:w="3402" w:type="dxa"/>
            <w:shd w:val="clear" w:color="auto" w:fill="D6E3BC" w:themeFill="accent3" w:themeFillTint="66"/>
          </w:tcPr>
          <w:p w:rsidR="00DF423A" w:rsidRPr="00A965CB" w:rsidRDefault="00DF423A" w:rsidP="00A965CB">
            <w:pPr>
              <w:rPr>
                <w:rFonts w:ascii="Arial Narrow" w:hAnsi="Arial Narrow"/>
                <w:b/>
                <w:sz w:val="20"/>
                <w:szCs w:val="20"/>
              </w:rPr>
            </w:pPr>
            <w:r w:rsidRPr="00A965CB">
              <w:rPr>
                <w:rFonts w:ascii="Arial Narrow" w:hAnsi="Arial Narrow"/>
                <w:b/>
                <w:sz w:val="20"/>
              </w:rPr>
              <w:t>New Course Name under new Schedule  3</w:t>
            </w:r>
          </w:p>
        </w:tc>
        <w:tc>
          <w:tcPr>
            <w:tcW w:w="3544" w:type="dxa"/>
            <w:shd w:val="clear" w:color="auto" w:fill="D6E3BC" w:themeFill="accent3" w:themeFillTint="66"/>
          </w:tcPr>
          <w:p w:rsidR="00DF423A" w:rsidRPr="00A965CB" w:rsidRDefault="00DF423A" w:rsidP="00A965CB">
            <w:pPr>
              <w:rPr>
                <w:rFonts w:ascii="Arial Narrow" w:hAnsi="Arial Narrow"/>
                <w:b/>
                <w:sz w:val="20"/>
                <w:szCs w:val="20"/>
              </w:rPr>
            </w:pPr>
            <w:r w:rsidRPr="00A965CB">
              <w:rPr>
                <w:rFonts w:ascii="Arial Narrow" w:hAnsi="Arial Narrow"/>
                <w:b/>
                <w:sz w:val="20"/>
              </w:rPr>
              <w:t>Old Course Name under the Principal Determination</w:t>
            </w:r>
          </w:p>
        </w:tc>
      </w:tr>
      <w:tr w:rsidR="00DF423A" w:rsidTr="00A965CB">
        <w:tc>
          <w:tcPr>
            <w:tcW w:w="2235" w:type="dxa"/>
          </w:tcPr>
          <w:p w:rsidR="00DF423A" w:rsidRPr="005D124B" w:rsidRDefault="00DF423A" w:rsidP="00490B0C">
            <w:pPr>
              <w:rPr>
                <w:rFonts w:ascii="Arial Narrow" w:hAnsi="Arial Narrow"/>
                <w:sz w:val="20"/>
                <w:szCs w:val="20"/>
              </w:rPr>
            </w:pPr>
            <w:r w:rsidRPr="005D124B">
              <w:rPr>
                <w:rFonts w:ascii="Arial Narrow" w:hAnsi="Arial Narrow"/>
                <w:sz w:val="20"/>
                <w:szCs w:val="20"/>
              </w:rPr>
              <w:t>Cairnmillar Institute School</w:t>
            </w:r>
            <w:r w:rsidR="00490B0C">
              <w:rPr>
                <w:rFonts w:ascii="Arial Narrow" w:hAnsi="Arial Narrow"/>
                <w:sz w:val="20"/>
                <w:szCs w:val="20"/>
              </w:rPr>
              <w:t xml:space="preserve"> of Counselling and Psychotherapy</w:t>
            </w:r>
          </w:p>
        </w:tc>
        <w:tc>
          <w:tcPr>
            <w:tcW w:w="3402"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Psychology (Clinical Psychology)</w:t>
            </w:r>
          </w:p>
        </w:tc>
        <w:tc>
          <w:tcPr>
            <w:tcW w:w="3544"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Psychology</w:t>
            </w:r>
          </w:p>
        </w:tc>
      </w:tr>
      <w:tr w:rsidR="00DF423A" w:rsidTr="00A965CB">
        <w:tc>
          <w:tcPr>
            <w:tcW w:w="2235"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RMIT University</w:t>
            </w:r>
          </w:p>
        </w:tc>
        <w:tc>
          <w:tcPr>
            <w:tcW w:w="3402"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Applied Science (Statistics and Operations Research)</w:t>
            </w:r>
          </w:p>
        </w:tc>
        <w:tc>
          <w:tcPr>
            <w:tcW w:w="3544"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Statistics and Operations Research</w:t>
            </w:r>
          </w:p>
        </w:tc>
      </w:tr>
      <w:tr w:rsidR="00DF423A" w:rsidTr="00A965CB">
        <w:tc>
          <w:tcPr>
            <w:tcW w:w="2235"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RMIT University</w:t>
            </w:r>
          </w:p>
        </w:tc>
        <w:tc>
          <w:tcPr>
            <w:tcW w:w="3402"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Analytics</w:t>
            </w:r>
          </w:p>
        </w:tc>
        <w:tc>
          <w:tcPr>
            <w:tcW w:w="3544"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Statistics (Business)</w:t>
            </w:r>
          </w:p>
        </w:tc>
      </w:tr>
      <w:tr w:rsidR="00DF423A" w:rsidTr="00A965CB">
        <w:tc>
          <w:tcPr>
            <w:tcW w:w="2235"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University of Adelaide</w:t>
            </w:r>
          </w:p>
        </w:tc>
        <w:tc>
          <w:tcPr>
            <w:tcW w:w="3402"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Professional Accounting</w:t>
            </w:r>
          </w:p>
        </w:tc>
        <w:tc>
          <w:tcPr>
            <w:tcW w:w="3544" w:type="dxa"/>
          </w:tcPr>
          <w:p w:rsidR="00DF423A" w:rsidRPr="005D124B" w:rsidRDefault="00DF423A" w:rsidP="00A965CB">
            <w:pPr>
              <w:rPr>
                <w:rFonts w:ascii="Arial Narrow" w:hAnsi="Arial Narrow"/>
                <w:sz w:val="20"/>
                <w:szCs w:val="20"/>
              </w:rPr>
            </w:pPr>
            <w:r w:rsidRPr="005D124B">
              <w:rPr>
                <w:rFonts w:ascii="Arial Narrow" w:hAnsi="Arial Narrow"/>
                <w:sz w:val="20"/>
                <w:szCs w:val="20"/>
              </w:rPr>
              <w:t>Master of Commerce (Accounting)</w:t>
            </w:r>
          </w:p>
        </w:tc>
      </w:tr>
    </w:tbl>
    <w:p w:rsidR="00DF423A" w:rsidRPr="00AE24E0" w:rsidRDefault="00DF423A" w:rsidP="002E3B98">
      <w:pPr>
        <w:spacing w:before="120" w:after="240"/>
      </w:pPr>
    </w:p>
    <w:p w:rsidR="002E3B98" w:rsidRPr="00963C7B" w:rsidRDefault="002E3B98" w:rsidP="002E3B98">
      <w:pPr>
        <w:pStyle w:val="Heading3"/>
        <w:rPr>
          <w:rFonts w:ascii="Calibri" w:hAnsi="Calibri" w:cs="Calibri"/>
        </w:rPr>
      </w:pPr>
      <w:r w:rsidRPr="00963C7B">
        <w:rPr>
          <w:rFonts w:ascii="Calibri" w:hAnsi="Calibri" w:cs="Calibri"/>
        </w:rPr>
        <w:t>Consultation</w:t>
      </w:r>
    </w:p>
    <w:p w:rsidR="002E3B98" w:rsidRPr="00AE24E0" w:rsidRDefault="002E3B98" w:rsidP="002E3B98">
      <w:pPr>
        <w:spacing w:before="120" w:after="240"/>
      </w:pPr>
      <w:r w:rsidRPr="00AE24E0">
        <w:t xml:space="preserve">The Department of </w:t>
      </w:r>
      <w:r w:rsidR="00C90B65">
        <w:t>Industry, Innovation, Science, Research and Tertiary Education</w:t>
      </w:r>
      <w:r w:rsidRPr="00AE24E0">
        <w:t xml:space="preserve"> </w:t>
      </w:r>
      <w:r w:rsidR="00E66B17">
        <w:t>(</w:t>
      </w:r>
      <w:r w:rsidR="000C3665">
        <w:t>t</w:t>
      </w:r>
      <w:r w:rsidR="00E66B17">
        <w:t xml:space="preserve">he Department) </w:t>
      </w:r>
      <w:r w:rsidR="000479D1">
        <w:t>invited</w:t>
      </w:r>
      <w:r w:rsidRPr="00AE24E0">
        <w:t xml:space="preserve"> </w:t>
      </w:r>
      <w:r w:rsidR="00F912C8">
        <w:t xml:space="preserve">higher education </w:t>
      </w:r>
      <w:r w:rsidR="00A87132">
        <w:t>providers</w:t>
      </w:r>
      <w:r w:rsidR="00F912C8" w:rsidRPr="00AE24E0" w:rsidDel="00F912C8">
        <w:t xml:space="preserve"> </w:t>
      </w:r>
      <w:r w:rsidRPr="00AE24E0">
        <w:t xml:space="preserve">to apply for the inclusion of </w:t>
      </w:r>
      <w:r w:rsidR="00E66B17">
        <w:t xml:space="preserve">their </w:t>
      </w:r>
      <w:r w:rsidRPr="00AE24E0">
        <w:t xml:space="preserve">Masters courses in the list of Masters </w:t>
      </w:r>
      <w:proofErr w:type="gramStart"/>
      <w:r w:rsidRPr="00AE24E0">
        <w:t>courses</w:t>
      </w:r>
      <w:proofErr w:type="gramEnd"/>
      <w:r w:rsidRPr="00AE24E0">
        <w:t xml:space="preserve"> </w:t>
      </w:r>
      <w:r w:rsidR="00116DA5">
        <w:t>that are “tertiary courses” for the purposes of the Act</w:t>
      </w:r>
      <w:r w:rsidR="00116DA5" w:rsidRPr="00AE24E0">
        <w:t xml:space="preserve">. </w:t>
      </w:r>
      <w:r w:rsidR="000E709D">
        <w:t>T</w:t>
      </w:r>
      <w:r w:rsidR="000E709D">
        <w:br/>
      </w:r>
      <w:r w:rsidR="000E709D">
        <w:lastRenderedPageBreak/>
        <w:t xml:space="preserve">The </w:t>
      </w:r>
      <w:hyperlink r:id="rId10" w:tooltip="Guidelines for the approval of Masters courses " w:history="1">
        <w:r w:rsidRPr="000E709D">
          <w:rPr>
            <w:rStyle w:val="Hyperlink"/>
          </w:rPr>
          <w:t>Guidelines for the approval o</w:t>
        </w:r>
        <w:r w:rsidRPr="000E709D">
          <w:rPr>
            <w:rStyle w:val="Hyperlink"/>
          </w:rPr>
          <w:t>f</w:t>
        </w:r>
        <w:r w:rsidRPr="000E709D">
          <w:rPr>
            <w:rStyle w:val="Hyperlink"/>
          </w:rPr>
          <w:t xml:space="preserve"> Masters </w:t>
        </w:r>
        <w:proofErr w:type="gramStart"/>
        <w:r w:rsidRPr="000E709D">
          <w:rPr>
            <w:rStyle w:val="Hyperlink"/>
          </w:rPr>
          <w:t>courses</w:t>
        </w:r>
        <w:proofErr w:type="gramEnd"/>
      </w:hyperlink>
      <w:r w:rsidRPr="00AE24E0">
        <w:t xml:space="preserve"> for inclusion in the Principal Determination are available on the Department’s web site</w:t>
      </w:r>
      <w:r w:rsidR="000E709D">
        <w:t>.</w:t>
      </w:r>
      <w:bookmarkStart w:id="1" w:name="CursorPositionBM"/>
      <w:bookmarkEnd w:id="1"/>
    </w:p>
    <w:p w:rsidR="002E3B98" w:rsidRDefault="002E3B98" w:rsidP="002E3B98">
      <w:pPr>
        <w:spacing w:before="120" w:after="240"/>
      </w:pPr>
      <w:r w:rsidRPr="00AE24E0">
        <w:t xml:space="preserve">The Department undertook consultations with the </w:t>
      </w:r>
      <w:r w:rsidR="00F912C8">
        <w:t xml:space="preserve">higher education </w:t>
      </w:r>
      <w:r w:rsidR="001275AF">
        <w:t>providers</w:t>
      </w:r>
      <w:r w:rsidR="00F912C8" w:rsidRPr="00AE24E0" w:rsidDel="00F912C8">
        <w:t xml:space="preserve"> </w:t>
      </w:r>
      <w:r w:rsidRPr="00AE24E0">
        <w:t xml:space="preserve">that sought inclusion of their </w:t>
      </w:r>
      <w:r w:rsidR="00E66B17">
        <w:t xml:space="preserve">Masters </w:t>
      </w:r>
      <w:r w:rsidRPr="00AE24E0">
        <w:t xml:space="preserve">courses in the </w:t>
      </w:r>
      <w:r w:rsidR="00E66B17">
        <w:t>Amendment D</w:t>
      </w:r>
      <w:r w:rsidR="00E66B17" w:rsidRPr="00AE24E0">
        <w:t>etermination</w:t>
      </w:r>
      <w:r w:rsidRPr="00AE24E0">
        <w:t>.</w:t>
      </w:r>
    </w:p>
    <w:p w:rsidR="001275AF" w:rsidRPr="00AE24E0" w:rsidRDefault="001275AF" w:rsidP="002E3B98">
      <w:pPr>
        <w:spacing w:before="120" w:after="240"/>
      </w:pPr>
      <w:r>
        <w:t>The Amendment Determination has been developed in consultation with the Department of Education, Employment and Workplace Relations,</w:t>
      </w:r>
      <w:r w:rsidR="00A965CB">
        <w:t xml:space="preserve"> and </w:t>
      </w:r>
      <w:r>
        <w:t>the Department of Families, Housing, Community Services and Indigenous Affairs</w:t>
      </w:r>
      <w:r w:rsidR="00A965CB">
        <w:t>.</w:t>
      </w:r>
      <w:r>
        <w:t xml:space="preserve"> </w:t>
      </w:r>
    </w:p>
    <w:p w:rsidR="002E3B98" w:rsidRPr="00963C7B" w:rsidRDefault="002E3B98" w:rsidP="002E3B98">
      <w:pPr>
        <w:pStyle w:val="Heading3"/>
        <w:rPr>
          <w:rFonts w:ascii="Calibri" w:hAnsi="Calibri" w:cs="Calibri"/>
        </w:rPr>
      </w:pPr>
      <w:r w:rsidRPr="00963C7B">
        <w:rPr>
          <w:rFonts w:ascii="Calibri" w:hAnsi="Calibri" w:cs="Calibri"/>
        </w:rPr>
        <w:t>Regulatory Impact Analysis</w:t>
      </w:r>
    </w:p>
    <w:p w:rsidR="002E3B98" w:rsidRPr="00AE24E0" w:rsidRDefault="002E3B98" w:rsidP="002E3B98">
      <w:pPr>
        <w:spacing w:before="120" w:after="240"/>
      </w:pPr>
      <w:r>
        <w:t>The</w:t>
      </w:r>
      <w:r w:rsidRPr="00AE24E0">
        <w:t xml:space="preserve"> Amendment Determination does not require a Regulatory Impact Statement or a Business Cost Calculator Figure. Th</w:t>
      </w:r>
      <w:r>
        <w:t>e</w:t>
      </w:r>
      <w:r w:rsidRPr="00AE24E0">
        <w:t xml:space="preserve"> Amendment Determination is not regulatory in nature, will not impact on business activity and will have no, or minimal, compliance costs or competition impact.</w:t>
      </w:r>
    </w:p>
    <w:p w:rsidR="005462B6" w:rsidRDefault="002E3B98" w:rsidP="002E3B98">
      <w:r w:rsidRPr="00AE24E0">
        <w:t>No special statutory conditions needed to be fulfilled prior to the making of the Amendment Determination.</w:t>
      </w:r>
    </w:p>
    <w:p w:rsidR="00FA776B" w:rsidRDefault="00FA776B">
      <w:pPr>
        <w:rPr>
          <w:b/>
        </w:rPr>
      </w:pPr>
      <w:r>
        <w:rPr>
          <w:b/>
        </w:rPr>
        <w:br w:type="page"/>
      </w:r>
    </w:p>
    <w:p w:rsidR="008223B8" w:rsidRDefault="00F7782F" w:rsidP="00E66B17">
      <w:pPr>
        <w:spacing w:before="120" w:after="240"/>
        <w:jc w:val="center"/>
        <w:rPr>
          <w:b/>
        </w:rPr>
      </w:pPr>
      <w:r w:rsidRPr="009806F6">
        <w:rPr>
          <w:b/>
        </w:rPr>
        <w:lastRenderedPageBreak/>
        <w:t>Statement of Compatibility with Human Rights</w:t>
      </w:r>
    </w:p>
    <w:p w:rsidR="008223B8" w:rsidRDefault="008223B8" w:rsidP="00E66B17">
      <w:pPr>
        <w:spacing w:before="120" w:after="240"/>
        <w:jc w:val="center"/>
        <w:rPr>
          <w:b/>
        </w:rPr>
      </w:pPr>
    </w:p>
    <w:p w:rsidR="008223B8" w:rsidRDefault="00F7782F" w:rsidP="00E66B17">
      <w:pPr>
        <w:spacing w:before="120" w:after="240"/>
        <w:jc w:val="center"/>
        <w:rPr>
          <w:b/>
        </w:rPr>
      </w:pPr>
      <w:r>
        <w:rPr>
          <w:b/>
        </w:rPr>
        <w:t xml:space="preserve">Prepared in accordance with Part 3 of the </w:t>
      </w:r>
      <w:r w:rsidRPr="009806F6">
        <w:rPr>
          <w:b/>
          <w:i/>
        </w:rPr>
        <w:t>Human Rights (Parliamentary Scrutiny) Act 2011</w:t>
      </w:r>
    </w:p>
    <w:p w:rsidR="008223B8" w:rsidRPr="00E66B17" w:rsidRDefault="008223B8" w:rsidP="00E66B17">
      <w:pPr>
        <w:pStyle w:val="Heading5"/>
        <w:jc w:val="center"/>
        <w:rPr>
          <w:sz w:val="22"/>
          <w:szCs w:val="22"/>
        </w:rPr>
      </w:pPr>
      <w:r w:rsidRPr="00E66B17">
        <w:rPr>
          <w:sz w:val="22"/>
          <w:szCs w:val="22"/>
        </w:rPr>
        <w:t>Student Assistance (Education Institutions and Courses) Amendment Determination 201</w:t>
      </w:r>
      <w:r w:rsidR="00C90B65">
        <w:rPr>
          <w:sz w:val="22"/>
          <w:szCs w:val="22"/>
        </w:rPr>
        <w:t>2</w:t>
      </w:r>
      <w:r w:rsidRPr="00E66B17">
        <w:rPr>
          <w:sz w:val="22"/>
          <w:szCs w:val="22"/>
        </w:rPr>
        <w:t xml:space="preserve"> (No. </w:t>
      </w:r>
      <w:r w:rsidR="00C90B65">
        <w:rPr>
          <w:sz w:val="22"/>
          <w:szCs w:val="22"/>
        </w:rPr>
        <w:t>1</w:t>
      </w:r>
      <w:r w:rsidRPr="00E66B17">
        <w:rPr>
          <w:sz w:val="22"/>
          <w:szCs w:val="22"/>
        </w:rPr>
        <w:t>)</w:t>
      </w:r>
    </w:p>
    <w:p w:rsidR="008223B8" w:rsidRDefault="00F7782F" w:rsidP="00E66B17">
      <w:pPr>
        <w:spacing w:before="120" w:after="240"/>
        <w:jc w:val="center"/>
      </w:pPr>
      <w:r>
        <w:t xml:space="preserve">This Determination is compatible with the human rights and freedoms recognised or declared in the international instruments listed in section 3 of the </w:t>
      </w:r>
      <w:r w:rsidRPr="009806F6">
        <w:rPr>
          <w:i/>
        </w:rPr>
        <w:t>Human Rights (Parliamentary Scrutiny) Act 2011</w:t>
      </w:r>
      <w:r>
        <w:t>.</w:t>
      </w:r>
    </w:p>
    <w:p w:rsidR="00F7782F" w:rsidRPr="00E66B17" w:rsidRDefault="008223B8" w:rsidP="00F7782F">
      <w:pPr>
        <w:spacing w:before="120" w:after="240"/>
        <w:rPr>
          <w:b/>
        </w:rPr>
      </w:pPr>
      <w:r w:rsidRPr="00E66B17">
        <w:rPr>
          <w:b/>
        </w:rPr>
        <w:t xml:space="preserve">Overview of the </w:t>
      </w:r>
      <w:r w:rsidR="00F7782F">
        <w:rPr>
          <w:b/>
        </w:rPr>
        <w:t xml:space="preserve">Determination </w:t>
      </w:r>
      <w:r w:rsidRPr="00E66B17">
        <w:rPr>
          <w:b/>
        </w:rPr>
        <w:t xml:space="preserve"> </w:t>
      </w:r>
    </w:p>
    <w:p w:rsidR="00B54F4B" w:rsidRPr="00AE24E0" w:rsidRDefault="00B54F4B" w:rsidP="00B54F4B">
      <w:pPr>
        <w:spacing w:before="120" w:after="240"/>
      </w:pPr>
      <w:r w:rsidRPr="00AE24E0">
        <w:t xml:space="preserve">The </w:t>
      </w:r>
      <w:r w:rsidRPr="00AE24E0">
        <w:rPr>
          <w:i/>
        </w:rPr>
        <w:t>Student Assistance (Education Institutions and Courses) Amendment Determination 201</w:t>
      </w:r>
      <w:r w:rsidR="00C90B65">
        <w:rPr>
          <w:i/>
        </w:rPr>
        <w:t>2</w:t>
      </w:r>
      <w:r w:rsidRPr="00AE24E0">
        <w:rPr>
          <w:i/>
        </w:rPr>
        <w:t xml:space="preserve"> (No. </w:t>
      </w:r>
      <w:r w:rsidR="00C90B65">
        <w:rPr>
          <w:i/>
        </w:rPr>
        <w:t>1</w:t>
      </w:r>
      <w:r w:rsidRPr="00AE24E0">
        <w:rPr>
          <w:i/>
        </w:rPr>
        <w:t>)</w:t>
      </w:r>
      <w:r w:rsidRPr="00AE24E0">
        <w:t xml:space="preserve"> (the Amendment Determination) is made under subsection 5D</w:t>
      </w:r>
      <w:r>
        <w:t xml:space="preserve"> </w:t>
      </w:r>
      <w:r w:rsidRPr="00AE24E0">
        <w:t xml:space="preserve">(1) of the </w:t>
      </w:r>
      <w:r w:rsidRPr="00AE24E0">
        <w:rPr>
          <w:i/>
        </w:rPr>
        <w:t>Student Assistance Act 1973</w:t>
      </w:r>
      <w:r w:rsidRPr="00AE24E0">
        <w:t xml:space="preserve"> (the Act).  Subsection 5D</w:t>
      </w:r>
      <w:r>
        <w:t xml:space="preserve"> </w:t>
      </w:r>
      <w:r w:rsidRPr="00AE24E0">
        <w:t>(3) of the Act provides that a determination under subsection 5D</w:t>
      </w:r>
      <w:r>
        <w:t xml:space="preserve"> </w:t>
      </w:r>
      <w:r w:rsidRPr="00AE24E0">
        <w:t xml:space="preserve">(1) is a disallowable instrument for the purposes of section 46A of the </w:t>
      </w:r>
      <w:r w:rsidRPr="00AE24E0">
        <w:rPr>
          <w:i/>
        </w:rPr>
        <w:t>Acts Interpretation Act 1901</w:t>
      </w:r>
      <w:r>
        <w:rPr>
          <w:i/>
        </w:rPr>
        <w:t>.</w:t>
      </w:r>
    </w:p>
    <w:p w:rsidR="00B54F4B" w:rsidRDefault="00B54F4B" w:rsidP="00B54F4B">
      <w:pPr>
        <w:spacing w:before="120" w:after="240"/>
      </w:pPr>
      <w:r w:rsidRPr="00AE24E0">
        <w:t xml:space="preserve">The Amendment Determination amends the </w:t>
      </w:r>
      <w:r w:rsidRPr="00AE24E0">
        <w:rPr>
          <w:i/>
        </w:rPr>
        <w:t>Student Assistance (Education Institutions and Courses) Determination 2009 (No. 2)</w:t>
      </w:r>
      <w:r w:rsidRPr="00AE24E0">
        <w:t xml:space="preserve"> (Principal Determination).  The Amendment Determination</w:t>
      </w:r>
      <w:r>
        <w:t xml:space="preserve"> amends the </w:t>
      </w:r>
      <w:r w:rsidRPr="00AE24E0">
        <w:t xml:space="preserve">list of Masters </w:t>
      </w:r>
      <w:proofErr w:type="gramStart"/>
      <w:r w:rsidRPr="00AE24E0">
        <w:t>courses</w:t>
      </w:r>
      <w:proofErr w:type="gramEnd"/>
      <w:r w:rsidRPr="00AE24E0">
        <w:t xml:space="preserve"> in Schedule 3 to the Principal Determination</w:t>
      </w:r>
      <w:r>
        <w:t xml:space="preserve"> by adding new courses, </w:t>
      </w:r>
      <w:r w:rsidR="00B12704">
        <w:t xml:space="preserve">replacing the names of existing courses </w:t>
      </w:r>
      <w:r>
        <w:t xml:space="preserve">and removing existing courses. </w:t>
      </w:r>
    </w:p>
    <w:p w:rsidR="00B54F4B" w:rsidRDefault="00B54F4B" w:rsidP="00B54F4B">
      <w:pPr>
        <w:spacing w:before="120" w:after="240"/>
      </w:pPr>
      <w:r w:rsidRPr="00AE24E0">
        <w:t xml:space="preserve">The Masters courses listed in Schedule 3 are the Masters courses </w:t>
      </w:r>
      <w:r w:rsidR="00B12704">
        <w:t>provided by</w:t>
      </w:r>
      <w:r w:rsidRPr="00AE24E0">
        <w:t xml:space="preserve"> </w:t>
      </w:r>
      <w:r w:rsidR="00F912C8">
        <w:t xml:space="preserve">higher education </w:t>
      </w:r>
      <w:r w:rsidR="00B12704">
        <w:t>providers</w:t>
      </w:r>
      <w:r w:rsidRPr="00AE24E0">
        <w:t xml:space="preserve"> that are “tertiary courses” for the purposes of the Act.  In turn, the determination of these courses as tertiary courses for the purposes of the Act allows people studying those courses to qualify for certain income support payments</w:t>
      </w:r>
      <w:r>
        <w:t xml:space="preserve"> under social security law</w:t>
      </w:r>
      <w:r w:rsidRPr="00AE24E0">
        <w:t xml:space="preserve">, such as Austudy and Youth Allowance (provided they meet the other </w:t>
      </w:r>
      <w:r w:rsidR="00E66B17">
        <w:t>eligibility</w:t>
      </w:r>
      <w:r w:rsidR="00E66B17" w:rsidRPr="00AE24E0">
        <w:t xml:space="preserve"> </w:t>
      </w:r>
      <w:r w:rsidRPr="00AE24E0">
        <w:t>criteria for those payments).</w:t>
      </w:r>
    </w:p>
    <w:p w:rsidR="00F7782F" w:rsidRDefault="008223B8" w:rsidP="00E65DE5">
      <w:pPr>
        <w:rPr>
          <w:b/>
        </w:rPr>
      </w:pPr>
      <w:r w:rsidRPr="00E66B17">
        <w:rPr>
          <w:b/>
        </w:rPr>
        <w:t xml:space="preserve">Human rights implications </w:t>
      </w:r>
    </w:p>
    <w:p w:rsidR="00F7782F" w:rsidRDefault="00F7782F" w:rsidP="00E65DE5">
      <w:pPr>
        <w:rPr>
          <w:b/>
        </w:rPr>
      </w:pPr>
    </w:p>
    <w:p w:rsidR="00B30FAC" w:rsidRPr="00A965CB" w:rsidRDefault="00B30FAC" w:rsidP="00B30FAC">
      <w:pPr>
        <w:spacing w:after="120"/>
        <w:rPr>
          <w:rFonts w:cs="Arial"/>
          <w:bCs/>
          <w:color w:val="000000"/>
          <w:szCs w:val="22"/>
        </w:rPr>
      </w:pPr>
      <w:r w:rsidRPr="00A965CB">
        <w:rPr>
          <w:rFonts w:cs="Arial"/>
          <w:bCs/>
          <w:color w:val="000000"/>
          <w:szCs w:val="22"/>
        </w:rPr>
        <w:t>The Instrument engages the following human rights:</w:t>
      </w:r>
    </w:p>
    <w:p w:rsidR="00B30FAC" w:rsidRPr="00A965CB" w:rsidRDefault="00B30FAC" w:rsidP="00B30FAC">
      <w:pPr>
        <w:spacing w:after="120"/>
        <w:rPr>
          <w:rFonts w:cs="Arial"/>
          <w:bCs/>
          <w:color w:val="000000"/>
          <w:szCs w:val="22"/>
        </w:rPr>
      </w:pPr>
      <w:r w:rsidRPr="00A965CB">
        <w:rPr>
          <w:rFonts w:cs="Arial"/>
          <w:bCs/>
          <w:i/>
          <w:color w:val="000000"/>
          <w:szCs w:val="22"/>
        </w:rPr>
        <w:t>Right to education</w:t>
      </w:r>
    </w:p>
    <w:p w:rsidR="00B30FAC" w:rsidRPr="00A965CB" w:rsidRDefault="00B30FAC" w:rsidP="00B30FAC">
      <w:pPr>
        <w:spacing w:after="120"/>
        <w:rPr>
          <w:rFonts w:cs="Arial"/>
          <w:bCs/>
          <w:color w:val="000000"/>
          <w:szCs w:val="22"/>
        </w:rPr>
      </w:pPr>
      <w:r w:rsidRPr="00A965CB">
        <w:rPr>
          <w:rFonts w:cs="Arial"/>
          <w:bCs/>
          <w:color w:val="000000"/>
          <w:szCs w:val="22"/>
        </w:rPr>
        <w:t xml:space="preserve">The Instrument engages the right to education contained in Article 13 of the International Covenant on Economic, Social and Cultural Rights. </w:t>
      </w:r>
    </w:p>
    <w:p w:rsidR="00245C6C" w:rsidRDefault="00245C6C" w:rsidP="00E65DE5">
      <w:pPr>
        <w:rPr>
          <w:rFonts w:cs="Arial"/>
          <w:szCs w:val="22"/>
        </w:rPr>
      </w:pPr>
    </w:p>
    <w:p w:rsidR="00B12704" w:rsidRDefault="00B12704" w:rsidP="00E65DE5">
      <w:pPr>
        <w:rPr>
          <w:rFonts w:cs="Arial"/>
          <w:szCs w:val="22"/>
        </w:rPr>
      </w:pPr>
      <w:r>
        <w:rPr>
          <w:rFonts w:cs="Arial"/>
          <w:szCs w:val="22"/>
        </w:rPr>
        <w:t xml:space="preserve">By determining that certain Masters courses are </w:t>
      </w:r>
      <w:r w:rsidRPr="00AE24E0">
        <w:t>“tertiary courses”</w:t>
      </w:r>
      <w:r w:rsidR="00495923">
        <w:t>,</w:t>
      </w:r>
      <w:r>
        <w:t xml:space="preserve"> which in turn assists </w:t>
      </w:r>
      <w:r w:rsidRPr="00AE24E0">
        <w:t>people studying those courses to qualify for certain income support payments</w:t>
      </w:r>
      <w:r>
        <w:t xml:space="preserve"> under social security law, the </w:t>
      </w:r>
      <w:r w:rsidRPr="00AE24E0">
        <w:t>Amendment Determination</w:t>
      </w:r>
      <w:r>
        <w:t xml:space="preserve"> may enable students to access education and therefore will be compatible with human rights.</w:t>
      </w:r>
    </w:p>
    <w:p w:rsidR="00B54F4B" w:rsidRDefault="00B54F4B" w:rsidP="00E65DE5">
      <w:pPr>
        <w:rPr>
          <w:b/>
        </w:rPr>
      </w:pPr>
    </w:p>
    <w:p w:rsidR="00F7782F" w:rsidRDefault="00F7782F" w:rsidP="00E65DE5">
      <w:pPr>
        <w:rPr>
          <w:b/>
        </w:rPr>
      </w:pPr>
      <w:r>
        <w:rPr>
          <w:b/>
        </w:rPr>
        <w:t xml:space="preserve">Conclusion </w:t>
      </w:r>
    </w:p>
    <w:p w:rsidR="00F7782F" w:rsidRDefault="00F7782F" w:rsidP="00E65DE5">
      <w:pPr>
        <w:rPr>
          <w:b/>
        </w:rPr>
      </w:pPr>
    </w:p>
    <w:p w:rsidR="00F7782F" w:rsidRPr="00F7782F" w:rsidRDefault="00F7782F" w:rsidP="00EA4E50">
      <w:r w:rsidRPr="00EA4E50">
        <w:rPr>
          <w:rFonts w:cs="Arial"/>
        </w:rPr>
        <w:t xml:space="preserve">This </w:t>
      </w:r>
      <w:r w:rsidR="0070782D" w:rsidRPr="00EA4E50">
        <w:rPr>
          <w:rFonts w:cs="Arial"/>
        </w:rPr>
        <w:t xml:space="preserve">instrument </w:t>
      </w:r>
      <w:r w:rsidRPr="00B609B2">
        <w:rPr>
          <w:rFonts w:cs="Arial"/>
        </w:rPr>
        <w:t xml:space="preserve">is compatible </w:t>
      </w:r>
      <w:r w:rsidR="00B54F4B" w:rsidRPr="00F912C8">
        <w:rPr>
          <w:rFonts w:cs="Arial"/>
        </w:rPr>
        <w:t xml:space="preserve">with human rights as it </w:t>
      </w:r>
      <w:r w:rsidR="00495923">
        <w:rPr>
          <w:rFonts w:cs="Arial"/>
        </w:rPr>
        <w:t>may enable students to access education.</w:t>
      </w:r>
    </w:p>
    <w:sectPr w:rsidR="00F7782F" w:rsidRPr="00F7782F" w:rsidSect="00246D3D">
      <w:headerReference w:type="even" r:id="rId11"/>
      <w:headerReference w:type="default" r:id="rId12"/>
      <w:footerReference w:type="even" r:id="rId13"/>
      <w:footerReference w:type="default" r:id="rId14"/>
      <w:headerReference w:type="first" r:id="rId15"/>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CB" w:rsidRDefault="00A965CB">
      <w:r>
        <w:separator/>
      </w:r>
    </w:p>
  </w:endnote>
  <w:endnote w:type="continuationSeparator" w:id="0">
    <w:p w:rsidR="00A965CB" w:rsidRDefault="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CB" w:rsidRDefault="00A965CB" w:rsidP="00246D3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13</w:t>
    </w:r>
    <w:r>
      <w:rPr>
        <w:rStyle w:val="PageNumber"/>
        <w:rFonts w:cs="Arial"/>
      </w:rPr>
      <w:fldChar w:fldCharType="end"/>
    </w:r>
  </w:p>
  <w:p w:rsidR="00A965CB" w:rsidRDefault="00A965CB" w:rsidP="002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CB" w:rsidRDefault="00A965CB" w:rsidP="00246D3D">
    <w:pPr>
      <w:pStyle w:val="Footer"/>
      <w:framePr w:wrap="around" w:vAnchor="text" w:hAnchor="margin" w:xAlign="center" w:y="1"/>
      <w:rPr>
        <w:rStyle w:val="PageNumber"/>
        <w:rFonts w:cs="Arial"/>
      </w:rPr>
    </w:pPr>
  </w:p>
  <w:p w:rsidR="00A965CB" w:rsidRDefault="00A965CB" w:rsidP="00246D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CB" w:rsidRDefault="00A965CB">
      <w:r>
        <w:separator/>
      </w:r>
    </w:p>
  </w:footnote>
  <w:footnote w:type="continuationSeparator" w:id="0">
    <w:p w:rsidR="00A965CB" w:rsidRDefault="00A9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CB" w:rsidRDefault="00A965CB" w:rsidP="00246D3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A965CB" w:rsidRDefault="00A96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CB" w:rsidRDefault="00A965CB" w:rsidP="00246D3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A367D">
      <w:rPr>
        <w:rStyle w:val="PageNumber"/>
        <w:rFonts w:cs="Arial"/>
        <w:noProof/>
      </w:rPr>
      <w:t>2</w:t>
    </w:r>
    <w:r>
      <w:rPr>
        <w:rStyle w:val="PageNumber"/>
        <w:rFonts w:cs="Arial"/>
      </w:rPr>
      <w:fldChar w:fldCharType="end"/>
    </w:r>
  </w:p>
  <w:p w:rsidR="00A965CB" w:rsidRDefault="00A965CB" w:rsidP="00246D3D">
    <w:pPr>
      <w:pStyle w:val="Header"/>
      <w:tabs>
        <w:tab w:val="clear" w:pos="4153"/>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CB" w:rsidRDefault="00A96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344"/>
    <w:multiLevelType w:val="hybridMultilevel"/>
    <w:tmpl w:val="02002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F82EA6"/>
    <w:multiLevelType w:val="hybridMultilevel"/>
    <w:tmpl w:val="103E78D0"/>
    <w:lvl w:ilvl="0" w:tplc="BDF633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26E6F9A"/>
    <w:multiLevelType w:val="hybridMultilevel"/>
    <w:tmpl w:val="26724A2A"/>
    <w:lvl w:ilvl="0" w:tplc="2E0C0FE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7759A7"/>
    <w:multiLevelType w:val="hybridMultilevel"/>
    <w:tmpl w:val="B8F8B934"/>
    <w:lvl w:ilvl="0" w:tplc="E9169528">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98"/>
    <w:rsid w:val="000479D1"/>
    <w:rsid w:val="0005773F"/>
    <w:rsid w:val="000B0D63"/>
    <w:rsid w:val="000C3665"/>
    <w:rsid w:val="000E709D"/>
    <w:rsid w:val="00116DA5"/>
    <w:rsid w:val="001275AF"/>
    <w:rsid w:val="00140ABD"/>
    <w:rsid w:val="00170D02"/>
    <w:rsid w:val="00215FC5"/>
    <w:rsid w:val="00245C6C"/>
    <w:rsid w:val="00246C42"/>
    <w:rsid w:val="00246D3D"/>
    <w:rsid w:val="0027432E"/>
    <w:rsid w:val="002827DD"/>
    <w:rsid w:val="002A367D"/>
    <w:rsid w:val="002B11E0"/>
    <w:rsid w:val="002D332F"/>
    <w:rsid w:val="002E0B78"/>
    <w:rsid w:val="002E3B98"/>
    <w:rsid w:val="0030485A"/>
    <w:rsid w:val="00406BBC"/>
    <w:rsid w:val="00490B0C"/>
    <w:rsid w:val="00495923"/>
    <w:rsid w:val="004A221C"/>
    <w:rsid w:val="004E260C"/>
    <w:rsid w:val="004E5FA3"/>
    <w:rsid w:val="004F33B2"/>
    <w:rsid w:val="005462B6"/>
    <w:rsid w:val="005514F3"/>
    <w:rsid w:val="00560BE9"/>
    <w:rsid w:val="005656C6"/>
    <w:rsid w:val="005D236C"/>
    <w:rsid w:val="00601C40"/>
    <w:rsid w:val="00660643"/>
    <w:rsid w:val="006972A0"/>
    <w:rsid w:val="00704F3E"/>
    <w:rsid w:val="0070782D"/>
    <w:rsid w:val="00714739"/>
    <w:rsid w:val="00737AB0"/>
    <w:rsid w:val="00814F98"/>
    <w:rsid w:val="008223B8"/>
    <w:rsid w:val="00850342"/>
    <w:rsid w:val="00867FCC"/>
    <w:rsid w:val="00885966"/>
    <w:rsid w:val="008B599D"/>
    <w:rsid w:val="008C7AC8"/>
    <w:rsid w:val="00920079"/>
    <w:rsid w:val="009806F6"/>
    <w:rsid w:val="009B76D9"/>
    <w:rsid w:val="009E73A4"/>
    <w:rsid w:val="00A35BAC"/>
    <w:rsid w:val="00A42981"/>
    <w:rsid w:val="00A87132"/>
    <w:rsid w:val="00A965CB"/>
    <w:rsid w:val="00AC0E7E"/>
    <w:rsid w:val="00B073A3"/>
    <w:rsid w:val="00B12704"/>
    <w:rsid w:val="00B163E4"/>
    <w:rsid w:val="00B2605E"/>
    <w:rsid w:val="00B2736B"/>
    <w:rsid w:val="00B30FAC"/>
    <w:rsid w:val="00B4410E"/>
    <w:rsid w:val="00B54F4B"/>
    <w:rsid w:val="00B609B2"/>
    <w:rsid w:val="00B734B9"/>
    <w:rsid w:val="00B74927"/>
    <w:rsid w:val="00BF18DB"/>
    <w:rsid w:val="00C31D8E"/>
    <w:rsid w:val="00C3422F"/>
    <w:rsid w:val="00C8222A"/>
    <w:rsid w:val="00C8230B"/>
    <w:rsid w:val="00C90B65"/>
    <w:rsid w:val="00CA47D4"/>
    <w:rsid w:val="00CC24A4"/>
    <w:rsid w:val="00D11E90"/>
    <w:rsid w:val="00D22B3F"/>
    <w:rsid w:val="00D26270"/>
    <w:rsid w:val="00D93461"/>
    <w:rsid w:val="00DB196A"/>
    <w:rsid w:val="00DD6826"/>
    <w:rsid w:val="00DF423A"/>
    <w:rsid w:val="00E42B47"/>
    <w:rsid w:val="00E61569"/>
    <w:rsid w:val="00E65DE5"/>
    <w:rsid w:val="00E66B17"/>
    <w:rsid w:val="00E936ED"/>
    <w:rsid w:val="00EA4E50"/>
    <w:rsid w:val="00EC3676"/>
    <w:rsid w:val="00F05D7D"/>
    <w:rsid w:val="00F32056"/>
    <w:rsid w:val="00F7782F"/>
    <w:rsid w:val="00F912C8"/>
    <w:rsid w:val="00FA63C5"/>
    <w:rsid w:val="00FA776B"/>
    <w:rsid w:val="00FB64CD"/>
    <w:rsid w:val="00FD16BC"/>
    <w:rsid w:val="00FD7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98"/>
    <w:rPr>
      <w:rFonts w:ascii="Arial" w:hAnsi="Arial"/>
      <w:sz w:val="22"/>
      <w:lang w:eastAsia="en-US"/>
    </w:rPr>
  </w:style>
  <w:style w:type="paragraph" w:styleId="Heading1">
    <w:name w:val="heading 1"/>
    <w:aliases w:val="h1,c"/>
    <w:basedOn w:val="Normal"/>
    <w:next w:val="Normal"/>
    <w:link w:val="Heading1Char"/>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FD16BC"/>
    <w:pPr>
      <w:keepNext/>
      <w:spacing w:before="240" w:after="60"/>
      <w:outlineLvl w:val="2"/>
    </w:pPr>
    <w:rPr>
      <w:rFonts w:cs="Arial"/>
      <w:b/>
      <w:bCs/>
      <w:szCs w:val="26"/>
    </w:rPr>
  </w:style>
  <w:style w:type="paragraph" w:styleId="Heading5">
    <w:name w:val="heading 5"/>
    <w:aliases w:val="s,ActHead 5"/>
    <w:basedOn w:val="Normal"/>
    <w:next w:val="Normal"/>
    <w:link w:val="Heading5Char"/>
    <w:uiPriority w:val="9"/>
    <w:qFormat/>
    <w:rsid w:val="002E3B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
    <w:rsid w:val="002E3B98"/>
    <w:rPr>
      <w:rFonts w:ascii="Arial" w:hAnsi="Arial"/>
      <w:b/>
      <w:bCs/>
      <w:i/>
      <w:iCs/>
      <w:sz w:val="26"/>
      <w:szCs w:val="26"/>
      <w:lang w:eastAsia="en-US"/>
    </w:rPr>
  </w:style>
  <w:style w:type="character" w:customStyle="1" w:styleId="Heading1Char">
    <w:name w:val="Heading 1 Char"/>
    <w:aliases w:val="h1 Char,c Char"/>
    <w:basedOn w:val="DefaultParagraphFont"/>
    <w:link w:val="Heading1"/>
    <w:rsid w:val="002E3B98"/>
    <w:rPr>
      <w:rFonts w:ascii="Arial" w:eastAsia="Batang" w:hAnsi="Arial" w:cs="Arial"/>
      <w:b/>
      <w:bCs/>
      <w:sz w:val="28"/>
      <w:szCs w:val="32"/>
      <w:lang w:eastAsia="en-US"/>
    </w:rPr>
  </w:style>
  <w:style w:type="character" w:customStyle="1" w:styleId="Heading3Char">
    <w:name w:val="Heading 3 Char"/>
    <w:aliases w:val="h3 Char,d Char"/>
    <w:basedOn w:val="DefaultParagraphFont"/>
    <w:link w:val="Heading3"/>
    <w:rsid w:val="002E3B98"/>
    <w:rPr>
      <w:rFonts w:ascii="Arial" w:hAnsi="Arial" w:cs="Arial"/>
      <w:b/>
      <w:bCs/>
      <w:sz w:val="22"/>
      <w:szCs w:val="26"/>
      <w:lang w:eastAsia="en-US"/>
    </w:rPr>
  </w:style>
  <w:style w:type="paragraph" w:styleId="Header">
    <w:name w:val="header"/>
    <w:basedOn w:val="Normal"/>
    <w:link w:val="HeaderChar"/>
    <w:rsid w:val="002E3B98"/>
    <w:pPr>
      <w:tabs>
        <w:tab w:val="center" w:pos="4153"/>
        <w:tab w:val="right" w:pos="8306"/>
      </w:tabs>
    </w:pPr>
  </w:style>
  <w:style w:type="character" w:customStyle="1" w:styleId="HeaderChar">
    <w:name w:val="Header Char"/>
    <w:basedOn w:val="DefaultParagraphFont"/>
    <w:link w:val="Header"/>
    <w:rsid w:val="002E3B98"/>
    <w:rPr>
      <w:rFonts w:ascii="Arial" w:hAnsi="Arial"/>
      <w:sz w:val="22"/>
      <w:lang w:eastAsia="en-US"/>
    </w:rPr>
  </w:style>
  <w:style w:type="paragraph" w:styleId="Footer">
    <w:name w:val="footer"/>
    <w:basedOn w:val="Normal"/>
    <w:link w:val="FooterChar"/>
    <w:rsid w:val="002E3B98"/>
    <w:pPr>
      <w:tabs>
        <w:tab w:val="center" w:pos="4153"/>
        <w:tab w:val="right" w:pos="8306"/>
      </w:tabs>
      <w:jc w:val="right"/>
    </w:pPr>
    <w:rPr>
      <w:rFonts w:ascii="Calibri" w:hAnsi="Calibri"/>
      <w:color w:val="808080"/>
      <w:sz w:val="20"/>
    </w:rPr>
  </w:style>
  <w:style w:type="character" w:customStyle="1" w:styleId="FooterChar">
    <w:name w:val="Footer Char"/>
    <w:basedOn w:val="DefaultParagraphFont"/>
    <w:link w:val="Footer"/>
    <w:rsid w:val="002E3B98"/>
    <w:rPr>
      <w:rFonts w:ascii="Calibri" w:hAnsi="Calibri"/>
      <w:color w:val="808080"/>
      <w:lang w:eastAsia="en-US"/>
    </w:rPr>
  </w:style>
  <w:style w:type="character" w:styleId="PageNumber">
    <w:name w:val="page number"/>
    <w:basedOn w:val="DefaultParagraphFont"/>
    <w:uiPriority w:val="99"/>
    <w:rsid w:val="002E3B98"/>
    <w:rPr>
      <w:rFonts w:cs="Times New Roman"/>
    </w:rPr>
  </w:style>
  <w:style w:type="character" w:styleId="CommentReference">
    <w:name w:val="annotation reference"/>
    <w:basedOn w:val="DefaultParagraphFont"/>
    <w:uiPriority w:val="99"/>
    <w:rsid w:val="002E3B98"/>
    <w:rPr>
      <w:rFonts w:cs="Times New Roman"/>
      <w:sz w:val="16"/>
      <w:szCs w:val="16"/>
    </w:rPr>
  </w:style>
  <w:style w:type="paragraph" w:styleId="CommentText">
    <w:name w:val="annotation text"/>
    <w:basedOn w:val="Normal"/>
    <w:link w:val="CommentTextChar"/>
    <w:uiPriority w:val="99"/>
    <w:rsid w:val="002E3B98"/>
    <w:rPr>
      <w:sz w:val="20"/>
    </w:rPr>
  </w:style>
  <w:style w:type="character" w:customStyle="1" w:styleId="CommentTextChar">
    <w:name w:val="Comment Text Char"/>
    <w:basedOn w:val="DefaultParagraphFont"/>
    <w:link w:val="CommentText"/>
    <w:uiPriority w:val="99"/>
    <w:rsid w:val="002E3B98"/>
    <w:rPr>
      <w:rFonts w:ascii="Arial" w:hAnsi="Arial"/>
      <w:lang w:eastAsia="en-US"/>
    </w:rPr>
  </w:style>
  <w:style w:type="paragraph" w:styleId="BalloonText">
    <w:name w:val="Balloon Text"/>
    <w:basedOn w:val="Normal"/>
    <w:link w:val="BalloonTextChar"/>
    <w:uiPriority w:val="99"/>
    <w:semiHidden/>
    <w:unhideWhenUsed/>
    <w:rsid w:val="002E3B98"/>
    <w:rPr>
      <w:rFonts w:ascii="Tahoma" w:hAnsi="Tahoma" w:cs="Tahoma"/>
      <w:sz w:val="16"/>
      <w:szCs w:val="16"/>
    </w:rPr>
  </w:style>
  <w:style w:type="character" w:customStyle="1" w:styleId="BalloonTextChar">
    <w:name w:val="Balloon Text Char"/>
    <w:basedOn w:val="DefaultParagraphFont"/>
    <w:link w:val="BalloonText"/>
    <w:uiPriority w:val="99"/>
    <w:semiHidden/>
    <w:rsid w:val="002E3B98"/>
    <w:rPr>
      <w:rFonts w:ascii="Tahoma" w:hAnsi="Tahoma" w:cs="Tahoma"/>
      <w:sz w:val="16"/>
      <w:szCs w:val="16"/>
      <w:lang w:eastAsia="en-US"/>
    </w:rPr>
  </w:style>
  <w:style w:type="table" w:styleId="TableGrid">
    <w:name w:val="Table Grid"/>
    <w:basedOn w:val="TableNormal"/>
    <w:uiPriority w:val="59"/>
    <w:rsid w:val="00DF4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45C6C"/>
    <w:rPr>
      <w:b/>
      <w:bCs/>
    </w:rPr>
  </w:style>
  <w:style w:type="character" w:customStyle="1" w:styleId="CommentSubjectChar">
    <w:name w:val="Comment Subject Char"/>
    <w:basedOn w:val="CommentTextChar"/>
    <w:link w:val="CommentSubject"/>
    <w:uiPriority w:val="99"/>
    <w:semiHidden/>
    <w:rsid w:val="00245C6C"/>
    <w:rPr>
      <w:rFonts w:ascii="Arial" w:hAnsi="Arial"/>
      <w:b/>
      <w:bCs/>
      <w:lang w:eastAsia="en-US"/>
    </w:rPr>
  </w:style>
  <w:style w:type="character" w:styleId="Hyperlink">
    <w:name w:val="Hyperlink"/>
    <w:basedOn w:val="DefaultParagraphFont"/>
    <w:uiPriority w:val="99"/>
    <w:unhideWhenUsed/>
    <w:rsid w:val="000E709D"/>
    <w:rPr>
      <w:color w:val="0000FF" w:themeColor="hyperlink"/>
      <w:u w:val="single"/>
    </w:rPr>
  </w:style>
  <w:style w:type="character" w:styleId="FollowedHyperlink">
    <w:name w:val="FollowedHyperlink"/>
    <w:basedOn w:val="DefaultParagraphFont"/>
    <w:uiPriority w:val="99"/>
    <w:semiHidden/>
    <w:unhideWhenUsed/>
    <w:rsid w:val="000E70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98"/>
    <w:rPr>
      <w:rFonts w:ascii="Arial" w:hAnsi="Arial"/>
      <w:sz w:val="22"/>
      <w:lang w:eastAsia="en-US"/>
    </w:rPr>
  </w:style>
  <w:style w:type="paragraph" w:styleId="Heading1">
    <w:name w:val="heading 1"/>
    <w:aliases w:val="h1,c"/>
    <w:basedOn w:val="Normal"/>
    <w:next w:val="Normal"/>
    <w:link w:val="Heading1Char"/>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FD16BC"/>
    <w:pPr>
      <w:keepNext/>
      <w:spacing w:before="240" w:after="60"/>
      <w:outlineLvl w:val="2"/>
    </w:pPr>
    <w:rPr>
      <w:rFonts w:cs="Arial"/>
      <w:b/>
      <w:bCs/>
      <w:szCs w:val="26"/>
    </w:rPr>
  </w:style>
  <w:style w:type="paragraph" w:styleId="Heading5">
    <w:name w:val="heading 5"/>
    <w:aliases w:val="s,ActHead 5"/>
    <w:basedOn w:val="Normal"/>
    <w:next w:val="Normal"/>
    <w:link w:val="Heading5Char"/>
    <w:uiPriority w:val="9"/>
    <w:qFormat/>
    <w:rsid w:val="002E3B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
    <w:rsid w:val="002E3B98"/>
    <w:rPr>
      <w:rFonts w:ascii="Arial" w:hAnsi="Arial"/>
      <w:b/>
      <w:bCs/>
      <w:i/>
      <w:iCs/>
      <w:sz w:val="26"/>
      <w:szCs w:val="26"/>
      <w:lang w:eastAsia="en-US"/>
    </w:rPr>
  </w:style>
  <w:style w:type="character" w:customStyle="1" w:styleId="Heading1Char">
    <w:name w:val="Heading 1 Char"/>
    <w:aliases w:val="h1 Char,c Char"/>
    <w:basedOn w:val="DefaultParagraphFont"/>
    <w:link w:val="Heading1"/>
    <w:rsid w:val="002E3B98"/>
    <w:rPr>
      <w:rFonts w:ascii="Arial" w:eastAsia="Batang" w:hAnsi="Arial" w:cs="Arial"/>
      <w:b/>
      <w:bCs/>
      <w:sz w:val="28"/>
      <w:szCs w:val="32"/>
      <w:lang w:eastAsia="en-US"/>
    </w:rPr>
  </w:style>
  <w:style w:type="character" w:customStyle="1" w:styleId="Heading3Char">
    <w:name w:val="Heading 3 Char"/>
    <w:aliases w:val="h3 Char,d Char"/>
    <w:basedOn w:val="DefaultParagraphFont"/>
    <w:link w:val="Heading3"/>
    <w:rsid w:val="002E3B98"/>
    <w:rPr>
      <w:rFonts w:ascii="Arial" w:hAnsi="Arial" w:cs="Arial"/>
      <w:b/>
      <w:bCs/>
      <w:sz w:val="22"/>
      <w:szCs w:val="26"/>
      <w:lang w:eastAsia="en-US"/>
    </w:rPr>
  </w:style>
  <w:style w:type="paragraph" w:styleId="Header">
    <w:name w:val="header"/>
    <w:basedOn w:val="Normal"/>
    <w:link w:val="HeaderChar"/>
    <w:rsid w:val="002E3B98"/>
    <w:pPr>
      <w:tabs>
        <w:tab w:val="center" w:pos="4153"/>
        <w:tab w:val="right" w:pos="8306"/>
      </w:tabs>
    </w:pPr>
  </w:style>
  <w:style w:type="character" w:customStyle="1" w:styleId="HeaderChar">
    <w:name w:val="Header Char"/>
    <w:basedOn w:val="DefaultParagraphFont"/>
    <w:link w:val="Header"/>
    <w:rsid w:val="002E3B98"/>
    <w:rPr>
      <w:rFonts w:ascii="Arial" w:hAnsi="Arial"/>
      <w:sz w:val="22"/>
      <w:lang w:eastAsia="en-US"/>
    </w:rPr>
  </w:style>
  <w:style w:type="paragraph" w:styleId="Footer">
    <w:name w:val="footer"/>
    <w:basedOn w:val="Normal"/>
    <w:link w:val="FooterChar"/>
    <w:rsid w:val="002E3B98"/>
    <w:pPr>
      <w:tabs>
        <w:tab w:val="center" w:pos="4153"/>
        <w:tab w:val="right" w:pos="8306"/>
      </w:tabs>
      <w:jc w:val="right"/>
    </w:pPr>
    <w:rPr>
      <w:rFonts w:ascii="Calibri" w:hAnsi="Calibri"/>
      <w:color w:val="808080"/>
      <w:sz w:val="20"/>
    </w:rPr>
  </w:style>
  <w:style w:type="character" w:customStyle="1" w:styleId="FooterChar">
    <w:name w:val="Footer Char"/>
    <w:basedOn w:val="DefaultParagraphFont"/>
    <w:link w:val="Footer"/>
    <w:rsid w:val="002E3B98"/>
    <w:rPr>
      <w:rFonts w:ascii="Calibri" w:hAnsi="Calibri"/>
      <w:color w:val="808080"/>
      <w:lang w:eastAsia="en-US"/>
    </w:rPr>
  </w:style>
  <w:style w:type="character" w:styleId="PageNumber">
    <w:name w:val="page number"/>
    <w:basedOn w:val="DefaultParagraphFont"/>
    <w:uiPriority w:val="99"/>
    <w:rsid w:val="002E3B98"/>
    <w:rPr>
      <w:rFonts w:cs="Times New Roman"/>
    </w:rPr>
  </w:style>
  <w:style w:type="character" w:styleId="CommentReference">
    <w:name w:val="annotation reference"/>
    <w:basedOn w:val="DefaultParagraphFont"/>
    <w:uiPriority w:val="99"/>
    <w:rsid w:val="002E3B98"/>
    <w:rPr>
      <w:rFonts w:cs="Times New Roman"/>
      <w:sz w:val="16"/>
      <w:szCs w:val="16"/>
    </w:rPr>
  </w:style>
  <w:style w:type="paragraph" w:styleId="CommentText">
    <w:name w:val="annotation text"/>
    <w:basedOn w:val="Normal"/>
    <w:link w:val="CommentTextChar"/>
    <w:uiPriority w:val="99"/>
    <w:rsid w:val="002E3B98"/>
    <w:rPr>
      <w:sz w:val="20"/>
    </w:rPr>
  </w:style>
  <w:style w:type="character" w:customStyle="1" w:styleId="CommentTextChar">
    <w:name w:val="Comment Text Char"/>
    <w:basedOn w:val="DefaultParagraphFont"/>
    <w:link w:val="CommentText"/>
    <w:uiPriority w:val="99"/>
    <w:rsid w:val="002E3B98"/>
    <w:rPr>
      <w:rFonts w:ascii="Arial" w:hAnsi="Arial"/>
      <w:lang w:eastAsia="en-US"/>
    </w:rPr>
  </w:style>
  <w:style w:type="paragraph" w:styleId="BalloonText">
    <w:name w:val="Balloon Text"/>
    <w:basedOn w:val="Normal"/>
    <w:link w:val="BalloonTextChar"/>
    <w:uiPriority w:val="99"/>
    <w:semiHidden/>
    <w:unhideWhenUsed/>
    <w:rsid w:val="002E3B98"/>
    <w:rPr>
      <w:rFonts w:ascii="Tahoma" w:hAnsi="Tahoma" w:cs="Tahoma"/>
      <w:sz w:val="16"/>
      <w:szCs w:val="16"/>
    </w:rPr>
  </w:style>
  <w:style w:type="character" w:customStyle="1" w:styleId="BalloonTextChar">
    <w:name w:val="Balloon Text Char"/>
    <w:basedOn w:val="DefaultParagraphFont"/>
    <w:link w:val="BalloonText"/>
    <w:uiPriority w:val="99"/>
    <w:semiHidden/>
    <w:rsid w:val="002E3B98"/>
    <w:rPr>
      <w:rFonts w:ascii="Tahoma" w:hAnsi="Tahoma" w:cs="Tahoma"/>
      <w:sz w:val="16"/>
      <w:szCs w:val="16"/>
      <w:lang w:eastAsia="en-US"/>
    </w:rPr>
  </w:style>
  <w:style w:type="table" w:styleId="TableGrid">
    <w:name w:val="Table Grid"/>
    <w:basedOn w:val="TableNormal"/>
    <w:uiPriority w:val="59"/>
    <w:rsid w:val="00DF4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45C6C"/>
    <w:rPr>
      <w:b/>
      <w:bCs/>
    </w:rPr>
  </w:style>
  <w:style w:type="character" w:customStyle="1" w:styleId="CommentSubjectChar">
    <w:name w:val="Comment Subject Char"/>
    <w:basedOn w:val="CommentTextChar"/>
    <w:link w:val="CommentSubject"/>
    <w:uiPriority w:val="99"/>
    <w:semiHidden/>
    <w:rsid w:val="00245C6C"/>
    <w:rPr>
      <w:rFonts w:ascii="Arial" w:hAnsi="Arial"/>
      <w:b/>
      <w:bCs/>
      <w:lang w:eastAsia="en-US"/>
    </w:rPr>
  </w:style>
  <w:style w:type="character" w:styleId="Hyperlink">
    <w:name w:val="Hyperlink"/>
    <w:basedOn w:val="DefaultParagraphFont"/>
    <w:uiPriority w:val="99"/>
    <w:unhideWhenUsed/>
    <w:rsid w:val="000E709D"/>
    <w:rPr>
      <w:color w:val="0000FF" w:themeColor="hyperlink"/>
      <w:u w:val="single"/>
    </w:rPr>
  </w:style>
  <w:style w:type="character" w:styleId="FollowedHyperlink">
    <w:name w:val="FollowedHyperlink"/>
    <w:basedOn w:val="DefaultParagraphFont"/>
    <w:uiPriority w:val="99"/>
    <w:semiHidden/>
    <w:unhideWhenUsed/>
    <w:rsid w:val="000E7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novation.gov.au/HigherEducation/StudentSupport/Pages/ApprovedInstitutionsAndCoursesForStudentIncomeSupport.aspx" TargetMode="External"/><Relationship Id="rId4" Type="http://schemas.microsoft.com/office/2007/relationships/stylesWithEffects" Target="stylesWithEffects.xml"/><Relationship Id="rId9" Type="http://schemas.openxmlformats.org/officeDocument/2006/relationships/hyperlink" Target="http://www.innovation.gov.au/HigherEducation/StudentSupport/Pages/ApprovedInstitutionsAndCoursesForStudentIncomeSuppor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C002-F53B-4C23-AC69-7F5568C9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Ishani Jayaweera</dc:creator>
  <cp:lastModifiedBy>Bronwyn,Hull</cp:lastModifiedBy>
  <cp:revision>13</cp:revision>
  <cp:lastPrinted>2012-12-09T21:51:00Z</cp:lastPrinted>
  <dcterms:created xsi:type="dcterms:W3CDTF">2012-12-06T22:10:00Z</dcterms:created>
  <dcterms:modified xsi:type="dcterms:W3CDTF">2012-12-19T06:29:00Z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