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4A" w:rsidRPr="00092561" w:rsidRDefault="009E17B4" w:rsidP="008A1D58">
      <w:pPr>
        <w:jc w:val="center"/>
        <w:rPr>
          <w:rFonts w:ascii="Arial" w:hAnsi="Arial" w:cs="Arial"/>
          <w:b/>
        </w:rPr>
      </w:pPr>
      <w:r w:rsidRPr="009E17B4">
        <w:rPr>
          <w:rFonts w:ascii="Arial" w:hAnsi="Arial" w:cs="Arial"/>
          <w:b/>
        </w:rPr>
        <w:t>EXPLANATORY STATEMENT</w:t>
      </w:r>
    </w:p>
    <w:p w:rsidR="00965530" w:rsidRDefault="009E17B4" w:rsidP="008A1D58">
      <w:pPr>
        <w:jc w:val="center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Issued by the Australian Communications and Media Authority</w:t>
      </w:r>
    </w:p>
    <w:p w:rsidR="00172222" w:rsidRPr="00C173D7" w:rsidRDefault="00172222" w:rsidP="008A1D58">
      <w:pPr>
        <w:jc w:val="center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i/>
          <w:sz w:val="20"/>
          <w:szCs w:val="20"/>
        </w:rPr>
        <w:t>Radiocommunications Act 1992</w:t>
      </w:r>
    </w:p>
    <w:p w:rsidR="00570FBD" w:rsidRPr="00C173D7" w:rsidRDefault="009E17B4" w:rsidP="008A1D58">
      <w:pPr>
        <w:spacing w:before="200" w:after="0"/>
        <w:jc w:val="center"/>
        <w:rPr>
          <w:rFonts w:ascii="Arial" w:hAnsi="Arial" w:cs="Arial"/>
          <w:i/>
          <w:sz w:val="20"/>
          <w:szCs w:val="20"/>
        </w:rPr>
      </w:pPr>
      <w:r w:rsidRPr="009E17B4">
        <w:rPr>
          <w:rFonts w:ascii="Arial" w:hAnsi="Arial" w:cs="Arial"/>
          <w:i/>
          <w:sz w:val="20"/>
          <w:szCs w:val="20"/>
        </w:rPr>
        <w:t>Radiocommunications (Spectrum Access Charge</w:t>
      </w:r>
      <w:r w:rsidR="00F37CAF">
        <w:rPr>
          <w:rFonts w:ascii="Arial" w:hAnsi="Arial" w:cs="Arial"/>
          <w:i/>
          <w:sz w:val="20"/>
          <w:szCs w:val="20"/>
        </w:rPr>
        <w:t>s</w:t>
      </w:r>
      <w:r w:rsidRPr="009E17B4">
        <w:rPr>
          <w:rFonts w:ascii="Arial" w:hAnsi="Arial" w:cs="Arial"/>
          <w:i/>
          <w:sz w:val="20"/>
          <w:szCs w:val="20"/>
        </w:rPr>
        <w:t xml:space="preserve"> – </w:t>
      </w:r>
      <w:r w:rsidR="00CC0643">
        <w:rPr>
          <w:rFonts w:ascii="Arial" w:hAnsi="Arial" w:cs="Arial"/>
          <w:i/>
          <w:sz w:val="20"/>
          <w:szCs w:val="20"/>
        </w:rPr>
        <w:t>1</w:t>
      </w:r>
      <w:r w:rsidRPr="009E17B4">
        <w:rPr>
          <w:rFonts w:ascii="Arial" w:hAnsi="Arial" w:cs="Arial"/>
          <w:i/>
          <w:sz w:val="20"/>
          <w:szCs w:val="20"/>
        </w:rPr>
        <w:t>800 MHz Band) Determination 2012 (No. 1)</w:t>
      </w:r>
    </w:p>
    <w:p w:rsidR="007F3562" w:rsidRDefault="007F3562">
      <w:pPr>
        <w:jc w:val="both"/>
        <w:rPr>
          <w:rFonts w:ascii="Arial" w:hAnsi="Arial" w:cs="Arial"/>
          <w:i/>
          <w:sz w:val="20"/>
          <w:szCs w:val="20"/>
        </w:rPr>
      </w:pPr>
    </w:p>
    <w:p w:rsidR="007F3562" w:rsidRDefault="00E93959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>Purpose</w:t>
      </w:r>
    </w:p>
    <w:p w:rsidR="007F3562" w:rsidRDefault="00E93959">
      <w:pPr>
        <w:spacing w:before="200" w:after="0"/>
        <w:jc w:val="both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The purpose </w:t>
      </w:r>
      <w:r w:rsidRPr="00C173D7">
        <w:rPr>
          <w:rFonts w:ascii="Arial" w:hAnsi="Arial" w:cs="Arial"/>
          <w:sz w:val="20"/>
          <w:szCs w:val="20"/>
        </w:rPr>
        <w:t xml:space="preserve">of the </w:t>
      </w:r>
      <w:r w:rsidR="009E17B4" w:rsidRPr="009E17B4">
        <w:rPr>
          <w:rFonts w:ascii="Arial" w:hAnsi="Arial" w:cs="Arial"/>
          <w:i/>
          <w:sz w:val="20"/>
          <w:szCs w:val="20"/>
        </w:rPr>
        <w:t>Radiocommunications (Spectrum Access Charge</w:t>
      </w:r>
      <w:r w:rsidR="00F37CAF">
        <w:rPr>
          <w:rFonts w:ascii="Arial" w:hAnsi="Arial" w:cs="Arial"/>
          <w:i/>
          <w:sz w:val="20"/>
          <w:szCs w:val="20"/>
        </w:rPr>
        <w:t>s</w:t>
      </w:r>
      <w:r w:rsidR="009E17B4" w:rsidRPr="009E17B4">
        <w:rPr>
          <w:rFonts w:ascii="Arial" w:hAnsi="Arial" w:cs="Arial"/>
          <w:i/>
          <w:sz w:val="20"/>
          <w:szCs w:val="20"/>
        </w:rPr>
        <w:t xml:space="preserve"> – </w:t>
      </w:r>
      <w:r w:rsidR="00CC0643">
        <w:rPr>
          <w:rFonts w:ascii="Arial" w:hAnsi="Arial" w:cs="Arial"/>
          <w:i/>
          <w:sz w:val="20"/>
          <w:szCs w:val="20"/>
        </w:rPr>
        <w:t>1</w:t>
      </w:r>
      <w:r w:rsidR="009E17B4" w:rsidRPr="009E17B4">
        <w:rPr>
          <w:rFonts w:ascii="Arial" w:hAnsi="Arial" w:cs="Arial"/>
          <w:i/>
          <w:sz w:val="20"/>
          <w:szCs w:val="20"/>
        </w:rPr>
        <w:t>800 MHz Band) Determination</w:t>
      </w:r>
      <w:r w:rsidR="00E817E3">
        <w:rPr>
          <w:rFonts w:ascii="Arial" w:hAnsi="Arial" w:cs="Arial"/>
          <w:i/>
          <w:sz w:val="20"/>
          <w:szCs w:val="20"/>
        </w:rPr>
        <w:t xml:space="preserve"> </w:t>
      </w:r>
      <w:r w:rsidR="009E17B4" w:rsidRPr="009E17B4">
        <w:rPr>
          <w:rFonts w:ascii="Arial" w:hAnsi="Arial" w:cs="Arial"/>
          <w:i/>
          <w:sz w:val="20"/>
          <w:szCs w:val="20"/>
        </w:rPr>
        <w:t>2012 (No. 1)</w:t>
      </w:r>
      <w:r w:rsidR="009E17B4" w:rsidRPr="009E17B4">
        <w:rPr>
          <w:rFonts w:ascii="Arial" w:hAnsi="Arial" w:cs="Arial"/>
          <w:sz w:val="20"/>
          <w:szCs w:val="20"/>
        </w:rPr>
        <w:t xml:space="preserve"> (the Determination) is to</w:t>
      </w:r>
      <w:r w:rsidR="00CD4852">
        <w:rPr>
          <w:rFonts w:ascii="Arial" w:hAnsi="Arial" w:cs="Arial"/>
          <w:sz w:val="20"/>
          <w:szCs w:val="20"/>
        </w:rPr>
        <w:t xml:space="preserve"> </w:t>
      </w:r>
      <w:r w:rsidR="00F37CAF">
        <w:rPr>
          <w:rFonts w:ascii="Arial" w:hAnsi="Arial" w:cs="Arial"/>
          <w:sz w:val="20"/>
          <w:szCs w:val="20"/>
        </w:rPr>
        <w:t>fix</w:t>
      </w:r>
      <w:r w:rsidR="00E817E3">
        <w:rPr>
          <w:rFonts w:ascii="Arial" w:hAnsi="Arial" w:cs="Arial"/>
          <w:sz w:val="20"/>
          <w:szCs w:val="20"/>
        </w:rPr>
        <w:t xml:space="preserve"> spectrum access charges </w:t>
      </w:r>
      <w:r w:rsidR="00F37CAF">
        <w:rPr>
          <w:rFonts w:ascii="Arial" w:hAnsi="Arial" w:cs="Arial"/>
          <w:sz w:val="20"/>
          <w:szCs w:val="20"/>
        </w:rPr>
        <w:t xml:space="preserve">payable by licensees </w:t>
      </w:r>
      <w:r w:rsidR="00E817E3">
        <w:rPr>
          <w:rFonts w:ascii="Arial" w:hAnsi="Arial" w:cs="Arial"/>
          <w:sz w:val="20"/>
          <w:szCs w:val="20"/>
        </w:rPr>
        <w:t xml:space="preserve">for </w:t>
      </w:r>
      <w:r w:rsidR="00827697">
        <w:rPr>
          <w:rFonts w:ascii="Arial" w:hAnsi="Arial" w:cs="Arial"/>
          <w:sz w:val="20"/>
          <w:szCs w:val="20"/>
        </w:rPr>
        <w:t xml:space="preserve">the re-issue of </w:t>
      </w:r>
      <w:r w:rsidR="00E817E3">
        <w:rPr>
          <w:rFonts w:ascii="Arial" w:hAnsi="Arial" w:cs="Arial"/>
          <w:sz w:val="20"/>
          <w:szCs w:val="20"/>
        </w:rPr>
        <w:t xml:space="preserve">expiring spectrum licences in the </w:t>
      </w:r>
      <w:r w:rsidR="00CC0643">
        <w:rPr>
          <w:rFonts w:ascii="Arial" w:hAnsi="Arial" w:cs="Arial"/>
          <w:sz w:val="20"/>
          <w:szCs w:val="20"/>
        </w:rPr>
        <w:t>1</w:t>
      </w:r>
      <w:r w:rsidR="00E817E3">
        <w:rPr>
          <w:rFonts w:ascii="Arial" w:hAnsi="Arial" w:cs="Arial"/>
          <w:sz w:val="20"/>
          <w:szCs w:val="20"/>
        </w:rPr>
        <w:t>800 MHz band.</w:t>
      </w:r>
    </w:p>
    <w:p w:rsidR="007F3562" w:rsidRDefault="007F3562">
      <w:pPr>
        <w:jc w:val="both"/>
        <w:rPr>
          <w:rFonts w:ascii="Arial" w:hAnsi="Arial" w:cs="Arial"/>
          <w:b/>
        </w:rPr>
      </w:pPr>
    </w:p>
    <w:p w:rsidR="007F3562" w:rsidRDefault="009E17B4">
      <w:pPr>
        <w:jc w:val="both"/>
        <w:rPr>
          <w:rFonts w:ascii="Arial" w:hAnsi="Arial" w:cs="Arial"/>
          <w:b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Legislative Provisions</w:t>
      </w:r>
    </w:p>
    <w:p w:rsidR="007F3562" w:rsidRDefault="009E17B4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S</w:t>
      </w:r>
      <w:r w:rsidR="00F37CAF">
        <w:rPr>
          <w:rFonts w:ascii="Arial" w:hAnsi="Arial" w:cs="Arial"/>
          <w:sz w:val="20"/>
          <w:szCs w:val="20"/>
        </w:rPr>
        <w:t>ubs</w:t>
      </w:r>
      <w:r w:rsidRPr="009E17B4">
        <w:rPr>
          <w:rFonts w:ascii="Arial" w:hAnsi="Arial" w:cs="Arial"/>
          <w:sz w:val="20"/>
          <w:szCs w:val="20"/>
        </w:rPr>
        <w:t xml:space="preserve">ection 82(1) of the </w:t>
      </w:r>
      <w:r w:rsidR="00C22E1C" w:rsidRPr="00C22E1C">
        <w:rPr>
          <w:rFonts w:ascii="Arial" w:hAnsi="Arial" w:cs="Arial"/>
          <w:i/>
          <w:sz w:val="20"/>
          <w:szCs w:val="20"/>
        </w:rPr>
        <w:t>Radiocommunications Act 1992</w:t>
      </w:r>
      <w:r w:rsidR="00817A75">
        <w:rPr>
          <w:rFonts w:ascii="Arial" w:hAnsi="Arial" w:cs="Arial"/>
          <w:sz w:val="20"/>
          <w:szCs w:val="20"/>
        </w:rPr>
        <w:t xml:space="preserve"> (the </w:t>
      </w:r>
      <w:r w:rsidRPr="009E17B4">
        <w:rPr>
          <w:rFonts w:ascii="Arial" w:hAnsi="Arial" w:cs="Arial"/>
          <w:sz w:val="20"/>
          <w:szCs w:val="20"/>
        </w:rPr>
        <w:t>Act</w:t>
      </w:r>
      <w:r w:rsidR="00817A75">
        <w:rPr>
          <w:rFonts w:ascii="Arial" w:hAnsi="Arial" w:cs="Arial"/>
          <w:sz w:val="20"/>
          <w:szCs w:val="20"/>
        </w:rPr>
        <w:t>)</w:t>
      </w:r>
      <w:r w:rsidRPr="009E17B4">
        <w:rPr>
          <w:rFonts w:ascii="Arial" w:hAnsi="Arial" w:cs="Arial"/>
          <w:sz w:val="20"/>
          <w:szCs w:val="20"/>
        </w:rPr>
        <w:t xml:space="preserve"> provides for the </w:t>
      </w:r>
      <w:r w:rsidR="00EE7F65" w:rsidRPr="00EE7F65">
        <w:rPr>
          <w:rFonts w:ascii="Arial" w:hAnsi="Arial" w:cs="Arial"/>
          <w:sz w:val="20"/>
          <w:szCs w:val="20"/>
        </w:rPr>
        <w:t xml:space="preserve">Australian Communications and Media Authority </w:t>
      </w:r>
      <w:r w:rsidR="00EE7F65">
        <w:rPr>
          <w:rFonts w:ascii="Arial" w:hAnsi="Arial" w:cs="Arial"/>
          <w:sz w:val="20"/>
          <w:szCs w:val="20"/>
        </w:rPr>
        <w:t>(</w:t>
      </w:r>
      <w:r w:rsidR="00B56F67">
        <w:rPr>
          <w:rFonts w:ascii="Arial" w:hAnsi="Arial" w:cs="Arial"/>
          <w:sz w:val="20"/>
          <w:szCs w:val="20"/>
        </w:rPr>
        <w:t xml:space="preserve">the </w:t>
      </w:r>
      <w:r w:rsidRPr="009E17B4">
        <w:rPr>
          <w:rFonts w:ascii="Arial" w:hAnsi="Arial" w:cs="Arial"/>
          <w:sz w:val="20"/>
          <w:szCs w:val="20"/>
        </w:rPr>
        <w:t>ACMA</w:t>
      </w:r>
      <w:r w:rsidR="00EE7F65">
        <w:rPr>
          <w:rFonts w:ascii="Arial" w:hAnsi="Arial" w:cs="Arial"/>
          <w:sz w:val="20"/>
          <w:szCs w:val="20"/>
        </w:rPr>
        <w:t>)</w:t>
      </w:r>
      <w:r w:rsidRPr="009E17B4">
        <w:rPr>
          <w:rFonts w:ascii="Arial" w:hAnsi="Arial" w:cs="Arial"/>
          <w:sz w:val="20"/>
          <w:szCs w:val="20"/>
        </w:rPr>
        <w:t xml:space="preserve"> to re-issue a spectrum licence to the person to whom it was previously issued if the licence was used in the provision of a service included in a class of services specified in a determination under subsection 82(3) of the Act; or the ACMA is satisfied that special circumstances exist as a result of which it is in the public interest for that person to continue to hold the licence.</w:t>
      </w:r>
    </w:p>
    <w:p w:rsidR="007F3562" w:rsidRDefault="009E17B4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S</w:t>
      </w:r>
      <w:r w:rsidR="00F37CAF">
        <w:rPr>
          <w:rFonts w:ascii="Arial" w:hAnsi="Arial" w:cs="Arial"/>
          <w:sz w:val="20"/>
          <w:szCs w:val="20"/>
        </w:rPr>
        <w:t>ubs</w:t>
      </w:r>
      <w:r w:rsidRPr="009E17B4">
        <w:rPr>
          <w:rFonts w:ascii="Arial" w:hAnsi="Arial" w:cs="Arial"/>
          <w:sz w:val="20"/>
          <w:szCs w:val="20"/>
        </w:rPr>
        <w:t>ection 82(3) of the Act provides for the Minister to determine, by written instrument, a specified class of services for which re-issuing spectrum licences to the same licensees would be in the public interest.</w:t>
      </w:r>
    </w:p>
    <w:p w:rsidR="007F3562" w:rsidRDefault="009E17B4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 xml:space="preserve">Subsection 294(1) of the Act </w:t>
      </w:r>
      <w:r w:rsidR="00495E12">
        <w:rPr>
          <w:rFonts w:ascii="Arial" w:hAnsi="Arial" w:cs="Arial"/>
          <w:sz w:val="20"/>
          <w:szCs w:val="20"/>
        </w:rPr>
        <w:t>empowers</w:t>
      </w:r>
      <w:r w:rsidRPr="009E17B4">
        <w:rPr>
          <w:rFonts w:ascii="Arial" w:hAnsi="Arial" w:cs="Arial"/>
          <w:sz w:val="20"/>
          <w:szCs w:val="20"/>
        </w:rPr>
        <w:t xml:space="preserve"> the ACMA </w:t>
      </w:r>
      <w:r w:rsidR="00495E12">
        <w:rPr>
          <w:rFonts w:ascii="Arial" w:hAnsi="Arial" w:cs="Arial"/>
          <w:sz w:val="20"/>
          <w:szCs w:val="20"/>
        </w:rPr>
        <w:t xml:space="preserve">to </w:t>
      </w:r>
      <w:r w:rsidRPr="009E17B4">
        <w:rPr>
          <w:rFonts w:ascii="Arial" w:hAnsi="Arial" w:cs="Arial"/>
          <w:sz w:val="20"/>
          <w:szCs w:val="20"/>
        </w:rPr>
        <w:t>make determinations to fix spectrum access charges payable by licensees for re-issuing spectrum licen</w:t>
      </w:r>
      <w:r w:rsidR="00F37CAF">
        <w:rPr>
          <w:rFonts w:ascii="Arial" w:hAnsi="Arial" w:cs="Arial"/>
          <w:sz w:val="20"/>
          <w:szCs w:val="20"/>
        </w:rPr>
        <w:t>c</w:t>
      </w:r>
      <w:r w:rsidRPr="009E17B4">
        <w:rPr>
          <w:rFonts w:ascii="Arial" w:hAnsi="Arial" w:cs="Arial"/>
          <w:sz w:val="20"/>
          <w:szCs w:val="20"/>
        </w:rPr>
        <w:t>es and specify the times when spectrum access charges are payable.</w:t>
      </w:r>
    </w:p>
    <w:p w:rsidR="007F3562" w:rsidRDefault="009E17B4">
      <w:pPr>
        <w:jc w:val="both"/>
        <w:rPr>
          <w:rFonts w:ascii="Arial" w:hAnsi="Arial" w:cs="Arial"/>
        </w:rPr>
      </w:pPr>
      <w:r w:rsidRPr="009E17B4">
        <w:rPr>
          <w:rFonts w:ascii="Arial" w:hAnsi="Arial" w:cs="Arial"/>
          <w:sz w:val="20"/>
          <w:szCs w:val="20"/>
        </w:rPr>
        <w:t>Subsection 294(2) of the Act allows the Minister to give written directions to the ACMA about the matters dealt with in determinations.</w:t>
      </w:r>
    </w:p>
    <w:p w:rsidR="007F3562" w:rsidRDefault="00E93959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The Determination is a legislative instrument under the </w:t>
      </w:r>
      <w:r w:rsidRPr="00092561">
        <w:rPr>
          <w:rFonts w:ascii="Arial" w:hAnsi="Arial" w:cs="Arial"/>
          <w:i/>
          <w:sz w:val="20"/>
          <w:szCs w:val="20"/>
        </w:rPr>
        <w:t xml:space="preserve">Legislative Instruments Act 2003. </w:t>
      </w:r>
    </w:p>
    <w:p w:rsidR="007F3562" w:rsidRDefault="009E17B4">
      <w:pPr>
        <w:jc w:val="both"/>
        <w:rPr>
          <w:rFonts w:ascii="Arial" w:hAnsi="Arial" w:cs="Arial"/>
          <w:b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Background</w:t>
      </w:r>
    </w:p>
    <w:p w:rsidR="007F3562" w:rsidRDefault="004236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Spectrum licences in the 1800 MHz band were auctioned from 1998 onwards and will expire in two tranches</w:t>
      </w:r>
      <w:r w:rsidR="009E17B4" w:rsidRPr="009E17B4">
        <w:rPr>
          <w:rFonts w:ascii="Arial" w:hAnsi="Arial" w:cs="Arial"/>
          <w:sz w:val="20"/>
          <w:szCs w:val="20"/>
        </w:rPr>
        <w:t>.  The</w:t>
      </w:r>
      <w:r w:rsidR="00B56F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tranche of </w:t>
      </w:r>
      <w:r w:rsidR="009E17B4" w:rsidRPr="009E17B4">
        <w:rPr>
          <w:rFonts w:ascii="Arial" w:hAnsi="Arial" w:cs="Arial"/>
          <w:sz w:val="20"/>
          <w:szCs w:val="20"/>
        </w:rPr>
        <w:t xml:space="preserve">current spectrum licences </w:t>
      </w:r>
      <w:r w:rsidR="00495E12">
        <w:rPr>
          <w:rFonts w:ascii="Arial" w:hAnsi="Arial" w:cs="Arial"/>
          <w:sz w:val="20"/>
          <w:szCs w:val="20"/>
        </w:rPr>
        <w:t>covered by the</w:t>
      </w:r>
      <w:r>
        <w:rPr>
          <w:rFonts w:ascii="Arial" w:hAnsi="Arial" w:cs="Arial"/>
          <w:sz w:val="20"/>
          <w:szCs w:val="20"/>
        </w:rPr>
        <w:t xml:space="preserve"> Determination</w:t>
      </w:r>
      <w:r w:rsidR="00E817E3">
        <w:rPr>
          <w:rFonts w:ascii="Arial" w:hAnsi="Arial" w:cs="Arial"/>
          <w:sz w:val="20"/>
          <w:szCs w:val="20"/>
        </w:rPr>
        <w:t xml:space="preserve"> </w:t>
      </w:r>
      <w:r w:rsidR="009E17B4" w:rsidRPr="009E17B4">
        <w:rPr>
          <w:rFonts w:ascii="Arial" w:hAnsi="Arial" w:cs="Arial"/>
          <w:sz w:val="20"/>
          <w:szCs w:val="20"/>
        </w:rPr>
        <w:t>expire on 17 June 2013.</w:t>
      </w:r>
    </w:p>
    <w:p w:rsidR="007F3562" w:rsidRDefault="009E17B4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Under the Act, there are two options available to the ACMA for handling these spectrum licences upon expiry</w:t>
      </w:r>
      <w:r w:rsidR="00495E12">
        <w:rPr>
          <w:rFonts w:ascii="Arial" w:hAnsi="Arial" w:cs="Arial"/>
          <w:sz w:val="20"/>
          <w:szCs w:val="20"/>
        </w:rPr>
        <w:t>. The ACMA may either:</w:t>
      </w:r>
    </w:p>
    <w:p w:rsidR="007F3562" w:rsidRDefault="00495E1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</w:t>
      </w:r>
      <w:r w:rsidR="009E17B4" w:rsidRPr="009E17B4">
        <w:rPr>
          <w:rFonts w:ascii="Arial" w:hAnsi="Arial" w:cs="Arial"/>
          <w:szCs w:val="20"/>
        </w:rPr>
        <w:t>e-issue licences to the same licensees without undertaking a price-based allocation process, if:</w:t>
      </w:r>
    </w:p>
    <w:p w:rsidR="007F3562" w:rsidRDefault="00F37CAF">
      <w:pPr>
        <w:pStyle w:val="ListParagraph"/>
        <w:numPr>
          <w:ilvl w:val="1"/>
          <w:numId w:val="2"/>
        </w:numPr>
        <w:spacing w:after="200" w:line="276" w:lineRule="auto"/>
        <w:ind w:left="993" w:hanging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</w:t>
      </w:r>
      <w:r w:rsidR="009E17B4" w:rsidRPr="009E17B4">
        <w:rPr>
          <w:rFonts w:ascii="Arial" w:hAnsi="Arial" w:cs="Arial"/>
          <w:szCs w:val="20"/>
        </w:rPr>
        <w:t>he licence is used to provide a service which is included in the class of services for which the Minister determines re-issuing licences to the same licensees would be in the public interest (</w:t>
      </w:r>
      <w:r>
        <w:rPr>
          <w:rFonts w:ascii="Arial" w:hAnsi="Arial" w:cs="Arial"/>
          <w:szCs w:val="20"/>
        </w:rPr>
        <w:t>paragraph</w:t>
      </w:r>
      <w:r w:rsidR="009E17B4" w:rsidRPr="009E17B4">
        <w:rPr>
          <w:rFonts w:ascii="Arial" w:hAnsi="Arial" w:cs="Arial"/>
          <w:szCs w:val="20"/>
        </w:rPr>
        <w:t xml:space="preserve"> 82(1)(a) of the Act); or</w:t>
      </w:r>
    </w:p>
    <w:p w:rsidR="007F3562" w:rsidRDefault="00F37CAF">
      <w:pPr>
        <w:pStyle w:val="ListParagraph"/>
        <w:numPr>
          <w:ilvl w:val="1"/>
          <w:numId w:val="2"/>
        </w:numPr>
        <w:spacing w:after="200" w:line="276" w:lineRule="auto"/>
        <w:ind w:left="993" w:hanging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9E17B4" w:rsidRPr="009E17B4">
        <w:rPr>
          <w:rFonts w:ascii="Arial" w:hAnsi="Arial" w:cs="Arial"/>
          <w:szCs w:val="20"/>
        </w:rPr>
        <w:t xml:space="preserve">t is satisfied that special circumstances exist </w:t>
      </w:r>
      <w:r w:rsidR="00527C2B">
        <w:rPr>
          <w:rFonts w:ascii="Arial" w:hAnsi="Arial" w:cs="Arial"/>
          <w:szCs w:val="20"/>
        </w:rPr>
        <w:t>as a result of</w:t>
      </w:r>
      <w:r w:rsidR="00527C2B" w:rsidRPr="009E17B4">
        <w:rPr>
          <w:rFonts w:ascii="Arial" w:hAnsi="Arial" w:cs="Arial"/>
          <w:szCs w:val="20"/>
        </w:rPr>
        <w:t xml:space="preserve"> </w:t>
      </w:r>
      <w:r w:rsidR="009E17B4" w:rsidRPr="009E17B4">
        <w:rPr>
          <w:rFonts w:ascii="Arial" w:hAnsi="Arial" w:cs="Arial"/>
          <w:szCs w:val="20"/>
        </w:rPr>
        <w:t>which it is in the public interest for the existing licensee to continue to hold the licence (</w:t>
      </w:r>
      <w:r>
        <w:rPr>
          <w:rFonts w:ascii="Arial" w:hAnsi="Arial" w:cs="Arial"/>
          <w:szCs w:val="20"/>
        </w:rPr>
        <w:t>paragraph</w:t>
      </w:r>
      <w:r w:rsidR="009E17B4" w:rsidRPr="009E17B4">
        <w:rPr>
          <w:rFonts w:ascii="Arial" w:hAnsi="Arial" w:cs="Arial"/>
          <w:szCs w:val="20"/>
        </w:rPr>
        <w:t xml:space="preserve"> 82(1)(b) of the Act)</w:t>
      </w:r>
      <w:r w:rsidR="00495E12">
        <w:rPr>
          <w:rFonts w:ascii="Arial" w:hAnsi="Arial" w:cs="Arial"/>
          <w:szCs w:val="20"/>
        </w:rPr>
        <w:t>; or</w:t>
      </w:r>
    </w:p>
    <w:p w:rsidR="007F3562" w:rsidRDefault="009E17B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undertake a market-based re-allocation process (generally via auction) in accordance with </w:t>
      </w:r>
      <w:r w:rsidR="00F37CAF">
        <w:rPr>
          <w:rFonts w:ascii="Arial" w:hAnsi="Arial" w:cs="Arial"/>
          <w:szCs w:val="20"/>
        </w:rPr>
        <w:t>s</w:t>
      </w:r>
      <w:r w:rsidRPr="009E17B4">
        <w:rPr>
          <w:rFonts w:ascii="Arial" w:hAnsi="Arial" w:cs="Arial"/>
          <w:szCs w:val="20"/>
        </w:rPr>
        <w:t>ection 60 of the Act.</w:t>
      </w:r>
    </w:p>
    <w:p w:rsidR="007F3562" w:rsidRDefault="009E17B4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lastRenderedPageBreak/>
        <w:t xml:space="preserve">On 9 February 2012, the Minister for Broadband, Communications and the Digital Economy </w:t>
      </w:r>
      <w:r w:rsidR="00014A4A">
        <w:rPr>
          <w:rFonts w:ascii="Arial" w:hAnsi="Arial" w:cs="Arial"/>
          <w:sz w:val="20"/>
          <w:szCs w:val="20"/>
        </w:rPr>
        <w:t xml:space="preserve">(the Minister) </w:t>
      </w:r>
      <w:r w:rsidRPr="009E17B4">
        <w:rPr>
          <w:rFonts w:ascii="Arial" w:hAnsi="Arial" w:cs="Arial"/>
          <w:sz w:val="20"/>
          <w:szCs w:val="20"/>
        </w:rPr>
        <w:t>made a 'class of services' determination (</w:t>
      </w:r>
      <w:r w:rsidRPr="009E17B4">
        <w:rPr>
          <w:rFonts w:ascii="Arial" w:hAnsi="Arial" w:cs="Arial"/>
          <w:i/>
          <w:sz w:val="20"/>
          <w:szCs w:val="20"/>
        </w:rPr>
        <w:t>Radiocommunications (Class of Services) Determination 2012</w:t>
      </w:r>
      <w:r w:rsidRPr="009E17B4">
        <w:rPr>
          <w:rFonts w:ascii="Arial" w:hAnsi="Arial" w:cs="Arial"/>
          <w:sz w:val="20"/>
          <w:szCs w:val="20"/>
        </w:rPr>
        <w:t>).  In this class of services determination, the Minister determine</w:t>
      </w:r>
      <w:r w:rsidR="00F37CAF">
        <w:rPr>
          <w:rFonts w:ascii="Arial" w:hAnsi="Arial" w:cs="Arial"/>
          <w:sz w:val="20"/>
          <w:szCs w:val="20"/>
        </w:rPr>
        <w:t>d</w:t>
      </w:r>
      <w:r w:rsidRPr="009E17B4">
        <w:rPr>
          <w:rFonts w:ascii="Arial" w:hAnsi="Arial" w:cs="Arial"/>
          <w:sz w:val="20"/>
          <w:szCs w:val="20"/>
        </w:rPr>
        <w:t xml:space="preserve"> a specified class of services for which re-issuing spectrum licences to the same licensees would be in the public interest. The class of services include:</w:t>
      </w:r>
    </w:p>
    <w:p w:rsidR="007F3562" w:rsidRDefault="009E17B4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mobile voice and data communications services in the 800 MHz, 1800 MHz and 2 GHz bands; </w:t>
      </w:r>
    </w:p>
    <w:p w:rsidR="007F3562" w:rsidRDefault="009E17B4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>wireless broadband services in the 2.3 GHz</w:t>
      </w:r>
      <w:r w:rsidR="00352AFA">
        <w:rPr>
          <w:rFonts w:ascii="Arial" w:hAnsi="Arial" w:cs="Arial"/>
          <w:szCs w:val="20"/>
        </w:rPr>
        <w:t xml:space="preserve"> and</w:t>
      </w:r>
      <w:r w:rsidRPr="009E17B4">
        <w:rPr>
          <w:rFonts w:ascii="Arial" w:hAnsi="Arial" w:cs="Arial"/>
          <w:szCs w:val="20"/>
        </w:rPr>
        <w:t xml:space="preserve"> 3.4 GHz bands; and </w:t>
      </w:r>
    </w:p>
    <w:p w:rsidR="007F3562" w:rsidRDefault="009E17B4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satellite services in the 27 GHz band. </w:t>
      </w:r>
    </w:p>
    <w:p w:rsidR="007F3562" w:rsidRDefault="007F356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F3562" w:rsidRDefault="009E17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 xml:space="preserve">The making of this class of services determination allowed the ACMA to </w:t>
      </w:r>
      <w:r w:rsidR="00495E12">
        <w:rPr>
          <w:rFonts w:ascii="Arial" w:hAnsi="Arial" w:cs="Arial"/>
          <w:sz w:val="20"/>
          <w:szCs w:val="20"/>
        </w:rPr>
        <w:t>consider,</w:t>
      </w:r>
      <w:r w:rsidRPr="009E17B4">
        <w:rPr>
          <w:rFonts w:ascii="Arial" w:hAnsi="Arial" w:cs="Arial"/>
          <w:sz w:val="20"/>
          <w:szCs w:val="20"/>
        </w:rPr>
        <w:t xml:space="preserve"> under </w:t>
      </w:r>
      <w:r w:rsidR="00352AFA">
        <w:rPr>
          <w:rFonts w:ascii="Arial" w:hAnsi="Arial" w:cs="Arial"/>
          <w:sz w:val="20"/>
          <w:szCs w:val="20"/>
        </w:rPr>
        <w:t>paragraph</w:t>
      </w:r>
      <w:r w:rsidRPr="009E17B4">
        <w:rPr>
          <w:rFonts w:ascii="Arial" w:hAnsi="Arial" w:cs="Arial"/>
          <w:sz w:val="20"/>
          <w:szCs w:val="20"/>
        </w:rPr>
        <w:t xml:space="preserve"> 82(1)(a) of the Act</w:t>
      </w:r>
      <w:r w:rsidR="00495E12">
        <w:rPr>
          <w:rFonts w:ascii="Arial" w:hAnsi="Arial" w:cs="Arial"/>
          <w:sz w:val="20"/>
          <w:szCs w:val="20"/>
        </w:rPr>
        <w:t>,</w:t>
      </w:r>
      <w:r w:rsidRPr="009E17B4">
        <w:rPr>
          <w:rFonts w:ascii="Arial" w:hAnsi="Arial" w:cs="Arial"/>
          <w:sz w:val="20"/>
          <w:szCs w:val="20"/>
        </w:rPr>
        <w:t xml:space="preserve"> whether </w:t>
      </w:r>
      <w:r w:rsidR="006220FC">
        <w:rPr>
          <w:rFonts w:ascii="Arial" w:hAnsi="Arial" w:cs="Arial"/>
          <w:sz w:val="20"/>
          <w:szCs w:val="20"/>
        </w:rPr>
        <w:t>a</w:t>
      </w:r>
      <w:r w:rsidRPr="009E17B4">
        <w:rPr>
          <w:rFonts w:ascii="Arial" w:hAnsi="Arial" w:cs="Arial"/>
          <w:sz w:val="20"/>
          <w:szCs w:val="20"/>
        </w:rPr>
        <w:t xml:space="preserve"> </w:t>
      </w:r>
      <w:r w:rsidR="00352AFA">
        <w:rPr>
          <w:rFonts w:ascii="Arial" w:hAnsi="Arial" w:cs="Arial"/>
          <w:sz w:val="20"/>
          <w:szCs w:val="20"/>
        </w:rPr>
        <w:t xml:space="preserve">licence </w:t>
      </w:r>
      <w:r w:rsidRPr="009E17B4">
        <w:rPr>
          <w:rFonts w:ascii="Arial" w:hAnsi="Arial" w:cs="Arial"/>
          <w:sz w:val="20"/>
          <w:szCs w:val="20"/>
        </w:rPr>
        <w:t xml:space="preserve">has been used to provide a relevant service. In this assessment the ACMA consulted with </w:t>
      </w:r>
      <w:r w:rsidR="00352AFA">
        <w:rPr>
          <w:rFonts w:ascii="Arial" w:hAnsi="Arial" w:cs="Arial"/>
          <w:sz w:val="20"/>
          <w:szCs w:val="20"/>
        </w:rPr>
        <w:t>the existing</w:t>
      </w:r>
      <w:r w:rsidRPr="009E17B4">
        <w:rPr>
          <w:rFonts w:ascii="Arial" w:hAnsi="Arial" w:cs="Arial"/>
          <w:sz w:val="20"/>
          <w:szCs w:val="20"/>
        </w:rPr>
        <w:t xml:space="preserve"> licensees and relied on information they provided</w:t>
      </w:r>
      <w:r w:rsidR="00352AFA">
        <w:rPr>
          <w:rFonts w:ascii="Arial" w:hAnsi="Arial" w:cs="Arial"/>
          <w:sz w:val="20"/>
          <w:szCs w:val="20"/>
        </w:rPr>
        <w:t>,</w:t>
      </w:r>
      <w:r w:rsidRPr="009E17B4">
        <w:rPr>
          <w:rFonts w:ascii="Arial" w:hAnsi="Arial" w:cs="Arial"/>
          <w:sz w:val="20"/>
          <w:szCs w:val="20"/>
        </w:rPr>
        <w:t xml:space="preserve"> including:</w:t>
      </w:r>
    </w:p>
    <w:p w:rsidR="007F3562" w:rsidRDefault="009E17B4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the number of registered and deployed devices under each relevant licence;  </w:t>
      </w:r>
    </w:p>
    <w:p w:rsidR="007F3562" w:rsidRDefault="009E17B4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maps detailing the cumulative coverage area of the services offered by </w:t>
      </w:r>
      <w:r w:rsidR="00495E12">
        <w:rPr>
          <w:rFonts w:ascii="Arial" w:hAnsi="Arial" w:cs="Arial"/>
          <w:szCs w:val="20"/>
        </w:rPr>
        <w:t xml:space="preserve">the </w:t>
      </w:r>
      <w:r w:rsidRPr="009E17B4">
        <w:rPr>
          <w:rFonts w:ascii="Arial" w:hAnsi="Arial" w:cs="Arial"/>
          <w:szCs w:val="20"/>
        </w:rPr>
        <w:t>licensee;</w:t>
      </w:r>
    </w:p>
    <w:p w:rsidR="007F3562" w:rsidRDefault="009E17B4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>information on the types of equipment and technology deployed; and</w:t>
      </w:r>
    </w:p>
    <w:p w:rsidR="007F3562" w:rsidRDefault="009E17B4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links to promotional material regarding relevant services provided by </w:t>
      </w:r>
      <w:r w:rsidR="00495E12">
        <w:rPr>
          <w:rFonts w:ascii="Arial" w:hAnsi="Arial" w:cs="Arial"/>
          <w:szCs w:val="20"/>
        </w:rPr>
        <w:t xml:space="preserve">the </w:t>
      </w:r>
      <w:r w:rsidRPr="009E17B4">
        <w:rPr>
          <w:rFonts w:ascii="Arial" w:hAnsi="Arial" w:cs="Arial"/>
          <w:szCs w:val="20"/>
        </w:rPr>
        <w:t>licensee</w:t>
      </w:r>
      <w:r w:rsidR="00172222">
        <w:rPr>
          <w:rFonts w:ascii="Arial" w:hAnsi="Arial" w:cs="Arial"/>
          <w:szCs w:val="20"/>
        </w:rPr>
        <w:t>.</w:t>
      </w:r>
    </w:p>
    <w:p w:rsidR="007F3562" w:rsidRDefault="007F356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F3562" w:rsidRDefault="009E17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 xml:space="preserve">The licensees for the licences </w:t>
      </w:r>
      <w:r w:rsidR="00495E12">
        <w:rPr>
          <w:rFonts w:ascii="Arial" w:hAnsi="Arial" w:cs="Arial"/>
          <w:sz w:val="20"/>
          <w:szCs w:val="20"/>
        </w:rPr>
        <w:t>covered by</w:t>
      </w:r>
      <w:r w:rsidRPr="009E17B4">
        <w:rPr>
          <w:rFonts w:ascii="Arial" w:hAnsi="Arial" w:cs="Arial"/>
          <w:sz w:val="20"/>
          <w:szCs w:val="20"/>
        </w:rPr>
        <w:t xml:space="preserve"> </w:t>
      </w:r>
      <w:r w:rsidR="00172222">
        <w:rPr>
          <w:rFonts w:ascii="Arial" w:hAnsi="Arial" w:cs="Arial"/>
          <w:sz w:val="20"/>
          <w:szCs w:val="20"/>
        </w:rPr>
        <w:t>the</w:t>
      </w:r>
      <w:r w:rsidR="00172222" w:rsidRPr="009E17B4">
        <w:rPr>
          <w:rFonts w:ascii="Arial" w:hAnsi="Arial" w:cs="Arial"/>
          <w:sz w:val="20"/>
          <w:szCs w:val="20"/>
        </w:rPr>
        <w:t xml:space="preserve"> </w:t>
      </w:r>
      <w:r w:rsidRPr="009E17B4">
        <w:rPr>
          <w:rFonts w:ascii="Arial" w:hAnsi="Arial" w:cs="Arial"/>
          <w:sz w:val="20"/>
          <w:szCs w:val="20"/>
        </w:rPr>
        <w:t xml:space="preserve">Determination </w:t>
      </w:r>
      <w:r w:rsidR="00423620">
        <w:rPr>
          <w:rFonts w:ascii="Arial" w:hAnsi="Arial" w:cs="Arial"/>
          <w:sz w:val="20"/>
          <w:szCs w:val="20"/>
        </w:rPr>
        <w:t>have</w:t>
      </w:r>
      <w:r w:rsidR="00423620" w:rsidRPr="009E17B4">
        <w:rPr>
          <w:rFonts w:ascii="Arial" w:hAnsi="Arial" w:cs="Arial"/>
          <w:sz w:val="20"/>
          <w:szCs w:val="20"/>
        </w:rPr>
        <w:t xml:space="preserve"> </w:t>
      </w:r>
      <w:r w:rsidRPr="009E17B4">
        <w:rPr>
          <w:rFonts w:ascii="Arial" w:hAnsi="Arial" w:cs="Arial"/>
          <w:sz w:val="20"/>
          <w:szCs w:val="20"/>
        </w:rPr>
        <w:t xml:space="preserve">established use </w:t>
      </w:r>
      <w:r w:rsidR="00962800">
        <w:rPr>
          <w:rFonts w:ascii="Arial" w:hAnsi="Arial" w:cs="Arial"/>
          <w:sz w:val="20"/>
          <w:szCs w:val="20"/>
        </w:rPr>
        <w:t>for the purposes of paragraph</w:t>
      </w:r>
      <w:r w:rsidRPr="009E17B4">
        <w:rPr>
          <w:rFonts w:ascii="Arial" w:hAnsi="Arial" w:cs="Arial"/>
          <w:sz w:val="20"/>
          <w:szCs w:val="20"/>
        </w:rPr>
        <w:t xml:space="preserve"> 82(1)(a) of the Act enabling the ACMA to further progress re-issue.</w:t>
      </w:r>
    </w:p>
    <w:p w:rsidR="007F3562" w:rsidRDefault="009E17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 xml:space="preserve">On 9 February 2012 the Minister </w:t>
      </w:r>
      <w:r w:rsidR="00962800">
        <w:rPr>
          <w:rFonts w:ascii="Arial" w:hAnsi="Arial" w:cs="Arial"/>
          <w:sz w:val="20"/>
          <w:szCs w:val="20"/>
        </w:rPr>
        <w:t>gave the ACMA</w:t>
      </w:r>
      <w:r w:rsidRPr="009E17B4">
        <w:rPr>
          <w:rFonts w:ascii="Arial" w:hAnsi="Arial" w:cs="Arial"/>
          <w:sz w:val="20"/>
          <w:szCs w:val="20"/>
        </w:rPr>
        <w:t xml:space="preserve"> a </w:t>
      </w:r>
      <w:r w:rsidR="00495E12">
        <w:rPr>
          <w:rFonts w:ascii="Arial" w:hAnsi="Arial" w:cs="Arial"/>
          <w:sz w:val="20"/>
          <w:szCs w:val="20"/>
        </w:rPr>
        <w:t>d</w:t>
      </w:r>
      <w:r w:rsidRPr="009E17B4">
        <w:rPr>
          <w:rFonts w:ascii="Arial" w:hAnsi="Arial" w:cs="Arial"/>
          <w:sz w:val="20"/>
          <w:szCs w:val="20"/>
        </w:rPr>
        <w:t>irection under subsection 294(2) of the Act (</w:t>
      </w:r>
      <w:r w:rsidRPr="009E17B4">
        <w:rPr>
          <w:rFonts w:ascii="Arial" w:hAnsi="Arial" w:cs="Arial"/>
          <w:i/>
          <w:sz w:val="20"/>
          <w:szCs w:val="20"/>
        </w:rPr>
        <w:t>Radiocommunications (Spectrum Access Charges) Direction 2012</w:t>
      </w:r>
      <w:r w:rsidRPr="009E17B4">
        <w:rPr>
          <w:rFonts w:ascii="Arial" w:hAnsi="Arial" w:cs="Arial"/>
          <w:sz w:val="20"/>
          <w:szCs w:val="20"/>
        </w:rPr>
        <w:t>) (the Minister</w:t>
      </w:r>
      <w:r w:rsidR="0099015E">
        <w:rPr>
          <w:rFonts w:ascii="Arial" w:hAnsi="Arial" w:cs="Arial"/>
          <w:sz w:val="20"/>
          <w:szCs w:val="20"/>
        </w:rPr>
        <w:t>ial</w:t>
      </w:r>
      <w:r w:rsidRPr="009E17B4">
        <w:rPr>
          <w:rFonts w:ascii="Arial" w:hAnsi="Arial" w:cs="Arial"/>
          <w:sz w:val="20"/>
          <w:szCs w:val="20"/>
        </w:rPr>
        <w:t xml:space="preserve"> Direction) detailing certain specified amounts that must be reflected in spectrum access charges fixed by the ACMA under subsection 294(1) of the Act.</w:t>
      </w:r>
      <w:r w:rsidR="00883C1E">
        <w:rPr>
          <w:rFonts w:ascii="Arial" w:hAnsi="Arial" w:cs="Arial"/>
          <w:sz w:val="20"/>
          <w:szCs w:val="20"/>
        </w:rPr>
        <w:t xml:space="preserve"> </w:t>
      </w:r>
      <w:r w:rsidRPr="009E17B4">
        <w:rPr>
          <w:rFonts w:ascii="Arial" w:hAnsi="Arial" w:cs="Arial"/>
          <w:sz w:val="20"/>
          <w:szCs w:val="20"/>
        </w:rPr>
        <w:t xml:space="preserve">These amounts were the Minister’s considered view of the value of the spectrum </w:t>
      </w:r>
      <w:r w:rsidR="00711913">
        <w:rPr>
          <w:rFonts w:ascii="Arial" w:hAnsi="Arial" w:cs="Arial"/>
          <w:sz w:val="20"/>
          <w:szCs w:val="20"/>
        </w:rPr>
        <w:t xml:space="preserve">in </w:t>
      </w:r>
      <w:r w:rsidRPr="009E17B4">
        <w:rPr>
          <w:rFonts w:ascii="Arial" w:hAnsi="Arial" w:cs="Arial"/>
          <w:sz w:val="20"/>
          <w:szCs w:val="20"/>
        </w:rPr>
        <w:t>the relevant bands.</w:t>
      </w:r>
      <w:r w:rsidR="00BD25C8">
        <w:rPr>
          <w:rFonts w:ascii="Arial" w:hAnsi="Arial" w:cs="Arial"/>
          <w:sz w:val="20"/>
          <w:szCs w:val="20"/>
        </w:rPr>
        <w:t xml:space="preserve"> </w:t>
      </w:r>
      <w:r w:rsidRPr="009E17B4">
        <w:rPr>
          <w:rFonts w:ascii="Arial" w:hAnsi="Arial" w:cs="Arial"/>
          <w:sz w:val="20"/>
          <w:szCs w:val="20"/>
        </w:rPr>
        <w:t xml:space="preserve">These amounts were determined by the Minister </w:t>
      </w:r>
      <w:r w:rsidR="005F5CFC">
        <w:rPr>
          <w:rFonts w:ascii="Arial" w:hAnsi="Arial" w:cs="Arial"/>
          <w:sz w:val="20"/>
          <w:szCs w:val="20"/>
        </w:rPr>
        <w:t xml:space="preserve">after extensive consultation with relevant licensees and </w:t>
      </w:r>
      <w:r w:rsidR="00CA2002">
        <w:rPr>
          <w:rFonts w:ascii="Arial" w:hAnsi="Arial" w:cs="Arial"/>
          <w:sz w:val="20"/>
          <w:szCs w:val="20"/>
        </w:rPr>
        <w:t xml:space="preserve">a period </w:t>
      </w:r>
      <w:r w:rsidR="00CE5BEF">
        <w:rPr>
          <w:rFonts w:ascii="Arial" w:hAnsi="Arial" w:cs="Arial"/>
          <w:sz w:val="20"/>
          <w:szCs w:val="20"/>
        </w:rPr>
        <w:t>for</w:t>
      </w:r>
      <w:r w:rsidR="00CA2002">
        <w:rPr>
          <w:rFonts w:ascii="Arial" w:hAnsi="Arial" w:cs="Arial"/>
          <w:sz w:val="20"/>
          <w:szCs w:val="20"/>
        </w:rPr>
        <w:t xml:space="preserve"> public comment</w:t>
      </w:r>
      <w:r w:rsidR="005F5CFC">
        <w:rPr>
          <w:rFonts w:ascii="Arial" w:hAnsi="Arial" w:cs="Arial"/>
          <w:sz w:val="20"/>
          <w:szCs w:val="20"/>
        </w:rPr>
        <w:t xml:space="preserve"> and </w:t>
      </w:r>
      <w:r w:rsidRPr="009E17B4">
        <w:rPr>
          <w:rFonts w:ascii="Arial" w:hAnsi="Arial" w:cs="Arial"/>
          <w:sz w:val="20"/>
          <w:szCs w:val="20"/>
        </w:rPr>
        <w:t>having regard to all relevant matters including advice received from the Department of Broadband, Communications and the Digital Economy</w:t>
      </w:r>
      <w:r w:rsidR="002E1B99">
        <w:rPr>
          <w:rFonts w:ascii="Arial" w:hAnsi="Arial" w:cs="Arial"/>
          <w:sz w:val="20"/>
          <w:szCs w:val="20"/>
        </w:rPr>
        <w:t xml:space="preserve"> (DBCDE)</w:t>
      </w:r>
      <w:r w:rsidRPr="009E17B4">
        <w:rPr>
          <w:rFonts w:ascii="Arial" w:hAnsi="Arial" w:cs="Arial"/>
          <w:sz w:val="20"/>
          <w:szCs w:val="20"/>
        </w:rPr>
        <w:t>; advice from a specially established inter-departmental Evaluation Committee; expert independent advice from Plum Consulting and the values currently established by the market for relevant spectrum bands.  The Minister was also guided by the objects of the Act.</w:t>
      </w:r>
    </w:p>
    <w:p w:rsidR="007F3562" w:rsidRDefault="00883C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9E17B4" w:rsidRPr="009E17B4">
        <w:rPr>
          <w:rFonts w:ascii="Arial" w:hAnsi="Arial" w:cs="Arial"/>
          <w:sz w:val="20"/>
          <w:szCs w:val="20"/>
        </w:rPr>
        <w:t xml:space="preserve"> </w:t>
      </w:r>
      <w:r w:rsidR="002E1B99">
        <w:rPr>
          <w:rFonts w:ascii="Arial" w:hAnsi="Arial" w:cs="Arial"/>
          <w:sz w:val="20"/>
          <w:szCs w:val="20"/>
        </w:rPr>
        <w:t xml:space="preserve">Ministerial </w:t>
      </w:r>
      <w:r w:rsidR="009E17B4" w:rsidRPr="009E17B4">
        <w:rPr>
          <w:rFonts w:ascii="Arial" w:hAnsi="Arial" w:cs="Arial"/>
          <w:sz w:val="20"/>
          <w:szCs w:val="20"/>
        </w:rPr>
        <w:t xml:space="preserve">Direction defines a formula for fixing the spectrum access charge payable by </w:t>
      </w:r>
      <w:r w:rsidR="00711913">
        <w:rPr>
          <w:rFonts w:ascii="Arial" w:hAnsi="Arial" w:cs="Arial"/>
          <w:sz w:val="20"/>
          <w:szCs w:val="20"/>
        </w:rPr>
        <w:t>a</w:t>
      </w:r>
      <w:r w:rsidR="009E17B4" w:rsidRPr="009E17B4">
        <w:rPr>
          <w:rFonts w:ascii="Arial" w:hAnsi="Arial" w:cs="Arial"/>
          <w:sz w:val="20"/>
          <w:szCs w:val="20"/>
        </w:rPr>
        <w:t xml:space="preserve"> licensee in relation to a re-issued spectrum licence.  The formula is based on a “$/MHz/Pop” calculation where:</w:t>
      </w:r>
    </w:p>
    <w:p w:rsidR="007F3562" w:rsidRDefault="009E17B4">
      <w:pPr>
        <w:pStyle w:val="ListParagraph"/>
        <w:numPr>
          <w:ilvl w:val="0"/>
          <w:numId w:val="8"/>
        </w:numPr>
        <w:spacing w:after="200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>$ = Australian dollars;</w:t>
      </w:r>
    </w:p>
    <w:p w:rsidR="007F3562" w:rsidRDefault="009E17B4">
      <w:pPr>
        <w:pStyle w:val="ListParagraph"/>
        <w:numPr>
          <w:ilvl w:val="0"/>
          <w:numId w:val="8"/>
        </w:numPr>
        <w:spacing w:after="200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MHz = the bandwidth of spectrum authorised for use in the </w:t>
      </w:r>
      <w:r w:rsidR="00C20FEC">
        <w:rPr>
          <w:rFonts w:ascii="Arial" w:hAnsi="Arial" w:cs="Arial"/>
          <w:szCs w:val="20"/>
        </w:rPr>
        <w:t>relevant l</w:t>
      </w:r>
      <w:r w:rsidRPr="009E17B4">
        <w:rPr>
          <w:rFonts w:ascii="Arial" w:hAnsi="Arial" w:cs="Arial"/>
          <w:szCs w:val="20"/>
        </w:rPr>
        <w:t xml:space="preserve">icence </w:t>
      </w:r>
      <w:r w:rsidR="00C20FEC">
        <w:rPr>
          <w:rFonts w:ascii="Arial" w:hAnsi="Arial" w:cs="Arial"/>
          <w:szCs w:val="20"/>
        </w:rPr>
        <w:t>a</w:t>
      </w:r>
      <w:r w:rsidRPr="009E17B4">
        <w:rPr>
          <w:rFonts w:ascii="Arial" w:hAnsi="Arial" w:cs="Arial"/>
          <w:szCs w:val="20"/>
        </w:rPr>
        <w:t xml:space="preserve">rea; and </w:t>
      </w:r>
    </w:p>
    <w:p w:rsidR="007F3562" w:rsidRDefault="009E17B4">
      <w:pPr>
        <w:pStyle w:val="ListParagraph"/>
        <w:numPr>
          <w:ilvl w:val="0"/>
          <w:numId w:val="8"/>
        </w:numPr>
        <w:spacing w:after="200"/>
        <w:jc w:val="both"/>
        <w:rPr>
          <w:rFonts w:ascii="Arial" w:hAnsi="Arial" w:cs="Arial"/>
          <w:szCs w:val="20"/>
        </w:rPr>
      </w:pPr>
      <w:r w:rsidRPr="009E17B4">
        <w:rPr>
          <w:rFonts w:ascii="Arial" w:hAnsi="Arial" w:cs="Arial"/>
          <w:szCs w:val="20"/>
        </w:rPr>
        <w:t xml:space="preserve">Pop = the population of the </w:t>
      </w:r>
      <w:r w:rsidR="000220F8">
        <w:rPr>
          <w:rFonts w:ascii="Arial" w:hAnsi="Arial" w:cs="Arial"/>
          <w:szCs w:val="20"/>
        </w:rPr>
        <w:t>licence area</w:t>
      </w:r>
      <w:r w:rsidRPr="009E17B4">
        <w:rPr>
          <w:rFonts w:ascii="Arial" w:hAnsi="Arial" w:cs="Arial"/>
          <w:szCs w:val="20"/>
        </w:rPr>
        <w:t xml:space="preserve">, to be determined by the ACMA at the time the ACMA determines the spectrum access charges under </w:t>
      </w:r>
      <w:r w:rsidR="008D4EA2">
        <w:rPr>
          <w:rFonts w:ascii="Arial" w:hAnsi="Arial" w:cs="Arial"/>
          <w:szCs w:val="20"/>
        </w:rPr>
        <w:t>sub</w:t>
      </w:r>
      <w:r w:rsidRPr="009E17B4">
        <w:rPr>
          <w:rFonts w:ascii="Arial" w:hAnsi="Arial" w:cs="Arial"/>
          <w:szCs w:val="20"/>
        </w:rPr>
        <w:t>section 294(1) of the Act having regard to the available population data at that time.</w:t>
      </w:r>
    </w:p>
    <w:p w:rsidR="007F3562" w:rsidRDefault="007F3562">
      <w:pPr>
        <w:jc w:val="both"/>
        <w:rPr>
          <w:rFonts w:ascii="Arial" w:hAnsi="Arial" w:cs="Arial"/>
          <w:sz w:val="20"/>
          <w:szCs w:val="20"/>
        </w:rPr>
      </w:pPr>
    </w:p>
    <w:p w:rsidR="007F3562" w:rsidRDefault="009E17B4">
      <w:pPr>
        <w:jc w:val="both"/>
        <w:rPr>
          <w:rFonts w:ascii="Arial" w:hAnsi="Arial" w:cs="Arial"/>
          <w:b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Consultation</w:t>
      </w:r>
    </w:p>
    <w:p w:rsidR="007F3562" w:rsidRDefault="00CA20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5F5CFC">
        <w:rPr>
          <w:rFonts w:ascii="Arial" w:hAnsi="Arial" w:cs="Arial"/>
          <w:sz w:val="20"/>
          <w:szCs w:val="20"/>
        </w:rPr>
        <w:t xml:space="preserve"> Minister</w:t>
      </w:r>
      <w:r w:rsidR="0099015E">
        <w:rPr>
          <w:rFonts w:ascii="Arial" w:hAnsi="Arial" w:cs="Arial"/>
          <w:sz w:val="20"/>
          <w:szCs w:val="20"/>
        </w:rPr>
        <w:t>ial</w:t>
      </w:r>
      <w:r w:rsidR="005F5CFC">
        <w:rPr>
          <w:rFonts w:ascii="Arial" w:hAnsi="Arial" w:cs="Arial"/>
          <w:sz w:val="20"/>
          <w:szCs w:val="20"/>
        </w:rPr>
        <w:t xml:space="preserve"> Direction</w:t>
      </w:r>
      <w:r w:rsidR="00FB4634">
        <w:rPr>
          <w:rFonts w:ascii="Arial" w:hAnsi="Arial" w:cs="Arial"/>
          <w:sz w:val="20"/>
          <w:szCs w:val="20"/>
        </w:rPr>
        <w:t xml:space="preserve"> </w:t>
      </w:r>
      <w:r w:rsidR="005F5CFC">
        <w:rPr>
          <w:rFonts w:ascii="Arial" w:hAnsi="Arial" w:cs="Arial"/>
          <w:sz w:val="20"/>
          <w:szCs w:val="20"/>
        </w:rPr>
        <w:t>which</w:t>
      </w:r>
      <w:r>
        <w:rPr>
          <w:rFonts w:ascii="Arial" w:hAnsi="Arial" w:cs="Arial"/>
          <w:sz w:val="20"/>
          <w:szCs w:val="20"/>
        </w:rPr>
        <w:t xml:space="preserve"> defines the formula </w:t>
      </w:r>
      <w:r w:rsidRPr="009E17B4">
        <w:rPr>
          <w:rFonts w:ascii="Arial" w:hAnsi="Arial" w:cs="Arial"/>
          <w:sz w:val="20"/>
          <w:szCs w:val="20"/>
        </w:rPr>
        <w:t xml:space="preserve">for fixing the spectrum access charge payable by </w:t>
      </w:r>
      <w:r>
        <w:rPr>
          <w:rFonts w:ascii="Arial" w:hAnsi="Arial" w:cs="Arial"/>
          <w:sz w:val="20"/>
          <w:szCs w:val="20"/>
        </w:rPr>
        <w:t>a</w:t>
      </w:r>
      <w:r w:rsidRPr="009E17B4">
        <w:rPr>
          <w:rFonts w:ascii="Arial" w:hAnsi="Arial" w:cs="Arial"/>
          <w:sz w:val="20"/>
          <w:szCs w:val="20"/>
        </w:rPr>
        <w:t xml:space="preserve"> licensee in relation to a re-issued spectrum licence</w:t>
      </w:r>
      <w:r w:rsidR="005F5CFC">
        <w:rPr>
          <w:rFonts w:ascii="Arial" w:hAnsi="Arial" w:cs="Arial"/>
          <w:sz w:val="20"/>
          <w:szCs w:val="20"/>
        </w:rPr>
        <w:t xml:space="preserve"> was the subject of extensive</w:t>
      </w:r>
      <w:r w:rsidR="005F5CFC" w:rsidRPr="009E17B4">
        <w:rPr>
          <w:rFonts w:ascii="Arial" w:hAnsi="Arial" w:cs="Arial"/>
          <w:sz w:val="20"/>
          <w:szCs w:val="20"/>
        </w:rPr>
        <w:t xml:space="preserve"> </w:t>
      </w:r>
      <w:r w:rsidR="005F5CFC">
        <w:rPr>
          <w:rFonts w:ascii="Arial" w:hAnsi="Arial" w:cs="Arial"/>
          <w:sz w:val="20"/>
          <w:szCs w:val="20"/>
        </w:rPr>
        <w:t>consultation</w:t>
      </w:r>
      <w:r w:rsidR="00FB4634">
        <w:rPr>
          <w:rFonts w:ascii="Arial" w:hAnsi="Arial" w:cs="Arial"/>
          <w:sz w:val="20"/>
          <w:szCs w:val="20"/>
        </w:rPr>
        <w:t xml:space="preserve"> </w:t>
      </w:r>
      <w:r w:rsidR="001013B0">
        <w:rPr>
          <w:rFonts w:ascii="Arial" w:hAnsi="Arial" w:cs="Arial"/>
          <w:sz w:val="20"/>
          <w:szCs w:val="20"/>
        </w:rPr>
        <w:t>wit</w:t>
      </w:r>
      <w:r w:rsidR="007323E8">
        <w:rPr>
          <w:rFonts w:ascii="Arial" w:hAnsi="Arial" w:cs="Arial"/>
          <w:sz w:val="20"/>
          <w:szCs w:val="20"/>
        </w:rPr>
        <w:t>h</w:t>
      </w:r>
      <w:r w:rsidR="00FB4634">
        <w:rPr>
          <w:rFonts w:ascii="Arial" w:hAnsi="Arial" w:cs="Arial"/>
          <w:sz w:val="20"/>
          <w:szCs w:val="20"/>
        </w:rPr>
        <w:t xml:space="preserve"> licensees and </w:t>
      </w:r>
      <w:r>
        <w:rPr>
          <w:rFonts w:ascii="Arial" w:hAnsi="Arial" w:cs="Arial"/>
          <w:sz w:val="20"/>
          <w:szCs w:val="20"/>
        </w:rPr>
        <w:t>the public</w:t>
      </w:r>
      <w:r w:rsidR="005F5CFC">
        <w:rPr>
          <w:rFonts w:ascii="Arial" w:hAnsi="Arial" w:cs="Arial"/>
          <w:sz w:val="20"/>
          <w:szCs w:val="20"/>
        </w:rPr>
        <w:t>.</w:t>
      </w:r>
      <w:r w:rsidR="00FB46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specified in the </w:t>
      </w:r>
      <w:r w:rsidR="0017222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xplanatory </w:t>
      </w:r>
      <w:r w:rsidR="0017222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tatement to the Minister</w:t>
      </w:r>
      <w:r w:rsidR="00172222">
        <w:rPr>
          <w:rFonts w:ascii="Arial" w:hAnsi="Arial" w:cs="Arial"/>
          <w:sz w:val="20"/>
          <w:szCs w:val="20"/>
        </w:rPr>
        <w:t>ial</w:t>
      </w:r>
      <w:r>
        <w:rPr>
          <w:rFonts w:ascii="Arial" w:hAnsi="Arial" w:cs="Arial"/>
          <w:sz w:val="20"/>
          <w:szCs w:val="20"/>
        </w:rPr>
        <w:t xml:space="preserve"> Direction  </w:t>
      </w:r>
      <w:r w:rsidR="002E1B99">
        <w:rPr>
          <w:rFonts w:ascii="Arial" w:hAnsi="Arial" w:cs="Arial"/>
          <w:sz w:val="20"/>
          <w:szCs w:val="20"/>
        </w:rPr>
        <w:t>DBCDE</w:t>
      </w:r>
      <w:r w:rsidR="00ED0192">
        <w:rPr>
          <w:rFonts w:ascii="Arial" w:hAnsi="Arial" w:cs="Arial"/>
          <w:sz w:val="20"/>
          <w:szCs w:val="20"/>
        </w:rPr>
        <w:t xml:space="preserve"> provided licensees and the public with valua</w:t>
      </w:r>
      <w:r w:rsidR="008D3734">
        <w:rPr>
          <w:rFonts w:ascii="Arial" w:hAnsi="Arial" w:cs="Arial"/>
          <w:sz w:val="20"/>
          <w:szCs w:val="20"/>
        </w:rPr>
        <w:t>tion</w:t>
      </w:r>
      <w:r w:rsidR="00ED0192">
        <w:rPr>
          <w:rFonts w:ascii="Arial" w:hAnsi="Arial" w:cs="Arial"/>
          <w:sz w:val="20"/>
          <w:szCs w:val="20"/>
        </w:rPr>
        <w:t xml:space="preserve"> reports concerning the 800 MHz and 1800 MHz band</w:t>
      </w:r>
      <w:r w:rsidR="001A2A13">
        <w:rPr>
          <w:rFonts w:ascii="Arial" w:hAnsi="Arial" w:cs="Arial"/>
          <w:sz w:val="20"/>
          <w:szCs w:val="20"/>
        </w:rPr>
        <w:t>,</w:t>
      </w:r>
      <w:r w:rsidR="00ED0192">
        <w:rPr>
          <w:rFonts w:ascii="Arial" w:hAnsi="Arial" w:cs="Arial"/>
          <w:sz w:val="20"/>
          <w:szCs w:val="20"/>
        </w:rPr>
        <w:t xml:space="preserve"> a synopsis describing the methodology employed by Plum Consulting</w:t>
      </w:r>
      <w:r w:rsidR="001A2A13">
        <w:rPr>
          <w:rFonts w:ascii="Arial" w:hAnsi="Arial" w:cs="Arial"/>
          <w:sz w:val="20"/>
          <w:szCs w:val="20"/>
        </w:rPr>
        <w:t xml:space="preserve"> (</w:t>
      </w:r>
      <w:r w:rsidR="00ED0192">
        <w:rPr>
          <w:rFonts w:ascii="Arial" w:hAnsi="Arial" w:cs="Arial"/>
          <w:sz w:val="20"/>
          <w:szCs w:val="20"/>
        </w:rPr>
        <w:t>wh</w:t>
      </w:r>
      <w:r w:rsidR="00495E12">
        <w:rPr>
          <w:rFonts w:ascii="Arial" w:hAnsi="Arial" w:cs="Arial"/>
          <w:sz w:val="20"/>
          <w:szCs w:val="20"/>
        </w:rPr>
        <w:t>ich</w:t>
      </w:r>
      <w:r w:rsidR="00ED0192">
        <w:rPr>
          <w:rFonts w:ascii="Arial" w:hAnsi="Arial" w:cs="Arial"/>
          <w:sz w:val="20"/>
          <w:szCs w:val="20"/>
        </w:rPr>
        <w:t xml:space="preserve"> provided expert advice to DBCDE about the value of the spectrum licences</w:t>
      </w:r>
      <w:r w:rsidR="001A2A13">
        <w:rPr>
          <w:rFonts w:ascii="Arial" w:hAnsi="Arial" w:cs="Arial"/>
          <w:sz w:val="20"/>
          <w:szCs w:val="20"/>
        </w:rPr>
        <w:t>)</w:t>
      </w:r>
      <w:r w:rsidR="00ED0192">
        <w:rPr>
          <w:rFonts w:ascii="Arial" w:hAnsi="Arial" w:cs="Arial"/>
          <w:sz w:val="20"/>
          <w:szCs w:val="20"/>
        </w:rPr>
        <w:t xml:space="preserve"> and the draft direction for their comment.  As noted in the consultation</w:t>
      </w:r>
      <w:r w:rsidR="008D3734">
        <w:rPr>
          <w:rFonts w:ascii="Arial" w:hAnsi="Arial" w:cs="Arial"/>
          <w:sz w:val="20"/>
          <w:szCs w:val="20"/>
        </w:rPr>
        <w:t xml:space="preserve"> section </w:t>
      </w:r>
      <w:r w:rsidR="00ED0192">
        <w:rPr>
          <w:rFonts w:ascii="Arial" w:hAnsi="Arial" w:cs="Arial"/>
          <w:sz w:val="20"/>
          <w:szCs w:val="20"/>
        </w:rPr>
        <w:t xml:space="preserve">of the </w:t>
      </w:r>
      <w:r w:rsidR="00172222">
        <w:rPr>
          <w:rFonts w:ascii="Arial" w:hAnsi="Arial" w:cs="Arial"/>
          <w:sz w:val="20"/>
          <w:szCs w:val="20"/>
        </w:rPr>
        <w:t>E</w:t>
      </w:r>
      <w:r w:rsidR="00ED0192">
        <w:rPr>
          <w:rFonts w:ascii="Arial" w:hAnsi="Arial" w:cs="Arial"/>
          <w:sz w:val="20"/>
          <w:szCs w:val="20"/>
        </w:rPr>
        <w:t xml:space="preserve">xplanatory </w:t>
      </w:r>
      <w:r w:rsidR="00172222">
        <w:rPr>
          <w:rFonts w:ascii="Arial" w:hAnsi="Arial" w:cs="Arial"/>
          <w:sz w:val="20"/>
          <w:szCs w:val="20"/>
        </w:rPr>
        <w:t>S</w:t>
      </w:r>
      <w:r w:rsidR="00ED0192">
        <w:rPr>
          <w:rFonts w:ascii="Arial" w:hAnsi="Arial" w:cs="Arial"/>
          <w:sz w:val="20"/>
          <w:szCs w:val="20"/>
        </w:rPr>
        <w:t>tatement</w:t>
      </w:r>
      <w:r w:rsidR="00BC669B">
        <w:rPr>
          <w:rFonts w:ascii="Arial" w:hAnsi="Arial" w:cs="Arial"/>
          <w:sz w:val="20"/>
          <w:szCs w:val="20"/>
        </w:rPr>
        <w:t xml:space="preserve"> </w:t>
      </w:r>
      <w:r w:rsidR="008D3734">
        <w:rPr>
          <w:rFonts w:ascii="Arial" w:hAnsi="Arial" w:cs="Arial"/>
          <w:sz w:val="20"/>
          <w:szCs w:val="20"/>
        </w:rPr>
        <w:t>for the Minister</w:t>
      </w:r>
      <w:r w:rsidR="00172222">
        <w:rPr>
          <w:rFonts w:ascii="Arial" w:hAnsi="Arial" w:cs="Arial"/>
          <w:sz w:val="20"/>
          <w:szCs w:val="20"/>
        </w:rPr>
        <w:t>ial</w:t>
      </w:r>
      <w:r w:rsidR="008D3734">
        <w:rPr>
          <w:rFonts w:ascii="Arial" w:hAnsi="Arial" w:cs="Arial"/>
          <w:sz w:val="20"/>
          <w:szCs w:val="20"/>
        </w:rPr>
        <w:t xml:space="preserve"> </w:t>
      </w:r>
      <w:r w:rsidR="008D3734">
        <w:rPr>
          <w:rFonts w:ascii="Arial" w:hAnsi="Arial" w:cs="Arial"/>
          <w:sz w:val="20"/>
          <w:szCs w:val="20"/>
        </w:rPr>
        <w:lastRenderedPageBreak/>
        <w:t xml:space="preserve">Direction, </w:t>
      </w:r>
      <w:r w:rsidR="00BC669B">
        <w:rPr>
          <w:rFonts w:ascii="Arial" w:hAnsi="Arial" w:cs="Arial"/>
          <w:sz w:val="20"/>
          <w:szCs w:val="20"/>
        </w:rPr>
        <w:t xml:space="preserve">comments received during the consultation process were taken into consideration by the Minister in </w:t>
      </w:r>
      <w:r w:rsidR="008D3734">
        <w:rPr>
          <w:rFonts w:ascii="Arial" w:hAnsi="Arial" w:cs="Arial"/>
          <w:sz w:val="20"/>
          <w:szCs w:val="20"/>
        </w:rPr>
        <w:t xml:space="preserve">the </w:t>
      </w:r>
      <w:r w:rsidR="00BC669B">
        <w:rPr>
          <w:rFonts w:ascii="Arial" w:hAnsi="Arial" w:cs="Arial"/>
          <w:sz w:val="20"/>
          <w:szCs w:val="20"/>
        </w:rPr>
        <w:t>making of the direction.</w:t>
      </w:r>
    </w:p>
    <w:p w:rsidR="007F3562" w:rsidRDefault="00BC6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complying with the Minister</w:t>
      </w:r>
      <w:r w:rsidR="00172222">
        <w:rPr>
          <w:rFonts w:ascii="Arial" w:hAnsi="Arial" w:cs="Arial"/>
          <w:sz w:val="20"/>
          <w:szCs w:val="20"/>
        </w:rPr>
        <w:t>ial</w:t>
      </w:r>
      <w:r>
        <w:rPr>
          <w:rFonts w:ascii="Arial" w:hAnsi="Arial" w:cs="Arial"/>
          <w:sz w:val="20"/>
          <w:szCs w:val="20"/>
        </w:rPr>
        <w:t xml:space="preserve"> Direction t</w:t>
      </w:r>
      <w:r w:rsidR="009E17B4" w:rsidRPr="009E17B4">
        <w:rPr>
          <w:rFonts w:ascii="Arial" w:hAnsi="Arial" w:cs="Arial"/>
          <w:sz w:val="20"/>
          <w:szCs w:val="20"/>
        </w:rPr>
        <w:t xml:space="preserve">he ACMA has employed an open and consultative approach with </w:t>
      </w:r>
      <w:r w:rsidR="00734491">
        <w:rPr>
          <w:rFonts w:ascii="Arial" w:hAnsi="Arial" w:cs="Arial"/>
          <w:sz w:val="20"/>
          <w:szCs w:val="20"/>
        </w:rPr>
        <w:t>all</w:t>
      </w:r>
      <w:r w:rsidR="00734491" w:rsidRPr="009E17B4">
        <w:rPr>
          <w:rFonts w:ascii="Arial" w:hAnsi="Arial" w:cs="Arial"/>
          <w:sz w:val="20"/>
          <w:szCs w:val="20"/>
        </w:rPr>
        <w:t xml:space="preserve"> </w:t>
      </w:r>
      <w:r w:rsidR="009E17B4" w:rsidRPr="009E17B4">
        <w:rPr>
          <w:rFonts w:ascii="Arial" w:hAnsi="Arial" w:cs="Arial"/>
          <w:sz w:val="20"/>
          <w:szCs w:val="20"/>
        </w:rPr>
        <w:t>licensees impacted by th</w:t>
      </w:r>
      <w:r w:rsidR="00172222">
        <w:rPr>
          <w:rFonts w:ascii="Arial" w:hAnsi="Arial" w:cs="Arial"/>
          <w:sz w:val="20"/>
          <w:szCs w:val="20"/>
        </w:rPr>
        <w:t>e</w:t>
      </w:r>
      <w:r w:rsidR="009E17B4" w:rsidRPr="009E17B4">
        <w:rPr>
          <w:rFonts w:ascii="Arial" w:hAnsi="Arial" w:cs="Arial"/>
          <w:sz w:val="20"/>
          <w:szCs w:val="20"/>
        </w:rPr>
        <w:t xml:space="preserve"> </w:t>
      </w:r>
      <w:r w:rsidR="008D4EA2">
        <w:rPr>
          <w:rFonts w:ascii="Arial" w:hAnsi="Arial" w:cs="Arial"/>
          <w:sz w:val="20"/>
          <w:szCs w:val="20"/>
        </w:rPr>
        <w:t>D</w:t>
      </w:r>
      <w:r w:rsidR="009E17B4" w:rsidRPr="009E17B4">
        <w:rPr>
          <w:rFonts w:ascii="Arial" w:hAnsi="Arial" w:cs="Arial"/>
          <w:sz w:val="20"/>
          <w:szCs w:val="20"/>
        </w:rPr>
        <w:t>etermination</w:t>
      </w:r>
      <w:r w:rsidR="008D3734">
        <w:rPr>
          <w:rFonts w:ascii="Arial" w:hAnsi="Arial" w:cs="Arial"/>
          <w:sz w:val="20"/>
          <w:szCs w:val="20"/>
        </w:rPr>
        <w:t xml:space="preserve">.  </w:t>
      </w:r>
      <w:r w:rsidR="00734491">
        <w:rPr>
          <w:rFonts w:ascii="Arial" w:hAnsi="Arial" w:cs="Arial"/>
          <w:sz w:val="20"/>
          <w:szCs w:val="20"/>
        </w:rPr>
        <w:t xml:space="preserve">All </w:t>
      </w:r>
      <w:r w:rsidR="008D3734">
        <w:rPr>
          <w:rFonts w:ascii="Arial" w:hAnsi="Arial" w:cs="Arial"/>
          <w:sz w:val="20"/>
          <w:szCs w:val="20"/>
        </w:rPr>
        <w:t>licensees were</w:t>
      </w:r>
      <w:r w:rsidR="009E17B4" w:rsidRPr="009E17B4">
        <w:rPr>
          <w:rFonts w:ascii="Arial" w:hAnsi="Arial" w:cs="Arial"/>
          <w:sz w:val="20"/>
          <w:szCs w:val="20"/>
        </w:rPr>
        <w:t xml:space="preserve"> consulted in relation to the making of th</w:t>
      </w:r>
      <w:r w:rsidR="00172222">
        <w:rPr>
          <w:rFonts w:ascii="Arial" w:hAnsi="Arial" w:cs="Arial"/>
          <w:sz w:val="20"/>
          <w:szCs w:val="20"/>
        </w:rPr>
        <w:t>e</w:t>
      </w:r>
      <w:r w:rsidR="009E17B4" w:rsidRPr="009E17B4">
        <w:rPr>
          <w:rFonts w:ascii="Arial" w:hAnsi="Arial" w:cs="Arial"/>
          <w:sz w:val="20"/>
          <w:szCs w:val="20"/>
        </w:rPr>
        <w:t xml:space="preserve"> Determination.  The detail</w:t>
      </w:r>
      <w:r w:rsidR="008D4EA2">
        <w:rPr>
          <w:rFonts w:ascii="Arial" w:hAnsi="Arial" w:cs="Arial"/>
          <w:sz w:val="20"/>
          <w:szCs w:val="20"/>
        </w:rPr>
        <w:t>s</w:t>
      </w:r>
      <w:r w:rsidR="009E17B4" w:rsidRPr="009E17B4">
        <w:rPr>
          <w:rFonts w:ascii="Arial" w:hAnsi="Arial" w:cs="Arial"/>
          <w:sz w:val="20"/>
          <w:szCs w:val="20"/>
        </w:rPr>
        <w:t xml:space="preserve"> </w:t>
      </w:r>
      <w:r w:rsidR="00BD25C8">
        <w:rPr>
          <w:rFonts w:ascii="Arial" w:hAnsi="Arial" w:cs="Arial"/>
          <w:sz w:val="20"/>
          <w:szCs w:val="20"/>
        </w:rPr>
        <w:t>of</w:t>
      </w:r>
      <w:r w:rsidR="00BD25C8" w:rsidRPr="009E17B4">
        <w:rPr>
          <w:rFonts w:ascii="Arial" w:hAnsi="Arial" w:cs="Arial"/>
          <w:sz w:val="20"/>
          <w:szCs w:val="20"/>
        </w:rPr>
        <w:t xml:space="preserve"> </w:t>
      </w:r>
      <w:r w:rsidR="009E17B4" w:rsidRPr="009E17B4">
        <w:rPr>
          <w:rFonts w:ascii="Arial" w:hAnsi="Arial" w:cs="Arial"/>
          <w:sz w:val="20"/>
          <w:szCs w:val="20"/>
        </w:rPr>
        <w:t>the calculation of the spectrum access charge for each licence w</w:t>
      </w:r>
      <w:r w:rsidR="008D4EA2">
        <w:rPr>
          <w:rFonts w:ascii="Arial" w:hAnsi="Arial" w:cs="Arial"/>
          <w:sz w:val="20"/>
          <w:szCs w:val="20"/>
        </w:rPr>
        <w:t>ere</w:t>
      </w:r>
      <w:r w:rsidR="009E17B4" w:rsidRPr="009E17B4">
        <w:rPr>
          <w:rFonts w:ascii="Arial" w:hAnsi="Arial" w:cs="Arial"/>
          <w:sz w:val="20"/>
          <w:szCs w:val="20"/>
        </w:rPr>
        <w:t xml:space="preserve"> provided to</w:t>
      </w:r>
      <w:r w:rsidR="00BD25C8">
        <w:rPr>
          <w:rFonts w:ascii="Arial" w:hAnsi="Arial" w:cs="Arial"/>
          <w:sz w:val="20"/>
          <w:szCs w:val="20"/>
        </w:rPr>
        <w:t xml:space="preserve"> the</w:t>
      </w:r>
      <w:r w:rsidR="009E17B4" w:rsidRPr="009E17B4">
        <w:rPr>
          <w:rFonts w:ascii="Arial" w:hAnsi="Arial" w:cs="Arial"/>
          <w:sz w:val="20"/>
          <w:szCs w:val="20"/>
        </w:rPr>
        <w:t xml:space="preserve"> licensees</w:t>
      </w:r>
      <w:r w:rsidR="00BD25C8">
        <w:rPr>
          <w:rFonts w:ascii="Arial" w:hAnsi="Arial" w:cs="Arial"/>
          <w:sz w:val="20"/>
          <w:szCs w:val="20"/>
        </w:rPr>
        <w:t xml:space="preserve"> who will be required to pay the spectrum access charges </w:t>
      </w:r>
      <w:r w:rsidR="006220FC">
        <w:rPr>
          <w:rFonts w:ascii="Arial" w:hAnsi="Arial" w:cs="Arial"/>
          <w:sz w:val="20"/>
          <w:szCs w:val="20"/>
        </w:rPr>
        <w:t>set out</w:t>
      </w:r>
      <w:r w:rsidR="00BD25C8">
        <w:rPr>
          <w:rFonts w:ascii="Arial" w:hAnsi="Arial" w:cs="Arial"/>
          <w:sz w:val="20"/>
          <w:szCs w:val="20"/>
        </w:rPr>
        <w:t xml:space="preserve"> in th</w:t>
      </w:r>
      <w:r w:rsidR="00172222">
        <w:rPr>
          <w:rFonts w:ascii="Arial" w:hAnsi="Arial" w:cs="Arial"/>
          <w:sz w:val="20"/>
          <w:szCs w:val="20"/>
        </w:rPr>
        <w:t>e</w:t>
      </w:r>
      <w:r w:rsidR="00BD25C8">
        <w:rPr>
          <w:rFonts w:ascii="Arial" w:hAnsi="Arial" w:cs="Arial"/>
          <w:sz w:val="20"/>
          <w:szCs w:val="20"/>
        </w:rPr>
        <w:t xml:space="preserve"> Determination.  </w:t>
      </w:r>
      <w:r w:rsidR="00495E12">
        <w:rPr>
          <w:rFonts w:ascii="Arial" w:hAnsi="Arial" w:cs="Arial"/>
          <w:sz w:val="20"/>
          <w:szCs w:val="20"/>
        </w:rPr>
        <w:t>T</w:t>
      </w:r>
      <w:r w:rsidR="00BD25C8">
        <w:rPr>
          <w:rFonts w:ascii="Arial" w:hAnsi="Arial" w:cs="Arial"/>
          <w:sz w:val="20"/>
          <w:szCs w:val="20"/>
        </w:rPr>
        <w:t xml:space="preserve">he ACMA sought </w:t>
      </w:r>
      <w:r w:rsidR="009E17B4" w:rsidRPr="009E17B4">
        <w:rPr>
          <w:rFonts w:ascii="Arial" w:hAnsi="Arial" w:cs="Arial"/>
          <w:sz w:val="20"/>
          <w:szCs w:val="20"/>
        </w:rPr>
        <w:t>comment about matters pertaining to the calculation of the spectrum access charges</w:t>
      </w:r>
      <w:r w:rsidR="00BD25C8">
        <w:rPr>
          <w:rFonts w:ascii="Arial" w:hAnsi="Arial" w:cs="Arial"/>
          <w:sz w:val="20"/>
          <w:szCs w:val="20"/>
        </w:rPr>
        <w:t>, the amounts of the spectrum access charges for each of the licences and the payment date</w:t>
      </w:r>
      <w:r w:rsidR="009E17B4" w:rsidRPr="009E17B4">
        <w:rPr>
          <w:rFonts w:ascii="Arial" w:hAnsi="Arial" w:cs="Arial"/>
          <w:sz w:val="20"/>
          <w:szCs w:val="20"/>
        </w:rPr>
        <w:t xml:space="preserve">. </w:t>
      </w:r>
      <w:r w:rsidR="001013B0">
        <w:rPr>
          <w:rFonts w:ascii="Arial" w:hAnsi="Arial" w:cs="Arial"/>
          <w:sz w:val="20"/>
          <w:szCs w:val="20"/>
        </w:rPr>
        <w:t xml:space="preserve"> </w:t>
      </w:r>
      <w:r w:rsidR="00B61D28">
        <w:rPr>
          <w:rFonts w:ascii="Arial" w:hAnsi="Arial" w:cs="Arial"/>
          <w:sz w:val="20"/>
          <w:szCs w:val="20"/>
        </w:rPr>
        <w:t>The comments the ACMA received were considered in the making of th</w:t>
      </w:r>
      <w:r w:rsidR="00172222">
        <w:rPr>
          <w:rFonts w:ascii="Arial" w:hAnsi="Arial" w:cs="Arial"/>
          <w:sz w:val="20"/>
          <w:szCs w:val="20"/>
        </w:rPr>
        <w:t>e</w:t>
      </w:r>
      <w:r w:rsidR="00B61D28">
        <w:rPr>
          <w:rFonts w:ascii="Arial" w:hAnsi="Arial" w:cs="Arial"/>
          <w:sz w:val="20"/>
          <w:szCs w:val="20"/>
        </w:rPr>
        <w:t xml:space="preserve"> D</w:t>
      </w:r>
      <w:r w:rsidR="00B93A08">
        <w:rPr>
          <w:rFonts w:ascii="Arial" w:hAnsi="Arial" w:cs="Arial"/>
          <w:sz w:val="20"/>
          <w:szCs w:val="20"/>
        </w:rPr>
        <w:t>etermination</w:t>
      </w:r>
      <w:r w:rsidR="00B61D28">
        <w:rPr>
          <w:rFonts w:ascii="Arial" w:hAnsi="Arial" w:cs="Arial"/>
          <w:sz w:val="20"/>
          <w:szCs w:val="20"/>
        </w:rPr>
        <w:t>.</w:t>
      </w:r>
    </w:p>
    <w:p w:rsidR="007F3562" w:rsidRDefault="009E17B4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Regulation impact</w:t>
      </w:r>
    </w:p>
    <w:p w:rsidR="007F3562" w:rsidRDefault="009E17B4">
      <w:pPr>
        <w:pStyle w:val="ACMABulletLevel1"/>
        <w:numPr>
          <w:ilvl w:val="0"/>
          <w:numId w:val="0"/>
        </w:numPr>
        <w:spacing w:line="280" w:lineRule="atLeast"/>
        <w:jc w:val="both"/>
        <w:rPr>
          <w:rStyle w:val="CharSectno"/>
          <w:rFonts w:ascii="Arial" w:eastAsiaTheme="minorHAnsi" w:hAnsi="Arial" w:cs="Arial"/>
          <w:sz w:val="20"/>
          <w:szCs w:val="22"/>
        </w:rPr>
      </w:pPr>
      <w:r w:rsidRPr="009E17B4">
        <w:rPr>
          <w:rStyle w:val="CharSectno"/>
          <w:rFonts w:ascii="Arial" w:hAnsi="Arial" w:cs="Arial"/>
          <w:sz w:val="20"/>
        </w:rPr>
        <w:t xml:space="preserve">In relation to the Determination </w:t>
      </w:r>
      <w:r w:rsidR="00E93959" w:rsidRPr="00EE7F65">
        <w:rPr>
          <w:rFonts w:ascii="Arial" w:hAnsi="Arial" w:cs="Arial"/>
          <w:sz w:val="20"/>
        </w:rPr>
        <w:t xml:space="preserve">the ACMA consulted with the Office of Best Practice Regulation (the OBPR) on the requirement for a Regulation Impact Statement (RIS). The OBPR advised that the Determination does not warrant the preparation of a RIS because it is likely to have </w:t>
      </w:r>
      <w:r w:rsidR="00172222">
        <w:rPr>
          <w:rFonts w:ascii="Arial" w:hAnsi="Arial" w:cs="Arial"/>
          <w:sz w:val="20"/>
        </w:rPr>
        <w:t xml:space="preserve">only </w:t>
      </w:r>
      <w:r w:rsidR="00E93959" w:rsidRPr="00EE7F65">
        <w:rPr>
          <w:rFonts w:ascii="Arial" w:hAnsi="Arial" w:cs="Arial"/>
          <w:sz w:val="20"/>
        </w:rPr>
        <w:t xml:space="preserve">minor and machinery impacts. The reference for the OBPR’s assessment is ID </w:t>
      </w:r>
      <w:r w:rsidR="00E016FB">
        <w:rPr>
          <w:rStyle w:val="CharSectno"/>
          <w:rFonts w:ascii="Arial" w:hAnsi="Arial" w:cs="Arial"/>
          <w:sz w:val="20"/>
        </w:rPr>
        <w:t>14048</w:t>
      </w:r>
      <w:r w:rsidRPr="009E17B4">
        <w:rPr>
          <w:rStyle w:val="CharSectno"/>
          <w:rFonts w:ascii="Arial" w:hAnsi="Arial" w:cs="Arial"/>
          <w:sz w:val="20"/>
        </w:rPr>
        <w:t xml:space="preserve">.  </w:t>
      </w:r>
    </w:p>
    <w:p w:rsidR="007F3562" w:rsidRDefault="007F3562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F3562" w:rsidRDefault="00937B79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 xml:space="preserve">Detailed </w:t>
      </w:r>
      <w:r w:rsidR="00495E12">
        <w:rPr>
          <w:rFonts w:ascii="Arial" w:hAnsi="Arial" w:cs="Arial"/>
          <w:b/>
          <w:sz w:val="20"/>
          <w:szCs w:val="20"/>
        </w:rPr>
        <w:t>d</w:t>
      </w:r>
      <w:r w:rsidRPr="00092561">
        <w:rPr>
          <w:rFonts w:ascii="Arial" w:hAnsi="Arial" w:cs="Arial"/>
          <w:b/>
          <w:sz w:val="20"/>
          <w:szCs w:val="20"/>
        </w:rPr>
        <w:t>escription of the Determination</w:t>
      </w:r>
    </w:p>
    <w:p w:rsidR="007F3562" w:rsidRDefault="00937B79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>Details of the</w:t>
      </w:r>
      <w:r w:rsidR="00172222">
        <w:rPr>
          <w:rFonts w:ascii="Arial" w:hAnsi="Arial" w:cs="Arial"/>
          <w:sz w:val="20"/>
          <w:szCs w:val="20"/>
        </w:rPr>
        <w:t xml:space="preserve"> Determination</w:t>
      </w:r>
      <w:r w:rsidRPr="00092561">
        <w:rPr>
          <w:rFonts w:ascii="Arial" w:hAnsi="Arial" w:cs="Arial"/>
          <w:sz w:val="20"/>
          <w:szCs w:val="20"/>
        </w:rPr>
        <w:t xml:space="preserve"> are set out </w:t>
      </w:r>
      <w:r w:rsidR="009E1EBE" w:rsidRPr="00092561">
        <w:rPr>
          <w:rFonts w:ascii="Arial" w:hAnsi="Arial" w:cs="Arial"/>
          <w:sz w:val="20"/>
          <w:szCs w:val="20"/>
        </w:rPr>
        <w:t xml:space="preserve">in </w:t>
      </w:r>
      <w:r w:rsidR="00FC0808" w:rsidRPr="00FC0808">
        <w:rPr>
          <w:rFonts w:ascii="Arial" w:hAnsi="Arial" w:cs="Arial"/>
          <w:b/>
          <w:sz w:val="20"/>
          <w:szCs w:val="20"/>
        </w:rPr>
        <w:t>Attachment</w:t>
      </w:r>
      <w:r w:rsidRPr="00092561">
        <w:rPr>
          <w:rFonts w:ascii="Arial" w:hAnsi="Arial" w:cs="Arial"/>
          <w:b/>
          <w:sz w:val="20"/>
          <w:szCs w:val="20"/>
        </w:rPr>
        <w:t xml:space="preserve"> A</w:t>
      </w:r>
      <w:r w:rsidRPr="00092561">
        <w:rPr>
          <w:rFonts w:ascii="Arial" w:hAnsi="Arial" w:cs="Arial"/>
          <w:sz w:val="20"/>
          <w:szCs w:val="20"/>
        </w:rPr>
        <w:t>.</w:t>
      </w:r>
    </w:p>
    <w:p w:rsidR="007F3562" w:rsidRDefault="00E93959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>Statement of compatibility with human rights</w:t>
      </w:r>
    </w:p>
    <w:p w:rsidR="007F3562" w:rsidRDefault="00E939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Subsection 9(1) of the </w:t>
      </w:r>
      <w:r w:rsidRPr="00092561">
        <w:rPr>
          <w:rFonts w:ascii="Arial" w:hAnsi="Arial" w:cs="Arial"/>
          <w:i/>
          <w:sz w:val="20"/>
          <w:szCs w:val="20"/>
        </w:rPr>
        <w:t>Human Rights (Parliamentary Scrutiny) Act 2011</w:t>
      </w:r>
      <w:r w:rsidR="009E17B4">
        <w:rPr>
          <w:rFonts w:ascii="Arial" w:hAnsi="Arial" w:cs="Arial"/>
          <w:sz w:val="20"/>
          <w:szCs w:val="20"/>
        </w:rPr>
        <w:t xml:space="preserve"> requires the rule maker in relation to a legislative instrument to which section 42 (disallowance) of the </w:t>
      </w:r>
      <w:r w:rsidR="009E17B4">
        <w:rPr>
          <w:rFonts w:ascii="Arial" w:hAnsi="Arial" w:cs="Arial"/>
          <w:i/>
          <w:sz w:val="20"/>
          <w:szCs w:val="20"/>
        </w:rPr>
        <w:t>Legislative Instruments Act 2003</w:t>
      </w:r>
      <w:r w:rsidR="009E17B4">
        <w:rPr>
          <w:rFonts w:ascii="Arial" w:hAnsi="Arial" w:cs="Arial"/>
          <w:sz w:val="20"/>
          <w:szCs w:val="20"/>
        </w:rPr>
        <w:t xml:space="preserve"> applies to cause a statement of compatibility to be prepared in respect of that legislative instrument. This statement is </w:t>
      </w:r>
      <w:r w:rsidR="007A60D6" w:rsidRPr="007A60D6">
        <w:rPr>
          <w:rFonts w:ascii="Arial" w:hAnsi="Arial" w:cs="Arial"/>
          <w:b/>
          <w:sz w:val="20"/>
          <w:szCs w:val="20"/>
        </w:rPr>
        <w:t>Attachment B</w:t>
      </w:r>
      <w:r w:rsidR="009E17B4">
        <w:rPr>
          <w:rFonts w:ascii="Arial" w:hAnsi="Arial" w:cs="Arial"/>
          <w:sz w:val="20"/>
          <w:szCs w:val="20"/>
        </w:rPr>
        <w:t>.</w:t>
      </w:r>
    </w:p>
    <w:p w:rsidR="007F3562" w:rsidRDefault="009E17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F3562" w:rsidRDefault="007F35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3562" w:rsidRDefault="009E17B4">
      <w:pPr>
        <w:spacing w:line="360" w:lineRule="auto"/>
        <w:ind w:left="6804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ATTACHMENT A</w:t>
      </w:r>
    </w:p>
    <w:p w:rsidR="007F3562" w:rsidRDefault="007F3562">
      <w:pPr>
        <w:spacing w:line="360" w:lineRule="auto"/>
        <w:ind w:left="6804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F3562" w:rsidRDefault="00937B79">
      <w:pPr>
        <w:jc w:val="both"/>
        <w:rPr>
          <w:rFonts w:ascii="Arial" w:hAnsi="Arial" w:cs="Arial"/>
          <w:b/>
        </w:rPr>
      </w:pPr>
      <w:r w:rsidRPr="00092561">
        <w:rPr>
          <w:rFonts w:ascii="Arial" w:hAnsi="Arial" w:cs="Arial"/>
          <w:b/>
          <w:sz w:val="20"/>
          <w:szCs w:val="20"/>
        </w:rPr>
        <w:t>DETAILS OF THE RADIOCOMMUNICATIONS (SPECTRUM ACCESS CHARGE</w:t>
      </w:r>
      <w:r w:rsidR="008D4EA2">
        <w:rPr>
          <w:rFonts w:ascii="Arial" w:hAnsi="Arial" w:cs="Arial"/>
          <w:b/>
          <w:sz w:val="20"/>
          <w:szCs w:val="20"/>
        </w:rPr>
        <w:t>S</w:t>
      </w:r>
      <w:r w:rsidRPr="00092561">
        <w:rPr>
          <w:rFonts w:ascii="Arial" w:hAnsi="Arial" w:cs="Arial"/>
          <w:b/>
          <w:sz w:val="20"/>
          <w:szCs w:val="20"/>
        </w:rPr>
        <w:t xml:space="preserve"> – </w:t>
      </w:r>
      <w:r w:rsidR="002838AB">
        <w:rPr>
          <w:rFonts w:ascii="Arial" w:hAnsi="Arial" w:cs="Arial"/>
          <w:b/>
          <w:sz w:val="20"/>
          <w:szCs w:val="20"/>
        </w:rPr>
        <w:t>1</w:t>
      </w:r>
      <w:r w:rsidRPr="00092561">
        <w:rPr>
          <w:rFonts w:ascii="Arial" w:hAnsi="Arial" w:cs="Arial"/>
          <w:b/>
          <w:sz w:val="20"/>
          <w:szCs w:val="20"/>
        </w:rPr>
        <w:t>800 MHz BAND) DETERMINATION 2012 (No.1)</w:t>
      </w:r>
    </w:p>
    <w:p w:rsidR="007F3562" w:rsidRDefault="00937B79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>Section 1 – Name of Determination</w:t>
      </w:r>
    </w:p>
    <w:p w:rsidR="007F3562" w:rsidRDefault="00937B79">
      <w:pPr>
        <w:jc w:val="both"/>
        <w:rPr>
          <w:rFonts w:ascii="Arial" w:hAnsi="Arial" w:cs="Arial"/>
          <w:i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provides that the Determination is to be cited as the </w:t>
      </w:r>
      <w:r w:rsidR="009E17B4" w:rsidRPr="009E17B4">
        <w:rPr>
          <w:rFonts w:ascii="Arial" w:hAnsi="Arial" w:cs="Arial"/>
          <w:i/>
          <w:sz w:val="20"/>
          <w:szCs w:val="20"/>
        </w:rPr>
        <w:t>Radiocommunications (Spectrum Access Charge</w:t>
      </w:r>
      <w:r w:rsidR="008D4EA2">
        <w:rPr>
          <w:rFonts w:ascii="Arial" w:hAnsi="Arial" w:cs="Arial"/>
          <w:i/>
          <w:sz w:val="20"/>
          <w:szCs w:val="20"/>
        </w:rPr>
        <w:t>s</w:t>
      </w:r>
      <w:r w:rsidR="009E17B4" w:rsidRPr="009E17B4">
        <w:rPr>
          <w:rFonts w:ascii="Arial" w:hAnsi="Arial" w:cs="Arial"/>
          <w:i/>
          <w:sz w:val="20"/>
          <w:szCs w:val="20"/>
        </w:rPr>
        <w:t xml:space="preserve"> – </w:t>
      </w:r>
      <w:r w:rsidR="002838AB">
        <w:rPr>
          <w:rFonts w:ascii="Arial" w:hAnsi="Arial" w:cs="Arial"/>
          <w:i/>
          <w:sz w:val="20"/>
          <w:szCs w:val="20"/>
        </w:rPr>
        <w:t>1</w:t>
      </w:r>
      <w:r w:rsidR="009E17B4" w:rsidRPr="009E17B4">
        <w:rPr>
          <w:rFonts w:ascii="Arial" w:hAnsi="Arial" w:cs="Arial"/>
          <w:i/>
          <w:sz w:val="20"/>
          <w:szCs w:val="20"/>
        </w:rPr>
        <w:t>800 MHz Band) Determination</w:t>
      </w:r>
      <w:r w:rsidR="00827697">
        <w:rPr>
          <w:rFonts w:ascii="Arial" w:hAnsi="Arial" w:cs="Arial"/>
          <w:i/>
          <w:sz w:val="20"/>
          <w:szCs w:val="20"/>
        </w:rPr>
        <w:t xml:space="preserve"> </w:t>
      </w:r>
      <w:r w:rsidR="009E17B4" w:rsidRPr="009E17B4">
        <w:rPr>
          <w:rFonts w:ascii="Arial" w:hAnsi="Arial" w:cs="Arial"/>
          <w:i/>
          <w:sz w:val="20"/>
          <w:szCs w:val="20"/>
        </w:rPr>
        <w:t>2012 (No. 1)</w:t>
      </w:r>
      <w:r w:rsidR="00172222">
        <w:rPr>
          <w:rFonts w:ascii="Arial" w:hAnsi="Arial" w:cs="Arial"/>
          <w:i/>
          <w:sz w:val="20"/>
          <w:szCs w:val="20"/>
        </w:rPr>
        <w:t>.</w:t>
      </w:r>
    </w:p>
    <w:p w:rsidR="007F3562" w:rsidRDefault="00937B79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 xml:space="preserve">Section 2 - Commencement </w:t>
      </w:r>
    </w:p>
    <w:p w:rsidR="007F3562" w:rsidRDefault="00937B79">
      <w:pPr>
        <w:jc w:val="both"/>
        <w:rPr>
          <w:rFonts w:ascii="Arial" w:hAnsi="Arial" w:cs="Arial"/>
        </w:rPr>
      </w:pPr>
      <w:r w:rsidRPr="00092561">
        <w:rPr>
          <w:rFonts w:ascii="Arial" w:hAnsi="Arial" w:cs="Arial"/>
          <w:sz w:val="20"/>
          <w:szCs w:val="20"/>
        </w:rPr>
        <w:t>This section states that the Determination will commence on</w:t>
      </w:r>
      <w:r w:rsidR="009E17B4" w:rsidRPr="009E17B4">
        <w:rPr>
          <w:rFonts w:ascii="Arial" w:hAnsi="Arial" w:cs="Arial"/>
        </w:rPr>
        <w:t xml:space="preserve"> </w:t>
      </w:r>
      <w:r w:rsidR="009E17B4" w:rsidRPr="009E17B4">
        <w:rPr>
          <w:rFonts w:ascii="Arial" w:hAnsi="Arial" w:cs="Arial"/>
          <w:sz w:val="20"/>
          <w:szCs w:val="20"/>
        </w:rPr>
        <w:t>the day after it is registered.</w:t>
      </w:r>
    </w:p>
    <w:p w:rsidR="007F3562" w:rsidRDefault="00937B79">
      <w:pPr>
        <w:jc w:val="both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 xml:space="preserve">Section 3 – </w:t>
      </w:r>
      <w:r w:rsidR="009E17B4" w:rsidRPr="009E17B4">
        <w:rPr>
          <w:rFonts w:ascii="Arial" w:hAnsi="Arial" w:cs="Arial"/>
          <w:b/>
          <w:sz w:val="20"/>
          <w:szCs w:val="20"/>
        </w:rPr>
        <w:t>Definitions</w:t>
      </w:r>
    </w:p>
    <w:p w:rsidR="007F3562" w:rsidRDefault="00937B79">
      <w:pPr>
        <w:jc w:val="both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</w:t>
      </w:r>
      <w:r w:rsidR="006220FC">
        <w:rPr>
          <w:rFonts w:ascii="Arial" w:hAnsi="Arial" w:cs="Arial"/>
          <w:sz w:val="20"/>
          <w:szCs w:val="20"/>
        </w:rPr>
        <w:t>defines</w:t>
      </w:r>
      <w:r w:rsidRPr="00092561">
        <w:rPr>
          <w:rFonts w:ascii="Arial" w:hAnsi="Arial" w:cs="Arial"/>
          <w:sz w:val="20"/>
          <w:szCs w:val="20"/>
        </w:rPr>
        <w:t xml:space="preserve"> the terms used in the Determination.</w:t>
      </w:r>
    </w:p>
    <w:p w:rsidR="007F3562" w:rsidRDefault="00937B79">
      <w:pPr>
        <w:jc w:val="both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 xml:space="preserve">Section 4 - </w:t>
      </w:r>
      <w:r w:rsidR="009E17B4" w:rsidRPr="009E17B4">
        <w:rPr>
          <w:rFonts w:ascii="Arial" w:hAnsi="Arial" w:cs="Arial"/>
          <w:b/>
          <w:sz w:val="20"/>
          <w:szCs w:val="20"/>
        </w:rPr>
        <w:t>Population of a licence area for a spectrum licence</w:t>
      </w:r>
    </w:p>
    <w:p w:rsidR="007F3562" w:rsidRDefault="009E17B4">
      <w:pPr>
        <w:jc w:val="both"/>
        <w:rPr>
          <w:rFonts w:ascii="Arial" w:hAnsi="Arial" w:cs="Arial"/>
          <w:sz w:val="20"/>
          <w:szCs w:val="20"/>
        </w:rPr>
      </w:pPr>
      <w:r w:rsidRPr="00023E26">
        <w:rPr>
          <w:rFonts w:ascii="Arial" w:hAnsi="Arial" w:cs="Arial"/>
          <w:sz w:val="20"/>
          <w:szCs w:val="20"/>
        </w:rPr>
        <w:t>This section</w:t>
      </w:r>
      <w:r w:rsidR="00EE7F65" w:rsidRPr="00023E26">
        <w:rPr>
          <w:rFonts w:ascii="Arial" w:hAnsi="Arial" w:cs="Arial"/>
          <w:sz w:val="20"/>
          <w:szCs w:val="20"/>
        </w:rPr>
        <w:t xml:space="preserve"> provides </w:t>
      </w:r>
      <w:r w:rsidRPr="00023E26">
        <w:rPr>
          <w:rFonts w:ascii="Arial" w:hAnsi="Arial" w:cs="Arial"/>
          <w:sz w:val="20"/>
          <w:szCs w:val="20"/>
        </w:rPr>
        <w:t>population estimate</w:t>
      </w:r>
      <w:r w:rsidR="00827697" w:rsidRPr="00023E26">
        <w:rPr>
          <w:rFonts w:ascii="Arial" w:hAnsi="Arial" w:cs="Arial"/>
          <w:sz w:val="20"/>
          <w:szCs w:val="20"/>
        </w:rPr>
        <w:t>s</w:t>
      </w:r>
      <w:r w:rsidRPr="00023E26">
        <w:rPr>
          <w:rFonts w:ascii="Arial" w:hAnsi="Arial" w:cs="Arial"/>
          <w:sz w:val="20"/>
          <w:szCs w:val="20"/>
        </w:rPr>
        <w:t xml:space="preserve"> </w:t>
      </w:r>
      <w:r w:rsidR="005115AD" w:rsidRPr="005115AD">
        <w:rPr>
          <w:rFonts w:ascii="Arial" w:hAnsi="Arial" w:cs="Arial"/>
          <w:sz w:val="20"/>
          <w:szCs w:val="20"/>
        </w:rPr>
        <w:t xml:space="preserve">for a spectrum licence </w:t>
      </w:r>
      <w:r w:rsidRPr="00023E26">
        <w:rPr>
          <w:rFonts w:ascii="Arial" w:hAnsi="Arial" w:cs="Arial"/>
          <w:sz w:val="20"/>
          <w:szCs w:val="20"/>
        </w:rPr>
        <w:t xml:space="preserve">in each </w:t>
      </w:r>
      <w:r w:rsidR="000220F8" w:rsidRPr="00023E26">
        <w:rPr>
          <w:rFonts w:ascii="Arial" w:hAnsi="Arial" w:cs="Arial"/>
          <w:sz w:val="20"/>
          <w:szCs w:val="20"/>
        </w:rPr>
        <w:t>licence area</w:t>
      </w:r>
      <w:r w:rsidR="00EE7F65" w:rsidRPr="00023E26">
        <w:rPr>
          <w:rFonts w:ascii="Arial" w:hAnsi="Arial" w:cs="Arial"/>
          <w:sz w:val="20"/>
          <w:szCs w:val="20"/>
        </w:rPr>
        <w:t xml:space="preserve">. </w:t>
      </w:r>
    </w:p>
    <w:p w:rsidR="007F3562" w:rsidRDefault="009E17B4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Population data from the most recently conducted Census for which data ha</w:t>
      </w:r>
      <w:r w:rsidR="00827697">
        <w:rPr>
          <w:rFonts w:ascii="Arial" w:hAnsi="Arial" w:cs="Arial"/>
          <w:sz w:val="20"/>
          <w:szCs w:val="20"/>
        </w:rPr>
        <w:t>ve</w:t>
      </w:r>
      <w:r w:rsidRPr="009E17B4">
        <w:rPr>
          <w:rFonts w:ascii="Arial" w:hAnsi="Arial" w:cs="Arial"/>
          <w:sz w:val="20"/>
          <w:szCs w:val="20"/>
        </w:rPr>
        <w:t xml:space="preserve"> been released by the Australian Bureau of Statistics (ABS)</w:t>
      </w:r>
      <w:r w:rsidR="00495E12">
        <w:rPr>
          <w:rFonts w:ascii="Arial" w:hAnsi="Arial" w:cs="Arial"/>
          <w:sz w:val="20"/>
          <w:szCs w:val="20"/>
        </w:rPr>
        <w:t xml:space="preserve"> (August 2011)</w:t>
      </w:r>
      <w:r w:rsidRPr="009E17B4">
        <w:rPr>
          <w:rFonts w:ascii="Arial" w:hAnsi="Arial" w:cs="Arial"/>
          <w:sz w:val="20"/>
          <w:szCs w:val="20"/>
        </w:rPr>
        <w:t xml:space="preserve"> </w:t>
      </w:r>
      <w:r w:rsidR="00827697">
        <w:rPr>
          <w:rFonts w:ascii="Arial" w:hAnsi="Arial" w:cs="Arial"/>
          <w:sz w:val="20"/>
          <w:szCs w:val="20"/>
        </w:rPr>
        <w:t xml:space="preserve">are </w:t>
      </w:r>
      <w:r w:rsidRPr="009E17B4">
        <w:rPr>
          <w:rFonts w:ascii="Arial" w:hAnsi="Arial" w:cs="Arial"/>
          <w:sz w:val="20"/>
          <w:szCs w:val="20"/>
        </w:rPr>
        <w:t xml:space="preserve">overlaid with the boundaries of each </w:t>
      </w:r>
      <w:r w:rsidR="000220F8">
        <w:rPr>
          <w:rFonts w:ascii="Arial" w:hAnsi="Arial" w:cs="Arial"/>
          <w:sz w:val="20"/>
          <w:szCs w:val="20"/>
        </w:rPr>
        <w:t>licence area</w:t>
      </w:r>
      <w:r w:rsidRPr="009E17B4">
        <w:rPr>
          <w:rFonts w:ascii="Arial" w:hAnsi="Arial" w:cs="Arial"/>
          <w:sz w:val="20"/>
          <w:szCs w:val="20"/>
        </w:rPr>
        <w:t xml:space="preserve"> to derive an estimated population count in each </w:t>
      </w:r>
      <w:r w:rsidR="000220F8">
        <w:rPr>
          <w:rFonts w:ascii="Arial" w:hAnsi="Arial" w:cs="Arial"/>
          <w:sz w:val="20"/>
          <w:szCs w:val="20"/>
        </w:rPr>
        <w:t>licence area</w:t>
      </w:r>
      <w:r w:rsidRPr="009E17B4">
        <w:rPr>
          <w:rFonts w:ascii="Arial" w:hAnsi="Arial" w:cs="Arial"/>
          <w:sz w:val="20"/>
          <w:szCs w:val="20"/>
        </w:rPr>
        <w:t xml:space="preserve"> at the time of the Census. Estimates of the population in each </w:t>
      </w:r>
      <w:r w:rsidR="000220F8">
        <w:rPr>
          <w:rFonts w:ascii="Arial" w:hAnsi="Arial" w:cs="Arial"/>
          <w:sz w:val="20"/>
          <w:szCs w:val="20"/>
        </w:rPr>
        <w:t>licence area</w:t>
      </w:r>
      <w:r w:rsidRPr="009E17B4">
        <w:rPr>
          <w:rFonts w:ascii="Arial" w:hAnsi="Arial" w:cs="Arial"/>
          <w:sz w:val="20"/>
          <w:szCs w:val="20"/>
        </w:rPr>
        <w:t xml:space="preserve"> are based on aggregating the total population count in each Census Statistical Area Level 1 (the smallest available geographic area) that is part of the relevant </w:t>
      </w:r>
      <w:r w:rsidR="000220F8">
        <w:rPr>
          <w:rFonts w:ascii="Arial" w:hAnsi="Arial" w:cs="Arial"/>
          <w:sz w:val="20"/>
          <w:szCs w:val="20"/>
        </w:rPr>
        <w:t>licence area</w:t>
      </w:r>
      <w:r w:rsidRPr="009E17B4">
        <w:rPr>
          <w:rFonts w:ascii="Arial" w:hAnsi="Arial" w:cs="Arial"/>
          <w:sz w:val="20"/>
          <w:szCs w:val="20"/>
        </w:rPr>
        <w:t xml:space="preserve">. </w:t>
      </w:r>
      <w:r w:rsidR="00B6180B" w:rsidRPr="0099015E">
        <w:rPr>
          <w:rFonts w:ascii="Arial" w:hAnsi="Arial" w:cs="Arial"/>
          <w:sz w:val="20"/>
          <w:szCs w:val="20"/>
        </w:rPr>
        <w:t xml:space="preserve">This derives an estimated population count for each </w:t>
      </w:r>
      <w:r w:rsidR="000220F8">
        <w:rPr>
          <w:rFonts w:ascii="Arial" w:hAnsi="Arial" w:cs="Arial"/>
          <w:sz w:val="20"/>
          <w:szCs w:val="20"/>
        </w:rPr>
        <w:t>licence area</w:t>
      </w:r>
      <w:r w:rsidR="00B6180B" w:rsidRPr="0099015E">
        <w:rPr>
          <w:rFonts w:ascii="Arial" w:hAnsi="Arial" w:cs="Arial"/>
          <w:sz w:val="20"/>
          <w:szCs w:val="20"/>
        </w:rPr>
        <w:t xml:space="preserve"> consistent with the population count and dispersion enumerated in Census 2011</w:t>
      </w:r>
      <w:r w:rsidR="0055734B" w:rsidRPr="0099015E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B6180B" w:rsidRPr="0099015E">
        <w:rPr>
          <w:rFonts w:ascii="Arial" w:hAnsi="Arial" w:cs="Arial"/>
          <w:sz w:val="20"/>
          <w:szCs w:val="20"/>
        </w:rPr>
        <w:t>.</w:t>
      </w:r>
      <w:r w:rsidRPr="009E17B4">
        <w:rPr>
          <w:rFonts w:ascii="Arial" w:hAnsi="Arial" w:cs="Arial"/>
          <w:sz w:val="20"/>
          <w:szCs w:val="20"/>
        </w:rPr>
        <w:t xml:space="preserve">  </w:t>
      </w:r>
    </w:p>
    <w:p w:rsidR="007F3562" w:rsidRDefault="00735C90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The Minister</w:t>
      </w:r>
      <w:r w:rsidR="00EB1E4A">
        <w:rPr>
          <w:rFonts w:ascii="Arial" w:hAnsi="Arial" w:cs="Arial"/>
          <w:sz w:val="20"/>
          <w:szCs w:val="20"/>
        </w:rPr>
        <w:t>ial</w:t>
      </w:r>
      <w:r w:rsidRPr="009E17B4">
        <w:rPr>
          <w:rFonts w:ascii="Arial" w:hAnsi="Arial" w:cs="Arial"/>
          <w:sz w:val="20"/>
          <w:szCs w:val="20"/>
        </w:rPr>
        <w:t xml:space="preserve"> Direction requires the ACMA to apply population estimates for each licence area at the time </w:t>
      </w:r>
      <w:r w:rsidR="00C20FEC">
        <w:rPr>
          <w:rFonts w:ascii="Arial" w:hAnsi="Arial" w:cs="Arial"/>
          <w:sz w:val="20"/>
          <w:szCs w:val="20"/>
        </w:rPr>
        <w:t>the</w:t>
      </w:r>
      <w:r w:rsidRPr="009E17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9E17B4">
        <w:rPr>
          <w:rFonts w:ascii="Arial" w:hAnsi="Arial" w:cs="Arial"/>
          <w:sz w:val="20"/>
          <w:szCs w:val="20"/>
        </w:rPr>
        <w:t>etermination</w:t>
      </w:r>
      <w:r w:rsidR="00C20FEC">
        <w:rPr>
          <w:rFonts w:ascii="Arial" w:hAnsi="Arial" w:cs="Arial"/>
          <w:sz w:val="20"/>
          <w:szCs w:val="20"/>
        </w:rPr>
        <w:t xml:space="preserve"> is made</w:t>
      </w:r>
      <w:r w:rsidRPr="009E17B4">
        <w:rPr>
          <w:rFonts w:ascii="Arial" w:hAnsi="Arial" w:cs="Arial"/>
          <w:sz w:val="20"/>
          <w:szCs w:val="20"/>
        </w:rPr>
        <w:t xml:space="preserve">.  </w:t>
      </w:r>
      <w:r w:rsidR="008A0EE6">
        <w:rPr>
          <w:rFonts w:ascii="Arial" w:hAnsi="Arial" w:cs="Arial"/>
          <w:sz w:val="20"/>
          <w:szCs w:val="20"/>
        </w:rPr>
        <w:t xml:space="preserve">To comply with the </w:t>
      </w:r>
      <w:r w:rsidR="00EB1E4A" w:rsidRPr="009E17B4">
        <w:rPr>
          <w:rFonts w:ascii="Arial" w:hAnsi="Arial" w:cs="Arial"/>
          <w:sz w:val="20"/>
          <w:szCs w:val="20"/>
        </w:rPr>
        <w:t>Minister</w:t>
      </w:r>
      <w:r w:rsidR="00EB1E4A">
        <w:rPr>
          <w:rFonts w:ascii="Arial" w:hAnsi="Arial" w:cs="Arial"/>
          <w:sz w:val="20"/>
          <w:szCs w:val="20"/>
        </w:rPr>
        <w:t>ial</w:t>
      </w:r>
      <w:r w:rsidR="00EB1E4A" w:rsidRPr="009E17B4">
        <w:rPr>
          <w:rFonts w:ascii="Arial" w:hAnsi="Arial" w:cs="Arial"/>
          <w:sz w:val="20"/>
          <w:szCs w:val="20"/>
        </w:rPr>
        <w:t xml:space="preserve"> Direction </w:t>
      </w:r>
      <w:r w:rsidR="001A5C43">
        <w:rPr>
          <w:rFonts w:ascii="Arial" w:hAnsi="Arial" w:cs="Arial"/>
          <w:sz w:val="20"/>
          <w:szCs w:val="20"/>
        </w:rPr>
        <w:t xml:space="preserve">the ACMA has </w:t>
      </w:r>
      <w:r w:rsidR="00495E12">
        <w:rPr>
          <w:rFonts w:ascii="Arial" w:hAnsi="Arial" w:cs="Arial"/>
          <w:sz w:val="20"/>
          <w:szCs w:val="20"/>
        </w:rPr>
        <w:t>considered</w:t>
      </w:r>
      <w:r w:rsidR="001A5C43" w:rsidRPr="00735C90">
        <w:rPr>
          <w:rFonts w:ascii="Arial" w:hAnsi="Arial" w:cs="Arial"/>
          <w:sz w:val="20"/>
          <w:szCs w:val="20"/>
        </w:rPr>
        <w:t xml:space="preserve"> how population </w:t>
      </w:r>
      <w:r w:rsidR="00495E12">
        <w:rPr>
          <w:rFonts w:ascii="Arial" w:hAnsi="Arial" w:cs="Arial"/>
          <w:sz w:val="20"/>
          <w:szCs w:val="20"/>
        </w:rPr>
        <w:t xml:space="preserve">numbers </w:t>
      </w:r>
      <w:r w:rsidR="001A5C43" w:rsidRPr="00735C90">
        <w:rPr>
          <w:rFonts w:ascii="Arial" w:hAnsi="Arial" w:cs="Arial"/>
          <w:sz w:val="20"/>
          <w:szCs w:val="20"/>
        </w:rPr>
        <w:t>ha</w:t>
      </w:r>
      <w:r w:rsidR="00495E12">
        <w:rPr>
          <w:rFonts w:ascii="Arial" w:hAnsi="Arial" w:cs="Arial"/>
          <w:sz w:val="20"/>
          <w:szCs w:val="20"/>
        </w:rPr>
        <w:t>ve</w:t>
      </w:r>
      <w:r w:rsidR="001A5C43" w:rsidRPr="00735C90">
        <w:rPr>
          <w:rFonts w:ascii="Arial" w:hAnsi="Arial" w:cs="Arial"/>
          <w:sz w:val="20"/>
          <w:szCs w:val="20"/>
        </w:rPr>
        <w:t xml:space="preserve"> grown across the intervening period (i.e. between the most recent available Censu</w:t>
      </w:r>
      <w:r w:rsidR="001A5C43">
        <w:rPr>
          <w:rFonts w:ascii="Arial" w:hAnsi="Arial" w:cs="Arial"/>
          <w:sz w:val="20"/>
          <w:szCs w:val="20"/>
        </w:rPr>
        <w:t xml:space="preserve">s and a time proximate to </w:t>
      </w:r>
      <w:r w:rsidR="004E7DE5">
        <w:rPr>
          <w:rFonts w:ascii="Arial" w:hAnsi="Arial" w:cs="Arial"/>
          <w:sz w:val="20"/>
          <w:szCs w:val="20"/>
        </w:rPr>
        <w:t xml:space="preserve">the making of the </w:t>
      </w:r>
      <w:r w:rsidR="001A5C43">
        <w:rPr>
          <w:rFonts w:ascii="Arial" w:hAnsi="Arial" w:cs="Arial"/>
          <w:sz w:val="20"/>
          <w:szCs w:val="20"/>
        </w:rPr>
        <w:t>D</w:t>
      </w:r>
      <w:r w:rsidR="001A5C43" w:rsidRPr="00735C90">
        <w:rPr>
          <w:rFonts w:ascii="Arial" w:hAnsi="Arial" w:cs="Arial"/>
          <w:sz w:val="20"/>
          <w:szCs w:val="20"/>
        </w:rPr>
        <w:t>etermination</w:t>
      </w:r>
      <w:r w:rsidR="001A5C43">
        <w:rPr>
          <w:rFonts w:ascii="Arial" w:hAnsi="Arial" w:cs="Arial"/>
          <w:sz w:val="20"/>
          <w:szCs w:val="20"/>
        </w:rPr>
        <w:t>)</w:t>
      </w:r>
      <w:r w:rsidR="004E7DE5">
        <w:rPr>
          <w:rFonts w:ascii="Arial" w:hAnsi="Arial" w:cs="Arial"/>
          <w:sz w:val="20"/>
          <w:szCs w:val="20"/>
        </w:rPr>
        <w:t>.</w:t>
      </w:r>
    </w:p>
    <w:p w:rsidR="007F3562" w:rsidRDefault="0081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Estimates of resident population at the national level are published by the ABS on a quarterly basis. </w:t>
      </w:r>
      <w:r w:rsidR="00066CC1">
        <w:rPr>
          <w:rFonts w:ascii="Arial" w:hAnsi="Arial" w:cs="Arial"/>
          <w:sz w:val="20"/>
          <w:szCs w:val="20"/>
        </w:rPr>
        <w:t xml:space="preserve">At the time of consulting with the licensees about the proposed spectrum access charges and preparing the Determination for the ACMA’s Authority to consider, the </w:t>
      </w:r>
      <w:r w:rsidR="009E17B4" w:rsidRPr="009E17B4">
        <w:rPr>
          <w:rFonts w:ascii="Arial" w:hAnsi="Arial" w:cs="Arial"/>
          <w:sz w:val="20"/>
          <w:szCs w:val="20"/>
        </w:rPr>
        <w:t>available national estimate of resident population relate</w:t>
      </w:r>
      <w:r w:rsidR="00066CC1">
        <w:rPr>
          <w:rFonts w:ascii="Arial" w:hAnsi="Arial" w:cs="Arial"/>
          <w:sz w:val="20"/>
          <w:szCs w:val="20"/>
        </w:rPr>
        <w:t>d</w:t>
      </w:r>
      <w:r w:rsidR="009E17B4" w:rsidRPr="009E17B4">
        <w:rPr>
          <w:rFonts w:ascii="Arial" w:hAnsi="Arial" w:cs="Arial"/>
          <w:sz w:val="20"/>
          <w:szCs w:val="20"/>
        </w:rPr>
        <w:t xml:space="preserve"> to </w:t>
      </w:r>
      <w:r w:rsidR="007D148B">
        <w:rPr>
          <w:rFonts w:ascii="Arial" w:hAnsi="Arial" w:cs="Arial"/>
          <w:sz w:val="20"/>
          <w:szCs w:val="20"/>
        </w:rPr>
        <w:t>March 2012</w:t>
      </w:r>
      <w:r w:rsidR="009E17B4" w:rsidRPr="009E17B4">
        <w:rPr>
          <w:rFonts w:ascii="Arial" w:hAnsi="Arial" w:cs="Arial"/>
          <w:sz w:val="20"/>
          <w:szCs w:val="20"/>
        </w:rPr>
        <w:t>.</w:t>
      </w:r>
      <w:r w:rsidR="009E17B4" w:rsidRPr="009E17B4">
        <w:rPr>
          <w:rStyle w:val="FootnoteReference"/>
        </w:rPr>
        <w:footnoteReference w:id="2"/>
      </w:r>
      <w:r w:rsidR="00735C90">
        <w:rPr>
          <w:rFonts w:ascii="Arial" w:hAnsi="Arial" w:cs="Arial"/>
          <w:sz w:val="20"/>
          <w:szCs w:val="20"/>
        </w:rPr>
        <w:t xml:space="preserve"> </w:t>
      </w:r>
      <w:r w:rsidR="00AC67BC">
        <w:rPr>
          <w:rFonts w:ascii="Arial" w:hAnsi="Arial" w:cs="Arial"/>
          <w:sz w:val="20"/>
          <w:szCs w:val="20"/>
        </w:rPr>
        <w:t xml:space="preserve">Given the quarterly release cycle of updated population estimates from the ABS, the ACMA </w:t>
      </w:r>
      <w:r w:rsidR="00735C90">
        <w:rPr>
          <w:rFonts w:ascii="Arial" w:hAnsi="Arial" w:cs="Arial"/>
          <w:sz w:val="20"/>
          <w:szCs w:val="20"/>
        </w:rPr>
        <w:t>has</w:t>
      </w:r>
      <w:r w:rsidR="00AC67BC">
        <w:rPr>
          <w:rFonts w:ascii="Arial" w:hAnsi="Arial" w:cs="Arial"/>
          <w:sz w:val="20"/>
          <w:szCs w:val="20"/>
        </w:rPr>
        <w:t xml:space="preserve"> appl</w:t>
      </w:r>
      <w:r w:rsidR="00735C90">
        <w:rPr>
          <w:rFonts w:ascii="Arial" w:hAnsi="Arial" w:cs="Arial"/>
          <w:sz w:val="20"/>
          <w:szCs w:val="20"/>
        </w:rPr>
        <w:t>ied</w:t>
      </w:r>
      <w:r w:rsidR="00AC67BC">
        <w:rPr>
          <w:rFonts w:ascii="Arial" w:hAnsi="Arial" w:cs="Arial"/>
          <w:sz w:val="20"/>
          <w:szCs w:val="20"/>
        </w:rPr>
        <w:t xml:space="preserve"> a population </w:t>
      </w:r>
      <w:r w:rsidR="007D148B">
        <w:rPr>
          <w:rFonts w:ascii="Arial" w:hAnsi="Arial" w:cs="Arial"/>
          <w:sz w:val="20"/>
          <w:szCs w:val="20"/>
        </w:rPr>
        <w:t xml:space="preserve">forecast </w:t>
      </w:r>
      <w:r w:rsidR="00AC67BC">
        <w:rPr>
          <w:rFonts w:ascii="Arial" w:hAnsi="Arial" w:cs="Arial"/>
          <w:sz w:val="20"/>
          <w:szCs w:val="20"/>
        </w:rPr>
        <w:t>as at the end of the most recent complete quarter</w:t>
      </w:r>
      <w:r w:rsidR="00F65769">
        <w:rPr>
          <w:rFonts w:ascii="Arial" w:hAnsi="Arial" w:cs="Arial"/>
          <w:sz w:val="20"/>
          <w:szCs w:val="20"/>
        </w:rPr>
        <w:t xml:space="preserve"> – that is, a</w:t>
      </w:r>
      <w:r w:rsidR="009E17B4" w:rsidRPr="009E17B4">
        <w:rPr>
          <w:rFonts w:ascii="Arial" w:hAnsi="Arial" w:cs="Arial"/>
          <w:sz w:val="20"/>
          <w:szCs w:val="20"/>
        </w:rPr>
        <w:t xml:space="preserve"> population </w:t>
      </w:r>
      <w:r w:rsidR="00F074C5">
        <w:rPr>
          <w:rFonts w:ascii="Arial" w:hAnsi="Arial" w:cs="Arial"/>
          <w:sz w:val="20"/>
          <w:szCs w:val="20"/>
        </w:rPr>
        <w:t>forecast</w:t>
      </w:r>
      <w:r w:rsidR="00F074C5" w:rsidRPr="009E17B4">
        <w:rPr>
          <w:rFonts w:ascii="Arial" w:hAnsi="Arial" w:cs="Arial"/>
          <w:sz w:val="20"/>
          <w:szCs w:val="20"/>
        </w:rPr>
        <w:t xml:space="preserve"> </w:t>
      </w:r>
      <w:r w:rsidR="009E17B4" w:rsidRPr="009E17B4">
        <w:rPr>
          <w:rFonts w:ascii="Arial" w:hAnsi="Arial" w:cs="Arial"/>
          <w:sz w:val="20"/>
          <w:szCs w:val="20"/>
        </w:rPr>
        <w:t xml:space="preserve">as at </w:t>
      </w:r>
      <w:r w:rsidR="002838AB">
        <w:rPr>
          <w:rFonts w:ascii="Arial" w:hAnsi="Arial" w:cs="Arial"/>
          <w:sz w:val="20"/>
          <w:szCs w:val="20"/>
        </w:rPr>
        <w:t xml:space="preserve">September </w:t>
      </w:r>
      <w:r w:rsidR="009E17B4" w:rsidRPr="009E17B4">
        <w:rPr>
          <w:rFonts w:ascii="Arial" w:hAnsi="Arial" w:cs="Arial"/>
          <w:sz w:val="20"/>
          <w:szCs w:val="20"/>
        </w:rPr>
        <w:t>2012</w:t>
      </w:r>
      <w:r w:rsidR="00463517">
        <w:rPr>
          <w:rFonts w:ascii="Arial" w:hAnsi="Arial" w:cs="Arial"/>
          <w:sz w:val="20"/>
          <w:szCs w:val="20"/>
        </w:rPr>
        <w:t xml:space="preserve"> </w:t>
      </w:r>
      <w:r w:rsidR="004E7DE5">
        <w:rPr>
          <w:rFonts w:ascii="Arial" w:hAnsi="Arial" w:cs="Arial"/>
          <w:sz w:val="20"/>
          <w:szCs w:val="20"/>
        </w:rPr>
        <w:t xml:space="preserve">has </w:t>
      </w:r>
      <w:r w:rsidR="009E1EBE">
        <w:rPr>
          <w:rFonts w:ascii="Arial" w:hAnsi="Arial" w:cs="Arial"/>
          <w:sz w:val="20"/>
          <w:szCs w:val="20"/>
        </w:rPr>
        <w:t>been applied</w:t>
      </w:r>
      <w:r w:rsidR="009E17B4" w:rsidRPr="009E17B4">
        <w:rPr>
          <w:rFonts w:ascii="Arial" w:hAnsi="Arial" w:cs="Arial"/>
          <w:sz w:val="20"/>
          <w:szCs w:val="20"/>
        </w:rPr>
        <w:t xml:space="preserve">. </w:t>
      </w:r>
      <w:r w:rsidR="00463517">
        <w:rPr>
          <w:rFonts w:ascii="Arial" w:hAnsi="Arial" w:cs="Arial"/>
          <w:sz w:val="20"/>
          <w:szCs w:val="20"/>
        </w:rPr>
        <w:t xml:space="preserve">The forecast is </w:t>
      </w:r>
      <w:r w:rsidR="00F65769">
        <w:rPr>
          <w:rFonts w:ascii="Arial" w:hAnsi="Arial" w:cs="Arial"/>
          <w:sz w:val="20"/>
          <w:szCs w:val="20"/>
        </w:rPr>
        <w:t xml:space="preserve">also </w:t>
      </w:r>
      <w:r w:rsidR="00463517">
        <w:rPr>
          <w:rFonts w:ascii="Arial" w:hAnsi="Arial" w:cs="Arial"/>
          <w:sz w:val="20"/>
          <w:szCs w:val="20"/>
        </w:rPr>
        <w:t xml:space="preserve">based on </w:t>
      </w:r>
      <w:r w:rsidR="00F074C5">
        <w:rPr>
          <w:rFonts w:ascii="Arial" w:hAnsi="Arial" w:cs="Arial"/>
          <w:sz w:val="20"/>
          <w:szCs w:val="20"/>
        </w:rPr>
        <w:t>calendar year end</w:t>
      </w:r>
      <w:r w:rsidR="00463517">
        <w:rPr>
          <w:rFonts w:ascii="Arial" w:hAnsi="Arial" w:cs="Arial"/>
          <w:sz w:val="20"/>
          <w:szCs w:val="20"/>
        </w:rPr>
        <w:t xml:space="preserve"> population </w:t>
      </w:r>
      <w:r w:rsidR="00F074C5">
        <w:rPr>
          <w:rFonts w:ascii="Arial" w:hAnsi="Arial" w:cs="Arial"/>
          <w:sz w:val="20"/>
          <w:szCs w:val="20"/>
        </w:rPr>
        <w:t xml:space="preserve">forecasts </w:t>
      </w:r>
      <w:r w:rsidR="00463517">
        <w:rPr>
          <w:rFonts w:ascii="Arial" w:hAnsi="Arial" w:cs="Arial"/>
          <w:sz w:val="20"/>
          <w:szCs w:val="20"/>
        </w:rPr>
        <w:t>published in the Commonwealth Budget released in May 2012</w:t>
      </w:r>
      <w:r w:rsidR="00463517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="00463517">
        <w:rPr>
          <w:rFonts w:ascii="Arial" w:hAnsi="Arial" w:cs="Arial"/>
          <w:sz w:val="20"/>
          <w:szCs w:val="20"/>
        </w:rPr>
        <w:t xml:space="preserve">. </w:t>
      </w:r>
      <w:r w:rsidR="009E17B4" w:rsidRPr="009E17B4">
        <w:rPr>
          <w:rFonts w:ascii="Arial" w:hAnsi="Arial" w:cs="Arial"/>
          <w:sz w:val="20"/>
          <w:szCs w:val="20"/>
        </w:rPr>
        <w:t xml:space="preserve"> </w:t>
      </w:r>
    </w:p>
    <w:p w:rsidR="007F3562" w:rsidRDefault="00EE19B9">
      <w:pPr>
        <w:jc w:val="both"/>
        <w:rPr>
          <w:rFonts w:ascii="Arial" w:hAnsi="Arial" w:cs="Arial"/>
          <w:sz w:val="20"/>
          <w:szCs w:val="20"/>
        </w:rPr>
      </w:pPr>
      <w:r w:rsidRPr="00EE19B9">
        <w:rPr>
          <w:rFonts w:ascii="Arial" w:hAnsi="Arial" w:cs="Arial"/>
          <w:sz w:val="20"/>
          <w:szCs w:val="20"/>
        </w:rPr>
        <w:lastRenderedPageBreak/>
        <w:t xml:space="preserve">The ratio of the projected national resident population at </w:t>
      </w:r>
      <w:r w:rsidR="002838AB">
        <w:rPr>
          <w:rFonts w:ascii="Arial" w:hAnsi="Arial" w:cs="Arial"/>
          <w:sz w:val="20"/>
          <w:szCs w:val="20"/>
        </w:rPr>
        <w:t>September</w:t>
      </w:r>
      <w:r w:rsidR="002838AB" w:rsidRPr="00EE19B9">
        <w:rPr>
          <w:rFonts w:ascii="Arial" w:hAnsi="Arial" w:cs="Arial"/>
          <w:sz w:val="20"/>
          <w:szCs w:val="20"/>
        </w:rPr>
        <w:t xml:space="preserve"> </w:t>
      </w:r>
      <w:r w:rsidRPr="00EE19B9">
        <w:rPr>
          <w:rFonts w:ascii="Arial" w:hAnsi="Arial" w:cs="Arial"/>
          <w:sz w:val="20"/>
          <w:szCs w:val="20"/>
        </w:rPr>
        <w:t>2012 to the Census 2011 national population count of 21,507,713 provides an indicator of how population has grown across the intervening period (i.e. between the most recent available Censu</w:t>
      </w:r>
      <w:r w:rsidR="001A5C43">
        <w:rPr>
          <w:rFonts w:ascii="Arial" w:hAnsi="Arial" w:cs="Arial"/>
          <w:sz w:val="20"/>
          <w:szCs w:val="20"/>
        </w:rPr>
        <w:t xml:space="preserve">s and a time proximate to </w:t>
      </w:r>
      <w:r w:rsidR="004E7DE5">
        <w:rPr>
          <w:rFonts w:ascii="Arial" w:hAnsi="Arial" w:cs="Arial"/>
          <w:sz w:val="20"/>
          <w:szCs w:val="20"/>
        </w:rPr>
        <w:t xml:space="preserve">the date of the </w:t>
      </w:r>
      <w:r w:rsidR="001A5C43">
        <w:rPr>
          <w:rFonts w:ascii="Arial" w:hAnsi="Arial" w:cs="Arial"/>
          <w:sz w:val="20"/>
          <w:szCs w:val="20"/>
        </w:rPr>
        <w:t>D</w:t>
      </w:r>
      <w:r w:rsidRPr="00EE19B9">
        <w:rPr>
          <w:rFonts w:ascii="Arial" w:hAnsi="Arial" w:cs="Arial"/>
          <w:sz w:val="20"/>
          <w:szCs w:val="20"/>
        </w:rPr>
        <w:t xml:space="preserve">etermination). This ratio is then applied to the estimate of population in each </w:t>
      </w:r>
      <w:r w:rsidR="000220F8">
        <w:rPr>
          <w:rFonts w:ascii="Arial" w:hAnsi="Arial" w:cs="Arial"/>
          <w:sz w:val="20"/>
          <w:szCs w:val="20"/>
        </w:rPr>
        <w:t>licence area</w:t>
      </w:r>
      <w:r w:rsidRPr="00EE19B9">
        <w:rPr>
          <w:rFonts w:ascii="Arial" w:hAnsi="Arial" w:cs="Arial"/>
          <w:sz w:val="20"/>
          <w:szCs w:val="20"/>
        </w:rPr>
        <w:t xml:space="preserve"> at August 2011 to derive an estimate of population in each </w:t>
      </w:r>
      <w:r w:rsidR="000220F8">
        <w:rPr>
          <w:rFonts w:ascii="Arial" w:hAnsi="Arial" w:cs="Arial"/>
          <w:sz w:val="20"/>
          <w:szCs w:val="20"/>
        </w:rPr>
        <w:t>licence area</w:t>
      </w:r>
      <w:r w:rsidRPr="00EE19B9">
        <w:rPr>
          <w:rFonts w:ascii="Arial" w:hAnsi="Arial" w:cs="Arial"/>
          <w:sz w:val="20"/>
          <w:szCs w:val="20"/>
        </w:rPr>
        <w:t xml:space="preserve"> as at </w:t>
      </w:r>
      <w:r w:rsidR="002838AB">
        <w:rPr>
          <w:rFonts w:ascii="Arial" w:hAnsi="Arial" w:cs="Arial"/>
          <w:sz w:val="20"/>
          <w:szCs w:val="20"/>
        </w:rPr>
        <w:t>September</w:t>
      </w:r>
      <w:r w:rsidR="002838AB" w:rsidRPr="00EE19B9">
        <w:rPr>
          <w:rFonts w:ascii="Arial" w:hAnsi="Arial" w:cs="Arial"/>
          <w:sz w:val="20"/>
          <w:szCs w:val="20"/>
        </w:rPr>
        <w:t xml:space="preserve"> </w:t>
      </w:r>
      <w:r w:rsidRPr="00EE19B9">
        <w:rPr>
          <w:rFonts w:ascii="Arial" w:hAnsi="Arial" w:cs="Arial"/>
          <w:sz w:val="20"/>
          <w:szCs w:val="20"/>
        </w:rPr>
        <w:t xml:space="preserve">2012. </w:t>
      </w:r>
      <w:r w:rsidR="000025E9">
        <w:rPr>
          <w:rFonts w:ascii="Arial" w:hAnsi="Arial" w:cs="Arial"/>
          <w:sz w:val="20"/>
          <w:szCs w:val="20"/>
        </w:rPr>
        <w:t>An</w:t>
      </w:r>
      <w:r w:rsidR="0099015E">
        <w:rPr>
          <w:rFonts w:ascii="Arial" w:hAnsi="Arial" w:cs="Arial"/>
          <w:sz w:val="20"/>
          <w:szCs w:val="20"/>
        </w:rPr>
        <w:t xml:space="preserve"> example of </w:t>
      </w:r>
      <w:r w:rsidR="000025E9">
        <w:rPr>
          <w:rFonts w:ascii="Arial" w:hAnsi="Arial" w:cs="Arial"/>
          <w:sz w:val="20"/>
          <w:szCs w:val="20"/>
        </w:rPr>
        <w:t>the population</w:t>
      </w:r>
      <w:r w:rsidR="00604835">
        <w:rPr>
          <w:rFonts w:ascii="Arial" w:hAnsi="Arial" w:cs="Arial"/>
          <w:sz w:val="20"/>
          <w:szCs w:val="20"/>
        </w:rPr>
        <w:t xml:space="preserve"> </w:t>
      </w:r>
      <w:r w:rsidR="000025E9">
        <w:rPr>
          <w:rFonts w:ascii="Arial" w:hAnsi="Arial" w:cs="Arial"/>
          <w:sz w:val="20"/>
          <w:szCs w:val="20"/>
        </w:rPr>
        <w:t>calculation</w:t>
      </w:r>
      <w:r w:rsidR="001A5C43">
        <w:rPr>
          <w:rFonts w:ascii="Arial" w:hAnsi="Arial" w:cs="Arial"/>
          <w:sz w:val="20"/>
          <w:szCs w:val="20"/>
        </w:rPr>
        <w:t xml:space="preserve"> for a licence area</w:t>
      </w:r>
      <w:r w:rsidR="000025E9">
        <w:rPr>
          <w:rFonts w:ascii="Arial" w:hAnsi="Arial" w:cs="Arial"/>
          <w:sz w:val="20"/>
          <w:szCs w:val="20"/>
        </w:rPr>
        <w:t xml:space="preserve"> is provided in the following table:</w:t>
      </w:r>
    </w:p>
    <w:p w:rsidR="007F3562" w:rsidRDefault="007D148B">
      <w:pPr>
        <w:jc w:val="both"/>
        <w:rPr>
          <w:rFonts w:ascii="Arial" w:hAnsi="Arial" w:cs="Arial"/>
          <w:sz w:val="20"/>
          <w:szCs w:val="20"/>
        </w:rPr>
      </w:pPr>
      <w:r w:rsidRPr="007D148B">
        <w:rPr>
          <w:noProof/>
          <w:szCs w:val="20"/>
          <w:lang w:eastAsia="en-AU"/>
        </w:rPr>
        <w:drawing>
          <wp:inline distT="0" distB="0" distL="0" distR="0">
            <wp:extent cx="5731510" cy="314395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562" w:rsidRDefault="007F3562">
      <w:pPr>
        <w:jc w:val="both"/>
        <w:rPr>
          <w:rFonts w:ascii="Arial" w:hAnsi="Arial" w:cs="Arial"/>
          <w:sz w:val="20"/>
          <w:szCs w:val="20"/>
        </w:rPr>
      </w:pPr>
    </w:p>
    <w:p w:rsidR="007F3562" w:rsidRDefault="009E17B4">
      <w:pPr>
        <w:jc w:val="both"/>
        <w:rPr>
          <w:rFonts w:cs="Arial"/>
          <w:sz w:val="20"/>
        </w:rPr>
      </w:pPr>
      <w:r w:rsidRPr="009E17B4">
        <w:rPr>
          <w:rFonts w:ascii="Arial" w:hAnsi="Arial" w:cs="Arial"/>
          <w:b/>
          <w:sz w:val="20"/>
          <w:szCs w:val="20"/>
        </w:rPr>
        <w:t xml:space="preserve">Section 5 - </w:t>
      </w:r>
      <w:r w:rsidRPr="009E17B4">
        <w:rPr>
          <w:rFonts w:ascii="Arial" w:hAnsi="Arial" w:cs="Arial"/>
          <w:b/>
          <w:sz w:val="20"/>
        </w:rPr>
        <w:t>Spectrum access</w:t>
      </w:r>
      <w:r w:rsidRPr="009E17B4">
        <w:rPr>
          <w:rFonts w:ascii="Arial" w:hAnsi="Arial" w:cs="Arial"/>
          <w:sz w:val="20"/>
        </w:rPr>
        <w:t xml:space="preserve"> </w:t>
      </w:r>
      <w:r w:rsidRPr="009E17B4">
        <w:rPr>
          <w:rFonts w:ascii="Arial" w:hAnsi="Arial" w:cs="Arial"/>
          <w:b/>
          <w:sz w:val="20"/>
          <w:szCs w:val="20"/>
        </w:rPr>
        <w:t>charges payable by Telstra Corporation Limited</w:t>
      </w:r>
    </w:p>
    <w:p w:rsidR="007F3562" w:rsidRDefault="009E17B4">
      <w:pPr>
        <w:jc w:val="both"/>
        <w:rPr>
          <w:rFonts w:cs="Arial"/>
          <w:sz w:val="20"/>
        </w:rPr>
      </w:pPr>
      <w:r w:rsidRPr="009E17B4">
        <w:rPr>
          <w:rFonts w:ascii="Arial" w:hAnsi="Arial" w:cs="Arial"/>
          <w:sz w:val="20"/>
          <w:szCs w:val="20"/>
        </w:rPr>
        <w:t xml:space="preserve">This section provides the amount of spectrum access charge payable by Telstra Corporation Limited for the re-issue of </w:t>
      </w:r>
      <w:r w:rsidR="008D4EA2">
        <w:rPr>
          <w:rFonts w:ascii="Arial" w:hAnsi="Arial" w:cs="Arial"/>
          <w:sz w:val="20"/>
          <w:szCs w:val="20"/>
        </w:rPr>
        <w:t>each</w:t>
      </w:r>
      <w:r w:rsidRPr="009E17B4">
        <w:rPr>
          <w:rFonts w:ascii="Arial" w:hAnsi="Arial" w:cs="Arial"/>
          <w:sz w:val="20"/>
          <w:szCs w:val="20"/>
        </w:rPr>
        <w:t xml:space="preserve"> spectrum licence</w:t>
      </w:r>
      <w:r w:rsidR="00092561">
        <w:rPr>
          <w:rFonts w:ascii="Arial" w:hAnsi="Arial" w:cs="Arial"/>
          <w:sz w:val="20"/>
          <w:szCs w:val="20"/>
        </w:rPr>
        <w:t xml:space="preserve"> and the relevant  spectrum licence details. The note used in </w:t>
      </w:r>
      <w:r w:rsidR="008D4EA2">
        <w:rPr>
          <w:rFonts w:ascii="Arial" w:hAnsi="Arial" w:cs="Arial"/>
          <w:sz w:val="20"/>
          <w:szCs w:val="20"/>
        </w:rPr>
        <w:t>s</w:t>
      </w:r>
      <w:r w:rsidR="00092561">
        <w:rPr>
          <w:rFonts w:ascii="Arial" w:hAnsi="Arial" w:cs="Arial"/>
          <w:sz w:val="20"/>
          <w:szCs w:val="20"/>
        </w:rPr>
        <w:t xml:space="preserve">ection 5 clarifies that the amount payable is </w:t>
      </w:r>
      <w:r w:rsidR="00C173D7">
        <w:rPr>
          <w:rFonts w:ascii="Arial" w:hAnsi="Arial" w:cs="Arial"/>
          <w:sz w:val="20"/>
          <w:szCs w:val="20"/>
        </w:rPr>
        <w:t>compliant</w:t>
      </w:r>
      <w:r w:rsidR="00092561">
        <w:rPr>
          <w:rFonts w:ascii="Arial" w:hAnsi="Arial" w:cs="Arial"/>
          <w:sz w:val="20"/>
          <w:szCs w:val="20"/>
        </w:rPr>
        <w:t xml:space="preserve"> with the Ministerial Direction </w:t>
      </w:r>
      <w:r w:rsidR="00FF61DD">
        <w:rPr>
          <w:rFonts w:ascii="Arial" w:hAnsi="Arial" w:cs="Arial"/>
          <w:sz w:val="20"/>
          <w:szCs w:val="20"/>
        </w:rPr>
        <w:t xml:space="preserve">and </w:t>
      </w:r>
      <w:r w:rsidRPr="009E17B4">
        <w:rPr>
          <w:rFonts w:ascii="Arial" w:hAnsi="Arial" w:cs="Arial"/>
          <w:sz w:val="20"/>
          <w:szCs w:val="20"/>
        </w:rPr>
        <w:t xml:space="preserve">is calculated by multiplying the </w:t>
      </w:r>
      <w:r w:rsidR="00FF61DD">
        <w:rPr>
          <w:rFonts w:ascii="Arial" w:hAnsi="Arial" w:cs="Arial"/>
          <w:sz w:val="20"/>
          <w:szCs w:val="20"/>
        </w:rPr>
        <w:t xml:space="preserve">unit </w:t>
      </w:r>
      <w:r w:rsidRPr="009E17B4">
        <w:rPr>
          <w:rFonts w:ascii="Arial" w:hAnsi="Arial" w:cs="Arial"/>
          <w:sz w:val="20"/>
          <w:szCs w:val="20"/>
        </w:rPr>
        <w:t xml:space="preserve">value of the spectrum in relation to the </w:t>
      </w:r>
      <w:r w:rsidR="002838AB">
        <w:rPr>
          <w:rFonts w:ascii="Arial" w:hAnsi="Arial" w:cs="Arial"/>
          <w:sz w:val="20"/>
          <w:szCs w:val="20"/>
        </w:rPr>
        <w:t>1</w:t>
      </w:r>
      <w:r w:rsidRPr="009E17B4">
        <w:rPr>
          <w:rFonts w:ascii="Arial" w:hAnsi="Arial" w:cs="Arial"/>
          <w:sz w:val="20"/>
          <w:szCs w:val="20"/>
        </w:rPr>
        <w:t>800 MHz band (being $</w:t>
      </w:r>
      <w:r w:rsidR="002838AB">
        <w:rPr>
          <w:rFonts w:ascii="Arial" w:hAnsi="Arial" w:cs="Arial"/>
          <w:sz w:val="20"/>
          <w:szCs w:val="20"/>
        </w:rPr>
        <w:t>0</w:t>
      </w:r>
      <w:r w:rsidRPr="009E17B4">
        <w:rPr>
          <w:rFonts w:ascii="Arial" w:hAnsi="Arial" w:cs="Arial"/>
          <w:sz w:val="20"/>
          <w:szCs w:val="20"/>
        </w:rPr>
        <w:t xml:space="preserve">.23) by the population of the licence area for the spectrum licence (as determined in accordance with section 4) by the bandwidth </w:t>
      </w:r>
      <w:r w:rsidR="00FF61DD">
        <w:rPr>
          <w:rFonts w:ascii="Arial" w:hAnsi="Arial" w:cs="Arial"/>
          <w:sz w:val="20"/>
          <w:szCs w:val="20"/>
        </w:rPr>
        <w:t xml:space="preserve">authorised </w:t>
      </w:r>
      <w:r w:rsidRPr="009E17B4">
        <w:rPr>
          <w:rFonts w:ascii="Arial" w:hAnsi="Arial" w:cs="Arial"/>
          <w:sz w:val="20"/>
          <w:szCs w:val="20"/>
        </w:rPr>
        <w:t xml:space="preserve">for </w:t>
      </w:r>
      <w:r w:rsidR="00CA4CEA">
        <w:rPr>
          <w:rFonts w:ascii="Arial" w:hAnsi="Arial" w:cs="Arial"/>
          <w:sz w:val="20"/>
          <w:szCs w:val="20"/>
        </w:rPr>
        <w:t xml:space="preserve">use in </w:t>
      </w:r>
      <w:r w:rsidRPr="009E17B4">
        <w:rPr>
          <w:rFonts w:ascii="Arial" w:hAnsi="Arial" w:cs="Arial"/>
          <w:sz w:val="20"/>
          <w:szCs w:val="20"/>
        </w:rPr>
        <w:t>the licence</w:t>
      </w:r>
      <w:r w:rsidR="00CA4CEA">
        <w:rPr>
          <w:rFonts w:ascii="Arial" w:hAnsi="Arial" w:cs="Arial"/>
          <w:sz w:val="20"/>
          <w:szCs w:val="20"/>
        </w:rPr>
        <w:t xml:space="preserve"> area</w:t>
      </w:r>
      <w:r w:rsidR="00092561">
        <w:rPr>
          <w:rFonts w:ascii="Arial" w:hAnsi="Arial" w:cs="Arial"/>
          <w:sz w:val="20"/>
          <w:szCs w:val="20"/>
        </w:rPr>
        <w:t xml:space="preserve">. </w:t>
      </w:r>
      <w:r w:rsidR="00883C1E" w:rsidRPr="009E17B4">
        <w:rPr>
          <w:rFonts w:ascii="Arial" w:hAnsi="Arial" w:cs="Arial"/>
          <w:sz w:val="20"/>
          <w:szCs w:val="20"/>
        </w:rPr>
        <w:t>The bandwidth applied in the calculation of spectrum access charges in th</w:t>
      </w:r>
      <w:r w:rsidR="004E7DE5">
        <w:rPr>
          <w:rFonts w:ascii="Arial" w:hAnsi="Arial" w:cs="Arial"/>
          <w:sz w:val="20"/>
          <w:szCs w:val="20"/>
        </w:rPr>
        <w:t>e</w:t>
      </w:r>
      <w:r w:rsidR="00883C1E" w:rsidRPr="009E17B4">
        <w:rPr>
          <w:rFonts w:ascii="Arial" w:hAnsi="Arial" w:cs="Arial"/>
          <w:sz w:val="20"/>
          <w:szCs w:val="20"/>
        </w:rPr>
        <w:t xml:space="preserve"> Determination </w:t>
      </w:r>
      <w:r w:rsidR="006F1374">
        <w:rPr>
          <w:rFonts w:ascii="Arial" w:hAnsi="Arial" w:cs="Arial"/>
          <w:sz w:val="20"/>
          <w:szCs w:val="20"/>
        </w:rPr>
        <w:t>i</w:t>
      </w:r>
      <w:r w:rsidR="00883C1E" w:rsidRPr="009E17B4">
        <w:rPr>
          <w:rFonts w:ascii="Arial" w:hAnsi="Arial" w:cs="Arial"/>
          <w:sz w:val="20"/>
          <w:szCs w:val="20"/>
        </w:rPr>
        <w:t xml:space="preserve">s based on information obtained from the </w:t>
      </w:r>
      <w:r w:rsidR="00883C1E" w:rsidRPr="009E17B4">
        <w:rPr>
          <w:rFonts w:ascii="Arial" w:hAnsi="Arial" w:cs="Arial"/>
          <w:i/>
          <w:sz w:val="20"/>
          <w:szCs w:val="20"/>
        </w:rPr>
        <w:t xml:space="preserve">Register of </w:t>
      </w:r>
      <w:r w:rsidR="008D4EA2" w:rsidRPr="009E17B4">
        <w:rPr>
          <w:rFonts w:ascii="Arial" w:hAnsi="Arial" w:cs="Arial"/>
          <w:i/>
          <w:sz w:val="20"/>
          <w:szCs w:val="20"/>
        </w:rPr>
        <w:t>Radiocommunication</w:t>
      </w:r>
      <w:r w:rsidR="008D4EA2">
        <w:rPr>
          <w:rFonts w:ascii="Arial" w:hAnsi="Arial" w:cs="Arial"/>
          <w:i/>
          <w:sz w:val="20"/>
          <w:szCs w:val="20"/>
        </w:rPr>
        <w:t>s</w:t>
      </w:r>
      <w:r w:rsidR="00883C1E" w:rsidRPr="009E17B4">
        <w:rPr>
          <w:rFonts w:ascii="Arial" w:hAnsi="Arial" w:cs="Arial"/>
          <w:i/>
          <w:sz w:val="20"/>
          <w:szCs w:val="20"/>
        </w:rPr>
        <w:t xml:space="preserve"> Licences</w:t>
      </w:r>
      <w:r w:rsidR="00883C1E" w:rsidRPr="009E17B4">
        <w:rPr>
          <w:rFonts w:ascii="Arial" w:hAnsi="Arial" w:cs="Arial"/>
          <w:sz w:val="20"/>
          <w:szCs w:val="20"/>
        </w:rPr>
        <w:t xml:space="preserve"> accessible </w:t>
      </w:r>
      <w:hyperlink r:id="rId13" w:history="1">
        <w:r w:rsidR="00883C1E" w:rsidRPr="00883C1E">
          <w:rPr>
            <w:rStyle w:val="Hyperlink"/>
            <w:rFonts w:ascii="Arial" w:hAnsi="Arial" w:cs="Arial"/>
            <w:sz w:val="20"/>
            <w:szCs w:val="20"/>
          </w:rPr>
          <w:t>from the ACMA website</w:t>
        </w:r>
      </w:hyperlink>
      <w:r w:rsidR="00883C1E">
        <w:rPr>
          <w:rFonts w:ascii="Arial" w:hAnsi="Arial" w:cs="Arial"/>
          <w:sz w:val="20"/>
          <w:szCs w:val="20"/>
        </w:rPr>
        <w:t>.</w:t>
      </w:r>
      <w:r w:rsidR="009E1EBE">
        <w:rPr>
          <w:rFonts w:ascii="Arial" w:hAnsi="Arial" w:cs="Arial"/>
          <w:sz w:val="20"/>
          <w:szCs w:val="20"/>
        </w:rPr>
        <w:t xml:space="preserve"> </w:t>
      </w:r>
    </w:p>
    <w:p w:rsidR="007F3562" w:rsidRDefault="009E17B4">
      <w:pPr>
        <w:jc w:val="both"/>
        <w:rPr>
          <w:rFonts w:cs="Arial"/>
          <w:b/>
          <w:sz w:val="20"/>
        </w:rPr>
      </w:pPr>
      <w:r w:rsidRPr="009E17B4">
        <w:rPr>
          <w:rFonts w:ascii="Arial" w:hAnsi="Arial" w:cs="Arial"/>
          <w:b/>
          <w:sz w:val="20"/>
          <w:szCs w:val="20"/>
        </w:rPr>
        <w:t xml:space="preserve">Section 6 - </w:t>
      </w:r>
      <w:r w:rsidRPr="009E17B4">
        <w:rPr>
          <w:rFonts w:ascii="Arial" w:hAnsi="Arial" w:cs="Arial"/>
          <w:b/>
          <w:sz w:val="20"/>
        </w:rPr>
        <w:t>Spectrum</w:t>
      </w:r>
      <w:r w:rsidR="00092561" w:rsidRPr="00092561">
        <w:rPr>
          <w:rFonts w:ascii="Arial" w:hAnsi="Arial" w:cs="Arial"/>
          <w:b/>
          <w:sz w:val="20"/>
        </w:rPr>
        <w:t xml:space="preserve"> access</w:t>
      </w:r>
      <w:r w:rsidR="00092561" w:rsidRPr="00092561">
        <w:rPr>
          <w:rFonts w:ascii="Arial" w:hAnsi="Arial" w:cs="Arial"/>
          <w:sz w:val="20"/>
        </w:rPr>
        <w:t xml:space="preserve"> </w:t>
      </w:r>
      <w:r w:rsidR="00092561" w:rsidRPr="00092561">
        <w:rPr>
          <w:rFonts w:ascii="Arial" w:hAnsi="Arial" w:cs="Arial"/>
          <w:b/>
          <w:sz w:val="20"/>
          <w:szCs w:val="20"/>
        </w:rPr>
        <w:t xml:space="preserve">charges payable </w:t>
      </w:r>
      <w:r w:rsidR="00092561" w:rsidRPr="00883C1E">
        <w:rPr>
          <w:rFonts w:ascii="Arial" w:hAnsi="Arial" w:cs="Arial"/>
          <w:b/>
          <w:sz w:val="20"/>
          <w:szCs w:val="20"/>
        </w:rPr>
        <w:t>by</w:t>
      </w:r>
      <w:r w:rsidRPr="00883C1E">
        <w:rPr>
          <w:rFonts w:ascii="Arial" w:hAnsi="Arial" w:cs="Arial"/>
          <w:b/>
          <w:sz w:val="20"/>
          <w:szCs w:val="20"/>
        </w:rPr>
        <w:t xml:space="preserve"> </w:t>
      </w:r>
      <w:r w:rsidR="00092561" w:rsidRPr="00883C1E">
        <w:rPr>
          <w:rFonts w:ascii="Arial" w:hAnsi="Arial" w:cs="Arial"/>
          <w:b/>
          <w:sz w:val="20"/>
          <w:szCs w:val="20"/>
        </w:rPr>
        <w:t>Vodafone Australia Pty Limited</w:t>
      </w:r>
    </w:p>
    <w:p w:rsidR="007F3562" w:rsidRDefault="00092561">
      <w:pPr>
        <w:jc w:val="both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provides the amount of spectrum access charge payable by </w:t>
      </w:r>
      <w:r>
        <w:rPr>
          <w:rFonts w:ascii="Arial" w:hAnsi="Arial" w:cs="Arial"/>
          <w:sz w:val="20"/>
          <w:szCs w:val="20"/>
        </w:rPr>
        <w:t xml:space="preserve">Vodafone Australia Pty Limited </w:t>
      </w:r>
      <w:r w:rsidRPr="00092561">
        <w:rPr>
          <w:rFonts w:ascii="Arial" w:hAnsi="Arial" w:cs="Arial"/>
          <w:sz w:val="20"/>
          <w:szCs w:val="20"/>
        </w:rPr>
        <w:t xml:space="preserve">for the re-issue of </w:t>
      </w:r>
      <w:r w:rsidR="008D4EA2">
        <w:rPr>
          <w:rFonts w:ascii="Arial" w:hAnsi="Arial" w:cs="Arial"/>
          <w:sz w:val="20"/>
          <w:szCs w:val="20"/>
        </w:rPr>
        <w:t>each</w:t>
      </w:r>
      <w:r w:rsidRPr="00092561">
        <w:rPr>
          <w:rFonts w:ascii="Arial" w:hAnsi="Arial" w:cs="Arial"/>
          <w:sz w:val="20"/>
          <w:szCs w:val="20"/>
        </w:rPr>
        <w:t xml:space="preserve"> spectrum licence</w:t>
      </w:r>
      <w:r w:rsidR="00C173D7">
        <w:rPr>
          <w:rFonts w:ascii="Arial" w:hAnsi="Arial" w:cs="Arial"/>
          <w:sz w:val="20"/>
          <w:szCs w:val="20"/>
        </w:rPr>
        <w:t>.</w:t>
      </w:r>
      <w:r w:rsidR="00883C1E">
        <w:rPr>
          <w:rFonts w:ascii="Arial" w:hAnsi="Arial" w:cs="Arial"/>
          <w:sz w:val="20"/>
          <w:szCs w:val="20"/>
        </w:rPr>
        <w:t xml:space="preserve"> </w:t>
      </w:r>
      <w:r w:rsidR="00817A75">
        <w:rPr>
          <w:rFonts w:ascii="Arial" w:hAnsi="Arial" w:cs="Arial"/>
          <w:sz w:val="20"/>
          <w:szCs w:val="20"/>
        </w:rPr>
        <w:t>Similar</w:t>
      </w:r>
      <w:r w:rsidR="00883C1E">
        <w:rPr>
          <w:rFonts w:ascii="Arial" w:hAnsi="Arial" w:cs="Arial"/>
          <w:sz w:val="20"/>
          <w:szCs w:val="20"/>
        </w:rPr>
        <w:t xml:space="preserve"> calculations </w:t>
      </w:r>
      <w:r w:rsidR="00F65769">
        <w:rPr>
          <w:rFonts w:ascii="Arial" w:hAnsi="Arial" w:cs="Arial"/>
          <w:sz w:val="20"/>
          <w:szCs w:val="20"/>
        </w:rPr>
        <w:t xml:space="preserve">as those set out in section 5 </w:t>
      </w:r>
      <w:r w:rsidR="00883C1E">
        <w:rPr>
          <w:rFonts w:ascii="Arial" w:hAnsi="Arial" w:cs="Arial"/>
          <w:sz w:val="20"/>
          <w:szCs w:val="20"/>
        </w:rPr>
        <w:t>are applied for each licence.</w:t>
      </w:r>
    </w:p>
    <w:p w:rsidR="007F3562" w:rsidRDefault="00423620">
      <w:pPr>
        <w:jc w:val="both"/>
        <w:rPr>
          <w:rFonts w:cs="Arial"/>
          <w:b/>
          <w:sz w:val="20"/>
        </w:rPr>
      </w:pPr>
      <w:r w:rsidRPr="009E17B4">
        <w:rPr>
          <w:rFonts w:ascii="Arial" w:hAnsi="Arial" w:cs="Arial"/>
          <w:b/>
          <w:sz w:val="20"/>
          <w:szCs w:val="20"/>
        </w:rPr>
        <w:t xml:space="preserve">Section </w:t>
      </w:r>
      <w:r>
        <w:rPr>
          <w:rFonts w:ascii="Arial" w:hAnsi="Arial" w:cs="Arial"/>
          <w:b/>
          <w:sz w:val="20"/>
          <w:szCs w:val="20"/>
        </w:rPr>
        <w:t>7</w:t>
      </w:r>
      <w:r w:rsidRPr="009E17B4">
        <w:rPr>
          <w:rFonts w:ascii="Arial" w:hAnsi="Arial" w:cs="Arial"/>
          <w:b/>
          <w:sz w:val="20"/>
          <w:szCs w:val="20"/>
        </w:rPr>
        <w:t xml:space="preserve"> - </w:t>
      </w:r>
      <w:r w:rsidRPr="009E17B4">
        <w:rPr>
          <w:rFonts w:ascii="Arial" w:hAnsi="Arial" w:cs="Arial"/>
          <w:b/>
          <w:sz w:val="20"/>
        </w:rPr>
        <w:t>Spectrum</w:t>
      </w:r>
      <w:r w:rsidRPr="00092561">
        <w:rPr>
          <w:rFonts w:ascii="Arial" w:hAnsi="Arial" w:cs="Arial"/>
          <w:b/>
          <w:sz w:val="20"/>
        </w:rPr>
        <w:t xml:space="preserve"> access</w:t>
      </w:r>
      <w:r w:rsidRPr="00092561">
        <w:rPr>
          <w:rFonts w:ascii="Arial" w:hAnsi="Arial" w:cs="Arial"/>
          <w:sz w:val="20"/>
        </w:rPr>
        <w:t xml:space="preserve"> </w:t>
      </w:r>
      <w:r w:rsidRPr="00092561">
        <w:rPr>
          <w:rFonts w:ascii="Arial" w:hAnsi="Arial" w:cs="Arial"/>
          <w:b/>
          <w:sz w:val="20"/>
          <w:szCs w:val="20"/>
        </w:rPr>
        <w:t xml:space="preserve">charges payable </w:t>
      </w:r>
      <w:r w:rsidRPr="00883C1E">
        <w:rPr>
          <w:rFonts w:ascii="Arial" w:hAnsi="Arial" w:cs="Arial"/>
          <w:b/>
          <w:sz w:val="20"/>
          <w:szCs w:val="20"/>
        </w:rPr>
        <w:t xml:space="preserve">by </w:t>
      </w:r>
      <w:r>
        <w:rPr>
          <w:rFonts w:ascii="Arial" w:hAnsi="Arial" w:cs="Arial"/>
          <w:b/>
          <w:sz w:val="20"/>
          <w:szCs w:val="20"/>
        </w:rPr>
        <w:t>Singtel Optus</w:t>
      </w:r>
      <w:r w:rsidRPr="00883C1E">
        <w:rPr>
          <w:rFonts w:ascii="Arial" w:hAnsi="Arial" w:cs="Arial"/>
          <w:b/>
          <w:sz w:val="20"/>
          <w:szCs w:val="20"/>
        </w:rPr>
        <w:t xml:space="preserve"> Pty Limited</w:t>
      </w:r>
    </w:p>
    <w:p w:rsidR="007F3562" w:rsidRDefault="00423620">
      <w:pPr>
        <w:jc w:val="both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provides the amount of spectrum access charge payable by </w:t>
      </w:r>
      <w:r>
        <w:rPr>
          <w:rFonts w:ascii="Arial" w:hAnsi="Arial" w:cs="Arial"/>
          <w:sz w:val="20"/>
          <w:szCs w:val="20"/>
        </w:rPr>
        <w:t xml:space="preserve">Singtel Optus Pty Limited </w:t>
      </w:r>
      <w:r w:rsidRPr="00092561">
        <w:rPr>
          <w:rFonts w:ascii="Arial" w:hAnsi="Arial" w:cs="Arial"/>
          <w:sz w:val="20"/>
          <w:szCs w:val="20"/>
        </w:rPr>
        <w:t xml:space="preserve">for the re-issue of </w:t>
      </w:r>
      <w:r>
        <w:rPr>
          <w:rFonts w:ascii="Arial" w:hAnsi="Arial" w:cs="Arial"/>
          <w:sz w:val="20"/>
          <w:szCs w:val="20"/>
        </w:rPr>
        <w:t>each</w:t>
      </w:r>
      <w:r w:rsidRPr="00092561">
        <w:rPr>
          <w:rFonts w:ascii="Arial" w:hAnsi="Arial" w:cs="Arial"/>
          <w:sz w:val="20"/>
          <w:szCs w:val="20"/>
        </w:rPr>
        <w:t xml:space="preserve"> spectrum licence</w:t>
      </w:r>
      <w:r>
        <w:rPr>
          <w:rFonts w:ascii="Arial" w:hAnsi="Arial" w:cs="Arial"/>
          <w:sz w:val="20"/>
          <w:szCs w:val="20"/>
        </w:rPr>
        <w:t xml:space="preserve">. </w:t>
      </w:r>
      <w:r w:rsidR="00F65769">
        <w:rPr>
          <w:rFonts w:ascii="Arial" w:hAnsi="Arial" w:cs="Arial"/>
          <w:sz w:val="20"/>
          <w:szCs w:val="20"/>
        </w:rPr>
        <w:t>Similar calculations as those set out in section 5 are applied for each licence</w:t>
      </w:r>
    </w:p>
    <w:p w:rsidR="007F3562" w:rsidRDefault="00423620">
      <w:pPr>
        <w:jc w:val="both"/>
        <w:rPr>
          <w:rFonts w:cs="Arial"/>
          <w:b/>
          <w:sz w:val="20"/>
        </w:rPr>
      </w:pPr>
      <w:r w:rsidRPr="009E17B4">
        <w:rPr>
          <w:rFonts w:ascii="Arial" w:hAnsi="Arial" w:cs="Arial"/>
          <w:b/>
          <w:sz w:val="20"/>
          <w:szCs w:val="20"/>
        </w:rPr>
        <w:t xml:space="preserve">Section </w:t>
      </w:r>
      <w:r>
        <w:rPr>
          <w:rFonts w:ascii="Arial" w:hAnsi="Arial" w:cs="Arial"/>
          <w:b/>
          <w:sz w:val="20"/>
          <w:szCs w:val="20"/>
        </w:rPr>
        <w:t>8</w:t>
      </w:r>
      <w:r w:rsidRPr="009E17B4">
        <w:rPr>
          <w:rFonts w:ascii="Arial" w:hAnsi="Arial" w:cs="Arial"/>
          <w:b/>
          <w:sz w:val="20"/>
          <w:szCs w:val="20"/>
        </w:rPr>
        <w:t xml:space="preserve"> - </w:t>
      </w:r>
      <w:r w:rsidRPr="009E17B4">
        <w:rPr>
          <w:rFonts w:ascii="Arial" w:hAnsi="Arial" w:cs="Arial"/>
          <w:b/>
          <w:sz w:val="20"/>
        </w:rPr>
        <w:t>Spectrum</w:t>
      </w:r>
      <w:r w:rsidRPr="00092561">
        <w:rPr>
          <w:rFonts w:ascii="Arial" w:hAnsi="Arial" w:cs="Arial"/>
          <w:b/>
          <w:sz w:val="20"/>
        </w:rPr>
        <w:t xml:space="preserve"> access</w:t>
      </w:r>
      <w:r w:rsidRPr="00092561">
        <w:rPr>
          <w:rFonts w:ascii="Arial" w:hAnsi="Arial" w:cs="Arial"/>
          <w:sz w:val="20"/>
        </w:rPr>
        <w:t xml:space="preserve"> </w:t>
      </w:r>
      <w:r w:rsidRPr="00092561">
        <w:rPr>
          <w:rFonts w:ascii="Arial" w:hAnsi="Arial" w:cs="Arial"/>
          <w:b/>
          <w:sz w:val="20"/>
          <w:szCs w:val="20"/>
        </w:rPr>
        <w:t xml:space="preserve">charges payable </w:t>
      </w:r>
      <w:r w:rsidRPr="00883C1E">
        <w:rPr>
          <w:rFonts w:ascii="Arial" w:hAnsi="Arial" w:cs="Arial"/>
          <w:b/>
          <w:sz w:val="20"/>
          <w:szCs w:val="20"/>
        </w:rPr>
        <w:t xml:space="preserve">by </w:t>
      </w:r>
      <w:r>
        <w:rPr>
          <w:rFonts w:ascii="Arial" w:hAnsi="Arial" w:cs="Arial"/>
          <w:b/>
          <w:sz w:val="20"/>
          <w:szCs w:val="20"/>
        </w:rPr>
        <w:t>Rail Corporation New South Wales</w:t>
      </w:r>
    </w:p>
    <w:p w:rsidR="00F65769" w:rsidRDefault="00423620">
      <w:pPr>
        <w:jc w:val="both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lastRenderedPageBreak/>
        <w:t xml:space="preserve">This section provides the amount of spectrum access charge payable by </w:t>
      </w:r>
      <w:r>
        <w:rPr>
          <w:rFonts w:ascii="Arial" w:hAnsi="Arial" w:cs="Arial"/>
          <w:sz w:val="20"/>
          <w:szCs w:val="20"/>
        </w:rPr>
        <w:t xml:space="preserve">Rail Corporation New South Wales </w:t>
      </w:r>
      <w:r w:rsidRPr="00092561">
        <w:rPr>
          <w:rFonts w:ascii="Arial" w:hAnsi="Arial" w:cs="Arial"/>
          <w:sz w:val="20"/>
          <w:szCs w:val="20"/>
        </w:rPr>
        <w:t xml:space="preserve">for the re-issue of </w:t>
      </w:r>
      <w:r>
        <w:rPr>
          <w:rFonts w:ascii="Arial" w:hAnsi="Arial" w:cs="Arial"/>
          <w:sz w:val="20"/>
          <w:szCs w:val="20"/>
        </w:rPr>
        <w:t>each</w:t>
      </w:r>
      <w:r w:rsidRPr="00092561">
        <w:rPr>
          <w:rFonts w:ascii="Arial" w:hAnsi="Arial" w:cs="Arial"/>
          <w:sz w:val="20"/>
          <w:szCs w:val="20"/>
        </w:rPr>
        <w:t xml:space="preserve"> spectrum licence</w:t>
      </w:r>
      <w:r>
        <w:rPr>
          <w:rFonts w:ascii="Arial" w:hAnsi="Arial" w:cs="Arial"/>
          <w:sz w:val="20"/>
          <w:szCs w:val="20"/>
        </w:rPr>
        <w:t xml:space="preserve">. </w:t>
      </w:r>
      <w:r w:rsidR="00F65769">
        <w:rPr>
          <w:rFonts w:ascii="Arial" w:hAnsi="Arial" w:cs="Arial"/>
          <w:sz w:val="20"/>
          <w:szCs w:val="20"/>
        </w:rPr>
        <w:t>Similar calculations as those set out in section 5 are applied for each licence</w:t>
      </w:r>
    </w:p>
    <w:p w:rsidR="007F3562" w:rsidRDefault="00423620">
      <w:pPr>
        <w:jc w:val="both"/>
        <w:rPr>
          <w:rFonts w:cs="Arial"/>
          <w:b/>
          <w:sz w:val="20"/>
        </w:rPr>
      </w:pPr>
      <w:r w:rsidRPr="009E17B4">
        <w:rPr>
          <w:rFonts w:ascii="Arial" w:hAnsi="Arial" w:cs="Arial"/>
          <w:b/>
          <w:sz w:val="20"/>
          <w:szCs w:val="20"/>
        </w:rPr>
        <w:t xml:space="preserve">Section </w:t>
      </w:r>
      <w:r>
        <w:rPr>
          <w:rFonts w:ascii="Arial" w:hAnsi="Arial" w:cs="Arial"/>
          <w:b/>
          <w:sz w:val="20"/>
          <w:szCs w:val="20"/>
        </w:rPr>
        <w:t>9</w:t>
      </w:r>
      <w:r w:rsidRPr="009E17B4">
        <w:rPr>
          <w:rFonts w:ascii="Arial" w:hAnsi="Arial" w:cs="Arial"/>
          <w:b/>
          <w:sz w:val="20"/>
          <w:szCs w:val="20"/>
        </w:rPr>
        <w:t xml:space="preserve"> - </w:t>
      </w:r>
      <w:r w:rsidRPr="009E17B4">
        <w:rPr>
          <w:rFonts w:ascii="Arial" w:hAnsi="Arial" w:cs="Arial"/>
          <w:b/>
          <w:sz w:val="20"/>
        </w:rPr>
        <w:t>Spectrum</w:t>
      </w:r>
      <w:r w:rsidRPr="00092561">
        <w:rPr>
          <w:rFonts w:ascii="Arial" w:hAnsi="Arial" w:cs="Arial"/>
          <w:b/>
          <w:sz w:val="20"/>
        </w:rPr>
        <w:t xml:space="preserve"> access</w:t>
      </w:r>
      <w:r w:rsidRPr="00092561">
        <w:rPr>
          <w:rFonts w:ascii="Arial" w:hAnsi="Arial" w:cs="Arial"/>
          <w:sz w:val="20"/>
        </w:rPr>
        <w:t xml:space="preserve"> </w:t>
      </w:r>
      <w:r w:rsidRPr="00092561">
        <w:rPr>
          <w:rFonts w:ascii="Arial" w:hAnsi="Arial" w:cs="Arial"/>
          <w:b/>
          <w:sz w:val="20"/>
          <w:szCs w:val="20"/>
        </w:rPr>
        <w:t xml:space="preserve">charges payable </w:t>
      </w:r>
      <w:r w:rsidRPr="00883C1E">
        <w:rPr>
          <w:rFonts w:ascii="Arial" w:hAnsi="Arial" w:cs="Arial"/>
          <w:b/>
          <w:sz w:val="20"/>
          <w:szCs w:val="20"/>
        </w:rPr>
        <w:t xml:space="preserve">by </w:t>
      </w:r>
      <w:r>
        <w:rPr>
          <w:rFonts w:ascii="Arial" w:hAnsi="Arial" w:cs="Arial"/>
          <w:b/>
          <w:sz w:val="20"/>
          <w:szCs w:val="20"/>
        </w:rPr>
        <w:t>Victorian Rail Track</w:t>
      </w:r>
    </w:p>
    <w:p w:rsidR="007F3562" w:rsidRDefault="00423620">
      <w:pPr>
        <w:jc w:val="both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provides the amount of spectrum access charge payable by </w:t>
      </w:r>
      <w:r>
        <w:rPr>
          <w:rFonts w:ascii="Arial" w:hAnsi="Arial" w:cs="Arial"/>
          <w:sz w:val="20"/>
          <w:szCs w:val="20"/>
        </w:rPr>
        <w:t xml:space="preserve">Victorian Rail Track </w:t>
      </w:r>
      <w:r w:rsidRPr="00092561">
        <w:rPr>
          <w:rFonts w:ascii="Arial" w:hAnsi="Arial" w:cs="Arial"/>
          <w:sz w:val="20"/>
          <w:szCs w:val="20"/>
        </w:rPr>
        <w:t xml:space="preserve">for the re-issue of </w:t>
      </w:r>
      <w:r>
        <w:rPr>
          <w:rFonts w:ascii="Arial" w:hAnsi="Arial" w:cs="Arial"/>
          <w:sz w:val="20"/>
          <w:szCs w:val="20"/>
        </w:rPr>
        <w:t>each</w:t>
      </w:r>
      <w:r w:rsidRPr="00092561">
        <w:rPr>
          <w:rFonts w:ascii="Arial" w:hAnsi="Arial" w:cs="Arial"/>
          <w:sz w:val="20"/>
          <w:szCs w:val="20"/>
        </w:rPr>
        <w:t xml:space="preserve"> spectrum licence</w:t>
      </w:r>
      <w:r>
        <w:rPr>
          <w:rFonts w:ascii="Arial" w:hAnsi="Arial" w:cs="Arial"/>
          <w:sz w:val="20"/>
          <w:szCs w:val="20"/>
        </w:rPr>
        <w:t xml:space="preserve">. </w:t>
      </w:r>
      <w:r w:rsidR="00F65769">
        <w:rPr>
          <w:rFonts w:ascii="Arial" w:hAnsi="Arial" w:cs="Arial"/>
          <w:sz w:val="20"/>
          <w:szCs w:val="20"/>
        </w:rPr>
        <w:t>Similar calculations as those set out in section 5 are applied for each licence</w:t>
      </w:r>
      <w:r>
        <w:rPr>
          <w:rFonts w:ascii="Arial" w:hAnsi="Arial" w:cs="Arial"/>
          <w:sz w:val="20"/>
          <w:szCs w:val="20"/>
        </w:rPr>
        <w:t>.</w:t>
      </w:r>
    </w:p>
    <w:p w:rsidR="007F3562" w:rsidRDefault="00423620">
      <w:pPr>
        <w:jc w:val="both"/>
        <w:rPr>
          <w:rFonts w:cs="Arial"/>
          <w:b/>
          <w:sz w:val="20"/>
        </w:rPr>
      </w:pPr>
      <w:r w:rsidRPr="009E17B4">
        <w:rPr>
          <w:rFonts w:ascii="Arial" w:hAnsi="Arial" w:cs="Arial"/>
          <w:b/>
          <w:sz w:val="20"/>
          <w:szCs w:val="20"/>
        </w:rPr>
        <w:t xml:space="preserve">Section </w:t>
      </w:r>
      <w:r>
        <w:rPr>
          <w:rFonts w:ascii="Arial" w:hAnsi="Arial" w:cs="Arial"/>
          <w:b/>
          <w:sz w:val="20"/>
          <w:szCs w:val="20"/>
        </w:rPr>
        <w:t>10</w:t>
      </w:r>
      <w:r w:rsidRPr="009E17B4">
        <w:rPr>
          <w:rFonts w:ascii="Arial" w:hAnsi="Arial" w:cs="Arial"/>
          <w:b/>
          <w:sz w:val="20"/>
          <w:szCs w:val="20"/>
        </w:rPr>
        <w:t xml:space="preserve"> - </w:t>
      </w:r>
      <w:r w:rsidRPr="009E17B4">
        <w:rPr>
          <w:rFonts w:ascii="Arial" w:hAnsi="Arial" w:cs="Arial"/>
          <w:b/>
          <w:sz w:val="20"/>
        </w:rPr>
        <w:t>Spectrum</w:t>
      </w:r>
      <w:r w:rsidRPr="00092561">
        <w:rPr>
          <w:rFonts w:ascii="Arial" w:hAnsi="Arial" w:cs="Arial"/>
          <w:b/>
          <w:sz w:val="20"/>
        </w:rPr>
        <w:t xml:space="preserve"> access</w:t>
      </w:r>
      <w:r w:rsidRPr="00092561">
        <w:rPr>
          <w:rFonts w:ascii="Arial" w:hAnsi="Arial" w:cs="Arial"/>
          <w:sz w:val="20"/>
        </w:rPr>
        <w:t xml:space="preserve"> </w:t>
      </w:r>
      <w:r w:rsidRPr="00092561">
        <w:rPr>
          <w:rFonts w:ascii="Arial" w:hAnsi="Arial" w:cs="Arial"/>
          <w:b/>
          <w:sz w:val="20"/>
          <w:szCs w:val="20"/>
        </w:rPr>
        <w:t xml:space="preserve">charges payable </w:t>
      </w:r>
      <w:r w:rsidRPr="00883C1E">
        <w:rPr>
          <w:rFonts w:ascii="Arial" w:hAnsi="Arial" w:cs="Arial"/>
          <w:b/>
          <w:sz w:val="20"/>
          <w:szCs w:val="20"/>
        </w:rPr>
        <w:t xml:space="preserve">by </w:t>
      </w:r>
      <w:r>
        <w:rPr>
          <w:rFonts w:ascii="Arial" w:hAnsi="Arial" w:cs="Arial"/>
          <w:b/>
          <w:sz w:val="20"/>
          <w:szCs w:val="20"/>
        </w:rPr>
        <w:t>Queensland Rail Limited</w:t>
      </w:r>
    </w:p>
    <w:p w:rsidR="007F3562" w:rsidRDefault="00423620">
      <w:pPr>
        <w:jc w:val="both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provides the amount of spectrum access charge payable by </w:t>
      </w:r>
      <w:r>
        <w:rPr>
          <w:rFonts w:ascii="Arial" w:hAnsi="Arial" w:cs="Arial"/>
          <w:sz w:val="20"/>
          <w:szCs w:val="20"/>
        </w:rPr>
        <w:t xml:space="preserve">Queensland Rail Limited </w:t>
      </w:r>
      <w:r w:rsidRPr="00092561">
        <w:rPr>
          <w:rFonts w:ascii="Arial" w:hAnsi="Arial" w:cs="Arial"/>
          <w:sz w:val="20"/>
          <w:szCs w:val="20"/>
        </w:rPr>
        <w:t xml:space="preserve">for the re-issue of </w:t>
      </w:r>
      <w:r>
        <w:rPr>
          <w:rFonts w:ascii="Arial" w:hAnsi="Arial" w:cs="Arial"/>
          <w:sz w:val="20"/>
          <w:szCs w:val="20"/>
        </w:rPr>
        <w:t>each</w:t>
      </w:r>
      <w:r w:rsidRPr="00092561">
        <w:rPr>
          <w:rFonts w:ascii="Arial" w:hAnsi="Arial" w:cs="Arial"/>
          <w:sz w:val="20"/>
          <w:szCs w:val="20"/>
        </w:rPr>
        <w:t xml:space="preserve"> spectrum licence</w:t>
      </w:r>
      <w:r>
        <w:rPr>
          <w:rFonts w:ascii="Arial" w:hAnsi="Arial" w:cs="Arial"/>
          <w:sz w:val="20"/>
          <w:szCs w:val="20"/>
        </w:rPr>
        <w:t xml:space="preserve">. </w:t>
      </w:r>
      <w:r w:rsidR="00092DC1">
        <w:rPr>
          <w:rFonts w:ascii="Arial" w:hAnsi="Arial" w:cs="Arial"/>
          <w:sz w:val="20"/>
          <w:szCs w:val="20"/>
        </w:rPr>
        <w:t>Similar calculations as those set out in section 5 are applied for each licence</w:t>
      </w:r>
      <w:r>
        <w:rPr>
          <w:rFonts w:ascii="Arial" w:hAnsi="Arial" w:cs="Arial"/>
          <w:sz w:val="20"/>
          <w:szCs w:val="20"/>
        </w:rPr>
        <w:t>.</w:t>
      </w:r>
    </w:p>
    <w:p w:rsidR="007F3562" w:rsidRDefault="005D6510">
      <w:pPr>
        <w:jc w:val="both"/>
        <w:rPr>
          <w:rFonts w:cs="Arial"/>
          <w:b/>
          <w:sz w:val="20"/>
        </w:rPr>
      </w:pPr>
      <w:r w:rsidRPr="009E17B4">
        <w:rPr>
          <w:rFonts w:ascii="Arial" w:hAnsi="Arial" w:cs="Arial"/>
          <w:b/>
          <w:sz w:val="20"/>
          <w:szCs w:val="20"/>
        </w:rPr>
        <w:t xml:space="preserve">Section </w:t>
      </w:r>
      <w:r>
        <w:rPr>
          <w:rFonts w:ascii="Arial" w:hAnsi="Arial" w:cs="Arial"/>
          <w:b/>
          <w:sz w:val="20"/>
          <w:szCs w:val="20"/>
        </w:rPr>
        <w:t>11</w:t>
      </w:r>
      <w:r w:rsidRPr="009E17B4">
        <w:rPr>
          <w:rFonts w:ascii="Arial" w:hAnsi="Arial" w:cs="Arial"/>
          <w:b/>
          <w:sz w:val="20"/>
          <w:szCs w:val="20"/>
        </w:rPr>
        <w:t xml:space="preserve"> - </w:t>
      </w:r>
      <w:r w:rsidRPr="009E17B4">
        <w:rPr>
          <w:rFonts w:ascii="Arial" w:hAnsi="Arial" w:cs="Arial"/>
          <w:b/>
          <w:sz w:val="20"/>
        </w:rPr>
        <w:t>Spectrum</w:t>
      </w:r>
      <w:r w:rsidRPr="00092561">
        <w:rPr>
          <w:rFonts w:ascii="Arial" w:hAnsi="Arial" w:cs="Arial"/>
          <w:b/>
          <w:sz w:val="20"/>
        </w:rPr>
        <w:t xml:space="preserve"> access</w:t>
      </w:r>
      <w:r w:rsidRPr="00092561">
        <w:rPr>
          <w:rFonts w:ascii="Arial" w:hAnsi="Arial" w:cs="Arial"/>
          <w:sz w:val="20"/>
        </w:rPr>
        <w:t xml:space="preserve"> </w:t>
      </w:r>
      <w:r w:rsidRPr="00092561">
        <w:rPr>
          <w:rFonts w:ascii="Arial" w:hAnsi="Arial" w:cs="Arial"/>
          <w:b/>
          <w:sz w:val="20"/>
          <w:szCs w:val="20"/>
        </w:rPr>
        <w:t xml:space="preserve">charges payable </w:t>
      </w:r>
      <w:r w:rsidRPr="00883C1E">
        <w:rPr>
          <w:rFonts w:ascii="Arial" w:hAnsi="Arial" w:cs="Arial"/>
          <w:b/>
          <w:sz w:val="20"/>
          <w:szCs w:val="20"/>
        </w:rPr>
        <w:t xml:space="preserve">by </w:t>
      </w:r>
      <w:r>
        <w:rPr>
          <w:rFonts w:ascii="Arial" w:hAnsi="Arial" w:cs="Arial"/>
          <w:b/>
          <w:sz w:val="20"/>
          <w:szCs w:val="20"/>
        </w:rPr>
        <w:t xml:space="preserve">Department of </w:t>
      </w:r>
      <w:r w:rsidR="006F1374">
        <w:rPr>
          <w:rFonts w:ascii="Arial" w:hAnsi="Arial" w:cs="Arial"/>
          <w:b/>
          <w:sz w:val="20"/>
          <w:szCs w:val="20"/>
        </w:rPr>
        <w:t xml:space="preserve">Planning, </w:t>
      </w:r>
      <w:r>
        <w:rPr>
          <w:rFonts w:ascii="Arial" w:hAnsi="Arial" w:cs="Arial"/>
          <w:b/>
          <w:sz w:val="20"/>
          <w:szCs w:val="20"/>
        </w:rPr>
        <w:t>Transport and Infrastructure (South Australia)</w:t>
      </w:r>
    </w:p>
    <w:p w:rsidR="007F3562" w:rsidRDefault="005D6510">
      <w:pPr>
        <w:jc w:val="both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provides the amount of spectrum access charge payable by </w:t>
      </w:r>
      <w:r w:rsidR="00FD016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Department of </w:t>
      </w:r>
      <w:r w:rsidR="006F1374">
        <w:rPr>
          <w:rFonts w:ascii="Arial" w:hAnsi="Arial" w:cs="Arial"/>
          <w:sz w:val="20"/>
          <w:szCs w:val="20"/>
        </w:rPr>
        <w:t xml:space="preserve">Planning, </w:t>
      </w:r>
      <w:r>
        <w:rPr>
          <w:rFonts w:ascii="Arial" w:hAnsi="Arial" w:cs="Arial"/>
          <w:sz w:val="20"/>
          <w:szCs w:val="20"/>
        </w:rPr>
        <w:t xml:space="preserve">Transport and Infrastructure (South Australia) </w:t>
      </w:r>
      <w:r w:rsidR="006F1374">
        <w:rPr>
          <w:rFonts w:ascii="Arial" w:hAnsi="Arial" w:cs="Arial"/>
          <w:sz w:val="20"/>
          <w:szCs w:val="20"/>
        </w:rPr>
        <w:t xml:space="preserve">on behalf of the State of South Australia </w:t>
      </w:r>
      <w:r w:rsidRPr="00092561">
        <w:rPr>
          <w:rFonts w:ascii="Arial" w:hAnsi="Arial" w:cs="Arial"/>
          <w:sz w:val="20"/>
          <w:szCs w:val="20"/>
        </w:rPr>
        <w:t xml:space="preserve">for the re-issue of </w:t>
      </w:r>
      <w:r>
        <w:rPr>
          <w:rFonts w:ascii="Arial" w:hAnsi="Arial" w:cs="Arial"/>
          <w:sz w:val="20"/>
          <w:szCs w:val="20"/>
        </w:rPr>
        <w:t>each</w:t>
      </w:r>
      <w:r w:rsidRPr="00092561">
        <w:rPr>
          <w:rFonts w:ascii="Arial" w:hAnsi="Arial" w:cs="Arial"/>
          <w:sz w:val="20"/>
          <w:szCs w:val="20"/>
        </w:rPr>
        <w:t xml:space="preserve"> spectrum licence</w:t>
      </w:r>
      <w:r>
        <w:rPr>
          <w:rFonts w:ascii="Arial" w:hAnsi="Arial" w:cs="Arial"/>
          <w:sz w:val="20"/>
          <w:szCs w:val="20"/>
        </w:rPr>
        <w:t xml:space="preserve">. </w:t>
      </w:r>
      <w:r w:rsidR="00092DC1">
        <w:rPr>
          <w:rFonts w:ascii="Arial" w:hAnsi="Arial" w:cs="Arial"/>
          <w:sz w:val="20"/>
          <w:szCs w:val="20"/>
        </w:rPr>
        <w:t>Similar calculations as those set out in section 5 are applied for each licence</w:t>
      </w:r>
      <w:r>
        <w:rPr>
          <w:rFonts w:ascii="Arial" w:hAnsi="Arial" w:cs="Arial"/>
          <w:sz w:val="20"/>
          <w:szCs w:val="20"/>
        </w:rPr>
        <w:t>.</w:t>
      </w:r>
    </w:p>
    <w:p w:rsidR="007F3562" w:rsidRDefault="005D6510">
      <w:pPr>
        <w:jc w:val="both"/>
        <w:rPr>
          <w:rFonts w:cs="Arial"/>
          <w:b/>
          <w:sz w:val="20"/>
        </w:rPr>
      </w:pPr>
      <w:r w:rsidRPr="009E17B4">
        <w:rPr>
          <w:rFonts w:ascii="Arial" w:hAnsi="Arial" w:cs="Arial"/>
          <w:b/>
          <w:sz w:val="20"/>
          <w:szCs w:val="20"/>
        </w:rPr>
        <w:t xml:space="preserve">Section </w:t>
      </w:r>
      <w:r>
        <w:rPr>
          <w:rFonts w:ascii="Arial" w:hAnsi="Arial" w:cs="Arial"/>
          <w:b/>
          <w:sz w:val="20"/>
          <w:szCs w:val="20"/>
        </w:rPr>
        <w:t>12</w:t>
      </w:r>
      <w:r w:rsidRPr="009E17B4">
        <w:rPr>
          <w:rFonts w:ascii="Arial" w:hAnsi="Arial" w:cs="Arial"/>
          <w:b/>
          <w:sz w:val="20"/>
          <w:szCs w:val="20"/>
        </w:rPr>
        <w:t xml:space="preserve"> - </w:t>
      </w:r>
      <w:r w:rsidRPr="009E17B4">
        <w:rPr>
          <w:rFonts w:ascii="Arial" w:hAnsi="Arial" w:cs="Arial"/>
          <w:b/>
          <w:sz w:val="20"/>
        </w:rPr>
        <w:t>Spectrum</w:t>
      </w:r>
      <w:r w:rsidRPr="00092561">
        <w:rPr>
          <w:rFonts w:ascii="Arial" w:hAnsi="Arial" w:cs="Arial"/>
          <w:b/>
          <w:sz w:val="20"/>
        </w:rPr>
        <w:t xml:space="preserve"> access</w:t>
      </w:r>
      <w:r w:rsidRPr="00092561">
        <w:rPr>
          <w:rFonts w:ascii="Arial" w:hAnsi="Arial" w:cs="Arial"/>
          <w:sz w:val="20"/>
        </w:rPr>
        <w:t xml:space="preserve"> </w:t>
      </w:r>
      <w:r w:rsidRPr="00092561">
        <w:rPr>
          <w:rFonts w:ascii="Arial" w:hAnsi="Arial" w:cs="Arial"/>
          <w:b/>
          <w:sz w:val="20"/>
          <w:szCs w:val="20"/>
        </w:rPr>
        <w:t xml:space="preserve">charges payable </w:t>
      </w:r>
      <w:r w:rsidRPr="00883C1E">
        <w:rPr>
          <w:rFonts w:ascii="Arial" w:hAnsi="Arial" w:cs="Arial"/>
          <w:b/>
          <w:sz w:val="20"/>
          <w:szCs w:val="20"/>
        </w:rPr>
        <w:t xml:space="preserve">by </w:t>
      </w:r>
      <w:r>
        <w:rPr>
          <w:rFonts w:ascii="Arial" w:hAnsi="Arial" w:cs="Arial"/>
          <w:b/>
          <w:sz w:val="20"/>
          <w:szCs w:val="20"/>
        </w:rPr>
        <w:t>Public Transport Authority of Western Australia</w:t>
      </w:r>
    </w:p>
    <w:p w:rsidR="007F3562" w:rsidRDefault="005D6510">
      <w:pPr>
        <w:jc w:val="both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section provides the amount of spectrum access charge payable by </w:t>
      </w:r>
      <w:r w:rsidR="00FD016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Public Transport Authority of Western Australia </w:t>
      </w:r>
      <w:r w:rsidRPr="00092561">
        <w:rPr>
          <w:rFonts w:ascii="Arial" w:hAnsi="Arial" w:cs="Arial"/>
          <w:sz w:val="20"/>
          <w:szCs w:val="20"/>
        </w:rPr>
        <w:t xml:space="preserve">for the re-issue of </w:t>
      </w:r>
      <w:r>
        <w:rPr>
          <w:rFonts w:ascii="Arial" w:hAnsi="Arial" w:cs="Arial"/>
          <w:sz w:val="20"/>
          <w:szCs w:val="20"/>
        </w:rPr>
        <w:t>each</w:t>
      </w:r>
      <w:r w:rsidRPr="00092561">
        <w:rPr>
          <w:rFonts w:ascii="Arial" w:hAnsi="Arial" w:cs="Arial"/>
          <w:sz w:val="20"/>
          <w:szCs w:val="20"/>
        </w:rPr>
        <w:t xml:space="preserve"> spectrum licence</w:t>
      </w:r>
      <w:r>
        <w:rPr>
          <w:rFonts w:ascii="Arial" w:hAnsi="Arial" w:cs="Arial"/>
          <w:sz w:val="20"/>
          <w:szCs w:val="20"/>
        </w:rPr>
        <w:t xml:space="preserve">. </w:t>
      </w:r>
      <w:r w:rsidR="00092DC1">
        <w:rPr>
          <w:rFonts w:ascii="Arial" w:hAnsi="Arial" w:cs="Arial"/>
          <w:sz w:val="20"/>
          <w:szCs w:val="20"/>
        </w:rPr>
        <w:t>Similar calculations as those set out in section 5 are applied for each licence</w:t>
      </w:r>
      <w:r>
        <w:rPr>
          <w:rFonts w:ascii="Arial" w:hAnsi="Arial" w:cs="Arial"/>
          <w:sz w:val="20"/>
          <w:szCs w:val="20"/>
        </w:rPr>
        <w:t>.</w:t>
      </w:r>
    </w:p>
    <w:p w:rsidR="007F3562" w:rsidRDefault="00813B52">
      <w:pPr>
        <w:jc w:val="both"/>
        <w:rPr>
          <w:rFonts w:ascii="Arial" w:hAnsi="Arial" w:cs="Arial"/>
          <w:b/>
          <w:sz w:val="20"/>
          <w:szCs w:val="20"/>
        </w:rPr>
      </w:pPr>
      <w:r w:rsidRPr="00FD016B">
        <w:rPr>
          <w:rFonts w:ascii="Arial" w:hAnsi="Arial" w:cs="Arial"/>
          <w:b/>
          <w:sz w:val="20"/>
          <w:szCs w:val="20"/>
        </w:rPr>
        <w:t xml:space="preserve">Section </w:t>
      </w:r>
      <w:r w:rsidR="005115AD" w:rsidRPr="005115AD">
        <w:rPr>
          <w:rFonts w:ascii="Arial" w:hAnsi="Arial" w:cs="Arial"/>
          <w:b/>
          <w:sz w:val="20"/>
          <w:szCs w:val="20"/>
        </w:rPr>
        <w:t>13</w:t>
      </w:r>
      <w:r w:rsidR="00092561">
        <w:rPr>
          <w:rFonts w:ascii="Arial" w:hAnsi="Arial" w:cs="Arial"/>
          <w:b/>
          <w:sz w:val="20"/>
          <w:szCs w:val="20"/>
        </w:rPr>
        <w:t xml:space="preserve"> – When spectrum access charge is payable</w:t>
      </w:r>
    </w:p>
    <w:p w:rsidR="007F3562" w:rsidRDefault="00092561">
      <w:pPr>
        <w:jc w:val="both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>This section provides the</w:t>
      </w:r>
      <w:r>
        <w:rPr>
          <w:rFonts w:ascii="Arial" w:hAnsi="Arial" w:cs="Arial"/>
          <w:sz w:val="20"/>
          <w:szCs w:val="20"/>
        </w:rPr>
        <w:t xml:space="preserve"> date that payment is required for spectrum access </w:t>
      </w:r>
      <w:r w:rsidRPr="00883C1E">
        <w:rPr>
          <w:rFonts w:ascii="Arial" w:hAnsi="Arial" w:cs="Arial"/>
          <w:sz w:val="20"/>
          <w:szCs w:val="20"/>
        </w:rPr>
        <w:t>charges</w:t>
      </w:r>
      <w:r w:rsidR="00883C1E" w:rsidRPr="00883C1E">
        <w:rPr>
          <w:rFonts w:ascii="Arial" w:hAnsi="Arial" w:cs="Arial"/>
          <w:sz w:val="20"/>
          <w:szCs w:val="20"/>
        </w:rPr>
        <w:t>.</w:t>
      </w:r>
      <w:r w:rsidR="00883C1E">
        <w:rPr>
          <w:rFonts w:ascii="Arial" w:hAnsi="Arial" w:cs="Arial"/>
          <w:b/>
          <w:sz w:val="20"/>
          <w:szCs w:val="20"/>
        </w:rPr>
        <w:t xml:space="preserve"> </w:t>
      </w:r>
      <w:r w:rsidR="00883C1E" w:rsidRPr="009E17B4">
        <w:rPr>
          <w:rFonts w:ascii="Arial" w:hAnsi="Arial" w:cs="Arial"/>
          <w:sz w:val="20"/>
          <w:szCs w:val="20"/>
        </w:rPr>
        <w:t>The ACMA has determined that full payment of the spectrum access charge for each licence to be re-issued is to be made on or before 5 June 2013.</w:t>
      </w:r>
    </w:p>
    <w:p w:rsidR="007F3562" w:rsidRDefault="000B03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5D6510"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  <w:sz w:val="20"/>
          <w:szCs w:val="20"/>
        </w:rPr>
        <w:t xml:space="preserve"> – Expiry</w:t>
      </w:r>
    </w:p>
    <w:p w:rsidR="007F3562" w:rsidRDefault="000B0352">
      <w:pPr>
        <w:jc w:val="both"/>
        <w:rPr>
          <w:rFonts w:ascii="Arial" w:hAnsi="Arial" w:cs="Arial"/>
          <w:sz w:val="20"/>
          <w:szCs w:val="20"/>
        </w:rPr>
      </w:pPr>
      <w:r w:rsidRPr="00FD016B">
        <w:rPr>
          <w:rFonts w:ascii="Arial" w:hAnsi="Arial" w:cs="Arial"/>
          <w:sz w:val="20"/>
          <w:szCs w:val="20"/>
        </w:rPr>
        <w:t>This section provides</w:t>
      </w:r>
      <w:r w:rsidR="003F2CE3">
        <w:rPr>
          <w:rFonts w:ascii="Arial" w:hAnsi="Arial" w:cs="Arial"/>
          <w:sz w:val="20"/>
          <w:szCs w:val="20"/>
        </w:rPr>
        <w:t xml:space="preserve"> that th</w:t>
      </w:r>
      <w:r w:rsidR="00092DC1">
        <w:rPr>
          <w:rFonts w:ascii="Arial" w:hAnsi="Arial" w:cs="Arial"/>
          <w:sz w:val="20"/>
          <w:szCs w:val="20"/>
        </w:rPr>
        <w:t>e</w:t>
      </w:r>
      <w:r w:rsidR="003F2CE3">
        <w:rPr>
          <w:rFonts w:ascii="Arial" w:hAnsi="Arial" w:cs="Arial"/>
          <w:sz w:val="20"/>
          <w:szCs w:val="20"/>
        </w:rPr>
        <w:t xml:space="preserve"> Determination ceases to have effect at the end of 17 June 2013</w:t>
      </w:r>
      <w:r w:rsidR="005115AD" w:rsidRPr="005115AD">
        <w:rPr>
          <w:rFonts w:ascii="Arial" w:hAnsi="Arial" w:cs="Arial"/>
          <w:sz w:val="20"/>
          <w:szCs w:val="20"/>
        </w:rPr>
        <w:t xml:space="preserve"> when the current licences expire.</w:t>
      </w:r>
      <w:r w:rsidR="005115AD" w:rsidRPr="005115AD">
        <w:rPr>
          <w:rFonts w:ascii="Arial" w:hAnsi="Arial" w:cs="Arial"/>
          <w:sz w:val="20"/>
          <w:szCs w:val="20"/>
        </w:rPr>
        <w:br w:type="page"/>
      </w:r>
    </w:p>
    <w:p w:rsidR="007F3562" w:rsidRDefault="00E93959">
      <w:pPr>
        <w:spacing w:line="360" w:lineRule="auto"/>
        <w:ind w:left="7371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lastRenderedPageBreak/>
        <w:t>ATTACHMENT B</w:t>
      </w:r>
    </w:p>
    <w:p w:rsidR="007F3562" w:rsidRDefault="007F35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3959" w:rsidRPr="00092561" w:rsidRDefault="00E93959" w:rsidP="008A1D58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92561">
        <w:rPr>
          <w:rFonts w:ascii="Arial" w:hAnsi="Arial" w:cs="Arial"/>
          <w:b/>
          <w:sz w:val="20"/>
          <w:szCs w:val="20"/>
        </w:rPr>
        <w:t>Statement of Compatibility with Human Rights</w:t>
      </w:r>
    </w:p>
    <w:p w:rsidR="007F3562" w:rsidRDefault="00E9395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Prepared in accordance with Part 3 of the </w:t>
      </w:r>
      <w:r w:rsidR="00C22E1C" w:rsidRPr="00C22E1C">
        <w:rPr>
          <w:rFonts w:ascii="Arial" w:hAnsi="Arial" w:cs="Arial"/>
          <w:i/>
          <w:sz w:val="20"/>
          <w:szCs w:val="20"/>
        </w:rPr>
        <w:t>Human Rights (Parliamentary Scrutiny) Act 2011</w:t>
      </w:r>
    </w:p>
    <w:p w:rsidR="00092DC1" w:rsidRDefault="002F00FA" w:rsidP="00092DC1">
      <w:pPr>
        <w:spacing w:before="200" w:after="0"/>
        <w:jc w:val="center"/>
        <w:rPr>
          <w:rFonts w:ascii="Arial" w:hAnsi="Arial" w:cs="Arial"/>
          <w:b/>
          <w:i/>
          <w:sz w:val="20"/>
          <w:szCs w:val="20"/>
        </w:rPr>
      </w:pPr>
      <w:r w:rsidRPr="002F00FA">
        <w:rPr>
          <w:rFonts w:ascii="Arial" w:hAnsi="Arial" w:cs="Arial"/>
          <w:b/>
          <w:i/>
          <w:sz w:val="20"/>
          <w:szCs w:val="20"/>
        </w:rPr>
        <w:t xml:space="preserve">Radiocommunications (Spectrum Access Charges – 1800 MHz Band) </w:t>
      </w:r>
    </w:p>
    <w:p w:rsidR="007F3562" w:rsidRDefault="002F00FA" w:rsidP="00092DC1">
      <w:pPr>
        <w:spacing w:before="200" w:after="0"/>
        <w:jc w:val="center"/>
        <w:rPr>
          <w:rFonts w:ascii="Arial" w:hAnsi="Arial" w:cs="Arial"/>
          <w:b/>
          <w:i/>
          <w:sz w:val="20"/>
          <w:szCs w:val="20"/>
        </w:rPr>
      </w:pPr>
      <w:r w:rsidRPr="002F00FA">
        <w:rPr>
          <w:rFonts w:ascii="Arial" w:hAnsi="Arial" w:cs="Arial"/>
          <w:b/>
          <w:i/>
          <w:sz w:val="20"/>
          <w:szCs w:val="20"/>
        </w:rPr>
        <w:t>Determination 2012 (No. 1)</w:t>
      </w:r>
    </w:p>
    <w:p w:rsidR="007F3562" w:rsidRDefault="007F3562">
      <w:pPr>
        <w:jc w:val="both"/>
        <w:rPr>
          <w:rFonts w:ascii="Arial" w:hAnsi="Arial" w:cs="Arial"/>
          <w:b/>
          <w:sz w:val="20"/>
          <w:szCs w:val="20"/>
        </w:rPr>
      </w:pPr>
    </w:p>
    <w:p w:rsidR="007F3562" w:rsidRDefault="00E93959">
      <w:pPr>
        <w:jc w:val="both"/>
        <w:rPr>
          <w:rFonts w:ascii="Arial" w:hAnsi="Arial" w:cs="Arial"/>
          <w:sz w:val="20"/>
          <w:szCs w:val="20"/>
        </w:rPr>
      </w:pPr>
      <w:r w:rsidRPr="00092561">
        <w:rPr>
          <w:rFonts w:ascii="Arial" w:hAnsi="Arial" w:cs="Arial"/>
          <w:sz w:val="20"/>
          <w:szCs w:val="20"/>
        </w:rPr>
        <w:t xml:space="preserve">This legislative instrument is compatible with the human rights and freedoms recognised or declared in the international instruments listed in section 3 of the </w:t>
      </w:r>
      <w:r w:rsidRPr="009F157B">
        <w:rPr>
          <w:rFonts w:ascii="Arial" w:hAnsi="Arial" w:cs="Arial"/>
          <w:i/>
          <w:sz w:val="20"/>
          <w:szCs w:val="20"/>
        </w:rPr>
        <w:t>Human Rights (Parliamentary Scrutiny) Act 2011</w:t>
      </w:r>
      <w:r w:rsidRPr="00092561">
        <w:rPr>
          <w:rFonts w:ascii="Arial" w:hAnsi="Arial" w:cs="Arial"/>
          <w:sz w:val="20"/>
          <w:szCs w:val="20"/>
        </w:rPr>
        <w:t>.</w:t>
      </w:r>
    </w:p>
    <w:p w:rsidR="007F3562" w:rsidRDefault="009E17B4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Overview of the Legislative Instrument</w:t>
      </w:r>
    </w:p>
    <w:p w:rsidR="007F3562" w:rsidRDefault="00CD4852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S</w:t>
      </w:r>
      <w:r w:rsidR="008D4EA2">
        <w:rPr>
          <w:rFonts w:ascii="Arial" w:hAnsi="Arial" w:cs="Arial"/>
          <w:sz w:val="20"/>
          <w:szCs w:val="20"/>
        </w:rPr>
        <w:t>ubs</w:t>
      </w:r>
      <w:r w:rsidRPr="009E17B4">
        <w:rPr>
          <w:rFonts w:ascii="Arial" w:hAnsi="Arial" w:cs="Arial"/>
          <w:sz w:val="20"/>
          <w:szCs w:val="20"/>
        </w:rPr>
        <w:t xml:space="preserve">ection 82(1) of the </w:t>
      </w:r>
      <w:r w:rsidR="00C22E1C" w:rsidRPr="00C22E1C">
        <w:rPr>
          <w:rFonts w:ascii="Arial" w:hAnsi="Arial" w:cs="Arial"/>
          <w:i/>
          <w:sz w:val="20"/>
          <w:szCs w:val="20"/>
        </w:rPr>
        <w:t>Radiocommunications Act 1992</w:t>
      </w:r>
      <w:r w:rsidR="008D4EA2">
        <w:rPr>
          <w:rFonts w:ascii="Arial" w:hAnsi="Arial" w:cs="Arial"/>
          <w:sz w:val="20"/>
          <w:szCs w:val="20"/>
        </w:rPr>
        <w:t xml:space="preserve"> (the Act)</w:t>
      </w:r>
      <w:r w:rsidRPr="009E17B4">
        <w:rPr>
          <w:rFonts w:ascii="Arial" w:hAnsi="Arial" w:cs="Arial"/>
          <w:sz w:val="20"/>
          <w:szCs w:val="20"/>
        </w:rPr>
        <w:t xml:space="preserve"> provides for the </w:t>
      </w:r>
      <w:r w:rsidRPr="00EE7F65">
        <w:rPr>
          <w:rFonts w:ascii="Arial" w:hAnsi="Arial" w:cs="Arial"/>
          <w:sz w:val="20"/>
          <w:szCs w:val="20"/>
        </w:rPr>
        <w:t xml:space="preserve">Australian Communications and Media Authority </w:t>
      </w:r>
      <w:r>
        <w:rPr>
          <w:rFonts w:ascii="Arial" w:hAnsi="Arial" w:cs="Arial"/>
          <w:sz w:val="20"/>
          <w:szCs w:val="20"/>
        </w:rPr>
        <w:t>(</w:t>
      </w:r>
      <w:r w:rsidR="00FD016B">
        <w:rPr>
          <w:rFonts w:ascii="Arial" w:hAnsi="Arial" w:cs="Arial"/>
          <w:sz w:val="20"/>
          <w:szCs w:val="20"/>
        </w:rPr>
        <w:t xml:space="preserve">the </w:t>
      </w:r>
      <w:r w:rsidRPr="009E17B4">
        <w:rPr>
          <w:rFonts w:ascii="Arial" w:hAnsi="Arial" w:cs="Arial"/>
          <w:sz w:val="20"/>
          <w:szCs w:val="20"/>
        </w:rPr>
        <w:t>ACMA</w:t>
      </w:r>
      <w:r>
        <w:rPr>
          <w:rFonts w:ascii="Arial" w:hAnsi="Arial" w:cs="Arial"/>
          <w:sz w:val="20"/>
          <w:szCs w:val="20"/>
        </w:rPr>
        <w:t>)</w:t>
      </w:r>
      <w:r w:rsidRPr="009E17B4">
        <w:rPr>
          <w:rFonts w:ascii="Arial" w:hAnsi="Arial" w:cs="Arial"/>
          <w:sz w:val="20"/>
          <w:szCs w:val="20"/>
        </w:rPr>
        <w:t xml:space="preserve"> to re-issue a spectrum licence to the person to whom it was previously issued if the licence was used in the provision of a service included in a class of services specified in a determination </w:t>
      </w:r>
      <w:r w:rsidR="00FD016B">
        <w:rPr>
          <w:rFonts w:ascii="Arial" w:hAnsi="Arial" w:cs="Arial"/>
          <w:sz w:val="20"/>
          <w:szCs w:val="20"/>
        </w:rPr>
        <w:t xml:space="preserve">made </w:t>
      </w:r>
      <w:r w:rsidRPr="009E17B4">
        <w:rPr>
          <w:rFonts w:ascii="Arial" w:hAnsi="Arial" w:cs="Arial"/>
          <w:sz w:val="20"/>
          <w:szCs w:val="20"/>
        </w:rPr>
        <w:t>under subsection 82(3) of the Act; or the ACMA is satisfied that special circumstances exist as a result of which it is in the public interest for that person to continue to hold the licence.</w:t>
      </w:r>
    </w:p>
    <w:p w:rsidR="007F3562" w:rsidRDefault="00CD4852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S</w:t>
      </w:r>
      <w:r w:rsidR="008D4EA2">
        <w:rPr>
          <w:rFonts w:ascii="Arial" w:hAnsi="Arial" w:cs="Arial"/>
          <w:sz w:val="20"/>
          <w:szCs w:val="20"/>
        </w:rPr>
        <w:t>ubs</w:t>
      </w:r>
      <w:r w:rsidRPr="009E17B4">
        <w:rPr>
          <w:rFonts w:ascii="Arial" w:hAnsi="Arial" w:cs="Arial"/>
          <w:sz w:val="20"/>
          <w:szCs w:val="20"/>
        </w:rPr>
        <w:t>ection 82(3) of the Act provides for the Minister to determine, by written instrument, a specified class of services for which re-issuing spectrum licences to the same licensees would be in the public interest.</w:t>
      </w:r>
    </w:p>
    <w:p w:rsidR="007F3562" w:rsidRDefault="00CD4852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 xml:space="preserve">Subsection 294(1) of the Act </w:t>
      </w:r>
      <w:r w:rsidR="00092DC1">
        <w:rPr>
          <w:rFonts w:ascii="Arial" w:hAnsi="Arial" w:cs="Arial"/>
          <w:sz w:val="20"/>
          <w:szCs w:val="20"/>
        </w:rPr>
        <w:t>empowers</w:t>
      </w:r>
      <w:r w:rsidRPr="009E17B4">
        <w:rPr>
          <w:rFonts w:ascii="Arial" w:hAnsi="Arial" w:cs="Arial"/>
          <w:sz w:val="20"/>
          <w:szCs w:val="20"/>
        </w:rPr>
        <w:t xml:space="preserve"> the ACMA </w:t>
      </w:r>
      <w:r w:rsidR="00092DC1">
        <w:rPr>
          <w:rFonts w:ascii="Arial" w:hAnsi="Arial" w:cs="Arial"/>
          <w:sz w:val="20"/>
          <w:szCs w:val="20"/>
        </w:rPr>
        <w:t>to</w:t>
      </w:r>
      <w:r w:rsidRPr="009E17B4">
        <w:rPr>
          <w:rFonts w:ascii="Arial" w:hAnsi="Arial" w:cs="Arial"/>
          <w:sz w:val="20"/>
          <w:szCs w:val="20"/>
        </w:rPr>
        <w:t xml:space="preserve"> make determinations to fix spectrum access charges payable by licensees for re-issuing spectrum licenses and specify the times when spectrum access charges are payable.</w:t>
      </w:r>
      <w:r>
        <w:rPr>
          <w:rFonts w:ascii="Arial" w:hAnsi="Arial" w:cs="Arial"/>
          <w:sz w:val="20"/>
          <w:szCs w:val="20"/>
        </w:rPr>
        <w:t xml:space="preserve"> </w:t>
      </w:r>
      <w:r w:rsidRPr="009E17B4">
        <w:rPr>
          <w:rFonts w:ascii="Arial" w:hAnsi="Arial" w:cs="Arial"/>
          <w:sz w:val="20"/>
          <w:szCs w:val="20"/>
        </w:rPr>
        <w:t>Subsection 294(2) of the Act allows the Minister to give written directions to the ACMA about the matters dealt with in determinations.</w:t>
      </w:r>
    </w:p>
    <w:p w:rsidR="007F3562" w:rsidRDefault="00CD48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C173D7">
        <w:rPr>
          <w:rFonts w:ascii="Arial" w:hAnsi="Arial" w:cs="Arial"/>
          <w:sz w:val="20"/>
          <w:szCs w:val="20"/>
        </w:rPr>
        <w:t xml:space="preserve">he </w:t>
      </w:r>
      <w:r w:rsidRPr="001A5C43">
        <w:rPr>
          <w:rFonts w:ascii="Arial" w:hAnsi="Arial" w:cs="Arial"/>
          <w:i/>
          <w:sz w:val="20"/>
          <w:szCs w:val="20"/>
        </w:rPr>
        <w:t>Radiocommunications (Spectrum Access Charge</w:t>
      </w:r>
      <w:r w:rsidR="008D4EA2" w:rsidRPr="001A5C43">
        <w:rPr>
          <w:rFonts w:ascii="Arial" w:hAnsi="Arial" w:cs="Arial"/>
          <w:i/>
          <w:sz w:val="20"/>
          <w:szCs w:val="20"/>
        </w:rPr>
        <w:t>s</w:t>
      </w:r>
      <w:r w:rsidRPr="001A5C43">
        <w:rPr>
          <w:rFonts w:ascii="Arial" w:hAnsi="Arial" w:cs="Arial"/>
          <w:i/>
          <w:sz w:val="20"/>
          <w:szCs w:val="20"/>
        </w:rPr>
        <w:t xml:space="preserve"> – </w:t>
      </w:r>
      <w:r w:rsidR="00492A5D">
        <w:rPr>
          <w:rFonts w:ascii="Arial" w:hAnsi="Arial" w:cs="Arial"/>
          <w:i/>
          <w:sz w:val="20"/>
          <w:szCs w:val="20"/>
        </w:rPr>
        <w:t>1</w:t>
      </w:r>
      <w:r w:rsidRPr="001A5C43">
        <w:rPr>
          <w:rFonts w:ascii="Arial" w:hAnsi="Arial" w:cs="Arial"/>
          <w:i/>
          <w:sz w:val="20"/>
          <w:szCs w:val="20"/>
        </w:rPr>
        <w:t>800 MHz Band) Determination</w:t>
      </w:r>
      <w:r w:rsidR="008D4EA2" w:rsidRPr="001A5C43">
        <w:rPr>
          <w:rFonts w:ascii="Arial" w:hAnsi="Arial" w:cs="Arial"/>
          <w:i/>
          <w:sz w:val="20"/>
          <w:szCs w:val="20"/>
        </w:rPr>
        <w:t xml:space="preserve"> </w:t>
      </w:r>
      <w:r w:rsidRPr="001A5C43">
        <w:rPr>
          <w:rFonts w:ascii="Arial" w:hAnsi="Arial" w:cs="Arial"/>
          <w:i/>
          <w:sz w:val="20"/>
          <w:szCs w:val="20"/>
        </w:rPr>
        <w:t>2012 (No. 1)</w:t>
      </w:r>
      <w:r w:rsidRPr="009E17B4">
        <w:rPr>
          <w:rFonts w:ascii="Arial" w:hAnsi="Arial" w:cs="Arial"/>
          <w:sz w:val="20"/>
          <w:szCs w:val="20"/>
        </w:rPr>
        <w:t xml:space="preserve"> (the Determination)</w:t>
      </w:r>
      <w:r w:rsidR="00CA4CEA">
        <w:rPr>
          <w:rFonts w:ascii="Arial" w:hAnsi="Arial" w:cs="Arial"/>
          <w:sz w:val="20"/>
          <w:szCs w:val="20"/>
        </w:rPr>
        <w:t xml:space="preserve"> </w:t>
      </w:r>
      <w:r w:rsidR="008D4EA2">
        <w:rPr>
          <w:rFonts w:ascii="Arial" w:hAnsi="Arial" w:cs="Arial"/>
          <w:sz w:val="20"/>
          <w:szCs w:val="20"/>
        </w:rPr>
        <w:t>fixes</w:t>
      </w:r>
      <w:r w:rsidR="00CA4CEA">
        <w:rPr>
          <w:rFonts w:ascii="Arial" w:hAnsi="Arial" w:cs="Arial"/>
          <w:sz w:val="20"/>
          <w:szCs w:val="20"/>
        </w:rPr>
        <w:t xml:space="preserve"> spectrum access charges </w:t>
      </w:r>
      <w:r w:rsidR="008D4EA2">
        <w:rPr>
          <w:rFonts w:ascii="Arial" w:hAnsi="Arial" w:cs="Arial"/>
          <w:sz w:val="20"/>
          <w:szCs w:val="20"/>
        </w:rPr>
        <w:t xml:space="preserve">payable by licensees </w:t>
      </w:r>
      <w:r w:rsidR="00CA4CEA">
        <w:rPr>
          <w:rFonts w:ascii="Arial" w:hAnsi="Arial" w:cs="Arial"/>
          <w:sz w:val="20"/>
          <w:szCs w:val="20"/>
        </w:rPr>
        <w:t xml:space="preserve">for the re-issue of certain expiring spectrum licences in the </w:t>
      </w:r>
      <w:r w:rsidR="00492A5D">
        <w:rPr>
          <w:rFonts w:ascii="Arial" w:hAnsi="Arial" w:cs="Arial"/>
          <w:sz w:val="20"/>
          <w:szCs w:val="20"/>
        </w:rPr>
        <w:t>1</w:t>
      </w:r>
      <w:r w:rsidR="00CA4CEA">
        <w:rPr>
          <w:rFonts w:ascii="Arial" w:hAnsi="Arial" w:cs="Arial"/>
          <w:sz w:val="20"/>
          <w:szCs w:val="20"/>
        </w:rPr>
        <w:t>800 MHz band.</w:t>
      </w:r>
    </w:p>
    <w:p w:rsidR="007F3562" w:rsidRDefault="009E17B4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 xml:space="preserve">Subsection 9(1) of the </w:t>
      </w:r>
      <w:r w:rsidRPr="001A5C43">
        <w:rPr>
          <w:rFonts w:ascii="Arial" w:hAnsi="Arial" w:cs="Arial"/>
          <w:i/>
          <w:sz w:val="20"/>
          <w:szCs w:val="20"/>
        </w:rPr>
        <w:t>Human Rights (Parliamentary Scrutiny) Act 2011</w:t>
      </w:r>
      <w:r w:rsidRPr="009E17B4">
        <w:rPr>
          <w:rFonts w:ascii="Arial" w:hAnsi="Arial" w:cs="Arial"/>
          <w:sz w:val="20"/>
          <w:szCs w:val="20"/>
        </w:rPr>
        <w:t xml:space="preserve"> requires the rule</w:t>
      </w:r>
      <w:r w:rsidR="004010AC">
        <w:rPr>
          <w:rFonts w:ascii="Arial" w:hAnsi="Arial" w:cs="Arial"/>
          <w:sz w:val="20"/>
          <w:szCs w:val="20"/>
        </w:rPr>
        <w:t>-</w:t>
      </w:r>
      <w:r w:rsidRPr="009E17B4">
        <w:rPr>
          <w:rFonts w:ascii="Arial" w:hAnsi="Arial" w:cs="Arial"/>
          <w:sz w:val="20"/>
          <w:szCs w:val="20"/>
        </w:rPr>
        <w:t xml:space="preserve">maker in relation to a legislative instrument to which section 42 (disallowance) of the </w:t>
      </w:r>
      <w:r w:rsidRPr="009F157B">
        <w:rPr>
          <w:rFonts w:ascii="Arial" w:hAnsi="Arial" w:cs="Arial"/>
          <w:i/>
          <w:sz w:val="20"/>
          <w:szCs w:val="20"/>
        </w:rPr>
        <w:t>Legislative Instruments Act 2003</w:t>
      </w:r>
      <w:r w:rsidRPr="009E17B4">
        <w:rPr>
          <w:rFonts w:ascii="Arial" w:hAnsi="Arial" w:cs="Arial"/>
          <w:sz w:val="20"/>
          <w:szCs w:val="20"/>
        </w:rPr>
        <w:t xml:space="preserve"> applies to cause a statement of compatibility to be prepared in respect of that legislative instrument.</w:t>
      </w:r>
    </w:p>
    <w:p w:rsidR="007F3562" w:rsidRDefault="009E17B4">
      <w:pPr>
        <w:jc w:val="both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 xml:space="preserve">The Determination is a legislative instrument that is subject to disallowance under section 42 of the </w:t>
      </w:r>
      <w:r w:rsidRPr="009F157B">
        <w:rPr>
          <w:rFonts w:ascii="Arial" w:hAnsi="Arial" w:cs="Arial"/>
          <w:i/>
          <w:sz w:val="20"/>
          <w:szCs w:val="20"/>
        </w:rPr>
        <w:t>Legislative Instruments Act 2003</w:t>
      </w:r>
      <w:r w:rsidRPr="009E17B4">
        <w:rPr>
          <w:rFonts w:ascii="Arial" w:hAnsi="Arial" w:cs="Arial"/>
          <w:sz w:val="20"/>
          <w:szCs w:val="20"/>
        </w:rPr>
        <w:t>.</w:t>
      </w:r>
    </w:p>
    <w:p w:rsidR="007F3562" w:rsidRDefault="009E17B4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Human Rights Implications</w:t>
      </w:r>
    </w:p>
    <w:p w:rsidR="007F3562" w:rsidRDefault="009E17B4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9E17B4">
        <w:rPr>
          <w:rFonts w:ascii="Arial" w:hAnsi="Arial" w:cs="Arial"/>
          <w:sz w:val="20"/>
          <w:szCs w:val="20"/>
        </w:rPr>
        <w:t>The Determination does not engage any of the applicable rights or freedoms.</w:t>
      </w:r>
    </w:p>
    <w:p w:rsidR="007F3562" w:rsidRDefault="009E17B4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E17B4">
        <w:rPr>
          <w:rFonts w:ascii="Arial" w:hAnsi="Arial" w:cs="Arial"/>
          <w:b/>
          <w:sz w:val="20"/>
          <w:szCs w:val="20"/>
        </w:rPr>
        <w:t>Conclusion</w:t>
      </w:r>
    </w:p>
    <w:p w:rsidR="007F3562" w:rsidRDefault="009E17B4">
      <w:pPr>
        <w:jc w:val="both"/>
        <w:rPr>
          <w:rFonts w:ascii="Arial" w:hAnsi="Arial" w:cs="Arial"/>
        </w:rPr>
      </w:pPr>
      <w:r w:rsidRPr="009E17B4">
        <w:rPr>
          <w:rFonts w:ascii="Arial" w:hAnsi="Arial" w:cs="Arial"/>
          <w:sz w:val="20"/>
          <w:szCs w:val="20"/>
        </w:rPr>
        <w:t>The Determination is compatible with human rights as it does not raise any human rights issues.</w:t>
      </w:r>
    </w:p>
    <w:sectPr w:rsidR="007F3562" w:rsidSect="00457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3FA" w:rsidRDefault="00EE43FA" w:rsidP="00D45F2D">
      <w:pPr>
        <w:spacing w:after="0" w:line="240" w:lineRule="auto"/>
      </w:pPr>
      <w:r>
        <w:separator/>
      </w:r>
    </w:p>
  </w:endnote>
  <w:endnote w:type="continuationSeparator" w:id="0">
    <w:p w:rsidR="00EE43FA" w:rsidRDefault="00EE43FA" w:rsidP="00D4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3FA" w:rsidRDefault="00EE43FA" w:rsidP="00D45F2D">
      <w:pPr>
        <w:spacing w:after="0" w:line="240" w:lineRule="auto"/>
      </w:pPr>
      <w:r>
        <w:separator/>
      </w:r>
    </w:p>
  </w:footnote>
  <w:footnote w:type="continuationSeparator" w:id="0">
    <w:p w:rsidR="00EE43FA" w:rsidRDefault="00EE43FA" w:rsidP="00D45F2D">
      <w:pPr>
        <w:spacing w:after="0" w:line="240" w:lineRule="auto"/>
      </w:pPr>
      <w:r>
        <w:continuationSeparator/>
      </w:r>
    </w:p>
  </w:footnote>
  <w:footnote w:id="1">
    <w:p w:rsidR="00FD016B" w:rsidRDefault="00FD016B" w:rsidP="0055734B">
      <w:pPr>
        <w:pStyle w:val="FootnoteText"/>
      </w:pPr>
      <w:r>
        <w:rPr>
          <w:rStyle w:val="FootnoteReference"/>
        </w:rPr>
        <w:footnoteRef/>
      </w:r>
      <w:r>
        <w:t xml:space="preserve"> Australian Bureau of Statistics, </w:t>
      </w:r>
      <w:r w:rsidRPr="00575F0D">
        <w:rPr>
          <w:i/>
        </w:rPr>
        <w:t>Census 2011, Basic Community, Aboriginal and Torres Strait Islander Peoples (Indigenous) and Time Series Profiles</w:t>
      </w:r>
      <w:r>
        <w:t xml:space="preserve"> (catalogue number 2069.0.30.008)</w:t>
      </w:r>
    </w:p>
    <w:p w:rsidR="00FD016B" w:rsidRDefault="00FD016B">
      <w:pPr>
        <w:pStyle w:val="FootnoteText"/>
      </w:pPr>
    </w:p>
  </w:footnote>
  <w:footnote w:id="2">
    <w:p w:rsidR="00FD016B" w:rsidRDefault="00FD016B" w:rsidP="00EE7F65">
      <w:pPr>
        <w:pStyle w:val="FootnoteText"/>
      </w:pPr>
      <w:r>
        <w:rPr>
          <w:rStyle w:val="FootnoteReference"/>
        </w:rPr>
        <w:footnoteRef/>
      </w:r>
      <w:r>
        <w:t xml:space="preserve"> Australian Bureau of Statistics, </w:t>
      </w:r>
      <w:r w:rsidRPr="00D45F2D">
        <w:rPr>
          <w:i/>
        </w:rPr>
        <w:t xml:space="preserve">Australian Demographic Statistics, </w:t>
      </w:r>
      <w:r w:rsidR="00495E12">
        <w:rPr>
          <w:i/>
        </w:rPr>
        <w:t>M</w:t>
      </w:r>
      <w:r w:rsidR="007D148B">
        <w:rPr>
          <w:i/>
        </w:rPr>
        <w:t>arch 2012</w:t>
      </w:r>
      <w:r>
        <w:t xml:space="preserve">, catalogue 3101.0, released </w:t>
      </w:r>
      <w:r w:rsidR="007D148B">
        <w:t>27 September 2012</w:t>
      </w:r>
      <w:r>
        <w:t>.</w:t>
      </w:r>
    </w:p>
  </w:footnote>
  <w:footnote w:id="3">
    <w:p w:rsidR="00FD016B" w:rsidRDefault="00FD016B">
      <w:pPr>
        <w:pStyle w:val="FootnoteText"/>
      </w:pPr>
      <w:r>
        <w:rPr>
          <w:rStyle w:val="FootnoteReference"/>
        </w:rPr>
        <w:footnoteRef/>
      </w:r>
      <w:r>
        <w:t xml:space="preserve"> Budget Paper No 3, Australia’s Federal Relations 2012-13; 8 May 2012, page 141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BD8"/>
    <w:multiLevelType w:val="hybridMultilevel"/>
    <w:tmpl w:val="C882B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1557E"/>
    <w:multiLevelType w:val="hybridMultilevel"/>
    <w:tmpl w:val="29DC6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60EA"/>
    <w:multiLevelType w:val="hybridMultilevel"/>
    <w:tmpl w:val="D2A0CDF6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7636A14"/>
    <w:multiLevelType w:val="hybridMultilevel"/>
    <w:tmpl w:val="91EC99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2C0631"/>
    <w:multiLevelType w:val="hybridMultilevel"/>
    <w:tmpl w:val="C240B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8E2D77"/>
    <w:multiLevelType w:val="hybridMultilevel"/>
    <w:tmpl w:val="DA62A410"/>
    <w:lvl w:ilvl="0" w:tplc="0409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F5A5080"/>
    <w:multiLevelType w:val="hybridMultilevel"/>
    <w:tmpl w:val="24705096"/>
    <w:lvl w:ilvl="0" w:tplc="33362AD0">
      <w:start w:val="1"/>
      <w:numFmt w:val="bullet"/>
      <w:pStyle w:val="ACMABulletLevel1"/>
      <w:lvlText w:val="●"/>
      <w:lvlJc w:val="left"/>
      <w:pPr>
        <w:tabs>
          <w:tab w:val="num" w:pos="-3168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3DBB66B7"/>
    <w:multiLevelType w:val="hybridMultilevel"/>
    <w:tmpl w:val="86CCA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34B3C"/>
    <w:multiLevelType w:val="hybridMultilevel"/>
    <w:tmpl w:val="F9F6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09C4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769C8"/>
    <w:multiLevelType w:val="hybridMultilevel"/>
    <w:tmpl w:val="F64452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0200BF"/>
    <w:multiLevelType w:val="hybridMultilevel"/>
    <w:tmpl w:val="80387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30CBB"/>
    <w:multiLevelType w:val="hybridMultilevel"/>
    <w:tmpl w:val="21700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D752A"/>
    <w:multiLevelType w:val="hybridMultilevel"/>
    <w:tmpl w:val="4900D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FBD"/>
    <w:rsid w:val="000025E9"/>
    <w:rsid w:val="00006227"/>
    <w:rsid w:val="00014A4A"/>
    <w:rsid w:val="000220F8"/>
    <w:rsid w:val="00023E26"/>
    <w:rsid w:val="00061DE0"/>
    <w:rsid w:val="00066CC1"/>
    <w:rsid w:val="00092561"/>
    <w:rsid w:val="00092DC1"/>
    <w:rsid w:val="000B0352"/>
    <w:rsid w:val="000E1CCB"/>
    <w:rsid w:val="000E5866"/>
    <w:rsid w:val="000F511D"/>
    <w:rsid w:val="001013B0"/>
    <w:rsid w:val="0011333E"/>
    <w:rsid w:val="00116704"/>
    <w:rsid w:val="00137461"/>
    <w:rsid w:val="00172222"/>
    <w:rsid w:val="001936F2"/>
    <w:rsid w:val="00194000"/>
    <w:rsid w:val="001A2A13"/>
    <w:rsid w:val="001A5C43"/>
    <w:rsid w:val="001A6CB9"/>
    <w:rsid w:val="001B1EC9"/>
    <w:rsid w:val="00205A39"/>
    <w:rsid w:val="00235B33"/>
    <w:rsid w:val="00271B98"/>
    <w:rsid w:val="00271EF6"/>
    <w:rsid w:val="00273321"/>
    <w:rsid w:val="0028161D"/>
    <w:rsid w:val="002838AB"/>
    <w:rsid w:val="002B49BE"/>
    <w:rsid w:val="002C1156"/>
    <w:rsid w:val="002C3119"/>
    <w:rsid w:val="002C691A"/>
    <w:rsid w:val="002C69C8"/>
    <w:rsid w:val="002E1B99"/>
    <w:rsid w:val="002F00FA"/>
    <w:rsid w:val="002F2808"/>
    <w:rsid w:val="002F6D86"/>
    <w:rsid w:val="00324A90"/>
    <w:rsid w:val="00334CAD"/>
    <w:rsid w:val="00340627"/>
    <w:rsid w:val="00352AFA"/>
    <w:rsid w:val="00352D88"/>
    <w:rsid w:val="00363BDC"/>
    <w:rsid w:val="00387AB2"/>
    <w:rsid w:val="0039002A"/>
    <w:rsid w:val="00392272"/>
    <w:rsid w:val="003A2602"/>
    <w:rsid w:val="003A3441"/>
    <w:rsid w:val="003A4447"/>
    <w:rsid w:val="003B1252"/>
    <w:rsid w:val="003C026C"/>
    <w:rsid w:val="003C3DCB"/>
    <w:rsid w:val="003D312C"/>
    <w:rsid w:val="003D66D3"/>
    <w:rsid w:val="003F1635"/>
    <w:rsid w:val="003F2CE3"/>
    <w:rsid w:val="003F53F7"/>
    <w:rsid w:val="004005A8"/>
    <w:rsid w:val="004010AC"/>
    <w:rsid w:val="00423620"/>
    <w:rsid w:val="0044428E"/>
    <w:rsid w:val="004567C8"/>
    <w:rsid w:val="00457E4A"/>
    <w:rsid w:val="00463517"/>
    <w:rsid w:val="00464A35"/>
    <w:rsid w:val="00492A5D"/>
    <w:rsid w:val="00493F3C"/>
    <w:rsid w:val="00495E12"/>
    <w:rsid w:val="004965EB"/>
    <w:rsid w:val="004A0292"/>
    <w:rsid w:val="004A75D4"/>
    <w:rsid w:val="004C34AA"/>
    <w:rsid w:val="004E27A7"/>
    <w:rsid w:val="004E7DE5"/>
    <w:rsid w:val="004F4350"/>
    <w:rsid w:val="004F5F3D"/>
    <w:rsid w:val="005115AD"/>
    <w:rsid w:val="00511877"/>
    <w:rsid w:val="0051755A"/>
    <w:rsid w:val="00527C2B"/>
    <w:rsid w:val="0055734B"/>
    <w:rsid w:val="005618E9"/>
    <w:rsid w:val="00570FBD"/>
    <w:rsid w:val="00591944"/>
    <w:rsid w:val="00593AEC"/>
    <w:rsid w:val="005A0F8A"/>
    <w:rsid w:val="005C0AED"/>
    <w:rsid w:val="005C3AE0"/>
    <w:rsid w:val="005C40C0"/>
    <w:rsid w:val="005D6510"/>
    <w:rsid w:val="005E6508"/>
    <w:rsid w:val="005F5CFC"/>
    <w:rsid w:val="00604835"/>
    <w:rsid w:val="006220FC"/>
    <w:rsid w:val="00624D29"/>
    <w:rsid w:val="006260F4"/>
    <w:rsid w:val="006308C6"/>
    <w:rsid w:val="006950C2"/>
    <w:rsid w:val="00696563"/>
    <w:rsid w:val="006A0693"/>
    <w:rsid w:val="006B0B5F"/>
    <w:rsid w:val="006C1532"/>
    <w:rsid w:val="006E01E5"/>
    <w:rsid w:val="006E2BA4"/>
    <w:rsid w:val="006E6547"/>
    <w:rsid w:val="006F1374"/>
    <w:rsid w:val="006F1FE9"/>
    <w:rsid w:val="00711913"/>
    <w:rsid w:val="007323E8"/>
    <w:rsid w:val="00734491"/>
    <w:rsid w:val="00735C90"/>
    <w:rsid w:val="007409DD"/>
    <w:rsid w:val="00740F05"/>
    <w:rsid w:val="007728A7"/>
    <w:rsid w:val="007918A7"/>
    <w:rsid w:val="007A60D6"/>
    <w:rsid w:val="007B6592"/>
    <w:rsid w:val="007B6E67"/>
    <w:rsid w:val="007C6987"/>
    <w:rsid w:val="007C740B"/>
    <w:rsid w:val="007D148B"/>
    <w:rsid w:val="007F3562"/>
    <w:rsid w:val="00800A00"/>
    <w:rsid w:val="0081364B"/>
    <w:rsid w:val="00813B52"/>
    <w:rsid w:val="00817A75"/>
    <w:rsid w:val="00827697"/>
    <w:rsid w:val="00830A79"/>
    <w:rsid w:val="00853C4E"/>
    <w:rsid w:val="008713A7"/>
    <w:rsid w:val="008725EC"/>
    <w:rsid w:val="00876149"/>
    <w:rsid w:val="00883C1E"/>
    <w:rsid w:val="008908DB"/>
    <w:rsid w:val="00896439"/>
    <w:rsid w:val="008A0EE6"/>
    <w:rsid w:val="008A1D58"/>
    <w:rsid w:val="008A37BC"/>
    <w:rsid w:val="008C5EC0"/>
    <w:rsid w:val="008D2B94"/>
    <w:rsid w:val="008D3734"/>
    <w:rsid w:val="008D4EA2"/>
    <w:rsid w:val="00925943"/>
    <w:rsid w:val="00934E13"/>
    <w:rsid w:val="00937B79"/>
    <w:rsid w:val="00943A3F"/>
    <w:rsid w:val="00951389"/>
    <w:rsid w:val="00962800"/>
    <w:rsid w:val="00964298"/>
    <w:rsid w:val="00965530"/>
    <w:rsid w:val="00972101"/>
    <w:rsid w:val="0098207D"/>
    <w:rsid w:val="0099015E"/>
    <w:rsid w:val="009B0F2C"/>
    <w:rsid w:val="009B69A0"/>
    <w:rsid w:val="009D15AD"/>
    <w:rsid w:val="009D7D23"/>
    <w:rsid w:val="009E17B4"/>
    <w:rsid w:val="009E1EBE"/>
    <w:rsid w:val="009F157B"/>
    <w:rsid w:val="009F5A6C"/>
    <w:rsid w:val="00A02F17"/>
    <w:rsid w:val="00A129AC"/>
    <w:rsid w:val="00A224D3"/>
    <w:rsid w:val="00A314EA"/>
    <w:rsid w:val="00A34760"/>
    <w:rsid w:val="00A40048"/>
    <w:rsid w:val="00A47D1B"/>
    <w:rsid w:val="00A652C9"/>
    <w:rsid w:val="00A728C1"/>
    <w:rsid w:val="00A757F0"/>
    <w:rsid w:val="00AB079F"/>
    <w:rsid w:val="00AC67BC"/>
    <w:rsid w:val="00AC7C8E"/>
    <w:rsid w:val="00AD7182"/>
    <w:rsid w:val="00AE4B34"/>
    <w:rsid w:val="00B045FC"/>
    <w:rsid w:val="00B313DF"/>
    <w:rsid w:val="00B56426"/>
    <w:rsid w:val="00B56F67"/>
    <w:rsid w:val="00B6180B"/>
    <w:rsid w:val="00B61D28"/>
    <w:rsid w:val="00B812D8"/>
    <w:rsid w:val="00B93A08"/>
    <w:rsid w:val="00BB100B"/>
    <w:rsid w:val="00BB2D48"/>
    <w:rsid w:val="00BC669B"/>
    <w:rsid w:val="00BD25C8"/>
    <w:rsid w:val="00BE37B0"/>
    <w:rsid w:val="00C173D7"/>
    <w:rsid w:val="00C20FEC"/>
    <w:rsid w:val="00C22E1C"/>
    <w:rsid w:val="00C34199"/>
    <w:rsid w:val="00C342CE"/>
    <w:rsid w:val="00C36C82"/>
    <w:rsid w:val="00C77D11"/>
    <w:rsid w:val="00C9027D"/>
    <w:rsid w:val="00C94D61"/>
    <w:rsid w:val="00CA2002"/>
    <w:rsid w:val="00CA4CEA"/>
    <w:rsid w:val="00CC0643"/>
    <w:rsid w:val="00CC3DE5"/>
    <w:rsid w:val="00CC622A"/>
    <w:rsid w:val="00CD4852"/>
    <w:rsid w:val="00CD6237"/>
    <w:rsid w:val="00CE5BEF"/>
    <w:rsid w:val="00D34BF0"/>
    <w:rsid w:val="00D374DE"/>
    <w:rsid w:val="00D40617"/>
    <w:rsid w:val="00D406E4"/>
    <w:rsid w:val="00D43783"/>
    <w:rsid w:val="00D45F2D"/>
    <w:rsid w:val="00D72D8D"/>
    <w:rsid w:val="00D96834"/>
    <w:rsid w:val="00DC1F7B"/>
    <w:rsid w:val="00DE483B"/>
    <w:rsid w:val="00DE4AD2"/>
    <w:rsid w:val="00DF2143"/>
    <w:rsid w:val="00E016FB"/>
    <w:rsid w:val="00E068B7"/>
    <w:rsid w:val="00E11BE6"/>
    <w:rsid w:val="00E1656F"/>
    <w:rsid w:val="00E346CA"/>
    <w:rsid w:val="00E817E3"/>
    <w:rsid w:val="00E83545"/>
    <w:rsid w:val="00E93959"/>
    <w:rsid w:val="00E95E70"/>
    <w:rsid w:val="00EB1E4A"/>
    <w:rsid w:val="00ED0192"/>
    <w:rsid w:val="00ED550B"/>
    <w:rsid w:val="00EE19B9"/>
    <w:rsid w:val="00EE43FA"/>
    <w:rsid w:val="00EE7F65"/>
    <w:rsid w:val="00F074C5"/>
    <w:rsid w:val="00F105EA"/>
    <w:rsid w:val="00F13CB9"/>
    <w:rsid w:val="00F15BE9"/>
    <w:rsid w:val="00F26DC4"/>
    <w:rsid w:val="00F31E7F"/>
    <w:rsid w:val="00F37CAF"/>
    <w:rsid w:val="00F43AF6"/>
    <w:rsid w:val="00F44942"/>
    <w:rsid w:val="00F65769"/>
    <w:rsid w:val="00FA048A"/>
    <w:rsid w:val="00FB4634"/>
    <w:rsid w:val="00FC0808"/>
    <w:rsid w:val="00FD016B"/>
    <w:rsid w:val="00FF496A"/>
    <w:rsid w:val="00FF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EF6"/>
    <w:pPr>
      <w:spacing w:after="0" w:line="240" w:lineRule="atLeast"/>
      <w:ind w:left="720"/>
      <w:contextualSpacing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F6"/>
    <w:rPr>
      <w:rFonts w:ascii="Tahoma" w:hAnsi="Tahoma" w:cs="Tahoma"/>
      <w:sz w:val="16"/>
      <w:szCs w:val="16"/>
    </w:rPr>
  </w:style>
  <w:style w:type="paragraph" w:customStyle="1" w:styleId="ACMABodyText">
    <w:name w:val="ACMA Body Text"/>
    <w:link w:val="ACMABodyTextChar"/>
    <w:qFormat/>
    <w:rsid w:val="00A652C9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">
    <w:name w:val="ACMA Body Text Char"/>
    <w:basedOn w:val="DefaultParagraphFont"/>
    <w:link w:val="ACMABodyText"/>
    <w:rsid w:val="00A652C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t10t1">
    <w:name w:val="pt10t1"/>
    <w:basedOn w:val="DefaultParagraphFont"/>
    <w:rsid w:val="003B1252"/>
    <w:rPr>
      <w:rFonts w:ascii="Arial" w:hAnsi="Arial" w:cs="Arial" w:hint="default"/>
      <w:i w:val="0"/>
      <w:iCs w:val="0"/>
      <w:sz w:val="15"/>
      <w:szCs w:val="15"/>
    </w:rPr>
  </w:style>
  <w:style w:type="paragraph" w:styleId="FootnoteText">
    <w:name w:val="footnote text"/>
    <w:basedOn w:val="Normal"/>
    <w:link w:val="FootnoteTextChar"/>
    <w:uiPriority w:val="99"/>
    <w:unhideWhenUsed/>
    <w:rsid w:val="00D45F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5F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F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AD2"/>
    <w:rPr>
      <w:b/>
      <w:bCs/>
    </w:rPr>
  </w:style>
  <w:style w:type="character" w:customStyle="1" w:styleId="CharSectno">
    <w:name w:val="CharSectno"/>
    <w:basedOn w:val="DefaultParagraphFont"/>
    <w:rsid w:val="003D312C"/>
  </w:style>
  <w:style w:type="paragraph" w:customStyle="1" w:styleId="ACMABulletLevel1">
    <w:name w:val="ACMA Bullet Level 1"/>
    <w:rsid w:val="003D312C"/>
    <w:pPr>
      <w:numPr>
        <w:numId w:val="10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R">
    <w:name w:val="HR"/>
    <w:aliases w:val="Regulation Heading"/>
    <w:basedOn w:val="Normal"/>
    <w:next w:val="Normal"/>
    <w:rsid w:val="00092561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83C1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26D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eb.acma.gov.au/pls/radcom/register_search.main_pag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KNAH4PPFC442-1229-967</_dlc_DocId>
    <_dlc_DocIdUrl xmlns="6db8f3c6-01a1-4322-b043-a3b2a190f7a8">
      <Url>http://collaboration/organisation/CID/IRB/SORS/_layouts/DocIdRedir.aspx?ID=KNAH4PPFC442-1229-967</Url>
      <Description>KNAH4PPFC442-1229-967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87CF1831231499AB06102660F5006" ma:contentTypeVersion="0" ma:contentTypeDescription="Create a new document." ma:contentTypeScope="" ma:versionID="7c9fac8a034485a9a283bf1d2873c2a3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7F76-42EF-422D-B65E-3974DEF6FDE7}">
  <ds:schemaRefs>
    <ds:schemaRef ds:uri="http://schemas.microsoft.com/office/2006/metadata/properties"/>
    <ds:schemaRef ds:uri="http://schemas.microsoft.com/office/infopath/2007/PartnerControls"/>
    <ds:schemaRef ds:uri="6db8f3c6-01a1-4322-b043-a3b2a190f7a8"/>
  </ds:schemaRefs>
</ds:datastoreItem>
</file>

<file path=customXml/itemProps2.xml><?xml version="1.0" encoding="utf-8"?>
<ds:datastoreItem xmlns:ds="http://schemas.openxmlformats.org/officeDocument/2006/customXml" ds:itemID="{9F131A0E-4274-4CCD-A105-AECD042BAB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B4FB7A-CEBD-468A-8BB5-4F78139D1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38E49-1B7C-460D-A0E7-396F7D3316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35F252-93C9-44C3-A16E-5D84BC1B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GSims</dc:creator>
  <cp:lastModifiedBy>Australian Communications and Media Authority</cp:lastModifiedBy>
  <cp:revision>5</cp:revision>
  <cp:lastPrinted>2012-11-01T05:09:00Z</cp:lastPrinted>
  <dcterms:created xsi:type="dcterms:W3CDTF">2012-12-19T03:05:00Z</dcterms:created>
  <dcterms:modified xsi:type="dcterms:W3CDTF">2012-12-19T23:52:00Z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0x010100F3B87CF1831231499AB06102660F5006</vt:lpwstr>
  </property>
  <property fmtid="{D5CDD505-2E9C-101B-9397-08002B2CF9AE}" pid="3" name="_dlc_DocIdItemGuid">
    <vt:lpwstr>32f10c26-545b-47dc-8ba7-bd4ebd997c61</vt:lpwstr>
  </property>
</Properties>
</file>