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5B" w:rsidRPr="0030435B" w:rsidRDefault="0030435B" w:rsidP="0026393E">
      <w:pPr>
        <w:jc w:val="center"/>
      </w:pPr>
      <w:r w:rsidRPr="0030435B">
        <w:rPr>
          <w:b/>
          <w:bCs/>
        </w:rPr>
        <w:t xml:space="preserve">ASIC CLASS </w:t>
      </w:r>
      <w:r w:rsidRPr="00B26E8C">
        <w:rPr>
          <w:b/>
          <w:bCs/>
        </w:rPr>
        <w:t xml:space="preserve">ORDER </w:t>
      </w:r>
      <w:r w:rsidR="00F674C4">
        <w:rPr>
          <w:b/>
          <w:bCs/>
        </w:rPr>
        <w:t>[CO 13/19]</w:t>
      </w:r>
    </w:p>
    <w:p w:rsidR="0030435B" w:rsidRPr="0030435B" w:rsidRDefault="0030435B" w:rsidP="0026393E">
      <w:pPr>
        <w:jc w:val="center"/>
      </w:pPr>
      <w:r w:rsidRPr="0030435B">
        <w:rPr>
          <w:b/>
          <w:bCs/>
        </w:rPr>
        <w:t>EXPLANATORY STATEMENT</w:t>
      </w:r>
    </w:p>
    <w:p w:rsidR="0030435B" w:rsidRPr="0030435B" w:rsidRDefault="0030435B" w:rsidP="0026393E">
      <w:pPr>
        <w:jc w:val="center"/>
      </w:pPr>
      <w:r w:rsidRPr="0030435B">
        <w:t>Prepared by the Australian Securities and Investments Commission</w:t>
      </w:r>
    </w:p>
    <w:p w:rsidR="0030435B" w:rsidRPr="0030435B" w:rsidRDefault="0030435B" w:rsidP="0026393E">
      <w:pPr>
        <w:jc w:val="center"/>
      </w:pPr>
      <w:r w:rsidRPr="0030435B">
        <w:rPr>
          <w:i/>
          <w:iCs/>
        </w:rPr>
        <w:t>Corporations Act 2001</w:t>
      </w:r>
    </w:p>
    <w:p w:rsidR="0030435B" w:rsidRDefault="0030435B" w:rsidP="0026393E">
      <w:pPr>
        <w:jc w:val="center"/>
      </w:pPr>
    </w:p>
    <w:p w:rsidR="0030435B" w:rsidRPr="0030435B" w:rsidRDefault="0030435B" w:rsidP="0026393E">
      <w:pPr>
        <w:jc w:val="both"/>
      </w:pPr>
      <w:r w:rsidRPr="0030435B">
        <w:t>The Australian Securities and Investments Commission (</w:t>
      </w:r>
      <w:r w:rsidRPr="0030435B">
        <w:rPr>
          <w:b/>
          <w:bCs/>
          <w:i/>
          <w:iCs/>
        </w:rPr>
        <w:t>ASIC</w:t>
      </w:r>
      <w:r w:rsidRPr="0030435B">
        <w:t xml:space="preserve">) makes </w:t>
      </w:r>
      <w:r w:rsidR="00637A99">
        <w:t xml:space="preserve">Class Order </w:t>
      </w:r>
      <w:r w:rsidR="00F674C4">
        <w:t>[CO 13/19]</w:t>
      </w:r>
      <w:r w:rsidRPr="0030435B">
        <w:t xml:space="preserve"> under paragraphs 601QA(1)(b), 926A(2)(a), 992B(1)(a) and 1020F(1)(a) of the </w:t>
      </w:r>
      <w:r w:rsidRPr="0030435B">
        <w:rPr>
          <w:i/>
          <w:iCs/>
        </w:rPr>
        <w:t xml:space="preserve">Corporations Act 2001 </w:t>
      </w:r>
      <w:r w:rsidRPr="0030435B">
        <w:t xml:space="preserve">(the </w:t>
      </w:r>
      <w:r w:rsidRPr="0030435B">
        <w:rPr>
          <w:b/>
          <w:bCs/>
          <w:i/>
          <w:iCs/>
        </w:rPr>
        <w:t>Act</w:t>
      </w:r>
      <w:r w:rsidRPr="0030435B">
        <w:t xml:space="preserve">). </w:t>
      </w:r>
    </w:p>
    <w:p w:rsidR="0030435B" w:rsidRDefault="0030435B" w:rsidP="0026393E">
      <w:pPr>
        <w:jc w:val="both"/>
      </w:pPr>
    </w:p>
    <w:p w:rsidR="0030435B" w:rsidRPr="0030435B" w:rsidRDefault="0030435B" w:rsidP="0026393E">
      <w:pPr>
        <w:jc w:val="both"/>
      </w:pPr>
      <w:r w:rsidRPr="0030435B">
        <w:t xml:space="preserve">Paragraph 601QA(1)(b) of the </w:t>
      </w:r>
      <w:r w:rsidR="009C572F">
        <w:t xml:space="preserve">Act </w:t>
      </w:r>
      <w:r w:rsidRPr="0030435B">
        <w:t xml:space="preserve">provides that </w:t>
      </w:r>
      <w:r w:rsidR="00CB68B9">
        <w:t xml:space="preserve">ASIC </w:t>
      </w:r>
      <w:r w:rsidRPr="0030435B">
        <w:t>may declare that Ch</w:t>
      </w:r>
      <w:r w:rsidR="00F674C4">
        <w:t>apter</w:t>
      </w:r>
      <w:r w:rsidRPr="0030435B">
        <w:t xml:space="preserve"> 5C of the Act appl</w:t>
      </w:r>
      <w:r w:rsidR="00F674C4">
        <w:t>ies</w:t>
      </w:r>
      <w:r w:rsidRPr="0030435B">
        <w:t xml:space="preserve"> to a person as if the </w:t>
      </w:r>
      <w:r w:rsidR="00F674C4">
        <w:t xml:space="preserve">specified </w:t>
      </w:r>
      <w:r w:rsidRPr="0030435B">
        <w:t xml:space="preserve">provisions were omitted, modified or varied in a certain way. </w:t>
      </w:r>
    </w:p>
    <w:p w:rsidR="0030435B" w:rsidRDefault="0030435B" w:rsidP="0026393E">
      <w:pPr>
        <w:jc w:val="both"/>
      </w:pPr>
    </w:p>
    <w:p w:rsidR="0030435B" w:rsidRPr="0030435B" w:rsidRDefault="0030435B" w:rsidP="0026393E">
      <w:pPr>
        <w:jc w:val="both"/>
      </w:pPr>
      <w:r w:rsidRPr="0030435B">
        <w:t xml:space="preserve">Paragraph </w:t>
      </w:r>
      <w:proofErr w:type="gramStart"/>
      <w:r w:rsidRPr="0030435B">
        <w:t>926A(</w:t>
      </w:r>
      <w:proofErr w:type="gramEnd"/>
      <w:r w:rsidRPr="0030435B">
        <w:t xml:space="preserve">2)(a) of the Act provides that ASIC may exempt a </w:t>
      </w:r>
      <w:r w:rsidR="00BE769D">
        <w:t xml:space="preserve">class of </w:t>
      </w:r>
      <w:r w:rsidRPr="0030435B">
        <w:t>person</w:t>
      </w:r>
      <w:r w:rsidR="00BE769D">
        <w:t>s</w:t>
      </w:r>
      <w:r w:rsidRPr="0030435B">
        <w:t xml:space="preserve"> from a</w:t>
      </w:r>
      <w:r w:rsidR="00BE769D">
        <w:t>ll or specified</w:t>
      </w:r>
      <w:r w:rsidRPr="0030435B">
        <w:t xml:space="preserve"> provision</w:t>
      </w:r>
      <w:r w:rsidR="00BE769D">
        <w:t>s</w:t>
      </w:r>
      <w:r w:rsidRPr="0030435B">
        <w:t xml:space="preserve"> of P</w:t>
      </w:r>
      <w:r w:rsidR="00F674C4">
        <w:t>ar</w:t>
      </w:r>
      <w:r w:rsidRPr="0030435B">
        <w:t>t 7.6 of the Act (other than Div</w:t>
      </w:r>
      <w:r w:rsidR="00F674C4">
        <w:t>i</w:t>
      </w:r>
      <w:r w:rsidRPr="0030435B">
        <w:t>s</w:t>
      </w:r>
      <w:r w:rsidR="00F674C4">
        <w:t>ions</w:t>
      </w:r>
      <w:r w:rsidRPr="0030435B">
        <w:t xml:space="preserve"> 4 and 8). </w:t>
      </w:r>
    </w:p>
    <w:p w:rsidR="0030435B" w:rsidRDefault="0030435B" w:rsidP="0026393E">
      <w:pPr>
        <w:jc w:val="both"/>
      </w:pPr>
    </w:p>
    <w:p w:rsidR="0030435B" w:rsidRPr="0030435B" w:rsidRDefault="0030435B" w:rsidP="0026393E">
      <w:pPr>
        <w:jc w:val="both"/>
      </w:pPr>
      <w:r w:rsidRPr="0030435B">
        <w:t xml:space="preserve">Paragraph </w:t>
      </w:r>
      <w:proofErr w:type="gramStart"/>
      <w:r w:rsidRPr="0030435B">
        <w:t>992B(</w:t>
      </w:r>
      <w:proofErr w:type="gramEnd"/>
      <w:r w:rsidRPr="0030435B">
        <w:t xml:space="preserve">1)(a) of the Act provides that ASIC may exempt a </w:t>
      </w:r>
      <w:r w:rsidR="00BE769D">
        <w:t xml:space="preserve">class of </w:t>
      </w:r>
      <w:r w:rsidRPr="0030435B">
        <w:t>person</w:t>
      </w:r>
      <w:r w:rsidR="00BE769D">
        <w:t>s</w:t>
      </w:r>
      <w:r w:rsidRPr="0030435B">
        <w:t xml:space="preserve"> from a</w:t>
      </w:r>
      <w:r w:rsidR="00BE769D">
        <w:t>ll or specified</w:t>
      </w:r>
      <w:r w:rsidRPr="0030435B">
        <w:t xml:space="preserve"> provision</w:t>
      </w:r>
      <w:r w:rsidR="00BE769D">
        <w:t>s</w:t>
      </w:r>
      <w:r w:rsidRPr="0030435B">
        <w:t xml:space="preserve"> of P</w:t>
      </w:r>
      <w:r w:rsidR="00F674C4">
        <w:t>ar</w:t>
      </w:r>
      <w:r w:rsidRPr="0030435B">
        <w:t xml:space="preserve">t 7.8 of the Act. </w:t>
      </w:r>
    </w:p>
    <w:p w:rsidR="0030435B" w:rsidRDefault="0030435B" w:rsidP="0026393E">
      <w:pPr>
        <w:jc w:val="both"/>
      </w:pPr>
    </w:p>
    <w:p w:rsidR="0030435B" w:rsidRPr="0030435B" w:rsidRDefault="0030435B" w:rsidP="0026393E">
      <w:pPr>
        <w:jc w:val="both"/>
      </w:pPr>
      <w:r w:rsidRPr="0030435B">
        <w:t xml:space="preserve">Paragraph </w:t>
      </w:r>
      <w:proofErr w:type="gramStart"/>
      <w:r w:rsidRPr="0030435B">
        <w:t>1020F(</w:t>
      </w:r>
      <w:proofErr w:type="gramEnd"/>
      <w:r w:rsidRPr="0030435B">
        <w:t xml:space="preserve">1)(a) of the Act provides that ASIC may exempt a </w:t>
      </w:r>
      <w:r w:rsidR="00BE769D">
        <w:t xml:space="preserve">class of </w:t>
      </w:r>
      <w:r w:rsidRPr="0030435B">
        <w:t>person</w:t>
      </w:r>
      <w:r w:rsidR="00BE769D">
        <w:t>s</w:t>
      </w:r>
      <w:r w:rsidRPr="0030435B">
        <w:t xml:space="preserve"> from a</w:t>
      </w:r>
      <w:r w:rsidR="00BE769D">
        <w:t>ll or</w:t>
      </w:r>
      <w:r w:rsidRPr="0030435B">
        <w:t xml:space="preserve"> </w:t>
      </w:r>
      <w:r w:rsidR="00BE769D">
        <w:t xml:space="preserve">specified </w:t>
      </w:r>
      <w:r w:rsidRPr="0030435B">
        <w:t>provision of P</w:t>
      </w:r>
      <w:r w:rsidR="00F674C4">
        <w:t>ar</w:t>
      </w:r>
      <w:r w:rsidRPr="0030435B">
        <w:t xml:space="preserve">t 7.9 of the Act. </w:t>
      </w:r>
    </w:p>
    <w:p w:rsidR="0030435B" w:rsidRDefault="0030435B" w:rsidP="0026393E">
      <w:pPr>
        <w:jc w:val="both"/>
        <w:rPr>
          <w:b/>
          <w:bCs/>
        </w:rPr>
      </w:pPr>
    </w:p>
    <w:p w:rsidR="0030435B" w:rsidRDefault="00556276" w:rsidP="0026393E">
      <w:pPr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30435B" w:rsidRPr="0030435B">
        <w:rPr>
          <w:b/>
          <w:bCs/>
        </w:rPr>
        <w:t xml:space="preserve">Background </w:t>
      </w:r>
    </w:p>
    <w:p w:rsidR="003F2160" w:rsidRPr="0030435B" w:rsidRDefault="003F2160" w:rsidP="0026393E">
      <w:pPr>
        <w:jc w:val="both"/>
      </w:pPr>
    </w:p>
    <w:p w:rsidR="0030435B" w:rsidRPr="0030435B" w:rsidRDefault="0030435B" w:rsidP="0026393E">
      <w:pPr>
        <w:jc w:val="both"/>
      </w:pPr>
      <w:r w:rsidRPr="0030435B">
        <w:t xml:space="preserve">On 20 October 2009, the Full </w:t>
      </w:r>
      <w:r w:rsidR="00BE769D">
        <w:t xml:space="preserve">Court of the </w:t>
      </w:r>
      <w:r w:rsidRPr="0030435B">
        <w:t xml:space="preserve">Federal Court held in </w:t>
      </w:r>
      <w:r w:rsidRPr="0030435B">
        <w:rPr>
          <w:i/>
          <w:iCs/>
        </w:rPr>
        <w:t xml:space="preserve">Brookfield Multiplex Ltd v International Litigation Funding Partners Pte Ltd </w:t>
      </w:r>
      <w:r w:rsidRPr="0030435B">
        <w:t>[2009] FCAFC 147 that a funded representative action and solicitors</w:t>
      </w:r>
      <w:r w:rsidR="00F674C4">
        <w:t>’</w:t>
      </w:r>
      <w:r w:rsidRPr="0030435B">
        <w:t xml:space="preserve"> retainers for two representative proceedings against Brookfield Multiplex Ltd in the Federal Court were a </w:t>
      </w:r>
      <w:r w:rsidR="00BE769D">
        <w:t>“</w:t>
      </w:r>
      <w:r w:rsidRPr="0030435B">
        <w:t>managed investment scheme</w:t>
      </w:r>
      <w:r w:rsidR="00BE769D">
        <w:t>”</w:t>
      </w:r>
      <w:r w:rsidRPr="0030435B">
        <w:t xml:space="preserve"> that should have been registered for the purposes of the Act. </w:t>
      </w:r>
    </w:p>
    <w:p w:rsidR="0030435B" w:rsidRDefault="0030435B" w:rsidP="0026393E">
      <w:pPr>
        <w:jc w:val="both"/>
      </w:pPr>
    </w:p>
    <w:p w:rsidR="0030435B" w:rsidRPr="0030435B" w:rsidRDefault="0030435B" w:rsidP="0026393E">
      <w:pPr>
        <w:jc w:val="both"/>
      </w:pPr>
      <w:r w:rsidRPr="0030435B">
        <w:t xml:space="preserve">On 4 May 2010, the Government announced that it would make regulations exempting representative proceedings and proof of debt arrangements from: </w:t>
      </w:r>
      <w:r w:rsidR="00E73217">
        <w:br/>
      </w:r>
    </w:p>
    <w:p w:rsidR="0030435B" w:rsidRPr="0030435B" w:rsidRDefault="0030435B" w:rsidP="0026393E">
      <w:pPr>
        <w:jc w:val="both"/>
      </w:pPr>
      <w:r w:rsidRPr="0030435B">
        <w:t xml:space="preserve">(a) </w:t>
      </w:r>
      <w:r>
        <w:tab/>
      </w:r>
      <w:proofErr w:type="gramStart"/>
      <w:r w:rsidRPr="0030435B">
        <w:t>the</w:t>
      </w:r>
      <w:proofErr w:type="gramEnd"/>
      <w:r w:rsidRPr="0030435B">
        <w:t xml:space="preserve"> definition of managed investment scheme in s</w:t>
      </w:r>
      <w:r w:rsidR="00E73217">
        <w:t xml:space="preserve">ection </w:t>
      </w:r>
      <w:r w:rsidRPr="0030435B">
        <w:t xml:space="preserve">9 of the Act; and </w:t>
      </w:r>
    </w:p>
    <w:p w:rsidR="00E73217" w:rsidRDefault="00E73217" w:rsidP="0026393E">
      <w:pPr>
        <w:ind w:left="720" w:hanging="720"/>
        <w:jc w:val="both"/>
      </w:pPr>
    </w:p>
    <w:p w:rsidR="0030435B" w:rsidRPr="0030435B" w:rsidRDefault="0030435B" w:rsidP="0026393E">
      <w:pPr>
        <w:ind w:left="720" w:hanging="720"/>
        <w:jc w:val="both"/>
      </w:pPr>
      <w:r w:rsidRPr="0030435B">
        <w:t xml:space="preserve">(b) </w:t>
      </w:r>
      <w:r>
        <w:tab/>
      </w:r>
      <w:r w:rsidRPr="0030435B">
        <w:t>P</w:t>
      </w:r>
      <w:r w:rsidR="00BE769D">
        <w:t>ar</w:t>
      </w:r>
      <w:r w:rsidRPr="0030435B">
        <w:t xml:space="preserve">ts 7.6, 7.7, 7.8 and 7.9 of the Act as long as there are appropriate arrangements in place to manage conflicts of interest. </w:t>
      </w:r>
    </w:p>
    <w:p w:rsidR="0030435B" w:rsidRDefault="0030435B" w:rsidP="0026393E">
      <w:pPr>
        <w:jc w:val="both"/>
      </w:pPr>
    </w:p>
    <w:p w:rsidR="0030435B" w:rsidRDefault="00BE769D" w:rsidP="00BE769D">
      <w:r>
        <w:t xml:space="preserve">On 5 May 2010, </w:t>
      </w:r>
      <w:r w:rsidR="0030435B">
        <w:t xml:space="preserve">ASIC </w:t>
      </w:r>
      <w:r>
        <w:t xml:space="preserve">made </w:t>
      </w:r>
      <w:r w:rsidR="00637A99">
        <w:t xml:space="preserve">Class Order </w:t>
      </w:r>
      <w:r w:rsidR="004E397F">
        <w:t>[</w:t>
      </w:r>
      <w:r w:rsidR="0030435B">
        <w:t>CO 10/333</w:t>
      </w:r>
      <w:r w:rsidR="004E397F">
        <w:t>]</w:t>
      </w:r>
      <w:r w:rsidR="0030435B">
        <w:t xml:space="preserve"> </w:t>
      </w:r>
      <w:r>
        <w:t xml:space="preserve">(the </w:t>
      </w:r>
      <w:r w:rsidR="004028CF" w:rsidRPr="004028CF">
        <w:rPr>
          <w:b/>
          <w:i/>
        </w:rPr>
        <w:t>principal class order</w:t>
      </w:r>
      <w:r>
        <w:t>)</w:t>
      </w:r>
      <w:r w:rsidR="0030435B">
        <w:t xml:space="preserve">.  </w:t>
      </w:r>
      <w:r>
        <w:br/>
      </w:r>
      <w:r>
        <w:br/>
        <w:t>The principal class order</w:t>
      </w:r>
      <w:r w:rsidR="0030435B">
        <w:t>:</w:t>
      </w:r>
    </w:p>
    <w:p w:rsidR="00812F29" w:rsidRDefault="00812F29" w:rsidP="0026393E">
      <w:pPr>
        <w:jc w:val="both"/>
      </w:pPr>
    </w:p>
    <w:p w:rsidR="0030435B" w:rsidRPr="0030435B" w:rsidRDefault="00E73217" w:rsidP="00E73217">
      <w:pPr>
        <w:ind w:left="567" w:hanging="567"/>
      </w:pPr>
      <w:r>
        <w:t>(a)</w:t>
      </w:r>
      <w:r>
        <w:tab/>
      </w:r>
      <w:proofErr w:type="gramStart"/>
      <w:r w:rsidR="0030435B">
        <w:t>provides</w:t>
      </w:r>
      <w:proofErr w:type="gramEnd"/>
      <w:r w:rsidR="0030435B">
        <w:t xml:space="preserve"> </w:t>
      </w:r>
      <w:r w:rsidR="0030435B" w:rsidRPr="0030435B">
        <w:t>for Ch</w:t>
      </w:r>
      <w:r w:rsidR="00BE769D">
        <w:t>apter</w:t>
      </w:r>
      <w:r w:rsidR="0030435B" w:rsidRPr="0030435B">
        <w:t xml:space="preserve"> 5C to apply as if the definition of a </w:t>
      </w:r>
      <w:r w:rsidR="00F674C4">
        <w:t>“</w:t>
      </w:r>
      <w:r w:rsidR="0030435B" w:rsidRPr="0030435B">
        <w:t>managed investment scheme</w:t>
      </w:r>
      <w:r w:rsidR="00F674C4">
        <w:t>”</w:t>
      </w:r>
      <w:r w:rsidR="0030435B" w:rsidRPr="0030435B">
        <w:t xml:space="preserve"> in s</w:t>
      </w:r>
      <w:r w:rsidR="00BE769D">
        <w:t xml:space="preserve">ection </w:t>
      </w:r>
      <w:r w:rsidR="0030435B" w:rsidRPr="0030435B">
        <w:t xml:space="preserve">9 of the Act were varied to exclude </w:t>
      </w:r>
      <w:r w:rsidR="00943A70">
        <w:t xml:space="preserve">a litigation funding scheme </w:t>
      </w:r>
      <w:r w:rsidR="0030435B" w:rsidRPr="0030435B">
        <w:t xml:space="preserve">and </w:t>
      </w:r>
      <w:r w:rsidR="00943A70">
        <w:t>a proof of debt funding scheme</w:t>
      </w:r>
      <w:r w:rsidR="0030435B" w:rsidRPr="0030435B">
        <w:t xml:space="preserve">. </w:t>
      </w:r>
      <w:r w:rsidR="00BE769D">
        <w:br/>
      </w:r>
    </w:p>
    <w:p w:rsidR="0030435B" w:rsidRPr="0030435B" w:rsidRDefault="00E73217" w:rsidP="00E73217">
      <w:pPr>
        <w:ind w:left="567" w:hanging="567"/>
      </w:pPr>
      <w:r>
        <w:t>(b)</w:t>
      </w:r>
      <w:r>
        <w:tab/>
      </w:r>
      <w:proofErr w:type="gramStart"/>
      <w:r w:rsidR="0030435B" w:rsidRPr="0030435B">
        <w:t>exempts</w:t>
      </w:r>
      <w:proofErr w:type="gramEnd"/>
      <w:r w:rsidR="0030435B" w:rsidRPr="0030435B">
        <w:t xml:space="preserve"> funders, lawyers and their representatives and other persons from the requirements to hold an A</w:t>
      </w:r>
      <w:r w:rsidR="00D24B90">
        <w:t>ustralian financial services licence</w:t>
      </w:r>
      <w:r w:rsidR="0030435B" w:rsidRPr="0030435B">
        <w:t xml:space="preserve"> or act as an authorised representative of a licensee to provide financial services associated </w:t>
      </w:r>
      <w:r w:rsidR="0030435B" w:rsidRPr="0030435B">
        <w:lastRenderedPageBreak/>
        <w:t xml:space="preserve">with </w:t>
      </w:r>
      <w:r w:rsidR="00943A70" w:rsidRPr="00943A70">
        <w:t>a litigation funding scheme and a proof of debt funding scheme</w:t>
      </w:r>
      <w:r w:rsidR="0030435B" w:rsidRPr="0030435B">
        <w:t>.</w:t>
      </w:r>
      <w:r w:rsidR="00BE769D">
        <w:br/>
      </w:r>
    </w:p>
    <w:p w:rsidR="0030435B" w:rsidRPr="0030435B" w:rsidRDefault="00E73217" w:rsidP="00E73217">
      <w:pPr>
        <w:ind w:left="567" w:hanging="567"/>
      </w:pPr>
      <w:r>
        <w:t>(c)</w:t>
      </w:r>
      <w:r>
        <w:tab/>
      </w:r>
      <w:proofErr w:type="gramStart"/>
      <w:r w:rsidR="0030435B" w:rsidRPr="0030435B">
        <w:t>exempts</w:t>
      </w:r>
      <w:proofErr w:type="gramEnd"/>
      <w:r w:rsidR="0030435B" w:rsidRPr="0030435B">
        <w:t xml:space="preserve"> </w:t>
      </w:r>
      <w:r w:rsidR="00D24B90">
        <w:t xml:space="preserve">persons </w:t>
      </w:r>
      <w:r w:rsidR="0030435B" w:rsidRPr="0030435B">
        <w:t xml:space="preserve">from the requirement </w:t>
      </w:r>
      <w:r w:rsidR="00CB68B9">
        <w:t xml:space="preserve">to </w:t>
      </w:r>
      <w:r w:rsidR="0030435B" w:rsidRPr="0030435B">
        <w:t>comply with the disclosure provisions in P</w:t>
      </w:r>
      <w:r w:rsidR="00BE769D">
        <w:t>ar</w:t>
      </w:r>
      <w:r w:rsidR="0030435B" w:rsidRPr="0030435B">
        <w:t xml:space="preserve">t 7.9 of the Act in relation to interests in </w:t>
      </w:r>
      <w:r w:rsidR="00943A70" w:rsidRPr="00943A70">
        <w:t>a litigation funding scheme and a proof of debt funding scheme</w:t>
      </w:r>
      <w:r w:rsidR="00943A70">
        <w:t xml:space="preserve">. </w:t>
      </w:r>
    </w:p>
    <w:p w:rsidR="0030435B" w:rsidRDefault="0030435B" w:rsidP="0026393E">
      <w:pPr>
        <w:jc w:val="both"/>
      </w:pPr>
    </w:p>
    <w:p w:rsidR="007706B6" w:rsidRDefault="007706B6" w:rsidP="0026393E">
      <w:pPr>
        <w:jc w:val="both"/>
      </w:pPr>
      <w:r>
        <w:t xml:space="preserve">On 15 March 2011, the New South Wales Court of Appeal held in </w:t>
      </w:r>
      <w:r>
        <w:rPr>
          <w:i/>
        </w:rPr>
        <w:t xml:space="preserve">International Litigation Partners Pte Ltd v Chameleon Mining NL </w:t>
      </w:r>
      <w:r>
        <w:t xml:space="preserve">[2011] NSWCA 50 that </w:t>
      </w:r>
      <w:r w:rsidR="00BE769D">
        <w:t>the</w:t>
      </w:r>
      <w:r>
        <w:t xml:space="preserve"> litigation funding agreement </w:t>
      </w:r>
      <w:r w:rsidR="00BE769D">
        <w:t xml:space="preserve">in that matter </w:t>
      </w:r>
      <w:r>
        <w:t>was a financial product under s</w:t>
      </w:r>
      <w:r w:rsidR="00BE769D">
        <w:t>ection </w:t>
      </w:r>
      <w:r>
        <w:t>763A of the Act because it is a facility through which financial risk is managed.</w:t>
      </w:r>
    </w:p>
    <w:p w:rsidR="007706B6" w:rsidRDefault="007706B6" w:rsidP="0026393E">
      <w:pPr>
        <w:jc w:val="both"/>
      </w:pPr>
    </w:p>
    <w:p w:rsidR="00D24B90" w:rsidRDefault="00D24B90" w:rsidP="0026393E">
      <w:pPr>
        <w:jc w:val="both"/>
      </w:pPr>
      <w:r w:rsidRPr="00D24B90">
        <w:t xml:space="preserve">On 23 June 2011, ASIC </w:t>
      </w:r>
      <w:r w:rsidR="00BE769D">
        <w:t xml:space="preserve">varied the principal class order </w:t>
      </w:r>
      <w:r w:rsidRPr="00D24B90">
        <w:t>to exempt a person from the requirements in the Act for a litigation funding arrangement or a proof of debt funding arrangement to the extent the arrangement, or an interest in the arrangement, is otherwise characterised as a financial product, including an interest in a single member arrangement that is characterised as a financial product</w:t>
      </w:r>
      <w:r>
        <w:t>.</w:t>
      </w:r>
    </w:p>
    <w:p w:rsidR="00D24B90" w:rsidRPr="007706B6" w:rsidRDefault="00D24B90" w:rsidP="0026393E">
      <w:pPr>
        <w:jc w:val="both"/>
      </w:pPr>
    </w:p>
    <w:p w:rsidR="006F7A52" w:rsidRDefault="00CA6DDB" w:rsidP="00BE769D">
      <w:r w:rsidRPr="00CA6DDB">
        <w:t>On 1</w:t>
      </w:r>
      <w:r w:rsidR="00AE5B0C">
        <w:t>2</w:t>
      </w:r>
      <w:r w:rsidRPr="00CA6DDB">
        <w:t xml:space="preserve"> July 2012, the </w:t>
      </w:r>
      <w:r w:rsidR="004028CF" w:rsidRPr="004028CF">
        <w:rPr>
          <w:i/>
        </w:rPr>
        <w:t>Corporations Amendment Regulation 2012 (No.</w:t>
      </w:r>
      <w:r w:rsidR="00E73217">
        <w:rPr>
          <w:i/>
        </w:rPr>
        <w:t xml:space="preserve"> </w:t>
      </w:r>
      <w:r w:rsidR="004028CF" w:rsidRPr="004028CF">
        <w:rPr>
          <w:i/>
        </w:rPr>
        <w:t xml:space="preserve">6) </w:t>
      </w:r>
      <w:r w:rsidR="00466A78">
        <w:t xml:space="preserve">(the </w:t>
      </w:r>
      <w:r w:rsidR="004028CF" w:rsidRPr="004028CF">
        <w:rPr>
          <w:b/>
          <w:i/>
        </w:rPr>
        <w:t>amending regulations</w:t>
      </w:r>
      <w:r w:rsidR="00466A78">
        <w:t xml:space="preserve">) </w:t>
      </w:r>
      <w:proofErr w:type="gramStart"/>
      <w:r w:rsidR="00FE6960">
        <w:t>were</w:t>
      </w:r>
      <w:proofErr w:type="gramEnd"/>
      <w:r w:rsidR="00D24B90">
        <w:t xml:space="preserve"> </w:t>
      </w:r>
      <w:r w:rsidR="00AE5B0C">
        <w:t>made</w:t>
      </w:r>
      <w:r w:rsidR="00466A78">
        <w:t xml:space="preserve">. </w:t>
      </w:r>
      <w:r w:rsidRPr="00CA6DDB">
        <w:t xml:space="preserve">The </w:t>
      </w:r>
      <w:r w:rsidR="00E0060F">
        <w:t>amending r</w:t>
      </w:r>
      <w:r w:rsidRPr="00CA6DDB">
        <w:t>egulations</w:t>
      </w:r>
      <w:r w:rsidR="006F7A52">
        <w:t>:</w:t>
      </w:r>
      <w:r w:rsidR="00BE769D">
        <w:br/>
      </w:r>
    </w:p>
    <w:p w:rsidR="009614D0" w:rsidRDefault="00E73217" w:rsidP="00E73217">
      <w:pPr>
        <w:ind w:left="567" w:hanging="567"/>
      </w:pPr>
      <w:r>
        <w:t>(a)</w:t>
      </w:r>
      <w:r>
        <w:tab/>
      </w:r>
      <w:proofErr w:type="gramStart"/>
      <w:r w:rsidR="006F7A52" w:rsidRPr="006F7A52">
        <w:t>clarif</w:t>
      </w:r>
      <w:r w:rsidR="00E30761">
        <w:t>y</w:t>
      </w:r>
      <w:proofErr w:type="gramEnd"/>
      <w:r w:rsidR="006F7A52" w:rsidRPr="006F7A52">
        <w:t xml:space="preserve"> that litigation funding schemes and proof of debt funding schemes are not managed investment schemes under the Act</w:t>
      </w:r>
      <w:r w:rsidR="00466A78">
        <w:t>;</w:t>
      </w:r>
      <w:r w:rsidR="00E0060F">
        <w:br/>
      </w:r>
    </w:p>
    <w:p w:rsidR="009614D0" w:rsidRDefault="00E73217" w:rsidP="00E73217">
      <w:pPr>
        <w:ind w:left="567" w:hanging="567"/>
      </w:pPr>
      <w:r>
        <w:t>(b)</w:t>
      </w:r>
      <w:r>
        <w:tab/>
      </w:r>
      <w:r w:rsidR="006F7A52" w:rsidRPr="006F7A52">
        <w:t>exempt a person from the licensing, conduct and disclosure requirements in Ch</w:t>
      </w:r>
      <w:r w:rsidR="00E0060F">
        <w:t xml:space="preserve">apter </w:t>
      </w:r>
      <w:r w:rsidR="006F7A52" w:rsidRPr="006F7A52">
        <w:t xml:space="preserve">7 of the Act in relation to a litigation scheme or proof of debt scheme; and </w:t>
      </w:r>
      <w:r w:rsidR="00E0060F">
        <w:br/>
      </w:r>
    </w:p>
    <w:p w:rsidR="009614D0" w:rsidRDefault="00E73217" w:rsidP="00E73217">
      <w:pPr>
        <w:ind w:left="567" w:hanging="567"/>
      </w:pPr>
      <w:r>
        <w:t>(c)</w:t>
      </w:r>
      <w:r>
        <w:tab/>
      </w:r>
      <w:proofErr w:type="gramStart"/>
      <w:r w:rsidR="006F7A52" w:rsidRPr="006F7A52">
        <w:t>address</w:t>
      </w:r>
      <w:proofErr w:type="gramEnd"/>
      <w:r w:rsidR="006F7A52" w:rsidRPr="006F7A52">
        <w:t xml:space="preserve"> conflicts of interest in litigation schemes and proof of debt schemes. </w:t>
      </w:r>
    </w:p>
    <w:p w:rsidR="00CA6DDB" w:rsidRDefault="00CA6DDB" w:rsidP="00BE769D"/>
    <w:p w:rsidR="00772FE4" w:rsidRDefault="00AE5B0C" w:rsidP="00BE769D">
      <w:r w:rsidRPr="0073043B">
        <w:t xml:space="preserve">The </w:t>
      </w:r>
      <w:r w:rsidR="00E0060F">
        <w:t>amending r</w:t>
      </w:r>
      <w:r w:rsidRPr="0073043B">
        <w:t xml:space="preserve">egulations </w:t>
      </w:r>
      <w:r w:rsidR="00E0060F">
        <w:t>will commence on 13 July 2013.</w:t>
      </w:r>
    </w:p>
    <w:p w:rsidR="00742EAA" w:rsidRDefault="00742EAA" w:rsidP="00BE769D"/>
    <w:p w:rsidR="00742EAA" w:rsidRPr="00B97ED7" w:rsidRDefault="00742EAA" w:rsidP="00BE769D">
      <w:r>
        <w:t xml:space="preserve">On 6 December 2012, the </w:t>
      </w:r>
      <w:r w:rsidRPr="00742EAA">
        <w:rPr>
          <w:i/>
          <w:iCs/>
        </w:rPr>
        <w:t>Corporations Amendment Regulation 2012 (No. 6) Amendment Regulation 2012 (No. 1)</w:t>
      </w:r>
      <w:r>
        <w:rPr>
          <w:i/>
          <w:iCs/>
        </w:rPr>
        <w:t xml:space="preserve"> </w:t>
      </w:r>
      <w:r w:rsidR="00B97ED7">
        <w:rPr>
          <w:iCs/>
        </w:rPr>
        <w:t>was</w:t>
      </w:r>
      <w:r>
        <w:rPr>
          <w:iCs/>
        </w:rPr>
        <w:t xml:space="preserve"> made to address matters arising from the </w:t>
      </w:r>
      <w:r w:rsidRPr="00742EAA">
        <w:rPr>
          <w:i/>
          <w:iCs/>
        </w:rPr>
        <w:t>Corporations Amendment Regulation 2012 (No. 6</w:t>
      </w:r>
      <w:r>
        <w:rPr>
          <w:i/>
          <w:iCs/>
        </w:rPr>
        <w:t>)</w:t>
      </w:r>
      <w:r>
        <w:rPr>
          <w:iCs/>
        </w:rPr>
        <w:t xml:space="preserve">. </w:t>
      </w:r>
      <w:r w:rsidR="00B97ED7">
        <w:rPr>
          <w:iCs/>
        </w:rPr>
        <w:t xml:space="preserve">The </w:t>
      </w:r>
      <w:r w:rsidR="00B97ED7" w:rsidRPr="00B97ED7">
        <w:rPr>
          <w:i/>
          <w:iCs/>
        </w:rPr>
        <w:t>Corporations Amendment Regulation 2012 (No. 6) Amendment Regulation 2012 (No. 1)</w:t>
      </w:r>
      <w:r w:rsidR="00B97ED7">
        <w:rPr>
          <w:i/>
          <w:iCs/>
        </w:rPr>
        <w:t xml:space="preserve"> </w:t>
      </w:r>
      <w:r w:rsidR="00E0060F">
        <w:rPr>
          <w:iCs/>
        </w:rPr>
        <w:t>will</w:t>
      </w:r>
      <w:r w:rsidR="00B97ED7">
        <w:rPr>
          <w:iCs/>
        </w:rPr>
        <w:t xml:space="preserve"> commence on 12</w:t>
      </w:r>
      <w:r w:rsidR="00E0060F">
        <w:rPr>
          <w:iCs/>
        </w:rPr>
        <w:t> </w:t>
      </w:r>
      <w:r w:rsidR="00B97ED7">
        <w:rPr>
          <w:iCs/>
        </w:rPr>
        <w:t xml:space="preserve">July 2013. </w:t>
      </w:r>
    </w:p>
    <w:p w:rsidR="00742EAA" w:rsidRDefault="00742EAA" w:rsidP="0026393E">
      <w:pPr>
        <w:jc w:val="both"/>
      </w:pPr>
    </w:p>
    <w:p w:rsidR="0030435B" w:rsidRPr="0030435B" w:rsidRDefault="007706B6" w:rsidP="0026393E">
      <w:pPr>
        <w:jc w:val="both"/>
      </w:pPr>
      <w:r w:rsidRPr="0030435B">
        <w:t xml:space="preserve"> </w:t>
      </w:r>
      <w:r w:rsidR="00556276">
        <w:rPr>
          <w:b/>
          <w:bCs/>
        </w:rPr>
        <w:t>2.</w:t>
      </w:r>
      <w:r w:rsidR="00556276">
        <w:rPr>
          <w:b/>
          <w:bCs/>
        </w:rPr>
        <w:tab/>
      </w:r>
      <w:r w:rsidR="0030435B" w:rsidRPr="0030435B">
        <w:rPr>
          <w:b/>
          <w:bCs/>
        </w:rPr>
        <w:t xml:space="preserve">Purpose </w:t>
      </w:r>
      <w:r w:rsidR="0030435B" w:rsidRPr="00B26E8C">
        <w:rPr>
          <w:b/>
          <w:bCs/>
        </w:rPr>
        <w:t xml:space="preserve">of </w:t>
      </w:r>
      <w:r w:rsidR="00E0060F">
        <w:rPr>
          <w:b/>
          <w:bCs/>
        </w:rPr>
        <w:t>th</w:t>
      </w:r>
      <w:r w:rsidR="00DA786E">
        <w:rPr>
          <w:b/>
          <w:bCs/>
        </w:rPr>
        <w:t>is</w:t>
      </w:r>
      <w:r w:rsidR="00E0060F">
        <w:rPr>
          <w:b/>
          <w:bCs/>
        </w:rPr>
        <w:t xml:space="preserve"> class order</w:t>
      </w:r>
      <w:r w:rsidR="0030435B" w:rsidRPr="0030435B">
        <w:rPr>
          <w:b/>
          <w:bCs/>
        </w:rPr>
        <w:t xml:space="preserve"> </w:t>
      </w:r>
    </w:p>
    <w:p w:rsidR="0096103C" w:rsidRDefault="0096103C" w:rsidP="0026393E">
      <w:pPr>
        <w:jc w:val="both"/>
      </w:pPr>
    </w:p>
    <w:p w:rsidR="0030435B" w:rsidRPr="0030435B" w:rsidRDefault="00E73217" w:rsidP="00BE769D">
      <w:r>
        <w:t>The purpose of the class order</w:t>
      </w:r>
      <w:r w:rsidR="0030435B" w:rsidRPr="0030435B">
        <w:t xml:space="preserve"> is to allow </w:t>
      </w:r>
      <w:r w:rsidR="006F7A52">
        <w:t xml:space="preserve">a person providing a financial service in relation to </w:t>
      </w:r>
      <w:r>
        <w:t xml:space="preserve">these kinds of schemes and arrangements </w:t>
      </w:r>
      <w:r w:rsidR="006F7A52">
        <w:t xml:space="preserve">to </w:t>
      </w:r>
      <w:r w:rsidR="00026BF6">
        <w:t>smoothly transition to the requirements of the</w:t>
      </w:r>
      <w:r>
        <w:t xml:space="preserve"> amending</w:t>
      </w:r>
      <w:r w:rsidR="00026BF6">
        <w:t xml:space="preserve"> </w:t>
      </w:r>
      <w:r>
        <w:t>r</w:t>
      </w:r>
      <w:r w:rsidR="00026BF6">
        <w:t xml:space="preserve">egulations which include </w:t>
      </w:r>
      <w:r w:rsidR="006F7A52">
        <w:t>establish</w:t>
      </w:r>
      <w:r w:rsidR="00026BF6">
        <w:t>ing</w:t>
      </w:r>
      <w:r w:rsidR="006F7A52">
        <w:t xml:space="preserve"> and maintain</w:t>
      </w:r>
      <w:r w:rsidR="00026BF6">
        <w:t>ing</w:t>
      </w:r>
      <w:r w:rsidR="006F7A52">
        <w:t xml:space="preserve"> adequate arrangements to manage conflicts of interest</w:t>
      </w:r>
      <w:r w:rsidR="00B26E8C">
        <w:t>.</w:t>
      </w:r>
    </w:p>
    <w:p w:rsidR="00E73217" w:rsidRDefault="00E73217" w:rsidP="00BE769D">
      <w:pPr>
        <w:rPr>
          <w:b/>
          <w:bCs/>
        </w:rPr>
      </w:pPr>
    </w:p>
    <w:p w:rsidR="0030435B" w:rsidRPr="0030435B" w:rsidRDefault="00556276" w:rsidP="00BE769D">
      <w:r>
        <w:rPr>
          <w:b/>
          <w:bCs/>
        </w:rPr>
        <w:t>3.</w:t>
      </w:r>
      <w:r>
        <w:rPr>
          <w:b/>
          <w:bCs/>
        </w:rPr>
        <w:tab/>
      </w:r>
      <w:r w:rsidR="0030435B" w:rsidRPr="0030435B">
        <w:rPr>
          <w:b/>
          <w:bCs/>
        </w:rPr>
        <w:t xml:space="preserve">Operation </w:t>
      </w:r>
      <w:r w:rsidR="0030435B" w:rsidRPr="00B26E8C">
        <w:rPr>
          <w:b/>
          <w:bCs/>
        </w:rPr>
        <w:t xml:space="preserve">of </w:t>
      </w:r>
      <w:r w:rsidR="00E73217">
        <w:rPr>
          <w:b/>
          <w:bCs/>
        </w:rPr>
        <w:t>the class order</w:t>
      </w:r>
      <w:r w:rsidR="0030435B" w:rsidRPr="0030435B">
        <w:rPr>
          <w:b/>
          <w:bCs/>
        </w:rPr>
        <w:t xml:space="preserve"> </w:t>
      </w:r>
    </w:p>
    <w:p w:rsidR="00D65383" w:rsidRDefault="00D65383" w:rsidP="00BE769D">
      <w:pPr>
        <w:rPr>
          <w:bCs/>
        </w:rPr>
      </w:pPr>
    </w:p>
    <w:p w:rsidR="00E73217" w:rsidRPr="00E73217" w:rsidRDefault="00535AAF" w:rsidP="00E73217">
      <w:pPr>
        <w:rPr>
          <w:bCs/>
        </w:rPr>
      </w:pPr>
      <w:r>
        <w:rPr>
          <w:bCs/>
        </w:rPr>
        <w:t xml:space="preserve">This class order amends the principal class order.  </w:t>
      </w:r>
      <w:r>
        <w:rPr>
          <w:bCs/>
        </w:rPr>
        <w:br/>
      </w:r>
      <w:r>
        <w:rPr>
          <w:bCs/>
        </w:rPr>
        <w:br/>
      </w:r>
      <w:r w:rsidR="00E73217" w:rsidRPr="00E73217">
        <w:rPr>
          <w:bCs/>
        </w:rPr>
        <w:t xml:space="preserve">This class order will extend until 12 July 2013 the transitional relief </w:t>
      </w:r>
      <w:r>
        <w:rPr>
          <w:bCs/>
        </w:rPr>
        <w:t xml:space="preserve">under the principal class order </w:t>
      </w:r>
      <w:r w:rsidR="00E73217" w:rsidRPr="00E73217">
        <w:rPr>
          <w:bCs/>
        </w:rPr>
        <w:t xml:space="preserve">from the requirements in the Act for a litigation funding scheme </w:t>
      </w:r>
      <w:r w:rsidR="00E73217" w:rsidRPr="00E73217">
        <w:rPr>
          <w:bCs/>
        </w:rPr>
        <w:lastRenderedPageBreak/>
        <w:t xml:space="preserve">and a proof of debt funding scheme that is characterised as a managed investment scheme under the Act. </w:t>
      </w:r>
    </w:p>
    <w:p w:rsidR="00E73217" w:rsidRPr="00E73217" w:rsidRDefault="00E73217" w:rsidP="00E73217">
      <w:pPr>
        <w:rPr>
          <w:bCs/>
        </w:rPr>
      </w:pPr>
    </w:p>
    <w:p w:rsidR="00E73217" w:rsidRDefault="00E73217" w:rsidP="00E73217">
      <w:pPr>
        <w:rPr>
          <w:bCs/>
        </w:rPr>
      </w:pPr>
      <w:r w:rsidRPr="00E73217">
        <w:rPr>
          <w:bCs/>
        </w:rPr>
        <w:t xml:space="preserve">The class order will also extend until 12 July 2013 the transitional relief </w:t>
      </w:r>
      <w:r w:rsidR="00535AAF">
        <w:rPr>
          <w:bCs/>
        </w:rPr>
        <w:t xml:space="preserve">under the principal class order </w:t>
      </w:r>
      <w:r w:rsidRPr="00E73217">
        <w:rPr>
          <w:bCs/>
        </w:rPr>
        <w:t>from the requirements in the Act for a litigation funding arrangement and a proof of debt funding arrangement that is otherwise characterised as a financial product, or an interest in a financial product.</w:t>
      </w:r>
    </w:p>
    <w:p w:rsidR="00556276" w:rsidRPr="00556276" w:rsidRDefault="00742EAA" w:rsidP="00BE769D">
      <w:pPr>
        <w:rPr>
          <w:b/>
          <w:bCs/>
        </w:rPr>
      </w:pPr>
      <w:r>
        <w:rPr>
          <w:bCs/>
        </w:rPr>
        <w:br/>
      </w:r>
      <w:r w:rsidR="00556276" w:rsidRPr="00556276">
        <w:rPr>
          <w:b/>
          <w:bCs/>
        </w:rPr>
        <w:t>4.</w:t>
      </w:r>
      <w:r w:rsidR="00556276" w:rsidRPr="00556276">
        <w:rPr>
          <w:b/>
          <w:bCs/>
        </w:rPr>
        <w:tab/>
        <w:t xml:space="preserve">Statement of Compatibility with Human Rights </w:t>
      </w:r>
    </w:p>
    <w:p w:rsidR="00556276" w:rsidRDefault="00556276" w:rsidP="00BE769D">
      <w:pPr>
        <w:rPr>
          <w:bCs/>
        </w:rPr>
      </w:pPr>
    </w:p>
    <w:p w:rsidR="00556276" w:rsidRDefault="00556276" w:rsidP="00BE769D">
      <w:pPr>
        <w:rPr>
          <w:bCs/>
        </w:rPr>
      </w:pPr>
      <w:r>
        <w:rPr>
          <w:bCs/>
        </w:rPr>
        <w:t xml:space="preserve">This statement is prepared in accordance with Part 3 of the </w:t>
      </w:r>
      <w:r w:rsidRPr="00CB68B9">
        <w:rPr>
          <w:bCs/>
          <w:i/>
        </w:rPr>
        <w:t>Human Rights (Parliamentary Scrutiny) Act 2011</w:t>
      </w:r>
      <w:r>
        <w:rPr>
          <w:bCs/>
        </w:rPr>
        <w:t xml:space="preserve">. </w:t>
      </w:r>
    </w:p>
    <w:p w:rsidR="00556276" w:rsidRDefault="00556276" w:rsidP="00BE769D">
      <w:pPr>
        <w:rPr>
          <w:bCs/>
        </w:rPr>
      </w:pPr>
    </w:p>
    <w:p w:rsidR="00765283" w:rsidRDefault="00556276" w:rsidP="00BE769D">
      <w:pPr>
        <w:rPr>
          <w:bCs/>
        </w:rPr>
      </w:pPr>
      <w:r>
        <w:rPr>
          <w:bCs/>
        </w:rPr>
        <w:t xml:space="preserve">This </w:t>
      </w:r>
      <w:r w:rsidR="00C310ED">
        <w:rPr>
          <w:bCs/>
        </w:rPr>
        <w:t xml:space="preserve">legislative instrument </w:t>
      </w:r>
      <w:r w:rsidR="00765283">
        <w:rPr>
          <w:bCs/>
        </w:rPr>
        <w:t xml:space="preserve">is compatible with the human rights and freedoms recognised or declared in the international instruments listed in section 3 of the </w:t>
      </w:r>
      <w:r w:rsidR="00765283" w:rsidRPr="00765283">
        <w:rPr>
          <w:bCs/>
          <w:i/>
        </w:rPr>
        <w:t>Human Rights (Parliamentary Scrutiny) Act 2011</w:t>
      </w:r>
      <w:r w:rsidR="00765283">
        <w:rPr>
          <w:bCs/>
          <w:i/>
        </w:rPr>
        <w:t xml:space="preserve"> </w:t>
      </w:r>
      <w:r w:rsidR="00765283">
        <w:rPr>
          <w:bCs/>
        </w:rPr>
        <w:t xml:space="preserve">because it does not engage any of the applicable rights or freedoms. </w:t>
      </w:r>
    </w:p>
    <w:p w:rsidR="0030435B" w:rsidRDefault="0030435B" w:rsidP="00BE769D">
      <w:pPr>
        <w:rPr>
          <w:b/>
          <w:bCs/>
        </w:rPr>
      </w:pPr>
    </w:p>
    <w:p w:rsidR="0030435B" w:rsidRDefault="00556276" w:rsidP="00BE769D">
      <w:pPr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="0030435B" w:rsidRPr="0030435B">
        <w:rPr>
          <w:b/>
          <w:bCs/>
        </w:rPr>
        <w:t xml:space="preserve">Consultation </w:t>
      </w:r>
    </w:p>
    <w:p w:rsidR="00071268" w:rsidRDefault="00071268" w:rsidP="00BE769D"/>
    <w:p w:rsidR="0030435B" w:rsidRDefault="0030435B" w:rsidP="00BE769D">
      <w:r w:rsidRPr="0030435B">
        <w:t xml:space="preserve">ASIC </w:t>
      </w:r>
      <w:r w:rsidR="00026BF6">
        <w:t xml:space="preserve">consulted with Treasury </w:t>
      </w:r>
      <w:r w:rsidR="00E73217">
        <w:t>before</w:t>
      </w:r>
      <w:r w:rsidR="00026BF6">
        <w:t xml:space="preserve"> making this </w:t>
      </w:r>
      <w:r w:rsidR="00E73217">
        <w:t>class order</w:t>
      </w:r>
      <w:r w:rsidR="00026BF6">
        <w:t xml:space="preserve">. ASIC </w:t>
      </w:r>
      <w:r w:rsidRPr="0030435B">
        <w:t xml:space="preserve">did not undertake </w:t>
      </w:r>
      <w:r w:rsidR="00026BF6">
        <w:t xml:space="preserve">wider </w:t>
      </w:r>
      <w:r w:rsidRPr="0030435B">
        <w:t xml:space="preserve">consultation with </w:t>
      </w:r>
      <w:r w:rsidRPr="00B26E8C">
        <w:t xml:space="preserve">respect to </w:t>
      </w:r>
      <w:r w:rsidR="00E73217">
        <w:t>the class order</w:t>
      </w:r>
      <w:r w:rsidRPr="00B26E8C">
        <w:t xml:space="preserve"> as it </w:t>
      </w:r>
      <w:r w:rsidR="00026BF6" w:rsidRPr="00B26E8C">
        <w:t>extends</w:t>
      </w:r>
      <w:r w:rsidR="00026BF6">
        <w:t xml:space="preserve"> existing </w:t>
      </w:r>
      <w:r w:rsidR="007706B6">
        <w:t xml:space="preserve">relief for a short period pending </w:t>
      </w:r>
      <w:r w:rsidR="000E2360">
        <w:t xml:space="preserve">the commencement of the </w:t>
      </w:r>
      <w:r w:rsidR="00E73217">
        <w:t>amending r</w:t>
      </w:r>
      <w:r w:rsidR="000E2360">
        <w:t xml:space="preserve">egulations. </w:t>
      </w:r>
      <w:r w:rsidR="0052705F">
        <w:t xml:space="preserve"> </w:t>
      </w:r>
      <w:r w:rsidR="007706B6">
        <w:t xml:space="preserve"> </w:t>
      </w:r>
    </w:p>
    <w:p w:rsidR="00EA62DE" w:rsidRPr="0030435B" w:rsidRDefault="00DA3A94" w:rsidP="0026393E">
      <w:pPr>
        <w:jc w:val="both"/>
      </w:pPr>
      <w:r>
        <w:t xml:space="preserve"> </w:t>
      </w:r>
    </w:p>
    <w:sectPr w:rsidR="00EA62DE" w:rsidRPr="0030435B" w:rsidSect="00932CCA">
      <w:headerReference w:type="default" r:id="rId7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17" w:rsidRDefault="00E73217" w:rsidP="009E1020">
      <w:r>
        <w:separator/>
      </w:r>
    </w:p>
  </w:endnote>
  <w:endnote w:type="continuationSeparator" w:id="0">
    <w:p w:rsidR="00E73217" w:rsidRDefault="00E73217" w:rsidP="009E1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17" w:rsidRDefault="00E73217" w:rsidP="009E1020">
      <w:r>
        <w:separator/>
      </w:r>
    </w:p>
  </w:footnote>
  <w:footnote w:type="continuationSeparator" w:id="0">
    <w:p w:rsidR="00E73217" w:rsidRDefault="00E73217" w:rsidP="009E1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999735"/>
      <w:docPartObj>
        <w:docPartGallery w:val="Page Numbers (Top of Page)"/>
        <w:docPartUnique/>
      </w:docPartObj>
    </w:sdtPr>
    <w:sdtContent>
      <w:p w:rsidR="00932CCA" w:rsidRDefault="002D2D01">
        <w:pPr>
          <w:pStyle w:val="Header"/>
          <w:jc w:val="center"/>
        </w:pPr>
        <w:fldSimple w:instr=" PAGE   \* MERGEFORMAT ">
          <w:r w:rsidR="00E510A0">
            <w:rPr>
              <w:noProof/>
            </w:rPr>
            <w:t>3</w:t>
          </w:r>
        </w:fldSimple>
      </w:p>
    </w:sdtContent>
  </w:sdt>
  <w:p w:rsidR="00E73217" w:rsidRDefault="00E732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BD4"/>
    <w:multiLevelType w:val="hybridMultilevel"/>
    <w:tmpl w:val="A32665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E0BC3"/>
    <w:multiLevelType w:val="hybridMultilevel"/>
    <w:tmpl w:val="E20226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30435B"/>
    <w:rsid w:val="00000DC6"/>
    <w:rsid w:val="0000755B"/>
    <w:rsid w:val="00007650"/>
    <w:rsid w:val="00026BF6"/>
    <w:rsid w:val="00043131"/>
    <w:rsid w:val="00062F5F"/>
    <w:rsid w:val="00071268"/>
    <w:rsid w:val="000A6144"/>
    <w:rsid w:val="000C38F8"/>
    <w:rsid w:val="000C64E2"/>
    <w:rsid w:val="000D5840"/>
    <w:rsid w:val="000E2360"/>
    <w:rsid w:val="000F7DC6"/>
    <w:rsid w:val="001151F4"/>
    <w:rsid w:val="001A3D78"/>
    <w:rsid w:val="001A63F6"/>
    <w:rsid w:val="001C07DC"/>
    <w:rsid w:val="0026393E"/>
    <w:rsid w:val="00266221"/>
    <w:rsid w:val="00286F86"/>
    <w:rsid w:val="002A02EB"/>
    <w:rsid w:val="002D2D01"/>
    <w:rsid w:val="002E058D"/>
    <w:rsid w:val="002E6EBF"/>
    <w:rsid w:val="002F5F44"/>
    <w:rsid w:val="0030435B"/>
    <w:rsid w:val="00347A1D"/>
    <w:rsid w:val="003E3286"/>
    <w:rsid w:val="003F162C"/>
    <w:rsid w:val="003F2160"/>
    <w:rsid w:val="004028CF"/>
    <w:rsid w:val="00422C05"/>
    <w:rsid w:val="00431463"/>
    <w:rsid w:val="004530A9"/>
    <w:rsid w:val="00466A78"/>
    <w:rsid w:val="004A35F3"/>
    <w:rsid w:val="004B5370"/>
    <w:rsid w:val="004E397F"/>
    <w:rsid w:val="00515FE0"/>
    <w:rsid w:val="0052705F"/>
    <w:rsid w:val="00535AAF"/>
    <w:rsid w:val="00556276"/>
    <w:rsid w:val="00557116"/>
    <w:rsid w:val="005916B7"/>
    <w:rsid w:val="005B2423"/>
    <w:rsid w:val="005C27BD"/>
    <w:rsid w:val="005F1A03"/>
    <w:rsid w:val="006172A0"/>
    <w:rsid w:val="006264B8"/>
    <w:rsid w:val="00637A99"/>
    <w:rsid w:val="006B6AEF"/>
    <w:rsid w:val="006C4047"/>
    <w:rsid w:val="006F7A52"/>
    <w:rsid w:val="007072EA"/>
    <w:rsid w:val="0073043B"/>
    <w:rsid w:val="00737263"/>
    <w:rsid w:val="0074234F"/>
    <w:rsid w:val="00742EAA"/>
    <w:rsid w:val="00765283"/>
    <w:rsid w:val="007706B6"/>
    <w:rsid w:val="00772FE4"/>
    <w:rsid w:val="007859D9"/>
    <w:rsid w:val="00811404"/>
    <w:rsid w:val="00812F29"/>
    <w:rsid w:val="00836FB2"/>
    <w:rsid w:val="00895E5A"/>
    <w:rsid w:val="008A4388"/>
    <w:rsid w:val="008B03B8"/>
    <w:rsid w:val="008B43CE"/>
    <w:rsid w:val="008C4E0C"/>
    <w:rsid w:val="00930B01"/>
    <w:rsid w:val="00931C3D"/>
    <w:rsid w:val="00932CCA"/>
    <w:rsid w:val="00943A70"/>
    <w:rsid w:val="0096103C"/>
    <w:rsid w:val="009614D0"/>
    <w:rsid w:val="00971758"/>
    <w:rsid w:val="0099042A"/>
    <w:rsid w:val="00993AAB"/>
    <w:rsid w:val="009C4F85"/>
    <w:rsid w:val="009C572F"/>
    <w:rsid w:val="009E1020"/>
    <w:rsid w:val="009E5478"/>
    <w:rsid w:val="00A23914"/>
    <w:rsid w:val="00A3747F"/>
    <w:rsid w:val="00A634CD"/>
    <w:rsid w:val="00A7205F"/>
    <w:rsid w:val="00AD77E9"/>
    <w:rsid w:val="00AE5B0C"/>
    <w:rsid w:val="00AF0EB7"/>
    <w:rsid w:val="00AF5A7A"/>
    <w:rsid w:val="00B077BD"/>
    <w:rsid w:val="00B26E8C"/>
    <w:rsid w:val="00B61B4C"/>
    <w:rsid w:val="00B97ED7"/>
    <w:rsid w:val="00BC00D7"/>
    <w:rsid w:val="00BE769D"/>
    <w:rsid w:val="00C310ED"/>
    <w:rsid w:val="00C50FC9"/>
    <w:rsid w:val="00C52752"/>
    <w:rsid w:val="00C7677E"/>
    <w:rsid w:val="00C91D52"/>
    <w:rsid w:val="00CA6DDB"/>
    <w:rsid w:val="00CB68B9"/>
    <w:rsid w:val="00D15D53"/>
    <w:rsid w:val="00D24B90"/>
    <w:rsid w:val="00D35527"/>
    <w:rsid w:val="00D52D8E"/>
    <w:rsid w:val="00D61E22"/>
    <w:rsid w:val="00D65383"/>
    <w:rsid w:val="00D86A91"/>
    <w:rsid w:val="00D93BAA"/>
    <w:rsid w:val="00DA3A94"/>
    <w:rsid w:val="00DA786E"/>
    <w:rsid w:val="00DE4707"/>
    <w:rsid w:val="00E0060F"/>
    <w:rsid w:val="00E07454"/>
    <w:rsid w:val="00E238EB"/>
    <w:rsid w:val="00E24887"/>
    <w:rsid w:val="00E2684B"/>
    <w:rsid w:val="00E30761"/>
    <w:rsid w:val="00E510A0"/>
    <w:rsid w:val="00E73217"/>
    <w:rsid w:val="00EA4F3A"/>
    <w:rsid w:val="00EA62DE"/>
    <w:rsid w:val="00F0531A"/>
    <w:rsid w:val="00F65F78"/>
    <w:rsid w:val="00F674C4"/>
    <w:rsid w:val="00F77DC1"/>
    <w:rsid w:val="00FE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0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02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E1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02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Reid</dc:creator>
  <cp:keywords/>
  <dc:description/>
  <cp:lastModifiedBy>Merrill Murray</cp:lastModifiedBy>
  <cp:revision>2</cp:revision>
  <cp:lastPrinted>2012-02-07T05:48:00Z</cp:lastPrinted>
  <dcterms:created xsi:type="dcterms:W3CDTF">2013-01-10T02:42:00Z</dcterms:created>
  <dcterms:modified xsi:type="dcterms:W3CDTF">2013-01-10T02:42:00Z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B528258</vt:lpwstr>
  </property>
  <property fmtid="{D5CDD505-2E9C-101B-9397-08002B2CF9AE}" pid="3" name="Objective-Title">
    <vt:lpwstr>Class Order_explanatory statement CO_05092012 (final)</vt:lpwstr>
  </property>
  <property fmtid="{D5CDD505-2E9C-101B-9397-08002B2CF9AE}" pid="4" name="Objective-Comment">
    <vt:lpwstr/>
  </property>
  <property fmtid="{D5CDD505-2E9C-101B-9397-08002B2CF9AE}" pid="5" name="Objective-CreationStamp">
    <vt:filetime>2012-09-25T06:18:55Z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2012-09-25T06:19:16Z</vt:filetime>
  </property>
  <property fmtid="{D5CDD505-2E9C-101B-9397-08002B2CF9AE}" pid="10" name="Objective-Owner">
    <vt:lpwstr>Tony Tran</vt:lpwstr>
  </property>
  <property fmtid="{D5CDD505-2E9C-101B-9397-08002B2CF9AE}" pid="11" name="Objective-Path">
    <vt:lpwstr>ASIC BCS:REGULATION &amp; COMPLIANCE:Applications:Investment Management:Other Relief:Litigation Funding Arrangements:Policy development - proposed final regulatory solution:</vt:lpwstr>
  </property>
  <property fmtid="{D5CDD505-2E9C-101B-9397-08002B2CF9AE}" pid="12" name="Objective-Parent">
    <vt:lpwstr>Policy development - proposed final regulatory solution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0.2</vt:lpwstr>
  </property>
  <property fmtid="{D5CDD505-2E9C-101B-9397-08002B2CF9AE}" pid="15" name="Objective-VersionNumber">
    <vt:i4>2</vt:i4>
  </property>
  <property fmtid="{D5CDD505-2E9C-101B-9397-08002B2CF9AE}" pid="16" name="Objective-VersionComment">
    <vt:lpwstr>Version 2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IN-CONFIDENCE]</vt:lpwstr>
  </property>
  <property fmtid="{D5CDD505-2E9C-101B-9397-08002B2CF9AE}" pid="19" name="Objective-Caveats">
    <vt:lpwstr/>
  </property>
  <property fmtid="{D5CDD505-2E9C-101B-9397-08002B2CF9AE}" pid="20" name="Objective-Category [system]">
    <vt:lpwstr/>
  </property>
</Properties>
</file>