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B5A" w:rsidRPr="00852B5A" w:rsidRDefault="00C20A76" w:rsidP="00852B5A">
      <w:pPr>
        <w:keepNext/>
        <w:spacing w:before="240" w:after="360"/>
        <w:ind w:right="3"/>
        <w:jc w:val="center"/>
        <w:outlineLvl w:val="0"/>
        <w:rPr>
          <w:rFonts w:ascii="Times New Roman" w:eastAsia="Times New Roman" w:hAnsi="Times New Roman" w:cs="Times New Roman"/>
          <w:b/>
          <w:caps/>
          <w:sz w:val="28"/>
          <w:szCs w:val="20"/>
          <w:u w:val="single"/>
          <w:lang w:eastAsia="en-AU"/>
        </w:rPr>
      </w:pPr>
      <w:bookmarkStart w:id="0" w:name="_GoBack"/>
      <w:r>
        <w:rPr>
          <w:rFonts w:ascii="Times New Roman" w:eastAsia="Times New Roman" w:hAnsi="Times New Roman" w:cs="Times New Roman"/>
          <w:b/>
          <w:caps/>
          <w:sz w:val="28"/>
          <w:szCs w:val="20"/>
          <w:u w:val="single"/>
          <w:lang w:eastAsia="en-AU"/>
        </w:rPr>
        <w:t xml:space="preserve">REPLACEMENT </w:t>
      </w:r>
      <w:r w:rsidR="00852B5A" w:rsidRPr="00852B5A">
        <w:rPr>
          <w:rFonts w:ascii="Times New Roman" w:eastAsia="Times New Roman" w:hAnsi="Times New Roman" w:cs="Times New Roman"/>
          <w:b/>
          <w:caps/>
          <w:sz w:val="28"/>
          <w:szCs w:val="20"/>
          <w:u w:val="single"/>
          <w:lang w:eastAsia="en-AU"/>
        </w:rPr>
        <w:t>explanatory STATEMENT</w:t>
      </w:r>
    </w:p>
    <w:p w:rsidR="00852B5A" w:rsidRPr="00852B5A" w:rsidRDefault="00852B5A" w:rsidP="00852B5A">
      <w:pPr>
        <w:keepNext/>
        <w:spacing w:before="120" w:after="240"/>
        <w:jc w:val="center"/>
        <w:outlineLvl w:val="1"/>
        <w:rPr>
          <w:rFonts w:ascii="Times New Roman" w:eastAsia="Times New Roman" w:hAnsi="Times New Roman" w:cs="Times New Roman"/>
          <w:caps/>
          <w:sz w:val="24"/>
          <w:szCs w:val="20"/>
          <w:lang w:eastAsia="en-AU"/>
        </w:rPr>
      </w:pPr>
      <w:bookmarkStart w:id="1" w:name="OLE_LINK1"/>
      <w:bookmarkEnd w:id="0"/>
      <w:r w:rsidRPr="00852B5A">
        <w:rPr>
          <w:rFonts w:ascii="Times New Roman" w:eastAsia="Times New Roman" w:hAnsi="Times New Roman" w:cs="Times New Roman"/>
          <w:sz w:val="24"/>
          <w:szCs w:val="20"/>
          <w:lang w:eastAsia="en-AU"/>
        </w:rPr>
        <w:t>Issued by the Authority of the Assistant Treasurer</w:t>
      </w:r>
    </w:p>
    <w:bookmarkEnd w:id="1"/>
    <w:p w:rsidR="00852B5A" w:rsidRPr="00852B5A" w:rsidRDefault="00852B5A" w:rsidP="00852B5A">
      <w:pPr>
        <w:spacing w:before="0" w:after="240"/>
        <w:ind w:right="3"/>
        <w:jc w:val="center"/>
        <w:rPr>
          <w:rFonts w:ascii="Times New Roman" w:eastAsia="Times New Roman" w:hAnsi="Times New Roman" w:cs="Times New Roman"/>
          <w:i/>
          <w:sz w:val="24"/>
          <w:szCs w:val="20"/>
          <w:lang w:eastAsia="en-AU"/>
        </w:rPr>
      </w:pPr>
      <w:r w:rsidRPr="00852B5A">
        <w:rPr>
          <w:rFonts w:ascii="Times New Roman" w:eastAsia="Times New Roman" w:hAnsi="Times New Roman" w:cs="Times New Roman"/>
          <w:i/>
          <w:sz w:val="24"/>
          <w:szCs w:val="20"/>
          <w:lang w:eastAsia="en-AU"/>
        </w:rPr>
        <w:t>Competition and Consumer Act 2010</w:t>
      </w:r>
    </w:p>
    <w:p w:rsidR="00852B5A" w:rsidRPr="00852B5A" w:rsidRDefault="00852B5A" w:rsidP="00852B5A">
      <w:pPr>
        <w:spacing w:before="0" w:after="240"/>
        <w:jc w:val="center"/>
        <w:rPr>
          <w:rFonts w:ascii="Times New Roman" w:eastAsia="Times New Roman" w:hAnsi="Times New Roman" w:cs="Times New Roman"/>
          <w:i/>
          <w:sz w:val="24"/>
          <w:szCs w:val="20"/>
          <w:lang w:eastAsia="en-AU"/>
        </w:rPr>
      </w:pPr>
      <w:r w:rsidRPr="00852B5A">
        <w:rPr>
          <w:rFonts w:ascii="Times New Roman" w:eastAsia="Times New Roman" w:hAnsi="Times New Roman" w:cs="Times New Roman"/>
          <w:i/>
          <w:sz w:val="24"/>
          <w:szCs w:val="20"/>
          <w:lang w:eastAsia="en-AU"/>
        </w:rPr>
        <w:t>Consumer Goods (Portable Swimming Pools) Safety Standard 2013</w:t>
      </w:r>
    </w:p>
    <w:p w:rsidR="00852B5A" w:rsidRPr="00852B5A" w:rsidRDefault="00852B5A" w:rsidP="00852B5A">
      <w:pPr>
        <w:spacing w:before="0" w:after="240"/>
        <w:ind w:right="3"/>
        <w:jc w:val="both"/>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Overview</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 xml:space="preserve">The </w:t>
      </w:r>
      <w:r w:rsidRPr="00852B5A">
        <w:rPr>
          <w:rFonts w:ascii="Times New Roman" w:eastAsia="Times New Roman" w:hAnsi="Times New Roman" w:cs="Times New Roman"/>
          <w:i/>
          <w:sz w:val="24"/>
          <w:szCs w:val="20"/>
          <w:lang w:eastAsia="en-AU"/>
        </w:rPr>
        <w:t>Consumer Goods (Portable Swimming Pools) Safety Standard 2013</w:t>
      </w:r>
      <w:r w:rsidRPr="00852B5A">
        <w:rPr>
          <w:rFonts w:ascii="Times New Roman" w:eastAsia="Times New Roman" w:hAnsi="Times New Roman" w:cs="Times New Roman"/>
          <w:sz w:val="24"/>
          <w:szCs w:val="20"/>
          <w:lang w:eastAsia="en-AU"/>
        </w:rPr>
        <w:t xml:space="preserve"> (the safety standard) sets out mandatory labelling requirements for portable swimming pools supplied in Australia. </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 xml:space="preserve">Portable swimming pools pose a drowning hazard to children and supervision is a key element of hazard prevention. Preventing unauthorised access to a pool via swimming pool fencing is also an important element of swimming pool safety. </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State and territory swimming pool legislation requires that swimming pools of a depth 300mm or greater must be surrounded by a suitable swimming pool fence. This legislation applies to portable swimming pools as well as more permanent swimming pools.</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The warnings to be applied to portable swimming pools and their retail packaging warns consumers of the drowning hazard, and advises to ensure active adult supervision at all times and that children should be kept at arm’s reach. For smaller portable swimming pools of a depth less than 300mm, users are warned that the pools must be emptied and stored safely after use. For deeper portable swimming pools, users are warned that pool fencing laws apply. A safety sign must be applied adjacent to the warning on the portable swimming pool. The safety sign is not required on the retail packaging.</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The warning on the portable swimming pool will alert consumers to the drowning hazard and their obligation in relation to fencing while using the pool and the warning on the retail packaging will inform consumers at the time of purchase.</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 xml:space="preserve">Details of the safety standard are in </w:t>
      </w:r>
      <w:r w:rsidRPr="00852B5A">
        <w:rPr>
          <w:rFonts w:ascii="Times New Roman" w:eastAsia="Times New Roman" w:hAnsi="Times New Roman" w:cs="Times New Roman"/>
          <w:sz w:val="24"/>
          <w:szCs w:val="20"/>
          <w:u w:val="single"/>
          <w:lang w:eastAsia="en-AU"/>
        </w:rPr>
        <w:t>Attachment A</w:t>
      </w:r>
      <w:r w:rsidRPr="00852B5A">
        <w:rPr>
          <w:rFonts w:ascii="Times New Roman" w:eastAsia="Times New Roman" w:hAnsi="Times New Roman" w:cs="Times New Roman"/>
          <w:sz w:val="24"/>
          <w:szCs w:val="20"/>
          <w:lang w:eastAsia="en-AU"/>
        </w:rPr>
        <w:t>.</w:t>
      </w:r>
    </w:p>
    <w:p w:rsidR="00852B5A" w:rsidRPr="00852B5A" w:rsidRDefault="00852B5A" w:rsidP="00852B5A">
      <w:pPr>
        <w:spacing w:before="0" w:after="240"/>
        <w:ind w:right="3"/>
        <w:jc w:val="both"/>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Legislative power</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 xml:space="preserve">Subsection 104(1) of the Australian Consumer Law, which is schedule 2 to the </w:t>
      </w:r>
      <w:r w:rsidRPr="00852B5A">
        <w:rPr>
          <w:rFonts w:ascii="Times New Roman" w:eastAsia="Times New Roman" w:hAnsi="Times New Roman" w:cs="Times New Roman"/>
          <w:i/>
          <w:sz w:val="24"/>
          <w:szCs w:val="20"/>
          <w:lang w:eastAsia="en-AU"/>
        </w:rPr>
        <w:t>Competition and Consumer Act 2010</w:t>
      </w:r>
      <w:r w:rsidRPr="00852B5A">
        <w:rPr>
          <w:rFonts w:ascii="Times New Roman" w:eastAsia="Times New Roman" w:hAnsi="Times New Roman" w:cs="Times New Roman"/>
          <w:sz w:val="24"/>
          <w:szCs w:val="20"/>
          <w:lang w:eastAsia="en-AU"/>
        </w:rPr>
        <w:t>, provides for the Commonwealth Minister, via a written notice published on the internet, to make a safety standard for consumer goods of a particular kind. Subsection 104(2) of the ACL states that a safety standard for consumer goods of a particular kind may consist of such requirements about matters as are reasonably necessary to prevent or reduce risk of injury to any person, including, the form and content of markings, warnings or instructions to accompany consumer goods of a particular kind.</w:t>
      </w:r>
    </w:p>
    <w:p w:rsid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Subsection 106(1) of the ACL provides that a person must not, in trade or commerce, supply consumer goods of a particular kind if a safety standard for consumer goods of that kind is in force and those goods do not comply with the standard.</w:t>
      </w:r>
    </w:p>
    <w:p w:rsidR="00852B5A" w:rsidRPr="00852B5A" w:rsidRDefault="00852B5A" w:rsidP="00852B5A">
      <w:pPr>
        <w:keepNext/>
        <w:spacing w:before="0" w:after="240"/>
        <w:ind w:right="6"/>
        <w:jc w:val="both"/>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lastRenderedPageBreak/>
        <w:t>Consultation</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 xml:space="preserve">For the purposes of section 17 of the </w:t>
      </w:r>
      <w:r w:rsidRPr="00852B5A">
        <w:rPr>
          <w:rFonts w:ascii="Times New Roman" w:eastAsia="Times New Roman" w:hAnsi="Times New Roman" w:cs="Times New Roman"/>
          <w:i/>
          <w:sz w:val="24"/>
          <w:szCs w:val="20"/>
          <w:lang w:eastAsia="en-AU"/>
        </w:rPr>
        <w:t>Legislative Instruments Act 2003</w:t>
      </w:r>
      <w:r w:rsidRPr="00852B5A">
        <w:rPr>
          <w:rFonts w:ascii="Times New Roman" w:eastAsia="Times New Roman" w:hAnsi="Times New Roman" w:cs="Times New Roman"/>
          <w:sz w:val="24"/>
          <w:szCs w:val="20"/>
          <w:lang w:eastAsia="en-AU"/>
        </w:rPr>
        <w:t xml:space="preserve"> consultation on the safety standard has been undertaken.</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In June 2011 the Australian Competition and Consumer Commission (ACCC) sent a draft regulatory proposal paper to stakeholders, including state and territory Government agencies, swimming pool suppliers and manufacturers and swimming pool industry associations. The draft regulatory proposal set out the reasons why a safety standard was being proposed and it included a draft form of the warnings proposed for portable swimming pools. Several stakeholders provided submissions and a number of amendments to the warnings were made.</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 xml:space="preserve">In October 2012 a second round of consultation was conducted. Stakeholders were provided with a copy of the draft safety standard and several stakeholders made submissions to the ACCC. As a result, a number of minor amendments were made to the legislative instrument. </w:t>
      </w:r>
    </w:p>
    <w:p w:rsidR="00852B5A" w:rsidRPr="00852B5A" w:rsidRDefault="00852B5A" w:rsidP="00852B5A">
      <w:pPr>
        <w:keepNext/>
        <w:spacing w:before="0" w:after="240"/>
        <w:ind w:right="6"/>
        <w:jc w:val="both"/>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Commencement</w:t>
      </w:r>
    </w:p>
    <w:p w:rsidR="00852B5A" w:rsidRPr="00852B5A" w:rsidRDefault="00852B5A" w:rsidP="00852B5A">
      <w:pPr>
        <w:spacing w:before="0" w:after="240"/>
        <w:ind w:right="3"/>
        <w:jc w:val="both"/>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The safety standard commences on 30 March 2014.</w:t>
      </w:r>
    </w:p>
    <w:p w:rsidR="00882CE2" w:rsidRPr="00852B5A" w:rsidRDefault="00882CE2" w:rsidP="00882CE2">
      <w:pPr>
        <w:keepNext/>
        <w:spacing w:before="0" w:after="240"/>
        <w:ind w:right="6"/>
        <w:jc w:val="both"/>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Disallowance</w:t>
      </w:r>
    </w:p>
    <w:p w:rsidR="00882CE2" w:rsidRDefault="00882CE2" w:rsidP="00882CE2">
      <w:pPr>
        <w:spacing w:before="120" w:after="240"/>
        <w:ind w:right="3"/>
        <w:jc w:val="both"/>
        <w:rPr>
          <w:rFonts w:ascii="Times New Roman" w:eastAsia="Times New Roman" w:hAnsi="Times New Roman" w:cs="Times New Roman"/>
          <w:sz w:val="24"/>
          <w:szCs w:val="20"/>
          <w:lang w:val="en" w:eastAsia="en-AU"/>
        </w:rPr>
      </w:pPr>
      <w:r w:rsidRPr="00A70944">
        <w:rPr>
          <w:rFonts w:ascii="Times New Roman" w:eastAsia="Times New Roman" w:hAnsi="Times New Roman" w:cs="Times New Roman"/>
          <w:sz w:val="24"/>
          <w:szCs w:val="20"/>
          <w:lang w:val="en" w:eastAsia="en-AU"/>
        </w:rPr>
        <w:t xml:space="preserve">This legislative instrument is not subject to disallowance due to section 44 of the </w:t>
      </w:r>
      <w:r w:rsidRPr="00A70944">
        <w:rPr>
          <w:rFonts w:ascii="Times New Roman" w:eastAsia="Times New Roman" w:hAnsi="Times New Roman" w:cs="Times New Roman"/>
          <w:i/>
          <w:iCs/>
          <w:sz w:val="24"/>
          <w:szCs w:val="20"/>
          <w:lang w:val="en" w:eastAsia="en-AU"/>
        </w:rPr>
        <w:t>Legislation Act 2003</w:t>
      </w:r>
      <w:r w:rsidRPr="00A70944">
        <w:rPr>
          <w:rFonts w:ascii="Times New Roman" w:eastAsia="Times New Roman" w:hAnsi="Times New Roman" w:cs="Times New Roman"/>
          <w:sz w:val="24"/>
          <w:szCs w:val="20"/>
          <w:lang w:val="en" w:eastAsia="en-AU"/>
        </w:rPr>
        <w:t>.</w:t>
      </w:r>
    </w:p>
    <w:p w:rsidR="00852B5A" w:rsidRPr="00852B5A" w:rsidRDefault="00852B5A" w:rsidP="00852B5A">
      <w:pPr>
        <w:keepNext/>
        <w:spacing w:before="0" w:after="240"/>
        <w:ind w:right="6"/>
        <w:jc w:val="both"/>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Sunset</w:t>
      </w:r>
      <w:r w:rsidR="00C658BB">
        <w:rPr>
          <w:rFonts w:ascii="Times New Roman" w:eastAsia="Times New Roman" w:hAnsi="Times New Roman" w:cs="Times New Roman"/>
          <w:sz w:val="24"/>
          <w:szCs w:val="20"/>
          <w:u w:val="single"/>
          <w:lang w:eastAsia="en-AU"/>
        </w:rPr>
        <w:t>ting</w:t>
      </w:r>
    </w:p>
    <w:p w:rsidR="00852B5A" w:rsidRDefault="00C658BB" w:rsidP="00852B5A">
      <w:pPr>
        <w:spacing w:before="120" w:after="240"/>
        <w:ind w:right="3"/>
        <w:jc w:val="both"/>
        <w:rPr>
          <w:rFonts w:ascii="Times New Roman" w:eastAsia="Times New Roman" w:hAnsi="Times New Roman" w:cs="Times New Roman"/>
          <w:sz w:val="24"/>
          <w:szCs w:val="20"/>
          <w:lang w:eastAsia="en-AU"/>
        </w:rPr>
      </w:pPr>
      <w:r w:rsidRPr="00C658BB">
        <w:rPr>
          <w:rFonts w:ascii="Times New Roman" w:eastAsia="Times New Roman" w:hAnsi="Times New Roman" w:cs="Times New Roman"/>
          <w:sz w:val="24"/>
          <w:szCs w:val="20"/>
          <w:lang w:val="en" w:eastAsia="en-AU"/>
        </w:rPr>
        <w:t>Th</w:t>
      </w:r>
      <w:r w:rsidR="002E632F">
        <w:rPr>
          <w:rFonts w:ascii="Times New Roman" w:eastAsia="Times New Roman" w:hAnsi="Times New Roman" w:cs="Times New Roman"/>
          <w:sz w:val="24"/>
          <w:szCs w:val="20"/>
          <w:lang w:val="en" w:eastAsia="en-AU"/>
        </w:rPr>
        <w:t>is</w:t>
      </w:r>
      <w:r w:rsidRPr="00C658BB">
        <w:rPr>
          <w:rFonts w:ascii="Times New Roman" w:eastAsia="Times New Roman" w:hAnsi="Times New Roman" w:cs="Times New Roman"/>
          <w:sz w:val="24"/>
          <w:szCs w:val="20"/>
          <w:lang w:val="en" w:eastAsia="en-AU"/>
        </w:rPr>
        <w:t xml:space="preserve"> legislative instrument is not subject to sunsetting due to section 54 of the</w:t>
      </w:r>
      <w:r w:rsidRPr="00C658BB">
        <w:rPr>
          <w:rFonts w:ascii="Times New Roman" w:eastAsia="Times New Roman" w:hAnsi="Times New Roman" w:cs="Times New Roman"/>
          <w:i/>
          <w:iCs/>
          <w:sz w:val="24"/>
          <w:szCs w:val="20"/>
          <w:lang w:val="en" w:eastAsia="en-AU"/>
        </w:rPr>
        <w:t xml:space="preserve"> Legislation Act 2003.</w:t>
      </w:r>
    </w:p>
    <w:p w:rsidR="00852B5A" w:rsidRPr="00852B5A" w:rsidRDefault="00852B5A" w:rsidP="00852B5A">
      <w:pPr>
        <w:spacing w:before="0" w:after="240"/>
        <w:jc w:val="right"/>
        <w:rPr>
          <w:rFonts w:ascii="Times New Roman" w:eastAsia="Times New Roman" w:hAnsi="Times New Roman" w:cs="Times New Roman"/>
          <w:caps/>
          <w:sz w:val="24"/>
          <w:szCs w:val="20"/>
          <w:lang w:eastAsia="en-AU"/>
        </w:rPr>
      </w:pPr>
      <w:r w:rsidRPr="00852B5A">
        <w:rPr>
          <w:rFonts w:ascii="Times New Roman" w:eastAsia="Times New Roman" w:hAnsi="Times New Roman" w:cs="Times New Roman"/>
          <w:sz w:val="24"/>
          <w:szCs w:val="20"/>
          <w:lang w:eastAsia="en-AU"/>
        </w:rPr>
        <w:br w:type="page"/>
      </w:r>
      <w:r w:rsidRPr="00852B5A">
        <w:rPr>
          <w:rFonts w:ascii="Times New Roman" w:eastAsia="Times New Roman" w:hAnsi="Times New Roman" w:cs="Times New Roman"/>
          <w:caps/>
          <w:sz w:val="24"/>
          <w:szCs w:val="20"/>
          <w:lang w:eastAsia="en-AU"/>
        </w:rPr>
        <w:lastRenderedPageBreak/>
        <w:t>Attachment A</w:t>
      </w:r>
    </w:p>
    <w:p w:rsidR="00852B5A" w:rsidRPr="00852B5A" w:rsidRDefault="00852B5A" w:rsidP="00852B5A">
      <w:pPr>
        <w:spacing w:before="0" w:after="240"/>
        <w:rPr>
          <w:rFonts w:ascii="Times New Roman" w:eastAsia="Times New Roman" w:hAnsi="Times New Roman" w:cs="Times New Roman"/>
          <w:i/>
          <w:sz w:val="24"/>
          <w:szCs w:val="20"/>
          <w:u w:val="single"/>
          <w:lang w:eastAsia="en-AU"/>
        </w:rPr>
      </w:pPr>
      <w:r w:rsidRPr="00852B5A">
        <w:rPr>
          <w:rFonts w:ascii="Times New Roman" w:eastAsia="Times New Roman" w:hAnsi="Times New Roman" w:cs="Times New Roman"/>
          <w:sz w:val="24"/>
          <w:szCs w:val="20"/>
          <w:u w:val="single"/>
          <w:lang w:eastAsia="en-AU"/>
        </w:rPr>
        <w:t xml:space="preserve">Details of the </w:t>
      </w:r>
      <w:r w:rsidRPr="00852B5A">
        <w:rPr>
          <w:rFonts w:ascii="Times New Roman" w:eastAsia="Times New Roman" w:hAnsi="Times New Roman" w:cs="Times New Roman"/>
          <w:i/>
          <w:sz w:val="24"/>
          <w:szCs w:val="20"/>
          <w:u w:val="single"/>
          <w:lang w:eastAsia="en-AU"/>
        </w:rPr>
        <w:t>Consumer Goods (Portable Swimming Pools) Safety Standard 2013</w:t>
      </w:r>
    </w:p>
    <w:p w:rsidR="00852B5A" w:rsidRPr="00852B5A" w:rsidRDefault="00852B5A" w:rsidP="00852B5A">
      <w:pPr>
        <w:spacing w:before="0" w:after="240"/>
        <w:rPr>
          <w:rFonts w:ascii="Times New Roman" w:eastAsia="Times New Roman" w:hAnsi="Times New Roman" w:cs="Times New Roman"/>
          <w:sz w:val="24"/>
          <w:szCs w:val="20"/>
          <w:u w:val="single"/>
          <w:lang w:eastAsia="en-AU"/>
        </w:rPr>
      </w:pPr>
    </w:p>
    <w:p w:rsidR="00852B5A" w:rsidRPr="00852B5A" w:rsidRDefault="00852B5A" w:rsidP="00852B5A">
      <w:pPr>
        <w:spacing w:before="0" w:after="240"/>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Section 1 – Name of Safety Standard</w:t>
      </w:r>
    </w:p>
    <w:p w:rsidR="00852B5A" w:rsidRPr="00852B5A" w:rsidRDefault="00852B5A" w:rsidP="00852B5A">
      <w:pPr>
        <w:spacing w:before="0" w:after="240"/>
        <w:rPr>
          <w:rFonts w:ascii="Times New Roman" w:eastAsia="Times New Roman" w:hAnsi="Times New Roman" w:cs="Times New Roman"/>
          <w:i/>
          <w:sz w:val="24"/>
          <w:szCs w:val="20"/>
          <w:lang w:eastAsia="en-AU"/>
        </w:rPr>
      </w:pPr>
      <w:r w:rsidRPr="00852B5A">
        <w:rPr>
          <w:rFonts w:ascii="Times New Roman" w:eastAsia="Times New Roman" w:hAnsi="Times New Roman" w:cs="Times New Roman"/>
          <w:sz w:val="24"/>
          <w:szCs w:val="20"/>
          <w:lang w:eastAsia="en-AU"/>
        </w:rPr>
        <w:t xml:space="preserve">This section states that the name of the safety standard is the </w:t>
      </w:r>
      <w:r w:rsidRPr="00852B5A">
        <w:rPr>
          <w:rFonts w:ascii="Times New Roman" w:eastAsia="Times New Roman" w:hAnsi="Times New Roman" w:cs="Times New Roman"/>
          <w:i/>
          <w:sz w:val="24"/>
          <w:szCs w:val="20"/>
          <w:lang w:eastAsia="en-AU"/>
        </w:rPr>
        <w:t>Consumer Goods (Portable Swimming Pools) Safety Standard 2013.</w:t>
      </w:r>
    </w:p>
    <w:p w:rsidR="00852B5A" w:rsidRPr="00852B5A" w:rsidRDefault="00852B5A" w:rsidP="00852B5A">
      <w:pPr>
        <w:spacing w:before="0" w:after="240"/>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Section 2 – Commencement</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This section states that the commencement of the safety standard is 30 March 2014.</w:t>
      </w:r>
    </w:p>
    <w:p w:rsidR="00852B5A" w:rsidRPr="00852B5A" w:rsidRDefault="00852B5A" w:rsidP="00852B5A">
      <w:pPr>
        <w:spacing w:before="0" w:after="240"/>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Section 3 – Purpose</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This section states that the purpose of the safety standard is to set out mandatory labelling requirements for portable swimming pools and retail packaging for portable swimming pools.</w:t>
      </w:r>
    </w:p>
    <w:p w:rsidR="00852B5A" w:rsidRPr="00852B5A" w:rsidRDefault="00852B5A" w:rsidP="00852B5A">
      <w:pPr>
        <w:spacing w:before="0" w:after="240"/>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Section 4 – Definitions</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This section sets out definitions in the safety standard.</w:t>
      </w:r>
    </w:p>
    <w:p w:rsidR="00852B5A" w:rsidRPr="00852B5A" w:rsidRDefault="00852B5A" w:rsidP="00852B5A">
      <w:pPr>
        <w:spacing w:before="0" w:after="240"/>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Section 5 - Portable swimming pools</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This section sets out that a portable swimming pool is a swimming pool that is intended for personal, domestic or household use and is either an inflatable swimming pool of any depth, a soft-sided swimming pool of any depth or a rigid-sided swimming pool that is not deeper than 300mm.</w:t>
      </w:r>
    </w:p>
    <w:p w:rsidR="00852B5A" w:rsidRPr="00852B5A" w:rsidRDefault="00852B5A" w:rsidP="00852B5A">
      <w:pPr>
        <w:spacing w:before="0" w:after="240"/>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Section 6 - Warning message on portable swimming pools</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This section sets out the warnings that must be displayed on a portable swimming pool. The warnings are different for portable swimming pools of a depth less than 300mm and for portable swimming pools of a depth 300mm or more. The key difference between the two warnings is that for portable swimming pools of a depth 300mm or more, the warning must include statements that the pool must be fenced and that consumers should consult their local government authority for fencing requirements.</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This section also sets out requirements in relation to how the warning must be placed on the portable swimming pool including warning size, and legibility and visibility requirements.</w:t>
      </w:r>
    </w:p>
    <w:p w:rsidR="00852B5A" w:rsidRPr="00852B5A" w:rsidRDefault="00852B5A" w:rsidP="00852B5A">
      <w:pPr>
        <w:spacing w:before="0" w:after="240"/>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Section 7 – Warning message on retail packaging for portable swimming pools</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This section sets out the warnings that must be displayed on the retail packaging for a portable swimming pool. The warnings are different for retail packaging for portable swimming pools of a depth less than 300mm and for retail packaging for portable swimming pools of a depth 300mm or more. The key difference between the two warnings is that for retail packaging for portable swimming pools of a depth 300mm or more, the warning must include statements that the pool must be fenced and that consumers should consult their local government authority for fencing requirements.</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lastRenderedPageBreak/>
        <w:t>This section also sets out requirements in relation to how the warning must be placed on the retail packaging for portable swimming pools including warning size, legibility and visibility requirements.</w:t>
      </w:r>
    </w:p>
    <w:p w:rsidR="00852B5A" w:rsidRPr="00852B5A" w:rsidRDefault="00852B5A" w:rsidP="00852B5A">
      <w:pPr>
        <w:spacing w:before="0" w:after="240"/>
        <w:rPr>
          <w:rFonts w:ascii="Times New Roman" w:eastAsia="Times New Roman" w:hAnsi="Times New Roman" w:cs="Times New Roman"/>
          <w:sz w:val="24"/>
          <w:szCs w:val="20"/>
          <w:u w:val="single"/>
          <w:lang w:eastAsia="en-AU"/>
        </w:rPr>
      </w:pPr>
      <w:r w:rsidRPr="00852B5A">
        <w:rPr>
          <w:rFonts w:ascii="Times New Roman" w:eastAsia="Times New Roman" w:hAnsi="Times New Roman" w:cs="Times New Roman"/>
          <w:sz w:val="24"/>
          <w:szCs w:val="20"/>
          <w:u w:val="single"/>
          <w:lang w:eastAsia="en-AU"/>
        </w:rPr>
        <w:t>Section 8 – Safety sign on portable swimming pools</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 xml:space="preserve">This section sets out that a safety sign must be included on portable swimming pools. A safety sign is not required on the retail packaging for portable swimming pools. </w:t>
      </w:r>
    </w:p>
    <w:p w:rsidR="00852B5A" w:rsidRPr="00852B5A" w:rsidRDefault="00852B5A" w:rsidP="00852B5A">
      <w:pPr>
        <w:spacing w:before="0" w:after="240"/>
        <w:rPr>
          <w:rFonts w:ascii="Times New Roman" w:eastAsia="Times New Roman" w:hAnsi="Times New Roman" w:cs="Times New Roman"/>
          <w:sz w:val="24"/>
          <w:szCs w:val="20"/>
          <w:lang w:eastAsia="en-AU"/>
        </w:rPr>
      </w:pPr>
      <w:r w:rsidRPr="00852B5A">
        <w:rPr>
          <w:rFonts w:ascii="Times New Roman" w:eastAsia="Times New Roman" w:hAnsi="Times New Roman" w:cs="Times New Roman"/>
          <w:sz w:val="24"/>
          <w:szCs w:val="20"/>
          <w:lang w:eastAsia="en-AU"/>
        </w:rPr>
        <w:t xml:space="preserve">This section also specifies the size of the safety sign and how and where it is to be applied to a portable swimming pool. </w:t>
      </w:r>
    </w:p>
    <w:p w:rsidR="00303C4A" w:rsidRDefault="00303C4A"/>
    <w:sectPr w:rsidR="00303C4A" w:rsidSect="00691616">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0D" w:rsidRDefault="00746C0D" w:rsidP="004B4412">
      <w:pPr>
        <w:spacing w:before="0"/>
      </w:pPr>
      <w:r>
        <w:separator/>
      </w:r>
    </w:p>
  </w:endnote>
  <w:endnote w:type="continuationSeparator" w:id="0">
    <w:p w:rsidR="00746C0D" w:rsidRDefault="00746C0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0D" w:rsidRDefault="00746C0D" w:rsidP="004B4412">
      <w:pPr>
        <w:spacing w:before="0"/>
      </w:pPr>
      <w:r>
        <w:separator/>
      </w:r>
    </w:p>
  </w:footnote>
  <w:footnote w:type="continuationSeparator" w:id="0">
    <w:p w:rsidR="00746C0D" w:rsidRDefault="00746C0D"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0"/>
  </w:docVars>
  <w:rsids>
    <w:rsidRoot w:val="00852B5A"/>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E632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76813"/>
    <w:rsid w:val="00691616"/>
    <w:rsid w:val="006B4CF9"/>
    <w:rsid w:val="006B7AC8"/>
    <w:rsid w:val="006D550F"/>
    <w:rsid w:val="006D77F3"/>
    <w:rsid w:val="00701CAB"/>
    <w:rsid w:val="00707563"/>
    <w:rsid w:val="0072348C"/>
    <w:rsid w:val="00724A37"/>
    <w:rsid w:val="007303C3"/>
    <w:rsid w:val="00743223"/>
    <w:rsid w:val="00746C0D"/>
    <w:rsid w:val="00746E01"/>
    <w:rsid w:val="00763E5D"/>
    <w:rsid w:val="00767740"/>
    <w:rsid w:val="00777EE6"/>
    <w:rsid w:val="00782EEA"/>
    <w:rsid w:val="00795D40"/>
    <w:rsid w:val="007B2C72"/>
    <w:rsid w:val="007C1C53"/>
    <w:rsid w:val="007E26A9"/>
    <w:rsid w:val="007E4904"/>
    <w:rsid w:val="007E4CB5"/>
    <w:rsid w:val="007F066B"/>
    <w:rsid w:val="008033C4"/>
    <w:rsid w:val="00806C88"/>
    <w:rsid w:val="0081034E"/>
    <w:rsid w:val="008344F6"/>
    <w:rsid w:val="0083510F"/>
    <w:rsid w:val="00851209"/>
    <w:rsid w:val="00852B5A"/>
    <w:rsid w:val="0088007E"/>
    <w:rsid w:val="00882CE2"/>
    <w:rsid w:val="008837AC"/>
    <w:rsid w:val="008945B4"/>
    <w:rsid w:val="008A587D"/>
    <w:rsid w:val="008B3EA8"/>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70944"/>
    <w:rsid w:val="00A84F46"/>
    <w:rsid w:val="00A871F4"/>
    <w:rsid w:val="00AC0372"/>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20A76"/>
    <w:rsid w:val="00C538A9"/>
    <w:rsid w:val="00C53B5A"/>
    <w:rsid w:val="00C54F5A"/>
    <w:rsid w:val="00C658BB"/>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B2F0C"/>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5E22"/>
  <w15:docId w15:val="{568AF613-D137-442F-BC16-FB73E52A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96851287">
      <w:bodyDiv w:val="1"/>
      <w:marLeft w:val="0"/>
      <w:marRight w:val="0"/>
      <w:marTop w:val="0"/>
      <w:marBottom w:val="0"/>
      <w:divBdr>
        <w:top w:val="none" w:sz="0" w:space="0" w:color="auto"/>
        <w:left w:val="none" w:sz="0" w:space="0" w:color="auto"/>
        <w:bottom w:val="none" w:sz="0" w:space="0" w:color="auto"/>
        <w:right w:val="none" w:sz="0" w:space="0" w:color="auto"/>
      </w:divBdr>
      <w:divsChild>
        <w:div w:id="2090612255">
          <w:marLeft w:val="0"/>
          <w:marRight w:val="0"/>
          <w:marTop w:val="0"/>
          <w:marBottom w:val="0"/>
          <w:divBdr>
            <w:top w:val="none" w:sz="0" w:space="0" w:color="auto"/>
            <w:left w:val="none" w:sz="0" w:space="0" w:color="auto"/>
            <w:bottom w:val="none" w:sz="0" w:space="0" w:color="auto"/>
            <w:right w:val="none" w:sz="0" w:space="0" w:color="auto"/>
          </w:divBdr>
          <w:divsChild>
            <w:div w:id="212086483">
              <w:marLeft w:val="0"/>
              <w:marRight w:val="0"/>
              <w:marTop w:val="0"/>
              <w:marBottom w:val="0"/>
              <w:divBdr>
                <w:top w:val="none" w:sz="0" w:space="0" w:color="auto"/>
                <w:left w:val="none" w:sz="0" w:space="0" w:color="auto"/>
                <w:bottom w:val="none" w:sz="0" w:space="0" w:color="auto"/>
                <w:right w:val="none" w:sz="0" w:space="0" w:color="auto"/>
              </w:divBdr>
              <w:divsChild>
                <w:div w:id="187259323">
                  <w:marLeft w:val="0"/>
                  <w:marRight w:val="0"/>
                  <w:marTop w:val="0"/>
                  <w:marBottom w:val="0"/>
                  <w:divBdr>
                    <w:top w:val="none" w:sz="0" w:space="0" w:color="auto"/>
                    <w:left w:val="none" w:sz="0" w:space="0" w:color="auto"/>
                    <w:bottom w:val="none" w:sz="0" w:space="0" w:color="auto"/>
                    <w:right w:val="none" w:sz="0" w:space="0" w:color="auto"/>
                  </w:divBdr>
                  <w:divsChild>
                    <w:div w:id="605038909">
                      <w:marLeft w:val="0"/>
                      <w:marRight w:val="0"/>
                      <w:marTop w:val="0"/>
                      <w:marBottom w:val="0"/>
                      <w:divBdr>
                        <w:top w:val="none" w:sz="0" w:space="0" w:color="auto"/>
                        <w:left w:val="none" w:sz="0" w:space="0" w:color="auto"/>
                        <w:bottom w:val="none" w:sz="0" w:space="0" w:color="auto"/>
                        <w:right w:val="none" w:sz="0" w:space="0" w:color="auto"/>
                      </w:divBdr>
                      <w:divsChild>
                        <w:div w:id="831601816">
                          <w:marLeft w:val="0"/>
                          <w:marRight w:val="0"/>
                          <w:marTop w:val="0"/>
                          <w:marBottom w:val="0"/>
                          <w:divBdr>
                            <w:top w:val="none" w:sz="0" w:space="0" w:color="auto"/>
                            <w:left w:val="none" w:sz="0" w:space="0" w:color="auto"/>
                            <w:bottom w:val="none" w:sz="0" w:space="0" w:color="auto"/>
                            <w:right w:val="none" w:sz="0" w:space="0" w:color="auto"/>
                          </w:divBdr>
                          <w:divsChild>
                            <w:div w:id="855847390">
                              <w:marLeft w:val="0"/>
                              <w:marRight w:val="0"/>
                              <w:marTop w:val="0"/>
                              <w:marBottom w:val="0"/>
                              <w:divBdr>
                                <w:top w:val="none" w:sz="0" w:space="0" w:color="auto"/>
                                <w:left w:val="none" w:sz="0" w:space="0" w:color="auto"/>
                                <w:bottom w:val="none" w:sz="0" w:space="0" w:color="auto"/>
                                <w:right w:val="none" w:sz="0" w:space="0" w:color="auto"/>
                              </w:divBdr>
                              <w:divsChild>
                                <w:div w:id="657614159">
                                  <w:marLeft w:val="0"/>
                                  <w:marRight w:val="0"/>
                                  <w:marTop w:val="0"/>
                                  <w:marBottom w:val="0"/>
                                  <w:divBdr>
                                    <w:top w:val="none" w:sz="0" w:space="0" w:color="auto"/>
                                    <w:left w:val="none" w:sz="0" w:space="0" w:color="auto"/>
                                    <w:bottom w:val="none" w:sz="0" w:space="0" w:color="auto"/>
                                    <w:right w:val="none" w:sz="0" w:space="0" w:color="auto"/>
                                  </w:divBdr>
                                  <w:divsChild>
                                    <w:div w:id="1772243621">
                                      <w:marLeft w:val="0"/>
                                      <w:marRight w:val="0"/>
                                      <w:marTop w:val="0"/>
                                      <w:marBottom w:val="0"/>
                                      <w:divBdr>
                                        <w:top w:val="none" w:sz="0" w:space="0" w:color="auto"/>
                                        <w:left w:val="none" w:sz="0" w:space="0" w:color="auto"/>
                                        <w:bottom w:val="none" w:sz="0" w:space="0" w:color="auto"/>
                                        <w:right w:val="none" w:sz="0" w:space="0" w:color="auto"/>
                                      </w:divBdr>
                                      <w:divsChild>
                                        <w:div w:id="1868789277">
                                          <w:marLeft w:val="0"/>
                                          <w:marRight w:val="0"/>
                                          <w:marTop w:val="0"/>
                                          <w:marBottom w:val="0"/>
                                          <w:divBdr>
                                            <w:top w:val="none" w:sz="0" w:space="0" w:color="auto"/>
                                            <w:left w:val="none" w:sz="0" w:space="0" w:color="auto"/>
                                            <w:bottom w:val="none" w:sz="0" w:space="0" w:color="auto"/>
                                            <w:right w:val="none" w:sz="0" w:space="0" w:color="auto"/>
                                          </w:divBdr>
                                          <w:divsChild>
                                            <w:div w:id="351615807">
                                              <w:marLeft w:val="0"/>
                                              <w:marRight w:val="0"/>
                                              <w:marTop w:val="0"/>
                                              <w:marBottom w:val="0"/>
                                              <w:divBdr>
                                                <w:top w:val="none" w:sz="0" w:space="0" w:color="auto"/>
                                                <w:left w:val="none" w:sz="0" w:space="0" w:color="auto"/>
                                                <w:bottom w:val="none" w:sz="0" w:space="0" w:color="auto"/>
                                                <w:right w:val="none" w:sz="0" w:space="0" w:color="auto"/>
                                              </w:divBdr>
                                              <w:divsChild>
                                                <w:div w:id="825361612">
                                                  <w:marLeft w:val="0"/>
                                                  <w:marRight w:val="0"/>
                                                  <w:marTop w:val="0"/>
                                                  <w:marBottom w:val="0"/>
                                                  <w:divBdr>
                                                    <w:top w:val="none" w:sz="0" w:space="0" w:color="auto"/>
                                                    <w:left w:val="none" w:sz="0" w:space="0" w:color="auto"/>
                                                    <w:bottom w:val="none" w:sz="0" w:space="0" w:color="auto"/>
                                                    <w:right w:val="none" w:sz="0" w:space="0" w:color="auto"/>
                                                  </w:divBdr>
                                                  <w:divsChild>
                                                    <w:div w:id="124738237">
                                                      <w:marLeft w:val="0"/>
                                                      <w:marRight w:val="0"/>
                                                      <w:marTop w:val="0"/>
                                                      <w:marBottom w:val="0"/>
                                                      <w:divBdr>
                                                        <w:top w:val="none" w:sz="0" w:space="0" w:color="auto"/>
                                                        <w:left w:val="none" w:sz="0" w:space="0" w:color="auto"/>
                                                        <w:bottom w:val="none" w:sz="0" w:space="0" w:color="auto"/>
                                                        <w:right w:val="none" w:sz="0" w:space="0" w:color="auto"/>
                                                      </w:divBdr>
                                                      <w:divsChild>
                                                        <w:div w:id="2331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99B9ED-5DBD-496C-9A0C-F706D02C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Probyn, Glenn</dc:creator>
  <cp:lastModifiedBy>Loiacono, Elizabeth</cp:lastModifiedBy>
  <cp:revision>3</cp:revision>
  <dcterms:created xsi:type="dcterms:W3CDTF">2017-12-15T03:45:00Z</dcterms:created>
  <dcterms:modified xsi:type="dcterms:W3CDTF">2018-10-10T01:25:00Z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8922631</vt:lpwstr>
  </property>
  <property fmtid="{D5CDD505-2E9C-101B-9397-08002B2CF9AE}" pid="3" name="currfile">
    <vt:lpwstr>\\homesharecl\HomeDrives\asure\cps - sp - portable swimming pools - revised explanatory statement (attachment j) (D2017-00087739).docx</vt:lpwstr>
  </property>
</Properties>
</file>