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69"/>
        <w:gridCol w:w="4082"/>
      </w:tblGrid>
      <w:tr w:rsidR="00090A6F" w:rsidRPr="0000292B" w:rsidTr="00F325C2">
        <w:tc>
          <w:tcPr>
            <w:tcW w:w="5669" w:type="dxa"/>
          </w:tcPr>
          <w:p w:rsidR="00090A6F" w:rsidRPr="0000292B" w:rsidRDefault="00364B30">
            <w:pPr>
              <w:pStyle w:val="CoverStandard"/>
            </w:pPr>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bookmarkStart w:id="0" w:name="DocNo"/>
            <w:bookmarkStart w:id="1" w:name="AASBNo"/>
            <w:r w:rsidR="008D09A1">
              <w:t>2012-10</w:t>
            </w:r>
            <w:bookmarkEnd w:id="0"/>
            <w:bookmarkEnd w:id="1"/>
          </w:p>
          <w:p w:rsidR="00090A6F" w:rsidRPr="0000292B" w:rsidRDefault="008B2712" w:rsidP="003463C9">
            <w:pPr>
              <w:pStyle w:val="CoverDate"/>
            </w:pPr>
            <w:bookmarkStart w:id="2" w:name="DocDate"/>
            <w:r>
              <w:t>December 2012</w:t>
            </w:r>
            <w:bookmarkEnd w:id="2"/>
          </w:p>
        </w:tc>
      </w:tr>
    </w:tbl>
    <w:p w:rsidR="00090A6F" w:rsidRPr="0000292B" w:rsidRDefault="00831497">
      <w:pPr>
        <w:pStyle w:val="CoverTitle"/>
      </w:pPr>
      <w:r>
        <w:t>Amend</w:t>
      </w:r>
      <w:bookmarkStart w:id="3" w:name="_GoBack"/>
      <w:bookmarkEnd w:id="3"/>
      <w:r>
        <w:t xml:space="preserve">ments to Australian Accounting Standards </w:t>
      </w:r>
      <w:r w:rsidR="00DD4F49">
        <w:t>– Transition Guidance and Other Amendments</w:t>
      </w:r>
      <w:bookmarkStart w:id="4" w:name="ArisingNo"/>
      <w:bookmarkEnd w:id="4"/>
    </w:p>
    <w:p w:rsidR="00C5022C" w:rsidRPr="00C5022C" w:rsidRDefault="002B7803" w:rsidP="00EE7312">
      <w:pPr>
        <w:pStyle w:val="CoverSubtitle"/>
        <w:ind w:right="-113"/>
      </w:pPr>
      <w:r>
        <w:t>[</w:t>
      </w:r>
      <w:bookmarkStart w:id="5" w:name="AmendingNos"/>
      <w:r w:rsidR="00356F1C">
        <w:t xml:space="preserve">AASB </w:t>
      </w:r>
      <w:r w:rsidR="00535A2C">
        <w:t xml:space="preserve">1, </w:t>
      </w:r>
      <w:r w:rsidR="003A01EA">
        <w:t xml:space="preserve">5, </w:t>
      </w:r>
      <w:r w:rsidR="003E1C4C">
        <w:t xml:space="preserve">7, </w:t>
      </w:r>
      <w:r w:rsidR="00535A2C">
        <w:t xml:space="preserve">8, </w:t>
      </w:r>
      <w:r w:rsidR="00356F1C">
        <w:t xml:space="preserve">10, 11, </w:t>
      </w:r>
      <w:r w:rsidR="006D70DD">
        <w:t>12</w:t>
      </w:r>
      <w:bookmarkEnd w:id="5"/>
      <w:r w:rsidR="003E1C4C">
        <w:t xml:space="preserve">, </w:t>
      </w:r>
      <w:r w:rsidR="00870DC3">
        <w:t xml:space="preserve">13, </w:t>
      </w:r>
      <w:r w:rsidR="003E1C4C">
        <w:t>101, 102,</w:t>
      </w:r>
      <w:r w:rsidR="00535A2C">
        <w:t xml:space="preserve"> </w:t>
      </w:r>
      <w:r w:rsidR="003E1C4C">
        <w:t xml:space="preserve">108, 112, 118, </w:t>
      </w:r>
      <w:r w:rsidR="00870DC3">
        <w:t xml:space="preserve">119, </w:t>
      </w:r>
      <w:r w:rsidR="003E1C4C">
        <w:t>127, 128, 132, 133,</w:t>
      </w:r>
      <w:r w:rsidR="00535A2C">
        <w:t xml:space="preserve"> 134, </w:t>
      </w:r>
      <w:r w:rsidR="003E1C4C">
        <w:t xml:space="preserve">137, 1023, 1038, 1039, </w:t>
      </w:r>
      <w:r w:rsidR="00535A2C">
        <w:t xml:space="preserve">1049 &amp; 2011-7 and </w:t>
      </w:r>
      <w:r w:rsidR="003E1C4C">
        <w:t>Interpretation</w:t>
      </w:r>
      <w:r w:rsidR="003A01EA">
        <w:t> </w:t>
      </w:r>
      <w:r w:rsidR="003E1C4C">
        <w:t>12</w:t>
      </w:r>
      <w:r>
        <w:t>]</w:t>
      </w:r>
    </w:p>
    <w:p w:rsidR="00090A6F" w:rsidRPr="0000292B" w:rsidRDefault="008B643A">
      <w:pPr>
        <w:sectPr w:rsidR="00090A6F" w:rsidRPr="0000292B" w:rsidSect="00F325C2">
          <w:headerReference w:type="even" r:id="rId9"/>
          <w:headerReference w:type="first" r:id="rId10"/>
          <w:pgSz w:w="11907" w:h="16840" w:code="9"/>
          <w:pgMar w:top="1134" w:right="1134" w:bottom="1134" w:left="1134" w:header="720" w:footer="3255" w:gutter="0"/>
          <w:cols w:space="720"/>
        </w:sectPr>
      </w:pPr>
      <w:r>
        <w:rPr>
          <w:noProof/>
          <w:lang w:eastAsia="en-AU"/>
        </w:rPr>
        <w:drawing>
          <wp:anchor distT="0" distB="0" distL="114300" distR="114300" simplePos="0" relativeHeight="251657728" behindDoc="0" locked="1" layoutInCell="1" allowOverlap="1" wp14:anchorId="0635430B" wp14:editId="4459A396">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6D70DD" w:rsidRDefault="006D70DD" w:rsidP="006D4700">
      <w:pPr>
        <w:spacing w:before="600"/>
      </w:pPr>
      <w:bookmarkStart w:id="6" w:name="CopyrightText"/>
      <w:r>
        <w:t>COPYRIGHT</w:t>
      </w:r>
    </w:p>
    <w:p w:rsidR="006D70DD" w:rsidRDefault="006D70DD" w:rsidP="006D4700"/>
    <w:p w:rsidR="006D70DD" w:rsidRDefault="006D70DD" w:rsidP="006D4700">
      <w:r>
        <w:t xml:space="preserve">© Commonwealth of Australia </w:t>
      </w:r>
      <w:bookmarkStart w:id="7" w:name="Year"/>
      <w:r>
        <w:t>2012</w:t>
      </w:r>
      <w:bookmarkEnd w:id="7"/>
    </w:p>
    <w:p w:rsidR="006D70DD" w:rsidRDefault="006D70DD" w:rsidP="006D4700"/>
    <w:p w:rsidR="006D70DD" w:rsidRPr="00DE4E67" w:rsidRDefault="006D70DD">
      <w:pPr>
        <w:pStyle w:val="CoverLeadPara"/>
      </w:pPr>
      <w:r w:rsidRPr="00DE4E67">
        <w:t xml:space="preserve">This AASB </w:t>
      </w:r>
      <w:bookmarkStart w:id="8" w:name="IASBCopyright"/>
      <w:bookmarkEnd w:id="8"/>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6D70DD" w:rsidRPr="00DE4E67" w:rsidRDefault="006D70DD">
      <w:r w:rsidRPr="00DE4E67">
        <w:t>All existing rights in this material are reserved outside Australia.</w:t>
      </w:r>
    </w:p>
    <w:p w:rsidR="006D70DD" w:rsidRPr="00DE4E67" w:rsidRDefault="006D70DD">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6"/>
    <w:p w:rsidR="006D4700" w:rsidRDefault="006D4700" w:rsidP="006D4700"/>
    <w:p w:rsidR="007455F0" w:rsidRPr="0000292B" w:rsidRDefault="006D4700" w:rsidP="006D4700">
      <w:r>
        <w:t xml:space="preserve">ISSN </w:t>
      </w:r>
      <w:bookmarkStart w:id="9" w:name="ISSN"/>
      <w:r w:rsidR="006D70DD">
        <w:t>1036-4803</w:t>
      </w:r>
      <w:bookmarkEnd w:id="9"/>
    </w:p>
    <w:p w:rsidR="00090A6F" w:rsidRPr="0000292B" w:rsidRDefault="00090A6F">
      <w:pPr>
        <w:sectPr w:rsidR="00090A6F" w:rsidRPr="0000292B" w:rsidSect="00F325C2">
          <w:footerReference w:type="default" r:id="rId12"/>
          <w:pgSz w:w="11907" w:h="16840" w:code="9"/>
          <w:pgMar w:top="1134" w:right="1134" w:bottom="1134" w:left="1134" w:header="709" w:footer="720"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8D09A1" w:rsidRPr="008D09A1">
        <w:rPr>
          <w:iCs/>
        </w:rPr>
        <w:t>2012-10</w:t>
      </w:r>
      <w:r w:rsidR="009C2479" w:rsidRPr="00BC0D5D">
        <w:rPr>
          <w:iCs/>
        </w:rPr>
        <w:fldChar w:fldCharType="end"/>
      </w:r>
      <w:r w:rsidRPr="0000292B">
        <w:t xml:space="preserve"> </w:t>
      </w:r>
      <w:r w:rsidR="009C2479" w:rsidRPr="009C2479">
        <w:rPr>
          <w:i/>
        </w:rPr>
        <w:t>AmenDMENTS TO aUSTRALIAN aCCOUNTING sTANDARDS</w:t>
      </w:r>
      <w:r w:rsidR="009C2479" w:rsidRPr="00C20572">
        <w:rPr>
          <w:i/>
        </w:rPr>
        <w:t xml:space="preserve"> </w:t>
      </w:r>
      <w:r w:rsidR="00C20572" w:rsidRPr="00C20572">
        <w:rPr>
          <w:i/>
        </w:rPr>
        <w:t>– Transition Guidance and Other Amendments</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090A6F" w:rsidP="00F325C2">
      <w:pPr>
        <w:pStyle w:val="ContentsParaHead"/>
        <w:ind w:right="1701"/>
      </w:pPr>
      <w:r w:rsidRPr="0000292B">
        <w:t>Paragraphs</w:t>
      </w:r>
    </w:p>
    <w:p w:rsidR="002A5AD6" w:rsidRDefault="002A5AD6" w:rsidP="00F325C2">
      <w:pPr>
        <w:pStyle w:val="ContentsLevel1"/>
        <w:tabs>
          <w:tab w:val="clear" w:pos="6237"/>
          <w:tab w:val="right" w:pos="7938"/>
        </w:tabs>
      </w:pPr>
      <w:bookmarkStart w:id="10" w:name="TOCRange"/>
      <w:r>
        <w:t>Objective</w:t>
      </w:r>
      <w:r>
        <w:tab/>
        <w:t>1</w:t>
      </w:r>
    </w:p>
    <w:p w:rsidR="002A5AD6" w:rsidRDefault="002A5AD6" w:rsidP="00F325C2">
      <w:pPr>
        <w:pStyle w:val="ContentsLevel1"/>
        <w:tabs>
          <w:tab w:val="clear" w:pos="6237"/>
          <w:tab w:val="right" w:pos="7938"/>
        </w:tabs>
      </w:pPr>
      <w:r>
        <w:t>Application</w:t>
      </w:r>
      <w:r>
        <w:tab/>
        <w:t>2 – 12</w:t>
      </w:r>
    </w:p>
    <w:p w:rsidR="002A5AD6" w:rsidRDefault="002A5AD6" w:rsidP="00F325C2">
      <w:pPr>
        <w:pStyle w:val="ContentsLevel1"/>
        <w:tabs>
          <w:tab w:val="clear" w:pos="6237"/>
          <w:tab w:val="right" w:pos="7938"/>
        </w:tabs>
      </w:pPr>
      <w:r>
        <w:t>Amendments to AASB 1</w:t>
      </w:r>
      <w:r>
        <w:tab/>
        <w:t>13 – 17</w:t>
      </w:r>
    </w:p>
    <w:p w:rsidR="002A5AD6" w:rsidRDefault="002A5AD6" w:rsidP="00F325C2">
      <w:pPr>
        <w:pStyle w:val="ContentsLevel1"/>
        <w:tabs>
          <w:tab w:val="clear" w:pos="6237"/>
          <w:tab w:val="right" w:pos="7938"/>
        </w:tabs>
      </w:pPr>
      <w:r>
        <w:t>Amendment to AASB 5</w:t>
      </w:r>
      <w:r>
        <w:tab/>
        <w:t>18</w:t>
      </w:r>
    </w:p>
    <w:p w:rsidR="002A5AD6" w:rsidRDefault="002A5AD6" w:rsidP="00F325C2">
      <w:pPr>
        <w:pStyle w:val="ContentsLevel1"/>
        <w:tabs>
          <w:tab w:val="clear" w:pos="6237"/>
          <w:tab w:val="right" w:pos="7938"/>
        </w:tabs>
      </w:pPr>
      <w:r>
        <w:t>Amendments to AASB 7</w:t>
      </w:r>
      <w:r>
        <w:tab/>
        <w:t>19 – 23</w:t>
      </w:r>
    </w:p>
    <w:p w:rsidR="002A5AD6" w:rsidRDefault="002A5AD6" w:rsidP="00F325C2">
      <w:pPr>
        <w:pStyle w:val="ContentsLevel1"/>
        <w:tabs>
          <w:tab w:val="clear" w:pos="6237"/>
          <w:tab w:val="right" w:pos="7938"/>
        </w:tabs>
      </w:pPr>
      <w:r>
        <w:t>Amendment to AASB 8</w:t>
      </w:r>
      <w:r>
        <w:tab/>
        <w:t>24</w:t>
      </w:r>
    </w:p>
    <w:p w:rsidR="002A5AD6" w:rsidRDefault="002A5AD6" w:rsidP="00F325C2">
      <w:pPr>
        <w:pStyle w:val="ContentsLevel1"/>
        <w:tabs>
          <w:tab w:val="clear" w:pos="6237"/>
          <w:tab w:val="right" w:pos="7938"/>
        </w:tabs>
      </w:pPr>
      <w:r>
        <w:t>Amendments to AASB 10</w:t>
      </w:r>
      <w:r>
        <w:tab/>
        <w:t>25 – 35</w:t>
      </w:r>
    </w:p>
    <w:p w:rsidR="002A5AD6" w:rsidRDefault="002A5AD6" w:rsidP="00F325C2">
      <w:pPr>
        <w:pStyle w:val="ContentsLevel1"/>
        <w:tabs>
          <w:tab w:val="clear" w:pos="6237"/>
          <w:tab w:val="right" w:pos="7938"/>
        </w:tabs>
      </w:pPr>
      <w:r>
        <w:t>Amendments to AASB 11</w:t>
      </w:r>
      <w:r>
        <w:tab/>
        <w:t>36 – 39</w:t>
      </w:r>
    </w:p>
    <w:p w:rsidR="002A5AD6" w:rsidRDefault="002A5AD6" w:rsidP="00F325C2">
      <w:pPr>
        <w:pStyle w:val="ContentsLevel1"/>
        <w:tabs>
          <w:tab w:val="clear" w:pos="6237"/>
          <w:tab w:val="right" w:pos="7938"/>
        </w:tabs>
      </w:pPr>
      <w:r>
        <w:t>Amendments to AASB 12</w:t>
      </w:r>
      <w:r>
        <w:tab/>
        <w:t>40 – 42</w:t>
      </w:r>
    </w:p>
    <w:p w:rsidR="002A5AD6" w:rsidRDefault="002A5AD6" w:rsidP="00F325C2">
      <w:pPr>
        <w:pStyle w:val="ContentsLevel1"/>
        <w:tabs>
          <w:tab w:val="clear" w:pos="6237"/>
          <w:tab w:val="right" w:pos="7938"/>
        </w:tabs>
      </w:pPr>
      <w:r>
        <w:t>Amendment to AASB 13</w:t>
      </w:r>
      <w:r>
        <w:tab/>
        <w:t>43</w:t>
      </w:r>
    </w:p>
    <w:p w:rsidR="002A5AD6" w:rsidRDefault="002A5AD6" w:rsidP="00F325C2">
      <w:pPr>
        <w:pStyle w:val="ContentsLevel1"/>
        <w:tabs>
          <w:tab w:val="clear" w:pos="6237"/>
          <w:tab w:val="right" w:pos="7938"/>
        </w:tabs>
      </w:pPr>
      <w:r>
        <w:t>Amendments to AASB 101</w:t>
      </w:r>
      <w:r>
        <w:tab/>
        <w:t>44 – 45</w:t>
      </w:r>
    </w:p>
    <w:p w:rsidR="002A5AD6" w:rsidRDefault="002A5AD6" w:rsidP="00F325C2">
      <w:pPr>
        <w:pStyle w:val="ContentsLevel1"/>
        <w:tabs>
          <w:tab w:val="clear" w:pos="6237"/>
          <w:tab w:val="right" w:pos="7938"/>
        </w:tabs>
      </w:pPr>
      <w:r>
        <w:t>Amendment to AASB 102</w:t>
      </w:r>
      <w:r>
        <w:tab/>
        <w:t>46</w:t>
      </w:r>
    </w:p>
    <w:p w:rsidR="002A5AD6" w:rsidRDefault="002A5AD6" w:rsidP="00F325C2">
      <w:pPr>
        <w:pStyle w:val="ContentsLevel1"/>
        <w:tabs>
          <w:tab w:val="clear" w:pos="6237"/>
          <w:tab w:val="right" w:pos="7938"/>
        </w:tabs>
      </w:pPr>
      <w:r>
        <w:t>Amendment to AASB 108</w:t>
      </w:r>
      <w:r>
        <w:tab/>
        <w:t>47</w:t>
      </w:r>
    </w:p>
    <w:p w:rsidR="002A5AD6" w:rsidRDefault="002A5AD6" w:rsidP="00F325C2">
      <w:pPr>
        <w:pStyle w:val="ContentsLevel1"/>
        <w:tabs>
          <w:tab w:val="clear" w:pos="6237"/>
          <w:tab w:val="right" w:pos="7938"/>
        </w:tabs>
      </w:pPr>
      <w:r>
        <w:t>Amendments to AASB 112</w:t>
      </w:r>
      <w:r>
        <w:tab/>
        <w:t>48 – 49</w:t>
      </w:r>
    </w:p>
    <w:p w:rsidR="002A5AD6" w:rsidRDefault="002A5AD6" w:rsidP="00F325C2">
      <w:pPr>
        <w:pStyle w:val="ContentsLevel1"/>
        <w:tabs>
          <w:tab w:val="clear" w:pos="6237"/>
          <w:tab w:val="right" w:pos="7938"/>
        </w:tabs>
      </w:pPr>
      <w:r>
        <w:t>Amendments to AASB 118</w:t>
      </w:r>
      <w:r>
        <w:tab/>
        <w:t>50 – 51</w:t>
      </w:r>
    </w:p>
    <w:p w:rsidR="002A5AD6" w:rsidRDefault="002A5AD6" w:rsidP="00F325C2">
      <w:pPr>
        <w:pStyle w:val="ContentsLevel1"/>
        <w:tabs>
          <w:tab w:val="clear" w:pos="6237"/>
          <w:tab w:val="right" w:pos="7938"/>
        </w:tabs>
      </w:pPr>
      <w:r>
        <w:t>Amendments to AASB 119</w:t>
      </w:r>
      <w:r>
        <w:tab/>
        <w:t>52 – 53</w:t>
      </w:r>
    </w:p>
    <w:p w:rsidR="002A5AD6" w:rsidRDefault="002A5AD6" w:rsidP="00F325C2">
      <w:pPr>
        <w:pStyle w:val="ContentsLevel1"/>
        <w:tabs>
          <w:tab w:val="clear" w:pos="6237"/>
          <w:tab w:val="right" w:pos="7938"/>
        </w:tabs>
      </w:pPr>
      <w:r>
        <w:t>Amendments to AASB 127</w:t>
      </w:r>
      <w:r>
        <w:tab/>
        <w:t>54 – 55</w:t>
      </w:r>
    </w:p>
    <w:p w:rsidR="002A5AD6" w:rsidRDefault="002A5AD6" w:rsidP="00F325C2">
      <w:pPr>
        <w:pStyle w:val="ContentsLevel1"/>
        <w:tabs>
          <w:tab w:val="clear" w:pos="6237"/>
          <w:tab w:val="right" w:pos="7938"/>
        </w:tabs>
      </w:pPr>
      <w:r>
        <w:t>Amendments to AASB 128</w:t>
      </w:r>
      <w:r>
        <w:tab/>
        <w:t>56</w:t>
      </w:r>
    </w:p>
    <w:p w:rsidR="002A5AD6" w:rsidRDefault="002A5AD6" w:rsidP="00F325C2">
      <w:pPr>
        <w:pStyle w:val="ContentsLevel1"/>
        <w:tabs>
          <w:tab w:val="clear" w:pos="6237"/>
          <w:tab w:val="right" w:pos="7938"/>
        </w:tabs>
      </w:pPr>
      <w:r>
        <w:t>Amendments to AASB 132</w:t>
      </w:r>
      <w:r>
        <w:tab/>
        <w:t>57 – 58</w:t>
      </w:r>
    </w:p>
    <w:p w:rsidR="002A5AD6" w:rsidRDefault="002A5AD6" w:rsidP="00F325C2">
      <w:pPr>
        <w:pStyle w:val="ContentsLevel1"/>
        <w:tabs>
          <w:tab w:val="clear" w:pos="6237"/>
          <w:tab w:val="right" w:pos="7938"/>
        </w:tabs>
      </w:pPr>
      <w:r>
        <w:t>Amendment to AASB 133</w:t>
      </w:r>
      <w:r>
        <w:tab/>
        <w:t>59</w:t>
      </w:r>
    </w:p>
    <w:p w:rsidR="002A5AD6" w:rsidRDefault="002A5AD6" w:rsidP="00F325C2">
      <w:pPr>
        <w:pStyle w:val="ContentsLevel1"/>
        <w:tabs>
          <w:tab w:val="clear" w:pos="6237"/>
          <w:tab w:val="right" w:pos="7938"/>
        </w:tabs>
      </w:pPr>
      <w:r>
        <w:t>Amendments to AASB 134</w:t>
      </w:r>
      <w:r>
        <w:tab/>
        <w:t>60 – 64</w:t>
      </w:r>
    </w:p>
    <w:p w:rsidR="002A5AD6" w:rsidRDefault="002A5AD6" w:rsidP="00F325C2">
      <w:pPr>
        <w:pStyle w:val="ContentsLevel1"/>
        <w:tabs>
          <w:tab w:val="clear" w:pos="6237"/>
          <w:tab w:val="right" w:pos="7938"/>
        </w:tabs>
      </w:pPr>
      <w:r>
        <w:t>Amendments to AASB 137</w:t>
      </w:r>
      <w:r>
        <w:tab/>
        <w:t>65</w:t>
      </w:r>
    </w:p>
    <w:p w:rsidR="002A5AD6" w:rsidRDefault="002A5AD6" w:rsidP="00F325C2">
      <w:pPr>
        <w:pStyle w:val="ContentsLevel1"/>
        <w:tabs>
          <w:tab w:val="clear" w:pos="6237"/>
          <w:tab w:val="right" w:pos="7938"/>
        </w:tabs>
      </w:pPr>
      <w:r>
        <w:t>Amendments to AASB 1023</w:t>
      </w:r>
      <w:r>
        <w:tab/>
        <w:t>66</w:t>
      </w:r>
    </w:p>
    <w:p w:rsidR="002A5AD6" w:rsidRDefault="002A5AD6" w:rsidP="00F325C2">
      <w:pPr>
        <w:pStyle w:val="ContentsLevel1"/>
        <w:tabs>
          <w:tab w:val="clear" w:pos="6237"/>
          <w:tab w:val="right" w:pos="7938"/>
        </w:tabs>
      </w:pPr>
      <w:r>
        <w:t>Amendments to AASB 1038</w:t>
      </w:r>
      <w:r>
        <w:tab/>
        <w:t>67</w:t>
      </w:r>
    </w:p>
    <w:p w:rsidR="002A5AD6" w:rsidRDefault="002A5AD6" w:rsidP="00F325C2">
      <w:pPr>
        <w:pStyle w:val="ContentsLevel1"/>
        <w:tabs>
          <w:tab w:val="clear" w:pos="6237"/>
          <w:tab w:val="right" w:pos="7938"/>
        </w:tabs>
      </w:pPr>
      <w:r>
        <w:t>Amendment to AASB 1039</w:t>
      </w:r>
      <w:r>
        <w:tab/>
        <w:t>68</w:t>
      </w:r>
    </w:p>
    <w:p w:rsidR="002A5AD6" w:rsidRDefault="002A5AD6" w:rsidP="00F325C2">
      <w:pPr>
        <w:pStyle w:val="ContentsLevel1"/>
        <w:tabs>
          <w:tab w:val="clear" w:pos="6237"/>
          <w:tab w:val="right" w:pos="7938"/>
        </w:tabs>
      </w:pPr>
      <w:r>
        <w:t>Amendments to AASB 1049</w:t>
      </w:r>
      <w:r>
        <w:tab/>
        <w:t>69 – 7</w:t>
      </w:r>
      <w:r w:rsidR="00331D4A">
        <w:t>3</w:t>
      </w:r>
    </w:p>
    <w:p w:rsidR="002A5AD6" w:rsidRDefault="002A5AD6" w:rsidP="00F325C2">
      <w:pPr>
        <w:pStyle w:val="ContentsLevel1"/>
        <w:tabs>
          <w:tab w:val="clear" w:pos="6237"/>
          <w:tab w:val="right" w:pos="7938"/>
        </w:tabs>
      </w:pPr>
      <w:r>
        <w:t>Amendments to AASB 2011-7</w:t>
      </w:r>
      <w:r>
        <w:tab/>
        <w:t>74</w:t>
      </w:r>
    </w:p>
    <w:p w:rsidR="002A5AD6" w:rsidRDefault="002A5AD6" w:rsidP="00F325C2">
      <w:pPr>
        <w:pStyle w:val="ContentsLevel1"/>
        <w:tabs>
          <w:tab w:val="clear" w:pos="6237"/>
          <w:tab w:val="right" w:pos="7938"/>
        </w:tabs>
      </w:pPr>
      <w:r>
        <w:t>Amendments to Interpretation 12</w:t>
      </w:r>
      <w:r>
        <w:tab/>
        <w:t>75 – 76</w:t>
      </w:r>
    </w:p>
    <w:p w:rsidR="00F325C2" w:rsidRDefault="00F325C2" w:rsidP="00F325C2">
      <w:pPr>
        <w:pStyle w:val="ContentsLevel1"/>
        <w:tabs>
          <w:tab w:val="clear" w:pos="6237"/>
          <w:tab w:val="right" w:pos="7938"/>
        </w:tabs>
        <w:spacing w:after="240"/>
      </w:pPr>
    </w:p>
    <w:bookmarkEnd w:id="10"/>
    <w:p w:rsidR="00E35395" w:rsidRDefault="00090A6F">
      <w:pPr>
        <w:pStyle w:val="ContentsBox"/>
        <w:sectPr w:rsidR="00E35395" w:rsidSect="00F325C2">
          <w:footerReference w:type="default" r:id="rId13"/>
          <w:pgSz w:w="11907" w:h="16840" w:code="9"/>
          <w:pgMar w:top="1134" w:right="1134" w:bottom="1134" w:left="1134" w:header="709" w:footer="720" w:gutter="0"/>
          <w:cols w:space="720"/>
        </w:sectPr>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8D09A1" w:rsidRPr="008D09A1">
        <w:rPr>
          <w:iCs/>
        </w:rPr>
        <w:t>2012-10</w:t>
      </w:r>
      <w:r w:rsidR="00BC0D5D" w:rsidRPr="00BC0D5D">
        <w:rPr>
          <w:iCs/>
        </w:rPr>
        <w:fldChar w:fldCharType="end"/>
      </w:r>
      <w:r w:rsidRPr="0000292B">
        <w:t xml:space="preserve"> </w:t>
      </w:r>
      <w:r w:rsidR="009C2479" w:rsidRPr="009C2479">
        <w:rPr>
          <w:i/>
        </w:rPr>
        <w:t xml:space="preserve">Amendments to Australian Accounting </w:t>
      </w:r>
      <w:r w:rsidR="009C2479" w:rsidRPr="00C20572">
        <w:rPr>
          <w:i/>
        </w:rPr>
        <w:t xml:space="preserve">Standards </w:t>
      </w:r>
      <w:r w:rsidR="00C20572" w:rsidRPr="00C20572">
        <w:rPr>
          <w:i/>
        </w:rPr>
        <w:t>– Transition Guidance and Other Amendments</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rPr>
          <w:i/>
          <w:iCs/>
        </w:rPr>
        <w:t xml:space="preserve"> </w:t>
      </w:r>
      <w:r w:rsidRPr="0000292B">
        <w:t xml:space="preserve">is set out in paragraphs </w:t>
      </w:r>
      <w:r w:rsidR="008B2352">
        <w:t>1 – 7</w:t>
      </w:r>
      <w:r w:rsidR="00244A3F">
        <w:t>6</w:t>
      </w:r>
      <w:r w:rsidRPr="0000292B">
        <w:t>.</w:t>
      </w:r>
      <w:r w:rsidR="00244A3F">
        <w:t xml:space="preserve"> </w:t>
      </w:r>
      <w:r w:rsidRPr="0000292B">
        <w:t xml:space="preserve"> All the pa</w:t>
      </w:r>
      <w:r w:rsidR="009C2479">
        <w:t>ragraphs have equal aut</w:t>
      </w:r>
      <w:r w:rsidR="00E35395">
        <w:t>hority.</w:t>
      </w: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w:t>
      </w:r>
      <w:r w:rsidR="005A2514" w:rsidRPr="00F37408">
        <w:t>and Interpretation</w:t>
      </w:r>
      <w:r w:rsidR="005A2514">
        <w:t xml:space="preserve"> listed in paragraph 1 of the Standard.</w:t>
      </w:r>
    </w:p>
    <w:p w:rsidR="0008151A" w:rsidRDefault="00401ECA" w:rsidP="00401ECA">
      <w:pPr>
        <w:pStyle w:val="NoNumPlain1"/>
      </w:pPr>
      <w:r>
        <w:t xml:space="preserve">These </w:t>
      </w:r>
      <w:r w:rsidR="00460FBB">
        <w:t>a</w:t>
      </w:r>
      <w:r>
        <w:t>mendments arise from</w:t>
      </w:r>
      <w:r w:rsidR="00D00FD5">
        <w:t xml:space="preserve"> the </w:t>
      </w:r>
      <w:r w:rsidR="0008151A">
        <w:t>following sources:</w:t>
      </w:r>
    </w:p>
    <w:p w:rsidR="0008151A" w:rsidRDefault="0008151A" w:rsidP="0008151A">
      <w:pPr>
        <w:pStyle w:val="PlainHanging0"/>
        <w:rPr>
          <w:lang w:val="en-US"/>
        </w:rPr>
      </w:pPr>
      <w:r>
        <w:t>(a)</w:t>
      </w:r>
      <w:r>
        <w:tab/>
        <w:t xml:space="preserve">the </w:t>
      </w:r>
      <w:r w:rsidR="00D00FD5">
        <w:t xml:space="preserve">issuance of </w:t>
      </w:r>
      <w:r w:rsidR="00D00FD5" w:rsidRPr="0000292B">
        <w:fldChar w:fldCharType="begin" w:fldLock="1"/>
      </w:r>
      <w:r w:rsidR="00D00FD5" w:rsidRPr="0000292B">
        <w:instrText xml:space="preserve"> REF </w:instrText>
      </w:r>
      <w:r w:rsidR="00D00FD5">
        <w:instrText>ArisingNo</w:instrText>
      </w:r>
      <w:r w:rsidR="00D00FD5" w:rsidRPr="0000292B">
        <w:instrText xml:space="preserve">  \* charformat </w:instrText>
      </w:r>
      <w:r w:rsidR="00D00FD5" w:rsidRPr="0000292B">
        <w:fldChar w:fldCharType="end"/>
      </w:r>
      <w:r w:rsidR="00F37408">
        <w:t xml:space="preserve">International Financial Reporting Standard </w:t>
      </w:r>
      <w:r w:rsidR="00F37408" w:rsidRPr="006E0F4C">
        <w:rPr>
          <w:i/>
          <w:iCs/>
          <w:lang w:val="en-US"/>
        </w:rPr>
        <w:t>Consolidated Financial Statements, Joint Arrangements and Disclosure of Interests in Other Entities: Transition Guidance</w:t>
      </w:r>
      <w:r w:rsidR="00F37408" w:rsidRPr="006E0F4C">
        <w:rPr>
          <w:lang w:val="en-US"/>
        </w:rPr>
        <w:t xml:space="preserve"> (Amendments to IFRS 10, IFRS 11 and IFRS 12)</w:t>
      </w:r>
      <w:r w:rsidR="00F37408">
        <w:rPr>
          <w:lang w:val="en-US"/>
        </w:rPr>
        <w:t xml:space="preserve"> by the International Accounting Standards Board </w:t>
      </w:r>
      <w:r>
        <w:rPr>
          <w:lang w:val="en-US"/>
        </w:rPr>
        <w:t xml:space="preserve">(IASB) </w:t>
      </w:r>
      <w:r w:rsidR="00F37408">
        <w:rPr>
          <w:lang w:val="en-US"/>
        </w:rPr>
        <w:t>in June 2012</w:t>
      </w:r>
      <w:r>
        <w:rPr>
          <w:lang w:val="en-US"/>
        </w:rPr>
        <w:t>;</w:t>
      </w:r>
    </w:p>
    <w:p w:rsidR="00EE7312" w:rsidRDefault="00EE7312" w:rsidP="0008151A">
      <w:pPr>
        <w:pStyle w:val="PlainHanging0"/>
        <w:rPr>
          <w:lang w:val="en-US"/>
        </w:rPr>
      </w:pPr>
      <w:r>
        <w:rPr>
          <w:lang w:val="en-US"/>
        </w:rPr>
        <w:t>(b)</w:t>
      </w:r>
      <w:r>
        <w:rPr>
          <w:lang w:val="en-US"/>
        </w:rPr>
        <w:tab/>
        <w:t xml:space="preserve">the decision of the AASB to defer the mandatory application of AASB 10 </w:t>
      </w:r>
      <w:r w:rsidRPr="00EE7312">
        <w:rPr>
          <w:i/>
          <w:lang w:val="en-US"/>
        </w:rPr>
        <w:t>Consolidated Financial Statements</w:t>
      </w:r>
      <w:r>
        <w:rPr>
          <w:lang w:val="en-US"/>
        </w:rPr>
        <w:t xml:space="preserve"> and related Standards to not-for-profit entities until annual reporting periods beginning on or after 1 January 2014;</w:t>
      </w:r>
    </w:p>
    <w:p w:rsidR="00401ECA" w:rsidRDefault="00EE7312" w:rsidP="0008151A">
      <w:pPr>
        <w:pStyle w:val="PlainHanging0"/>
        <w:rPr>
          <w:lang w:val="en-US"/>
        </w:rPr>
      </w:pPr>
      <w:r>
        <w:rPr>
          <w:lang w:val="en-US"/>
        </w:rPr>
        <w:t>(c</w:t>
      </w:r>
      <w:r w:rsidR="0008151A">
        <w:rPr>
          <w:lang w:val="en-US"/>
        </w:rPr>
        <w:t>)</w:t>
      </w:r>
      <w:r w:rsidR="0008151A">
        <w:rPr>
          <w:lang w:val="en-US"/>
        </w:rPr>
        <w:tab/>
        <w:t>editorial corrections made by the IASB to its Standards and Interpretations (IFRSs); and</w:t>
      </w:r>
    </w:p>
    <w:p w:rsidR="0008151A" w:rsidRDefault="00EE7312" w:rsidP="0008151A">
      <w:pPr>
        <w:pStyle w:val="PlainHanging0"/>
        <w:rPr>
          <w:lang w:val="en-US"/>
        </w:rPr>
      </w:pPr>
      <w:r>
        <w:rPr>
          <w:lang w:val="en-US"/>
        </w:rPr>
        <w:t>(d</w:t>
      </w:r>
      <w:r w:rsidR="0008151A">
        <w:rPr>
          <w:lang w:val="en-US"/>
        </w:rPr>
        <w:t>)</w:t>
      </w:r>
      <w:r w:rsidR="0008151A">
        <w:rPr>
          <w:lang w:val="en-US"/>
        </w:rPr>
        <w:tab/>
        <w:t>editorial corrections made by the AASB to its pronouncements.</w:t>
      </w:r>
    </w:p>
    <w:p w:rsidR="0008151A" w:rsidRDefault="00302806" w:rsidP="00302806">
      <w:pPr>
        <w:pStyle w:val="Heading2"/>
        <w:rPr>
          <w:lang w:val="en-US"/>
        </w:rPr>
      </w:pPr>
      <w:r>
        <w:rPr>
          <w:lang w:val="en-US"/>
        </w:rPr>
        <w:t>Main Features of this Standard</w:t>
      </w:r>
    </w:p>
    <w:p w:rsidR="00302806" w:rsidRDefault="00302806" w:rsidP="00E24AD3">
      <w:pPr>
        <w:pStyle w:val="Heading3"/>
        <w:rPr>
          <w:lang w:val="en-US"/>
        </w:rPr>
      </w:pPr>
      <w:r>
        <w:rPr>
          <w:lang w:val="en-US"/>
        </w:rPr>
        <w:t>Main Requirements</w:t>
      </w:r>
    </w:p>
    <w:p w:rsidR="00CF2185" w:rsidRDefault="00CF2185" w:rsidP="00E24AD3">
      <w:pPr>
        <w:pStyle w:val="NoNumPlain1"/>
        <w:rPr>
          <w:lang w:val="en-US"/>
        </w:rPr>
      </w:pPr>
      <w:r>
        <w:rPr>
          <w:lang w:val="en-US"/>
        </w:rPr>
        <w:t xml:space="preserve">The amendments to AASB 10 and related Standards revise the transition guidance relevant to the initial application of those Standards, to clarify </w:t>
      </w:r>
      <w:r w:rsidR="004716B9">
        <w:rPr>
          <w:lang w:val="en-US"/>
        </w:rPr>
        <w:t>the circumstances in which</w:t>
      </w:r>
      <w:r>
        <w:rPr>
          <w:lang w:val="en-US"/>
        </w:rPr>
        <w:t xml:space="preserve"> adjustments to an entity’s previous accounting for its in</w:t>
      </w:r>
      <w:r w:rsidR="00237A15">
        <w:rPr>
          <w:lang w:val="en-US"/>
        </w:rPr>
        <w:t>volvement with other entities are</w:t>
      </w:r>
      <w:r>
        <w:rPr>
          <w:lang w:val="en-US"/>
        </w:rPr>
        <w:t xml:space="preserve"> required and the timing of such adjustme</w:t>
      </w:r>
      <w:r w:rsidR="00237A15">
        <w:rPr>
          <w:lang w:val="en-US"/>
        </w:rPr>
        <w:t xml:space="preserve">nts.  These amendments result from proposals issued in </w:t>
      </w:r>
      <w:r w:rsidR="00BB5000">
        <w:rPr>
          <w:lang w:val="en-US"/>
        </w:rPr>
        <w:t xml:space="preserve">AASB </w:t>
      </w:r>
      <w:r w:rsidR="00237A15">
        <w:rPr>
          <w:lang w:val="en-US"/>
        </w:rPr>
        <w:t xml:space="preserve">Exposure Draft ED 224 </w:t>
      </w:r>
      <w:r w:rsidR="00237A15" w:rsidRPr="00237A15">
        <w:rPr>
          <w:i/>
          <w:lang w:val="en-US"/>
        </w:rPr>
        <w:t>Transition Guidance</w:t>
      </w:r>
      <w:r w:rsidR="00237A15">
        <w:rPr>
          <w:lang w:val="en-US"/>
        </w:rPr>
        <w:t xml:space="preserve"> (December 2011).</w:t>
      </w:r>
    </w:p>
    <w:p w:rsidR="00237A15" w:rsidRDefault="00237A15" w:rsidP="00E24AD3">
      <w:pPr>
        <w:pStyle w:val="NoNumPlain1"/>
        <w:rPr>
          <w:lang w:val="en-US"/>
        </w:rPr>
      </w:pPr>
      <w:r>
        <w:rPr>
          <w:lang w:val="en-US"/>
        </w:rPr>
        <w:t>Further amendments to AASB 10 and related Standards revise their application paragraphs, so that they apply mandatorily to not-for-profit entities for annual reporting periods beginning on or after 1 January 2014, with early application permitted for not-for-profit entities only from 1 January 2013.</w:t>
      </w:r>
      <w:r w:rsidR="003E7635">
        <w:rPr>
          <w:lang w:val="en-US"/>
        </w:rPr>
        <w:t xml:space="preserve">  The application of the </w:t>
      </w:r>
      <w:r w:rsidR="002A5AD6">
        <w:rPr>
          <w:lang w:val="en-US"/>
        </w:rPr>
        <w:t>amendments set out in AASB </w:t>
      </w:r>
      <w:r w:rsidR="003E7635">
        <w:rPr>
          <w:lang w:val="en-US"/>
        </w:rPr>
        <w:t xml:space="preserve">2011-7 </w:t>
      </w:r>
      <w:r w:rsidR="003E7635" w:rsidRPr="00A60A1D">
        <w:rPr>
          <w:i/>
        </w:rPr>
        <w:t>Amendments to Australian Accounting Standards arising from</w:t>
      </w:r>
      <w:r w:rsidR="003E7635" w:rsidRPr="00A60A1D">
        <w:t xml:space="preserve"> </w:t>
      </w:r>
      <w:r w:rsidR="003E7635" w:rsidRPr="00A60A1D">
        <w:rPr>
          <w:i/>
        </w:rPr>
        <w:t>the Consolidation and Joint Arrangements Standards</w:t>
      </w:r>
      <w:r w:rsidR="003E7635">
        <w:rPr>
          <w:lang w:val="en-US"/>
        </w:rPr>
        <w:t xml:space="preserve"> is similarly amended.</w:t>
      </w:r>
      <w:r>
        <w:rPr>
          <w:lang w:val="en-US"/>
        </w:rPr>
        <w:t xml:space="preserve">  </w:t>
      </w:r>
      <w:r w:rsidR="00F36472">
        <w:rPr>
          <w:lang w:val="en-US"/>
        </w:rPr>
        <w:t xml:space="preserve">There is no change to the application date for </w:t>
      </w:r>
      <w:r>
        <w:rPr>
          <w:lang w:val="en-US"/>
        </w:rPr>
        <w:t>for-profit entities</w:t>
      </w:r>
      <w:r w:rsidR="003E7635">
        <w:rPr>
          <w:lang w:val="en-US"/>
        </w:rPr>
        <w:t>, which are required to apply</w:t>
      </w:r>
      <w:r w:rsidR="00F36472">
        <w:rPr>
          <w:lang w:val="en-US"/>
        </w:rPr>
        <w:t xml:space="preserve"> th</w:t>
      </w:r>
      <w:r w:rsidR="003E7635">
        <w:rPr>
          <w:lang w:val="en-US"/>
        </w:rPr>
        <w:t>os</w:t>
      </w:r>
      <w:r w:rsidR="00F36472">
        <w:rPr>
          <w:lang w:val="en-US"/>
        </w:rPr>
        <w:t>e Standards</w:t>
      </w:r>
      <w:r>
        <w:rPr>
          <w:lang w:val="en-US"/>
        </w:rPr>
        <w:t xml:space="preserve"> for annual reporting periods beginnin</w:t>
      </w:r>
      <w:r w:rsidR="00F36472">
        <w:rPr>
          <w:lang w:val="en-US"/>
        </w:rPr>
        <w:t>g on or after 1 January 2013, with early application permitted.</w:t>
      </w:r>
    </w:p>
    <w:p w:rsidR="003E7635" w:rsidRDefault="003E7635" w:rsidP="00E24AD3">
      <w:pPr>
        <w:pStyle w:val="NoNumPlain1"/>
        <w:rPr>
          <w:lang w:val="en-US"/>
        </w:rPr>
      </w:pPr>
      <w:r>
        <w:rPr>
          <w:lang w:val="en-US"/>
        </w:rPr>
        <w:t xml:space="preserve">This Standard also makes various editorial amendments to a range of Australian Accounting Standards and </w:t>
      </w:r>
      <w:r w:rsidR="00BB5000">
        <w:rPr>
          <w:lang w:val="en-US"/>
        </w:rPr>
        <w:t>to</w:t>
      </w:r>
      <w:r>
        <w:rPr>
          <w:lang w:val="en-US"/>
        </w:rPr>
        <w:t xml:space="preserve"> Interpretation</w:t>
      </w:r>
      <w:r w:rsidR="00BB5000">
        <w:rPr>
          <w:lang w:val="en-US"/>
        </w:rPr>
        <w:t xml:space="preserve"> 12 </w:t>
      </w:r>
      <w:r w:rsidR="00BB5000" w:rsidRPr="00BB5000">
        <w:rPr>
          <w:i/>
          <w:lang w:val="en-US"/>
        </w:rPr>
        <w:t>Service Concession Arrangements</w:t>
      </w:r>
      <w:r>
        <w:rPr>
          <w:lang w:val="en-US"/>
        </w:rPr>
        <w:t>, including amendments to reflect changes made to the text of IFRSs by the IASB.</w:t>
      </w:r>
    </w:p>
    <w:p w:rsidR="00E857FE" w:rsidRDefault="00E857FE" w:rsidP="00E24AD3">
      <w:pPr>
        <w:pStyle w:val="Heading3"/>
        <w:rPr>
          <w:lang w:val="en-US"/>
        </w:rPr>
      </w:pPr>
      <w:r>
        <w:rPr>
          <w:lang w:val="en-US"/>
        </w:rPr>
        <w:t>Application Date</w:t>
      </w:r>
    </w:p>
    <w:p w:rsidR="00E857FE" w:rsidRDefault="00E857FE" w:rsidP="00E24AD3">
      <w:pPr>
        <w:pStyle w:val="NoNumPlain1"/>
        <w:rPr>
          <w:lang w:val="en-US"/>
        </w:rPr>
      </w:pPr>
      <w:r>
        <w:rPr>
          <w:lang w:val="en-US"/>
        </w:rPr>
        <w:t>This Standard applies to annual reporting periods beginning on or after 1 January 2013.  Early application is permitted, subject to conditions in relation to the amendments to AASB 10 and related Standards.  When those Standards are applied, this Standard is also required to be applied.</w:t>
      </w:r>
    </w:p>
    <w:p w:rsidR="00090A6F" w:rsidRPr="0000292B" w:rsidRDefault="00090A6F"/>
    <w:p w:rsidR="00090A6F" w:rsidRPr="0000292B" w:rsidRDefault="00090A6F">
      <w:pPr>
        <w:sectPr w:rsidR="00090A6F" w:rsidRPr="0000292B" w:rsidSect="00F325C2">
          <w:footerReference w:type="default" r:id="rId14"/>
          <w:pgSz w:w="11907" w:h="16840" w:code="9"/>
          <w:pgMar w:top="1134" w:right="1134" w:bottom="1134" w:left="1134" w:header="709" w:footer="720" w:gutter="0"/>
          <w:cols w:space="720"/>
        </w:sectPr>
      </w:pPr>
    </w:p>
    <w:p w:rsidR="001662B8" w:rsidRPr="0000292B" w:rsidRDefault="001662B8" w:rsidP="001662B8">
      <w:pPr>
        <w:pStyle w:val="Heading1"/>
      </w:pPr>
      <w:r w:rsidRPr="0000292B">
        <w:lastRenderedPageBreak/>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8D09A1" w:rsidRPr="008D09A1">
        <w:rPr>
          <w:iCs/>
        </w:rPr>
        <w:t>2012-10</w:t>
      </w:r>
      <w:r w:rsidRPr="00BC0D5D">
        <w:rPr>
          <w:iCs/>
        </w:rPr>
        <w:fldChar w:fldCharType="end"/>
      </w:r>
    </w:p>
    <w:p w:rsidR="001662B8" w:rsidRDefault="001662B8" w:rsidP="001662B8">
      <w:r>
        <w:t>The Australian Accounting Standards Board makes Accounting Standard AASB </w:t>
      </w:r>
      <w:r w:rsidR="00FE62DF">
        <w:fldChar w:fldCharType="begin" w:fldLock="1"/>
      </w:r>
      <w:r w:rsidR="00FE62DF">
        <w:instrText xml:space="preserve"> REF DocNo  \* charformat </w:instrText>
      </w:r>
      <w:r w:rsidR="00FE62DF">
        <w:fldChar w:fldCharType="separate"/>
      </w:r>
      <w:r w:rsidR="008D09A1">
        <w:t>2012-10</w:t>
      </w:r>
      <w:r w:rsidR="00FE62DF">
        <w:fldChar w:fldCharType="end"/>
      </w:r>
      <w:r>
        <w:t xml:space="preserve"> </w:t>
      </w:r>
      <w:r w:rsidRPr="001662B8">
        <w:rPr>
          <w:i/>
        </w:rPr>
        <w:t xml:space="preserve">Amendments to </w:t>
      </w:r>
      <w:r w:rsidR="00C20572">
        <w:rPr>
          <w:i/>
        </w:rPr>
        <w:t>Australian Accounting Standar</w:t>
      </w:r>
      <w:r w:rsidR="00C20572" w:rsidRPr="00C20572">
        <w:rPr>
          <w:i/>
        </w:rPr>
        <w:t>ds – Transition Guidance and Other Amendments</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6"/>
      </w:tblGrid>
      <w:tr w:rsidR="00F325C2" w:rsidTr="00F325C2">
        <w:tc>
          <w:tcPr>
            <w:tcW w:w="3402" w:type="dxa"/>
          </w:tcPr>
          <w:p w:rsidR="00C03C7B" w:rsidRDefault="00C03C7B" w:rsidP="0048155F"/>
        </w:tc>
        <w:tc>
          <w:tcPr>
            <w:tcW w:w="6236" w:type="dxa"/>
          </w:tcPr>
          <w:p w:rsidR="00C03C7B" w:rsidRDefault="00C03C7B" w:rsidP="0048155F">
            <w:pPr>
              <w:jc w:val="right"/>
            </w:pPr>
            <w:r>
              <w:t xml:space="preserve">Kevin </w:t>
            </w:r>
            <w:r w:rsidR="000B733C">
              <w:t xml:space="preserve">M. </w:t>
            </w:r>
            <w:r>
              <w:t>Stevenson</w:t>
            </w:r>
          </w:p>
        </w:tc>
      </w:tr>
      <w:tr w:rsidR="00F325C2" w:rsidTr="00F325C2">
        <w:tc>
          <w:tcPr>
            <w:tcW w:w="3402" w:type="dxa"/>
          </w:tcPr>
          <w:p w:rsidR="00C03C7B" w:rsidRDefault="00C03C7B" w:rsidP="0048155F">
            <w:r>
              <w:t xml:space="preserve">Dated </w:t>
            </w:r>
            <w:bookmarkStart w:id="11" w:name="DateSigned"/>
            <w:r w:rsidR="00B9665C">
              <w:t xml:space="preserve">18 </w:t>
            </w:r>
            <w:r w:rsidR="008D09A1">
              <w:t>December 2012</w:t>
            </w:r>
            <w:bookmarkEnd w:id="11"/>
          </w:p>
        </w:tc>
        <w:tc>
          <w:tcPr>
            <w:tcW w:w="6236"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8D09A1" w:rsidRPr="008D09A1">
        <w:rPr>
          <w:iCs/>
        </w:rPr>
        <w:t>2012-10</w:t>
      </w:r>
      <w:r w:rsidR="00BC0D5D" w:rsidRPr="00BC0D5D">
        <w:rPr>
          <w:iCs/>
        </w:rPr>
        <w:fldChar w:fldCharType="end"/>
      </w:r>
    </w:p>
    <w:p w:rsidR="00090A6F" w:rsidRDefault="001662B8">
      <w:pPr>
        <w:pStyle w:val="Heading1Italic"/>
      </w:pPr>
      <w:r>
        <w:t xml:space="preserve">AMENDMENTS TO AUSTRALIAN ACCOUNTING STANDARDS </w:t>
      </w:r>
      <w:r w:rsidR="00C20572">
        <w:t>– Transition Guidance and Other Amendments</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2" w:name="TOCStart"/>
      <w:bookmarkEnd w:id="12"/>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6D70DD" w:rsidRDefault="006D70DD" w:rsidP="006D70DD">
      <w:pPr>
        <w:pStyle w:val="NumPlain2"/>
      </w:pPr>
      <w:r>
        <w:t xml:space="preserve">AASB 1 </w:t>
      </w:r>
      <w:r w:rsidRPr="006D70DD">
        <w:rPr>
          <w:i/>
        </w:rPr>
        <w:t>First-time Adoption of Australian Accounting Standards</w:t>
      </w:r>
      <w:r w:rsidR="008F31F6">
        <w:t>;</w:t>
      </w:r>
    </w:p>
    <w:p w:rsidR="003A01EA" w:rsidRDefault="003A01EA" w:rsidP="00775607">
      <w:pPr>
        <w:pStyle w:val="NumPlain2"/>
      </w:pPr>
      <w:r>
        <w:t xml:space="preserve">AASB 5 </w:t>
      </w:r>
      <w:r w:rsidRPr="003A01EA">
        <w:rPr>
          <w:i/>
        </w:rPr>
        <w:t>Non-current Assets Held for Sale and Discontinued Operations</w:t>
      </w:r>
      <w:r>
        <w:t>;</w:t>
      </w:r>
    </w:p>
    <w:p w:rsidR="00775607" w:rsidRDefault="00775607" w:rsidP="00775607">
      <w:pPr>
        <w:pStyle w:val="NumPlain2"/>
      </w:pPr>
      <w:r>
        <w:t xml:space="preserve">AASB 7 </w:t>
      </w:r>
      <w:r w:rsidRPr="00DB1A8B">
        <w:rPr>
          <w:i/>
        </w:rPr>
        <w:t>Financial Instruments: Disclosures</w:t>
      </w:r>
      <w:r>
        <w:t>;</w:t>
      </w:r>
    </w:p>
    <w:p w:rsidR="00775607" w:rsidRDefault="00775607" w:rsidP="00775607">
      <w:pPr>
        <w:pStyle w:val="NumPlain2"/>
      </w:pPr>
      <w:r>
        <w:t xml:space="preserve">AASB 8 </w:t>
      </w:r>
      <w:r w:rsidRPr="00DB1A8B">
        <w:rPr>
          <w:i/>
        </w:rPr>
        <w:t>Operating Segments</w:t>
      </w:r>
      <w:r>
        <w:t>;</w:t>
      </w:r>
    </w:p>
    <w:p w:rsidR="006D70DD" w:rsidRDefault="006D70DD" w:rsidP="006D70DD">
      <w:pPr>
        <w:pStyle w:val="NumPlain2"/>
      </w:pPr>
      <w:r>
        <w:t xml:space="preserve">AASB 10 </w:t>
      </w:r>
      <w:r w:rsidRPr="006D70DD">
        <w:rPr>
          <w:i/>
        </w:rPr>
        <w:t>Consolidated Financial Statements</w:t>
      </w:r>
      <w:r w:rsidR="008F31F6">
        <w:t>;</w:t>
      </w:r>
    </w:p>
    <w:p w:rsidR="006D70DD" w:rsidRDefault="006D70DD" w:rsidP="006D70DD">
      <w:pPr>
        <w:pStyle w:val="NumPlain2"/>
      </w:pPr>
      <w:r>
        <w:t xml:space="preserve">AASB 11 </w:t>
      </w:r>
      <w:r w:rsidRPr="006D70DD">
        <w:rPr>
          <w:i/>
        </w:rPr>
        <w:t>Joint Arrangements</w:t>
      </w:r>
      <w:r w:rsidR="008F31F6">
        <w:t>;</w:t>
      </w:r>
    </w:p>
    <w:p w:rsidR="006D70DD" w:rsidRDefault="006D70DD" w:rsidP="006D70DD">
      <w:pPr>
        <w:pStyle w:val="NumPlain2"/>
      </w:pPr>
      <w:r>
        <w:t xml:space="preserve">AASB 12 </w:t>
      </w:r>
      <w:r w:rsidRPr="006D70DD">
        <w:rPr>
          <w:i/>
        </w:rPr>
        <w:t>Disclosure of Interests in Other Entities</w:t>
      </w:r>
      <w:r w:rsidR="008F31F6">
        <w:t>;</w:t>
      </w:r>
    </w:p>
    <w:p w:rsidR="00870DC3" w:rsidRDefault="00870DC3" w:rsidP="006D70DD">
      <w:pPr>
        <w:pStyle w:val="NumPlain2"/>
      </w:pPr>
      <w:r>
        <w:t xml:space="preserve">AASB 13 </w:t>
      </w:r>
      <w:r w:rsidRPr="00870DC3">
        <w:rPr>
          <w:i/>
        </w:rPr>
        <w:t>Fair Value Measurement</w:t>
      </w:r>
      <w:r>
        <w:t>;</w:t>
      </w:r>
    </w:p>
    <w:p w:rsidR="00DB1A8B" w:rsidRDefault="00DB1A8B" w:rsidP="006D70DD">
      <w:pPr>
        <w:pStyle w:val="NumPlain2"/>
      </w:pPr>
      <w:r>
        <w:t xml:space="preserve">AASB 101 </w:t>
      </w:r>
      <w:r w:rsidRPr="00DB1A8B">
        <w:rPr>
          <w:i/>
        </w:rPr>
        <w:t>Presentation of Financial Statements</w:t>
      </w:r>
      <w:r>
        <w:t>;</w:t>
      </w:r>
    </w:p>
    <w:p w:rsidR="00DB1A8B" w:rsidRDefault="00DB1A8B" w:rsidP="006D70DD">
      <w:pPr>
        <w:pStyle w:val="NumPlain2"/>
      </w:pPr>
      <w:r>
        <w:t xml:space="preserve">AASB 102 </w:t>
      </w:r>
      <w:r w:rsidRPr="00DB1A8B">
        <w:rPr>
          <w:i/>
        </w:rPr>
        <w:t>Inventories</w:t>
      </w:r>
      <w:r>
        <w:t>;</w:t>
      </w:r>
    </w:p>
    <w:p w:rsidR="00DB1A8B" w:rsidRDefault="00DB1A8B" w:rsidP="006D70DD">
      <w:pPr>
        <w:pStyle w:val="NumPlain2"/>
      </w:pPr>
      <w:r>
        <w:t xml:space="preserve">AASB </w:t>
      </w:r>
      <w:r w:rsidRPr="00535A2C">
        <w:t>108</w:t>
      </w:r>
      <w:r w:rsidRPr="00DB1A8B">
        <w:rPr>
          <w:i/>
        </w:rPr>
        <w:t xml:space="preserve"> Accounting Policies, Changes in Accounting Estimates and Errors</w:t>
      </w:r>
      <w:r>
        <w:t>;</w:t>
      </w:r>
    </w:p>
    <w:p w:rsidR="00DB1A8B" w:rsidRDefault="00DB1A8B" w:rsidP="006D70DD">
      <w:pPr>
        <w:pStyle w:val="NumPlain2"/>
      </w:pPr>
      <w:r>
        <w:t xml:space="preserve">AASB 112 </w:t>
      </w:r>
      <w:r w:rsidRPr="00DB1A8B">
        <w:rPr>
          <w:i/>
        </w:rPr>
        <w:t>Income Taxes</w:t>
      </w:r>
      <w:r>
        <w:t>;</w:t>
      </w:r>
    </w:p>
    <w:p w:rsidR="00DB1A8B" w:rsidRDefault="00DB1A8B" w:rsidP="006D70DD">
      <w:pPr>
        <w:pStyle w:val="NumPlain2"/>
      </w:pPr>
      <w:r>
        <w:t xml:space="preserve">AASB 118 </w:t>
      </w:r>
      <w:r w:rsidRPr="00DB1A8B">
        <w:rPr>
          <w:i/>
        </w:rPr>
        <w:t>Revenue</w:t>
      </w:r>
      <w:r>
        <w:t>;</w:t>
      </w:r>
    </w:p>
    <w:p w:rsidR="00870DC3" w:rsidRDefault="00870DC3" w:rsidP="006D70DD">
      <w:pPr>
        <w:pStyle w:val="NumPlain2"/>
      </w:pPr>
      <w:r>
        <w:t xml:space="preserve">AASB 119 </w:t>
      </w:r>
      <w:r w:rsidRPr="00870DC3">
        <w:rPr>
          <w:i/>
        </w:rPr>
        <w:t>Employee Benefits</w:t>
      </w:r>
      <w:r>
        <w:t>;</w:t>
      </w:r>
    </w:p>
    <w:p w:rsidR="00307058" w:rsidRDefault="00307058" w:rsidP="006D70DD">
      <w:pPr>
        <w:pStyle w:val="NumPlain2"/>
      </w:pPr>
      <w:r>
        <w:t xml:space="preserve">AASB 127 </w:t>
      </w:r>
      <w:r w:rsidRPr="00307058">
        <w:rPr>
          <w:i/>
        </w:rPr>
        <w:t>Separate Financial Statements</w:t>
      </w:r>
      <w:r>
        <w:t>;</w:t>
      </w:r>
    </w:p>
    <w:p w:rsidR="00307058" w:rsidRDefault="00307058" w:rsidP="00307058">
      <w:pPr>
        <w:pStyle w:val="NumPlain2"/>
      </w:pPr>
      <w:r>
        <w:t xml:space="preserve">AASB 128 </w:t>
      </w:r>
      <w:r>
        <w:rPr>
          <w:i/>
        </w:rPr>
        <w:t>Investments in Associates and Joint Ventures</w:t>
      </w:r>
      <w:r>
        <w:t>;</w:t>
      </w:r>
    </w:p>
    <w:p w:rsidR="00DB1A8B" w:rsidRDefault="00DB1A8B" w:rsidP="006D70DD">
      <w:pPr>
        <w:pStyle w:val="NumPlain2"/>
      </w:pPr>
      <w:r>
        <w:t xml:space="preserve">AASB 132 </w:t>
      </w:r>
      <w:r w:rsidRPr="00DB1A8B">
        <w:rPr>
          <w:i/>
        </w:rPr>
        <w:t>Financial Instruments: Presentation</w:t>
      </w:r>
      <w:r>
        <w:t>;</w:t>
      </w:r>
    </w:p>
    <w:p w:rsidR="00DB1A8B" w:rsidRDefault="00DB1A8B" w:rsidP="006D70DD">
      <w:pPr>
        <w:pStyle w:val="NumPlain2"/>
      </w:pPr>
      <w:r>
        <w:t xml:space="preserve">AASB 133 </w:t>
      </w:r>
      <w:r w:rsidRPr="00DB1A8B">
        <w:rPr>
          <w:i/>
        </w:rPr>
        <w:t>Earnings per Share</w:t>
      </w:r>
      <w:r>
        <w:t>;</w:t>
      </w:r>
    </w:p>
    <w:p w:rsidR="00535A2C" w:rsidRDefault="00535A2C" w:rsidP="00535A2C">
      <w:pPr>
        <w:pStyle w:val="NumPlain2"/>
      </w:pPr>
      <w:r>
        <w:t xml:space="preserve">AASB 134 </w:t>
      </w:r>
      <w:r>
        <w:rPr>
          <w:i/>
        </w:rPr>
        <w:t>Interim Financial Reporting</w:t>
      </w:r>
      <w:r>
        <w:t>;</w:t>
      </w:r>
    </w:p>
    <w:p w:rsidR="00DB1A8B" w:rsidRDefault="00DB1A8B" w:rsidP="006D70DD">
      <w:pPr>
        <w:pStyle w:val="NumPlain2"/>
      </w:pPr>
      <w:r>
        <w:t xml:space="preserve">AASB 137 </w:t>
      </w:r>
      <w:r w:rsidRPr="00DB1A8B">
        <w:rPr>
          <w:i/>
        </w:rPr>
        <w:t>Provisions, Contingent Liabilities and Contingent Assets</w:t>
      </w:r>
      <w:r>
        <w:t>;</w:t>
      </w:r>
    </w:p>
    <w:p w:rsidR="00DB1A8B" w:rsidRDefault="00DB1A8B" w:rsidP="006D70DD">
      <w:pPr>
        <w:pStyle w:val="NumPlain2"/>
      </w:pPr>
      <w:r>
        <w:t xml:space="preserve">AASB 1023 </w:t>
      </w:r>
      <w:r w:rsidRPr="00DB1A8B">
        <w:rPr>
          <w:i/>
        </w:rPr>
        <w:t>General Insurance Contracts</w:t>
      </w:r>
      <w:r>
        <w:t>;</w:t>
      </w:r>
    </w:p>
    <w:p w:rsidR="00DB1A8B" w:rsidRDefault="00DB1A8B" w:rsidP="006D70DD">
      <w:pPr>
        <w:pStyle w:val="NumPlain2"/>
      </w:pPr>
      <w:r>
        <w:t xml:space="preserve">AASB 1038 </w:t>
      </w:r>
      <w:r w:rsidRPr="00DB1A8B">
        <w:rPr>
          <w:i/>
        </w:rPr>
        <w:t>Life Insurance Contracts</w:t>
      </w:r>
      <w:r>
        <w:t>;</w:t>
      </w:r>
    </w:p>
    <w:p w:rsidR="00DB1A8B" w:rsidRDefault="00DB1A8B" w:rsidP="006D70DD">
      <w:pPr>
        <w:pStyle w:val="NumPlain2"/>
      </w:pPr>
      <w:r>
        <w:t xml:space="preserve">AASB 1039 </w:t>
      </w:r>
      <w:r w:rsidRPr="00DB1A8B">
        <w:rPr>
          <w:i/>
        </w:rPr>
        <w:t>Concise Financial Reports</w:t>
      </w:r>
      <w:r>
        <w:t>;</w:t>
      </w:r>
    </w:p>
    <w:p w:rsidR="00DB1A8B" w:rsidRDefault="00DB1A8B" w:rsidP="006D70DD">
      <w:pPr>
        <w:pStyle w:val="NumPlain2"/>
      </w:pPr>
      <w:r>
        <w:t xml:space="preserve">AASB 1049 </w:t>
      </w:r>
      <w:r w:rsidRPr="00DB1A8B">
        <w:rPr>
          <w:i/>
        </w:rPr>
        <w:t>Whole of Government and General Government Sector Financial Reporting</w:t>
      </w:r>
      <w:r>
        <w:t>;</w:t>
      </w:r>
    </w:p>
    <w:p w:rsidR="003B01F4" w:rsidRDefault="003B01F4" w:rsidP="003B01F4">
      <w:pPr>
        <w:pStyle w:val="NumPlain2"/>
      </w:pPr>
      <w:r>
        <w:t xml:space="preserve">AASB 2011-7 </w:t>
      </w:r>
      <w:r w:rsidRPr="00A60A1D">
        <w:rPr>
          <w:i/>
        </w:rPr>
        <w:t>Amendments to Australian Accounting Standards arising from</w:t>
      </w:r>
      <w:r w:rsidRPr="00A60A1D">
        <w:t xml:space="preserve"> </w:t>
      </w:r>
      <w:r w:rsidRPr="00A60A1D">
        <w:rPr>
          <w:i/>
        </w:rPr>
        <w:t>the Consolidation and Joint Arrangements Standards</w:t>
      </w:r>
      <w:r>
        <w:t>; and</w:t>
      </w:r>
    </w:p>
    <w:p w:rsidR="00DB1A8B" w:rsidRPr="002A3FEC" w:rsidRDefault="00DB1A8B" w:rsidP="006D70DD">
      <w:pPr>
        <w:pStyle w:val="NumPlain2"/>
      </w:pPr>
      <w:r>
        <w:t xml:space="preserve">Interpretation 12 </w:t>
      </w:r>
      <w:r w:rsidRPr="00DB1A8B">
        <w:rPr>
          <w:i/>
        </w:rPr>
        <w:t>Service Concession Arrangements</w:t>
      </w:r>
      <w:r w:rsidR="00870DC3">
        <w:t>;</w:t>
      </w:r>
    </w:p>
    <w:p w:rsidR="001662B8" w:rsidRPr="006E0F4C" w:rsidRDefault="001662B8" w:rsidP="008B2712">
      <w:pPr>
        <w:pStyle w:val="NoNumPlain2"/>
      </w:pPr>
      <w:r>
        <w:lastRenderedPageBreak/>
        <w:t>a</w:t>
      </w:r>
      <w:bookmarkStart w:id="13" w:name="StndObj"/>
      <w:bookmarkEnd w:id="13"/>
      <w:r>
        <w:t xml:space="preserve">s a consequence of the issuance of </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r w:rsidR="006E0F4C">
        <w:t xml:space="preserve">the </w:t>
      </w:r>
      <w:r w:rsidR="003B01F4">
        <w:t>International Financial Reporting</w:t>
      </w:r>
      <w:r w:rsidR="006E0F4C">
        <w:t xml:space="preserve"> Standard </w:t>
      </w:r>
      <w:r w:rsidR="006E0F4C" w:rsidRPr="006E0F4C">
        <w:rPr>
          <w:bCs/>
          <w:i/>
          <w:iCs/>
          <w:lang w:val="en-US"/>
        </w:rPr>
        <w:t>Consolidated Financial Statements, Joint Arrangements and Disclosure of Interests in Other Entities: Transition Guidance</w:t>
      </w:r>
      <w:r w:rsidR="006E0F4C" w:rsidRPr="006E0F4C">
        <w:rPr>
          <w:bCs/>
          <w:lang w:val="en-US"/>
        </w:rPr>
        <w:t xml:space="preserve"> (Amendments to IFRS 10, IFRS 11 and IFRS 12)</w:t>
      </w:r>
      <w:r w:rsidR="006E0F4C">
        <w:rPr>
          <w:bCs/>
          <w:lang w:val="en-US"/>
        </w:rPr>
        <w:t xml:space="preserve"> </w:t>
      </w:r>
      <w:r w:rsidR="003B01F4">
        <w:rPr>
          <w:bCs/>
          <w:lang w:val="en-US"/>
        </w:rPr>
        <w:t xml:space="preserve">by the International Accounting Standards Board </w:t>
      </w:r>
      <w:r w:rsidR="006E0F4C">
        <w:rPr>
          <w:bCs/>
          <w:lang w:val="en-US"/>
        </w:rPr>
        <w:t xml:space="preserve">in June 2012, </w:t>
      </w:r>
      <w:r w:rsidR="00EE7312">
        <w:rPr>
          <w:bCs/>
          <w:lang w:val="en-US"/>
        </w:rPr>
        <w:t>deferral of the application of AASB 10, AASB 11, AASB 12, AAS</w:t>
      </w:r>
      <w:r w:rsidR="00302806">
        <w:rPr>
          <w:bCs/>
          <w:lang w:val="en-US"/>
        </w:rPr>
        <w:t>B 127</w:t>
      </w:r>
      <w:r w:rsidR="008B2712">
        <w:rPr>
          <w:bCs/>
          <w:lang w:val="en-US"/>
        </w:rPr>
        <w:t>,</w:t>
      </w:r>
      <w:r w:rsidR="00302806">
        <w:rPr>
          <w:bCs/>
          <w:lang w:val="en-US"/>
        </w:rPr>
        <w:t xml:space="preserve"> AASB 128 </w:t>
      </w:r>
      <w:r w:rsidR="008B2712">
        <w:rPr>
          <w:bCs/>
          <w:lang w:val="en-US"/>
        </w:rPr>
        <w:t xml:space="preserve">and AASB 2011-7 </w:t>
      </w:r>
      <w:r w:rsidR="00302806">
        <w:rPr>
          <w:bCs/>
          <w:lang w:val="en-US"/>
        </w:rPr>
        <w:t>to not-for-profit entities,</w:t>
      </w:r>
      <w:r w:rsidR="00EE7312">
        <w:rPr>
          <w:bCs/>
          <w:lang w:val="en-US"/>
        </w:rPr>
        <w:t xml:space="preserve"> </w:t>
      </w:r>
      <w:r w:rsidR="006E0F4C">
        <w:rPr>
          <w:bCs/>
          <w:lang w:val="en-US"/>
        </w:rPr>
        <w:t>and editorial corrections.</w:t>
      </w:r>
    </w:p>
    <w:p w:rsidR="00090A6F" w:rsidRPr="0000292B" w:rsidRDefault="00090A6F">
      <w:pPr>
        <w:pStyle w:val="Heading2"/>
      </w:pPr>
      <w:r w:rsidRPr="0000292B">
        <w:t>Application</w:t>
      </w:r>
    </w:p>
    <w:p w:rsidR="00511C34" w:rsidRPr="00EE5B1E" w:rsidRDefault="00511C34" w:rsidP="0017339E">
      <w:pPr>
        <w:pStyle w:val="NumBold1"/>
      </w:pPr>
      <w:r w:rsidRPr="00EE5B1E">
        <w:t xml:space="preserve">Subject to paragraphs </w:t>
      </w:r>
      <w:r w:rsidR="003B01F4">
        <w:t>3–</w:t>
      </w:r>
      <w:r w:rsidR="00EE5B1E">
        <w:t>9</w:t>
      </w:r>
      <w:r w:rsidRPr="00EE5B1E">
        <w:t>, this Standard applies to:</w:t>
      </w:r>
    </w:p>
    <w:p w:rsidR="00511C34" w:rsidRPr="006E0F4C" w:rsidRDefault="00511C34" w:rsidP="00C86F06">
      <w:pPr>
        <w:pStyle w:val="NumPlain2"/>
        <w:rPr>
          <w:b/>
        </w:rPr>
      </w:pPr>
      <w:r w:rsidRPr="00EE5B1E">
        <w:rPr>
          <w:b/>
        </w:rPr>
        <w:t>each entity that is required to prepare financial reports in accordance with Part 2M.3 of the Corporations Act and that is a reporting</w:t>
      </w:r>
      <w:r w:rsidRPr="006E0F4C">
        <w:rPr>
          <w:b/>
        </w:rPr>
        <w:t xml:space="preserve"> entity;</w:t>
      </w:r>
    </w:p>
    <w:p w:rsidR="00511C34" w:rsidRPr="006E0F4C" w:rsidRDefault="00511C34" w:rsidP="00C86F06">
      <w:pPr>
        <w:pStyle w:val="NumPlain2"/>
        <w:rPr>
          <w:b/>
        </w:rPr>
      </w:pPr>
      <w:r w:rsidRPr="006E0F4C">
        <w:rPr>
          <w:b/>
        </w:rPr>
        <w:t>general purpose financial statements of each other reporting entity; and</w:t>
      </w:r>
    </w:p>
    <w:p w:rsidR="00511C34" w:rsidRPr="006E0F4C" w:rsidRDefault="00511C34" w:rsidP="00C86F06">
      <w:pPr>
        <w:pStyle w:val="NumPlain2"/>
        <w:rPr>
          <w:b/>
        </w:rPr>
      </w:pPr>
      <w:r w:rsidRPr="006E0F4C">
        <w:rPr>
          <w:b/>
        </w:rPr>
        <w:t>financial statements that are, or are held out to be, general purpose financial statements.</w:t>
      </w:r>
    </w:p>
    <w:p w:rsidR="0089582D" w:rsidRDefault="0089582D" w:rsidP="0089582D">
      <w:pPr>
        <w:pStyle w:val="NumBold1"/>
      </w:pPr>
      <w:r w:rsidRPr="006E0F4C">
        <w:t xml:space="preserve">In respect of AASB </w:t>
      </w:r>
      <w:r>
        <w:t>8</w:t>
      </w:r>
      <w:r w:rsidRPr="006E0F4C">
        <w:t>, this Standard applies to:</w:t>
      </w:r>
    </w:p>
    <w:p w:rsidR="0089582D" w:rsidRDefault="0089582D" w:rsidP="0089582D">
      <w:pPr>
        <w:pStyle w:val="NumBold2"/>
      </w:pPr>
      <w:r w:rsidRPr="00E01239">
        <w:t>each for-profit entity that is required to prepare financial reports in accordance with Part 2M.3 of the Corporations Act and that is a reporting entity;</w:t>
      </w:r>
    </w:p>
    <w:p w:rsidR="0089582D" w:rsidRDefault="0089582D" w:rsidP="0089582D">
      <w:pPr>
        <w:pStyle w:val="NumBold2"/>
      </w:pPr>
      <w:r w:rsidRPr="00E01239">
        <w:t>general purpose financial statements of each other for-profit reporting entity other than for-profit government departments; and</w:t>
      </w:r>
    </w:p>
    <w:p w:rsidR="0089582D" w:rsidRDefault="0089582D" w:rsidP="0089582D">
      <w:pPr>
        <w:pStyle w:val="NumBold2"/>
      </w:pPr>
      <w:r w:rsidRPr="00E15857">
        <w:t>financial statements of a for-profit entity other than for-profit government departments that are, or are held out to be, general purpose financial statements</w:t>
      </w:r>
      <w:r>
        <w:t>.</w:t>
      </w:r>
    </w:p>
    <w:p w:rsidR="0089582D" w:rsidRDefault="0089582D" w:rsidP="0089582D">
      <w:pPr>
        <w:pStyle w:val="NumBold1"/>
      </w:pPr>
      <w:r w:rsidRPr="006E0F4C">
        <w:t xml:space="preserve">In respect of AASB </w:t>
      </w:r>
      <w:r>
        <w:t>101 and AASB 108</w:t>
      </w:r>
      <w:r w:rsidRPr="006E0F4C">
        <w:t>, this Standard applies to:</w:t>
      </w:r>
    </w:p>
    <w:p w:rsidR="0089582D" w:rsidRPr="008C7BC9" w:rsidRDefault="0089582D" w:rsidP="0089582D">
      <w:pPr>
        <w:pStyle w:val="NumBold2"/>
      </w:pPr>
      <w:r w:rsidRPr="00792F41">
        <w:rPr>
          <w:bCs/>
        </w:rPr>
        <w:t xml:space="preserve">each </w:t>
      </w:r>
      <w:r w:rsidRPr="003463C9">
        <w:rPr>
          <w:bCs/>
          <w:iCs/>
        </w:rPr>
        <w:t>entity</w:t>
      </w:r>
      <w:r w:rsidRPr="00792F41">
        <w:rPr>
          <w:bCs/>
          <w:i/>
          <w:iCs/>
        </w:rPr>
        <w:t xml:space="preserve"> </w:t>
      </w:r>
      <w:r w:rsidRPr="00792F41">
        <w:rPr>
          <w:bCs/>
        </w:rPr>
        <w:t>that is required to prepare financial reports in accordance with Part 2M.3 of the Corporations Act;</w:t>
      </w:r>
    </w:p>
    <w:p w:rsidR="0089582D" w:rsidRPr="008C7BC9" w:rsidRDefault="0089582D" w:rsidP="0089582D">
      <w:pPr>
        <w:pStyle w:val="NumBold2"/>
      </w:pPr>
      <w:r w:rsidRPr="00792F41">
        <w:rPr>
          <w:bCs/>
        </w:rPr>
        <w:t>general purpose financial statements of each reporting entity; and</w:t>
      </w:r>
    </w:p>
    <w:p w:rsidR="0089582D" w:rsidRPr="00C103E0" w:rsidRDefault="0089582D" w:rsidP="0089582D">
      <w:pPr>
        <w:pStyle w:val="NumBold2"/>
      </w:pPr>
      <w:r w:rsidRPr="00792F41">
        <w:rPr>
          <w:bCs/>
        </w:rPr>
        <w:t>financial statements that are, or are held out to be, general purpose financial statements.</w:t>
      </w:r>
    </w:p>
    <w:p w:rsidR="0089582D" w:rsidRDefault="0089582D" w:rsidP="0089582D">
      <w:pPr>
        <w:pStyle w:val="NumBold1"/>
      </w:pPr>
      <w:r>
        <w:t>In respect of AASB 133, this Standard applies to</w:t>
      </w:r>
      <w:r w:rsidR="004503D8">
        <w:t xml:space="preserve"> </w:t>
      </w:r>
      <w:r w:rsidR="004503D8" w:rsidRPr="004503D8">
        <w:rPr>
          <w:bCs/>
        </w:rPr>
        <w:t>each entity that is required to prepare financial reports in accordance with Part</w:t>
      </w:r>
      <w:r w:rsidR="002973E9">
        <w:rPr>
          <w:bCs/>
        </w:rPr>
        <w:t xml:space="preserve"> </w:t>
      </w:r>
      <w:r w:rsidR="004503D8" w:rsidRPr="004503D8">
        <w:rPr>
          <w:bCs/>
        </w:rPr>
        <w:t>2M.3 of the Corporations Act and that is:</w:t>
      </w:r>
    </w:p>
    <w:p w:rsidR="0089582D" w:rsidRPr="00C103E0" w:rsidRDefault="0089582D" w:rsidP="0089582D">
      <w:pPr>
        <w:pStyle w:val="NumBold2"/>
      </w:pPr>
      <w:r w:rsidRPr="00FB6E5B">
        <w:rPr>
          <w:bCs/>
        </w:rPr>
        <w:t xml:space="preserve">a reporting entity whose </w:t>
      </w:r>
      <w:r w:rsidRPr="0041301F">
        <w:rPr>
          <w:bCs/>
          <w:iCs/>
        </w:rPr>
        <w:t>ordinary shares</w:t>
      </w:r>
      <w:r w:rsidRPr="00FB6E5B">
        <w:rPr>
          <w:bCs/>
          <w:i/>
          <w:iCs/>
        </w:rPr>
        <w:t xml:space="preserve"> </w:t>
      </w:r>
      <w:r w:rsidRPr="00FB6E5B">
        <w:rPr>
          <w:bCs/>
        </w:rPr>
        <w:t xml:space="preserve">or </w:t>
      </w:r>
      <w:r w:rsidRPr="0041301F">
        <w:rPr>
          <w:bCs/>
          <w:iCs/>
        </w:rPr>
        <w:t>potential</w:t>
      </w:r>
      <w:r w:rsidRPr="0041301F">
        <w:rPr>
          <w:b w:val="0"/>
          <w:bCs/>
          <w:iCs/>
        </w:rPr>
        <w:t xml:space="preserve"> </w:t>
      </w:r>
      <w:r w:rsidRPr="0041301F">
        <w:rPr>
          <w:bCs/>
          <w:iCs/>
        </w:rPr>
        <w:t>ordinary shares</w:t>
      </w:r>
      <w:r w:rsidRPr="00FB6E5B">
        <w:rPr>
          <w:bCs/>
          <w:i/>
          <w:iCs/>
        </w:rPr>
        <w:t xml:space="preserve"> </w:t>
      </w:r>
      <w:r w:rsidRPr="00FB6E5B">
        <w:rPr>
          <w:bCs/>
        </w:rPr>
        <w:t>are publicly traded; or</w:t>
      </w:r>
    </w:p>
    <w:p w:rsidR="0089582D" w:rsidRPr="00C103E0" w:rsidRDefault="0089582D" w:rsidP="0089582D">
      <w:pPr>
        <w:pStyle w:val="NumBold2"/>
      </w:pPr>
      <w:r w:rsidRPr="00FB6E5B">
        <w:rPr>
          <w:bCs/>
        </w:rPr>
        <w:t>a reporting entity that is in the process of issuing ordinary shares or potential ordinary shares in public markets; or</w:t>
      </w:r>
    </w:p>
    <w:p w:rsidR="0089582D" w:rsidRPr="00A4102D" w:rsidRDefault="0089582D" w:rsidP="0089582D">
      <w:pPr>
        <w:pStyle w:val="NumBold2"/>
      </w:pPr>
      <w:r w:rsidRPr="00FB6E5B">
        <w:rPr>
          <w:bCs/>
        </w:rPr>
        <w:t>an entity that discloses earnings per share.</w:t>
      </w:r>
    </w:p>
    <w:p w:rsidR="0089582D" w:rsidRDefault="0089582D" w:rsidP="0089582D">
      <w:pPr>
        <w:pStyle w:val="NumBold1"/>
      </w:pPr>
      <w:r>
        <w:t>In respect of AASB 134, this Standard applies to:</w:t>
      </w:r>
    </w:p>
    <w:p w:rsidR="0089582D" w:rsidRPr="00A4102D" w:rsidRDefault="0089582D" w:rsidP="0089582D">
      <w:pPr>
        <w:pStyle w:val="NumBold2"/>
      </w:pPr>
      <w:r w:rsidRPr="00FB6E5B">
        <w:rPr>
          <w:bCs/>
        </w:rPr>
        <w:t>each disclosing entity required to prepare half-year financial reports in accordance with Part 2M.3 of the</w:t>
      </w:r>
      <w:r>
        <w:rPr>
          <w:b w:val="0"/>
          <w:bCs/>
        </w:rPr>
        <w:t xml:space="preserve"> </w:t>
      </w:r>
      <w:r w:rsidRPr="00FB6E5B">
        <w:rPr>
          <w:bCs/>
        </w:rPr>
        <w:t>Corporations Act;</w:t>
      </w:r>
    </w:p>
    <w:p w:rsidR="0089582D" w:rsidRPr="00A4102D" w:rsidRDefault="0089582D" w:rsidP="0089582D">
      <w:pPr>
        <w:pStyle w:val="NumBold2"/>
      </w:pPr>
      <w:r w:rsidRPr="0041301F">
        <w:rPr>
          <w:bCs/>
          <w:iCs/>
        </w:rPr>
        <w:t>interim financial reports</w:t>
      </w:r>
      <w:r w:rsidRPr="00FB6E5B">
        <w:rPr>
          <w:bCs/>
          <w:i/>
          <w:iCs/>
        </w:rPr>
        <w:t xml:space="preserve"> </w:t>
      </w:r>
      <w:r w:rsidRPr="00FB6E5B">
        <w:rPr>
          <w:bCs/>
        </w:rPr>
        <w:t>that are general purpose financial statements of each other reporting entity; and</w:t>
      </w:r>
    </w:p>
    <w:p w:rsidR="0089582D" w:rsidRPr="00A4102D" w:rsidRDefault="0089582D" w:rsidP="0089582D">
      <w:pPr>
        <w:pStyle w:val="NumBold2"/>
      </w:pPr>
      <w:r w:rsidRPr="00FB6E5B">
        <w:rPr>
          <w:bCs/>
        </w:rPr>
        <w:t>interim financial reports that are, or are held out to be, general purpose financial statements.</w:t>
      </w:r>
    </w:p>
    <w:p w:rsidR="0089582D" w:rsidRDefault="0089582D" w:rsidP="0089582D">
      <w:pPr>
        <w:pStyle w:val="NumBold1"/>
      </w:pPr>
      <w:r>
        <w:t>In respect of AASB 1038, this Standard applies to</w:t>
      </w:r>
      <w:r w:rsidR="004503D8">
        <w:t xml:space="preserve"> each entity that is</w:t>
      </w:r>
      <w:r>
        <w:t>:</w:t>
      </w:r>
    </w:p>
    <w:p w:rsidR="0089582D" w:rsidRPr="00A4102D" w:rsidRDefault="0089582D" w:rsidP="0089582D">
      <w:pPr>
        <w:pStyle w:val="NumBold2"/>
      </w:pPr>
      <w:r w:rsidRPr="00A4102D">
        <w:rPr>
          <w:bCs/>
          <w:lang w:eastAsia="en-AU"/>
        </w:rPr>
        <w:t>a</w:t>
      </w:r>
      <w:r w:rsidRPr="00A4102D">
        <w:rPr>
          <w:bCs/>
          <w:spacing w:val="1"/>
          <w:lang w:eastAsia="en-AU"/>
        </w:rPr>
        <w:t xml:space="preserve"> </w:t>
      </w:r>
      <w:r w:rsidRPr="002332E2">
        <w:rPr>
          <w:bCs/>
          <w:iCs/>
          <w:lang w:eastAsia="en-AU"/>
        </w:rPr>
        <w:t>li</w:t>
      </w:r>
      <w:r w:rsidRPr="002332E2">
        <w:rPr>
          <w:bCs/>
          <w:iCs/>
          <w:spacing w:val="1"/>
          <w:lang w:eastAsia="en-AU"/>
        </w:rPr>
        <w:t>f</w:t>
      </w:r>
      <w:r w:rsidRPr="002332E2">
        <w:rPr>
          <w:bCs/>
          <w:iCs/>
          <w:lang w:eastAsia="en-AU"/>
        </w:rPr>
        <w:t>e</w:t>
      </w:r>
      <w:r w:rsidRPr="002332E2">
        <w:rPr>
          <w:bCs/>
          <w:iCs/>
          <w:spacing w:val="-2"/>
          <w:lang w:eastAsia="en-AU"/>
        </w:rPr>
        <w:t xml:space="preserve"> </w:t>
      </w:r>
      <w:r w:rsidRPr="002332E2">
        <w:rPr>
          <w:bCs/>
          <w:iCs/>
          <w:lang w:eastAsia="en-AU"/>
        </w:rPr>
        <w:t>in</w:t>
      </w:r>
      <w:r w:rsidRPr="002332E2">
        <w:rPr>
          <w:bCs/>
          <w:iCs/>
          <w:spacing w:val="-1"/>
          <w:lang w:eastAsia="en-AU"/>
        </w:rPr>
        <w:t>s</w:t>
      </w:r>
      <w:r w:rsidRPr="002332E2">
        <w:rPr>
          <w:bCs/>
          <w:iCs/>
          <w:lang w:eastAsia="en-AU"/>
        </w:rPr>
        <w:t>u</w:t>
      </w:r>
      <w:r w:rsidRPr="002332E2">
        <w:rPr>
          <w:bCs/>
          <w:iCs/>
          <w:spacing w:val="-1"/>
          <w:lang w:eastAsia="en-AU"/>
        </w:rPr>
        <w:t>r</w:t>
      </w:r>
      <w:r w:rsidRPr="002332E2">
        <w:rPr>
          <w:bCs/>
          <w:iCs/>
          <w:spacing w:val="3"/>
          <w:lang w:eastAsia="en-AU"/>
        </w:rPr>
        <w:t>e</w:t>
      </w:r>
      <w:r w:rsidRPr="002332E2">
        <w:rPr>
          <w:bCs/>
          <w:iCs/>
          <w:spacing w:val="-1"/>
          <w:lang w:eastAsia="en-AU"/>
        </w:rPr>
        <w:t>r</w:t>
      </w:r>
      <w:r w:rsidRPr="00A4102D">
        <w:rPr>
          <w:bCs/>
          <w:lang w:eastAsia="en-AU"/>
        </w:rPr>
        <w:t>;</w:t>
      </w:r>
      <w:r w:rsidRPr="00A4102D">
        <w:rPr>
          <w:bCs/>
          <w:spacing w:val="-6"/>
          <w:lang w:eastAsia="en-AU"/>
        </w:rPr>
        <w:t xml:space="preserve"> </w:t>
      </w:r>
      <w:r w:rsidRPr="00A4102D">
        <w:rPr>
          <w:bCs/>
          <w:spacing w:val="1"/>
          <w:lang w:eastAsia="en-AU"/>
        </w:rPr>
        <w:t>o</w:t>
      </w:r>
      <w:r w:rsidRPr="00A4102D">
        <w:rPr>
          <w:bCs/>
          <w:lang w:eastAsia="en-AU"/>
        </w:rPr>
        <w:t>r</w:t>
      </w:r>
    </w:p>
    <w:p w:rsidR="0089582D" w:rsidRPr="00A4102D" w:rsidRDefault="0089582D" w:rsidP="0089582D">
      <w:pPr>
        <w:pStyle w:val="NumBold2"/>
      </w:pPr>
      <w:r w:rsidRPr="00A4102D">
        <w:rPr>
          <w:bCs/>
          <w:spacing w:val="1"/>
          <w:lang w:eastAsia="en-AU"/>
        </w:rPr>
        <w:t>t</w:t>
      </w:r>
      <w:r w:rsidRPr="00A4102D">
        <w:rPr>
          <w:bCs/>
          <w:lang w:eastAsia="en-AU"/>
        </w:rPr>
        <w:t>he</w:t>
      </w:r>
      <w:r w:rsidRPr="00A4102D">
        <w:rPr>
          <w:bCs/>
          <w:spacing w:val="-2"/>
          <w:lang w:eastAsia="en-AU"/>
        </w:rPr>
        <w:t xml:space="preserve"> </w:t>
      </w:r>
      <w:r w:rsidRPr="00A4102D">
        <w:rPr>
          <w:bCs/>
          <w:lang w:eastAsia="en-AU"/>
        </w:rPr>
        <w:t>p</w:t>
      </w:r>
      <w:r w:rsidRPr="00A4102D">
        <w:rPr>
          <w:bCs/>
          <w:spacing w:val="1"/>
          <w:lang w:eastAsia="en-AU"/>
        </w:rPr>
        <w:t>a</w:t>
      </w:r>
      <w:r w:rsidRPr="00A4102D">
        <w:rPr>
          <w:bCs/>
          <w:lang w:eastAsia="en-AU"/>
        </w:rPr>
        <w:t>rent</w:t>
      </w:r>
      <w:r w:rsidRPr="00A4102D">
        <w:rPr>
          <w:bCs/>
          <w:spacing w:val="-5"/>
          <w:lang w:eastAsia="en-AU"/>
        </w:rPr>
        <w:t xml:space="preserve"> </w:t>
      </w:r>
      <w:r w:rsidRPr="00A4102D">
        <w:rPr>
          <w:bCs/>
          <w:lang w:eastAsia="en-AU"/>
        </w:rPr>
        <w:t>in</w:t>
      </w:r>
      <w:r w:rsidRPr="00A4102D">
        <w:rPr>
          <w:bCs/>
          <w:spacing w:val="-2"/>
          <w:lang w:eastAsia="en-AU"/>
        </w:rPr>
        <w:t xml:space="preserve"> </w:t>
      </w:r>
      <w:r w:rsidRPr="00A4102D">
        <w:rPr>
          <w:bCs/>
          <w:lang w:eastAsia="en-AU"/>
        </w:rPr>
        <w:t>a</w:t>
      </w:r>
      <w:r w:rsidRPr="00A4102D">
        <w:rPr>
          <w:bCs/>
          <w:spacing w:val="1"/>
          <w:lang w:eastAsia="en-AU"/>
        </w:rPr>
        <w:t xml:space="preserve"> g</w:t>
      </w:r>
      <w:r w:rsidRPr="00A4102D">
        <w:rPr>
          <w:bCs/>
          <w:lang w:eastAsia="en-AU"/>
        </w:rPr>
        <w:t>r</w:t>
      </w:r>
      <w:r w:rsidRPr="00A4102D">
        <w:rPr>
          <w:bCs/>
          <w:spacing w:val="1"/>
          <w:lang w:eastAsia="en-AU"/>
        </w:rPr>
        <w:t>o</w:t>
      </w:r>
      <w:r w:rsidRPr="00A4102D">
        <w:rPr>
          <w:bCs/>
          <w:lang w:eastAsia="en-AU"/>
        </w:rPr>
        <w:t>up</w:t>
      </w:r>
      <w:r w:rsidRPr="00A4102D">
        <w:rPr>
          <w:bCs/>
          <w:spacing w:val="-5"/>
          <w:lang w:eastAsia="en-AU"/>
        </w:rPr>
        <w:t xml:space="preserve"> </w:t>
      </w:r>
      <w:r w:rsidRPr="00A4102D">
        <w:rPr>
          <w:bCs/>
          <w:spacing w:val="1"/>
          <w:lang w:eastAsia="en-AU"/>
        </w:rPr>
        <w:t>t</w:t>
      </w:r>
      <w:r w:rsidRPr="00A4102D">
        <w:rPr>
          <w:bCs/>
          <w:lang w:eastAsia="en-AU"/>
        </w:rPr>
        <w:t>h</w:t>
      </w:r>
      <w:r w:rsidRPr="00A4102D">
        <w:rPr>
          <w:bCs/>
          <w:spacing w:val="1"/>
          <w:lang w:eastAsia="en-AU"/>
        </w:rPr>
        <w:t>a</w:t>
      </w:r>
      <w:r w:rsidRPr="00A4102D">
        <w:rPr>
          <w:bCs/>
          <w:lang w:eastAsia="en-AU"/>
        </w:rPr>
        <w:t>t</w:t>
      </w:r>
      <w:r w:rsidRPr="00A4102D">
        <w:rPr>
          <w:bCs/>
          <w:spacing w:val="-2"/>
          <w:lang w:eastAsia="en-AU"/>
        </w:rPr>
        <w:t xml:space="preserve"> </w:t>
      </w:r>
      <w:r w:rsidRPr="00A4102D">
        <w:rPr>
          <w:bCs/>
          <w:lang w:eastAsia="en-AU"/>
        </w:rPr>
        <w:t>i</w:t>
      </w:r>
      <w:r w:rsidRPr="00A4102D">
        <w:rPr>
          <w:bCs/>
          <w:spacing w:val="-3"/>
          <w:lang w:eastAsia="en-AU"/>
        </w:rPr>
        <w:t>n</w:t>
      </w:r>
      <w:r w:rsidRPr="00A4102D">
        <w:rPr>
          <w:bCs/>
          <w:lang w:eastAsia="en-AU"/>
        </w:rPr>
        <w:t>cludes</w:t>
      </w:r>
      <w:r w:rsidRPr="00A4102D">
        <w:rPr>
          <w:bCs/>
          <w:spacing w:val="-7"/>
          <w:lang w:eastAsia="en-AU"/>
        </w:rPr>
        <w:t xml:space="preserve"> </w:t>
      </w:r>
      <w:r w:rsidRPr="00A4102D">
        <w:rPr>
          <w:bCs/>
          <w:lang w:eastAsia="en-AU"/>
        </w:rPr>
        <w:t>a</w:t>
      </w:r>
      <w:r w:rsidRPr="00A4102D">
        <w:rPr>
          <w:bCs/>
          <w:spacing w:val="1"/>
          <w:lang w:eastAsia="en-AU"/>
        </w:rPr>
        <w:t xml:space="preserve"> </w:t>
      </w:r>
      <w:r w:rsidRPr="00A4102D">
        <w:rPr>
          <w:bCs/>
          <w:lang w:eastAsia="en-AU"/>
        </w:rPr>
        <w:t>li</w:t>
      </w:r>
      <w:r w:rsidRPr="00A4102D">
        <w:rPr>
          <w:bCs/>
          <w:spacing w:val="1"/>
          <w:lang w:eastAsia="en-AU"/>
        </w:rPr>
        <w:t>f</w:t>
      </w:r>
      <w:r w:rsidRPr="00A4102D">
        <w:rPr>
          <w:bCs/>
          <w:lang w:eastAsia="en-AU"/>
        </w:rPr>
        <w:t>e</w:t>
      </w:r>
      <w:r w:rsidRPr="00A4102D">
        <w:rPr>
          <w:bCs/>
          <w:spacing w:val="-2"/>
          <w:lang w:eastAsia="en-AU"/>
        </w:rPr>
        <w:t xml:space="preserve"> </w:t>
      </w:r>
      <w:r w:rsidRPr="00A4102D">
        <w:rPr>
          <w:bCs/>
          <w:lang w:eastAsia="en-AU"/>
        </w:rPr>
        <w:t>in</w:t>
      </w:r>
      <w:r w:rsidRPr="00A4102D">
        <w:rPr>
          <w:bCs/>
          <w:spacing w:val="2"/>
          <w:lang w:eastAsia="en-AU"/>
        </w:rPr>
        <w:t>s</w:t>
      </w:r>
      <w:r w:rsidRPr="00A4102D">
        <w:rPr>
          <w:bCs/>
          <w:lang w:eastAsia="en-AU"/>
        </w:rPr>
        <w:t>urer;</w:t>
      </w:r>
    </w:p>
    <w:p w:rsidR="0089582D" w:rsidRPr="00A4102D" w:rsidRDefault="0089582D" w:rsidP="0089582D">
      <w:pPr>
        <w:pStyle w:val="NumBold2"/>
        <w:numPr>
          <w:ilvl w:val="0"/>
          <w:numId w:val="0"/>
        </w:numPr>
        <w:ind w:left="510"/>
      </w:pPr>
      <w:r>
        <w:t>when the entity:</w:t>
      </w:r>
    </w:p>
    <w:p w:rsidR="0089582D" w:rsidRPr="00A4102D" w:rsidRDefault="0089582D" w:rsidP="0089582D">
      <w:pPr>
        <w:pStyle w:val="NumBold2"/>
      </w:pPr>
      <w:r w:rsidRPr="00A4102D">
        <w:rPr>
          <w:bCs/>
        </w:rPr>
        <w:t>is a reporting entity that is required to prepare financial reports in accordance with Part 2M.3 of the Corporations Act;</w:t>
      </w:r>
    </w:p>
    <w:p w:rsidR="0089582D" w:rsidRPr="00A4102D" w:rsidRDefault="0089582D" w:rsidP="0089582D">
      <w:pPr>
        <w:pStyle w:val="NumBold2"/>
      </w:pPr>
      <w:r w:rsidRPr="00A4102D">
        <w:rPr>
          <w:bCs/>
        </w:rPr>
        <w:t>is an other reporting entity and prepares general purpose financial statements; or</w:t>
      </w:r>
    </w:p>
    <w:p w:rsidR="0089582D" w:rsidRPr="00B74066" w:rsidRDefault="0089582D" w:rsidP="0089582D">
      <w:pPr>
        <w:pStyle w:val="NumBold2"/>
      </w:pPr>
      <w:r w:rsidRPr="00A4102D">
        <w:rPr>
          <w:bCs/>
        </w:rPr>
        <w:t>prepares financial statements that are, or are held out to be, general purpose financial statements.</w:t>
      </w:r>
    </w:p>
    <w:p w:rsidR="0089582D" w:rsidRPr="00692C7D" w:rsidRDefault="0089582D" w:rsidP="0089582D">
      <w:pPr>
        <w:pStyle w:val="NumBold1"/>
      </w:pPr>
      <w:r>
        <w:lastRenderedPageBreak/>
        <w:t>In respect of AASB 1039, this Standard applies to</w:t>
      </w:r>
      <w:r w:rsidRPr="00557F0C">
        <w:rPr>
          <w:bCs/>
        </w:rPr>
        <w:t xml:space="preserve"> a concise financial report prepared by an entity in accordance with</w:t>
      </w:r>
      <w:r>
        <w:rPr>
          <w:b w:val="0"/>
          <w:bCs/>
        </w:rPr>
        <w:t xml:space="preserve"> </w:t>
      </w:r>
      <w:r w:rsidRPr="00557F0C">
        <w:rPr>
          <w:bCs/>
        </w:rPr>
        <w:t>paragraph 314(2)(a) in Part 2M.3 of the Corporations Act.</w:t>
      </w:r>
    </w:p>
    <w:p w:rsidR="0089582D" w:rsidRPr="00A4102D" w:rsidRDefault="0089582D" w:rsidP="00EE5B1E">
      <w:pPr>
        <w:pStyle w:val="NumBold1"/>
      </w:pPr>
      <w:r w:rsidRPr="00692C7D">
        <w:t>In respect of AASB 1049, this Standard applies to each government’s whole of government general purpose financial statements and General Government Sector financial statements.</w:t>
      </w:r>
    </w:p>
    <w:p w:rsidR="00090A6F" w:rsidRPr="006E0F4C" w:rsidRDefault="00090A6F" w:rsidP="006E0F4C">
      <w:pPr>
        <w:pStyle w:val="NumBold1"/>
      </w:pPr>
      <w:r w:rsidRPr="006E0F4C">
        <w:t xml:space="preserve">This Standard applies to annual reporting periods </w:t>
      </w:r>
      <w:bookmarkStart w:id="14" w:name="ApplyText"/>
      <w:r w:rsidRPr="006E0F4C">
        <w:t>beginning</w:t>
      </w:r>
      <w:bookmarkEnd w:id="14"/>
      <w:r w:rsidRPr="006E0F4C">
        <w:t xml:space="preserve"> on or after </w:t>
      </w:r>
      <w:bookmarkStart w:id="15" w:name="ApplyDate"/>
      <w:r w:rsidR="006D70DD" w:rsidRPr="006E0F4C">
        <w:t>1 January 2013</w:t>
      </w:r>
      <w:bookmarkEnd w:id="15"/>
      <w:r w:rsidRPr="006E0F4C">
        <w:t>.</w:t>
      </w:r>
    </w:p>
    <w:p w:rsidR="00090A6F" w:rsidRPr="006E0F4C" w:rsidRDefault="00F2677A" w:rsidP="006E0F4C">
      <w:pPr>
        <w:pStyle w:val="NumBold1"/>
      </w:pPr>
      <w:bookmarkStart w:id="16" w:name="EarlyYesPara"/>
      <w:r w:rsidRPr="006E0F4C">
        <w:t xml:space="preserve">This Standard shall be applied when </w:t>
      </w:r>
      <w:r w:rsidRPr="006E0F4C">
        <w:fldChar w:fldCharType="begin" w:fldLock="1"/>
      </w:r>
      <w:r w:rsidRPr="006E0F4C">
        <w:instrText xml:space="preserve"> REF ArisingNo  \* charformat </w:instrText>
      </w:r>
      <w:r w:rsidR="006E0F4C">
        <w:instrText xml:space="preserve"> \* MERGEFORMAT </w:instrText>
      </w:r>
      <w:r w:rsidRPr="006E0F4C">
        <w:fldChar w:fldCharType="end"/>
      </w:r>
      <w:r w:rsidR="0012194C">
        <w:t xml:space="preserve">AASB 10, AASB 11, </w:t>
      </w:r>
      <w:r w:rsidR="00191449">
        <w:t>AASB </w:t>
      </w:r>
      <w:r w:rsidR="0012194C">
        <w:t>12, AASB 127 and AASB 128 are</w:t>
      </w:r>
      <w:r w:rsidRPr="006E0F4C">
        <w:t xml:space="preserve"> applied.  </w:t>
      </w:r>
      <w:r w:rsidR="00090A6F" w:rsidRPr="006E0F4C">
        <w:t xml:space="preserve">This Standard may be applied to annual reporting periods </w:t>
      </w:r>
      <w:bookmarkStart w:id="17" w:name="EarlyText"/>
      <w:r w:rsidR="00E839DA" w:rsidRPr="006E0F4C">
        <w:t>beginning</w:t>
      </w:r>
      <w:bookmarkEnd w:id="17"/>
      <w:r w:rsidR="00090A6F" w:rsidRPr="006E0F4C">
        <w:t xml:space="preserve"> on or after </w:t>
      </w:r>
      <w:bookmarkStart w:id="18" w:name="EarlyDate"/>
      <w:r w:rsidR="006D70DD" w:rsidRPr="006E0F4C">
        <w:t>1 January 2005</w:t>
      </w:r>
      <w:bookmarkEnd w:id="18"/>
      <w:r w:rsidR="0078116B" w:rsidRPr="006E0F4C">
        <w:t xml:space="preserve"> </w:t>
      </w:r>
      <w:bookmarkStart w:id="19" w:name="EarlyWord"/>
      <w:r w:rsidR="0078116B" w:rsidRPr="006E0F4C">
        <w:t>but</w:t>
      </w:r>
      <w:bookmarkEnd w:id="19"/>
      <w:r w:rsidR="0078116B" w:rsidRPr="006E0F4C">
        <w:t xml:space="preserve"> before </w:t>
      </w:r>
      <w:r w:rsidR="00DD4F49" w:rsidRPr="006E0F4C">
        <w:fldChar w:fldCharType="begin" w:fldLock="1"/>
      </w:r>
      <w:r w:rsidR="00DD4F49" w:rsidRPr="006E0F4C">
        <w:instrText xml:space="preserve"> REF ApplyDate  \* charformat  </w:instrText>
      </w:r>
      <w:r w:rsidR="006E0F4C">
        <w:instrText xml:space="preserve"> \* MERGEFORMAT </w:instrText>
      </w:r>
      <w:r w:rsidR="00DD4F49" w:rsidRPr="006E0F4C">
        <w:fldChar w:fldCharType="separate"/>
      </w:r>
      <w:r w:rsidR="008D09A1" w:rsidRPr="006E0F4C">
        <w:t>1 January 2013</w:t>
      </w:r>
      <w:r w:rsidR="00DD4F49" w:rsidRPr="006E0F4C">
        <w:fldChar w:fldCharType="end"/>
      </w:r>
      <w:r w:rsidR="0022022E" w:rsidRPr="006E0F4C">
        <w:t>,</w:t>
      </w:r>
      <w:r w:rsidRPr="006E0F4C">
        <w:t xml:space="preserve"> </w:t>
      </w:r>
      <w:r w:rsidR="00137CDB">
        <w:t>except</w:t>
      </w:r>
      <w:r w:rsidR="0022022E" w:rsidRPr="006E0F4C">
        <w:t xml:space="preserve"> that</w:t>
      </w:r>
      <w:r w:rsidR="00137CDB">
        <w:t xml:space="preserve"> the amendments to </w:t>
      </w:r>
      <w:r w:rsidRPr="006E0F4C">
        <w:fldChar w:fldCharType="begin" w:fldLock="1"/>
      </w:r>
      <w:r w:rsidRPr="006E0F4C">
        <w:instrText xml:space="preserve"> REF ArisingNo  \* charformat </w:instrText>
      </w:r>
      <w:r w:rsidR="006E0F4C">
        <w:instrText xml:space="preserve"> \* MERGEFORMAT </w:instrText>
      </w:r>
      <w:r w:rsidRPr="006E0F4C">
        <w:fldChar w:fldCharType="end"/>
      </w:r>
      <w:r w:rsidR="005E0C9C">
        <w:t>AASB 10, AASB 11, AASB 12, AASB 127</w:t>
      </w:r>
      <w:r w:rsidR="00137CDB">
        <w:t xml:space="preserve">, </w:t>
      </w:r>
      <w:r w:rsidR="00191449">
        <w:t>AASB </w:t>
      </w:r>
      <w:r w:rsidR="005E0C9C">
        <w:t xml:space="preserve">128 </w:t>
      </w:r>
      <w:r w:rsidR="00137CDB">
        <w:t>and AASB 2011-7 may be applied early only in accordance with those Standards</w:t>
      </w:r>
      <w:r w:rsidR="00090A6F" w:rsidRPr="006E0F4C">
        <w:t xml:space="preserve">.  When an entity applies this Standard to </w:t>
      </w:r>
      <w:r w:rsidR="00590051" w:rsidRPr="006E0F4C">
        <w:t xml:space="preserve">such </w:t>
      </w:r>
      <w:r w:rsidR="00090A6F" w:rsidRPr="006E0F4C">
        <w:t>an annual reporting period</w:t>
      </w:r>
      <w:r w:rsidR="00590051" w:rsidRPr="006E0F4C">
        <w:t>,</w:t>
      </w:r>
      <w:r w:rsidR="00090A6F" w:rsidRPr="006E0F4C">
        <w:t xml:space="preserve"> it shall disclose that fact.</w:t>
      </w:r>
    </w:p>
    <w:bookmarkEnd w:id="16"/>
    <w:p w:rsidR="00090A6F" w:rsidRDefault="0048155F" w:rsidP="006E0F4C">
      <w:pPr>
        <w:pStyle w:val="NumBold1"/>
      </w:pPr>
      <w:r w:rsidRPr="006E0F4C">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191449">
        <w:t xml:space="preserve"> other typographical material. </w:t>
      </w:r>
    </w:p>
    <w:p w:rsidR="006D70DD" w:rsidRDefault="006D70DD">
      <w:pPr>
        <w:pStyle w:val="Heading2"/>
      </w:pPr>
      <w:r>
        <w:t>Amendments to AASB 1</w:t>
      </w:r>
    </w:p>
    <w:p w:rsidR="00361AF1" w:rsidRDefault="00B2738E" w:rsidP="00E24AD3">
      <w:pPr>
        <w:pStyle w:val="NumPlain1"/>
      </w:pPr>
      <w:r>
        <w:t>In paragraph 32(b), ‘cross reference’ is amended to ‘cross-reference’.</w:t>
      </w:r>
    </w:p>
    <w:p w:rsidR="006D70DD" w:rsidRDefault="00E92F19">
      <w:pPr>
        <w:pStyle w:val="NumPlain1"/>
      </w:pPr>
      <w:r>
        <w:t>Paragraph 39S is added as follows:</w:t>
      </w:r>
    </w:p>
    <w:p w:rsidR="00E92F19" w:rsidRDefault="00E92F19" w:rsidP="00E92F19">
      <w:pPr>
        <w:pStyle w:val="SubNumPlain1"/>
        <w:rPr>
          <w:lang w:val="en-GB"/>
        </w:rPr>
      </w:pPr>
      <w:r>
        <w:t>39S</w:t>
      </w:r>
      <w:r>
        <w:tab/>
      </w:r>
      <w:r w:rsidR="00721E16" w:rsidRPr="00721E16">
        <w:t>AASB 2012-</w:t>
      </w:r>
      <w:r w:rsidR="00BC43B5">
        <w:t>10</w:t>
      </w:r>
      <w:r w:rsidR="00721E16" w:rsidRPr="00721E16">
        <w:t xml:space="preserve"> </w:t>
      </w:r>
      <w:r w:rsidR="00721E16" w:rsidRPr="00721E16">
        <w:rPr>
          <w:i/>
        </w:rPr>
        <w:t>Amendments to Australian Accounting Standards – Transition Guidance and Other Amendments</w:t>
      </w:r>
      <w:r w:rsidR="00721E16" w:rsidRPr="00721E16">
        <w:t xml:space="preserve">, </w:t>
      </w:r>
      <w:r w:rsidRPr="00E92F19">
        <w:rPr>
          <w:lang w:val="en-GB"/>
        </w:rPr>
        <w:t xml:space="preserve">issued in </w:t>
      </w:r>
      <w:r w:rsidR="00044D05">
        <w:rPr>
          <w:lang w:val="en-GB"/>
        </w:rPr>
        <w:t xml:space="preserve">December </w:t>
      </w:r>
      <w:r w:rsidR="00225FBD">
        <w:rPr>
          <w:lang w:val="en-GB"/>
        </w:rPr>
        <w:t xml:space="preserve">2012, amended paragraph D31.  </w:t>
      </w:r>
      <w:r w:rsidRPr="00E92F19">
        <w:rPr>
          <w:lang w:val="en-GB"/>
        </w:rPr>
        <w:t xml:space="preserve">An entity shall apply that amendment when it applies </w:t>
      </w:r>
      <w:r w:rsidR="00721E16">
        <w:rPr>
          <w:lang w:val="en-GB"/>
        </w:rPr>
        <w:t>AASB</w:t>
      </w:r>
      <w:r w:rsidRPr="00E92F19">
        <w:rPr>
          <w:lang w:val="en-GB"/>
        </w:rPr>
        <w:t xml:space="preserve"> 11 (</w:t>
      </w:r>
      <w:r w:rsidR="008B04E3">
        <w:rPr>
          <w:lang w:val="en-GB"/>
        </w:rPr>
        <w:t xml:space="preserve">as amended in </w:t>
      </w:r>
      <w:r w:rsidR="00044D05">
        <w:rPr>
          <w:lang w:val="en-GB"/>
        </w:rPr>
        <w:t xml:space="preserve">December </w:t>
      </w:r>
      <w:r w:rsidR="008B04E3">
        <w:rPr>
          <w:lang w:val="en-GB"/>
        </w:rPr>
        <w:t>2012</w:t>
      </w:r>
      <w:r w:rsidRPr="00E92F19">
        <w:rPr>
          <w:lang w:val="en-GB"/>
        </w:rPr>
        <w:t>).</w:t>
      </w:r>
    </w:p>
    <w:p w:rsidR="004B1C21" w:rsidRDefault="004B1C21" w:rsidP="00622CF1">
      <w:pPr>
        <w:pStyle w:val="NumPlain1"/>
        <w:rPr>
          <w:lang w:val="en-GB"/>
        </w:rPr>
      </w:pPr>
      <w:r>
        <w:rPr>
          <w:lang w:val="en-GB"/>
        </w:rPr>
        <w:t>In paragraph C1, ‘</w:t>
      </w:r>
      <w:r w:rsidR="00F6767D">
        <w:rPr>
          <w:lang w:val="en-GB"/>
        </w:rPr>
        <w:t xml:space="preserve">combinations that </w:t>
      </w:r>
      <w:r>
        <w:rPr>
          <w:lang w:val="en-GB"/>
        </w:rPr>
        <w:t>occurred on 30 June 20X6 and the date of transition’ is amended to ‘</w:t>
      </w:r>
      <w:r w:rsidR="00F6767D">
        <w:rPr>
          <w:lang w:val="en-GB"/>
        </w:rPr>
        <w:t xml:space="preserve">combinations that </w:t>
      </w:r>
      <w:r>
        <w:rPr>
          <w:lang w:val="en-GB"/>
        </w:rPr>
        <w:t>occurred between 30 June 20X6 and the date of transition’.</w:t>
      </w:r>
    </w:p>
    <w:p w:rsidR="00622CF1" w:rsidRDefault="004A56E2" w:rsidP="00622CF1">
      <w:pPr>
        <w:pStyle w:val="NumPlain1"/>
        <w:rPr>
          <w:lang w:val="en-GB"/>
        </w:rPr>
      </w:pPr>
      <w:r>
        <w:rPr>
          <w:lang w:val="en-GB"/>
        </w:rPr>
        <w:t>Paragraph D31 is amended as follows (new text is underlined and deleted text is struck through):</w:t>
      </w:r>
    </w:p>
    <w:p w:rsidR="00622CF1" w:rsidRPr="000E577C" w:rsidRDefault="00622CF1" w:rsidP="00622CF1">
      <w:pPr>
        <w:pStyle w:val="SubNumPlain1"/>
      </w:pPr>
      <w:r>
        <w:t>D31</w:t>
      </w:r>
      <w:r>
        <w:tab/>
        <w:t>A first-time adopter may apply the transition provisions in AASB</w:t>
      </w:r>
      <w:r w:rsidR="00191449">
        <w:t> </w:t>
      </w:r>
      <w:r>
        <w:t>11 with the following exception</w:t>
      </w:r>
      <w:r w:rsidRPr="0066564E">
        <w:rPr>
          <w:u w:val="single"/>
        </w:rPr>
        <w:t>s:</w:t>
      </w:r>
      <w:r w:rsidR="0066564E" w:rsidRPr="0066564E">
        <w:rPr>
          <w:strike/>
        </w:rPr>
        <w:t>.</w:t>
      </w:r>
    </w:p>
    <w:p w:rsidR="00622CF1" w:rsidRPr="00C228D5" w:rsidRDefault="00622CF1" w:rsidP="00C228D5">
      <w:pPr>
        <w:pStyle w:val="SubNumPlain2"/>
        <w:rPr>
          <w:u w:val="single"/>
        </w:rPr>
      </w:pPr>
      <w:r w:rsidRPr="00C228D5">
        <w:rPr>
          <w:u w:val="single"/>
        </w:rPr>
        <w:t>When applying the transition provisions in AASB 11, a first-time adopter shall apply these provisions at the date of transition to Australian Accounting Standards.</w:t>
      </w:r>
    </w:p>
    <w:p w:rsidR="00622CF1" w:rsidRDefault="00622CF1" w:rsidP="00C228D5">
      <w:pPr>
        <w:pStyle w:val="SubNumPlain2"/>
      </w:pPr>
      <w:r>
        <w:t xml:space="preserve">When changing from proportionate consolidation to the equity method, a first-time adopter shall test for impairment the investment in accordance with AASB 136 as at the </w:t>
      </w:r>
      <w:r w:rsidR="004A56E2" w:rsidRPr="004A56E2">
        <w:rPr>
          <w:strike/>
        </w:rPr>
        <w:t>beginning of the earliest period presented</w:t>
      </w:r>
      <w:r w:rsidR="004A56E2">
        <w:t xml:space="preserve"> </w:t>
      </w:r>
      <w:r w:rsidRPr="004A56E2">
        <w:rPr>
          <w:u w:val="single"/>
        </w:rPr>
        <w:t>date of transition to Australian Accounting Standards</w:t>
      </w:r>
      <w:r>
        <w:t xml:space="preserve">, regardless of whether there is any indication that the investment may be impaired.  Any resulting impairment shall be recognised as an adjustment to retained earnings at the </w:t>
      </w:r>
      <w:r w:rsidR="004A56E2" w:rsidRPr="004A56E2">
        <w:rPr>
          <w:strike/>
        </w:rPr>
        <w:t>beginning of the earliest period presented</w:t>
      </w:r>
      <w:r w:rsidR="004A56E2">
        <w:t xml:space="preserve"> </w:t>
      </w:r>
      <w:r w:rsidRPr="004A56E2">
        <w:rPr>
          <w:u w:val="single"/>
        </w:rPr>
        <w:t>date of transition to Australian Accounting Standards</w:t>
      </w:r>
      <w:r>
        <w:t>.</w:t>
      </w:r>
    </w:p>
    <w:p w:rsidR="0066374D" w:rsidRDefault="0066374D" w:rsidP="0066374D">
      <w:pPr>
        <w:pStyle w:val="NumPlain1"/>
      </w:pPr>
      <w:r>
        <w:t>In paragraph E4, ‘the transitional provisions’ is amended to ‘the transition provisions’.</w:t>
      </w:r>
    </w:p>
    <w:p w:rsidR="003A01EA" w:rsidRDefault="003A01EA">
      <w:pPr>
        <w:pStyle w:val="Heading2"/>
      </w:pPr>
      <w:r>
        <w:t>Amendment to AASB 5</w:t>
      </w:r>
    </w:p>
    <w:p w:rsidR="003A01EA" w:rsidRPr="003A01EA" w:rsidRDefault="003A01EA" w:rsidP="003A01EA">
      <w:pPr>
        <w:pStyle w:val="NumPlain1"/>
      </w:pPr>
      <w:r>
        <w:t xml:space="preserve">Paragraph 33(b) is amended as follows </w:t>
      </w:r>
      <w:r>
        <w:rPr>
          <w:lang w:val="en-GB"/>
        </w:rPr>
        <w:t>(new text is underlined and deleted text is struck through):</w:t>
      </w:r>
    </w:p>
    <w:p w:rsidR="003A01EA" w:rsidRDefault="003A01EA" w:rsidP="003A01EA">
      <w:pPr>
        <w:pStyle w:val="SubNumPlain1"/>
      </w:pPr>
      <w:r>
        <w:t>33(b)</w:t>
      </w:r>
      <w:r>
        <w:tab/>
        <w:t>an analysis of the single amount in (a) into:</w:t>
      </w:r>
    </w:p>
    <w:p w:rsidR="003A01EA" w:rsidRDefault="003A01EA" w:rsidP="003A01EA">
      <w:pPr>
        <w:pStyle w:val="PlainHanging2"/>
      </w:pPr>
      <w:r>
        <w:t>(i)</w:t>
      </w:r>
      <w:r>
        <w:tab/>
        <w:t>…</w:t>
      </w:r>
    </w:p>
    <w:p w:rsidR="003A01EA" w:rsidRDefault="003A01EA" w:rsidP="003A01EA">
      <w:pPr>
        <w:pStyle w:val="PlainHanging2"/>
      </w:pPr>
      <w:r>
        <w:t>(ii)</w:t>
      </w:r>
      <w:r>
        <w:tab/>
        <w:t xml:space="preserve">the related income tax expense as required by paragraph 81(h) of AASB 112; </w:t>
      </w:r>
      <w:r w:rsidRPr="003A01EA">
        <w:rPr>
          <w:u w:val="single"/>
        </w:rPr>
        <w:t>and</w:t>
      </w:r>
    </w:p>
    <w:p w:rsidR="003A01EA" w:rsidRDefault="003A01EA" w:rsidP="003A01EA">
      <w:pPr>
        <w:pStyle w:val="PlainHanging2"/>
      </w:pPr>
      <w:r>
        <w:t>(iii)</w:t>
      </w:r>
      <w:r>
        <w:tab/>
        <w:t>the gain or loss recognised … discontinued operation</w:t>
      </w:r>
      <w:r w:rsidRPr="003A01EA">
        <w:rPr>
          <w:strike/>
        </w:rPr>
        <w:t>; and</w:t>
      </w:r>
      <w:r w:rsidRPr="003A01EA">
        <w:rPr>
          <w:u w:val="single"/>
        </w:rPr>
        <w:t>.</w:t>
      </w:r>
    </w:p>
    <w:p w:rsidR="003A01EA" w:rsidRPr="003A01EA" w:rsidRDefault="003A01EA" w:rsidP="003A01EA">
      <w:pPr>
        <w:pStyle w:val="PlainHanging2"/>
        <w:rPr>
          <w:strike/>
        </w:rPr>
      </w:pPr>
      <w:r w:rsidRPr="003A01EA">
        <w:rPr>
          <w:strike/>
        </w:rPr>
        <w:t>(iv)</w:t>
      </w:r>
      <w:r w:rsidRPr="003A01EA">
        <w:rPr>
          <w:strike/>
        </w:rPr>
        <w:tab/>
        <w:t>the related income tax expense as required by paragraph 81(h) of AASB 112.</w:t>
      </w:r>
    </w:p>
    <w:p w:rsidR="00912CB9" w:rsidRDefault="00912CB9">
      <w:pPr>
        <w:pStyle w:val="Heading2"/>
      </w:pPr>
      <w:r>
        <w:t>Amendments to AASB 7</w:t>
      </w:r>
    </w:p>
    <w:p w:rsidR="00A1053B" w:rsidRDefault="00A1053B" w:rsidP="00912CB9">
      <w:pPr>
        <w:pStyle w:val="NumPlain1"/>
      </w:pPr>
      <w:r>
        <w:t>In paragraph 42A, the comma after the words ‘(the transferred financial asset)’ in the fourth sentence is deleted.</w:t>
      </w:r>
    </w:p>
    <w:p w:rsidR="00A05BCD" w:rsidRDefault="00A05BCD" w:rsidP="00912CB9">
      <w:pPr>
        <w:pStyle w:val="NumPlain1"/>
      </w:pPr>
      <w:r>
        <w:t>In paragraph B29, ‘stand-alone financial statements’ is amended to ‘separate or individual financial statements’.</w:t>
      </w:r>
    </w:p>
    <w:p w:rsidR="004B1C21" w:rsidRDefault="004B1C21" w:rsidP="00912CB9">
      <w:pPr>
        <w:pStyle w:val="NumPlain1"/>
      </w:pPr>
      <w:r>
        <w:t>The heading before paragraph B32 is amended by adding ‘(paragraph 42D)’ at the end.</w:t>
      </w:r>
    </w:p>
    <w:p w:rsidR="0066374D" w:rsidRDefault="0066374D" w:rsidP="00912CB9">
      <w:pPr>
        <w:pStyle w:val="NumPlain1"/>
      </w:pPr>
      <w:r>
        <w:t>In paragraph B38, ‘the entity also shall disclose’ is amended to ‘the entity shall also disclose’.</w:t>
      </w:r>
    </w:p>
    <w:p w:rsidR="00912CB9" w:rsidRPr="00912CB9" w:rsidRDefault="00C228D5" w:rsidP="00E24AD3">
      <w:pPr>
        <w:pStyle w:val="NumPlain1"/>
      </w:pPr>
      <w:r>
        <w:lastRenderedPageBreak/>
        <w:t xml:space="preserve">Appendix C </w:t>
      </w:r>
      <w:r w:rsidR="00A1053B" w:rsidRPr="00A1053B">
        <w:rPr>
          <w:i/>
        </w:rPr>
        <w:t>Amendments to Other</w:t>
      </w:r>
      <w:r w:rsidR="00A1053B">
        <w:rPr>
          <w:i/>
        </w:rPr>
        <w:t xml:space="preserve"> Australian Accounting</w:t>
      </w:r>
      <w:r w:rsidR="00A1053B" w:rsidRPr="00A1053B">
        <w:rPr>
          <w:i/>
        </w:rPr>
        <w:t xml:space="preserve"> Standards</w:t>
      </w:r>
      <w:r w:rsidR="00A1053B">
        <w:t xml:space="preserve"> </w:t>
      </w:r>
      <w:r>
        <w:t xml:space="preserve">is </w:t>
      </w:r>
      <w:r w:rsidR="00A74DBA">
        <w:t>deleted.</w:t>
      </w:r>
    </w:p>
    <w:p w:rsidR="00DB643E" w:rsidRDefault="00DB643E" w:rsidP="00DB643E">
      <w:pPr>
        <w:pStyle w:val="Heading2"/>
      </w:pPr>
      <w:r>
        <w:t>Am</w:t>
      </w:r>
      <w:r w:rsidR="00EE7312">
        <w:t>endment</w:t>
      </w:r>
      <w:r>
        <w:t xml:space="preserve"> to AASB 8</w:t>
      </w:r>
    </w:p>
    <w:p w:rsidR="00DB643E" w:rsidRDefault="00DB643E" w:rsidP="00E24AD3">
      <w:pPr>
        <w:pStyle w:val="NumPlain1"/>
      </w:pPr>
      <w:r>
        <w:t>Paragraph Aus2.1 is amended to conclude with a full stop instead of a semi-colon.</w:t>
      </w:r>
    </w:p>
    <w:p w:rsidR="006D70DD" w:rsidRDefault="006D70DD">
      <w:pPr>
        <w:pStyle w:val="Heading2"/>
      </w:pPr>
      <w:r>
        <w:t>Amendments to AASB 10</w:t>
      </w:r>
    </w:p>
    <w:p w:rsidR="002D0BF7" w:rsidRDefault="002D0BF7" w:rsidP="002D0BF7">
      <w:pPr>
        <w:pStyle w:val="NumPlain1"/>
      </w:pPr>
      <w:r>
        <w:t>Paragraph</w:t>
      </w:r>
      <w:r w:rsidR="00891A1F">
        <w:t>s</w:t>
      </w:r>
      <w:r>
        <w:t xml:space="preserve"> Aus3.2 </w:t>
      </w:r>
      <w:r w:rsidR="006345B3">
        <w:t>and Aus</w:t>
      </w:r>
      <w:r w:rsidR="00F65E3D">
        <w:t>3.3 are</w:t>
      </w:r>
      <w:r>
        <w:t xml:space="preserve"> amended </w:t>
      </w:r>
      <w:r w:rsidR="006345B3">
        <w:t>as follows (new text is underlined and deleted text is struck through):</w:t>
      </w:r>
    </w:p>
    <w:p w:rsidR="006345B3" w:rsidRDefault="002D0BF7" w:rsidP="007A709C">
      <w:pPr>
        <w:pStyle w:val="SubNumPlain1"/>
        <w:ind w:left="1247" w:hanging="737"/>
        <w:rPr>
          <w:b/>
        </w:rPr>
      </w:pPr>
      <w:r w:rsidRPr="001235D8">
        <w:rPr>
          <w:b/>
        </w:rPr>
        <w:t>Aus3.2</w:t>
      </w:r>
      <w:r w:rsidRPr="001235D8">
        <w:rPr>
          <w:b/>
        </w:rPr>
        <w:tab/>
        <w:t xml:space="preserve">This </w:t>
      </w:r>
      <w:r w:rsidR="009C00DE">
        <w:rPr>
          <w:b/>
        </w:rPr>
        <w:t>S</w:t>
      </w:r>
      <w:r w:rsidRPr="001235D8">
        <w:rPr>
          <w:b/>
        </w:rPr>
        <w:t>tandard applies to annual reporting periods beginning on or after 1 January 2013</w:t>
      </w:r>
      <w:r w:rsidR="006345B3" w:rsidRPr="006345B3">
        <w:rPr>
          <w:b/>
          <w:u w:val="single"/>
        </w:rPr>
        <w:t>, except that for not-for-profit entities it applies to annual reporting periods beginning on or after 1</w:t>
      </w:r>
      <w:r w:rsidR="002973E9">
        <w:rPr>
          <w:b/>
          <w:u w:val="single"/>
        </w:rPr>
        <w:t> </w:t>
      </w:r>
      <w:r w:rsidR="006345B3" w:rsidRPr="006345B3">
        <w:rPr>
          <w:b/>
          <w:u w:val="single"/>
        </w:rPr>
        <w:t>January 2014</w:t>
      </w:r>
      <w:r w:rsidR="006345B3" w:rsidRPr="006345B3">
        <w:rPr>
          <w:b/>
        </w:rPr>
        <w:t>.</w:t>
      </w:r>
    </w:p>
    <w:p w:rsidR="00702A37" w:rsidRPr="0046746C" w:rsidRDefault="006345B3" w:rsidP="0046746C">
      <w:pPr>
        <w:pStyle w:val="SubNumPlain1"/>
        <w:ind w:left="1247" w:hanging="737"/>
        <w:rPr>
          <w:b/>
        </w:rPr>
      </w:pPr>
      <w:r w:rsidRPr="00656C06">
        <w:rPr>
          <w:b/>
        </w:rPr>
        <w:t>Aus3.3</w:t>
      </w:r>
      <w:r w:rsidRPr="00656C06">
        <w:rPr>
          <w:b/>
        </w:rPr>
        <w:tab/>
      </w:r>
      <w:r w:rsidR="00702A37">
        <w:rPr>
          <w:b/>
        </w:rPr>
        <w:t>This Standard may be applied by</w:t>
      </w:r>
      <w:r w:rsidR="00702A37" w:rsidRPr="0046746C">
        <w:rPr>
          <w:b/>
          <w:u w:val="single"/>
        </w:rPr>
        <w:t>:</w:t>
      </w:r>
    </w:p>
    <w:p w:rsidR="0046746C" w:rsidRPr="00E3350F" w:rsidRDefault="0046746C" w:rsidP="0046746C">
      <w:pPr>
        <w:pStyle w:val="NumPlain2"/>
        <w:numPr>
          <w:ilvl w:val="0"/>
          <w:numId w:val="0"/>
        </w:numPr>
        <w:ind w:left="1757" w:hanging="510"/>
        <w:rPr>
          <w:b/>
        </w:rPr>
      </w:pPr>
      <w:r w:rsidRPr="00E3350F">
        <w:rPr>
          <w:b/>
          <w:u w:val="single"/>
        </w:rPr>
        <w:t>(a)</w:t>
      </w:r>
      <w:r w:rsidRPr="00E3350F">
        <w:rPr>
          <w:b/>
        </w:rPr>
        <w:tab/>
        <w:t>for-profit entities</w:t>
      </w:r>
      <w:r w:rsidRPr="00E3350F">
        <w:rPr>
          <w:b/>
          <w:strike/>
        </w:rPr>
        <w:t>, but not by not-for-profit entities,</w:t>
      </w:r>
      <w:r w:rsidRPr="00E3350F">
        <w:rPr>
          <w:b/>
        </w:rPr>
        <w:t xml:space="preserve"> to annual reporting periods beginning on or after 1</w:t>
      </w:r>
      <w:r w:rsidR="002973E9">
        <w:rPr>
          <w:b/>
        </w:rPr>
        <w:t> </w:t>
      </w:r>
      <w:r w:rsidRPr="00E3350F">
        <w:rPr>
          <w:b/>
        </w:rPr>
        <w:t>January 2005 but before 1 January 2013</w:t>
      </w:r>
      <w:r w:rsidRPr="00E3350F">
        <w:rPr>
          <w:b/>
          <w:u w:val="single"/>
        </w:rPr>
        <w:t>;</w:t>
      </w:r>
      <w:r w:rsidR="00E3350F" w:rsidRPr="00E3350F">
        <w:rPr>
          <w:b/>
          <w:u w:val="single"/>
        </w:rPr>
        <w:t xml:space="preserve"> and</w:t>
      </w:r>
    </w:p>
    <w:p w:rsidR="0046746C" w:rsidRPr="00E3350F" w:rsidRDefault="0046746C" w:rsidP="0046746C">
      <w:pPr>
        <w:pStyle w:val="NumPlain2"/>
        <w:numPr>
          <w:ilvl w:val="0"/>
          <w:numId w:val="0"/>
        </w:numPr>
        <w:ind w:left="1757" w:hanging="510"/>
        <w:rPr>
          <w:b/>
        </w:rPr>
      </w:pPr>
      <w:r w:rsidRPr="00E3350F">
        <w:rPr>
          <w:b/>
          <w:u w:val="single"/>
        </w:rPr>
        <w:t>(b)</w:t>
      </w:r>
      <w:r w:rsidRPr="00E3350F">
        <w:rPr>
          <w:b/>
        </w:rPr>
        <w:tab/>
      </w:r>
      <w:r w:rsidRPr="00E3350F">
        <w:rPr>
          <w:b/>
          <w:u w:val="single"/>
        </w:rPr>
        <w:t xml:space="preserve">not-for-profit entities to annual reporting periods beginning on or after 1 January 2013 but before </w:t>
      </w:r>
      <w:r w:rsidR="002973E9">
        <w:rPr>
          <w:b/>
          <w:u w:val="single"/>
        </w:rPr>
        <w:t>1 </w:t>
      </w:r>
      <w:r w:rsidRPr="00E3350F">
        <w:rPr>
          <w:b/>
          <w:u w:val="single"/>
        </w:rPr>
        <w:t>January 2014</w:t>
      </w:r>
      <w:r w:rsidR="00191449">
        <w:rPr>
          <w:b/>
        </w:rPr>
        <w:t>.</w:t>
      </w:r>
    </w:p>
    <w:p w:rsidR="0046746C" w:rsidRPr="00E3350F" w:rsidRDefault="0046746C" w:rsidP="0046746C">
      <w:pPr>
        <w:pStyle w:val="NumPlain2"/>
        <w:numPr>
          <w:ilvl w:val="0"/>
          <w:numId w:val="0"/>
        </w:numPr>
        <w:ind w:left="1247"/>
        <w:rPr>
          <w:b/>
        </w:rPr>
      </w:pPr>
      <w:r w:rsidRPr="00E3350F">
        <w:rPr>
          <w:b/>
        </w:rPr>
        <w:t xml:space="preserve">If </w:t>
      </w:r>
      <w:r w:rsidRPr="00E3350F">
        <w:rPr>
          <w:b/>
          <w:strike/>
        </w:rPr>
        <w:t xml:space="preserve">a for-profit </w:t>
      </w:r>
      <w:r w:rsidRPr="00E3350F">
        <w:rPr>
          <w:b/>
          <w:u w:val="single"/>
        </w:rPr>
        <w:t>an</w:t>
      </w:r>
      <w:r w:rsidRPr="00E3350F">
        <w:rPr>
          <w:b/>
        </w:rPr>
        <w:t xml:space="preserve"> entity applies this Standard to such an annual reporting period</w:t>
      </w:r>
      <w:r w:rsidRPr="00E3350F">
        <w:rPr>
          <w:b/>
          <w:u w:val="single"/>
        </w:rPr>
        <w:t xml:space="preserve"> in accordance with paragraph (a)</w:t>
      </w:r>
      <w:r w:rsidR="00E3350F">
        <w:rPr>
          <w:b/>
          <w:u w:val="single"/>
        </w:rPr>
        <w:t xml:space="preserve"> </w:t>
      </w:r>
      <w:r w:rsidRPr="00E3350F">
        <w:rPr>
          <w:b/>
          <w:u w:val="single"/>
        </w:rPr>
        <w:t>or (b)</w:t>
      </w:r>
      <w:r w:rsidRPr="00E3350F">
        <w:rPr>
          <w:b/>
        </w:rPr>
        <w:t xml:space="preserve">, it shall disclose that fact and apply AASB 11 </w:t>
      </w:r>
      <w:r w:rsidRPr="00E3350F">
        <w:rPr>
          <w:b/>
          <w:i/>
        </w:rPr>
        <w:t>Joint Arrangements</w:t>
      </w:r>
      <w:r w:rsidRPr="00E3350F">
        <w:rPr>
          <w:b/>
        </w:rPr>
        <w:t>, AASB</w:t>
      </w:r>
      <w:r w:rsidR="002973E9">
        <w:rPr>
          <w:b/>
        </w:rPr>
        <w:t> </w:t>
      </w:r>
      <w:r w:rsidRPr="00E3350F">
        <w:rPr>
          <w:b/>
        </w:rPr>
        <w:t xml:space="preserve">12 </w:t>
      </w:r>
      <w:r w:rsidRPr="00E3350F">
        <w:rPr>
          <w:b/>
          <w:i/>
        </w:rPr>
        <w:t>Disclosure of Interests in Other Entities</w:t>
      </w:r>
      <w:r w:rsidRPr="00E3350F">
        <w:rPr>
          <w:b/>
        </w:rPr>
        <w:t xml:space="preserve">, AASB 127 </w:t>
      </w:r>
      <w:r w:rsidRPr="00E3350F">
        <w:rPr>
          <w:b/>
          <w:i/>
        </w:rPr>
        <w:t>Separate Financial Statements</w:t>
      </w:r>
      <w:r w:rsidRPr="00E3350F">
        <w:rPr>
          <w:b/>
        </w:rPr>
        <w:t xml:space="preserve"> (August 2011) and AASB 128 </w:t>
      </w:r>
      <w:r w:rsidRPr="00E3350F">
        <w:rPr>
          <w:b/>
          <w:i/>
        </w:rPr>
        <w:t>Investments in Associates and Joint Ventures</w:t>
      </w:r>
      <w:r w:rsidRPr="00E3350F">
        <w:rPr>
          <w:b/>
        </w:rPr>
        <w:t xml:space="preserve"> (August 2011), at the same time.</w:t>
      </w:r>
    </w:p>
    <w:p w:rsidR="00BC59DD" w:rsidRDefault="00BC59DD" w:rsidP="00BC59DD">
      <w:pPr>
        <w:pStyle w:val="NumPlain1"/>
      </w:pPr>
      <w:r>
        <w:t>In paragraph B13, in Application Example 1, ‘marketing of the project’ is amended to ‘marketing of the product’.</w:t>
      </w:r>
    </w:p>
    <w:p w:rsidR="00B83B01" w:rsidRDefault="00B83B01" w:rsidP="00BC59DD">
      <w:pPr>
        <w:pStyle w:val="NumPlain1"/>
      </w:pPr>
      <w:r>
        <w:t>In paragraph B43, ‘paragraph 42(a)–(c)’ is amended to ‘paragraph B42(a)–(c)’.</w:t>
      </w:r>
    </w:p>
    <w:p w:rsidR="00BC59DD" w:rsidRDefault="00BC59DD" w:rsidP="00BC59DD">
      <w:pPr>
        <w:pStyle w:val="NumPlain1"/>
      </w:pPr>
      <w:r>
        <w:t>In paragraph B82, ‘have elapsed’ is amended to ‘have lapsed’.</w:t>
      </w:r>
    </w:p>
    <w:p w:rsidR="006D70DD" w:rsidRDefault="00C20572" w:rsidP="00870DC3">
      <w:pPr>
        <w:pStyle w:val="NumPlain1"/>
        <w:keepNext/>
      </w:pPr>
      <w:r>
        <w:t>Paragraph C1A is added as follows:</w:t>
      </w:r>
    </w:p>
    <w:p w:rsidR="005E65C3" w:rsidRPr="005E65C3" w:rsidRDefault="00C20572" w:rsidP="005E65C3">
      <w:pPr>
        <w:pStyle w:val="SubNumPlain1"/>
        <w:rPr>
          <w:lang w:val="en-GB"/>
        </w:rPr>
      </w:pPr>
      <w:r>
        <w:t>C1A</w:t>
      </w:r>
      <w:r>
        <w:tab/>
        <w:t>AASB 2012-</w:t>
      </w:r>
      <w:r w:rsidR="00BC43B5">
        <w:t>10</w:t>
      </w:r>
      <w:r>
        <w:t xml:space="preserve"> </w:t>
      </w:r>
      <w:r w:rsidRPr="00B07A99">
        <w:rPr>
          <w:i/>
        </w:rPr>
        <w:t>Amendments to Australian Accounting Standards – Transitio</w:t>
      </w:r>
      <w:r w:rsidR="00B07A99" w:rsidRPr="00B07A99">
        <w:rPr>
          <w:i/>
        </w:rPr>
        <w:t>n Guidance and Other Amendments</w:t>
      </w:r>
      <w:r w:rsidR="00B07A99">
        <w:t xml:space="preserve">, issued in </w:t>
      </w:r>
      <w:r w:rsidR="00044D05">
        <w:t xml:space="preserve">December </w:t>
      </w:r>
      <w:r w:rsidR="005E65C3">
        <w:t>2012</w:t>
      </w:r>
      <w:r w:rsidR="005E65C3" w:rsidRPr="005E65C3">
        <w:rPr>
          <w:lang w:val="en-GB"/>
        </w:rPr>
        <w:t>, amended paragraphs</w:t>
      </w:r>
      <w:r w:rsidR="003B36D3">
        <w:rPr>
          <w:lang w:val="en-GB"/>
        </w:rPr>
        <w:t> </w:t>
      </w:r>
      <w:r w:rsidR="005E65C3" w:rsidRPr="005E65C3">
        <w:rPr>
          <w:lang w:val="en-GB"/>
        </w:rPr>
        <w:t>C2–C6 and added paragraphs</w:t>
      </w:r>
      <w:r w:rsidR="003B36D3">
        <w:rPr>
          <w:lang w:val="en-GB"/>
        </w:rPr>
        <w:t> </w:t>
      </w:r>
      <w:r w:rsidR="005E65C3" w:rsidRPr="005E65C3">
        <w:rPr>
          <w:lang w:val="en-GB"/>
        </w:rPr>
        <w:t>C2A</w:t>
      </w:r>
      <w:r w:rsidR="005E65C3">
        <w:rPr>
          <w:lang w:val="en-GB"/>
        </w:rPr>
        <w:t xml:space="preserve">–C2B, C4A–C4C, C5A and C6A–C6B.  </w:t>
      </w:r>
      <w:r w:rsidR="005E65C3" w:rsidRPr="005E65C3">
        <w:rPr>
          <w:lang w:val="en-GB"/>
        </w:rPr>
        <w:t xml:space="preserve">An entity shall apply those amendments for annual </w:t>
      </w:r>
      <w:r w:rsidR="009B62FA">
        <w:rPr>
          <w:lang w:val="en-GB"/>
        </w:rPr>
        <w:t xml:space="preserve">reporting </w:t>
      </w:r>
      <w:r w:rsidR="00120522">
        <w:rPr>
          <w:lang w:val="en-GB"/>
        </w:rPr>
        <w:t>periods beginning on or after 1 </w:t>
      </w:r>
      <w:r w:rsidR="005E65C3" w:rsidRPr="005E65C3">
        <w:rPr>
          <w:lang w:val="en-GB"/>
        </w:rPr>
        <w:t>January 2</w:t>
      </w:r>
      <w:r w:rsidR="005E65C3">
        <w:rPr>
          <w:lang w:val="en-GB"/>
        </w:rPr>
        <w:t>013</w:t>
      </w:r>
      <w:r w:rsidR="00120522">
        <w:rPr>
          <w:lang w:val="en-GB"/>
        </w:rPr>
        <w:t xml:space="preserve">, except that a not-for-profit entity shall apply the amendments </w:t>
      </w:r>
      <w:r w:rsidR="00A56200">
        <w:rPr>
          <w:lang w:val="en-GB"/>
        </w:rPr>
        <w:t>for</w:t>
      </w:r>
      <w:r w:rsidR="00120522">
        <w:rPr>
          <w:lang w:val="en-GB"/>
        </w:rPr>
        <w:t xml:space="preserve"> </w:t>
      </w:r>
      <w:r w:rsidR="00120522" w:rsidRPr="005E65C3">
        <w:rPr>
          <w:lang w:val="en-GB"/>
        </w:rPr>
        <w:t xml:space="preserve">annual </w:t>
      </w:r>
      <w:r w:rsidR="00120522">
        <w:rPr>
          <w:lang w:val="en-GB"/>
        </w:rPr>
        <w:t xml:space="preserve">reporting </w:t>
      </w:r>
      <w:r w:rsidR="00120522" w:rsidRPr="005E65C3">
        <w:rPr>
          <w:lang w:val="en-GB"/>
        </w:rPr>
        <w:t>periods beginning on or after 1</w:t>
      </w:r>
      <w:r w:rsidR="00120522">
        <w:rPr>
          <w:lang w:val="en-GB"/>
        </w:rPr>
        <w:t> </w:t>
      </w:r>
      <w:r w:rsidR="00120522" w:rsidRPr="005E65C3">
        <w:rPr>
          <w:lang w:val="en-GB"/>
        </w:rPr>
        <w:t>January 2</w:t>
      </w:r>
      <w:r w:rsidR="00120522">
        <w:rPr>
          <w:lang w:val="en-GB"/>
        </w:rPr>
        <w:t>014</w:t>
      </w:r>
      <w:r w:rsidR="005E65C3">
        <w:rPr>
          <w:lang w:val="en-GB"/>
        </w:rPr>
        <w:t xml:space="preserve">.  </w:t>
      </w:r>
      <w:r w:rsidR="005E65C3" w:rsidRPr="005E65C3">
        <w:rPr>
          <w:lang w:val="en-GB"/>
        </w:rPr>
        <w:t xml:space="preserve">If an entity applies </w:t>
      </w:r>
      <w:r w:rsidR="005E65C3">
        <w:rPr>
          <w:lang w:val="en-GB"/>
        </w:rPr>
        <w:t>AASB </w:t>
      </w:r>
      <w:r w:rsidR="005E65C3" w:rsidRPr="005E65C3">
        <w:rPr>
          <w:lang w:val="en-GB"/>
        </w:rPr>
        <w:t>10 for an earlier period, it shall apply those amendments for that earlier period.</w:t>
      </w:r>
    </w:p>
    <w:p w:rsidR="00B07A99" w:rsidRDefault="00B07A99" w:rsidP="00B07A99">
      <w:pPr>
        <w:pStyle w:val="NumPlain1"/>
      </w:pPr>
      <w:r>
        <w:t>Paragraph C2 is amended as follows (new text is underlined and deleted text is struck through):</w:t>
      </w:r>
    </w:p>
    <w:p w:rsidR="00B07A99" w:rsidRDefault="00B07A99" w:rsidP="00B07A99">
      <w:pPr>
        <w:pStyle w:val="SubNumPlain1"/>
      </w:pPr>
      <w:r>
        <w:t>C2</w:t>
      </w:r>
      <w:r>
        <w:tab/>
      </w:r>
      <w:r w:rsidR="009B62FA" w:rsidRPr="009B62FA">
        <w:rPr>
          <w:lang w:val="en-GB"/>
        </w:rPr>
        <w:t xml:space="preserve">An entity shall apply this </w:t>
      </w:r>
      <w:r w:rsidR="009B62FA">
        <w:rPr>
          <w:lang w:val="en-GB"/>
        </w:rPr>
        <w:t>Standard</w:t>
      </w:r>
      <w:r w:rsidR="009B62FA" w:rsidRPr="009B62FA">
        <w:rPr>
          <w:lang w:val="en-GB"/>
        </w:rPr>
        <w:t xml:space="preserve"> retrospectively, in accordance with </w:t>
      </w:r>
      <w:r w:rsidR="009B62FA">
        <w:rPr>
          <w:lang w:val="en-GB"/>
        </w:rPr>
        <w:t>AASB</w:t>
      </w:r>
      <w:r w:rsidR="009B62FA" w:rsidRPr="009B62FA">
        <w:rPr>
          <w:lang w:val="en-GB"/>
        </w:rPr>
        <w:t xml:space="preserve"> </w:t>
      </w:r>
      <w:r w:rsidR="009B62FA">
        <w:rPr>
          <w:lang w:val="en-GB"/>
        </w:rPr>
        <w:t>10</w:t>
      </w:r>
      <w:r w:rsidR="009B62FA" w:rsidRPr="009B62FA">
        <w:rPr>
          <w:lang w:val="en-GB"/>
        </w:rPr>
        <w:t xml:space="preserve">8 </w:t>
      </w:r>
      <w:r w:rsidR="009B62FA" w:rsidRPr="009B62FA">
        <w:rPr>
          <w:i/>
          <w:lang w:val="en-GB"/>
        </w:rPr>
        <w:t>Accounting Policies, Changes in Accounting Estimates and Errors</w:t>
      </w:r>
      <w:r w:rsidR="009B62FA" w:rsidRPr="009B62FA">
        <w:rPr>
          <w:lang w:val="en-GB"/>
        </w:rPr>
        <w:t xml:space="preserve">, except as specified </w:t>
      </w:r>
      <w:r>
        <w:t xml:space="preserve">in paragraphs </w:t>
      </w:r>
      <w:r w:rsidRPr="00B07A99">
        <w:rPr>
          <w:strike/>
        </w:rPr>
        <w:t>C3</w:t>
      </w:r>
      <w:r>
        <w:t xml:space="preserve"> </w:t>
      </w:r>
      <w:r w:rsidRPr="00B07A99">
        <w:rPr>
          <w:u w:val="single"/>
        </w:rPr>
        <w:t>C2A</w:t>
      </w:r>
      <w:r>
        <w:t>–C6.</w:t>
      </w:r>
    </w:p>
    <w:p w:rsidR="00B07A99" w:rsidRDefault="00B07A99" w:rsidP="00870DC3">
      <w:pPr>
        <w:pStyle w:val="NumPlain1"/>
        <w:keepNext/>
      </w:pPr>
      <w:r>
        <w:t>Paragraphs C2A–C2B are added as follows:</w:t>
      </w:r>
    </w:p>
    <w:p w:rsidR="009B62FA" w:rsidRPr="009B62FA" w:rsidRDefault="009B62FA" w:rsidP="009B62FA">
      <w:pPr>
        <w:pStyle w:val="SubNumPlain1"/>
        <w:rPr>
          <w:lang w:val="en-GB"/>
        </w:rPr>
      </w:pPr>
      <w:r>
        <w:t>C2A</w:t>
      </w:r>
      <w:r>
        <w:tab/>
      </w:r>
      <w:r w:rsidRPr="009B62FA">
        <w:rPr>
          <w:lang w:val="en-GB"/>
        </w:rPr>
        <w:t xml:space="preserve">Notwithstanding the requirements of paragraph 28 of </w:t>
      </w:r>
      <w:r>
        <w:rPr>
          <w:lang w:val="en-GB"/>
        </w:rPr>
        <w:t>AASB 108</w:t>
      </w:r>
      <w:r w:rsidRPr="009B62FA">
        <w:rPr>
          <w:lang w:val="en-GB"/>
        </w:rPr>
        <w:t xml:space="preserve">, when this </w:t>
      </w:r>
      <w:r>
        <w:rPr>
          <w:lang w:val="en-GB"/>
        </w:rPr>
        <w:t>Standard</w:t>
      </w:r>
      <w:r w:rsidRPr="009B62FA">
        <w:rPr>
          <w:lang w:val="en-GB"/>
        </w:rPr>
        <w:t xml:space="preserve"> is first applied, an entity need only present the quantitative information required by paragraph 28(f) of </w:t>
      </w:r>
      <w:r>
        <w:rPr>
          <w:lang w:val="en-GB"/>
        </w:rPr>
        <w:t>AASB</w:t>
      </w:r>
      <w:r w:rsidR="00AF466F">
        <w:rPr>
          <w:lang w:val="en-GB"/>
        </w:rPr>
        <w:t> </w:t>
      </w:r>
      <w:r>
        <w:rPr>
          <w:lang w:val="en-GB"/>
        </w:rPr>
        <w:t>108</w:t>
      </w:r>
      <w:r w:rsidRPr="009B62FA">
        <w:rPr>
          <w:lang w:val="en-GB"/>
        </w:rPr>
        <w:t xml:space="preserve"> for the annual </w:t>
      </w:r>
      <w:r w:rsidR="00842C56">
        <w:rPr>
          <w:lang w:val="en-GB"/>
        </w:rPr>
        <w:t xml:space="preserve">reporting </w:t>
      </w:r>
      <w:r w:rsidRPr="009B62FA">
        <w:rPr>
          <w:lang w:val="en-GB"/>
        </w:rPr>
        <w:t xml:space="preserve">period immediately preceding the date of initial application of this </w:t>
      </w:r>
      <w:r>
        <w:rPr>
          <w:lang w:val="en-GB"/>
        </w:rPr>
        <w:t>Standard</w:t>
      </w:r>
      <w:r w:rsidRPr="009B62FA">
        <w:rPr>
          <w:lang w:val="en-GB"/>
        </w:rPr>
        <w:t xml:space="preserve"> (the ‘</w:t>
      </w:r>
      <w:r>
        <w:rPr>
          <w:lang w:val="en-GB"/>
        </w:rPr>
        <w:t xml:space="preserve">immediately preceding period’).  </w:t>
      </w:r>
      <w:r w:rsidRPr="009B62FA">
        <w:rPr>
          <w:lang w:val="en-GB"/>
        </w:rPr>
        <w:t>An entity may also present this information for the current period or for earlier comparative periods, but is not required to do so.</w:t>
      </w:r>
    </w:p>
    <w:p w:rsidR="00B07A99" w:rsidRPr="00F3673F" w:rsidRDefault="009B62FA" w:rsidP="00B07A99">
      <w:pPr>
        <w:pStyle w:val="SubNumPlain1"/>
      </w:pPr>
      <w:r>
        <w:t>C2B</w:t>
      </w:r>
      <w:r>
        <w:tab/>
      </w:r>
      <w:r w:rsidRPr="009B62FA">
        <w:rPr>
          <w:lang w:val="en-GB"/>
        </w:rPr>
        <w:t xml:space="preserve">For the purposes of this </w:t>
      </w:r>
      <w:r w:rsidR="00F3673F">
        <w:rPr>
          <w:lang w:val="en-GB"/>
        </w:rPr>
        <w:t>Standard</w:t>
      </w:r>
      <w:r w:rsidRPr="009B62FA">
        <w:rPr>
          <w:lang w:val="en-GB"/>
        </w:rPr>
        <w:t xml:space="preserve">, the date of initial application is the beginning of the annual reporting period for which this </w:t>
      </w:r>
      <w:r w:rsidR="00F3673F">
        <w:rPr>
          <w:lang w:val="en-GB"/>
        </w:rPr>
        <w:t>Standard</w:t>
      </w:r>
      <w:r w:rsidRPr="009B62FA">
        <w:rPr>
          <w:lang w:val="en-GB"/>
        </w:rPr>
        <w:t xml:space="preserve"> is applied for the first time.</w:t>
      </w:r>
    </w:p>
    <w:p w:rsidR="00F3673F" w:rsidRDefault="00F3673F" w:rsidP="00F3673F">
      <w:pPr>
        <w:pStyle w:val="NumPlain1"/>
      </w:pPr>
      <w:r>
        <w:t>Paragraphs C3–C4 are amended as follows</w:t>
      </w:r>
      <w:r w:rsidRPr="00F3673F">
        <w:t xml:space="preserve"> (new text is underlined and deleted text is struck through):</w:t>
      </w:r>
    </w:p>
    <w:p w:rsidR="009A66B3" w:rsidRDefault="00F3673F" w:rsidP="00F3673F">
      <w:pPr>
        <w:pStyle w:val="SubNumPlain1"/>
      </w:pPr>
      <w:r>
        <w:t>C3</w:t>
      </w:r>
      <w:r>
        <w:tab/>
      </w:r>
      <w:r w:rsidR="009A66B3">
        <w:rPr>
          <w:strike/>
        </w:rPr>
        <w:t xml:space="preserve">When applying this </w:t>
      </w:r>
      <w:r w:rsidR="00DF68EF">
        <w:rPr>
          <w:strike/>
        </w:rPr>
        <w:t>Standard</w:t>
      </w:r>
      <w:r w:rsidR="009A66B3">
        <w:rPr>
          <w:strike/>
        </w:rPr>
        <w:t xml:space="preserve"> for the first time</w:t>
      </w:r>
      <w:r w:rsidR="009A66B3">
        <w:t xml:space="preserve"> </w:t>
      </w:r>
      <w:r w:rsidR="009A66B3">
        <w:rPr>
          <w:u w:val="single"/>
        </w:rPr>
        <w:t>At the date of initial application</w:t>
      </w:r>
      <w:r w:rsidR="009A66B3">
        <w:t xml:space="preserve">, an entity is not required to make adjustments to the </w:t>
      </w:r>
      <w:r w:rsidR="009A66B3">
        <w:rPr>
          <w:u w:val="single"/>
        </w:rPr>
        <w:t>previous</w:t>
      </w:r>
      <w:r w:rsidR="009A66B3">
        <w:t xml:space="preserve"> accounting for its involvement with either:</w:t>
      </w:r>
    </w:p>
    <w:p w:rsidR="006F75F8" w:rsidRDefault="006F75F8" w:rsidP="005A5388">
      <w:pPr>
        <w:pStyle w:val="NumPlain3"/>
      </w:pPr>
      <w:r>
        <w:t xml:space="preserve">entities that </w:t>
      </w:r>
      <w:r>
        <w:rPr>
          <w:strike/>
        </w:rPr>
        <w:t>were previously</w:t>
      </w:r>
      <w:r>
        <w:t xml:space="preserve"> </w:t>
      </w:r>
      <w:r>
        <w:rPr>
          <w:u w:val="single"/>
        </w:rPr>
        <w:t>would be</w:t>
      </w:r>
      <w:r>
        <w:t xml:space="preserve"> consolidated </w:t>
      </w:r>
      <w:r>
        <w:rPr>
          <w:u w:val="single"/>
        </w:rPr>
        <w:t>at that date</w:t>
      </w:r>
      <w:r>
        <w:t xml:space="preserve"> in accordance with AASB 127 </w:t>
      </w:r>
      <w:r>
        <w:rPr>
          <w:i/>
        </w:rPr>
        <w:t>Consolidated and Separate Financial Statements</w:t>
      </w:r>
      <w:r>
        <w:t xml:space="preserve"> and Interpretation 112 </w:t>
      </w:r>
      <w:r>
        <w:rPr>
          <w:i/>
        </w:rPr>
        <w:t>Consolidation</w:t>
      </w:r>
      <w:r w:rsidR="000A3F3B">
        <w:t xml:space="preserve"> </w:t>
      </w:r>
      <w:r w:rsidR="000A3F3B">
        <w:rPr>
          <w:i/>
        </w:rPr>
        <w:t xml:space="preserve">– </w:t>
      </w:r>
      <w:r>
        <w:rPr>
          <w:i/>
        </w:rPr>
        <w:t>Special Purpose Entities</w:t>
      </w:r>
      <w:r>
        <w:t xml:space="preserve"> and</w:t>
      </w:r>
      <w:r>
        <w:rPr>
          <w:strike/>
        </w:rPr>
        <w:t>,</w:t>
      </w:r>
      <w:r>
        <w:t xml:space="preserve"> </w:t>
      </w:r>
      <w:r>
        <w:rPr>
          <w:u w:val="single"/>
        </w:rPr>
        <w:t>are still consolidated</w:t>
      </w:r>
      <w:r>
        <w:t xml:space="preserve"> in accordance with this Standard</w:t>
      </w:r>
      <w:r>
        <w:rPr>
          <w:strike/>
        </w:rPr>
        <w:t>, continue to be consolidated</w:t>
      </w:r>
      <w:r>
        <w:t>; or</w:t>
      </w:r>
    </w:p>
    <w:p w:rsidR="006F75F8" w:rsidRDefault="006F75F8" w:rsidP="005A5388">
      <w:pPr>
        <w:pStyle w:val="NumPlain3"/>
      </w:pPr>
      <w:r>
        <w:t xml:space="preserve">entities that </w:t>
      </w:r>
      <w:r>
        <w:rPr>
          <w:strike/>
        </w:rPr>
        <w:t>were previously unconsolidated</w:t>
      </w:r>
      <w:r>
        <w:t xml:space="preserve"> </w:t>
      </w:r>
      <w:r>
        <w:rPr>
          <w:u w:val="single"/>
        </w:rPr>
        <w:t>would not be consolidated at that date</w:t>
      </w:r>
      <w:r>
        <w:t xml:space="preserve"> in accordance with AASB 127 and Interpretation 112 and</w:t>
      </w:r>
      <w:r>
        <w:rPr>
          <w:strike/>
        </w:rPr>
        <w:t>,</w:t>
      </w:r>
      <w:r>
        <w:t xml:space="preserve"> </w:t>
      </w:r>
      <w:r>
        <w:rPr>
          <w:u w:val="single"/>
        </w:rPr>
        <w:t>are not consolidated</w:t>
      </w:r>
      <w:r>
        <w:t xml:space="preserve"> in accordance with this Standard</w:t>
      </w:r>
      <w:r>
        <w:rPr>
          <w:strike/>
        </w:rPr>
        <w:t>, continue not to be consolidated</w:t>
      </w:r>
      <w:r>
        <w:t>.</w:t>
      </w:r>
    </w:p>
    <w:p w:rsidR="006F75F8" w:rsidRDefault="006F75F8" w:rsidP="006F75F8">
      <w:pPr>
        <w:pStyle w:val="SubNumPlain1"/>
      </w:pPr>
      <w:r>
        <w:lastRenderedPageBreak/>
        <w:t>C4</w:t>
      </w:r>
      <w:r>
        <w:tab/>
      </w:r>
      <w:r>
        <w:rPr>
          <w:strike/>
        </w:rPr>
        <w:t>When application of this Standard for the first time results in</w:t>
      </w:r>
      <w:r>
        <w:t xml:space="preserve"> </w:t>
      </w:r>
      <w:r>
        <w:rPr>
          <w:u w:val="single"/>
        </w:rPr>
        <w:t>If, at the date of initial application,</w:t>
      </w:r>
      <w:r>
        <w:t xml:space="preserve"> an investor </w:t>
      </w:r>
      <w:r>
        <w:rPr>
          <w:u w:val="single"/>
        </w:rPr>
        <w:t>concludes that it shall consolidate</w:t>
      </w:r>
      <w:r>
        <w:t xml:space="preserve"> </w:t>
      </w:r>
      <w:r>
        <w:rPr>
          <w:strike/>
        </w:rPr>
        <w:t>consolidating</w:t>
      </w:r>
      <w:r>
        <w:t xml:space="preserve"> an investee that was not consolidated in accordance with AASB 127 and Interpretation 112</w:t>
      </w:r>
      <w:r>
        <w:rPr>
          <w:u w:val="single"/>
        </w:rPr>
        <w:t>,</w:t>
      </w:r>
      <w:r>
        <w:t xml:space="preserve"> the investor shall:</w:t>
      </w:r>
    </w:p>
    <w:p w:rsidR="006F75F8" w:rsidRDefault="006F75F8" w:rsidP="005A5388">
      <w:pPr>
        <w:pStyle w:val="NumPlain3"/>
        <w:numPr>
          <w:ilvl w:val="2"/>
          <w:numId w:val="11"/>
        </w:numPr>
      </w:pPr>
      <w:r>
        <w:t xml:space="preserve">if the investee is a business (as defined in </w:t>
      </w:r>
      <w:r w:rsidR="00485226">
        <w:t>AASB</w:t>
      </w:r>
      <w:r w:rsidR="003B36D3">
        <w:t> </w:t>
      </w:r>
      <w:r>
        <w:t xml:space="preserve">3 </w:t>
      </w:r>
      <w:r w:rsidRPr="005A5388">
        <w:rPr>
          <w:i/>
          <w:u w:val="single"/>
        </w:rPr>
        <w:t>Business Combinations</w:t>
      </w:r>
      <w:r>
        <w:t xml:space="preserve">), measure the assets, liabilities and non-controlling interests in that previously unconsolidated investee </w:t>
      </w:r>
      <w:r w:rsidRPr="005A5388">
        <w:rPr>
          <w:strike/>
        </w:rPr>
        <w:t>on the date of initial application</w:t>
      </w:r>
      <w:r>
        <w:t xml:space="preserve"> as if that investee had been consolidated (and thus </w:t>
      </w:r>
      <w:r w:rsidRPr="005A5388">
        <w:rPr>
          <w:u w:val="single"/>
        </w:rPr>
        <w:t>had</w:t>
      </w:r>
      <w:r>
        <w:t xml:space="preserve"> applied acquisition accounting in accordance with </w:t>
      </w:r>
      <w:r w:rsidR="00485226">
        <w:t>AASB</w:t>
      </w:r>
      <w:r>
        <w:t xml:space="preserve"> 3) from the date when the investor obtained control of that investee on the basis of the requirements of this </w:t>
      </w:r>
      <w:r w:rsidR="00485226">
        <w:t>Standard</w:t>
      </w:r>
      <w:r w:rsidR="005E5326">
        <w:t xml:space="preserve">.  </w:t>
      </w:r>
      <w:r w:rsidRPr="005A5388">
        <w:rPr>
          <w:u w:val="single"/>
        </w:rPr>
        <w:t xml:space="preserve">The investor shall adjust retrospectively the annual </w:t>
      </w:r>
      <w:r w:rsidR="00842C56">
        <w:rPr>
          <w:u w:val="single"/>
        </w:rPr>
        <w:t xml:space="preserve">reporting </w:t>
      </w:r>
      <w:r w:rsidRPr="005A5388">
        <w:rPr>
          <w:u w:val="single"/>
        </w:rPr>
        <w:t>period immediately preceding t</w:t>
      </w:r>
      <w:r w:rsidR="005E5326" w:rsidRPr="005A5388">
        <w:rPr>
          <w:u w:val="single"/>
        </w:rPr>
        <w:t xml:space="preserve">he date of initial application.  </w:t>
      </w:r>
      <w:r w:rsidRPr="005A5388">
        <w:rPr>
          <w:u w:val="single"/>
        </w:rPr>
        <w:t>When the date that control was obtained is earlier than the beginning of the immediately preceding period, the investor shall recognise, as an adjustment to equity at the beginning of the immediately preceding period, any difference between:</w:t>
      </w:r>
      <w:r>
        <w:t xml:space="preserve"> </w:t>
      </w:r>
    </w:p>
    <w:p w:rsidR="00485226" w:rsidRPr="00485226" w:rsidRDefault="00485226" w:rsidP="00485226">
      <w:pPr>
        <w:pStyle w:val="SubNumPlain3"/>
      </w:pPr>
      <w:r>
        <w:rPr>
          <w:u w:val="single"/>
        </w:rPr>
        <w:t>the amount of assets, liabilities and non-controlling interests recognised; and</w:t>
      </w:r>
    </w:p>
    <w:p w:rsidR="00485226" w:rsidRPr="00485226" w:rsidRDefault="00485226" w:rsidP="00485226">
      <w:pPr>
        <w:pStyle w:val="SubNumPlain3"/>
      </w:pPr>
      <w:r>
        <w:rPr>
          <w:u w:val="single"/>
        </w:rPr>
        <w:t>the previous carrying amount of the investor’s involvement with the investee.</w:t>
      </w:r>
    </w:p>
    <w:p w:rsidR="00485226" w:rsidRPr="00485226" w:rsidRDefault="00485226" w:rsidP="005A5388">
      <w:pPr>
        <w:pStyle w:val="NumPlain3"/>
      </w:pPr>
      <w:r>
        <w:t xml:space="preserve">if the investee is not a business (as defined in </w:t>
      </w:r>
      <w:r w:rsidR="0014154B">
        <w:t>AASB</w:t>
      </w:r>
      <w:r>
        <w:t xml:space="preserve"> 3), measure the assets, liabilities and non-controlling interests in that previously unconsolidated investee </w:t>
      </w:r>
      <w:r>
        <w:rPr>
          <w:strike/>
        </w:rPr>
        <w:t>on the date of initial application</w:t>
      </w:r>
      <w:r>
        <w:t xml:space="preserve"> as if that investee had been consolidated (applying the acquisition method as described in </w:t>
      </w:r>
      <w:r w:rsidR="0014154B">
        <w:t>AASB</w:t>
      </w:r>
      <w:r>
        <w:t xml:space="preserve"> 3 </w:t>
      </w:r>
      <w:r>
        <w:rPr>
          <w:u w:val="single"/>
        </w:rPr>
        <w:t>but</w:t>
      </w:r>
      <w:r>
        <w:t xml:space="preserve"> without recognising any goodwill for the investee) from the date when the investor obtained control of that investee on the basis of the requirements of this </w:t>
      </w:r>
      <w:r w:rsidR="0014154B">
        <w:t>Standard</w:t>
      </w:r>
      <w:r>
        <w:t xml:space="preserve">. </w:t>
      </w:r>
      <w:r>
        <w:rPr>
          <w:u w:val="single"/>
        </w:rPr>
        <w:t xml:space="preserve">The investor shall adjust retrospectively the annual </w:t>
      </w:r>
      <w:r w:rsidR="00842C56">
        <w:rPr>
          <w:u w:val="single"/>
        </w:rPr>
        <w:t xml:space="preserve">reporting </w:t>
      </w:r>
      <w:r>
        <w:rPr>
          <w:u w:val="single"/>
        </w:rPr>
        <w:t>period immediately preceding the date of initial application.  When the date that control was obtained is earlier than the beginning of the immediately preceding period, the investor shall recognise, as an adjustment to equity at the beginning of the</w:t>
      </w:r>
      <w:r w:rsidR="00737CED">
        <w:rPr>
          <w:u w:val="single"/>
        </w:rPr>
        <w:t xml:space="preserve"> immediately preceding period, </w:t>
      </w:r>
      <w:r w:rsidRPr="00737CED">
        <w:rPr>
          <w:strike/>
        </w:rPr>
        <w:t>Any</w:t>
      </w:r>
      <w:r w:rsidR="00737CED" w:rsidRPr="00737CED">
        <w:t xml:space="preserve"> </w:t>
      </w:r>
      <w:r w:rsidR="00737CED" w:rsidRPr="00737CED">
        <w:rPr>
          <w:u w:val="single"/>
        </w:rPr>
        <w:t>any</w:t>
      </w:r>
      <w:r w:rsidR="00737CED">
        <w:t xml:space="preserve"> </w:t>
      </w:r>
      <w:r>
        <w:t>difference between</w:t>
      </w:r>
      <w:r>
        <w:rPr>
          <w:u w:val="single"/>
        </w:rPr>
        <w:t>:</w:t>
      </w:r>
    </w:p>
    <w:p w:rsidR="00485226" w:rsidRDefault="00485226" w:rsidP="006859BA">
      <w:pPr>
        <w:pStyle w:val="SubNumPlain3"/>
        <w:numPr>
          <w:ilvl w:val="2"/>
          <w:numId w:val="13"/>
        </w:numPr>
      </w:pPr>
      <w:r>
        <w:t>the amount of assets, liabilities and non-controlling interests recognised</w:t>
      </w:r>
      <w:r w:rsidRPr="006859BA">
        <w:rPr>
          <w:u w:val="single"/>
        </w:rPr>
        <w:t>;</w:t>
      </w:r>
      <w:r>
        <w:t xml:space="preserve"> and</w:t>
      </w:r>
    </w:p>
    <w:p w:rsidR="00485226" w:rsidRPr="00544B90" w:rsidRDefault="00485226" w:rsidP="00485226">
      <w:pPr>
        <w:pStyle w:val="SubNumPlain3"/>
      </w:pPr>
      <w:r>
        <w:t>the previous carrying amount of the investor’s involvement with the investee</w:t>
      </w:r>
      <w:r>
        <w:rPr>
          <w:u w:val="single"/>
        </w:rPr>
        <w:t>.</w:t>
      </w:r>
    </w:p>
    <w:p w:rsidR="002C5999" w:rsidRDefault="00544B90" w:rsidP="002C5999">
      <w:pPr>
        <w:pStyle w:val="NoNumPlain4"/>
        <w:rPr>
          <w:strike/>
        </w:rPr>
      </w:pPr>
      <w:r w:rsidRPr="006549F9">
        <w:rPr>
          <w:strike/>
        </w:rPr>
        <w:t>shall be recognised as a corresponding adjustment to the opening balance of equity.</w:t>
      </w:r>
    </w:p>
    <w:p w:rsidR="00D564E7" w:rsidRDefault="00D564E7" w:rsidP="007035CA">
      <w:pPr>
        <w:pStyle w:val="SubNumPlain1"/>
        <w:ind w:left="1020" w:hanging="510"/>
      </w:pPr>
      <w:r>
        <w:rPr>
          <w:strike/>
        </w:rPr>
        <w:t>(c)</w:t>
      </w:r>
      <w:r>
        <w:rPr>
          <w:u w:val="single"/>
        </w:rPr>
        <w:t>C4A</w:t>
      </w:r>
      <w:r>
        <w:tab/>
      </w:r>
      <w:r w:rsidRPr="00737CED">
        <w:rPr>
          <w:strike/>
        </w:rPr>
        <w:t>if</w:t>
      </w:r>
      <w:r w:rsidR="00737CED" w:rsidRPr="00737CED">
        <w:t xml:space="preserve"> </w:t>
      </w:r>
      <w:r w:rsidR="00737CED" w:rsidRPr="00737CED">
        <w:rPr>
          <w:u w:val="single"/>
        </w:rPr>
        <w:t>If</w:t>
      </w:r>
      <w:r>
        <w:t xml:space="preserve"> measuring an investee’s assets, liabilities and non-  controlling interest</w:t>
      </w:r>
      <w:r>
        <w:rPr>
          <w:u w:val="single"/>
        </w:rPr>
        <w:t>s</w:t>
      </w:r>
      <w:r>
        <w:t xml:space="preserve"> in accordance with </w:t>
      </w:r>
      <w:r>
        <w:rPr>
          <w:u w:val="single"/>
        </w:rPr>
        <w:t>paragraph C4</w:t>
      </w:r>
      <w:r>
        <w:t xml:space="preserve">(a) or (b) is impracticable (as defined in </w:t>
      </w:r>
      <w:r w:rsidR="0014154B">
        <w:t>AASB</w:t>
      </w:r>
      <w:r>
        <w:t xml:space="preserve"> </w:t>
      </w:r>
      <w:r w:rsidR="0014154B">
        <w:t>108</w:t>
      </w:r>
      <w:r>
        <w:t xml:space="preserve">), </w:t>
      </w:r>
      <w:r>
        <w:rPr>
          <w:strike/>
        </w:rPr>
        <w:t>the</w:t>
      </w:r>
      <w:r>
        <w:t xml:space="preserve"> </w:t>
      </w:r>
      <w:r>
        <w:rPr>
          <w:u w:val="single"/>
        </w:rPr>
        <w:t>an</w:t>
      </w:r>
      <w:r>
        <w:t xml:space="preserve"> investor shall:</w:t>
      </w:r>
    </w:p>
    <w:p w:rsidR="00D564E7" w:rsidRDefault="00D564E7" w:rsidP="00D564E7">
      <w:pPr>
        <w:pStyle w:val="SubNumPlain2"/>
        <w:numPr>
          <w:ilvl w:val="0"/>
          <w:numId w:val="0"/>
        </w:numPr>
        <w:ind w:left="1531" w:hanging="511"/>
      </w:pPr>
      <w:r>
        <w:rPr>
          <w:strike/>
        </w:rPr>
        <w:t>(i)</w:t>
      </w:r>
      <w:r>
        <w:rPr>
          <w:u w:val="single"/>
        </w:rPr>
        <w:t>(a)</w:t>
      </w:r>
      <w:r>
        <w:tab/>
        <w:t xml:space="preserve">if the investee is a business, apply the requirements of </w:t>
      </w:r>
      <w:r w:rsidR="0014154B">
        <w:t>AASB</w:t>
      </w:r>
      <w:r>
        <w:t xml:space="preserve"> 3 </w:t>
      </w:r>
      <w:r>
        <w:rPr>
          <w:u w:val="single"/>
        </w:rPr>
        <w:t>as of the deemed acquisition date</w:t>
      </w:r>
      <w:r w:rsidR="00C85DE2">
        <w:t xml:space="preserve">.  </w:t>
      </w:r>
      <w:r>
        <w:t xml:space="preserve">The deemed acquisition date shall be the beginning of the earliest period for which application of </w:t>
      </w:r>
      <w:r w:rsidR="0014154B">
        <w:rPr>
          <w:strike/>
        </w:rPr>
        <w:t>AASB</w:t>
      </w:r>
      <w:r>
        <w:rPr>
          <w:strike/>
        </w:rPr>
        <w:t xml:space="preserve"> 3</w:t>
      </w:r>
      <w:r>
        <w:t xml:space="preserve"> </w:t>
      </w:r>
      <w:r>
        <w:rPr>
          <w:u w:val="single"/>
        </w:rPr>
        <w:t>paragraph C4(a)</w:t>
      </w:r>
      <w:r>
        <w:t xml:space="preserve"> is practicable, which may be the current period.</w:t>
      </w:r>
    </w:p>
    <w:p w:rsidR="00D564E7" w:rsidRDefault="00D564E7" w:rsidP="00D564E7">
      <w:pPr>
        <w:pStyle w:val="SubNumPlain2"/>
        <w:numPr>
          <w:ilvl w:val="0"/>
          <w:numId w:val="0"/>
        </w:numPr>
        <w:ind w:left="1531" w:hanging="511"/>
      </w:pPr>
      <w:r>
        <w:rPr>
          <w:strike/>
        </w:rPr>
        <w:t>(ii)</w:t>
      </w:r>
      <w:r>
        <w:rPr>
          <w:u w:val="single"/>
        </w:rPr>
        <w:t>(b)</w:t>
      </w:r>
      <w:r>
        <w:tab/>
        <w:t xml:space="preserve">if the investee is not a business, apply the acquisition method as described in </w:t>
      </w:r>
      <w:r w:rsidR="0014154B">
        <w:t>AASB</w:t>
      </w:r>
      <w:r>
        <w:t xml:space="preserve"> 3 </w:t>
      </w:r>
      <w:r>
        <w:rPr>
          <w:u w:val="single"/>
        </w:rPr>
        <w:t>but</w:t>
      </w:r>
      <w:r>
        <w:t xml:space="preserve"> without recognising any goodwill for the investee as </w:t>
      </w:r>
      <w:r w:rsidR="00C85DE2">
        <w:t xml:space="preserve">of the deemed acquisition date.  </w:t>
      </w:r>
      <w:r>
        <w:t xml:space="preserve">The deemed acquisition date shall be the beginning of the earliest period for which the application of </w:t>
      </w:r>
      <w:r>
        <w:rPr>
          <w:strike/>
        </w:rPr>
        <w:t>this</w:t>
      </w:r>
      <w:r>
        <w:t xml:space="preserve"> paragraph </w:t>
      </w:r>
      <w:r>
        <w:rPr>
          <w:u w:val="single"/>
        </w:rPr>
        <w:t>C4(b)</w:t>
      </w:r>
      <w:r>
        <w:t xml:space="preserve"> is practicable, which may be the current period.</w:t>
      </w:r>
    </w:p>
    <w:p w:rsidR="00D564E7" w:rsidRDefault="00D564E7" w:rsidP="00D564E7">
      <w:pPr>
        <w:pStyle w:val="NoNumPlain3"/>
      </w:pPr>
      <w:r>
        <w:rPr>
          <w:strike/>
        </w:rPr>
        <w:t>The investor shall recognise any difference between</w:t>
      </w:r>
      <w:r>
        <w:t xml:space="preserve"> </w:t>
      </w:r>
      <w:r w:rsidRPr="00D564E7">
        <w:rPr>
          <w:u w:val="single"/>
        </w:rPr>
        <w:t xml:space="preserve">The investor shall adjust retrospectively the annual </w:t>
      </w:r>
      <w:r w:rsidR="00842C56">
        <w:rPr>
          <w:u w:val="single"/>
        </w:rPr>
        <w:t xml:space="preserve">reporting </w:t>
      </w:r>
      <w:r w:rsidRPr="00D564E7">
        <w:rPr>
          <w:u w:val="single"/>
        </w:rPr>
        <w:t>period immediately preceding the date of initial application, unless the beginning of the earliest period for which application of this paragraph is pra</w:t>
      </w:r>
      <w:r w:rsidR="00C85DE2">
        <w:rPr>
          <w:u w:val="single"/>
        </w:rPr>
        <w:t xml:space="preserve">cticable is the current period.  </w:t>
      </w:r>
      <w:r w:rsidRPr="00D564E7">
        <w:rPr>
          <w:u w:val="single"/>
        </w:rPr>
        <w:t>When the deemed acquisition date is earlier than the beginning of the immediately preceding period, the investor shall recognise, as an adjustment to equity at the beginning of the immediately preceding period, any difference between:</w:t>
      </w:r>
    </w:p>
    <w:p w:rsidR="00D564E7" w:rsidRDefault="00D564E7" w:rsidP="00D564E7">
      <w:pPr>
        <w:pStyle w:val="SubNumPlain2"/>
        <w:numPr>
          <w:ilvl w:val="0"/>
          <w:numId w:val="0"/>
        </w:numPr>
        <w:ind w:left="1531" w:hanging="511"/>
      </w:pPr>
      <w:r>
        <w:rPr>
          <w:u w:val="single"/>
        </w:rPr>
        <w:t>(c)</w:t>
      </w:r>
      <w:r>
        <w:tab/>
        <w:t xml:space="preserve">the amount of assets, liabilities and non-controlling interests recognised </w:t>
      </w:r>
      <w:r>
        <w:rPr>
          <w:strike/>
        </w:rPr>
        <w:t>at the deemed acquisition date</w:t>
      </w:r>
      <w:r>
        <w:rPr>
          <w:u w:val="single"/>
        </w:rPr>
        <w:t>;</w:t>
      </w:r>
      <w:r>
        <w:t xml:space="preserve"> and</w:t>
      </w:r>
    </w:p>
    <w:p w:rsidR="00D564E7" w:rsidRDefault="00D564E7" w:rsidP="00D564E7">
      <w:pPr>
        <w:pStyle w:val="SubNumPlain2"/>
        <w:numPr>
          <w:ilvl w:val="0"/>
          <w:numId w:val="0"/>
        </w:numPr>
        <w:ind w:left="1531" w:hanging="511"/>
      </w:pPr>
      <w:r>
        <w:rPr>
          <w:u w:val="single"/>
        </w:rPr>
        <w:t>(d)</w:t>
      </w:r>
      <w:r>
        <w:tab/>
      </w:r>
      <w:r w:rsidR="00C85DE2">
        <w:rPr>
          <w:strike/>
        </w:rPr>
        <w:t>any previously recognised</w:t>
      </w:r>
      <w:r w:rsidR="00C85DE2">
        <w:t xml:space="preserve"> </w:t>
      </w:r>
      <w:r w:rsidR="00C85DE2">
        <w:rPr>
          <w:u w:val="single"/>
        </w:rPr>
        <w:t>the previous carrying</w:t>
      </w:r>
      <w:r w:rsidR="00C85DE2">
        <w:t xml:space="preserve"> amount</w:t>
      </w:r>
      <w:r w:rsidR="00C85DE2">
        <w:rPr>
          <w:strike/>
        </w:rPr>
        <w:t>s from its</w:t>
      </w:r>
      <w:r w:rsidR="00C85DE2">
        <w:t xml:space="preserve"> </w:t>
      </w:r>
      <w:r w:rsidR="00C85DE2">
        <w:rPr>
          <w:u w:val="single"/>
        </w:rPr>
        <w:t>of the investor’s</w:t>
      </w:r>
      <w:r w:rsidR="00C85DE2">
        <w:t xml:space="preserve"> involvement </w:t>
      </w:r>
      <w:r w:rsidR="00C85DE2">
        <w:rPr>
          <w:u w:val="single"/>
        </w:rPr>
        <w:t>with the investee.</w:t>
      </w:r>
      <w:r w:rsidR="00C85DE2">
        <w:t xml:space="preserve"> </w:t>
      </w:r>
      <w:r w:rsidR="00C85DE2">
        <w:rPr>
          <w:strike/>
        </w:rPr>
        <w:t xml:space="preserve">as an adjustment to equity for that period. </w:t>
      </w:r>
      <w:r w:rsidR="00737CED">
        <w:rPr>
          <w:strike/>
        </w:rPr>
        <w:t xml:space="preserve"> </w:t>
      </w:r>
      <w:r w:rsidR="00C85DE2">
        <w:rPr>
          <w:strike/>
        </w:rPr>
        <w:t xml:space="preserve">In addition, the investor shall provide comparative information and disclosures in accordance with </w:t>
      </w:r>
      <w:r w:rsidR="00D56A2C">
        <w:rPr>
          <w:strike/>
        </w:rPr>
        <w:t>AASB</w:t>
      </w:r>
      <w:r w:rsidR="00C85DE2">
        <w:rPr>
          <w:strike/>
        </w:rPr>
        <w:t xml:space="preserve"> </w:t>
      </w:r>
      <w:r w:rsidR="00D56A2C">
        <w:rPr>
          <w:strike/>
        </w:rPr>
        <w:t>108</w:t>
      </w:r>
      <w:r w:rsidR="00C85DE2">
        <w:rPr>
          <w:strike/>
        </w:rPr>
        <w:t>.</w:t>
      </w:r>
    </w:p>
    <w:p w:rsidR="005E5326" w:rsidRDefault="00D564E7" w:rsidP="00D564E7">
      <w:pPr>
        <w:pStyle w:val="NoNumPlain3"/>
        <w:rPr>
          <w:u w:val="single"/>
        </w:rPr>
      </w:pPr>
      <w:r w:rsidRPr="00D564E7">
        <w:rPr>
          <w:u w:val="single"/>
        </w:rPr>
        <w:t>If the earliest period for which application of this paragraph is practicable is the current period, the adjustment to equity shall be recognised at the beginning of the current period.</w:t>
      </w:r>
    </w:p>
    <w:p w:rsidR="00C85DE2" w:rsidRPr="00C85DE2" w:rsidRDefault="005E5326" w:rsidP="00870DC3">
      <w:pPr>
        <w:pStyle w:val="NumPlain1"/>
        <w:keepNext/>
        <w:rPr>
          <w:u w:val="single"/>
        </w:rPr>
      </w:pPr>
      <w:r>
        <w:t>Paragraphs C4B–C4C are added as follows:</w:t>
      </w:r>
    </w:p>
    <w:p w:rsidR="00C85DE2" w:rsidRPr="00C85DE2" w:rsidRDefault="00C85DE2" w:rsidP="00C85DE2">
      <w:pPr>
        <w:pStyle w:val="SubNumPlain1"/>
        <w:rPr>
          <w:u w:val="single"/>
        </w:rPr>
      </w:pPr>
      <w:r>
        <w:t>C4B</w:t>
      </w:r>
      <w:r>
        <w:tab/>
      </w:r>
      <w:r w:rsidRPr="00C85DE2">
        <w:rPr>
          <w:lang w:val="en-GB"/>
        </w:rPr>
        <w:t xml:space="preserve">When an investor applies paragraphs C4–C4A and the date that control was obtained in accordance with this </w:t>
      </w:r>
      <w:r>
        <w:rPr>
          <w:lang w:val="en-GB"/>
        </w:rPr>
        <w:t>Standard</w:t>
      </w:r>
      <w:r w:rsidRPr="00C85DE2">
        <w:rPr>
          <w:lang w:val="en-GB"/>
        </w:rPr>
        <w:t xml:space="preserve"> is later than the effective date of </w:t>
      </w:r>
      <w:r>
        <w:rPr>
          <w:lang w:val="en-GB"/>
        </w:rPr>
        <w:t>AASB</w:t>
      </w:r>
      <w:r w:rsidRPr="00C85DE2">
        <w:rPr>
          <w:lang w:val="en-GB"/>
        </w:rPr>
        <w:t xml:space="preserve"> 3 as revised in 2008 (</w:t>
      </w:r>
      <w:r>
        <w:rPr>
          <w:lang w:val="en-GB"/>
        </w:rPr>
        <w:t>AASB</w:t>
      </w:r>
      <w:r w:rsidRPr="00C85DE2">
        <w:rPr>
          <w:lang w:val="en-GB"/>
        </w:rPr>
        <w:t xml:space="preserve"> 3 (</w:t>
      </w:r>
      <w:r w:rsidR="008B4F89">
        <w:rPr>
          <w:lang w:val="en-GB"/>
        </w:rPr>
        <w:t xml:space="preserve">March </w:t>
      </w:r>
      <w:r w:rsidRPr="00C85DE2">
        <w:rPr>
          <w:lang w:val="en-GB"/>
        </w:rPr>
        <w:t xml:space="preserve">2008)), the reference to </w:t>
      </w:r>
      <w:r>
        <w:rPr>
          <w:lang w:val="en-GB"/>
        </w:rPr>
        <w:t>AASB</w:t>
      </w:r>
      <w:r w:rsidRPr="00C85DE2">
        <w:rPr>
          <w:lang w:val="en-GB"/>
        </w:rPr>
        <w:t xml:space="preserve"> 3 in paragraphs C4 and C4A shall be to </w:t>
      </w:r>
      <w:r>
        <w:rPr>
          <w:lang w:val="en-GB"/>
        </w:rPr>
        <w:t>AASB</w:t>
      </w:r>
      <w:r w:rsidRPr="00C85DE2">
        <w:rPr>
          <w:lang w:val="en-GB"/>
        </w:rPr>
        <w:t xml:space="preserve"> 3 (</w:t>
      </w:r>
      <w:r w:rsidR="008B4F89">
        <w:rPr>
          <w:lang w:val="en-GB"/>
        </w:rPr>
        <w:t xml:space="preserve">March </w:t>
      </w:r>
      <w:r w:rsidR="00BF6E76">
        <w:rPr>
          <w:lang w:val="en-GB"/>
        </w:rPr>
        <w:t xml:space="preserve">2008).  </w:t>
      </w:r>
      <w:r w:rsidRPr="00C85DE2">
        <w:rPr>
          <w:lang w:val="en-GB"/>
        </w:rPr>
        <w:t xml:space="preserve">If control was obtained before the effective date of </w:t>
      </w:r>
      <w:r>
        <w:rPr>
          <w:lang w:val="en-GB"/>
        </w:rPr>
        <w:t>AASB</w:t>
      </w:r>
      <w:r w:rsidRPr="00C85DE2">
        <w:rPr>
          <w:lang w:val="en-GB"/>
        </w:rPr>
        <w:t xml:space="preserve"> 3 (</w:t>
      </w:r>
      <w:r w:rsidR="00F46525">
        <w:rPr>
          <w:lang w:val="en-GB"/>
        </w:rPr>
        <w:t xml:space="preserve">March </w:t>
      </w:r>
      <w:r w:rsidRPr="00C85DE2">
        <w:rPr>
          <w:lang w:val="en-GB"/>
        </w:rPr>
        <w:t xml:space="preserve">2008), an investor shall apply either </w:t>
      </w:r>
      <w:r>
        <w:rPr>
          <w:lang w:val="en-GB"/>
        </w:rPr>
        <w:t>AASB</w:t>
      </w:r>
      <w:r w:rsidRPr="00C85DE2">
        <w:rPr>
          <w:lang w:val="en-GB"/>
        </w:rPr>
        <w:t xml:space="preserve"> 3 (</w:t>
      </w:r>
      <w:r w:rsidR="008B4F89">
        <w:rPr>
          <w:lang w:val="en-GB"/>
        </w:rPr>
        <w:t xml:space="preserve">March </w:t>
      </w:r>
      <w:r w:rsidRPr="00C85DE2">
        <w:rPr>
          <w:lang w:val="en-GB"/>
        </w:rPr>
        <w:t xml:space="preserve">2008) or </w:t>
      </w:r>
      <w:r w:rsidR="000E4104">
        <w:rPr>
          <w:lang w:val="en-GB"/>
        </w:rPr>
        <w:t>AASB</w:t>
      </w:r>
      <w:r w:rsidRPr="00C85DE2">
        <w:rPr>
          <w:lang w:val="en-GB"/>
        </w:rPr>
        <w:t xml:space="preserve"> 3 (</w:t>
      </w:r>
      <w:r w:rsidR="008B4F89">
        <w:rPr>
          <w:lang w:val="en-GB"/>
        </w:rPr>
        <w:t xml:space="preserve">July </w:t>
      </w:r>
      <w:r w:rsidR="000E4104">
        <w:rPr>
          <w:lang w:val="en-GB"/>
        </w:rPr>
        <w:t>2004</w:t>
      </w:r>
      <w:r w:rsidRPr="00C85DE2">
        <w:rPr>
          <w:lang w:val="en-GB"/>
        </w:rPr>
        <w:t>).</w:t>
      </w:r>
    </w:p>
    <w:p w:rsidR="002C5999" w:rsidRPr="00C85DE2" w:rsidRDefault="00C85DE2" w:rsidP="00C85DE2">
      <w:pPr>
        <w:pStyle w:val="SubNumPlain1"/>
        <w:rPr>
          <w:u w:val="single"/>
        </w:rPr>
      </w:pPr>
      <w:r>
        <w:rPr>
          <w:lang w:val="en-GB"/>
        </w:rPr>
        <w:lastRenderedPageBreak/>
        <w:t>C4C</w:t>
      </w:r>
      <w:r>
        <w:rPr>
          <w:lang w:val="en-GB"/>
        </w:rPr>
        <w:tab/>
      </w:r>
      <w:r>
        <w:t xml:space="preserve">When an investor applies paragraphs C4–C4A and the date that control was obtained in accordance with this </w:t>
      </w:r>
      <w:r w:rsidR="005F36AF">
        <w:t>Standard</w:t>
      </w:r>
      <w:r>
        <w:t xml:space="preserve"> is later than the effective date of </w:t>
      </w:r>
      <w:r w:rsidR="005F36AF">
        <w:t>AASB</w:t>
      </w:r>
      <w:r>
        <w:t xml:space="preserve"> </w:t>
      </w:r>
      <w:r w:rsidR="005F36AF">
        <w:t>1</w:t>
      </w:r>
      <w:r>
        <w:t>27 as revised in 2008 (</w:t>
      </w:r>
      <w:r w:rsidR="005F36AF">
        <w:t>AASB 1</w:t>
      </w:r>
      <w:r>
        <w:t>27 (</w:t>
      </w:r>
      <w:r w:rsidR="008B4F89">
        <w:t>March</w:t>
      </w:r>
      <w:r w:rsidR="000E4104">
        <w:t xml:space="preserve"> </w:t>
      </w:r>
      <w:r>
        <w:t xml:space="preserve">2008)), an investor shall apply the requirements of this </w:t>
      </w:r>
      <w:r w:rsidR="00EE1217">
        <w:t>Standard</w:t>
      </w:r>
      <w:r>
        <w:t xml:space="preserve"> for all periods that the investee is retrospectively consolidated in acc</w:t>
      </w:r>
      <w:r w:rsidR="00981454">
        <w:t>o</w:t>
      </w:r>
      <w:r w:rsidR="00BF6E76">
        <w:t xml:space="preserve">rdance with paragraphs C4–C4A.  </w:t>
      </w:r>
      <w:r>
        <w:t xml:space="preserve">If control was obtained before the effective date of </w:t>
      </w:r>
      <w:r w:rsidR="00EE1217">
        <w:t>AASB</w:t>
      </w:r>
      <w:r w:rsidR="000E4104">
        <w:t> </w:t>
      </w:r>
      <w:r w:rsidR="00EE1217">
        <w:t>1</w:t>
      </w:r>
      <w:r>
        <w:t>27 (</w:t>
      </w:r>
      <w:r w:rsidR="008B4F89">
        <w:t>March</w:t>
      </w:r>
      <w:r w:rsidR="000E4104">
        <w:t xml:space="preserve"> </w:t>
      </w:r>
      <w:r>
        <w:t>2008), an investor shall apply either:</w:t>
      </w:r>
    </w:p>
    <w:p w:rsidR="00C85DE2" w:rsidRDefault="00C85DE2" w:rsidP="00C86F06">
      <w:pPr>
        <w:pStyle w:val="NumPlain3"/>
      </w:pPr>
      <w:r>
        <w:t xml:space="preserve">the requirements of this </w:t>
      </w:r>
      <w:r w:rsidR="00EE1217">
        <w:t>Standard</w:t>
      </w:r>
      <w:r>
        <w:t xml:space="preserve"> for all periods that the investee is retrospectively consolidated in accordance with paragraphs C4–C4A; or</w:t>
      </w:r>
    </w:p>
    <w:p w:rsidR="00C86F06" w:rsidRPr="00C86F06" w:rsidRDefault="00C86F06" w:rsidP="00C86F06">
      <w:pPr>
        <w:pStyle w:val="NumPlain3"/>
      </w:pPr>
      <w:r w:rsidRPr="00C86F06">
        <w:t>the requirements of the version of AASB 127 issued in 2004 (AASB 127 (July 2004)) for those periods prior to the effective date of AASB 127 (</w:t>
      </w:r>
      <w:r w:rsidR="006C54FF">
        <w:t xml:space="preserve">March </w:t>
      </w:r>
      <w:r w:rsidRPr="00C86F06">
        <w:t>2008) and thereafter the requirements of this Standard for subsequent periods.</w:t>
      </w:r>
    </w:p>
    <w:p w:rsidR="005233ED" w:rsidRDefault="00530D59" w:rsidP="005233ED">
      <w:pPr>
        <w:pStyle w:val="NumPlain1"/>
      </w:pPr>
      <w:r>
        <w:t>Paragraphs C5–C6</w:t>
      </w:r>
      <w:r w:rsidR="005233ED">
        <w:t xml:space="preserve"> are amended as follows</w:t>
      </w:r>
      <w:r w:rsidR="005233ED" w:rsidRPr="00F3673F">
        <w:t xml:space="preserve"> (new text is underlined and deleted text is struck through):</w:t>
      </w:r>
    </w:p>
    <w:p w:rsidR="00530D59" w:rsidRPr="00530D59" w:rsidRDefault="00530D59" w:rsidP="00530D59">
      <w:pPr>
        <w:pStyle w:val="SubNumPlain1"/>
      </w:pPr>
      <w:r>
        <w:t>C5</w:t>
      </w:r>
      <w:r>
        <w:tab/>
      </w:r>
      <w:r>
        <w:rPr>
          <w:strike/>
        </w:rPr>
        <w:t>When application of this Standard for the first time results in</w:t>
      </w:r>
      <w:r>
        <w:t xml:space="preserve"> </w:t>
      </w:r>
      <w:r>
        <w:rPr>
          <w:u w:val="single"/>
        </w:rPr>
        <w:t>If, at the date of initial application,</w:t>
      </w:r>
      <w:r>
        <w:t xml:space="preserve"> an investor </w:t>
      </w:r>
      <w:r>
        <w:rPr>
          <w:u w:val="single"/>
        </w:rPr>
        <w:t>concludes that it will</w:t>
      </w:r>
      <w:r>
        <w:t xml:space="preserve"> no longer </w:t>
      </w:r>
      <w:r>
        <w:rPr>
          <w:strike/>
        </w:rPr>
        <w:t>consolidating</w:t>
      </w:r>
      <w:r>
        <w:t xml:space="preserve"> </w:t>
      </w:r>
      <w:r>
        <w:rPr>
          <w:u w:val="single"/>
        </w:rPr>
        <w:t>consolidate</w:t>
      </w:r>
      <w:r>
        <w:t xml:space="preserve"> an investee that was consolidated in accordance with AASB 127 </w:t>
      </w:r>
      <w:r>
        <w:rPr>
          <w:strike/>
        </w:rPr>
        <w:t>(as amended in 2008)</w:t>
      </w:r>
      <w:r>
        <w:t xml:space="preserve"> and Interpretation 112, the investor shall measure its </w:t>
      </w:r>
      <w:r>
        <w:rPr>
          <w:strike/>
        </w:rPr>
        <w:t>retained</w:t>
      </w:r>
      <w:r>
        <w:t xml:space="preserve"> interest in the investee </w:t>
      </w:r>
      <w:r>
        <w:rPr>
          <w:strike/>
        </w:rPr>
        <w:t>on the date of initial application</w:t>
      </w:r>
      <w:r>
        <w:t xml:space="preserve"> at the amount at which it would have been measured if the requirements of this Standard had been effective when the investor became involved with </w:t>
      </w:r>
      <w:r>
        <w:rPr>
          <w:u w:val="single"/>
        </w:rPr>
        <w:t>(but did not obtain control in accordance with this Standard)</w:t>
      </w:r>
      <w:r>
        <w:t xml:space="preserve">, or lost control of, the investee. </w:t>
      </w:r>
      <w:r>
        <w:rPr>
          <w:u w:val="single"/>
        </w:rPr>
        <w:t xml:space="preserve">The investor shall adjust retrospectively the annual </w:t>
      </w:r>
      <w:r w:rsidR="00842C56">
        <w:rPr>
          <w:u w:val="single"/>
        </w:rPr>
        <w:t xml:space="preserve">reporting </w:t>
      </w:r>
      <w:r>
        <w:rPr>
          <w:u w:val="single"/>
        </w:rPr>
        <w:t>period immediately preceding t</w:t>
      </w:r>
      <w:r w:rsidR="00BF6E76">
        <w:rPr>
          <w:u w:val="single"/>
        </w:rPr>
        <w:t xml:space="preserve">he date of initial application.  </w:t>
      </w:r>
      <w:r>
        <w:rPr>
          <w:u w:val="single"/>
        </w:rPr>
        <w:t>When the date that the investor became involved with (but did not obtain control in accordance with this Standard), or lost control of, the investee is earlier than the beginning of the immediately preceding period, the investor shall recognise, as an adjustment to equity at the beginning of the immediately preceding period, any difference between:</w:t>
      </w:r>
    </w:p>
    <w:p w:rsidR="00530D59" w:rsidRPr="00530D59" w:rsidRDefault="00530D59" w:rsidP="00530D59">
      <w:pPr>
        <w:pStyle w:val="SubNumPlain2"/>
      </w:pPr>
      <w:r>
        <w:rPr>
          <w:u w:val="single"/>
        </w:rPr>
        <w:t>the previous carrying amount of the assets, liabilities and non-controlling interests; and</w:t>
      </w:r>
    </w:p>
    <w:p w:rsidR="00530D59" w:rsidRPr="00981454" w:rsidRDefault="00530D59" w:rsidP="00530D59">
      <w:pPr>
        <w:pStyle w:val="SubNumPlain2"/>
      </w:pPr>
      <w:r>
        <w:rPr>
          <w:u w:val="single"/>
        </w:rPr>
        <w:t>the recognised amount of the investor’s interest in the investee.</w:t>
      </w:r>
    </w:p>
    <w:p w:rsidR="00C86F06" w:rsidRPr="00C86F06" w:rsidRDefault="00981454" w:rsidP="00981454">
      <w:pPr>
        <w:pStyle w:val="SubNumPlain1"/>
      </w:pPr>
      <w:r w:rsidRPr="00981454">
        <w:rPr>
          <w:u w:val="single"/>
        </w:rPr>
        <w:t>C5A</w:t>
      </w:r>
      <w:r w:rsidRPr="00737CED">
        <w:tab/>
      </w:r>
      <w:r>
        <w:t xml:space="preserve">If </w:t>
      </w:r>
      <w:r w:rsidRPr="00981454">
        <w:rPr>
          <w:u w:val="single"/>
        </w:rPr>
        <w:t>measuring</w:t>
      </w:r>
      <w:r>
        <w:t xml:space="preserve"> </w:t>
      </w:r>
      <w:r>
        <w:rPr>
          <w:strike/>
        </w:rPr>
        <w:t>measurement of</w:t>
      </w:r>
      <w:r>
        <w:t xml:space="preserve"> the </w:t>
      </w:r>
      <w:r>
        <w:rPr>
          <w:strike/>
        </w:rPr>
        <w:t>retained</w:t>
      </w:r>
      <w:r>
        <w:t xml:space="preserve"> interest </w:t>
      </w:r>
      <w:r w:rsidRPr="00981454">
        <w:rPr>
          <w:u w:val="single"/>
        </w:rPr>
        <w:t>in the investee in accordance with paragraph C5</w:t>
      </w:r>
      <w:r>
        <w:t xml:space="preserve"> i</w:t>
      </w:r>
      <w:r w:rsidR="00C86F06">
        <w:t>s impracticable (as defined in AASB</w:t>
      </w:r>
      <w:r>
        <w:t xml:space="preserve"> </w:t>
      </w:r>
      <w:r w:rsidR="00C86F06">
        <w:t>108</w:t>
      </w:r>
      <w:r>
        <w:t xml:space="preserve">), </w:t>
      </w:r>
      <w:r>
        <w:rPr>
          <w:strike/>
        </w:rPr>
        <w:t>the</w:t>
      </w:r>
      <w:r>
        <w:t xml:space="preserve"> </w:t>
      </w:r>
      <w:r w:rsidRPr="00C86F06">
        <w:rPr>
          <w:u w:val="single"/>
        </w:rPr>
        <w:t>an</w:t>
      </w:r>
      <w:r>
        <w:t xml:space="preserve"> investor shall apply the requirements of this </w:t>
      </w:r>
      <w:r w:rsidR="00C86F06">
        <w:t>Standard</w:t>
      </w:r>
      <w:r>
        <w:t xml:space="preserve"> </w:t>
      </w:r>
      <w:r>
        <w:rPr>
          <w:strike/>
        </w:rPr>
        <w:t>for accounting for a loss of control</w:t>
      </w:r>
      <w:r>
        <w:t xml:space="preserve"> at the beginning of the earliest period for which application of </w:t>
      </w:r>
      <w:r>
        <w:rPr>
          <w:strike/>
        </w:rPr>
        <w:t xml:space="preserve">this </w:t>
      </w:r>
      <w:r w:rsidR="00C86F06">
        <w:rPr>
          <w:strike/>
        </w:rPr>
        <w:t>Standard</w:t>
      </w:r>
      <w:r>
        <w:t xml:space="preserve"> </w:t>
      </w:r>
      <w:r w:rsidRPr="00C86F06">
        <w:rPr>
          <w:u w:val="single"/>
        </w:rPr>
        <w:t>paragraph C5</w:t>
      </w:r>
      <w:r>
        <w:t xml:space="preserve"> is practicable, which may be the current period. </w:t>
      </w:r>
      <w:r>
        <w:rPr>
          <w:strike/>
        </w:rPr>
        <w:t>The investor shall recognise any difference between</w:t>
      </w:r>
      <w:r>
        <w:t xml:space="preserve"> </w:t>
      </w:r>
      <w:r w:rsidRPr="00C86F06">
        <w:rPr>
          <w:u w:val="single"/>
        </w:rPr>
        <w:t xml:space="preserve">The investor shall adjust retrospectively the annual </w:t>
      </w:r>
      <w:r w:rsidR="00842C56">
        <w:rPr>
          <w:u w:val="single"/>
        </w:rPr>
        <w:t xml:space="preserve">reporting </w:t>
      </w:r>
      <w:r w:rsidRPr="00C86F06">
        <w:rPr>
          <w:u w:val="single"/>
        </w:rPr>
        <w:t xml:space="preserve">period immediately preceding the date of initial application, unless the beginning of the earliest period for which application of this paragraph is practicable is the current period. </w:t>
      </w:r>
      <w:r w:rsidR="00BF6E76">
        <w:rPr>
          <w:u w:val="single"/>
        </w:rPr>
        <w:t xml:space="preserve"> </w:t>
      </w:r>
      <w:r w:rsidRPr="00C86F06">
        <w:rPr>
          <w:u w:val="single"/>
        </w:rPr>
        <w:t xml:space="preserve">When the date that the investor became involved with (but did not obtain control in accordance with this </w:t>
      </w:r>
      <w:r w:rsidR="00C86F06">
        <w:rPr>
          <w:u w:val="single"/>
        </w:rPr>
        <w:t>Standard</w:t>
      </w:r>
      <w:r w:rsidRPr="00C86F06">
        <w:rPr>
          <w:u w:val="single"/>
        </w:rPr>
        <w:t>), or lost control of, the investee is earlier than the beginning of the immediately preceding period, the investor shall recognise, as an adjustment to equity at the beginning of the immediately preceding period, any difference between:</w:t>
      </w:r>
    </w:p>
    <w:p w:rsidR="00C86F06" w:rsidRDefault="00C86F06" w:rsidP="00C86F06">
      <w:pPr>
        <w:pStyle w:val="SubNumPlain2"/>
      </w:pPr>
      <w:r>
        <w:t xml:space="preserve">the </w:t>
      </w:r>
      <w:r>
        <w:rPr>
          <w:strike/>
        </w:rPr>
        <w:t>previously recognised</w:t>
      </w:r>
      <w:r>
        <w:t xml:space="preserve"> </w:t>
      </w:r>
      <w:r>
        <w:rPr>
          <w:u w:val="single"/>
        </w:rPr>
        <w:t>previous carrying</w:t>
      </w:r>
      <w:r>
        <w:t xml:space="preserve"> amount of the assets, liabilities and non-controlling interest</w:t>
      </w:r>
      <w:r>
        <w:rPr>
          <w:u w:val="single"/>
        </w:rPr>
        <w:t>s;</w:t>
      </w:r>
      <w:r>
        <w:t xml:space="preserve"> and</w:t>
      </w:r>
    </w:p>
    <w:p w:rsidR="00C86F06" w:rsidRPr="00C86F06" w:rsidRDefault="00C86F06" w:rsidP="00C86F06">
      <w:pPr>
        <w:pStyle w:val="SubNumPlain2"/>
      </w:pPr>
      <w:r>
        <w:t xml:space="preserve">the </w:t>
      </w:r>
      <w:r w:rsidRPr="00C86F06">
        <w:rPr>
          <w:strike/>
        </w:rPr>
        <w:t>carrying</w:t>
      </w:r>
      <w:r>
        <w:t xml:space="preserve"> </w:t>
      </w:r>
      <w:r w:rsidRPr="00C86F06">
        <w:rPr>
          <w:u w:val="single"/>
        </w:rPr>
        <w:t>recognised</w:t>
      </w:r>
      <w:r>
        <w:t xml:space="preserve"> amount of the investor’s </w:t>
      </w:r>
      <w:r w:rsidRPr="00C86F06">
        <w:rPr>
          <w:strike/>
        </w:rPr>
        <w:t>involvement with</w:t>
      </w:r>
      <w:r>
        <w:t xml:space="preserve"> </w:t>
      </w:r>
      <w:r w:rsidRPr="00C86F06">
        <w:rPr>
          <w:u w:val="single"/>
        </w:rPr>
        <w:t>interest in</w:t>
      </w:r>
      <w:r>
        <w:t xml:space="preserve"> the investee</w:t>
      </w:r>
      <w:r w:rsidRPr="00C86F06">
        <w:rPr>
          <w:u w:val="single"/>
        </w:rPr>
        <w:t>.</w:t>
      </w:r>
      <w:r>
        <w:t xml:space="preserve"> </w:t>
      </w:r>
      <w:r w:rsidRPr="00C86F06">
        <w:rPr>
          <w:strike/>
        </w:rPr>
        <w:t>as an adjust</w:t>
      </w:r>
      <w:r w:rsidR="000F40A6">
        <w:rPr>
          <w:strike/>
        </w:rPr>
        <w:t xml:space="preserve">ment to equity for that period.  </w:t>
      </w:r>
      <w:r w:rsidRPr="00C86F06">
        <w:rPr>
          <w:strike/>
        </w:rPr>
        <w:t xml:space="preserve">In addition, the investor shall provide comparative information and disclosures in accordance with </w:t>
      </w:r>
      <w:r>
        <w:rPr>
          <w:strike/>
        </w:rPr>
        <w:t>AASB</w:t>
      </w:r>
      <w:r w:rsidRPr="00C86F06">
        <w:rPr>
          <w:strike/>
        </w:rPr>
        <w:t xml:space="preserve"> </w:t>
      </w:r>
      <w:r>
        <w:rPr>
          <w:strike/>
        </w:rPr>
        <w:t>108</w:t>
      </w:r>
      <w:r w:rsidRPr="00C86F06">
        <w:rPr>
          <w:strike/>
        </w:rPr>
        <w:t>.</w:t>
      </w:r>
    </w:p>
    <w:p w:rsidR="00C86F06" w:rsidRDefault="00C86F06" w:rsidP="00C86F06">
      <w:pPr>
        <w:pStyle w:val="NoNumPlain3"/>
      </w:pPr>
      <w:r w:rsidRPr="00C86F06">
        <w:rPr>
          <w:u w:val="single"/>
        </w:rPr>
        <w:t>If the earliest period for which application of this paragraph is practicable is the current period, the adjustment to equity shall be recognised at the beginning of the current period.</w:t>
      </w:r>
    </w:p>
    <w:p w:rsidR="00C86F06" w:rsidRDefault="00C86F06" w:rsidP="00C86F06">
      <w:pPr>
        <w:pStyle w:val="SubNumPlain1"/>
      </w:pPr>
      <w:r>
        <w:t>C6</w:t>
      </w:r>
      <w:r>
        <w:tab/>
        <w:t xml:space="preserve">Paragraphs 23, 25, B94 and B96–B99 were amendments to </w:t>
      </w:r>
      <w:r w:rsidR="00B9305D">
        <w:t>AASB</w:t>
      </w:r>
      <w:r>
        <w:t xml:space="preserve"> </w:t>
      </w:r>
      <w:r w:rsidR="00B9305D">
        <w:t>127</w:t>
      </w:r>
      <w:r>
        <w:t xml:space="preserve"> made in 2008 that were carried forward into </w:t>
      </w:r>
      <w:r w:rsidR="00B9305D">
        <w:t>AASB </w:t>
      </w:r>
      <w:r w:rsidR="00BF6E76">
        <w:t xml:space="preserve">10.  </w:t>
      </w:r>
      <w:r>
        <w:t xml:space="preserve">Except when an entity applies paragraph C3, </w:t>
      </w:r>
      <w:r>
        <w:rPr>
          <w:u w:val="single"/>
        </w:rPr>
        <w:t>or is required to apply paragraphs C4–C5A,</w:t>
      </w:r>
      <w:r>
        <w:t xml:space="preserve"> the entity shall apply the requirements in those paragraphs as follows:</w:t>
      </w:r>
    </w:p>
    <w:p w:rsidR="00C86F06" w:rsidRDefault="00282942" w:rsidP="00B9305D">
      <w:pPr>
        <w:pStyle w:val="NumPlain3"/>
      </w:pPr>
      <w:r>
        <w:t>…</w:t>
      </w:r>
    </w:p>
    <w:p w:rsidR="007E5D7C" w:rsidRDefault="00182ADB" w:rsidP="003463C9">
      <w:pPr>
        <w:pStyle w:val="NumPlain1"/>
        <w:keepNext/>
      </w:pPr>
      <w:r>
        <w:t>The following subheading and paragraphs are added to Appendix C:</w:t>
      </w:r>
    </w:p>
    <w:p w:rsidR="00182ADB" w:rsidRPr="00625822" w:rsidRDefault="000C57B4" w:rsidP="00302806">
      <w:pPr>
        <w:pStyle w:val="Heading4Indent1"/>
      </w:pPr>
      <w:r w:rsidRPr="00625822">
        <w:t>R</w:t>
      </w:r>
      <w:r w:rsidR="00182ADB" w:rsidRPr="00625822">
        <w:t>eferences to the</w:t>
      </w:r>
      <w:r w:rsidR="003B36D3">
        <w:t xml:space="preserve"> ‘immediately preceding period’</w:t>
      </w:r>
    </w:p>
    <w:p w:rsidR="00182ADB" w:rsidRDefault="000C57B4" w:rsidP="000C57B4">
      <w:pPr>
        <w:pStyle w:val="SubNumPlain1"/>
      </w:pPr>
      <w:r>
        <w:t>C6A</w:t>
      </w:r>
      <w:r>
        <w:tab/>
        <w:t xml:space="preserve">Notwithstanding the references to the annual </w:t>
      </w:r>
      <w:r w:rsidR="00842C56">
        <w:t xml:space="preserve">reporting </w:t>
      </w:r>
      <w:r>
        <w:t xml:space="preserve">period immediately preceding the date of initial application (the ‘immediately preceding period’) in paragraphs C4–C5A, an entity may also present adjusted comparative information for any earlier periods presented, but is not required to do so. </w:t>
      </w:r>
      <w:r w:rsidR="008B0DEC">
        <w:t xml:space="preserve"> </w:t>
      </w:r>
      <w:r>
        <w:t>If an entity does present adjusted comparative information for any earlier periods, all references to the ‘immediately preceding period’ in paragraphs C4–C5A shall be read as the ‘earliest adjusted comparative period presented’.</w:t>
      </w:r>
    </w:p>
    <w:p w:rsidR="000C57B4" w:rsidRPr="00C86F06" w:rsidRDefault="000C57B4" w:rsidP="000C57B4">
      <w:pPr>
        <w:pStyle w:val="SubNumPlain1"/>
      </w:pPr>
      <w:r>
        <w:t>C6B</w:t>
      </w:r>
      <w:r>
        <w:tab/>
        <w:t>If an entity presents unadjusted comparative information for any earlier periods, it shall clearly identify the information that has not been adjusted, state that it has been prepared on a different basis, and explain that basis.</w:t>
      </w:r>
    </w:p>
    <w:p w:rsidR="006D70DD" w:rsidRDefault="006D70DD">
      <w:pPr>
        <w:pStyle w:val="Heading2"/>
      </w:pPr>
      <w:r>
        <w:lastRenderedPageBreak/>
        <w:t>Amendments to AASB 11</w:t>
      </w:r>
    </w:p>
    <w:p w:rsidR="003F6171" w:rsidRDefault="003F6171" w:rsidP="003F6171">
      <w:pPr>
        <w:pStyle w:val="NumPlain1"/>
      </w:pPr>
      <w:r>
        <w:t>Paragraphs Aus2.2 and Aus2.3 are amended as follows (new text is underlined and deleted text is struck through):</w:t>
      </w:r>
    </w:p>
    <w:p w:rsidR="003F6171" w:rsidRDefault="003F6171" w:rsidP="003F6171">
      <w:pPr>
        <w:pStyle w:val="SubNumPlain1"/>
        <w:ind w:left="1247" w:hanging="737"/>
        <w:rPr>
          <w:b/>
        </w:rPr>
      </w:pPr>
      <w:r>
        <w:rPr>
          <w:b/>
        </w:rPr>
        <w:t>Aus2</w:t>
      </w:r>
      <w:r w:rsidRPr="001235D8">
        <w:rPr>
          <w:b/>
        </w:rPr>
        <w:t>.2</w:t>
      </w:r>
      <w:r w:rsidRPr="001235D8">
        <w:rPr>
          <w:b/>
        </w:rPr>
        <w:tab/>
        <w:t xml:space="preserve">This </w:t>
      </w:r>
      <w:r>
        <w:rPr>
          <w:b/>
        </w:rPr>
        <w:t>S</w:t>
      </w:r>
      <w:r w:rsidRPr="001235D8">
        <w:rPr>
          <w:b/>
        </w:rPr>
        <w:t>tandard applies to annual reporting periods beginning on or after 1 January 2013</w:t>
      </w:r>
      <w:r w:rsidRPr="006345B3">
        <w:rPr>
          <w:b/>
          <w:u w:val="single"/>
        </w:rPr>
        <w:t>, except that for not-for-profit entities it applies to annual reporting periods beginning on or after 1</w:t>
      </w:r>
      <w:r w:rsidR="002973E9">
        <w:rPr>
          <w:b/>
          <w:u w:val="single"/>
        </w:rPr>
        <w:t> </w:t>
      </w:r>
      <w:r w:rsidRPr="006345B3">
        <w:rPr>
          <w:b/>
          <w:u w:val="single"/>
        </w:rPr>
        <w:t>January 2014</w:t>
      </w:r>
      <w:r w:rsidRPr="006345B3">
        <w:rPr>
          <w:b/>
        </w:rPr>
        <w:t>.</w:t>
      </w:r>
    </w:p>
    <w:p w:rsidR="00AB0DCC" w:rsidRPr="0046746C" w:rsidRDefault="003F6171" w:rsidP="00AB0DCC">
      <w:pPr>
        <w:pStyle w:val="SubNumPlain1"/>
        <w:ind w:left="1247" w:hanging="737"/>
        <w:rPr>
          <w:b/>
        </w:rPr>
      </w:pPr>
      <w:r>
        <w:rPr>
          <w:b/>
        </w:rPr>
        <w:t>Aus2</w:t>
      </w:r>
      <w:r w:rsidRPr="003F6171">
        <w:rPr>
          <w:b/>
        </w:rPr>
        <w:t>.3</w:t>
      </w:r>
      <w:r w:rsidRPr="003F6171">
        <w:rPr>
          <w:b/>
        </w:rPr>
        <w:tab/>
      </w:r>
      <w:r w:rsidR="00AB0DCC">
        <w:rPr>
          <w:b/>
        </w:rPr>
        <w:t>This Standard may be applied by</w:t>
      </w:r>
      <w:r w:rsidR="00AB0DCC" w:rsidRPr="0046746C">
        <w:rPr>
          <w:b/>
          <w:u w:val="single"/>
        </w:rPr>
        <w:t>:</w:t>
      </w:r>
    </w:p>
    <w:p w:rsidR="00AB0DCC" w:rsidRPr="00E3350F" w:rsidRDefault="00AB0DCC" w:rsidP="00AB0DCC">
      <w:pPr>
        <w:pStyle w:val="NumPlain2"/>
        <w:numPr>
          <w:ilvl w:val="0"/>
          <w:numId w:val="0"/>
        </w:numPr>
        <w:ind w:left="1757" w:hanging="510"/>
        <w:rPr>
          <w:b/>
        </w:rPr>
      </w:pPr>
      <w:r w:rsidRPr="00E3350F">
        <w:rPr>
          <w:b/>
          <w:u w:val="single"/>
        </w:rPr>
        <w:t>(a)</w:t>
      </w:r>
      <w:r w:rsidRPr="00E3350F">
        <w:rPr>
          <w:b/>
        </w:rPr>
        <w:tab/>
        <w:t>for-profit entities</w:t>
      </w:r>
      <w:r w:rsidRPr="00E3350F">
        <w:rPr>
          <w:b/>
          <w:strike/>
        </w:rPr>
        <w:t>, but not by not-for-profit entities,</w:t>
      </w:r>
      <w:r w:rsidRPr="00E3350F">
        <w:rPr>
          <w:b/>
        </w:rPr>
        <w:t xml:space="preserve"> to annual reporting periods beginning on or after 1</w:t>
      </w:r>
      <w:r w:rsidR="002973E9">
        <w:rPr>
          <w:b/>
        </w:rPr>
        <w:t> </w:t>
      </w:r>
      <w:r w:rsidRPr="00E3350F">
        <w:rPr>
          <w:b/>
        </w:rPr>
        <w:t>January 2005 but before 1 January 2013</w:t>
      </w:r>
      <w:r w:rsidRPr="00E3350F">
        <w:rPr>
          <w:b/>
          <w:u w:val="single"/>
        </w:rPr>
        <w:t>; and</w:t>
      </w:r>
    </w:p>
    <w:p w:rsidR="00AB0DCC" w:rsidRPr="00E3350F" w:rsidRDefault="00AB0DCC" w:rsidP="00AB0DCC">
      <w:pPr>
        <w:pStyle w:val="NumPlain2"/>
        <w:numPr>
          <w:ilvl w:val="0"/>
          <w:numId w:val="0"/>
        </w:numPr>
        <w:ind w:left="1757" w:hanging="510"/>
        <w:rPr>
          <w:b/>
        </w:rPr>
      </w:pPr>
      <w:r w:rsidRPr="00E3350F">
        <w:rPr>
          <w:b/>
          <w:u w:val="single"/>
        </w:rPr>
        <w:t>(b)</w:t>
      </w:r>
      <w:r w:rsidRPr="00E3350F">
        <w:rPr>
          <w:b/>
        </w:rPr>
        <w:tab/>
      </w:r>
      <w:r w:rsidRPr="00E3350F">
        <w:rPr>
          <w:b/>
          <w:u w:val="single"/>
        </w:rPr>
        <w:t xml:space="preserve">not-for-profit entities to annual reporting periods beginning on or after 1 January 2013 but before </w:t>
      </w:r>
      <w:r w:rsidR="002973E9">
        <w:rPr>
          <w:b/>
          <w:u w:val="single"/>
        </w:rPr>
        <w:t>1 </w:t>
      </w:r>
      <w:r w:rsidRPr="00E3350F">
        <w:rPr>
          <w:b/>
          <w:u w:val="single"/>
        </w:rPr>
        <w:t>January 2014</w:t>
      </w:r>
      <w:r w:rsidR="00191449">
        <w:rPr>
          <w:b/>
        </w:rPr>
        <w:t>.</w:t>
      </w:r>
    </w:p>
    <w:p w:rsidR="00AB0DCC" w:rsidRPr="00E3350F" w:rsidRDefault="00AB0DCC" w:rsidP="00AB0DCC">
      <w:pPr>
        <w:pStyle w:val="NumPlain2"/>
        <w:numPr>
          <w:ilvl w:val="0"/>
          <w:numId w:val="0"/>
        </w:numPr>
        <w:ind w:left="1247"/>
        <w:rPr>
          <w:b/>
        </w:rPr>
      </w:pPr>
      <w:r w:rsidRPr="00E3350F">
        <w:rPr>
          <w:b/>
        </w:rPr>
        <w:t xml:space="preserve">If </w:t>
      </w:r>
      <w:r w:rsidRPr="00E3350F">
        <w:rPr>
          <w:b/>
          <w:strike/>
        </w:rPr>
        <w:t xml:space="preserve">a for-profit </w:t>
      </w:r>
      <w:r w:rsidRPr="00E3350F">
        <w:rPr>
          <w:b/>
          <w:u w:val="single"/>
        </w:rPr>
        <w:t>an</w:t>
      </w:r>
      <w:r w:rsidRPr="00E3350F">
        <w:rPr>
          <w:b/>
        </w:rPr>
        <w:t xml:space="preserve"> entity applies this Standard to such an annual reporting period</w:t>
      </w:r>
      <w:r w:rsidRPr="00E3350F">
        <w:rPr>
          <w:b/>
          <w:u w:val="single"/>
        </w:rPr>
        <w:t xml:space="preserve"> in accordance with paragraph (a)</w:t>
      </w:r>
      <w:r>
        <w:rPr>
          <w:b/>
          <w:u w:val="single"/>
        </w:rPr>
        <w:t xml:space="preserve"> </w:t>
      </w:r>
      <w:r w:rsidRPr="00E3350F">
        <w:rPr>
          <w:b/>
          <w:u w:val="single"/>
        </w:rPr>
        <w:t>or (b)</w:t>
      </w:r>
      <w:r w:rsidRPr="00E3350F">
        <w:rPr>
          <w:b/>
        </w:rPr>
        <w:t>, it shall disc</w:t>
      </w:r>
      <w:r w:rsidR="00B11B6E">
        <w:rPr>
          <w:b/>
        </w:rPr>
        <w:t>lose that fact and apply AASB 10</w:t>
      </w:r>
      <w:r w:rsidRPr="00E3350F">
        <w:rPr>
          <w:b/>
        </w:rPr>
        <w:t xml:space="preserve"> </w:t>
      </w:r>
      <w:r w:rsidR="00B11B6E">
        <w:rPr>
          <w:b/>
          <w:i/>
        </w:rPr>
        <w:t>Consolidated Financial Statements</w:t>
      </w:r>
      <w:r w:rsidRPr="00E3350F">
        <w:rPr>
          <w:b/>
        </w:rPr>
        <w:t xml:space="preserve">, AASB 12 </w:t>
      </w:r>
      <w:r w:rsidRPr="00E3350F">
        <w:rPr>
          <w:b/>
          <w:i/>
        </w:rPr>
        <w:t>Disclosure of Interests in Other Entities</w:t>
      </w:r>
      <w:r w:rsidRPr="00E3350F">
        <w:rPr>
          <w:b/>
        </w:rPr>
        <w:t xml:space="preserve">, AASB 127 </w:t>
      </w:r>
      <w:r w:rsidRPr="00E3350F">
        <w:rPr>
          <w:b/>
          <w:i/>
        </w:rPr>
        <w:t>Separate Financial Statements</w:t>
      </w:r>
      <w:r w:rsidRPr="00E3350F">
        <w:rPr>
          <w:b/>
        </w:rPr>
        <w:t xml:space="preserve"> (August 2011) and AASB 128 </w:t>
      </w:r>
      <w:r w:rsidRPr="00E3350F">
        <w:rPr>
          <w:b/>
          <w:i/>
        </w:rPr>
        <w:t>Investments in Associates and Joint Ventures</w:t>
      </w:r>
      <w:r w:rsidRPr="00E3350F">
        <w:rPr>
          <w:b/>
        </w:rPr>
        <w:t xml:space="preserve"> (August 2011), at the same time.</w:t>
      </w:r>
    </w:p>
    <w:p w:rsidR="006D70DD" w:rsidRDefault="006E0B50" w:rsidP="00870DC3">
      <w:pPr>
        <w:pStyle w:val="NumPlain1"/>
        <w:keepNext/>
      </w:pPr>
      <w:r>
        <w:t>Paragraphs C1A–C1B are added as follows:</w:t>
      </w:r>
    </w:p>
    <w:p w:rsidR="006E0B50" w:rsidRDefault="006E0B50" w:rsidP="006E0B50">
      <w:pPr>
        <w:pStyle w:val="SubNumPlain1"/>
      </w:pPr>
      <w:r>
        <w:t>C1A</w:t>
      </w:r>
      <w:r>
        <w:tab/>
        <w:t>AASB 2012-</w:t>
      </w:r>
      <w:r w:rsidR="00BC43B5">
        <w:t>10</w:t>
      </w:r>
      <w:r>
        <w:t xml:space="preserve"> </w:t>
      </w:r>
      <w:r w:rsidRPr="00B07A99">
        <w:rPr>
          <w:i/>
        </w:rPr>
        <w:t>Amendments to Australian Accounting Standards – Transition Guidance and Other Amendments</w:t>
      </w:r>
      <w:r>
        <w:t xml:space="preserve">, issued in </w:t>
      </w:r>
      <w:r w:rsidR="00044D05">
        <w:t xml:space="preserve">December </w:t>
      </w:r>
      <w:r>
        <w:t>2012</w:t>
      </w:r>
      <w:r w:rsidRPr="005E65C3">
        <w:rPr>
          <w:lang w:val="en-GB"/>
        </w:rPr>
        <w:t xml:space="preserve">, </w:t>
      </w:r>
      <w:r w:rsidR="003B36D3">
        <w:t>amended paragraphs </w:t>
      </w:r>
      <w:r>
        <w:t>C2–C5, C7–C10 and C12 and adde</w:t>
      </w:r>
      <w:r w:rsidR="003B36D3">
        <w:t>d paragraphs </w:t>
      </w:r>
      <w:r w:rsidR="007C0D3F">
        <w:t xml:space="preserve">C1B and C12A–C12B.  </w:t>
      </w:r>
      <w:r>
        <w:t>An entity shall apply those amendments for annual reporting periods beginning</w:t>
      </w:r>
      <w:r w:rsidR="007C0D3F">
        <w:t xml:space="preserve"> on or after 1</w:t>
      </w:r>
      <w:r w:rsidR="003B36D3">
        <w:t> </w:t>
      </w:r>
      <w:r w:rsidR="007C0D3F">
        <w:t>January 2013</w:t>
      </w:r>
      <w:r w:rsidR="00120522">
        <w:rPr>
          <w:lang w:val="en-GB"/>
        </w:rPr>
        <w:t xml:space="preserve">, except that a not-for-profit entity shall apply the amendments </w:t>
      </w:r>
      <w:r w:rsidR="00A56200">
        <w:rPr>
          <w:lang w:val="en-GB"/>
        </w:rPr>
        <w:t>for</w:t>
      </w:r>
      <w:r w:rsidR="00120522">
        <w:rPr>
          <w:lang w:val="en-GB"/>
        </w:rPr>
        <w:t xml:space="preserve"> </w:t>
      </w:r>
      <w:r w:rsidR="00120522" w:rsidRPr="005E65C3">
        <w:rPr>
          <w:lang w:val="en-GB"/>
        </w:rPr>
        <w:t xml:space="preserve">annual </w:t>
      </w:r>
      <w:r w:rsidR="00120522">
        <w:rPr>
          <w:lang w:val="en-GB"/>
        </w:rPr>
        <w:t xml:space="preserve">reporting </w:t>
      </w:r>
      <w:r w:rsidR="00120522" w:rsidRPr="005E65C3">
        <w:rPr>
          <w:lang w:val="en-GB"/>
        </w:rPr>
        <w:t>periods beginning on or after 1</w:t>
      </w:r>
      <w:r w:rsidR="00120522">
        <w:rPr>
          <w:lang w:val="en-GB"/>
        </w:rPr>
        <w:t> </w:t>
      </w:r>
      <w:r w:rsidR="00120522" w:rsidRPr="005E65C3">
        <w:rPr>
          <w:lang w:val="en-GB"/>
        </w:rPr>
        <w:t>January 2</w:t>
      </w:r>
      <w:r w:rsidR="00120522">
        <w:rPr>
          <w:lang w:val="en-GB"/>
        </w:rPr>
        <w:t>014</w:t>
      </w:r>
      <w:r w:rsidR="007C0D3F">
        <w:t xml:space="preserve">.  </w:t>
      </w:r>
      <w:r>
        <w:t>If an entity applies AASB</w:t>
      </w:r>
      <w:r w:rsidR="00120522">
        <w:t> </w:t>
      </w:r>
      <w:r>
        <w:t>11 for an earlier period, it shall apply those amendments for that earlier period.</w:t>
      </w:r>
    </w:p>
    <w:p w:rsidR="006E0B50" w:rsidRPr="00DA74AF" w:rsidRDefault="006E0B50" w:rsidP="00302806">
      <w:pPr>
        <w:pStyle w:val="Heading3Indent1"/>
      </w:pPr>
      <w:r w:rsidRPr="00DA74AF">
        <w:t>Transition</w:t>
      </w:r>
    </w:p>
    <w:p w:rsidR="006E0B50" w:rsidRDefault="006E0B50" w:rsidP="006E0B50">
      <w:pPr>
        <w:pStyle w:val="SubNumPlain1"/>
      </w:pPr>
      <w:r>
        <w:t>C1B</w:t>
      </w:r>
      <w:r>
        <w:tab/>
        <w:t xml:space="preserve">Notwithstanding the requirements of paragraph 28 of AASB 108 </w:t>
      </w:r>
      <w:r>
        <w:rPr>
          <w:i/>
        </w:rPr>
        <w:t>Accounting Policies, Changes in Accounting Estimates and Errors</w:t>
      </w:r>
      <w:r>
        <w:t xml:space="preserve">, when this </w:t>
      </w:r>
      <w:r w:rsidR="007C0D3F">
        <w:t>Standard</w:t>
      </w:r>
      <w:r>
        <w:t xml:space="preserve"> is first applied, an entity need only present the quantitative information required by paragraph 28(f) of </w:t>
      </w:r>
      <w:r w:rsidR="007C0D3F">
        <w:t>AASB</w:t>
      </w:r>
      <w:r>
        <w:t xml:space="preserve"> </w:t>
      </w:r>
      <w:r w:rsidR="007C0D3F">
        <w:t>108</w:t>
      </w:r>
      <w:r>
        <w:t xml:space="preserve"> for the annual </w:t>
      </w:r>
      <w:r w:rsidR="00842C56">
        <w:t xml:space="preserve">reporting </w:t>
      </w:r>
      <w:r>
        <w:t xml:space="preserve">period immediately preceding the first annual </w:t>
      </w:r>
      <w:r w:rsidR="00842C56">
        <w:t xml:space="preserve">reporting </w:t>
      </w:r>
      <w:r>
        <w:t xml:space="preserve">period for which </w:t>
      </w:r>
      <w:r w:rsidR="007C0D3F">
        <w:t>AASB</w:t>
      </w:r>
      <w:r>
        <w:t xml:space="preserve"> 11 is applied (the ‘imm</w:t>
      </w:r>
      <w:r w:rsidR="007C0D3F">
        <w:t xml:space="preserve">ediately preceding period’).  </w:t>
      </w:r>
      <w:r>
        <w:t>An entity may also present this information for the current period or for earlier comparative periods, but is not required to do so.</w:t>
      </w:r>
    </w:p>
    <w:p w:rsidR="007C0D3F" w:rsidRDefault="007C0D3F" w:rsidP="007C0D3F">
      <w:pPr>
        <w:pStyle w:val="NumPlain1"/>
      </w:pPr>
      <w:r>
        <w:t>Paragraphs C2–C5, C7–C10 and C12 are amended as follows</w:t>
      </w:r>
      <w:r w:rsidRPr="00F3673F">
        <w:t xml:space="preserve"> (new text is underlined and deleted text is struck through):</w:t>
      </w:r>
    </w:p>
    <w:p w:rsidR="007C0D3F" w:rsidRPr="00625822" w:rsidRDefault="007C0D3F" w:rsidP="00302806">
      <w:pPr>
        <w:pStyle w:val="Heading4Indent1"/>
      </w:pPr>
      <w:r w:rsidRPr="00625822">
        <w:t>Joint ventures</w:t>
      </w:r>
      <w:r w:rsidR="00D8519E" w:rsidRPr="00625822">
        <w:t xml:space="preserve"> – </w:t>
      </w:r>
      <w:r w:rsidRPr="00625822">
        <w:t xml:space="preserve">transition from proportionate </w:t>
      </w:r>
      <w:r w:rsidR="00BA554B" w:rsidRPr="00625822">
        <w:t>c</w:t>
      </w:r>
      <w:r w:rsidRPr="00625822">
        <w:t>onsolidation to the equity method</w:t>
      </w:r>
    </w:p>
    <w:p w:rsidR="000A6903" w:rsidRDefault="000A6903" w:rsidP="000A6903">
      <w:pPr>
        <w:pStyle w:val="SubNumPlain1"/>
      </w:pPr>
      <w:r>
        <w:t>C2</w:t>
      </w:r>
      <w:r>
        <w:tab/>
        <w:t xml:space="preserve">When changing from proportionate consolidation to the equity method, an entity shall recognise its investment in the joint venture as at the beginning of the </w:t>
      </w:r>
      <w:r>
        <w:rPr>
          <w:strike/>
        </w:rPr>
        <w:t>earliest</w:t>
      </w:r>
      <w:r>
        <w:t xml:space="preserve"> </w:t>
      </w:r>
      <w:r>
        <w:rPr>
          <w:u w:val="single"/>
        </w:rPr>
        <w:t>immediately preceding</w:t>
      </w:r>
      <w:r>
        <w:t xml:space="preserve"> period </w:t>
      </w:r>
      <w:r>
        <w:rPr>
          <w:strike/>
        </w:rPr>
        <w:t>presented</w:t>
      </w:r>
      <w:r w:rsidR="008C07C9">
        <w:t xml:space="preserve">.  </w:t>
      </w:r>
      <w:r>
        <w:t>That initi</w:t>
      </w:r>
      <w:r w:rsidR="00DA74AF">
        <w:t>al investment shall be measured</w:t>
      </w:r>
      <w:r w:rsidR="003463C9">
        <w:t xml:space="preserve"> </w:t>
      </w:r>
      <w:r w:rsidR="00DA74AF">
        <w:t>…</w:t>
      </w:r>
    </w:p>
    <w:p w:rsidR="00DA74AF" w:rsidRDefault="000A6903" w:rsidP="000A6903">
      <w:pPr>
        <w:pStyle w:val="SubNumPlain1"/>
      </w:pPr>
      <w:r>
        <w:t>C3</w:t>
      </w:r>
      <w:r>
        <w:tab/>
        <w:t>The op</w:t>
      </w:r>
      <w:r w:rsidR="00DA74AF">
        <w:t>ening balance of the investment</w:t>
      </w:r>
      <w:r w:rsidR="003463C9">
        <w:t xml:space="preserve"> </w:t>
      </w:r>
      <w:r w:rsidR="00DA74AF">
        <w:t>…</w:t>
      </w:r>
      <w:r w:rsidR="003463C9">
        <w:t xml:space="preserve"> </w:t>
      </w:r>
      <w:r>
        <w:t xml:space="preserve">an adjustment to retained earnings at the beginning of the </w:t>
      </w:r>
      <w:r w:rsidRPr="00DA74AF">
        <w:rPr>
          <w:strike/>
        </w:rPr>
        <w:t>earliest</w:t>
      </w:r>
      <w:r>
        <w:t xml:space="preserve"> </w:t>
      </w:r>
      <w:r w:rsidRPr="00DA74AF">
        <w:rPr>
          <w:u w:val="single"/>
        </w:rPr>
        <w:t>immediately preceding</w:t>
      </w:r>
      <w:r>
        <w:t xml:space="preserve"> period </w:t>
      </w:r>
      <w:r w:rsidRPr="00DA74AF">
        <w:rPr>
          <w:strike/>
        </w:rPr>
        <w:t>presented</w:t>
      </w:r>
      <w:r w:rsidR="008C07C9">
        <w:t xml:space="preserve">.  </w:t>
      </w:r>
      <w:r>
        <w:t>The initial recognition exception</w:t>
      </w:r>
      <w:r w:rsidR="003463C9">
        <w:t xml:space="preserve"> </w:t>
      </w:r>
      <w:r w:rsidR="00DA74AF">
        <w:t>…</w:t>
      </w:r>
      <w:r>
        <w:t xml:space="preserve"> </w:t>
      </w:r>
    </w:p>
    <w:p w:rsidR="00881403" w:rsidRDefault="00881403" w:rsidP="000A6903">
      <w:pPr>
        <w:pStyle w:val="SubNumPlain1"/>
      </w:pPr>
      <w:r>
        <w:t>C4</w:t>
      </w:r>
      <w:r>
        <w:tab/>
        <w:t xml:space="preserve">If aggregating all previously proportionately consolidated assets </w:t>
      </w:r>
      <w:r w:rsidR="005A183C">
        <w:t>…</w:t>
      </w:r>
      <w:r w:rsidR="00681491">
        <w:t xml:space="preserve"> </w:t>
      </w:r>
      <w:r>
        <w:t xml:space="preserve">adjust retained earnings at the beginning of the </w:t>
      </w:r>
      <w:r w:rsidRPr="00DA74AF">
        <w:rPr>
          <w:strike/>
        </w:rPr>
        <w:t>earliest</w:t>
      </w:r>
      <w:r>
        <w:t xml:space="preserve"> </w:t>
      </w:r>
      <w:r w:rsidRPr="00DA74AF">
        <w:rPr>
          <w:u w:val="single"/>
        </w:rPr>
        <w:t>immediately preceding</w:t>
      </w:r>
      <w:r>
        <w:t xml:space="preserve"> period </w:t>
      </w:r>
      <w:r w:rsidRPr="00DA74AF">
        <w:rPr>
          <w:strike/>
        </w:rPr>
        <w:t>presented</w:t>
      </w:r>
      <w:r w:rsidR="008C07C9">
        <w:t xml:space="preserve">.  </w:t>
      </w:r>
      <w:r>
        <w:t xml:space="preserve">The entity shall disclose this fact, along with its cumulative unrecognised share of losses of its joint ventures as at the beginning of the </w:t>
      </w:r>
      <w:r w:rsidRPr="00DA74AF">
        <w:rPr>
          <w:strike/>
        </w:rPr>
        <w:t>earliest</w:t>
      </w:r>
      <w:r>
        <w:t xml:space="preserve"> </w:t>
      </w:r>
      <w:r w:rsidRPr="00DA74AF">
        <w:rPr>
          <w:u w:val="single"/>
        </w:rPr>
        <w:t>immediately preceding</w:t>
      </w:r>
      <w:r>
        <w:t xml:space="preserve"> period </w:t>
      </w:r>
      <w:r w:rsidRPr="00DA74AF">
        <w:rPr>
          <w:strike/>
        </w:rPr>
        <w:t>presented</w:t>
      </w:r>
      <w:r>
        <w:t xml:space="preserve"> and at the date at which this Standard is first applied.</w:t>
      </w:r>
    </w:p>
    <w:p w:rsidR="00881403" w:rsidRDefault="00881403" w:rsidP="000A6903">
      <w:pPr>
        <w:pStyle w:val="SubNumPlain1"/>
      </w:pPr>
      <w:r>
        <w:t>C5</w:t>
      </w:r>
      <w:r>
        <w:tab/>
        <w:t xml:space="preserve">An entity shall disclose a breakdown of the assets and liabilities that have been aggregated into the single line investment balance as at the beginning of the </w:t>
      </w:r>
      <w:r>
        <w:rPr>
          <w:strike/>
        </w:rPr>
        <w:t>earliest</w:t>
      </w:r>
      <w:r>
        <w:t xml:space="preserve"> </w:t>
      </w:r>
      <w:r>
        <w:rPr>
          <w:u w:val="single"/>
        </w:rPr>
        <w:t>immediately preceding</w:t>
      </w:r>
      <w:r>
        <w:t xml:space="preserve"> period </w:t>
      </w:r>
      <w:r>
        <w:rPr>
          <w:strike/>
        </w:rPr>
        <w:t>presented</w:t>
      </w:r>
      <w:r w:rsidR="008C07C9">
        <w:t xml:space="preserve">.  </w:t>
      </w:r>
      <w:r>
        <w:t>That disclosure shall be prepared</w:t>
      </w:r>
      <w:r w:rsidR="002D2170">
        <w:t xml:space="preserve"> …</w:t>
      </w:r>
    </w:p>
    <w:p w:rsidR="008C07C9" w:rsidRPr="00625822" w:rsidRDefault="008C07C9" w:rsidP="00302806">
      <w:pPr>
        <w:pStyle w:val="Heading4Indent1"/>
      </w:pPr>
      <w:r w:rsidRPr="00625822">
        <w:t>Joint operations</w:t>
      </w:r>
      <w:r w:rsidR="0073089D" w:rsidRPr="00625822">
        <w:t xml:space="preserve"> – </w:t>
      </w:r>
      <w:r w:rsidRPr="00625822">
        <w:t>transition from the equity method to accounting for assets and liabilities</w:t>
      </w:r>
    </w:p>
    <w:p w:rsidR="008C07C9" w:rsidRDefault="008C07C9" w:rsidP="008C07C9">
      <w:pPr>
        <w:pStyle w:val="SubNumPlain1"/>
      </w:pPr>
      <w:r>
        <w:t>C7</w:t>
      </w:r>
      <w:r>
        <w:tab/>
        <w:t xml:space="preserve">When changing from the equity method to accounting for assets and liabilities in respect of its interest in a joint operation, an entity shall, at the beginning of the </w:t>
      </w:r>
      <w:r>
        <w:rPr>
          <w:strike/>
        </w:rPr>
        <w:t>earliest</w:t>
      </w:r>
      <w:r>
        <w:t xml:space="preserve"> </w:t>
      </w:r>
      <w:r>
        <w:rPr>
          <w:u w:val="single"/>
        </w:rPr>
        <w:t>immediately preceding</w:t>
      </w:r>
      <w:r>
        <w:t xml:space="preserve"> period </w:t>
      </w:r>
      <w:r>
        <w:rPr>
          <w:strike/>
        </w:rPr>
        <w:t>presented</w:t>
      </w:r>
      <w:r>
        <w:t>, derecognise the investment</w:t>
      </w:r>
      <w:r w:rsidR="003463C9">
        <w:t xml:space="preserve"> </w:t>
      </w:r>
      <w:r w:rsidR="005A183C">
        <w:t>…</w:t>
      </w:r>
    </w:p>
    <w:p w:rsidR="008C07C9" w:rsidRDefault="008C07C9" w:rsidP="008C07C9">
      <w:pPr>
        <w:pStyle w:val="SubNumPlain1"/>
      </w:pPr>
      <w:r>
        <w:t>C8</w:t>
      </w:r>
      <w:r>
        <w:tab/>
        <w:t>An enti</w:t>
      </w:r>
      <w:r w:rsidR="005A183C">
        <w:t>ty shall determine its interest</w:t>
      </w:r>
      <w:r w:rsidR="003463C9">
        <w:t xml:space="preserve"> </w:t>
      </w:r>
      <w:r w:rsidR="005A183C">
        <w:t>…</w:t>
      </w:r>
      <w:r w:rsidR="003463C9">
        <w:t xml:space="preserve"> </w:t>
      </w:r>
      <w:r>
        <w:t xml:space="preserve">the carrying amount of the investment at the beginning of the </w:t>
      </w:r>
      <w:r>
        <w:rPr>
          <w:strike/>
        </w:rPr>
        <w:t>earliest</w:t>
      </w:r>
      <w:r>
        <w:t xml:space="preserve"> </w:t>
      </w:r>
      <w:r>
        <w:rPr>
          <w:u w:val="single"/>
        </w:rPr>
        <w:t>immediately preceding</w:t>
      </w:r>
      <w:r>
        <w:t xml:space="preserve"> period </w:t>
      </w:r>
      <w:r>
        <w:rPr>
          <w:strike/>
        </w:rPr>
        <w:t>presented</w:t>
      </w:r>
      <w:r>
        <w:t xml:space="preserve"> on the basis of the information used by the entity in applying the equity method.</w:t>
      </w:r>
    </w:p>
    <w:p w:rsidR="005A5388" w:rsidRDefault="005A5388" w:rsidP="00302806">
      <w:pPr>
        <w:pStyle w:val="SubNumPlain1"/>
        <w:keepNext/>
        <w:ind w:left="1020" w:hanging="510"/>
      </w:pPr>
      <w:r>
        <w:lastRenderedPageBreak/>
        <w:t>C9</w:t>
      </w:r>
      <w:r>
        <w:tab/>
        <w:t>Any difference arising from the investment</w:t>
      </w:r>
      <w:r w:rsidR="003463C9">
        <w:t xml:space="preserve"> </w:t>
      </w:r>
      <w:r w:rsidR="005A183C">
        <w:t>…</w:t>
      </w:r>
    </w:p>
    <w:p w:rsidR="005A5388" w:rsidRDefault="009B4870" w:rsidP="005A5388">
      <w:pPr>
        <w:pStyle w:val="NumPlain3"/>
      </w:pPr>
      <w:r>
        <w:t xml:space="preserve">offset against any goodwill relating to the investment with any remaining difference adjusted against retained earnings at the beginning of the </w:t>
      </w:r>
      <w:r>
        <w:rPr>
          <w:strike/>
        </w:rPr>
        <w:t>earliest</w:t>
      </w:r>
      <w:r>
        <w:t xml:space="preserve"> </w:t>
      </w:r>
      <w:r>
        <w:rPr>
          <w:u w:val="single"/>
        </w:rPr>
        <w:t>immediately preceding</w:t>
      </w:r>
      <w:r>
        <w:t xml:space="preserve"> period </w:t>
      </w:r>
      <w:r>
        <w:rPr>
          <w:strike/>
        </w:rPr>
        <w:t>presented</w:t>
      </w:r>
      <w:r>
        <w:t>, if the net amount of the assets and liabilities</w:t>
      </w:r>
      <w:r w:rsidR="003463C9">
        <w:t xml:space="preserve"> </w:t>
      </w:r>
      <w:r w:rsidR="005A183C">
        <w:t>…</w:t>
      </w:r>
    </w:p>
    <w:p w:rsidR="009B4870" w:rsidRDefault="009B4870" w:rsidP="005A5388">
      <w:pPr>
        <w:pStyle w:val="NumPlain3"/>
      </w:pPr>
      <w:r>
        <w:t xml:space="preserve">adjusted against retained earnings at the beginning of the </w:t>
      </w:r>
      <w:r>
        <w:rPr>
          <w:strike/>
        </w:rPr>
        <w:t>earliest</w:t>
      </w:r>
      <w:r>
        <w:t xml:space="preserve"> </w:t>
      </w:r>
      <w:r>
        <w:rPr>
          <w:u w:val="single"/>
        </w:rPr>
        <w:t>immediately preceding</w:t>
      </w:r>
      <w:r>
        <w:t xml:space="preserve"> period </w:t>
      </w:r>
      <w:r>
        <w:rPr>
          <w:strike/>
        </w:rPr>
        <w:t>presented</w:t>
      </w:r>
      <w:r>
        <w:t>, if the net amount of the assets and liabilities</w:t>
      </w:r>
      <w:r w:rsidR="003463C9">
        <w:t xml:space="preserve"> </w:t>
      </w:r>
      <w:r w:rsidR="001F0489">
        <w:t>…</w:t>
      </w:r>
    </w:p>
    <w:p w:rsidR="009B4870" w:rsidRDefault="009B4870" w:rsidP="009B4870">
      <w:pPr>
        <w:pStyle w:val="SubNumPlain1"/>
      </w:pPr>
      <w:r>
        <w:t>C10</w:t>
      </w:r>
      <w:r>
        <w:tab/>
        <w:t xml:space="preserve">An entity </w:t>
      </w:r>
      <w:r w:rsidR="00964AEE">
        <w:t>changing from the equity method</w:t>
      </w:r>
      <w:r w:rsidR="003463C9">
        <w:t xml:space="preserve"> </w:t>
      </w:r>
      <w:r w:rsidR="00964AEE">
        <w:t>…</w:t>
      </w:r>
      <w:r w:rsidR="003463C9">
        <w:t xml:space="preserve"> </w:t>
      </w:r>
      <w:r>
        <w:t xml:space="preserve">adjusted against retained earnings, at the beginning of the </w:t>
      </w:r>
      <w:r>
        <w:rPr>
          <w:strike/>
        </w:rPr>
        <w:t>earliest</w:t>
      </w:r>
      <w:r>
        <w:t xml:space="preserve"> </w:t>
      </w:r>
      <w:r>
        <w:rPr>
          <w:u w:val="single"/>
        </w:rPr>
        <w:t>immediately preceding</w:t>
      </w:r>
      <w:r>
        <w:t xml:space="preserve"> period </w:t>
      </w:r>
      <w:r>
        <w:rPr>
          <w:strike/>
        </w:rPr>
        <w:t>presented</w:t>
      </w:r>
      <w:r>
        <w:t>.</w:t>
      </w:r>
    </w:p>
    <w:p w:rsidR="009B4870" w:rsidRPr="00625822" w:rsidRDefault="009B4870" w:rsidP="00302806">
      <w:pPr>
        <w:pStyle w:val="Heading4Indent1"/>
      </w:pPr>
      <w:r w:rsidRPr="00625822">
        <w:t>Transition provisions in an entity’s separate financial statements</w:t>
      </w:r>
    </w:p>
    <w:p w:rsidR="009B4870" w:rsidRDefault="009B4870" w:rsidP="00302806">
      <w:pPr>
        <w:pStyle w:val="SubNumPlain1"/>
        <w:keepNext/>
        <w:ind w:left="1020" w:hanging="510"/>
      </w:pPr>
      <w:r>
        <w:t>C12</w:t>
      </w:r>
      <w:r>
        <w:tab/>
        <w:t xml:space="preserve">An </w:t>
      </w:r>
      <w:r w:rsidR="00B40300">
        <w:t>entity that, in accordance with</w:t>
      </w:r>
      <w:r w:rsidR="003463C9">
        <w:t xml:space="preserve"> </w:t>
      </w:r>
      <w:r w:rsidR="00B40300">
        <w:t>…</w:t>
      </w:r>
    </w:p>
    <w:p w:rsidR="009B4870" w:rsidRDefault="00B40300" w:rsidP="009B4870">
      <w:pPr>
        <w:pStyle w:val="NumPlain3"/>
        <w:numPr>
          <w:ilvl w:val="2"/>
          <w:numId w:val="12"/>
        </w:numPr>
      </w:pPr>
      <w:r>
        <w:t>…</w:t>
      </w:r>
    </w:p>
    <w:p w:rsidR="009B4870" w:rsidRDefault="00104FC3" w:rsidP="009B4870">
      <w:pPr>
        <w:pStyle w:val="NumPlain3"/>
        <w:numPr>
          <w:ilvl w:val="2"/>
          <w:numId w:val="12"/>
        </w:numPr>
      </w:pPr>
      <w:r>
        <w:t>provide a reconciliation</w:t>
      </w:r>
      <w:r w:rsidR="003463C9">
        <w:t xml:space="preserve"> </w:t>
      </w:r>
      <w:r>
        <w:t>…</w:t>
      </w:r>
      <w:r w:rsidR="003463C9">
        <w:t xml:space="preserve"> </w:t>
      </w:r>
      <w:r w:rsidR="009B4870">
        <w:t xml:space="preserve">adjusted in retained earnings, at the beginning of the </w:t>
      </w:r>
      <w:r w:rsidR="009B4870">
        <w:rPr>
          <w:strike/>
        </w:rPr>
        <w:t>earliest</w:t>
      </w:r>
      <w:r w:rsidR="009B4870">
        <w:t xml:space="preserve"> </w:t>
      </w:r>
      <w:r w:rsidR="009B4870">
        <w:rPr>
          <w:u w:val="single"/>
        </w:rPr>
        <w:t>immediately preceding</w:t>
      </w:r>
      <w:r w:rsidR="009B4870">
        <w:t xml:space="preserve"> period </w:t>
      </w:r>
      <w:r w:rsidR="009B4870" w:rsidRPr="00265588">
        <w:rPr>
          <w:strike/>
        </w:rPr>
        <w:t>presented</w:t>
      </w:r>
      <w:r w:rsidR="009B4870">
        <w:t>.</w:t>
      </w:r>
    </w:p>
    <w:p w:rsidR="009B4870" w:rsidRDefault="009B4870" w:rsidP="00870DC3">
      <w:pPr>
        <w:pStyle w:val="NumPlain1"/>
        <w:keepNext/>
      </w:pPr>
      <w:r>
        <w:t>The following subheading and paragraphs are added to Appendix C:</w:t>
      </w:r>
    </w:p>
    <w:p w:rsidR="00290887" w:rsidRPr="00625822" w:rsidRDefault="00900A26" w:rsidP="00302806">
      <w:pPr>
        <w:pStyle w:val="Heading4Indent1"/>
      </w:pPr>
      <w:r w:rsidRPr="00625822">
        <w:t>References to the ‘immediately preceding period’</w:t>
      </w:r>
    </w:p>
    <w:p w:rsidR="00290887" w:rsidRDefault="00290887" w:rsidP="009C00DE">
      <w:pPr>
        <w:pStyle w:val="SubNumPlain1"/>
      </w:pPr>
      <w:r>
        <w:t>C12A</w:t>
      </w:r>
      <w:r>
        <w:tab/>
        <w:t xml:space="preserve">Notwithstanding the references to the ‘immediately preceding period’ in paragraphs C2–C12, an entity may also present adjusted </w:t>
      </w:r>
      <w:r w:rsidRPr="00290887">
        <w:t>comparative</w:t>
      </w:r>
      <w:r>
        <w:t xml:space="preserve"> information for any earlier periods presented, but is not required to do so. </w:t>
      </w:r>
      <w:r w:rsidR="002B400C">
        <w:t xml:space="preserve"> </w:t>
      </w:r>
      <w:r>
        <w:t xml:space="preserve">If an entity does present adjusted comparative information for any earlier periods, all references to the ‘immediately preceding period’ in </w:t>
      </w:r>
      <w:r w:rsidR="00B11B6E">
        <w:br/>
      </w:r>
      <w:r>
        <w:t>paragraphs C2–C12 shall be read as the ‘earliest adjusted comparative period presented’.</w:t>
      </w:r>
    </w:p>
    <w:p w:rsidR="002B400C" w:rsidRDefault="002B400C" w:rsidP="002B400C">
      <w:pPr>
        <w:pStyle w:val="SubNumPlain1"/>
      </w:pPr>
      <w:r>
        <w:t>C12B</w:t>
      </w:r>
      <w:r>
        <w:tab/>
        <w:t xml:space="preserve">If an entity presents unadjusted comparative information for any earlier periods, it shall clearly identify the information that has not been adjusted, state that it has been prepared on a different basis, and explain that basis. </w:t>
      </w:r>
    </w:p>
    <w:p w:rsidR="006D70DD" w:rsidRDefault="006D70DD">
      <w:pPr>
        <w:pStyle w:val="Heading2"/>
      </w:pPr>
      <w:r>
        <w:t xml:space="preserve">Amendments to </w:t>
      </w:r>
      <w:bookmarkStart w:id="20" w:name="StndNo2"/>
      <w:r>
        <w:t>AASB 12</w:t>
      </w:r>
      <w:bookmarkEnd w:id="20"/>
    </w:p>
    <w:p w:rsidR="003F6171" w:rsidRDefault="00C6027B" w:rsidP="003F6171">
      <w:pPr>
        <w:pStyle w:val="NumPlain1"/>
      </w:pPr>
      <w:r>
        <w:t>Paragraphs Aus4.2 and Aus4</w:t>
      </w:r>
      <w:r w:rsidR="003F6171">
        <w:t>.3 are amended as follows (new text is underlined and deleted text is struck through):</w:t>
      </w:r>
    </w:p>
    <w:p w:rsidR="003F6171" w:rsidRDefault="00C6027B" w:rsidP="003F6171">
      <w:pPr>
        <w:pStyle w:val="SubNumPlain1"/>
        <w:ind w:left="1247" w:hanging="737"/>
        <w:rPr>
          <w:b/>
        </w:rPr>
      </w:pPr>
      <w:r>
        <w:rPr>
          <w:b/>
        </w:rPr>
        <w:t>Aus4</w:t>
      </w:r>
      <w:r w:rsidR="003F6171" w:rsidRPr="001235D8">
        <w:rPr>
          <w:b/>
        </w:rPr>
        <w:t>.2</w:t>
      </w:r>
      <w:r w:rsidR="003F6171" w:rsidRPr="001235D8">
        <w:rPr>
          <w:b/>
        </w:rPr>
        <w:tab/>
        <w:t xml:space="preserve">This </w:t>
      </w:r>
      <w:r w:rsidR="003F6171">
        <w:rPr>
          <w:b/>
        </w:rPr>
        <w:t>S</w:t>
      </w:r>
      <w:r w:rsidR="003F6171" w:rsidRPr="001235D8">
        <w:rPr>
          <w:b/>
        </w:rPr>
        <w:t>tandard applies to annual reporting periods beginning on or after 1 January 2013</w:t>
      </w:r>
      <w:r w:rsidR="003F6171" w:rsidRPr="006345B3">
        <w:rPr>
          <w:b/>
          <w:u w:val="single"/>
        </w:rPr>
        <w:t>, except that for not-for-profit entities it applies to annual reporting periods beginning on or after 1</w:t>
      </w:r>
      <w:r w:rsidR="002973E9">
        <w:rPr>
          <w:b/>
          <w:u w:val="single"/>
        </w:rPr>
        <w:t> </w:t>
      </w:r>
      <w:r w:rsidR="003F6171" w:rsidRPr="006345B3">
        <w:rPr>
          <w:b/>
          <w:u w:val="single"/>
        </w:rPr>
        <w:t>January 2014</w:t>
      </w:r>
      <w:r w:rsidR="003F6171" w:rsidRPr="006345B3">
        <w:rPr>
          <w:b/>
        </w:rPr>
        <w:t>.</w:t>
      </w:r>
    </w:p>
    <w:p w:rsidR="00AB0DCC" w:rsidRPr="0046746C" w:rsidRDefault="00C6027B" w:rsidP="00AB0DCC">
      <w:pPr>
        <w:pStyle w:val="SubNumPlain1"/>
        <w:ind w:left="1247" w:hanging="737"/>
        <w:rPr>
          <w:b/>
        </w:rPr>
      </w:pPr>
      <w:r>
        <w:rPr>
          <w:b/>
        </w:rPr>
        <w:t>Aus4</w:t>
      </w:r>
      <w:r w:rsidR="003F6171" w:rsidRPr="003F6171">
        <w:rPr>
          <w:b/>
        </w:rPr>
        <w:t>.3</w:t>
      </w:r>
      <w:r w:rsidR="003F6171" w:rsidRPr="003F6171">
        <w:rPr>
          <w:b/>
        </w:rPr>
        <w:tab/>
      </w:r>
      <w:r w:rsidR="00AB0DCC">
        <w:rPr>
          <w:b/>
        </w:rPr>
        <w:t>This Standard may be applied by</w:t>
      </w:r>
      <w:r w:rsidR="00AB0DCC" w:rsidRPr="0046746C">
        <w:rPr>
          <w:b/>
          <w:u w:val="single"/>
        </w:rPr>
        <w:t>:</w:t>
      </w:r>
    </w:p>
    <w:p w:rsidR="00AB0DCC" w:rsidRPr="00E3350F" w:rsidRDefault="00AB0DCC" w:rsidP="00AB0DCC">
      <w:pPr>
        <w:pStyle w:val="NumPlain2"/>
        <w:numPr>
          <w:ilvl w:val="0"/>
          <w:numId w:val="0"/>
        </w:numPr>
        <w:ind w:left="1757" w:hanging="510"/>
        <w:rPr>
          <w:b/>
        </w:rPr>
      </w:pPr>
      <w:r w:rsidRPr="00E3350F">
        <w:rPr>
          <w:b/>
          <w:u w:val="single"/>
        </w:rPr>
        <w:t>(a)</w:t>
      </w:r>
      <w:r w:rsidRPr="00E3350F">
        <w:rPr>
          <w:b/>
        </w:rPr>
        <w:tab/>
        <w:t>for-profit entities</w:t>
      </w:r>
      <w:r w:rsidRPr="00E3350F">
        <w:rPr>
          <w:b/>
          <w:strike/>
        </w:rPr>
        <w:t>, but not by not-for-profit entities,</w:t>
      </w:r>
      <w:r w:rsidRPr="00E3350F">
        <w:rPr>
          <w:b/>
        </w:rPr>
        <w:t xml:space="preserve"> to annual reporting periods beginning on or after 1</w:t>
      </w:r>
      <w:r w:rsidR="002973E9">
        <w:rPr>
          <w:b/>
        </w:rPr>
        <w:t> </w:t>
      </w:r>
      <w:r w:rsidRPr="00E3350F">
        <w:rPr>
          <w:b/>
        </w:rPr>
        <w:t>January 2005 but before 1 January 2013</w:t>
      </w:r>
      <w:r w:rsidRPr="00E3350F">
        <w:rPr>
          <w:b/>
          <w:u w:val="single"/>
        </w:rPr>
        <w:t>; and</w:t>
      </w:r>
    </w:p>
    <w:p w:rsidR="00AB0DCC" w:rsidRPr="00E3350F" w:rsidRDefault="00AB0DCC" w:rsidP="00AB0DCC">
      <w:pPr>
        <w:pStyle w:val="NumPlain2"/>
        <w:numPr>
          <w:ilvl w:val="0"/>
          <w:numId w:val="0"/>
        </w:numPr>
        <w:ind w:left="1757" w:hanging="510"/>
        <w:rPr>
          <w:b/>
        </w:rPr>
      </w:pPr>
      <w:r w:rsidRPr="00E3350F">
        <w:rPr>
          <w:b/>
          <w:u w:val="single"/>
        </w:rPr>
        <w:t>(b)</w:t>
      </w:r>
      <w:r w:rsidRPr="00E3350F">
        <w:rPr>
          <w:b/>
        </w:rPr>
        <w:tab/>
      </w:r>
      <w:r w:rsidRPr="00E3350F">
        <w:rPr>
          <w:b/>
          <w:u w:val="single"/>
        </w:rPr>
        <w:t>not-for-profit entities to annual reporting periods beginning on or after 1 January 2013 but before 1</w:t>
      </w:r>
      <w:r w:rsidR="002973E9">
        <w:rPr>
          <w:b/>
          <w:u w:val="single"/>
        </w:rPr>
        <w:t> </w:t>
      </w:r>
      <w:r w:rsidRPr="00E3350F">
        <w:rPr>
          <w:b/>
          <w:u w:val="single"/>
        </w:rPr>
        <w:t>January 2014</w:t>
      </w:r>
      <w:r w:rsidR="00191449">
        <w:rPr>
          <w:b/>
        </w:rPr>
        <w:t>.</w:t>
      </w:r>
    </w:p>
    <w:p w:rsidR="00AB0DCC" w:rsidRPr="00E3350F" w:rsidRDefault="00AB0DCC" w:rsidP="00AB0DCC">
      <w:pPr>
        <w:pStyle w:val="NumPlain2"/>
        <w:numPr>
          <w:ilvl w:val="0"/>
          <w:numId w:val="0"/>
        </w:numPr>
        <w:ind w:left="1247"/>
        <w:rPr>
          <w:b/>
        </w:rPr>
      </w:pPr>
      <w:r w:rsidRPr="00E3350F">
        <w:rPr>
          <w:b/>
        </w:rPr>
        <w:t xml:space="preserve">If </w:t>
      </w:r>
      <w:r w:rsidRPr="00E3350F">
        <w:rPr>
          <w:b/>
          <w:strike/>
        </w:rPr>
        <w:t xml:space="preserve">a for-profit </w:t>
      </w:r>
      <w:r w:rsidRPr="00E3350F">
        <w:rPr>
          <w:b/>
          <w:u w:val="single"/>
        </w:rPr>
        <w:t>an</w:t>
      </w:r>
      <w:r w:rsidRPr="00E3350F">
        <w:rPr>
          <w:b/>
        </w:rPr>
        <w:t xml:space="preserve"> entity applies this Standard to such an annual reporting period</w:t>
      </w:r>
      <w:r w:rsidRPr="00E3350F">
        <w:rPr>
          <w:b/>
          <w:u w:val="single"/>
        </w:rPr>
        <w:t xml:space="preserve"> in accordance with paragraph (a)</w:t>
      </w:r>
      <w:r>
        <w:rPr>
          <w:b/>
          <w:u w:val="single"/>
        </w:rPr>
        <w:t xml:space="preserve"> </w:t>
      </w:r>
      <w:r w:rsidRPr="00E3350F">
        <w:rPr>
          <w:b/>
          <w:u w:val="single"/>
        </w:rPr>
        <w:t>or (b)</w:t>
      </w:r>
      <w:r w:rsidRPr="00E3350F">
        <w:rPr>
          <w:b/>
        </w:rPr>
        <w:t xml:space="preserve">, it shall disclose that fact and apply </w:t>
      </w:r>
      <w:r w:rsidR="0016667E">
        <w:rPr>
          <w:b/>
        </w:rPr>
        <w:t xml:space="preserve">AASB 10 </w:t>
      </w:r>
      <w:r w:rsidR="0016667E" w:rsidRPr="0016667E">
        <w:rPr>
          <w:b/>
          <w:i/>
        </w:rPr>
        <w:t>Consolidated Financial Statements</w:t>
      </w:r>
      <w:r w:rsidR="0016667E">
        <w:rPr>
          <w:b/>
        </w:rPr>
        <w:t xml:space="preserve">, </w:t>
      </w:r>
      <w:r w:rsidRPr="00E3350F">
        <w:rPr>
          <w:b/>
        </w:rPr>
        <w:t xml:space="preserve">AASB 11 </w:t>
      </w:r>
      <w:r w:rsidRPr="00E3350F">
        <w:rPr>
          <w:b/>
          <w:i/>
        </w:rPr>
        <w:t>Joint Arrangements</w:t>
      </w:r>
      <w:r w:rsidRPr="00E3350F">
        <w:rPr>
          <w:b/>
        </w:rPr>
        <w:t xml:space="preserve">, AASB 127 </w:t>
      </w:r>
      <w:r w:rsidRPr="00E3350F">
        <w:rPr>
          <w:b/>
          <w:i/>
        </w:rPr>
        <w:t>Separate Financial Statements</w:t>
      </w:r>
      <w:r w:rsidRPr="00E3350F">
        <w:rPr>
          <w:b/>
        </w:rPr>
        <w:t xml:space="preserve"> (</w:t>
      </w:r>
      <w:r w:rsidR="0016667E" w:rsidRPr="0048658C">
        <w:rPr>
          <w:b/>
          <w:strike/>
        </w:rPr>
        <w:t>as amended in</w:t>
      </w:r>
      <w:r w:rsidR="0048658C">
        <w:rPr>
          <w:b/>
          <w:strike/>
        </w:rPr>
        <w:t xml:space="preserve"> </w:t>
      </w:r>
      <w:r w:rsidR="0048658C" w:rsidRPr="0048658C">
        <w:rPr>
          <w:b/>
          <w:u w:val="single"/>
        </w:rPr>
        <w:t>August</w:t>
      </w:r>
      <w:r w:rsidRPr="00E3350F">
        <w:rPr>
          <w:b/>
        </w:rPr>
        <w:t xml:space="preserve"> 2011) and AASB 128 </w:t>
      </w:r>
      <w:r w:rsidRPr="00E3350F">
        <w:rPr>
          <w:b/>
          <w:i/>
        </w:rPr>
        <w:t>Investments in Associates and Joint Ventures</w:t>
      </w:r>
      <w:r w:rsidRPr="00E3350F">
        <w:rPr>
          <w:b/>
        </w:rPr>
        <w:t xml:space="preserve"> (</w:t>
      </w:r>
      <w:r w:rsidR="0016667E" w:rsidRPr="0048658C">
        <w:rPr>
          <w:b/>
          <w:strike/>
        </w:rPr>
        <w:t>as amended in</w:t>
      </w:r>
      <w:r w:rsidR="0048658C">
        <w:rPr>
          <w:b/>
          <w:strike/>
        </w:rPr>
        <w:t xml:space="preserve"> </w:t>
      </w:r>
      <w:r w:rsidR="0048658C" w:rsidRPr="0048658C">
        <w:rPr>
          <w:b/>
          <w:u w:val="single"/>
        </w:rPr>
        <w:t>August</w:t>
      </w:r>
      <w:r w:rsidRPr="0048658C">
        <w:rPr>
          <w:b/>
          <w:u w:val="single"/>
        </w:rPr>
        <w:t xml:space="preserve"> </w:t>
      </w:r>
      <w:r w:rsidRPr="00E3350F">
        <w:rPr>
          <w:b/>
        </w:rPr>
        <w:t>2011), at the same time.</w:t>
      </w:r>
    </w:p>
    <w:p w:rsidR="00054303" w:rsidRDefault="00054303" w:rsidP="00302806">
      <w:pPr>
        <w:pStyle w:val="NumPlain1"/>
      </w:pPr>
      <w:r>
        <w:t>In paragraph 9(c), ‘paragraphs 58–72 of AASB 10’ is amended to ‘paragraphs B58–B72 of AASB 10’.</w:t>
      </w:r>
    </w:p>
    <w:p w:rsidR="00E92F19" w:rsidRDefault="00E92F19" w:rsidP="00870DC3">
      <w:pPr>
        <w:pStyle w:val="NumPlain1"/>
        <w:keepNext/>
      </w:pPr>
      <w:r>
        <w:t>Paragraphs C1A and C2A–C2B are added as follows:</w:t>
      </w:r>
    </w:p>
    <w:p w:rsidR="00625A72" w:rsidRDefault="00E92F19" w:rsidP="009C00DE">
      <w:pPr>
        <w:pStyle w:val="SubNumPlain1"/>
        <w:rPr>
          <w:lang w:val="en-GB"/>
        </w:rPr>
      </w:pPr>
      <w:r>
        <w:t>C1A</w:t>
      </w:r>
      <w:r>
        <w:tab/>
      </w:r>
      <w:r w:rsidR="00625A72" w:rsidRPr="00721E16">
        <w:t>AASB 2012-</w:t>
      </w:r>
      <w:r w:rsidR="00BC43B5">
        <w:t>10</w:t>
      </w:r>
      <w:r w:rsidR="00625A72" w:rsidRPr="00721E16">
        <w:t xml:space="preserve"> </w:t>
      </w:r>
      <w:r w:rsidR="00625A72" w:rsidRPr="00721E16">
        <w:rPr>
          <w:i/>
        </w:rPr>
        <w:t>Amendments to Australian Accounting Standards – Transition Guidance and Other Amendments</w:t>
      </w:r>
      <w:r w:rsidR="00625A72" w:rsidRPr="00721E16">
        <w:t xml:space="preserve">, </w:t>
      </w:r>
      <w:r w:rsidR="00625A72" w:rsidRPr="00E92F19">
        <w:rPr>
          <w:lang w:val="en-GB"/>
        </w:rPr>
        <w:t xml:space="preserve">issued in </w:t>
      </w:r>
      <w:r w:rsidR="00044D05">
        <w:rPr>
          <w:lang w:val="en-GB"/>
        </w:rPr>
        <w:t xml:space="preserve">December </w:t>
      </w:r>
      <w:r w:rsidR="00625A72">
        <w:rPr>
          <w:lang w:val="en-GB"/>
        </w:rPr>
        <w:t>2012,</w:t>
      </w:r>
      <w:r w:rsidR="00625A72" w:rsidRPr="00625A72">
        <w:rPr>
          <w:sz w:val="19"/>
          <w:lang w:val="en-GB" w:eastAsia="en-GB"/>
        </w:rPr>
        <w:t xml:space="preserve"> </w:t>
      </w:r>
      <w:r w:rsidR="00625A72">
        <w:rPr>
          <w:lang w:val="en-GB"/>
        </w:rPr>
        <w:t>added paragraphs</w:t>
      </w:r>
      <w:r w:rsidR="004013F3">
        <w:rPr>
          <w:lang w:val="en-GB"/>
        </w:rPr>
        <w:t> </w:t>
      </w:r>
      <w:r w:rsidR="00625A72">
        <w:rPr>
          <w:lang w:val="en-GB"/>
        </w:rPr>
        <w:t xml:space="preserve">C2A–C2B.  </w:t>
      </w:r>
      <w:r w:rsidR="00625A72" w:rsidRPr="00625A72">
        <w:rPr>
          <w:lang w:val="en-GB"/>
        </w:rPr>
        <w:t xml:space="preserve">An entity shall apply those amendments for annual </w:t>
      </w:r>
      <w:r w:rsidR="00842C56">
        <w:rPr>
          <w:lang w:val="en-GB"/>
        </w:rPr>
        <w:t xml:space="preserve">reporting </w:t>
      </w:r>
      <w:r w:rsidR="00625A72" w:rsidRPr="00625A72">
        <w:rPr>
          <w:lang w:val="en-GB"/>
        </w:rPr>
        <w:t>periods beginn</w:t>
      </w:r>
      <w:r w:rsidR="003B36D3">
        <w:rPr>
          <w:lang w:val="en-GB"/>
        </w:rPr>
        <w:t>ing on or after 1 </w:t>
      </w:r>
      <w:r w:rsidR="00625A72">
        <w:rPr>
          <w:lang w:val="en-GB"/>
        </w:rPr>
        <w:t>January 2013</w:t>
      </w:r>
      <w:r w:rsidR="003B36D3">
        <w:rPr>
          <w:lang w:val="en-GB"/>
        </w:rPr>
        <w:t xml:space="preserve">, except that a not-for-profit entity shall apply the amendments </w:t>
      </w:r>
      <w:r w:rsidR="00A56200">
        <w:rPr>
          <w:lang w:val="en-GB"/>
        </w:rPr>
        <w:t>for</w:t>
      </w:r>
      <w:r w:rsidR="003B36D3">
        <w:rPr>
          <w:lang w:val="en-GB"/>
        </w:rPr>
        <w:t xml:space="preserve"> </w:t>
      </w:r>
      <w:r w:rsidR="003B36D3" w:rsidRPr="005E65C3">
        <w:rPr>
          <w:lang w:val="en-GB"/>
        </w:rPr>
        <w:t xml:space="preserve">annual </w:t>
      </w:r>
      <w:r w:rsidR="003B36D3">
        <w:rPr>
          <w:lang w:val="en-GB"/>
        </w:rPr>
        <w:t xml:space="preserve">reporting </w:t>
      </w:r>
      <w:r w:rsidR="003B36D3" w:rsidRPr="005E65C3">
        <w:rPr>
          <w:lang w:val="en-GB"/>
        </w:rPr>
        <w:t>periods beginning on or after 1</w:t>
      </w:r>
      <w:r w:rsidR="003B36D3">
        <w:rPr>
          <w:lang w:val="en-GB"/>
        </w:rPr>
        <w:t> </w:t>
      </w:r>
      <w:r w:rsidR="003B36D3" w:rsidRPr="005E65C3">
        <w:rPr>
          <w:lang w:val="en-GB"/>
        </w:rPr>
        <w:t>January 2</w:t>
      </w:r>
      <w:r w:rsidR="003B36D3">
        <w:rPr>
          <w:lang w:val="en-GB"/>
        </w:rPr>
        <w:t>014</w:t>
      </w:r>
      <w:r w:rsidR="00625A72">
        <w:rPr>
          <w:lang w:val="en-GB"/>
        </w:rPr>
        <w:t xml:space="preserve">.  </w:t>
      </w:r>
      <w:r w:rsidR="00625A72" w:rsidRPr="00625A72">
        <w:rPr>
          <w:lang w:val="en-GB"/>
        </w:rPr>
        <w:t xml:space="preserve">If an entity applies </w:t>
      </w:r>
      <w:r w:rsidR="00625A72">
        <w:rPr>
          <w:lang w:val="en-GB"/>
        </w:rPr>
        <w:t>AASB </w:t>
      </w:r>
      <w:r w:rsidR="00625A72" w:rsidRPr="00625A72">
        <w:rPr>
          <w:lang w:val="en-GB"/>
        </w:rPr>
        <w:t>12 for an earlier period, it shall apply those amendments for that earlier period.</w:t>
      </w:r>
    </w:p>
    <w:p w:rsidR="000411AC" w:rsidRDefault="00625A72" w:rsidP="009C00DE">
      <w:pPr>
        <w:pStyle w:val="SubNumPlain1"/>
        <w:rPr>
          <w:lang w:val="en-GB"/>
        </w:rPr>
      </w:pPr>
      <w:r>
        <w:t>C2A</w:t>
      </w:r>
      <w:r>
        <w:tab/>
      </w:r>
      <w:r w:rsidRPr="00625A72">
        <w:rPr>
          <w:lang w:val="en-GB"/>
        </w:rPr>
        <w:t xml:space="preserve">The disclosure requirements of this </w:t>
      </w:r>
      <w:r w:rsidR="000411AC">
        <w:rPr>
          <w:lang w:val="en-GB"/>
        </w:rPr>
        <w:t>Standard</w:t>
      </w:r>
      <w:r w:rsidRPr="00625A72">
        <w:rPr>
          <w:lang w:val="en-GB"/>
        </w:rPr>
        <w:t xml:space="preserve"> need not be applied for any period presented that begins before the annual</w:t>
      </w:r>
      <w:r w:rsidR="00842C56">
        <w:rPr>
          <w:lang w:val="en-GB"/>
        </w:rPr>
        <w:t xml:space="preserve"> reporting</w:t>
      </w:r>
      <w:r w:rsidRPr="00625A72">
        <w:rPr>
          <w:lang w:val="en-GB"/>
        </w:rPr>
        <w:t xml:space="preserve"> period immediately preceding the first annual </w:t>
      </w:r>
      <w:r w:rsidR="00842C56">
        <w:rPr>
          <w:lang w:val="en-GB"/>
        </w:rPr>
        <w:t xml:space="preserve">reporting </w:t>
      </w:r>
      <w:r w:rsidRPr="00625A72">
        <w:rPr>
          <w:lang w:val="en-GB"/>
        </w:rPr>
        <w:t xml:space="preserve">period for which </w:t>
      </w:r>
      <w:r w:rsidR="000411AC">
        <w:rPr>
          <w:lang w:val="en-GB"/>
        </w:rPr>
        <w:t>AASB</w:t>
      </w:r>
      <w:r w:rsidRPr="00625A72">
        <w:rPr>
          <w:lang w:val="en-GB"/>
        </w:rPr>
        <w:t xml:space="preserve"> 12 is applied.</w:t>
      </w:r>
    </w:p>
    <w:p w:rsidR="00D25B89" w:rsidRPr="00870DC3" w:rsidRDefault="000411AC" w:rsidP="009C00DE">
      <w:pPr>
        <w:pStyle w:val="SubNumPlain1"/>
        <w:rPr>
          <w:lang w:val="en-GB"/>
        </w:rPr>
      </w:pPr>
      <w:r>
        <w:rPr>
          <w:lang w:val="en-GB"/>
        </w:rPr>
        <w:lastRenderedPageBreak/>
        <w:t>C2B</w:t>
      </w:r>
      <w:r>
        <w:rPr>
          <w:lang w:val="en-GB"/>
        </w:rPr>
        <w:tab/>
      </w:r>
      <w:r>
        <w:t xml:space="preserve">The disclosure requirements of paragraphs 24–31 and the corresponding guidance in paragraphs B21–B26 of this Standard need not be applied for any period presented that begins before the first annual </w:t>
      </w:r>
      <w:r w:rsidR="00842C56">
        <w:t xml:space="preserve">reporting </w:t>
      </w:r>
      <w:r>
        <w:t>period for which AASB</w:t>
      </w:r>
      <w:r w:rsidR="00B33969">
        <w:t> </w:t>
      </w:r>
      <w:r>
        <w:t>12 is applied.</w:t>
      </w:r>
    </w:p>
    <w:p w:rsidR="00870DC3" w:rsidRDefault="00870DC3" w:rsidP="00870DC3">
      <w:pPr>
        <w:pStyle w:val="Heading2"/>
        <w:rPr>
          <w:lang w:val="en-GB"/>
        </w:rPr>
      </w:pPr>
      <w:r>
        <w:t>Amendment to AASB 13</w:t>
      </w:r>
    </w:p>
    <w:p w:rsidR="00870DC3" w:rsidRPr="00870DC3" w:rsidRDefault="00870DC3" w:rsidP="00870DC3">
      <w:pPr>
        <w:pStyle w:val="NumPlain1"/>
        <w:rPr>
          <w:lang w:val="en-GB"/>
        </w:rPr>
      </w:pPr>
      <w:r>
        <w:rPr>
          <w:lang w:val="en-GB"/>
        </w:rPr>
        <w:t>In paragraph 48, ‘or to transfer a net short position’ is amended to ‘or paid to transfer a net short position’.</w:t>
      </w:r>
    </w:p>
    <w:p w:rsidR="00D25B89" w:rsidRDefault="00D25B89" w:rsidP="00D25B89">
      <w:pPr>
        <w:pStyle w:val="Heading2"/>
      </w:pPr>
      <w:r>
        <w:t>Amendment</w:t>
      </w:r>
      <w:r w:rsidR="0090201A">
        <w:t>s</w:t>
      </w:r>
      <w:r>
        <w:t xml:space="preserve"> to AASB 101</w:t>
      </w:r>
    </w:p>
    <w:p w:rsidR="0090201A" w:rsidRPr="00D25B89" w:rsidRDefault="0090201A" w:rsidP="00E24AD3">
      <w:pPr>
        <w:pStyle w:val="NumPlain1"/>
        <w:keepNext/>
        <w:rPr>
          <w:lang w:val="en-GB"/>
        </w:rPr>
      </w:pPr>
      <w:r>
        <w:t>Paragraph Aus1.5 is amended to read as follows:</w:t>
      </w:r>
    </w:p>
    <w:p w:rsidR="0090201A" w:rsidRDefault="0090201A" w:rsidP="00E24AD3">
      <w:pPr>
        <w:pStyle w:val="NumPlain2"/>
        <w:numPr>
          <w:ilvl w:val="0"/>
          <w:numId w:val="0"/>
        </w:numPr>
        <w:ind w:left="1440" w:hanging="930"/>
      </w:pPr>
      <w:r>
        <w:t>Aus1.5</w:t>
      </w:r>
      <w:r>
        <w:tab/>
      </w:r>
      <w:r w:rsidRPr="00D25B89">
        <w:t xml:space="preserve">When applicable, this Standard supersedes AASB 101 </w:t>
      </w:r>
      <w:r>
        <w:t xml:space="preserve"> </w:t>
      </w:r>
      <w:r w:rsidRPr="00D25B89">
        <w:rPr>
          <w:i/>
        </w:rPr>
        <w:t>Presentation of</w:t>
      </w:r>
      <w:r w:rsidRPr="00D25B89">
        <w:t xml:space="preserve"> </w:t>
      </w:r>
      <w:r w:rsidRPr="00D25B89">
        <w:rPr>
          <w:i/>
        </w:rPr>
        <w:t>Financial Statements</w:t>
      </w:r>
      <w:r w:rsidRPr="00D25B89">
        <w:t xml:space="preserve"> (October 2006), as amended.</w:t>
      </w:r>
    </w:p>
    <w:p w:rsidR="0090201A" w:rsidRPr="0090201A" w:rsidRDefault="00C32508" w:rsidP="00E24AD3">
      <w:pPr>
        <w:pStyle w:val="NumPlain1"/>
        <w:rPr>
          <w:lang w:val="en-GB"/>
        </w:rPr>
      </w:pPr>
      <w:r w:rsidRPr="00E24AD3">
        <w:rPr>
          <w:lang w:val="en-GB"/>
        </w:rPr>
        <w:t>In paragraphs 13(c), 14 and 15, ‘IFRSs’ is amended to ‘Australian Accounting Standards’, and in the heading before paragraph 15</w:t>
      </w:r>
      <w:r w:rsidR="005D126D" w:rsidRPr="00E24AD3">
        <w:rPr>
          <w:lang w:val="en-GB"/>
        </w:rPr>
        <w:t>, ‘IFRSs’ is amended to</w:t>
      </w:r>
      <w:r w:rsidRPr="00E24AD3">
        <w:rPr>
          <w:lang w:val="en-GB"/>
        </w:rPr>
        <w:t xml:space="preserve"> ‘Standards’.</w:t>
      </w:r>
    </w:p>
    <w:p w:rsidR="0056002A" w:rsidRDefault="0056002A" w:rsidP="0056002A">
      <w:pPr>
        <w:pStyle w:val="Heading2"/>
      </w:pPr>
      <w:r>
        <w:t>Amendment to AASB 102</w:t>
      </w:r>
    </w:p>
    <w:p w:rsidR="0056002A" w:rsidRDefault="0056002A" w:rsidP="00E24AD3">
      <w:pPr>
        <w:pStyle w:val="NumPlain1"/>
      </w:pPr>
      <w:r>
        <w:t xml:space="preserve">The heading </w:t>
      </w:r>
      <w:r w:rsidR="0016667E">
        <w:t xml:space="preserve">‘Effective Date of IAS 2’ before paragraph 40 </w:t>
      </w:r>
      <w:r>
        <w:t>is amended to ‘Effective Date’.</w:t>
      </w:r>
    </w:p>
    <w:p w:rsidR="00A54FA5" w:rsidRDefault="00A54FA5" w:rsidP="00A54FA5">
      <w:pPr>
        <w:pStyle w:val="Heading2"/>
      </w:pPr>
      <w:r>
        <w:t>Amendment to AASB 108</w:t>
      </w:r>
    </w:p>
    <w:p w:rsidR="00A54FA5" w:rsidRDefault="00A54FA5" w:rsidP="00E24AD3">
      <w:pPr>
        <w:pStyle w:val="NumPlain1"/>
      </w:pPr>
      <w:r>
        <w:t xml:space="preserve">The heading </w:t>
      </w:r>
      <w:r w:rsidR="00625822">
        <w:t xml:space="preserve">‘Effective Date of IAS 8’ </w:t>
      </w:r>
      <w:r w:rsidR="00891334">
        <w:t>before paragraph 54</w:t>
      </w:r>
      <w:r w:rsidR="00625822">
        <w:t xml:space="preserve"> </w:t>
      </w:r>
      <w:r>
        <w:t>is amended to ‘Effective Date’.</w:t>
      </w:r>
    </w:p>
    <w:p w:rsidR="00D25B89" w:rsidRDefault="00D25B89" w:rsidP="00D25B89">
      <w:pPr>
        <w:pStyle w:val="Heading2"/>
      </w:pPr>
      <w:r>
        <w:t>Amendments to AASB 112</w:t>
      </w:r>
    </w:p>
    <w:p w:rsidR="00395CC7" w:rsidRPr="00395CC7" w:rsidRDefault="00395CC7" w:rsidP="00657D3B">
      <w:pPr>
        <w:pStyle w:val="NumPlain1"/>
        <w:rPr>
          <w:lang w:val="en-GB"/>
        </w:rPr>
      </w:pPr>
      <w:r>
        <w:rPr>
          <w:lang w:val="en-GB"/>
        </w:rPr>
        <w:t>In paragraph 58, ‘paragraphs 61A to 65’ is amended to ‘paragraphs 61A–65’ and ‘paragraphs 66 to 68’ is amended to ‘paragraphs 66–68’.</w:t>
      </w:r>
    </w:p>
    <w:p w:rsidR="00C369CE" w:rsidRPr="00657D3B" w:rsidRDefault="00D25B89" w:rsidP="00E24AD3">
      <w:pPr>
        <w:pStyle w:val="NumPlain1"/>
        <w:rPr>
          <w:lang w:val="en-GB"/>
        </w:rPr>
      </w:pPr>
      <w:r>
        <w:t>In paragraphs 71, 72, 74 and 75, ‘set-off’ is amended to ‘set off’.</w:t>
      </w:r>
    </w:p>
    <w:p w:rsidR="00657D3B" w:rsidRDefault="00657D3B" w:rsidP="00657D3B">
      <w:pPr>
        <w:pStyle w:val="Heading2"/>
        <w:rPr>
          <w:lang w:val="en-GB"/>
        </w:rPr>
      </w:pPr>
      <w:r>
        <w:rPr>
          <w:lang w:val="en-GB"/>
        </w:rPr>
        <w:t>Amendments to AASB 118</w:t>
      </w:r>
    </w:p>
    <w:p w:rsidR="00304E97" w:rsidRDefault="009A4552" w:rsidP="00657D3B">
      <w:pPr>
        <w:pStyle w:val="NumPlain1"/>
        <w:rPr>
          <w:lang w:val="en-GB"/>
        </w:rPr>
      </w:pPr>
      <w:r>
        <w:rPr>
          <w:lang w:val="en-GB"/>
        </w:rPr>
        <w:t>The paragraph under the heading ‘Sale of Goods’ in the Illustrative Examples accompanying AASB 118 is amended as follows (new text is underlined and deleted text is struck through):</w:t>
      </w:r>
    </w:p>
    <w:p w:rsidR="009A4552" w:rsidRDefault="009A4552" w:rsidP="009A4552">
      <w:pPr>
        <w:pStyle w:val="NumPlain1"/>
        <w:numPr>
          <w:ilvl w:val="0"/>
          <w:numId w:val="0"/>
        </w:numPr>
        <w:ind w:left="510"/>
        <w:rPr>
          <w:lang w:val="en-GB"/>
        </w:rPr>
      </w:pPr>
      <w:r>
        <w:rPr>
          <w:lang w:val="en-GB"/>
        </w:rPr>
        <w:t xml:space="preserve">The law in different countries may mean the recognition criteria in </w:t>
      </w:r>
      <w:r w:rsidRPr="009A4552">
        <w:rPr>
          <w:strike/>
          <w:lang w:val="en-GB"/>
        </w:rPr>
        <w:t xml:space="preserve">this </w:t>
      </w:r>
      <w:r w:rsidRPr="009A4552">
        <w:rPr>
          <w:u w:val="single"/>
          <w:lang w:val="en-GB"/>
        </w:rPr>
        <w:t>the</w:t>
      </w:r>
      <w:r>
        <w:rPr>
          <w:lang w:val="en-GB"/>
        </w:rPr>
        <w:t xml:space="preserve"> Standard … Therefore, the examples in this section </w:t>
      </w:r>
      <w:r w:rsidRPr="002A0C54">
        <w:rPr>
          <w:strike/>
          <w:lang w:val="en-GB"/>
        </w:rPr>
        <w:t>of the appendix</w:t>
      </w:r>
      <w:r>
        <w:rPr>
          <w:lang w:val="en-GB"/>
        </w:rPr>
        <w:t xml:space="preserve"> need to be read in the context of …</w:t>
      </w:r>
    </w:p>
    <w:p w:rsidR="00657D3B" w:rsidRDefault="009A4552" w:rsidP="00E24AD3">
      <w:pPr>
        <w:pStyle w:val="NumPlain1"/>
        <w:rPr>
          <w:lang w:val="en-GB"/>
        </w:rPr>
      </w:pPr>
      <w:r>
        <w:rPr>
          <w:lang w:val="en-GB"/>
        </w:rPr>
        <w:t>Paragraph 9 of</w:t>
      </w:r>
      <w:r w:rsidR="00657D3B">
        <w:rPr>
          <w:lang w:val="en-GB"/>
        </w:rPr>
        <w:t xml:space="preserve"> the Illustrative Examples accompanying AASB 118</w:t>
      </w:r>
      <w:r>
        <w:rPr>
          <w:lang w:val="en-GB"/>
        </w:rPr>
        <w:t xml:space="preserve"> </w:t>
      </w:r>
      <w:r w:rsidR="00657D3B">
        <w:rPr>
          <w:lang w:val="en-GB"/>
        </w:rPr>
        <w:t>is amended as follows (new text is underlined):</w:t>
      </w:r>
    </w:p>
    <w:p w:rsidR="0078062C" w:rsidRDefault="00657D3B" w:rsidP="00E24AD3">
      <w:pPr>
        <w:pStyle w:val="SubNumPlain1"/>
        <w:keepNext/>
        <w:ind w:left="1020" w:hanging="510"/>
        <w:rPr>
          <w:lang w:val="en-GB"/>
        </w:rPr>
      </w:pPr>
      <w:r>
        <w:rPr>
          <w:lang w:val="en-GB"/>
        </w:rPr>
        <w:t>9</w:t>
      </w:r>
      <w:r>
        <w:rPr>
          <w:lang w:val="en-GB"/>
        </w:rPr>
        <w:tab/>
      </w:r>
      <w:r w:rsidR="0078062C" w:rsidRPr="0078062C">
        <w:rPr>
          <w:i/>
          <w:lang w:val="en-GB"/>
        </w:rPr>
        <w:t>Real estate sales</w:t>
      </w:r>
    </w:p>
    <w:p w:rsidR="00657D3B" w:rsidRDefault="00657D3B" w:rsidP="00E24AD3">
      <w:pPr>
        <w:pStyle w:val="SubNumPlain2"/>
        <w:numPr>
          <w:ilvl w:val="0"/>
          <w:numId w:val="0"/>
        </w:numPr>
        <w:ind w:left="1020"/>
        <w:rPr>
          <w:lang w:val="en-GB"/>
        </w:rPr>
      </w:pPr>
      <w:r w:rsidRPr="0078062C">
        <w:rPr>
          <w:lang w:val="en-GB"/>
        </w:rPr>
        <w:t xml:space="preserve">This example has been superseded by AASB Interpretation 15 </w:t>
      </w:r>
      <w:r w:rsidRPr="0078062C">
        <w:rPr>
          <w:i/>
          <w:lang w:val="en-GB"/>
        </w:rPr>
        <w:t>Agreements for the Construction of Real Estate</w:t>
      </w:r>
      <w:r w:rsidRPr="0078062C">
        <w:rPr>
          <w:lang w:val="en-GB"/>
        </w:rPr>
        <w:t xml:space="preserve"> </w:t>
      </w:r>
      <w:r w:rsidRPr="0078062C">
        <w:rPr>
          <w:u w:val="single"/>
          <w:lang w:val="en-GB"/>
        </w:rPr>
        <w:t>as identified in AASB 1048</w:t>
      </w:r>
      <w:r w:rsidR="009A4552" w:rsidRPr="0078062C">
        <w:rPr>
          <w:u w:val="single"/>
          <w:lang w:val="en-GB"/>
        </w:rPr>
        <w:t xml:space="preserve"> </w:t>
      </w:r>
      <w:r w:rsidR="009A4552" w:rsidRPr="0078062C">
        <w:rPr>
          <w:i/>
          <w:u w:val="single"/>
          <w:lang w:val="en-GB"/>
        </w:rPr>
        <w:t>Interpretation of Standards</w:t>
      </w:r>
      <w:r w:rsidRPr="0078062C">
        <w:rPr>
          <w:lang w:val="en-GB"/>
        </w:rPr>
        <w:t>.</w:t>
      </w:r>
    </w:p>
    <w:p w:rsidR="00870DC3" w:rsidRDefault="00870DC3" w:rsidP="00870DC3">
      <w:pPr>
        <w:pStyle w:val="Heading2"/>
        <w:rPr>
          <w:lang w:val="en-GB"/>
        </w:rPr>
      </w:pPr>
      <w:r>
        <w:rPr>
          <w:lang w:val="en-GB"/>
        </w:rPr>
        <w:t>Amendment</w:t>
      </w:r>
      <w:r w:rsidR="0075146E">
        <w:rPr>
          <w:lang w:val="en-GB"/>
        </w:rPr>
        <w:t>s</w:t>
      </w:r>
      <w:r>
        <w:rPr>
          <w:lang w:val="en-GB"/>
        </w:rPr>
        <w:t xml:space="preserve"> to AASB 119</w:t>
      </w:r>
    </w:p>
    <w:p w:rsidR="00D66238" w:rsidRDefault="00D66238" w:rsidP="00870DC3">
      <w:pPr>
        <w:pStyle w:val="NumPlain1"/>
        <w:rPr>
          <w:lang w:val="en-GB"/>
        </w:rPr>
      </w:pPr>
      <w:r>
        <w:rPr>
          <w:lang w:val="en-GB"/>
        </w:rPr>
        <w:t>In paragraph 8, the definition of ‘fair value’ is amended to read as follows:</w:t>
      </w:r>
    </w:p>
    <w:p w:rsidR="00D66238" w:rsidRPr="006E3F98" w:rsidRDefault="00D66238" w:rsidP="00D66238">
      <w:pPr>
        <w:pStyle w:val="BoldHanging1"/>
      </w:pPr>
      <w:r w:rsidRPr="006E3F98">
        <w:rPr>
          <w:i/>
        </w:rPr>
        <w:t>Fair value</w:t>
      </w:r>
      <w:r w:rsidRPr="006E3F98">
        <w:t xml:space="preserve"> is the price that would be received to sell an asset or paid to transfer a liability in an orderly transaction between market participants at t</w:t>
      </w:r>
      <w:r>
        <w:t>he measurement date.  (See AASB </w:t>
      </w:r>
      <w:r w:rsidRPr="006E3F98">
        <w:t xml:space="preserve">13 </w:t>
      </w:r>
      <w:r w:rsidRPr="006E3F98">
        <w:rPr>
          <w:i/>
        </w:rPr>
        <w:t>Fair Value Measurement.</w:t>
      </w:r>
      <w:r w:rsidRPr="006E3F98">
        <w:t>)</w:t>
      </w:r>
    </w:p>
    <w:p w:rsidR="00870DC3" w:rsidRDefault="00870DC3" w:rsidP="00F37408">
      <w:pPr>
        <w:pStyle w:val="NumPlain1"/>
        <w:keepNext/>
        <w:rPr>
          <w:lang w:val="en-GB"/>
        </w:rPr>
      </w:pPr>
      <w:r>
        <w:rPr>
          <w:lang w:val="en-GB"/>
        </w:rPr>
        <w:t>Paragraph 113 is amended to read as follows:</w:t>
      </w:r>
    </w:p>
    <w:p w:rsidR="00870DC3" w:rsidRPr="00870DC3" w:rsidRDefault="00870DC3" w:rsidP="00870DC3">
      <w:pPr>
        <w:pStyle w:val="SubNumPlain1"/>
        <w:rPr>
          <w:lang w:val="en-GB"/>
        </w:rPr>
      </w:pPr>
      <w:r>
        <w:rPr>
          <w:lang w:val="en-GB"/>
        </w:rPr>
        <w:t>113</w:t>
      </w:r>
      <w:r>
        <w:rPr>
          <w:lang w:val="en-GB"/>
        </w:rPr>
        <w:tab/>
        <w:t>The fair value of any plan assets is deducted from the present value of the defined benefit obligation in determining the deficit or surplus.</w:t>
      </w:r>
    </w:p>
    <w:p w:rsidR="00307058" w:rsidRDefault="00307058" w:rsidP="00307058">
      <w:pPr>
        <w:pStyle w:val="Heading2"/>
        <w:rPr>
          <w:lang w:val="en-GB"/>
        </w:rPr>
      </w:pPr>
      <w:r>
        <w:rPr>
          <w:lang w:val="en-GB"/>
        </w:rPr>
        <w:t>Amendments to AASB 127</w:t>
      </w:r>
    </w:p>
    <w:p w:rsidR="00307058" w:rsidRDefault="00307058" w:rsidP="00307058">
      <w:pPr>
        <w:pStyle w:val="NumPlain1"/>
      </w:pPr>
      <w:r>
        <w:t>Paragraphs Aus1.2 and Aus1.3 are amended as follows (new text is underlined and deleted text is struck through):</w:t>
      </w:r>
    </w:p>
    <w:p w:rsidR="00307058" w:rsidRDefault="00307058" w:rsidP="00307058">
      <w:pPr>
        <w:pStyle w:val="SubNumPlain1"/>
        <w:ind w:left="1247" w:hanging="737"/>
        <w:rPr>
          <w:b/>
        </w:rPr>
      </w:pPr>
      <w:r>
        <w:rPr>
          <w:b/>
        </w:rPr>
        <w:t>Aus1</w:t>
      </w:r>
      <w:r w:rsidRPr="001235D8">
        <w:rPr>
          <w:b/>
        </w:rPr>
        <w:t>.2</w:t>
      </w:r>
      <w:r w:rsidRPr="001235D8">
        <w:rPr>
          <w:b/>
        </w:rPr>
        <w:tab/>
        <w:t xml:space="preserve">This </w:t>
      </w:r>
      <w:r>
        <w:rPr>
          <w:b/>
        </w:rPr>
        <w:t>S</w:t>
      </w:r>
      <w:r w:rsidRPr="001235D8">
        <w:rPr>
          <w:b/>
        </w:rPr>
        <w:t>tandard applies to annual reporting periods beginning on or after 1 January 2013</w:t>
      </w:r>
      <w:r w:rsidRPr="006345B3">
        <w:rPr>
          <w:b/>
          <w:u w:val="single"/>
        </w:rPr>
        <w:t>, except that for not-for-profit entities it applies to annual reporting periods beginning on or after 1</w:t>
      </w:r>
      <w:r w:rsidR="002973E9">
        <w:rPr>
          <w:b/>
          <w:u w:val="single"/>
        </w:rPr>
        <w:t> </w:t>
      </w:r>
      <w:r w:rsidRPr="006345B3">
        <w:rPr>
          <w:b/>
          <w:u w:val="single"/>
        </w:rPr>
        <w:t>January 2014</w:t>
      </w:r>
      <w:r w:rsidRPr="006345B3">
        <w:rPr>
          <w:b/>
        </w:rPr>
        <w:t>.</w:t>
      </w:r>
    </w:p>
    <w:p w:rsidR="00AB0DCC" w:rsidRPr="0046746C" w:rsidRDefault="00307058" w:rsidP="00AB0DCC">
      <w:pPr>
        <w:pStyle w:val="SubNumPlain1"/>
        <w:ind w:left="1247" w:hanging="737"/>
        <w:rPr>
          <w:b/>
        </w:rPr>
      </w:pPr>
      <w:r>
        <w:rPr>
          <w:b/>
        </w:rPr>
        <w:lastRenderedPageBreak/>
        <w:t>Aus1</w:t>
      </w:r>
      <w:r w:rsidRPr="003F6171">
        <w:rPr>
          <w:b/>
        </w:rPr>
        <w:t>.3</w:t>
      </w:r>
      <w:r w:rsidRPr="003F6171">
        <w:rPr>
          <w:b/>
        </w:rPr>
        <w:tab/>
      </w:r>
      <w:r w:rsidR="00AB0DCC">
        <w:rPr>
          <w:b/>
        </w:rPr>
        <w:t>This Standard may be applied by</w:t>
      </w:r>
      <w:r w:rsidR="00AB0DCC" w:rsidRPr="0046746C">
        <w:rPr>
          <w:b/>
          <w:u w:val="single"/>
        </w:rPr>
        <w:t>:</w:t>
      </w:r>
    </w:p>
    <w:p w:rsidR="00AB0DCC" w:rsidRPr="00E3350F" w:rsidRDefault="00AB0DCC" w:rsidP="00AB0DCC">
      <w:pPr>
        <w:pStyle w:val="NumPlain2"/>
        <w:numPr>
          <w:ilvl w:val="0"/>
          <w:numId w:val="0"/>
        </w:numPr>
        <w:ind w:left="1757" w:hanging="510"/>
        <w:rPr>
          <w:b/>
        </w:rPr>
      </w:pPr>
      <w:r w:rsidRPr="00E3350F">
        <w:rPr>
          <w:b/>
          <w:u w:val="single"/>
        </w:rPr>
        <w:t>(a)</w:t>
      </w:r>
      <w:r w:rsidRPr="00E3350F">
        <w:rPr>
          <w:b/>
        </w:rPr>
        <w:tab/>
        <w:t>for-profit entities</w:t>
      </w:r>
      <w:r w:rsidRPr="00E3350F">
        <w:rPr>
          <w:b/>
          <w:strike/>
        </w:rPr>
        <w:t>, but not by not-for-profit entities,</w:t>
      </w:r>
      <w:r w:rsidRPr="00E3350F">
        <w:rPr>
          <w:b/>
        </w:rPr>
        <w:t xml:space="preserve"> to annual reporting periods beginning on or after 1</w:t>
      </w:r>
      <w:r w:rsidR="002973E9">
        <w:rPr>
          <w:b/>
        </w:rPr>
        <w:t> </w:t>
      </w:r>
      <w:r w:rsidRPr="00E3350F">
        <w:rPr>
          <w:b/>
        </w:rPr>
        <w:t>January 2005 but before 1 January 2013</w:t>
      </w:r>
      <w:r w:rsidRPr="00E3350F">
        <w:rPr>
          <w:b/>
          <w:u w:val="single"/>
        </w:rPr>
        <w:t>; and</w:t>
      </w:r>
    </w:p>
    <w:p w:rsidR="00AB0DCC" w:rsidRPr="00E3350F" w:rsidRDefault="00AB0DCC" w:rsidP="00AB0DCC">
      <w:pPr>
        <w:pStyle w:val="NumPlain2"/>
        <w:numPr>
          <w:ilvl w:val="0"/>
          <w:numId w:val="0"/>
        </w:numPr>
        <w:ind w:left="1757" w:hanging="510"/>
        <w:rPr>
          <w:b/>
        </w:rPr>
      </w:pPr>
      <w:r w:rsidRPr="00E3350F">
        <w:rPr>
          <w:b/>
          <w:u w:val="single"/>
        </w:rPr>
        <w:t>(b)</w:t>
      </w:r>
      <w:r w:rsidRPr="00E3350F">
        <w:rPr>
          <w:b/>
        </w:rPr>
        <w:tab/>
      </w:r>
      <w:r w:rsidRPr="00E3350F">
        <w:rPr>
          <w:b/>
          <w:u w:val="single"/>
        </w:rPr>
        <w:t>not-for-profit entities to annual reporting periods beginning on or after 1 January 2013 but before 1</w:t>
      </w:r>
      <w:r w:rsidR="002973E9">
        <w:rPr>
          <w:b/>
          <w:u w:val="single"/>
        </w:rPr>
        <w:t> </w:t>
      </w:r>
      <w:r w:rsidRPr="00E3350F">
        <w:rPr>
          <w:b/>
          <w:u w:val="single"/>
        </w:rPr>
        <w:t>January 2014</w:t>
      </w:r>
      <w:r w:rsidR="00191449">
        <w:rPr>
          <w:b/>
        </w:rPr>
        <w:t>.</w:t>
      </w:r>
    </w:p>
    <w:p w:rsidR="00AB0DCC" w:rsidRDefault="00AB0DCC" w:rsidP="00AB0DCC">
      <w:pPr>
        <w:pStyle w:val="NumPlain2"/>
        <w:numPr>
          <w:ilvl w:val="0"/>
          <w:numId w:val="0"/>
        </w:numPr>
        <w:ind w:left="1247"/>
        <w:rPr>
          <w:b/>
        </w:rPr>
      </w:pPr>
      <w:r w:rsidRPr="00E3350F">
        <w:rPr>
          <w:b/>
        </w:rPr>
        <w:t xml:space="preserve">If </w:t>
      </w:r>
      <w:r w:rsidRPr="00E3350F">
        <w:rPr>
          <w:b/>
          <w:strike/>
        </w:rPr>
        <w:t xml:space="preserve">a for-profit </w:t>
      </w:r>
      <w:r w:rsidRPr="00E3350F">
        <w:rPr>
          <w:b/>
          <w:u w:val="single"/>
        </w:rPr>
        <w:t>an</w:t>
      </w:r>
      <w:r w:rsidRPr="00E3350F">
        <w:rPr>
          <w:b/>
        </w:rPr>
        <w:t xml:space="preserve"> entity applies this Standard to such an annual reporting period</w:t>
      </w:r>
      <w:r w:rsidRPr="00E3350F">
        <w:rPr>
          <w:b/>
          <w:u w:val="single"/>
        </w:rPr>
        <w:t xml:space="preserve"> in accordance with paragraph (a)</w:t>
      </w:r>
      <w:r>
        <w:rPr>
          <w:b/>
          <w:u w:val="single"/>
        </w:rPr>
        <w:t xml:space="preserve"> </w:t>
      </w:r>
      <w:r w:rsidRPr="00E3350F">
        <w:rPr>
          <w:b/>
          <w:u w:val="single"/>
        </w:rPr>
        <w:t>or (b)</w:t>
      </w:r>
      <w:r w:rsidRPr="00E3350F">
        <w:rPr>
          <w:b/>
        </w:rPr>
        <w:t xml:space="preserve">, it shall disclose that fact and apply </w:t>
      </w:r>
      <w:r w:rsidR="00191010">
        <w:rPr>
          <w:b/>
        </w:rPr>
        <w:t xml:space="preserve">AASB 10 </w:t>
      </w:r>
      <w:r w:rsidR="00191010" w:rsidRPr="00191010">
        <w:rPr>
          <w:b/>
          <w:i/>
        </w:rPr>
        <w:t>Consolidated Financial Statements</w:t>
      </w:r>
      <w:r w:rsidR="00191010">
        <w:rPr>
          <w:b/>
        </w:rPr>
        <w:t xml:space="preserve">, </w:t>
      </w:r>
      <w:r w:rsidRPr="00E3350F">
        <w:rPr>
          <w:b/>
        </w:rPr>
        <w:t xml:space="preserve">AASB 11 </w:t>
      </w:r>
      <w:r w:rsidRPr="00E3350F">
        <w:rPr>
          <w:b/>
          <w:i/>
        </w:rPr>
        <w:t>Joint Arrangements</w:t>
      </w:r>
      <w:r w:rsidRPr="00E3350F">
        <w:rPr>
          <w:b/>
        </w:rPr>
        <w:t xml:space="preserve">, AASB 12 </w:t>
      </w:r>
      <w:r w:rsidRPr="00E3350F">
        <w:rPr>
          <w:b/>
          <w:i/>
        </w:rPr>
        <w:t xml:space="preserve">Disclosure of Interests in Other </w:t>
      </w:r>
      <w:r w:rsidRPr="00D626AD">
        <w:rPr>
          <w:b/>
          <w:i/>
        </w:rPr>
        <w:t>Entities</w:t>
      </w:r>
      <w:r w:rsidR="00D626AD">
        <w:rPr>
          <w:b/>
          <w:i/>
        </w:rPr>
        <w:t xml:space="preserve"> </w:t>
      </w:r>
      <w:r w:rsidR="00191010" w:rsidRPr="002D2170">
        <w:rPr>
          <w:b/>
        </w:rPr>
        <w:t>and</w:t>
      </w:r>
      <w:r w:rsidR="00191010">
        <w:rPr>
          <w:b/>
        </w:rPr>
        <w:t xml:space="preserve"> </w:t>
      </w:r>
      <w:r w:rsidRPr="00E3350F">
        <w:rPr>
          <w:b/>
        </w:rPr>
        <w:t xml:space="preserve">AASB 128 </w:t>
      </w:r>
      <w:r w:rsidRPr="00E3350F">
        <w:rPr>
          <w:b/>
          <w:i/>
        </w:rPr>
        <w:t>Investments in Associates and Joint Ventures</w:t>
      </w:r>
      <w:r w:rsidR="00D626AD">
        <w:rPr>
          <w:b/>
        </w:rPr>
        <w:t xml:space="preserve"> (August 2011) </w:t>
      </w:r>
      <w:r w:rsidRPr="00E3350F">
        <w:rPr>
          <w:b/>
        </w:rPr>
        <w:t>at the same time.</w:t>
      </w:r>
    </w:p>
    <w:p w:rsidR="00CA237F" w:rsidRDefault="00CA237F" w:rsidP="00CA237F">
      <w:pPr>
        <w:pStyle w:val="NumPlain1"/>
        <w:keepNext/>
      </w:pPr>
      <w:r>
        <w:t>Paragraph 17 is amended as follows (deleted text is struck through):</w:t>
      </w:r>
    </w:p>
    <w:p w:rsidR="00CA237F" w:rsidRDefault="00CA237F" w:rsidP="00CA237F">
      <w:pPr>
        <w:pStyle w:val="SubNumPlain1"/>
        <w:keepNext/>
        <w:ind w:left="1020" w:hanging="510"/>
      </w:pPr>
      <w:r>
        <w:t>17</w:t>
      </w:r>
      <w:r>
        <w:tab/>
        <w:t>When a parent (other than …</w:t>
      </w:r>
    </w:p>
    <w:p w:rsidR="00CA237F" w:rsidRDefault="00CA237F" w:rsidP="00482C31">
      <w:pPr>
        <w:pStyle w:val="NoNumPlain3"/>
      </w:pPr>
      <w:r>
        <w:t>…</w:t>
      </w:r>
    </w:p>
    <w:p w:rsidR="00CA237F" w:rsidRPr="00CA237F" w:rsidRDefault="00CA237F" w:rsidP="00CA237F">
      <w:pPr>
        <w:pStyle w:val="NoNumPlain3"/>
        <w:rPr>
          <w:strike/>
        </w:rPr>
      </w:pPr>
      <w:r w:rsidRPr="00CA237F">
        <w:rPr>
          <w:strike/>
        </w:rPr>
        <w:t>The parent or investor shall also identify the financial statements prepared in accor</w:t>
      </w:r>
      <w:r>
        <w:rPr>
          <w:strike/>
        </w:rPr>
        <w:t>dance with AASB 10, AASB 11</w:t>
      </w:r>
      <w:r w:rsidRPr="00CA237F">
        <w:rPr>
          <w:strike/>
        </w:rPr>
        <w:t xml:space="preserve"> or AASB 128 (August 2011) to which they relate.</w:t>
      </w:r>
    </w:p>
    <w:p w:rsidR="00307058" w:rsidRDefault="00AB0DCC" w:rsidP="00307058">
      <w:pPr>
        <w:pStyle w:val="Heading2"/>
        <w:rPr>
          <w:lang w:val="en-GB"/>
        </w:rPr>
      </w:pPr>
      <w:r>
        <w:rPr>
          <w:lang w:val="en-GB"/>
        </w:rPr>
        <w:t>Amendments to AASB 128</w:t>
      </w:r>
    </w:p>
    <w:p w:rsidR="00AB0DCC" w:rsidRDefault="00AB0DCC" w:rsidP="00AB0DCC">
      <w:pPr>
        <w:pStyle w:val="NumPlain1"/>
      </w:pPr>
      <w:r>
        <w:t>Paragraphs Aus1.2 and Aus1.3 are amended as follows (new text is underlined and deleted text is struck through):</w:t>
      </w:r>
    </w:p>
    <w:p w:rsidR="00AB0DCC" w:rsidRDefault="00AB0DCC" w:rsidP="00AB0DCC">
      <w:pPr>
        <w:pStyle w:val="SubNumPlain1"/>
        <w:ind w:left="1247" w:hanging="737"/>
        <w:rPr>
          <w:b/>
        </w:rPr>
      </w:pPr>
      <w:r>
        <w:rPr>
          <w:b/>
        </w:rPr>
        <w:t>Aus1</w:t>
      </w:r>
      <w:r w:rsidRPr="001235D8">
        <w:rPr>
          <w:b/>
        </w:rPr>
        <w:t>.2</w:t>
      </w:r>
      <w:r w:rsidRPr="001235D8">
        <w:rPr>
          <w:b/>
        </w:rPr>
        <w:tab/>
        <w:t xml:space="preserve">This </w:t>
      </w:r>
      <w:r>
        <w:rPr>
          <w:b/>
        </w:rPr>
        <w:t>S</w:t>
      </w:r>
      <w:r w:rsidRPr="001235D8">
        <w:rPr>
          <w:b/>
        </w:rPr>
        <w:t>tandard applies to annual reporting periods beginning on or after 1 January 2013</w:t>
      </w:r>
      <w:r w:rsidRPr="006345B3">
        <w:rPr>
          <w:b/>
          <w:u w:val="single"/>
        </w:rPr>
        <w:t>, except that for not-for-profit entities it applies to annual reporting periods beginning on or after 1</w:t>
      </w:r>
      <w:r w:rsidR="002973E9">
        <w:rPr>
          <w:b/>
          <w:u w:val="single"/>
        </w:rPr>
        <w:t> </w:t>
      </w:r>
      <w:r w:rsidRPr="006345B3">
        <w:rPr>
          <w:b/>
          <w:u w:val="single"/>
        </w:rPr>
        <w:t>January 2014</w:t>
      </w:r>
      <w:r w:rsidRPr="006345B3">
        <w:rPr>
          <w:b/>
        </w:rPr>
        <w:t>.</w:t>
      </w:r>
    </w:p>
    <w:p w:rsidR="00AB0DCC" w:rsidRPr="0046746C" w:rsidRDefault="00AB0DCC" w:rsidP="00AB0DCC">
      <w:pPr>
        <w:pStyle w:val="SubNumPlain1"/>
        <w:ind w:left="1247" w:hanging="737"/>
        <w:rPr>
          <w:b/>
        </w:rPr>
      </w:pPr>
      <w:r>
        <w:rPr>
          <w:b/>
        </w:rPr>
        <w:t>Aus1</w:t>
      </w:r>
      <w:r w:rsidRPr="003F6171">
        <w:rPr>
          <w:b/>
        </w:rPr>
        <w:t>.3</w:t>
      </w:r>
      <w:r w:rsidRPr="003F6171">
        <w:rPr>
          <w:b/>
        </w:rPr>
        <w:tab/>
      </w:r>
      <w:r>
        <w:rPr>
          <w:b/>
        </w:rPr>
        <w:t>This Standard may be applied by</w:t>
      </w:r>
      <w:r w:rsidRPr="0046746C">
        <w:rPr>
          <w:b/>
          <w:u w:val="single"/>
        </w:rPr>
        <w:t>:</w:t>
      </w:r>
    </w:p>
    <w:p w:rsidR="00AB0DCC" w:rsidRPr="00E3350F" w:rsidRDefault="00AB0DCC" w:rsidP="00AB0DCC">
      <w:pPr>
        <w:pStyle w:val="NumPlain2"/>
        <w:numPr>
          <w:ilvl w:val="0"/>
          <w:numId w:val="0"/>
        </w:numPr>
        <w:ind w:left="1757" w:hanging="510"/>
        <w:rPr>
          <w:b/>
        </w:rPr>
      </w:pPr>
      <w:r w:rsidRPr="00E3350F">
        <w:rPr>
          <w:b/>
          <w:u w:val="single"/>
        </w:rPr>
        <w:t>(a)</w:t>
      </w:r>
      <w:r w:rsidRPr="00E3350F">
        <w:rPr>
          <w:b/>
        </w:rPr>
        <w:tab/>
        <w:t>for-profit entities</w:t>
      </w:r>
      <w:r w:rsidRPr="00E3350F">
        <w:rPr>
          <w:b/>
          <w:strike/>
        </w:rPr>
        <w:t>, but not by not-for-profit entities,</w:t>
      </w:r>
      <w:r w:rsidRPr="00E3350F">
        <w:rPr>
          <w:b/>
        </w:rPr>
        <w:t xml:space="preserve"> to annual reporting periods beginning on or after 1</w:t>
      </w:r>
      <w:r w:rsidR="002973E9">
        <w:rPr>
          <w:b/>
        </w:rPr>
        <w:t> </w:t>
      </w:r>
      <w:r w:rsidRPr="00E3350F">
        <w:rPr>
          <w:b/>
        </w:rPr>
        <w:t>January 2005 but before 1 January 2013</w:t>
      </w:r>
      <w:r w:rsidRPr="00E3350F">
        <w:rPr>
          <w:b/>
          <w:u w:val="single"/>
        </w:rPr>
        <w:t>; and</w:t>
      </w:r>
    </w:p>
    <w:p w:rsidR="00AB0DCC" w:rsidRPr="00E3350F" w:rsidRDefault="00AB0DCC" w:rsidP="00AB0DCC">
      <w:pPr>
        <w:pStyle w:val="NumPlain2"/>
        <w:numPr>
          <w:ilvl w:val="0"/>
          <w:numId w:val="0"/>
        </w:numPr>
        <w:ind w:left="1757" w:hanging="510"/>
        <w:rPr>
          <w:b/>
        </w:rPr>
      </w:pPr>
      <w:r w:rsidRPr="00E3350F">
        <w:rPr>
          <w:b/>
          <w:u w:val="single"/>
        </w:rPr>
        <w:t>(b)</w:t>
      </w:r>
      <w:r w:rsidRPr="00E3350F">
        <w:rPr>
          <w:b/>
        </w:rPr>
        <w:tab/>
      </w:r>
      <w:r w:rsidRPr="00E3350F">
        <w:rPr>
          <w:b/>
          <w:u w:val="single"/>
        </w:rPr>
        <w:t>not-for-profit entities to annual reporting periods beginning on or after 1 January 2013 but before 1</w:t>
      </w:r>
      <w:r w:rsidR="002973E9">
        <w:rPr>
          <w:b/>
          <w:u w:val="single"/>
        </w:rPr>
        <w:t> </w:t>
      </w:r>
      <w:r w:rsidRPr="00E3350F">
        <w:rPr>
          <w:b/>
          <w:u w:val="single"/>
        </w:rPr>
        <w:t>January 2014</w:t>
      </w:r>
      <w:r w:rsidR="00191449">
        <w:rPr>
          <w:b/>
        </w:rPr>
        <w:t>.</w:t>
      </w:r>
    </w:p>
    <w:p w:rsidR="00AB0DCC" w:rsidRPr="00E3350F" w:rsidRDefault="00AB0DCC" w:rsidP="00AB0DCC">
      <w:pPr>
        <w:pStyle w:val="NumPlain2"/>
        <w:numPr>
          <w:ilvl w:val="0"/>
          <w:numId w:val="0"/>
        </w:numPr>
        <w:ind w:left="1247"/>
        <w:rPr>
          <w:b/>
        </w:rPr>
      </w:pPr>
      <w:r w:rsidRPr="00E3350F">
        <w:rPr>
          <w:b/>
        </w:rPr>
        <w:t xml:space="preserve">If </w:t>
      </w:r>
      <w:r w:rsidRPr="00E3350F">
        <w:rPr>
          <w:b/>
          <w:strike/>
        </w:rPr>
        <w:t xml:space="preserve">a for-profit </w:t>
      </w:r>
      <w:r w:rsidRPr="00E3350F">
        <w:rPr>
          <w:b/>
          <w:u w:val="single"/>
        </w:rPr>
        <w:t>an</w:t>
      </w:r>
      <w:r w:rsidRPr="00E3350F">
        <w:rPr>
          <w:b/>
        </w:rPr>
        <w:t xml:space="preserve"> entity applies this Standard to such an annual reporting period</w:t>
      </w:r>
      <w:r w:rsidRPr="00E3350F">
        <w:rPr>
          <w:b/>
          <w:u w:val="single"/>
        </w:rPr>
        <w:t xml:space="preserve"> in accordance with paragraph (a)</w:t>
      </w:r>
      <w:r>
        <w:rPr>
          <w:b/>
          <w:u w:val="single"/>
        </w:rPr>
        <w:t xml:space="preserve"> </w:t>
      </w:r>
      <w:r w:rsidRPr="00E3350F">
        <w:rPr>
          <w:b/>
          <w:u w:val="single"/>
        </w:rPr>
        <w:t>or (b)</w:t>
      </w:r>
      <w:r w:rsidRPr="00E3350F">
        <w:rPr>
          <w:b/>
        </w:rPr>
        <w:t xml:space="preserve">, it shall disclose that fact and apply </w:t>
      </w:r>
      <w:r w:rsidR="00191010">
        <w:rPr>
          <w:b/>
        </w:rPr>
        <w:t xml:space="preserve">AASB 10 </w:t>
      </w:r>
      <w:r w:rsidR="00191010" w:rsidRPr="00191010">
        <w:rPr>
          <w:b/>
          <w:i/>
        </w:rPr>
        <w:t>Consolidated Financial Statements</w:t>
      </w:r>
      <w:r w:rsidR="00191010">
        <w:rPr>
          <w:b/>
        </w:rPr>
        <w:t xml:space="preserve">, </w:t>
      </w:r>
      <w:r w:rsidRPr="00E3350F">
        <w:rPr>
          <w:b/>
        </w:rPr>
        <w:t xml:space="preserve">AASB 11 </w:t>
      </w:r>
      <w:r w:rsidRPr="00E3350F">
        <w:rPr>
          <w:b/>
          <w:i/>
        </w:rPr>
        <w:t>Joint Arrangements</w:t>
      </w:r>
      <w:r w:rsidRPr="00E3350F">
        <w:rPr>
          <w:b/>
        </w:rPr>
        <w:t xml:space="preserve">, AASB 12 </w:t>
      </w:r>
      <w:r w:rsidRPr="00E3350F">
        <w:rPr>
          <w:b/>
          <w:i/>
        </w:rPr>
        <w:t>Disclosure of Interests in Other Entities</w:t>
      </w:r>
      <w:r w:rsidR="00191010">
        <w:rPr>
          <w:b/>
        </w:rPr>
        <w:t xml:space="preserve"> and </w:t>
      </w:r>
      <w:r w:rsidRPr="00E3350F">
        <w:rPr>
          <w:b/>
        </w:rPr>
        <w:t xml:space="preserve">AASB 127 </w:t>
      </w:r>
      <w:r w:rsidRPr="00E3350F">
        <w:rPr>
          <w:b/>
          <w:i/>
        </w:rPr>
        <w:t>Separate Financial Statements</w:t>
      </w:r>
      <w:r w:rsidRPr="00E3350F">
        <w:rPr>
          <w:b/>
        </w:rPr>
        <w:t xml:space="preserve"> (August 2011), at the same time.</w:t>
      </w:r>
    </w:p>
    <w:p w:rsidR="00FE32C5" w:rsidRDefault="00FE32C5" w:rsidP="00FE32C5">
      <w:pPr>
        <w:pStyle w:val="Heading2"/>
        <w:rPr>
          <w:lang w:val="en-GB"/>
        </w:rPr>
      </w:pPr>
      <w:r>
        <w:rPr>
          <w:lang w:val="en-GB"/>
        </w:rPr>
        <w:t>Amendments to AASB 132</w:t>
      </w:r>
    </w:p>
    <w:p w:rsidR="00BC59DD" w:rsidRDefault="00BC59DD" w:rsidP="00395CC7">
      <w:pPr>
        <w:pStyle w:val="NumPlain1"/>
        <w:keepNext/>
        <w:rPr>
          <w:lang w:val="en-GB"/>
        </w:rPr>
      </w:pPr>
      <w:r>
        <w:rPr>
          <w:lang w:val="en-GB"/>
        </w:rPr>
        <w:t>Paragraph 97M is renumbered as 97N and paragraph 97M is added:</w:t>
      </w:r>
    </w:p>
    <w:p w:rsidR="00BC59DD" w:rsidRDefault="00BC59DD" w:rsidP="00BC59DD">
      <w:pPr>
        <w:pStyle w:val="SubNumPlain1"/>
        <w:rPr>
          <w:lang w:val="en-GB"/>
        </w:rPr>
      </w:pPr>
      <w:r>
        <w:rPr>
          <w:lang w:val="en-GB"/>
        </w:rPr>
        <w:t>97M</w:t>
      </w:r>
      <w:r>
        <w:rPr>
          <w:lang w:val="en-GB"/>
        </w:rPr>
        <w:tab/>
        <w:t xml:space="preserve">AASB 2012-2 </w:t>
      </w:r>
      <w:r w:rsidRPr="001E19F9">
        <w:rPr>
          <w:i/>
          <w:lang w:val="en-GB"/>
        </w:rPr>
        <w:t>Amendments to Australian Accounting Standards – Disclosures – Offsetting Financial Assets and Financial Liabilities</w:t>
      </w:r>
      <w:r>
        <w:rPr>
          <w:lang w:val="en-GB"/>
        </w:rPr>
        <w:t xml:space="preserve">, issued in June 2012, </w:t>
      </w:r>
      <w:r w:rsidR="001E19F9">
        <w:rPr>
          <w:lang w:val="en-GB"/>
        </w:rPr>
        <w:t>amended paragraph 43 by requiring an entity to disclose the information required in paragraphs 13B–13E of AASB 7 for recognised financial assets that are within the scope of paragraph 13A of AASB 7.  An entity shall apply that amendment for annual reporting periods beginning on or after 1 January 2013 and interim periods within those annual reporting periods.  An entity shall provide the disclosures required by this amendment retrospectively.</w:t>
      </w:r>
    </w:p>
    <w:p w:rsidR="001E19F9" w:rsidRPr="001E19F9" w:rsidRDefault="001E19F9" w:rsidP="001E19F9">
      <w:pPr>
        <w:pStyle w:val="NoNumPlain2"/>
        <w:rPr>
          <w:lang w:val="en-GB"/>
        </w:rPr>
      </w:pPr>
      <w:r>
        <w:rPr>
          <w:lang w:val="en-GB"/>
        </w:rPr>
        <w:t>[The original paragraph 97M was added to AASB 132 by AASB 2012</w:t>
      </w:r>
      <w:r>
        <w:rPr>
          <w:lang w:val="en-GB"/>
        </w:rPr>
        <w:noBreakHyphen/>
        <w:t xml:space="preserve">5 </w:t>
      </w:r>
      <w:r w:rsidRPr="001E19F9">
        <w:rPr>
          <w:i/>
          <w:lang w:val="en-GB"/>
        </w:rPr>
        <w:t>Amendments to Australian</w:t>
      </w:r>
      <w:r>
        <w:rPr>
          <w:lang w:val="en-GB"/>
        </w:rPr>
        <w:t xml:space="preserve"> </w:t>
      </w:r>
      <w:r w:rsidRPr="001E19F9">
        <w:rPr>
          <w:i/>
          <w:lang w:val="en-GB"/>
        </w:rPr>
        <w:t xml:space="preserve">Accounting Standards </w:t>
      </w:r>
      <w:r>
        <w:rPr>
          <w:i/>
          <w:lang w:val="en-GB"/>
        </w:rPr>
        <w:t>arising from Annual Improvements 2009–2011 Cycle</w:t>
      </w:r>
      <w:r>
        <w:rPr>
          <w:lang w:val="en-GB"/>
        </w:rPr>
        <w:t>.]</w:t>
      </w:r>
    </w:p>
    <w:p w:rsidR="00FE32C5" w:rsidRDefault="00F76506" w:rsidP="00FE32C5">
      <w:pPr>
        <w:pStyle w:val="NumPlain1"/>
        <w:rPr>
          <w:lang w:val="en-GB"/>
        </w:rPr>
      </w:pPr>
      <w:r>
        <w:rPr>
          <w:lang w:val="en-GB"/>
        </w:rPr>
        <w:t>In p</w:t>
      </w:r>
      <w:r w:rsidR="00FE32C5">
        <w:rPr>
          <w:lang w:val="en-GB"/>
        </w:rPr>
        <w:t>aragraph IE49 in the Illustrative Examples accompanying AASB</w:t>
      </w:r>
      <w:r w:rsidR="0036375A">
        <w:rPr>
          <w:lang w:val="en-GB"/>
        </w:rPr>
        <w:t> </w:t>
      </w:r>
      <w:r>
        <w:rPr>
          <w:lang w:val="en-GB"/>
        </w:rPr>
        <w:t xml:space="preserve">132, ‘Number of ordinary shares issued upon conversion’ </w:t>
      </w:r>
      <w:r w:rsidR="00AE6487">
        <w:rPr>
          <w:lang w:val="en-GB"/>
        </w:rPr>
        <w:t xml:space="preserve">is amended </w:t>
      </w:r>
      <w:r>
        <w:rPr>
          <w:lang w:val="en-GB"/>
        </w:rPr>
        <w:t>to ‘Number of ordinary shares to be issued on conversion’.</w:t>
      </w:r>
    </w:p>
    <w:p w:rsidR="00C2700D" w:rsidRDefault="0036375A" w:rsidP="00C2700D">
      <w:pPr>
        <w:pStyle w:val="Heading2"/>
      </w:pPr>
      <w:r>
        <w:t>Amendment</w:t>
      </w:r>
      <w:r w:rsidR="00C2700D">
        <w:t xml:space="preserve"> to AASB 133</w:t>
      </w:r>
    </w:p>
    <w:p w:rsidR="00F76506" w:rsidRDefault="00F76506" w:rsidP="00E24AD3">
      <w:pPr>
        <w:pStyle w:val="NumPlain1"/>
      </w:pPr>
      <w:r>
        <w:t>The heading ‘Effective Date of IAS 33’ before paragraph 74 is amended to ‘Effective Date’.</w:t>
      </w:r>
    </w:p>
    <w:p w:rsidR="009A4552" w:rsidRDefault="009A4552" w:rsidP="009A4552">
      <w:pPr>
        <w:pStyle w:val="Heading2"/>
      </w:pPr>
      <w:r>
        <w:t>Amendments to AASB 134</w:t>
      </w:r>
    </w:p>
    <w:p w:rsidR="009A4552" w:rsidRDefault="009A4552" w:rsidP="009A4552">
      <w:pPr>
        <w:pStyle w:val="NumPlain1"/>
      </w:pPr>
      <w:r>
        <w:t>In paragraphs 7, 27, 35 and 36, and paragraph B13 of the Illustrative Examples accompanying AASB 134, the reference to paragraph 16 is amended to paragraph 16A.</w:t>
      </w:r>
    </w:p>
    <w:p w:rsidR="0066374D" w:rsidRDefault="0066374D" w:rsidP="009A4552">
      <w:pPr>
        <w:pStyle w:val="NumPlain1"/>
      </w:pPr>
      <w:r>
        <w:t>In paragraph B4, ‘This Standard’ is amended to ‘The Standard’.</w:t>
      </w:r>
    </w:p>
    <w:p w:rsidR="0066374D" w:rsidRDefault="0066374D" w:rsidP="009A4552">
      <w:pPr>
        <w:pStyle w:val="NumPlain1"/>
      </w:pPr>
      <w:r>
        <w:lastRenderedPageBreak/>
        <w:t>In paragraph B13, ‘paragraph 28 of this Standard’ is amended to ‘paragraph 28 of the Standard’.</w:t>
      </w:r>
    </w:p>
    <w:p w:rsidR="006A341C" w:rsidRDefault="006A341C" w:rsidP="006A341C">
      <w:pPr>
        <w:pStyle w:val="NumPlain1"/>
      </w:pPr>
      <w:r>
        <w:t>In paragraph B19, ‘one-time’ is amended to ‘one-off’.</w:t>
      </w:r>
    </w:p>
    <w:p w:rsidR="009A4552" w:rsidRDefault="009A4552" w:rsidP="009A4552">
      <w:pPr>
        <w:pStyle w:val="NumPlain1"/>
      </w:pPr>
      <w:r>
        <w:t>In paragraph C5 of the Illustrative Examples, ‘Paragraph 14 of Appendix B’ is amended to ‘Paragraph B14’.</w:t>
      </w:r>
    </w:p>
    <w:p w:rsidR="007D212E" w:rsidRDefault="007D212E" w:rsidP="00356F1C">
      <w:pPr>
        <w:pStyle w:val="Heading2"/>
      </w:pPr>
      <w:r>
        <w:t>Amendments to AASB 137</w:t>
      </w:r>
    </w:p>
    <w:p w:rsidR="009A28DF" w:rsidRDefault="00896E1D" w:rsidP="009A28DF">
      <w:pPr>
        <w:pStyle w:val="NumPlain1"/>
      </w:pPr>
      <w:r>
        <w:t xml:space="preserve">In Part C of the Implementation Guidance accompanying AASB 137, </w:t>
      </w:r>
      <w:r w:rsidR="009A28DF">
        <w:t>Example 9 is amended as follows</w:t>
      </w:r>
      <w:r w:rsidR="009A28DF" w:rsidRPr="00F3673F">
        <w:t xml:space="preserve"> (new text is underlined and deleted text is struck through):</w:t>
      </w:r>
    </w:p>
    <w:p w:rsidR="009A28DF" w:rsidRPr="00391A67" w:rsidRDefault="009E6876" w:rsidP="009A28DF">
      <w:pPr>
        <w:pStyle w:val="NumPlain1"/>
        <w:numPr>
          <w:ilvl w:val="0"/>
          <w:numId w:val="0"/>
        </w:numPr>
        <w:ind w:left="510"/>
      </w:pPr>
      <w:r>
        <w:t>…</w:t>
      </w:r>
    </w:p>
    <w:p w:rsidR="00B13352" w:rsidRPr="00B13352" w:rsidRDefault="00B13352" w:rsidP="00B13352">
      <w:pPr>
        <w:pStyle w:val="NumPlain1"/>
        <w:numPr>
          <w:ilvl w:val="0"/>
          <w:numId w:val="0"/>
        </w:numPr>
        <w:ind w:left="510"/>
      </w:pPr>
      <w:r>
        <w:t>T</w:t>
      </w:r>
      <w:r w:rsidRPr="00B13352">
        <w:t xml:space="preserve">his contract meets the definition of an insurance contract in AASB 4 </w:t>
      </w:r>
      <w:r w:rsidRPr="00B13352">
        <w:rPr>
          <w:i/>
          <w:iCs/>
        </w:rPr>
        <w:t>Insurance Contracts</w:t>
      </w:r>
      <w:r w:rsidRPr="00B13352">
        <w:rPr>
          <w:iCs/>
          <w:u w:val="single"/>
        </w:rPr>
        <w:t xml:space="preserve">, but is within the scope of </w:t>
      </w:r>
      <w:r>
        <w:rPr>
          <w:iCs/>
          <w:u w:val="single"/>
        </w:rPr>
        <w:t>AASB</w:t>
      </w:r>
      <w:r w:rsidRPr="00B13352">
        <w:rPr>
          <w:iCs/>
          <w:u w:val="single"/>
        </w:rPr>
        <w:t xml:space="preserve"> </w:t>
      </w:r>
      <w:r>
        <w:rPr>
          <w:iCs/>
          <w:u w:val="single"/>
        </w:rPr>
        <w:t>1</w:t>
      </w:r>
      <w:r w:rsidRPr="00B13352">
        <w:rPr>
          <w:iCs/>
          <w:u w:val="single"/>
        </w:rPr>
        <w:t xml:space="preserve">39 </w:t>
      </w:r>
      <w:r w:rsidRPr="00B97E93">
        <w:rPr>
          <w:i/>
          <w:iCs/>
          <w:u w:val="single"/>
        </w:rPr>
        <w:t>Financial Instruments: Recognition and Measurement</w:t>
      </w:r>
      <w:r w:rsidRPr="00B13352">
        <w:rPr>
          <w:iCs/>
          <w:u w:val="single"/>
        </w:rPr>
        <w:t xml:space="preserve">, because it also meets the definition of a financial guarantee contract in </w:t>
      </w:r>
      <w:r>
        <w:rPr>
          <w:iCs/>
          <w:u w:val="single"/>
        </w:rPr>
        <w:t>AASB 1</w:t>
      </w:r>
      <w:r w:rsidRPr="00B13352">
        <w:rPr>
          <w:iCs/>
          <w:u w:val="single"/>
        </w:rPr>
        <w:t>39</w:t>
      </w:r>
      <w:r w:rsidRPr="00B13352">
        <w:t>.</w:t>
      </w:r>
      <w:r w:rsidRPr="00B97E93">
        <w:rPr>
          <w:u w:val="single"/>
        </w:rPr>
        <w:t xml:space="preserve">  </w:t>
      </w:r>
      <w:r w:rsidRPr="00B13352">
        <w:rPr>
          <w:u w:val="single"/>
        </w:rPr>
        <w:t xml:space="preserve">If an issuer has previously asserted explicitly that it regards such contracts as insurance contracts and has used accounting applicable to insurance contracts, the issuer may elect to apply either </w:t>
      </w:r>
      <w:r>
        <w:rPr>
          <w:u w:val="single"/>
        </w:rPr>
        <w:t>AASB</w:t>
      </w:r>
      <w:r w:rsidRPr="00B13352">
        <w:rPr>
          <w:u w:val="single"/>
        </w:rPr>
        <w:t xml:space="preserve"> </w:t>
      </w:r>
      <w:r>
        <w:rPr>
          <w:u w:val="single"/>
        </w:rPr>
        <w:t>1</w:t>
      </w:r>
      <w:r w:rsidRPr="00B13352">
        <w:rPr>
          <w:u w:val="single"/>
        </w:rPr>
        <w:t xml:space="preserve">39 or </w:t>
      </w:r>
      <w:r>
        <w:rPr>
          <w:u w:val="single"/>
        </w:rPr>
        <w:t xml:space="preserve">AASB </w:t>
      </w:r>
      <w:r w:rsidRPr="00B13352">
        <w:rPr>
          <w:u w:val="single"/>
        </w:rPr>
        <w:t>4 to such financial guarantee contracts.</w:t>
      </w:r>
      <w:r w:rsidR="00B97E93">
        <w:t xml:space="preserve">  </w:t>
      </w:r>
      <w:r w:rsidRPr="00B13352">
        <w:t>AASB 4 permits the issuer to continue its existing accounting policies for insurance contracts if specified minimum requirements are satisfied.</w:t>
      </w:r>
      <w:r>
        <w:t xml:space="preserve">  </w:t>
      </w:r>
      <w:r w:rsidRPr="00B13352">
        <w:t>AASB 4 also permits changes in accounting policies that meet specified criteria.</w:t>
      </w:r>
      <w:r>
        <w:t xml:space="preserve">  </w:t>
      </w:r>
      <w:r w:rsidRPr="00B13352">
        <w:t>The following is an example of an accounting policy that AASB 4 permits</w:t>
      </w:r>
      <w:r w:rsidR="00B97E93">
        <w:t xml:space="preserve"> </w:t>
      </w:r>
      <w:r w:rsidR="00B97E93" w:rsidRPr="00B97E93">
        <w:rPr>
          <w:u w:val="single"/>
        </w:rPr>
        <w:t>and that also complies with the requirements in AASB 139 for financial guarantee contracts within the scope of AASB 139</w:t>
      </w:r>
      <w:r w:rsidRPr="00B13352">
        <w:t>.</w:t>
      </w:r>
    </w:p>
    <w:p w:rsidR="009A28DF" w:rsidRDefault="009E6876" w:rsidP="009A28DF">
      <w:pPr>
        <w:pStyle w:val="NumPlain1"/>
        <w:numPr>
          <w:ilvl w:val="0"/>
          <w:numId w:val="0"/>
        </w:numPr>
        <w:ind w:left="510"/>
      </w:pPr>
      <w:r>
        <w:t>…</w:t>
      </w:r>
    </w:p>
    <w:p w:rsidR="009A28DF" w:rsidRPr="009A28DF" w:rsidRDefault="009A28DF" w:rsidP="009A28DF">
      <w:pPr>
        <w:pStyle w:val="NumPlain1"/>
        <w:numPr>
          <w:ilvl w:val="0"/>
          <w:numId w:val="0"/>
        </w:numPr>
        <w:ind w:left="510"/>
        <w:rPr>
          <w:strike/>
        </w:rPr>
      </w:pPr>
      <w:r w:rsidRPr="009A28DF">
        <w:rPr>
          <w:strike/>
        </w:rPr>
        <w:t>Note: Whe</w:t>
      </w:r>
      <w:r w:rsidR="00B13352">
        <w:rPr>
          <w:strike/>
        </w:rPr>
        <w:t>re an entity gives guarantees in</w:t>
      </w:r>
      <w:r w:rsidRPr="009A28DF">
        <w:rPr>
          <w:strike/>
        </w:rPr>
        <w:t xml:space="preserve"> exchange for a fee, revenue is recognised under AASB 118.</w:t>
      </w:r>
    </w:p>
    <w:p w:rsidR="00E44E74" w:rsidRDefault="00E44E74" w:rsidP="00E44E74">
      <w:pPr>
        <w:pStyle w:val="Heading2"/>
      </w:pPr>
      <w:r>
        <w:t>Amendments to AASB 1023</w:t>
      </w:r>
    </w:p>
    <w:p w:rsidR="00E44E74" w:rsidRDefault="00E44E74" w:rsidP="00E44E74">
      <w:pPr>
        <w:pStyle w:val="NumPlain1"/>
      </w:pPr>
      <w:r>
        <w:t>Paragraphs 15.4.1 and 15.4.2 are deleted.</w:t>
      </w:r>
    </w:p>
    <w:p w:rsidR="00E44E74" w:rsidRDefault="00E44E74" w:rsidP="00E44E74">
      <w:pPr>
        <w:pStyle w:val="Heading2"/>
      </w:pPr>
      <w:r>
        <w:t>Amendments to AASB 1038</w:t>
      </w:r>
    </w:p>
    <w:p w:rsidR="00E44E74" w:rsidRDefault="00E44E74" w:rsidP="00E44E74">
      <w:pPr>
        <w:pStyle w:val="NumPlain1"/>
      </w:pPr>
      <w:r>
        <w:t>Paragraphs 10.4.1 and 10.4.2 are deleted.</w:t>
      </w:r>
    </w:p>
    <w:p w:rsidR="000D3CB7" w:rsidRDefault="0036375A" w:rsidP="000D3CB7">
      <w:pPr>
        <w:pStyle w:val="Heading2"/>
      </w:pPr>
      <w:r>
        <w:t>Amendment</w:t>
      </w:r>
      <w:r w:rsidR="000D3CB7">
        <w:t xml:space="preserve"> to AASB 1039</w:t>
      </w:r>
    </w:p>
    <w:p w:rsidR="000D3CB7" w:rsidRDefault="009A4552" w:rsidP="000D3CB7">
      <w:pPr>
        <w:pStyle w:val="NumPlain1"/>
      </w:pPr>
      <w:r>
        <w:t>In paragraph 30, paragraph (c) is deleted, ‘and’ is added at the end of paragraph (b), and paragraph (d) is renumbered as paragraph (c).</w:t>
      </w:r>
    </w:p>
    <w:p w:rsidR="00EB6150" w:rsidRDefault="00EB6150" w:rsidP="00EB6150">
      <w:pPr>
        <w:pStyle w:val="Heading2"/>
      </w:pPr>
      <w:r>
        <w:t>Amendments to AASB 1049</w:t>
      </w:r>
    </w:p>
    <w:p w:rsidR="00830F30" w:rsidRDefault="00830F30" w:rsidP="004013F3">
      <w:pPr>
        <w:pStyle w:val="NumPlain1"/>
        <w:keepNext/>
      </w:pPr>
      <w:r>
        <w:t>Paragraph 6 is amended as follows</w:t>
      </w:r>
      <w:r w:rsidRPr="00F3673F">
        <w:t xml:space="preserve"> (new text is underlined and deleted text is struck through):</w:t>
      </w:r>
    </w:p>
    <w:p w:rsidR="00EB6150" w:rsidRDefault="00830F30" w:rsidP="00830F30">
      <w:pPr>
        <w:pStyle w:val="SubNumPlain1"/>
      </w:pPr>
      <w:r>
        <w:t>6</w:t>
      </w:r>
      <w:r>
        <w:tab/>
      </w:r>
      <w:r w:rsidRPr="00830F30">
        <w:t xml:space="preserve">When applicable, this Standard supersedes AASB 1049 </w:t>
      </w:r>
      <w:r w:rsidRPr="00830F30">
        <w:rPr>
          <w:i/>
          <w:iCs/>
        </w:rPr>
        <w:t xml:space="preserve">Financial Reporting of General Government Sectors by Governments </w:t>
      </w:r>
      <w:r w:rsidRPr="00830F30">
        <w:t>(</w:t>
      </w:r>
      <w:r w:rsidRPr="00830F30">
        <w:rPr>
          <w:strike/>
        </w:rPr>
        <w:t>October 2007</w:t>
      </w:r>
      <w:r w:rsidR="00E918D1">
        <w:rPr>
          <w:strike/>
        </w:rPr>
        <w:t xml:space="preserve"> </w:t>
      </w:r>
      <w:r w:rsidRPr="00830F30">
        <w:rPr>
          <w:u w:val="single"/>
        </w:rPr>
        <w:t>September 2006</w:t>
      </w:r>
      <w:r w:rsidRPr="00830F30">
        <w:t>)</w:t>
      </w:r>
      <w:r w:rsidRPr="00830F30">
        <w:rPr>
          <w:u w:val="single"/>
        </w:rPr>
        <w:t xml:space="preserve"> and AAS 31 </w:t>
      </w:r>
      <w:r w:rsidRPr="00830F30">
        <w:rPr>
          <w:i/>
          <w:u w:val="single"/>
        </w:rPr>
        <w:t>Financial Reporting by Governments</w:t>
      </w:r>
      <w:r w:rsidRPr="00830F30">
        <w:rPr>
          <w:u w:val="single"/>
        </w:rPr>
        <w:t xml:space="preserve"> (November 1996), as amended</w:t>
      </w:r>
      <w:r>
        <w:t>.</w:t>
      </w:r>
    </w:p>
    <w:p w:rsidR="00DB643E" w:rsidRDefault="00DB643E" w:rsidP="00DB643E">
      <w:pPr>
        <w:pStyle w:val="NumPlain1"/>
      </w:pPr>
      <w:r>
        <w:t>In paragraph 63, the comma after the word ‘bases’ in the last sentence</w:t>
      </w:r>
      <w:r w:rsidR="00E918D1">
        <w:t xml:space="preserve"> is deleted</w:t>
      </w:r>
      <w:r>
        <w:t>.</w:t>
      </w:r>
    </w:p>
    <w:p w:rsidR="00136227" w:rsidRDefault="00136227" w:rsidP="0066564E">
      <w:pPr>
        <w:pStyle w:val="NumPlain1"/>
        <w:rPr>
          <w:rFonts w:eastAsia="MS Mincho"/>
          <w:lang w:eastAsia="ja-JP"/>
        </w:rPr>
      </w:pPr>
      <w:r>
        <w:rPr>
          <w:rFonts w:eastAsia="MS Mincho"/>
          <w:lang w:eastAsia="ja-JP"/>
        </w:rPr>
        <w:t xml:space="preserve">In the Illustrative Examples accompanying AASB 1049, Illustrative Example A is amended </w:t>
      </w:r>
      <w:r>
        <w:t xml:space="preserve">(new text is underlined and deleted text is struck through) </w:t>
      </w:r>
      <w:r>
        <w:rPr>
          <w:rFonts w:eastAsia="MS Mincho"/>
          <w:lang w:eastAsia="ja-JP"/>
        </w:rPr>
        <w:t>as follows:</w:t>
      </w:r>
    </w:p>
    <w:p w:rsidR="00136227" w:rsidRPr="00136227" w:rsidRDefault="00136227" w:rsidP="00C7397F">
      <w:pPr>
        <w:pStyle w:val="NumPlain1"/>
        <w:numPr>
          <w:ilvl w:val="0"/>
          <w:numId w:val="0"/>
        </w:numPr>
        <w:spacing w:before="240" w:after="0" w:line="280" w:lineRule="exact"/>
        <w:ind w:left="510"/>
        <w:rPr>
          <w:b/>
          <w:sz w:val="28"/>
          <w:szCs w:val="28"/>
        </w:rPr>
      </w:pPr>
      <w:r w:rsidRPr="00136227">
        <w:rPr>
          <w:b/>
          <w:sz w:val="28"/>
          <w:szCs w:val="28"/>
        </w:rPr>
        <w:t>ILLUSTRATIVE EXAMPLE A</w:t>
      </w:r>
    </w:p>
    <w:p w:rsidR="00136227" w:rsidRPr="00136227" w:rsidRDefault="002332E2" w:rsidP="00C7397F">
      <w:pPr>
        <w:pStyle w:val="NumPlain1"/>
        <w:numPr>
          <w:ilvl w:val="0"/>
          <w:numId w:val="0"/>
        </w:numPr>
        <w:spacing w:before="120" w:after="120"/>
        <w:ind w:left="510"/>
        <w:rPr>
          <w:b/>
        </w:rPr>
      </w:pPr>
      <w:r>
        <w:rPr>
          <w:b/>
        </w:rPr>
        <w:t>…</w:t>
      </w:r>
    </w:p>
    <w:p w:rsidR="00136227" w:rsidRDefault="00136227" w:rsidP="00C7397F">
      <w:pPr>
        <w:pStyle w:val="NumPlain1"/>
        <w:numPr>
          <w:ilvl w:val="0"/>
          <w:numId w:val="0"/>
        </w:numPr>
        <w:spacing w:after="120"/>
        <w:ind w:left="510"/>
        <w:rPr>
          <w:b/>
        </w:rPr>
      </w:pPr>
      <w:r w:rsidRPr="00136227">
        <w:rPr>
          <w:b/>
        </w:rPr>
        <w:t xml:space="preserve">Statement of Comprehensive Income for the Whole of Government of </w:t>
      </w:r>
      <w:r w:rsidR="004E2478">
        <w:rPr>
          <w:b/>
        </w:rPr>
        <w:br/>
      </w:r>
      <w:r w:rsidRPr="00136227">
        <w:rPr>
          <w:b/>
        </w:rPr>
        <w:t>the ABC Government for the Year Ended 30 June 20XX</w:t>
      </w:r>
    </w:p>
    <w:tbl>
      <w:tblPr>
        <w:tblStyle w:val="TableGrid"/>
        <w:tblW w:w="6204"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llustrative Example A"/>
        <w:tblDescription w:val="Table presenting an example Statement of Comprehensive Income for the Whole of Government."/>
      </w:tblPr>
      <w:tblGrid>
        <w:gridCol w:w="3284"/>
        <w:gridCol w:w="1617"/>
        <w:gridCol w:w="1303"/>
      </w:tblGrid>
      <w:tr w:rsidR="009B536D" w:rsidTr="004E2478">
        <w:trPr>
          <w:tblHeader/>
        </w:trPr>
        <w:tc>
          <w:tcPr>
            <w:tcW w:w="3284" w:type="dxa"/>
          </w:tcPr>
          <w:p w:rsidR="009B536D" w:rsidRPr="009B536D" w:rsidRDefault="009B536D" w:rsidP="009B536D">
            <w:pPr>
              <w:autoSpaceDE w:val="0"/>
              <w:autoSpaceDN w:val="0"/>
              <w:adjustRightInd w:val="0"/>
              <w:spacing w:line="240" w:lineRule="auto"/>
              <w:rPr>
                <w:b/>
                <w:bCs/>
                <w:sz w:val="16"/>
                <w:szCs w:val="16"/>
              </w:rPr>
            </w:pPr>
          </w:p>
        </w:tc>
        <w:tc>
          <w:tcPr>
            <w:tcW w:w="1617" w:type="dxa"/>
          </w:tcPr>
          <w:p w:rsidR="009B536D" w:rsidRPr="00853054" w:rsidRDefault="009B536D" w:rsidP="00161DFE">
            <w:pPr>
              <w:autoSpaceDE w:val="0"/>
              <w:autoSpaceDN w:val="0"/>
              <w:adjustRightInd w:val="0"/>
              <w:spacing w:line="240" w:lineRule="auto"/>
              <w:jc w:val="center"/>
              <w:rPr>
                <w:bCs/>
                <w:sz w:val="16"/>
                <w:szCs w:val="16"/>
              </w:rPr>
            </w:pPr>
            <w:r w:rsidRPr="00853054">
              <w:rPr>
                <w:sz w:val="16"/>
                <w:szCs w:val="16"/>
              </w:rPr>
              <w:t>Notes</w:t>
            </w:r>
          </w:p>
        </w:tc>
        <w:tc>
          <w:tcPr>
            <w:tcW w:w="1303" w:type="dxa"/>
          </w:tcPr>
          <w:p w:rsidR="009B536D" w:rsidRPr="00853054" w:rsidRDefault="009B536D" w:rsidP="00161DFE">
            <w:pPr>
              <w:autoSpaceDE w:val="0"/>
              <w:autoSpaceDN w:val="0"/>
              <w:adjustRightInd w:val="0"/>
              <w:spacing w:line="240" w:lineRule="auto"/>
              <w:jc w:val="center"/>
              <w:rPr>
                <w:sz w:val="16"/>
                <w:szCs w:val="16"/>
              </w:rPr>
            </w:pPr>
            <w:r w:rsidRPr="00853054">
              <w:rPr>
                <w:sz w:val="16"/>
                <w:szCs w:val="16"/>
              </w:rPr>
              <w:t>$m</w:t>
            </w:r>
          </w:p>
        </w:tc>
      </w:tr>
      <w:tr w:rsidR="009B536D" w:rsidTr="004E2478">
        <w:tc>
          <w:tcPr>
            <w:tcW w:w="3284" w:type="dxa"/>
          </w:tcPr>
          <w:p w:rsidR="009B536D" w:rsidRPr="009B536D" w:rsidRDefault="002332E2" w:rsidP="009B536D">
            <w:pPr>
              <w:autoSpaceDE w:val="0"/>
              <w:autoSpaceDN w:val="0"/>
              <w:adjustRightInd w:val="0"/>
              <w:spacing w:line="240" w:lineRule="auto"/>
              <w:rPr>
                <w:b/>
                <w:bCs/>
                <w:sz w:val="16"/>
                <w:szCs w:val="16"/>
              </w:rPr>
            </w:pPr>
            <w:r>
              <w:rPr>
                <w:b/>
                <w:bCs/>
                <w:sz w:val="16"/>
                <w:szCs w:val="16"/>
              </w:rPr>
              <w:t>…</w:t>
            </w:r>
          </w:p>
        </w:tc>
        <w:tc>
          <w:tcPr>
            <w:tcW w:w="1617" w:type="dxa"/>
          </w:tcPr>
          <w:p w:rsidR="009B536D" w:rsidRPr="009B536D" w:rsidRDefault="009B536D" w:rsidP="009B536D">
            <w:pPr>
              <w:autoSpaceDE w:val="0"/>
              <w:autoSpaceDN w:val="0"/>
              <w:adjustRightInd w:val="0"/>
              <w:spacing w:line="240" w:lineRule="auto"/>
              <w:rPr>
                <w:b/>
                <w:sz w:val="16"/>
                <w:szCs w:val="16"/>
              </w:rPr>
            </w:pPr>
          </w:p>
        </w:tc>
        <w:tc>
          <w:tcPr>
            <w:tcW w:w="1303" w:type="dxa"/>
          </w:tcPr>
          <w:p w:rsidR="009B536D" w:rsidRPr="009B536D" w:rsidRDefault="009B536D" w:rsidP="009B536D">
            <w:pPr>
              <w:autoSpaceDE w:val="0"/>
              <w:autoSpaceDN w:val="0"/>
              <w:adjustRightInd w:val="0"/>
              <w:spacing w:line="240" w:lineRule="auto"/>
              <w:rPr>
                <w:b/>
                <w:bCs/>
                <w:sz w:val="16"/>
                <w:szCs w:val="16"/>
              </w:rPr>
            </w:pPr>
          </w:p>
        </w:tc>
      </w:tr>
      <w:tr w:rsidR="009B536D" w:rsidTr="004E2478">
        <w:tc>
          <w:tcPr>
            <w:tcW w:w="3284" w:type="dxa"/>
          </w:tcPr>
          <w:p w:rsidR="009B536D" w:rsidRPr="009B536D" w:rsidRDefault="009B536D" w:rsidP="009B536D">
            <w:pPr>
              <w:autoSpaceDE w:val="0"/>
              <w:autoSpaceDN w:val="0"/>
              <w:adjustRightInd w:val="0"/>
              <w:spacing w:line="240" w:lineRule="auto"/>
              <w:rPr>
                <w:b/>
                <w:bCs/>
                <w:sz w:val="16"/>
                <w:szCs w:val="16"/>
              </w:rPr>
            </w:pPr>
          </w:p>
          <w:p w:rsidR="009B536D" w:rsidRPr="009B536D" w:rsidRDefault="009B536D" w:rsidP="009B536D">
            <w:pPr>
              <w:autoSpaceDE w:val="0"/>
              <w:autoSpaceDN w:val="0"/>
              <w:adjustRightInd w:val="0"/>
              <w:spacing w:line="240" w:lineRule="auto"/>
              <w:rPr>
                <w:b/>
                <w:bCs/>
                <w:sz w:val="16"/>
                <w:szCs w:val="16"/>
              </w:rPr>
            </w:pPr>
            <w:r w:rsidRPr="009B536D">
              <w:rPr>
                <w:b/>
                <w:bCs/>
                <w:sz w:val="16"/>
                <w:szCs w:val="16"/>
              </w:rPr>
              <w:t>Other Economic Flows – Included in Operating Result</w:t>
            </w:r>
          </w:p>
          <w:p w:rsidR="009B536D" w:rsidRPr="009B536D" w:rsidRDefault="009B536D" w:rsidP="009B536D">
            <w:pPr>
              <w:autoSpaceDE w:val="0"/>
              <w:autoSpaceDN w:val="0"/>
              <w:adjustRightInd w:val="0"/>
              <w:spacing w:line="240" w:lineRule="auto"/>
              <w:rPr>
                <w:b/>
                <w:bCs/>
                <w:sz w:val="16"/>
                <w:szCs w:val="16"/>
              </w:rPr>
            </w:pPr>
          </w:p>
        </w:tc>
        <w:tc>
          <w:tcPr>
            <w:tcW w:w="1617" w:type="dxa"/>
          </w:tcPr>
          <w:p w:rsidR="009B536D" w:rsidRPr="009B536D" w:rsidRDefault="009B536D" w:rsidP="009B536D">
            <w:pPr>
              <w:autoSpaceDE w:val="0"/>
              <w:autoSpaceDN w:val="0"/>
              <w:adjustRightInd w:val="0"/>
              <w:spacing w:line="240" w:lineRule="auto"/>
              <w:rPr>
                <w:b/>
                <w:sz w:val="16"/>
                <w:szCs w:val="16"/>
              </w:rPr>
            </w:pPr>
          </w:p>
        </w:tc>
        <w:tc>
          <w:tcPr>
            <w:tcW w:w="1303" w:type="dxa"/>
          </w:tcPr>
          <w:p w:rsidR="009B536D" w:rsidRPr="009B536D" w:rsidRDefault="009B536D" w:rsidP="009B536D">
            <w:pPr>
              <w:autoSpaceDE w:val="0"/>
              <w:autoSpaceDN w:val="0"/>
              <w:adjustRightInd w:val="0"/>
              <w:spacing w:line="240" w:lineRule="auto"/>
              <w:rPr>
                <w:b/>
                <w:bCs/>
                <w:sz w:val="16"/>
                <w:szCs w:val="16"/>
              </w:rPr>
            </w:pPr>
          </w:p>
        </w:tc>
      </w:tr>
      <w:tr w:rsidR="009B536D" w:rsidRPr="00C66172" w:rsidTr="004E2478">
        <w:trPr>
          <w:trHeight w:val="181"/>
        </w:trPr>
        <w:tc>
          <w:tcPr>
            <w:tcW w:w="3284" w:type="dxa"/>
            <w:noWrap/>
          </w:tcPr>
          <w:p w:rsidR="009B536D" w:rsidRPr="009B536D" w:rsidRDefault="009B536D" w:rsidP="009B536D">
            <w:pPr>
              <w:spacing w:line="240" w:lineRule="auto"/>
              <w:rPr>
                <w:rFonts w:eastAsia="Arial Unicode MS"/>
                <w:sz w:val="16"/>
                <w:szCs w:val="16"/>
              </w:rPr>
            </w:pPr>
            <w:r w:rsidRPr="009B536D">
              <w:rPr>
                <w:sz w:val="16"/>
                <w:szCs w:val="16"/>
              </w:rPr>
              <w:t>Other revenue</w:t>
            </w:r>
          </w:p>
        </w:tc>
        <w:tc>
          <w:tcPr>
            <w:tcW w:w="1617" w:type="dxa"/>
            <w:noWrap/>
          </w:tcPr>
          <w:p w:rsidR="009B536D" w:rsidRPr="009B536D" w:rsidRDefault="009B536D" w:rsidP="009B536D">
            <w:pPr>
              <w:spacing w:line="240" w:lineRule="auto"/>
              <w:jc w:val="center"/>
              <w:rPr>
                <w:sz w:val="16"/>
                <w:szCs w:val="16"/>
              </w:rPr>
            </w:pPr>
          </w:p>
        </w:tc>
        <w:tc>
          <w:tcPr>
            <w:tcW w:w="1303" w:type="dxa"/>
          </w:tcPr>
          <w:p w:rsidR="009B536D" w:rsidRPr="009B536D" w:rsidRDefault="009B536D" w:rsidP="009B536D">
            <w:pPr>
              <w:spacing w:line="240" w:lineRule="auto"/>
              <w:jc w:val="center"/>
              <w:rPr>
                <w:rFonts w:eastAsia="Arial Unicode MS"/>
                <w:sz w:val="16"/>
                <w:szCs w:val="16"/>
              </w:rPr>
            </w:pPr>
          </w:p>
        </w:tc>
      </w:tr>
      <w:tr w:rsidR="007060DD" w:rsidRPr="00C66172" w:rsidTr="004E2478">
        <w:trPr>
          <w:trHeight w:val="181"/>
        </w:trPr>
        <w:tc>
          <w:tcPr>
            <w:tcW w:w="3284" w:type="dxa"/>
            <w:noWrap/>
          </w:tcPr>
          <w:p w:rsidR="007060DD" w:rsidRPr="009B536D" w:rsidRDefault="007060DD" w:rsidP="009B536D">
            <w:pPr>
              <w:spacing w:line="240" w:lineRule="auto"/>
              <w:ind w:left="216"/>
              <w:rPr>
                <w:sz w:val="16"/>
                <w:szCs w:val="16"/>
              </w:rPr>
            </w:pPr>
            <w:r w:rsidRPr="009B536D">
              <w:rPr>
                <w:sz w:val="16"/>
                <w:szCs w:val="16"/>
              </w:rPr>
              <w:t xml:space="preserve">Net swap interest revenue </w:t>
            </w:r>
          </w:p>
        </w:tc>
        <w:tc>
          <w:tcPr>
            <w:tcW w:w="1617" w:type="dxa"/>
            <w:noWrap/>
          </w:tcPr>
          <w:p w:rsidR="007060DD" w:rsidRPr="009B536D" w:rsidRDefault="007060DD" w:rsidP="009B536D">
            <w:pPr>
              <w:spacing w:line="240" w:lineRule="auto"/>
              <w:jc w:val="center"/>
              <w:rPr>
                <w:sz w:val="16"/>
                <w:szCs w:val="16"/>
              </w:rPr>
            </w:pPr>
          </w:p>
        </w:tc>
        <w:tc>
          <w:tcPr>
            <w:tcW w:w="1303" w:type="dxa"/>
            <w:vAlign w:val="bottom"/>
          </w:tcPr>
          <w:p w:rsidR="007060DD" w:rsidRPr="00C66172" w:rsidRDefault="007060DD" w:rsidP="00FF33F8">
            <w:pPr>
              <w:spacing w:line="240" w:lineRule="auto"/>
              <w:jc w:val="right"/>
              <w:rPr>
                <w:rFonts w:eastAsia="Arial Unicode MS"/>
                <w:sz w:val="16"/>
                <w:szCs w:val="16"/>
              </w:rPr>
            </w:pPr>
            <w:r w:rsidRPr="00C66172">
              <w:rPr>
                <w:rFonts w:eastAsia="Arial Unicode MS"/>
                <w:sz w:val="16"/>
                <w:szCs w:val="16"/>
              </w:rPr>
              <w:t>577</w:t>
            </w:r>
            <w:r w:rsidRPr="00C66172">
              <w:rPr>
                <w:sz w:val="16"/>
                <w:szCs w:val="16"/>
              </w:rPr>
              <w:t> </w:t>
            </w:r>
          </w:p>
        </w:tc>
      </w:tr>
      <w:tr w:rsidR="007060DD" w:rsidRPr="00C66172" w:rsidTr="004E2478">
        <w:trPr>
          <w:trHeight w:val="181"/>
        </w:trPr>
        <w:tc>
          <w:tcPr>
            <w:tcW w:w="3284" w:type="dxa"/>
            <w:noWrap/>
          </w:tcPr>
          <w:p w:rsidR="007060DD" w:rsidRPr="009B536D" w:rsidRDefault="007060DD" w:rsidP="009B536D">
            <w:pPr>
              <w:spacing w:line="240" w:lineRule="auto"/>
              <w:rPr>
                <w:sz w:val="16"/>
                <w:szCs w:val="16"/>
              </w:rPr>
            </w:pPr>
            <w:r w:rsidRPr="009B536D">
              <w:rPr>
                <w:sz w:val="16"/>
                <w:szCs w:val="16"/>
              </w:rPr>
              <w:t>Net foreign exchange gains</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vAlign w:val="bottom"/>
          </w:tcPr>
          <w:p w:rsidR="007060DD" w:rsidRPr="00C66172" w:rsidRDefault="007060DD" w:rsidP="00FF33F8">
            <w:pPr>
              <w:spacing w:line="240" w:lineRule="auto"/>
              <w:jc w:val="right"/>
              <w:rPr>
                <w:sz w:val="16"/>
                <w:szCs w:val="16"/>
              </w:rPr>
            </w:pPr>
            <w:r w:rsidRPr="00C66172">
              <w:rPr>
                <w:sz w:val="16"/>
                <w:szCs w:val="16"/>
              </w:rPr>
              <w:t>2,120 </w:t>
            </w:r>
          </w:p>
        </w:tc>
      </w:tr>
      <w:tr w:rsidR="007060DD" w:rsidRPr="00C66172" w:rsidTr="004E2478">
        <w:trPr>
          <w:trHeight w:val="181"/>
        </w:trPr>
        <w:tc>
          <w:tcPr>
            <w:tcW w:w="3284" w:type="dxa"/>
            <w:noWrap/>
          </w:tcPr>
          <w:p w:rsidR="007060DD" w:rsidRPr="009B536D" w:rsidRDefault="007060DD" w:rsidP="009B536D">
            <w:pPr>
              <w:spacing w:line="240" w:lineRule="auto"/>
              <w:rPr>
                <w:sz w:val="16"/>
                <w:szCs w:val="16"/>
              </w:rPr>
            </w:pPr>
            <w:r w:rsidRPr="009B536D">
              <w:rPr>
                <w:sz w:val="16"/>
                <w:szCs w:val="16"/>
              </w:rPr>
              <w:t>Net gain on sale of non-financial assets</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vAlign w:val="bottom"/>
          </w:tcPr>
          <w:p w:rsidR="007060DD" w:rsidRPr="00C66172" w:rsidRDefault="007060DD" w:rsidP="00FF33F8">
            <w:pPr>
              <w:spacing w:line="240" w:lineRule="auto"/>
              <w:jc w:val="right"/>
              <w:rPr>
                <w:sz w:val="16"/>
                <w:szCs w:val="16"/>
              </w:rPr>
            </w:pPr>
            <w:r w:rsidRPr="00C66172">
              <w:rPr>
                <w:sz w:val="16"/>
                <w:szCs w:val="16"/>
              </w:rPr>
              <w:t>343 </w:t>
            </w:r>
          </w:p>
        </w:tc>
      </w:tr>
      <w:tr w:rsidR="007060DD" w:rsidRPr="00C66172" w:rsidTr="004E2478">
        <w:trPr>
          <w:trHeight w:val="181"/>
        </w:trPr>
        <w:tc>
          <w:tcPr>
            <w:tcW w:w="3284" w:type="dxa"/>
            <w:noWrap/>
          </w:tcPr>
          <w:p w:rsidR="007060DD" w:rsidRPr="009B536D" w:rsidRDefault="007060DD" w:rsidP="002949B1">
            <w:pPr>
              <w:spacing w:line="240" w:lineRule="auto"/>
              <w:ind w:left="142" w:hanging="142"/>
              <w:rPr>
                <w:sz w:val="16"/>
                <w:szCs w:val="16"/>
              </w:rPr>
            </w:pPr>
            <w:r w:rsidRPr="009B536D">
              <w:rPr>
                <w:sz w:val="16"/>
                <w:szCs w:val="16"/>
              </w:rPr>
              <w:t>Net gain on financial assets or liabilities at fair value through operating result</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vAlign w:val="bottom"/>
          </w:tcPr>
          <w:p w:rsidR="007060DD" w:rsidRPr="00C66172" w:rsidRDefault="007060DD" w:rsidP="00FF33F8">
            <w:pPr>
              <w:spacing w:line="240" w:lineRule="auto"/>
              <w:jc w:val="right"/>
              <w:rPr>
                <w:b/>
                <w:sz w:val="16"/>
                <w:szCs w:val="16"/>
              </w:rPr>
            </w:pPr>
            <w:r w:rsidRPr="00C66172">
              <w:rPr>
                <w:sz w:val="16"/>
                <w:szCs w:val="16"/>
              </w:rPr>
              <w:t>265 </w:t>
            </w:r>
          </w:p>
        </w:tc>
      </w:tr>
      <w:tr w:rsidR="007060DD" w:rsidRPr="00C66172" w:rsidTr="004E2478">
        <w:trPr>
          <w:trHeight w:val="181"/>
        </w:trPr>
        <w:tc>
          <w:tcPr>
            <w:tcW w:w="3284" w:type="dxa"/>
            <w:noWrap/>
          </w:tcPr>
          <w:p w:rsidR="007060DD" w:rsidRPr="00853054" w:rsidRDefault="007060DD" w:rsidP="00853054">
            <w:pPr>
              <w:spacing w:line="240" w:lineRule="auto"/>
              <w:rPr>
                <w:strike/>
                <w:sz w:val="16"/>
                <w:szCs w:val="16"/>
              </w:rPr>
            </w:pPr>
            <w:r w:rsidRPr="00853054">
              <w:rPr>
                <w:strike/>
                <w:sz w:val="16"/>
                <w:szCs w:val="16"/>
              </w:rPr>
              <w:lastRenderedPageBreak/>
              <w:t xml:space="preserve">Remeasurements of the defined benefit liability </w:t>
            </w:r>
          </w:p>
        </w:tc>
        <w:tc>
          <w:tcPr>
            <w:tcW w:w="1617" w:type="dxa"/>
            <w:noWrap/>
          </w:tcPr>
          <w:p w:rsidR="007060DD" w:rsidRPr="00853054" w:rsidRDefault="007060DD" w:rsidP="00853054">
            <w:pPr>
              <w:spacing w:line="240" w:lineRule="auto"/>
              <w:jc w:val="center"/>
              <w:rPr>
                <w:rFonts w:eastAsia="Arial Unicode MS"/>
                <w:strike/>
                <w:sz w:val="16"/>
                <w:szCs w:val="16"/>
              </w:rPr>
            </w:pPr>
          </w:p>
        </w:tc>
        <w:tc>
          <w:tcPr>
            <w:tcW w:w="1303" w:type="dxa"/>
            <w:vAlign w:val="bottom"/>
          </w:tcPr>
          <w:p w:rsidR="007060DD" w:rsidRPr="00853054" w:rsidRDefault="007060DD" w:rsidP="00FF33F8">
            <w:pPr>
              <w:spacing w:line="240" w:lineRule="auto"/>
              <w:jc w:val="right"/>
              <w:rPr>
                <w:strike/>
                <w:sz w:val="16"/>
                <w:szCs w:val="16"/>
              </w:rPr>
            </w:pPr>
            <w:r w:rsidRPr="00853054">
              <w:rPr>
                <w:strike/>
                <w:sz w:val="16"/>
                <w:szCs w:val="16"/>
              </w:rPr>
              <w:t>866 </w:t>
            </w:r>
          </w:p>
        </w:tc>
      </w:tr>
      <w:tr w:rsidR="007060DD" w:rsidRPr="00C66172" w:rsidTr="004E2478">
        <w:trPr>
          <w:trHeight w:val="181"/>
        </w:trPr>
        <w:tc>
          <w:tcPr>
            <w:tcW w:w="3284" w:type="dxa"/>
            <w:noWrap/>
          </w:tcPr>
          <w:p w:rsidR="007060DD" w:rsidRPr="009B536D" w:rsidRDefault="007060DD" w:rsidP="009B536D">
            <w:pPr>
              <w:spacing w:line="240" w:lineRule="auto"/>
              <w:rPr>
                <w:rFonts w:eastAsia="Arial Unicode MS"/>
                <w:sz w:val="16"/>
                <w:szCs w:val="16"/>
              </w:rPr>
            </w:pPr>
            <w:r w:rsidRPr="009B536D">
              <w:rPr>
                <w:sz w:val="16"/>
                <w:szCs w:val="16"/>
              </w:rPr>
              <w:t>Amortisation of non-produced assets</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vAlign w:val="bottom"/>
          </w:tcPr>
          <w:p w:rsidR="007060DD" w:rsidRPr="00C66172" w:rsidRDefault="007060DD" w:rsidP="00FF33F8">
            <w:pPr>
              <w:spacing w:line="240" w:lineRule="auto"/>
              <w:jc w:val="right"/>
              <w:rPr>
                <w:rFonts w:eastAsia="Arial Unicode MS"/>
                <w:sz w:val="16"/>
                <w:szCs w:val="16"/>
              </w:rPr>
            </w:pPr>
            <w:r w:rsidRPr="00C66172">
              <w:rPr>
                <w:rFonts w:eastAsia="Arial Unicode MS"/>
                <w:sz w:val="16"/>
                <w:szCs w:val="16"/>
              </w:rPr>
              <w:t>(119)</w:t>
            </w:r>
          </w:p>
        </w:tc>
      </w:tr>
      <w:tr w:rsidR="007060DD" w:rsidRPr="00C66172" w:rsidTr="004E2478">
        <w:trPr>
          <w:trHeight w:val="181"/>
        </w:trPr>
        <w:tc>
          <w:tcPr>
            <w:tcW w:w="3284" w:type="dxa"/>
            <w:noWrap/>
          </w:tcPr>
          <w:p w:rsidR="007060DD" w:rsidRPr="009B536D" w:rsidRDefault="007060DD" w:rsidP="009B536D">
            <w:pPr>
              <w:spacing w:line="240" w:lineRule="auto"/>
              <w:rPr>
                <w:sz w:val="16"/>
                <w:szCs w:val="16"/>
              </w:rPr>
            </w:pPr>
            <w:r w:rsidRPr="009B536D">
              <w:rPr>
                <w:sz w:val="16"/>
                <w:szCs w:val="16"/>
              </w:rPr>
              <w:t>Doubtful debts</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vAlign w:val="bottom"/>
          </w:tcPr>
          <w:p w:rsidR="007060DD" w:rsidRPr="00C66172" w:rsidRDefault="007060DD" w:rsidP="00FF33F8">
            <w:pPr>
              <w:spacing w:line="240" w:lineRule="auto"/>
              <w:jc w:val="right"/>
              <w:rPr>
                <w:rFonts w:eastAsia="Arial Unicode MS"/>
                <w:sz w:val="16"/>
                <w:szCs w:val="16"/>
              </w:rPr>
            </w:pPr>
            <w:r w:rsidRPr="00C66172">
              <w:rPr>
                <w:rFonts w:eastAsia="Arial Unicode MS"/>
                <w:sz w:val="16"/>
                <w:szCs w:val="16"/>
              </w:rPr>
              <w:t>(604)</w:t>
            </w:r>
          </w:p>
        </w:tc>
      </w:tr>
      <w:tr w:rsidR="007060DD" w:rsidRPr="00C66172" w:rsidTr="004E2478">
        <w:trPr>
          <w:trHeight w:val="181"/>
        </w:trPr>
        <w:tc>
          <w:tcPr>
            <w:tcW w:w="3284" w:type="dxa"/>
            <w:noWrap/>
          </w:tcPr>
          <w:p w:rsidR="007060DD" w:rsidRPr="009B536D" w:rsidRDefault="007060DD" w:rsidP="002949B1">
            <w:pPr>
              <w:spacing w:line="240" w:lineRule="auto"/>
              <w:ind w:left="142" w:hanging="142"/>
              <w:rPr>
                <w:sz w:val="16"/>
                <w:szCs w:val="16"/>
              </w:rPr>
            </w:pPr>
            <w:r w:rsidRPr="009B536D">
              <w:rPr>
                <w:sz w:val="16"/>
                <w:szCs w:val="16"/>
              </w:rPr>
              <w:t>Share of net profit/(loss) from associates, excluding dividends</w:t>
            </w: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tcBorders>
              <w:bottom w:val="single" w:sz="4" w:space="0" w:color="auto"/>
            </w:tcBorders>
            <w:vAlign w:val="bottom"/>
          </w:tcPr>
          <w:p w:rsidR="007060DD" w:rsidRPr="00C66172" w:rsidRDefault="007060DD" w:rsidP="00FF33F8">
            <w:pPr>
              <w:spacing w:line="240" w:lineRule="auto"/>
              <w:jc w:val="right"/>
              <w:rPr>
                <w:sz w:val="16"/>
                <w:szCs w:val="16"/>
              </w:rPr>
            </w:pPr>
            <w:r w:rsidRPr="00C66172">
              <w:rPr>
                <w:sz w:val="16"/>
                <w:szCs w:val="16"/>
              </w:rPr>
              <w:t>(26)</w:t>
            </w:r>
          </w:p>
        </w:tc>
      </w:tr>
      <w:tr w:rsidR="007060DD" w:rsidRPr="00C66172" w:rsidTr="004E2478">
        <w:trPr>
          <w:trHeight w:val="181"/>
        </w:trPr>
        <w:tc>
          <w:tcPr>
            <w:tcW w:w="3284" w:type="dxa"/>
            <w:noWrap/>
          </w:tcPr>
          <w:p w:rsidR="007060DD" w:rsidRPr="009B536D" w:rsidRDefault="007060DD" w:rsidP="009B536D">
            <w:pPr>
              <w:spacing w:line="240" w:lineRule="auto"/>
              <w:rPr>
                <w:b/>
                <w:bCs/>
                <w:sz w:val="16"/>
                <w:szCs w:val="16"/>
              </w:rPr>
            </w:pPr>
          </w:p>
        </w:tc>
        <w:tc>
          <w:tcPr>
            <w:tcW w:w="1617" w:type="dxa"/>
            <w:noWrap/>
          </w:tcPr>
          <w:p w:rsidR="007060DD" w:rsidRPr="009B536D" w:rsidRDefault="007060DD" w:rsidP="009B536D">
            <w:pPr>
              <w:spacing w:line="240" w:lineRule="auto"/>
              <w:jc w:val="center"/>
              <w:rPr>
                <w:rFonts w:eastAsia="Arial Unicode MS"/>
                <w:sz w:val="16"/>
                <w:szCs w:val="16"/>
              </w:rPr>
            </w:pPr>
          </w:p>
        </w:tc>
        <w:tc>
          <w:tcPr>
            <w:tcW w:w="1303" w:type="dxa"/>
            <w:tcBorders>
              <w:top w:val="single" w:sz="4" w:space="0" w:color="auto"/>
            </w:tcBorders>
            <w:vAlign w:val="bottom"/>
          </w:tcPr>
          <w:p w:rsidR="007060DD" w:rsidRPr="00C66172" w:rsidRDefault="00A9763D" w:rsidP="00FF33F8">
            <w:pPr>
              <w:spacing w:line="240" w:lineRule="auto"/>
              <w:jc w:val="right"/>
              <w:rPr>
                <w:rFonts w:eastAsia="Arial Unicode MS"/>
                <w:sz w:val="16"/>
                <w:szCs w:val="16"/>
              </w:rPr>
            </w:pPr>
            <w:r w:rsidRPr="00A9763D">
              <w:rPr>
                <w:rFonts w:eastAsia="Arial Unicode MS"/>
                <w:strike/>
                <w:sz w:val="16"/>
                <w:szCs w:val="16"/>
              </w:rPr>
              <w:t xml:space="preserve">3,422 </w:t>
            </w:r>
            <w:r w:rsidRPr="00A9763D">
              <w:rPr>
                <w:rFonts w:eastAsia="Arial Unicode MS"/>
                <w:sz w:val="16"/>
                <w:szCs w:val="16"/>
                <w:u w:val="single"/>
              </w:rPr>
              <w:t>2,556</w:t>
            </w:r>
            <w:r w:rsidR="007060DD" w:rsidRPr="00C66172">
              <w:rPr>
                <w:sz w:val="16"/>
                <w:szCs w:val="16"/>
              </w:rPr>
              <w:t> </w:t>
            </w:r>
          </w:p>
        </w:tc>
      </w:tr>
      <w:tr w:rsidR="007060DD" w:rsidRPr="00C66172" w:rsidTr="004E2478">
        <w:trPr>
          <w:trHeight w:val="193"/>
        </w:trPr>
        <w:tc>
          <w:tcPr>
            <w:tcW w:w="3284" w:type="dxa"/>
            <w:noWrap/>
          </w:tcPr>
          <w:p w:rsidR="007060DD" w:rsidRPr="009B536D" w:rsidRDefault="007060DD" w:rsidP="009B536D">
            <w:pPr>
              <w:pStyle w:val="Heading5"/>
              <w:spacing w:before="20" w:after="0" w:line="240" w:lineRule="auto"/>
              <w:rPr>
                <w:rFonts w:cs="Times New Roman"/>
                <w:b w:val="0"/>
                <w:bCs w:val="0"/>
                <w:i w:val="0"/>
                <w:iCs/>
                <w:sz w:val="16"/>
                <w:szCs w:val="16"/>
              </w:rPr>
            </w:pPr>
            <w:r w:rsidRPr="009B536D">
              <w:rPr>
                <w:rFonts w:cs="Times New Roman"/>
                <w:i w:val="0"/>
                <w:iCs/>
                <w:sz w:val="16"/>
                <w:szCs w:val="16"/>
              </w:rPr>
              <w:t>OPERATING RESULT</w:t>
            </w:r>
          </w:p>
        </w:tc>
        <w:tc>
          <w:tcPr>
            <w:tcW w:w="1617" w:type="dxa"/>
            <w:noWrap/>
          </w:tcPr>
          <w:p w:rsidR="007060DD" w:rsidRPr="009B536D" w:rsidRDefault="007060DD" w:rsidP="009B536D">
            <w:pPr>
              <w:spacing w:before="20" w:line="240" w:lineRule="auto"/>
              <w:jc w:val="center"/>
              <w:rPr>
                <w:sz w:val="16"/>
                <w:szCs w:val="16"/>
              </w:rPr>
            </w:pPr>
          </w:p>
        </w:tc>
        <w:tc>
          <w:tcPr>
            <w:tcW w:w="1303" w:type="dxa"/>
            <w:tcBorders>
              <w:bottom w:val="double" w:sz="4" w:space="0" w:color="auto"/>
            </w:tcBorders>
            <w:vAlign w:val="bottom"/>
          </w:tcPr>
          <w:p w:rsidR="007060DD" w:rsidRPr="00AC56B2" w:rsidRDefault="007060DD" w:rsidP="00FF33F8">
            <w:pPr>
              <w:spacing w:before="20" w:line="240" w:lineRule="auto"/>
              <w:jc w:val="right"/>
              <w:rPr>
                <w:strike/>
                <w:sz w:val="16"/>
                <w:szCs w:val="16"/>
              </w:rPr>
            </w:pPr>
            <w:r w:rsidRPr="00AC56B2">
              <w:rPr>
                <w:b/>
                <w:bCs/>
                <w:strike/>
                <w:sz w:val="16"/>
                <w:szCs w:val="16"/>
              </w:rPr>
              <w:t>7,079</w:t>
            </w:r>
            <w:r w:rsidRPr="00AC56B2">
              <w:rPr>
                <w:strike/>
                <w:sz w:val="16"/>
                <w:szCs w:val="16"/>
              </w:rPr>
              <w:t> </w:t>
            </w:r>
            <w:r w:rsidR="00AC56B2" w:rsidRPr="00AC56B2">
              <w:rPr>
                <w:b/>
                <w:sz w:val="16"/>
                <w:szCs w:val="16"/>
                <w:u w:val="single"/>
              </w:rPr>
              <w:t>6,213</w:t>
            </w:r>
            <w:r w:rsidR="00681491" w:rsidRPr="00681491">
              <w:rPr>
                <w:b/>
                <w:sz w:val="16"/>
                <w:szCs w:val="16"/>
              </w:rPr>
              <w:t> </w:t>
            </w:r>
          </w:p>
        </w:tc>
      </w:tr>
      <w:tr w:rsidR="007060DD" w:rsidRPr="00C66172" w:rsidTr="004E2478">
        <w:trPr>
          <w:trHeight w:hRule="exact" w:val="62"/>
        </w:trPr>
        <w:tc>
          <w:tcPr>
            <w:tcW w:w="3284" w:type="dxa"/>
            <w:noWrap/>
          </w:tcPr>
          <w:p w:rsidR="007060DD" w:rsidRPr="009B536D" w:rsidRDefault="007060DD" w:rsidP="009B536D">
            <w:pPr>
              <w:pStyle w:val="Heading5"/>
              <w:spacing w:after="0" w:line="240" w:lineRule="auto"/>
              <w:rPr>
                <w:rFonts w:cs="Times New Roman"/>
                <w:i w:val="0"/>
                <w:iCs/>
                <w:sz w:val="16"/>
                <w:szCs w:val="16"/>
              </w:rPr>
            </w:pPr>
          </w:p>
        </w:tc>
        <w:tc>
          <w:tcPr>
            <w:tcW w:w="1617" w:type="dxa"/>
            <w:noWrap/>
          </w:tcPr>
          <w:p w:rsidR="007060DD" w:rsidRPr="009B536D" w:rsidRDefault="007060DD" w:rsidP="009B536D">
            <w:pPr>
              <w:spacing w:line="240" w:lineRule="auto"/>
              <w:jc w:val="center"/>
              <w:rPr>
                <w:sz w:val="16"/>
                <w:szCs w:val="16"/>
              </w:rPr>
            </w:pPr>
          </w:p>
        </w:tc>
        <w:tc>
          <w:tcPr>
            <w:tcW w:w="1303" w:type="dxa"/>
            <w:tcBorders>
              <w:top w:val="double" w:sz="4" w:space="0" w:color="auto"/>
            </w:tcBorders>
          </w:tcPr>
          <w:p w:rsidR="007060DD" w:rsidRPr="009B536D" w:rsidRDefault="007060DD" w:rsidP="009B536D">
            <w:pPr>
              <w:spacing w:line="240" w:lineRule="auto"/>
              <w:jc w:val="right"/>
              <w:rPr>
                <w:sz w:val="16"/>
                <w:szCs w:val="16"/>
              </w:rPr>
            </w:pPr>
          </w:p>
        </w:tc>
      </w:tr>
      <w:tr w:rsidR="007060DD" w:rsidRPr="00C66172" w:rsidTr="004E2478">
        <w:trPr>
          <w:trHeight w:val="198"/>
        </w:trPr>
        <w:tc>
          <w:tcPr>
            <w:tcW w:w="3284" w:type="dxa"/>
            <w:noWrap/>
          </w:tcPr>
          <w:p w:rsidR="007060DD" w:rsidRPr="009B536D" w:rsidRDefault="007060DD" w:rsidP="009B536D">
            <w:pPr>
              <w:pStyle w:val="Heading5"/>
              <w:spacing w:after="0" w:line="240" w:lineRule="auto"/>
              <w:rPr>
                <w:rFonts w:cs="Times New Roman"/>
                <w:b w:val="0"/>
                <w:bCs w:val="0"/>
                <w:i w:val="0"/>
                <w:iCs/>
                <w:sz w:val="16"/>
                <w:szCs w:val="16"/>
              </w:rPr>
            </w:pPr>
            <w:r w:rsidRPr="009B536D">
              <w:rPr>
                <w:rFonts w:cs="Times New Roman"/>
                <w:i w:val="0"/>
                <w:iCs/>
                <w:sz w:val="16"/>
                <w:szCs w:val="16"/>
              </w:rPr>
              <w:br w:type="page"/>
              <w:t>Other Economic Flows – Other Comprehensive Income</w:t>
            </w:r>
          </w:p>
        </w:tc>
        <w:tc>
          <w:tcPr>
            <w:tcW w:w="1617" w:type="dxa"/>
            <w:noWrap/>
          </w:tcPr>
          <w:p w:rsidR="007060DD" w:rsidRPr="009B536D" w:rsidRDefault="007060DD" w:rsidP="009B536D">
            <w:pPr>
              <w:spacing w:line="240" w:lineRule="auto"/>
              <w:jc w:val="center"/>
              <w:rPr>
                <w:sz w:val="16"/>
                <w:szCs w:val="16"/>
              </w:rPr>
            </w:pPr>
          </w:p>
        </w:tc>
        <w:tc>
          <w:tcPr>
            <w:tcW w:w="1303" w:type="dxa"/>
          </w:tcPr>
          <w:p w:rsidR="007060DD" w:rsidRPr="009B536D" w:rsidRDefault="007060DD" w:rsidP="009B536D">
            <w:pPr>
              <w:spacing w:line="240" w:lineRule="auto"/>
              <w:jc w:val="right"/>
              <w:rPr>
                <w:sz w:val="16"/>
                <w:szCs w:val="16"/>
              </w:rPr>
            </w:pPr>
          </w:p>
        </w:tc>
      </w:tr>
      <w:tr w:rsidR="007060DD" w:rsidRPr="00C66172" w:rsidTr="004E2478">
        <w:tc>
          <w:tcPr>
            <w:tcW w:w="3284" w:type="dxa"/>
            <w:noWrap/>
          </w:tcPr>
          <w:p w:rsidR="007060DD" w:rsidRPr="009B536D" w:rsidRDefault="007060DD" w:rsidP="009B536D">
            <w:pPr>
              <w:spacing w:line="240" w:lineRule="auto"/>
              <w:rPr>
                <w:sz w:val="16"/>
                <w:szCs w:val="16"/>
              </w:rPr>
            </w:pPr>
          </w:p>
        </w:tc>
        <w:tc>
          <w:tcPr>
            <w:tcW w:w="1617" w:type="dxa"/>
            <w:noWrap/>
          </w:tcPr>
          <w:p w:rsidR="007060DD" w:rsidRPr="009B536D" w:rsidRDefault="007060DD" w:rsidP="009B536D">
            <w:pPr>
              <w:spacing w:line="240" w:lineRule="auto"/>
              <w:jc w:val="center"/>
              <w:rPr>
                <w:sz w:val="16"/>
                <w:szCs w:val="16"/>
              </w:rPr>
            </w:pPr>
          </w:p>
        </w:tc>
        <w:tc>
          <w:tcPr>
            <w:tcW w:w="1303" w:type="dxa"/>
          </w:tcPr>
          <w:p w:rsidR="007060DD" w:rsidRPr="009B536D" w:rsidRDefault="007060DD" w:rsidP="009B536D">
            <w:pPr>
              <w:spacing w:line="240" w:lineRule="auto"/>
              <w:jc w:val="right"/>
              <w:rPr>
                <w:sz w:val="16"/>
                <w:szCs w:val="16"/>
              </w:rPr>
            </w:pPr>
          </w:p>
        </w:tc>
      </w:tr>
      <w:tr w:rsidR="007060DD" w:rsidRPr="00C66172" w:rsidTr="004E2478">
        <w:trPr>
          <w:trHeight w:val="181"/>
        </w:trPr>
        <w:tc>
          <w:tcPr>
            <w:tcW w:w="3284" w:type="dxa"/>
            <w:noWrap/>
          </w:tcPr>
          <w:p w:rsidR="007060DD" w:rsidRPr="009B536D" w:rsidRDefault="007060DD" w:rsidP="009B536D">
            <w:pPr>
              <w:spacing w:line="240" w:lineRule="auto"/>
              <w:rPr>
                <w:sz w:val="16"/>
                <w:szCs w:val="16"/>
              </w:rPr>
            </w:pPr>
            <w:r w:rsidRPr="009B536D">
              <w:rPr>
                <w:b/>
                <w:i/>
                <w:sz w:val="16"/>
                <w:szCs w:val="16"/>
              </w:rPr>
              <w:t>Items that will not be reclassified to operating result</w:t>
            </w:r>
          </w:p>
        </w:tc>
        <w:tc>
          <w:tcPr>
            <w:tcW w:w="1617" w:type="dxa"/>
            <w:noWrap/>
          </w:tcPr>
          <w:p w:rsidR="007060DD" w:rsidRPr="009B536D" w:rsidRDefault="007060DD" w:rsidP="009B536D">
            <w:pPr>
              <w:spacing w:line="240" w:lineRule="auto"/>
              <w:jc w:val="center"/>
              <w:rPr>
                <w:sz w:val="16"/>
                <w:szCs w:val="16"/>
              </w:rPr>
            </w:pPr>
          </w:p>
        </w:tc>
        <w:tc>
          <w:tcPr>
            <w:tcW w:w="1303" w:type="dxa"/>
          </w:tcPr>
          <w:p w:rsidR="007060DD" w:rsidRPr="009B536D" w:rsidRDefault="007060DD" w:rsidP="009B536D">
            <w:pPr>
              <w:spacing w:line="240" w:lineRule="auto"/>
              <w:jc w:val="right"/>
              <w:rPr>
                <w:sz w:val="16"/>
                <w:szCs w:val="16"/>
              </w:rPr>
            </w:pPr>
          </w:p>
        </w:tc>
      </w:tr>
      <w:tr w:rsidR="007060DD" w:rsidRPr="00C66172" w:rsidTr="004E2478">
        <w:trPr>
          <w:trHeight w:hRule="exact" w:val="181"/>
        </w:trPr>
        <w:tc>
          <w:tcPr>
            <w:tcW w:w="3284" w:type="dxa"/>
            <w:noWrap/>
          </w:tcPr>
          <w:p w:rsidR="007060DD" w:rsidRPr="009B536D" w:rsidRDefault="007060DD" w:rsidP="009B536D">
            <w:pPr>
              <w:spacing w:line="240" w:lineRule="auto"/>
              <w:rPr>
                <w:rFonts w:eastAsia="Arial Unicode MS"/>
                <w:sz w:val="16"/>
                <w:szCs w:val="16"/>
              </w:rPr>
            </w:pPr>
            <w:r w:rsidRPr="009B536D">
              <w:rPr>
                <w:sz w:val="16"/>
                <w:szCs w:val="16"/>
              </w:rPr>
              <w:t>Revaluations</w:t>
            </w:r>
          </w:p>
        </w:tc>
        <w:tc>
          <w:tcPr>
            <w:tcW w:w="1617" w:type="dxa"/>
            <w:noWrap/>
          </w:tcPr>
          <w:p w:rsidR="007060DD" w:rsidRPr="009B536D" w:rsidRDefault="007060DD" w:rsidP="009B536D">
            <w:pPr>
              <w:spacing w:line="240" w:lineRule="auto"/>
              <w:jc w:val="center"/>
              <w:rPr>
                <w:sz w:val="16"/>
                <w:szCs w:val="16"/>
              </w:rPr>
            </w:pPr>
          </w:p>
        </w:tc>
        <w:tc>
          <w:tcPr>
            <w:tcW w:w="1303" w:type="dxa"/>
            <w:vAlign w:val="bottom"/>
          </w:tcPr>
          <w:p w:rsidR="007060DD" w:rsidRPr="00C66172" w:rsidRDefault="007060DD" w:rsidP="00FF33F8">
            <w:pPr>
              <w:spacing w:line="240" w:lineRule="auto"/>
              <w:jc w:val="right"/>
              <w:rPr>
                <w:sz w:val="16"/>
                <w:szCs w:val="16"/>
              </w:rPr>
            </w:pPr>
            <w:r w:rsidRPr="00C66172">
              <w:rPr>
                <w:sz w:val="16"/>
                <w:szCs w:val="16"/>
              </w:rPr>
              <w:t>1,589 </w:t>
            </w:r>
          </w:p>
        </w:tc>
      </w:tr>
      <w:tr w:rsidR="00AC56B2" w:rsidRPr="00C66172" w:rsidTr="004E2478">
        <w:tc>
          <w:tcPr>
            <w:tcW w:w="3284" w:type="dxa"/>
            <w:noWrap/>
          </w:tcPr>
          <w:p w:rsidR="00AC56B2" w:rsidRPr="00AC56B2" w:rsidRDefault="00AC56B2" w:rsidP="00004CA1">
            <w:pPr>
              <w:spacing w:line="240" w:lineRule="auto"/>
              <w:rPr>
                <w:sz w:val="16"/>
                <w:szCs w:val="16"/>
                <w:u w:val="single"/>
              </w:rPr>
            </w:pPr>
            <w:r w:rsidRPr="00AC56B2">
              <w:rPr>
                <w:sz w:val="16"/>
                <w:szCs w:val="16"/>
                <w:u w:val="single"/>
              </w:rPr>
              <w:t xml:space="preserve">Remeasurements of the defined benefit liability </w:t>
            </w:r>
          </w:p>
        </w:tc>
        <w:tc>
          <w:tcPr>
            <w:tcW w:w="1617" w:type="dxa"/>
            <w:noWrap/>
          </w:tcPr>
          <w:p w:rsidR="00AC56B2" w:rsidRPr="00AC56B2" w:rsidRDefault="00AC56B2" w:rsidP="00004CA1">
            <w:pPr>
              <w:spacing w:line="240" w:lineRule="auto"/>
              <w:jc w:val="center"/>
              <w:rPr>
                <w:rFonts w:eastAsia="Arial Unicode MS"/>
                <w:sz w:val="16"/>
                <w:szCs w:val="16"/>
              </w:rPr>
            </w:pPr>
          </w:p>
        </w:tc>
        <w:tc>
          <w:tcPr>
            <w:tcW w:w="1303" w:type="dxa"/>
            <w:vAlign w:val="bottom"/>
          </w:tcPr>
          <w:p w:rsidR="00AC56B2" w:rsidRPr="00AC56B2" w:rsidRDefault="00AC56B2" w:rsidP="00FF33F8">
            <w:pPr>
              <w:spacing w:line="240" w:lineRule="auto"/>
              <w:jc w:val="right"/>
              <w:rPr>
                <w:sz w:val="16"/>
                <w:szCs w:val="16"/>
                <w:u w:val="single"/>
              </w:rPr>
            </w:pPr>
            <w:r w:rsidRPr="00AC56B2">
              <w:rPr>
                <w:sz w:val="16"/>
                <w:szCs w:val="16"/>
                <w:u w:val="single"/>
              </w:rPr>
              <w:t>866 </w:t>
            </w:r>
          </w:p>
        </w:tc>
      </w:tr>
      <w:tr w:rsidR="00AC56B2" w:rsidRPr="00C66172" w:rsidTr="004E2478">
        <w:trPr>
          <w:trHeight w:val="181"/>
        </w:trPr>
        <w:tc>
          <w:tcPr>
            <w:tcW w:w="3284" w:type="dxa"/>
            <w:noWrap/>
          </w:tcPr>
          <w:p w:rsidR="00AC56B2" w:rsidRPr="009B536D" w:rsidRDefault="00AC56B2" w:rsidP="009B536D">
            <w:pPr>
              <w:spacing w:line="240" w:lineRule="auto"/>
              <w:rPr>
                <w:sz w:val="16"/>
                <w:szCs w:val="16"/>
              </w:rPr>
            </w:pPr>
            <w:r w:rsidRPr="009B536D">
              <w:rPr>
                <w:b/>
                <w:i/>
                <w:sz w:val="16"/>
                <w:szCs w:val="16"/>
              </w:rPr>
              <w:t>Items that may be reclassified subsequently to operating result</w:t>
            </w:r>
          </w:p>
        </w:tc>
        <w:tc>
          <w:tcPr>
            <w:tcW w:w="1617" w:type="dxa"/>
            <w:noWrap/>
          </w:tcPr>
          <w:p w:rsidR="00AC56B2" w:rsidRPr="009B536D" w:rsidRDefault="00AC56B2" w:rsidP="009B536D">
            <w:pPr>
              <w:spacing w:line="240" w:lineRule="auto"/>
              <w:jc w:val="center"/>
              <w:rPr>
                <w:rFonts w:eastAsia="Arial Unicode MS"/>
                <w:sz w:val="16"/>
                <w:szCs w:val="16"/>
              </w:rPr>
            </w:pPr>
          </w:p>
        </w:tc>
        <w:tc>
          <w:tcPr>
            <w:tcW w:w="1303" w:type="dxa"/>
            <w:vAlign w:val="bottom"/>
          </w:tcPr>
          <w:p w:rsidR="00AC56B2" w:rsidRPr="00C66172" w:rsidRDefault="00AC56B2" w:rsidP="00FF33F8">
            <w:pPr>
              <w:spacing w:line="240" w:lineRule="auto"/>
              <w:jc w:val="right"/>
              <w:rPr>
                <w:sz w:val="16"/>
                <w:szCs w:val="16"/>
              </w:rPr>
            </w:pPr>
          </w:p>
        </w:tc>
      </w:tr>
      <w:tr w:rsidR="00AC56B2" w:rsidRPr="00C66172" w:rsidTr="004E2478">
        <w:trPr>
          <w:trHeight w:val="181"/>
        </w:trPr>
        <w:tc>
          <w:tcPr>
            <w:tcW w:w="3284" w:type="dxa"/>
            <w:noWrap/>
          </w:tcPr>
          <w:p w:rsidR="00AC56B2" w:rsidRPr="009B536D" w:rsidRDefault="00AC56B2" w:rsidP="002949B1">
            <w:pPr>
              <w:spacing w:line="240" w:lineRule="auto"/>
              <w:ind w:left="142" w:hanging="142"/>
              <w:rPr>
                <w:sz w:val="16"/>
                <w:szCs w:val="16"/>
              </w:rPr>
            </w:pPr>
            <w:r w:rsidRPr="009B536D">
              <w:rPr>
                <w:sz w:val="16"/>
                <w:szCs w:val="16"/>
              </w:rPr>
              <w:t>Net gain on financial assets measured at fair value</w:t>
            </w:r>
          </w:p>
        </w:tc>
        <w:tc>
          <w:tcPr>
            <w:tcW w:w="1617" w:type="dxa"/>
            <w:noWrap/>
          </w:tcPr>
          <w:p w:rsidR="00AC56B2" w:rsidRPr="009B536D" w:rsidRDefault="00AC56B2" w:rsidP="009B536D">
            <w:pPr>
              <w:spacing w:line="240" w:lineRule="auto"/>
              <w:jc w:val="center"/>
              <w:rPr>
                <w:rFonts w:eastAsia="Arial Unicode MS"/>
                <w:sz w:val="16"/>
                <w:szCs w:val="16"/>
              </w:rPr>
            </w:pPr>
          </w:p>
        </w:tc>
        <w:tc>
          <w:tcPr>
            <w:tcW w:w="1303" w:type="dxa"/>
            <w:tcBorders>
              <w:bottom w:val="single" w:sz="4" w:space="0" w:color="auto"/>
            </w:tcBorders>
            <w:vAlign w:val="bottom"/>
          </w:tcPr>
          <w:p w:rsidR="00AC56B2" w:rsidRPr="00C66172" w:rsidRDefault="00AC56B2" w:rsidP="00FF33F8">
            <w:pPr>
              <w:spacing w:line="240" w:lineRule="auto"/>
              <w:jc w:val="right"/>
              <w:rPr>
                <w:sz w:val="16"/>
                <w:szCs w:val="16"/>
              </w:rPr>
            </w:pPr>
            <w:r w:rsidRPr="00C66172">
              <w:rPr>
                <w:sz w:val="16"/>
                <w:szCs w:val="16"/>
              </w:rPr>
              <w:t>2,946 </w:t>
            </w:r>
          </w:p>
        </w:tc>
      </w:tr>
      <w:tr w:rsidR="00AC56B2" w:rsidRPr="00C66172" w:rsidTr="004E2478">
        <w:trPr>
          <w:trHeight w:val="198"/>
        </w:trPr>
        <w:tc>
          <w:tcPr>
            <w:tcW w:w="3284" w:type="dxa"/>
            <w:noWrap/>
          </w:tcPr>
          <w:p w:rsidR="00AC56B2" w:rsidRPr="009B536D" w:rsidRDefault="00AC56B2" w:rsidP="009B536D">
            <w:pPr>
              <w:spacing w:line="240" w:lineRule="auto"/>
              <w:rPr>
                <w:sz w:val="16"/>
                <w:szCs w:val="16"/>
              </w:rPr>
            </w:pPr>
          </w:p>
        </w:tc>
        <w:tc>
          <w:tcPr>
            <w:tcW w:w="1617" w:type="dxa"/>
            <w:noWrap/>
          </w:tcPr>
          <w:p w:rsidR="00AC56B2" w:rsidRPr="009B536D" w:rsidRDefault="00AC56B2" w:rsidP="009B536D">
            <w:pPr>
              <w:spacing w:line="240" w:lineRule="auto"/>
              <w:jc w:val="center"/>
              <w:rPr>
                <w:rFonts w:eastAsia="Arial Unicode MS"/>
                <w:sz w:val="16"/>
                <w:szCs w:val="16"/>
              </w:rPr>
            </w:pPr>
          </w:p>
        </w:tc>
        <w:tc>
          <w:tcPr>
            <w:tcW w:w="1303" w:type="dxa"/>
            <w:tcBorders>
              <w:top w:val="single" w:sz="4" w:space="0" w:color="auto"/>
            </w:tcBorders>
            <w:vAlign w:val="bottom"/>
          </w:tcPr>
          <w:p w:rsidR="00AC56B2" w:rsidRPr="00681491" w:rsidRDefault="00AC56B2" w:rsidP="00FF33F8">
            <w:pPr>
              <w:spacing w:line="240" w:lineRule="auto"/>
              <w:jc w:val="right"/>
              <w:rPr>
                <w:strike/>
                <w:sz w:val="16"/>
                <w:szCs w:val="16"/>
              </w:rPr>
            </w:pPr>
            <w:r w:rsidRPr="00AC56B2">
              <w:rPr>
                <w:strike/>
                <w:sz w:val="16"/>
                <w:szCs w:val="16"/>
              </w:rPr>
              <w:t>4,535 </w:t>
            </w:r>
            <w:r w:rsidRPr="00AC56B2">
              <w:rPr>
                <w:sz w:val="16"/>
                <w:szCs w:val="16"/>
                <w:u w:val="single"/>
              </w:rPr>
              <w:t>5,401</w:t>
            </w:r>
            <w:r w:rsidR="00681491">
              <w:rPr>
                <w:sz w:val="16"/>
                <w:szCs w:val="16"/>
              </w:rPr>
              <w:t> </w:t>
            </w:r>
          </w:p>
        </w:tc>
      </w:tr>
      <w:tr w:rsidR="00AC56B2" w:rsidRPr="00C66172" w:rsidTr="004E2478">
        <w:tc>
          <w:tcPr>
            <w:tcW w:w="3284" w:type="dxa"/>
            <w:noWrap/>
          </w:tcPr>
          <w:p w:rsidR="00AC56B2" w:rsidRPr="009B536D" w:rsidRDefault="00AC56B2" w:rsidP="009B536D">
            <w:pPr>
              <w:spacing w:line="240" w:lineRule="auto"/>
              <w:rPr>
                <w:rFonts w:eastAsia="Arial Unicode MS"/>
                <w:b/>
                <w:bCs/>
                <w:sz w:val="16"/>
                <w:szCs w:val="16"/>
              </w:rPr>
            </w:pPr>
            <w:r w:rsidRPr="009B536D">
              <w:rPr>
                <w:b/>
                <w:bCs/>
                <w:sz w:val="16"/>
                <w:szCs w:val="16"/>
              </w:rPr>
              <w:t>COMPREHENSIVE RESULT – TOTAL CHANGE IN NET WORTH BEFORE TRANSACTIONS WITH OWNERS IN THEIR CAPACITY AS OWNERS</w:t>
            </w:r>
          </w:p>
        </w:tc>
        <w:tc>
          <w:tcPr>
            <w:tcW w:w="1617" w:type="dxa"/>
            <w:noWrap/>
          </w:tcPr>
          <w:p w:rsidR="00AC56B2" w:rsidRPr="009B536D" w:rsidRDefault="00AC56B2" w:rsidP="009B536D">
            <w:pPr>
              <w:spacing w:line="240" w:lineRule="auto"/>
              <w:jc w:val="center"/>
              <w:rPr>
                <w:b/>
                <w:bCs/>
                <w:sz w:val="16"/>
                <w:szCs w:val="16"/>
              </w:rPr>
            </w:pPr>
          </w:p>
        </w:tc>
        <w:tc>
          <w:tcPr>
            <w:tcW w:w="1303" w:type="dxa"/>
            <w:tcBorders>
              <w:bottom w:val="double" w:sz="4" w:space="0" w:color="auto"/>
            </w:tcBorders>
            <w:vAlign w:val="bottom"/>
          </w:tcPr>
          <w:p w:rsidR="00AC56B2" w:rsidRPr="00C66172" w:rsidRDefault="00AC56B2" w:rsidP="00FF33F8">
            <w:pPr>
              <w:spacing w:line="240" w:lineRule="auto"/>
              <w:jc w:val="right"/>
              <w:rPr>
                <w:rFonts w:eastAsia="Arial Unicode MS"/>
                <w:b/>
                <w:bCs/>
                <w:sz w:val="16"/>
                <w:szCs w:val="16"/>
              </w:rPr>
            </w:pPr>
            <w:r w:rsidRPr="00C66172">
              <w:rPr>
                <w:b/>
                <w:bCs/>
                <w:sz w:val="16"/>
                <w:szCs w:val="16"/>
              </w:rPr>
              <w:br/>
              <w:t>11,614</w:t>
            </w:r>
            <w:r w:rsidRPr="00C66172">
              <w:rPr>
                <w:b/>
                <w:sz w:val="16"/>
                <w:szCs w:val="16"/>
              </w:rPr>
              <w:t> </w:t>
            </w:r>
          </w:p>
        </w:tc>
      </w:tr>
      <w:tr w:rsidR="00AC56B2" w:rsidRPr="00C66172" w:rsidTr="004E2478">
        <w:trPr>
          <w:trHeight w:hRule="exact" w:val="62"/>
        </w:trPr>
        <w:tc>
          <w:tcPr>
            <w:tcW w:w="3284" w:type="dxa"/>
            <w:noWrap/>
          </w:tcPr>
          <w:p w:rsidR="00AC56B2" w:rsidRPr="009B536D" w:rsidRDefault="00AC56B2" w:rsidP="009B536D">
            <w:pPr>
              <w:tabs>
                <w:tab w:val="left" w:pos="217"/>
              </w:tabs>
              <w:spacing w:line="240" w:lineRule="auto"/>
              <w:rPr>
                <w:b/>
                <w:bCs/>
                <w:sz w:val="16"/>
                <w:szCs w:val="16"/>
              </w:rPr>
            </w:pPr>
          </w:p>
        </w:tc>
        <w:tc>
          <w:tcPr>
            <w:tcW w:w="1617" w:type="dxa"/>
            <w:noWrap/>
          </w:tcPr>
          <w:p w:rsidR="00AC56B2" w:rsidRPr="009B536D" w:rsidRDefault="00AC56B2" w:rsidP="009B536D">
            <w:pPr>
              <w:spacing w:line="240" w:lineRule="auto"/>
              <w:jc w:val="center"/>
              <w:rPr>
                <w:sz w:val="16"/>
                <w:szCs w:val="16"/>
              </w:rPr>
            </w:pPr>
          </w:p>
        </w:tc>
        <w:tc>
          <w:tcPr>
            <w:tcW w:w="1303" w:type="dxa"/>
            <w:tcBorders>
              <w:top w:val="double" w:sz="4" w:space="0" w:color="auto"/>
            </w:tcBorders>
          </w:tcPr>
          <w:p w:rsidR="00AC56B2" w:rsidRPr="009B536D" w:rsidRDefault="00AC56B2" w:rsidP="009B536D">
            <w:pPr>
              <w:spacing w:line="240" w:lineRule="auto"/>
              <w:jc w:val="right"/>
              <w:rPr>
                <w:rFonts w:eastAsia="Arial Unicode MS"/>
                <w:sz w:val="16"/>
                <w:szCs w:val="16"/>
              </w:rPr>
            </w:pPr>
          </w:p>
        </w:tc>
      </w:tr>
      <w:tr w:rsidR="007A5EA0" w:rsidRPr="00C66172" w:rsidTr="004E2478">
        <w:tc>
          <w:tcPr>
            <w:tcW w:w="3284" w:type="dxa"/>
            <w:noWrap/>
          </w:tcPr>
          <w:p w:rsidR="007A5EA0" w:rsidRPr="009B536D" w:rsidRDefault="007A5EA0" w:rsidP="0037209D">
            <w:pPr>
              <w:autoSpaceDE w:val="0"/>
              <w:autoSpaceDN w:val="0"/>
              <w:adjustRightInd w:val="0"/>
              <w:spacing w:before="240" w:line="240" w:lineRule="auto"/>
              <w:rPr>
                <w:b/>
                <w:bCs/>
                <w:sz w:val="16"/>
                <w:szCs w:val="16"/>
              </w:rPr>
            </w:pPr>
            <w:r>
              <w:rPr>
                <w:b/>
                <w:bCs/>
                <w:sz w:val="16"/>
                <w:szCs w:val="16"/>
              </w:rPr>
              <w:t>…</w:t>
            </w:r>
          </w:p>
        </w:tc>
        <w:tc>
          <w:tcPr>
            <w:tcW w:w="1617" w:type="dxa"/>
            <w:noWrap/>
          </w:tcPr>
          <w:p w:rsidR="007A5EA0" w:rsidRPr="009B536D" w:rsidRDefault="007A5EA0" w:rsidP="00F30774">
            <w:pPr>
              <w:autoSpaceDE w:val="0"/>
              <w:autoSpaceDN w:val="0"/>
              <w:adjustRightInd w:val="0"/>
              <w:spacing w:line="240" w:lineRule="auto"/>
              <w:rPr>
                <w:b/>
                <w:sz w:val="16"/>
                <w:szCs w:val="16"/>
              </w:rPr>
            </w:pPr>
          </w:p>
        </w:tc>
        <w:tc>
          <w:tcPr>
            <w:tcW w:w="1303" w:type="dxa"/>
          </w:tcPr>
          <w:p w:rsidR="007A5EA0" w:rsidRPr="009B536D" w:rsidRDefault="007A5EA0" w:rsidP="00F30774">
            <w:pPr>
              <w:autoSpaceDE w:val="0"/>
              <w:autoSpaceDN w:val="0"/>
              <w:adjustRightInd w:val="0"/>
              <w:spacing w:line="240" w:lineRule="auto"/>
              <w:rPr>
                <w:b/>
                <w:bCs/>
                <w:sz w:val="16"/>
                <w:szCs w:val="16"/>
              </w:rPr>
            </w:pPr>
          </w:p>
        </w:tc>
      </w:tr>
      <w:tr w:rsidR="00AC56B2" w:rsidRPr="00C66172" w:rsidTr="004E2478">
        <w:trPr>
          <w:trHeight w:hRule="exact" w:val="62"/>
        </w:trPr>
        <w:tc>
          <w:tcPr>
            <w:tcW w:w="3284" w:type="dxa"/>
            <w:noWrap/>
          </w:tcPr>
          <w:p w:rsidR="00AC56B2" w:rsidRPr="009B536D" w:rsidRDefault="00AC56B2" w:rsidP="009B536D">
            <w:pPr>
              <w:tabs>
                <w:tab w:val="left" w:pos="217"/>
              </w:tabs>
              <w:spacing w:line="240" w:lineRule="auto"/>
              <w:rPr>
                <w:b/>
                <w:bCs/>
                <w:sz w:val="16"/>
                <w:szCs w:val="16"/>
              </w:rPr>
            </w:pPr>
          </w:p>
        </w:tc>
        <w:tc>
          <w:tcPr>
            <w:tcW w:w="1617" w:type="dxa"/>
            <w:noWrap/>
          </w:tcPr>
          <w:p w:rsidR="00AC56B2" w:rsidRPr="009B536D" w:rsidRDefault="00AC56B2" w:rsidP="009B536D">
            <w:pPr>
              <w:spacing w:line="240" w:lineRule="auto"/>
              <w:jc w:val="center"/>
              <w:rPr>
                <w:sz w:val="16"/>
                <w:szCs w:val="16"/>
              </w:rPr>
            </w:pPr>
          </w:p>
        </w:tc>
        <w:tc>
          <w:tcPr>
            <w:tcW w:w="1303" w:type="dxa"/>
          </w:tcPr>
          <w:p w:rsidR="00AC56B2" w:rsidRPr="009B536D" w:rsidRDefault="00AC56B2" w:rsidP="009B536D">
            <w:pPr>
              <w:spacing w:line="240" w:lineRule="auto"/>
              <w:jc w:val="right"/>
              <w:rPr>
                <w:b/>
                <w:sz w:val="16"/>
                <w:szCs w:val="16"/>
              </w:rPr>
            </w:pPr>
          </w:p>
        </w:tc>
      </w:tr>
    </w:tbl>
    <w:p w:rsidR="0014384D" w:rsidRDefault="0014384D" w:rsidP="00C7397F">
      <w:pPr>
        <w:pStyle w:val="BodyText"/>
        <w:spacing w:before="240" w:after="120" w:line="240" w:lineRule="auto"/>
        <w:ind w:left="510"/>
        <w:rPr>
          <w:rFonts w:ascii="Times New Roman" w:eastAsia="MS Mincho" w:hAnsi="Times New Roman"/>
          <w:b/>
          <w:szCs w:val="20"/>
          <w:lang w:eastAsia="ja-JP"/>
        </w:rPr>
      </w:pPr>
      <w:r w:rsidRPr="00A76C7E">
        <w:rPr>
          <w:rFonts w:ascii="Times New Roman" w:eastAsia="MS Mincho" w:hAnsi="Times New Roman"/>
          <w:b/>
          <w:szCs w:val="20"/>
          <w:lang w:eastAsia="ja-JP"/>
        </w:rPr>
        <w:t xml:space="preserve">R1 Statement of Comprehensive Income for the Whole of Government </w:t>
      </w:r>
      <w:r w:rsidR="00C7397F">
        <w:rPr>
          <w:rFonts w:ascii="Times New Roman" w:eastAsia="MS Mincho" w:hAnsi="Times New Roman"/>
          <w:b/>
          <w:szCs w:val="20"/>
          <w:lang w:eastAsia="ja-JP"/>
        </w:rPr>
        <w:br/>
      </w:r>
      <w:r w:rsidRPr="00A76C7E">
        <w:rPr>
          <w:rFonts w:ascii="Times New Roman" w:eastAsia="MS Mincho" w:hAnsi="Times New Roman"/>
          <w:b/>
          <w:szCs w:val="20"/>
          <w:lang w:eastAsia="ja-JP"/>
        </w:rPr>
        <w:t>by Sector of the ABC Government for the Year Ended 30 June 20XX</w:t>
      </w:r>
    </w:p>
    <w:tbl>
      <w:tblPr>
        <w:tblStyle w:val="TableGrid"/>
        <w:tblW w:w="6804"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1 Example Statement of Comprehensive Income for the Whole of Government"/>
        <w:tblDescription w:val="Example showing an example Statement of Comprehensive Income for the Whole of Government."/>
      </w:tblPr>
      <w:tblGrid>
        <w:gridCol w:w="1714"/>
        <w:gridCol w:w="713"/>
        <w:gridCol w:w="714"/>
        <w:gridCol w:w="812"/>
        <w:gridCol w:w="714"/>
        <w:gridCol w:w="999"/>
        <w:gridCol w:w="1138"/>
      </w:tblGrid>
      <w:tr w:rsidR="0014384D" w:rsidRPr="00D2014B" w:rsidTr="004E2478">
        <w:trPr>
          <w:tblHeader/>
        </w:trPr>
        <w:tc>
          <w:tcPr>
            <w:tcW w:w="1259" w:type="pct"/>
          </w:tcPr>
          <w:p w:rsidR="0014384D" w:rsidRPr="00D2014B" w:rsidRDefault="0014384D" w:rsidP="0014384D">
            <w:pPr>
              <w:pStyle w:val="BodyText"/>
              <w:spacing w:line="240" w:lineRule="auto"/>
              <w:ind w:left="0"/>
              <w:rPr>
                <w:rFonts w:ascii="Times New Roman" w:eastAsia="MS Mincho" w:hAnsi="Times New Roman"/>
                <w:b/>
                <w:sz w:val="16"/>
                <w:szCs w:val="16"/>
                <w:lang w:eastAsia="ja-JP"/>
              </w:rPr>
            </w:pPr>
          </w:p>
        </w:tc>
        <w:tc>
          <w:tcPr>
            <w:tcW w:w="524" w:type="pct"/>
          </w:tcPr>
          <w:p w:rsidR="0014384D" w:rsidRPr="00D2014B" w:rsidRDefault="0014384D" w:rsidP="0014384D">
            <w:pPr>
              <w:pStyle w:val="BodyText"/>
              <w:spacing w:line="240" w:lineRule="auto"/>
              <w:ind w:left="0"/>
              <w:rPr>
                <w:rFonts w:ascii="Times New Roman" w:eastAsia="MS Mincho" w:hAnsi="Times New Roman"/>
                <w:b/>
                <w:sz w:val="16"/>
                <w:szCs w:val="16"/>
                <w:lang w:eastAsia="ja-JP"/>
              </w:rPr>
            </w:pPr>
          </w:p>
        </w:tc>
        <w:tc>
          <w:tcPr>
            <w:tcW w:w="525"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GGS</w:t>
            </w:r>
          </w:p>
        </w:tc>
        <w:tc>
          <w:tcPr>
            <w:tcW w:w="597"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PNFC sector</w:t>
            </w:r>
          </w:p>
        </w:tc>
        <w:tc>
          <w:tcPr>
            <w:tcW w:w="525"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PFC sector</w:t>
            </w:r>
          </w:p>
        </w:tc>
        <w:tc>
          <w:tcPr>
            <w:tcW w:w="734" w:type="pct"/>
            <w:vAlign w:val="bottom"/>
          </w:tcPr>
          <w:p w:rsidR="0014384D" w:rsidRPr="003079C4" w:rsidRDefault="0014384D" w:rsidP="00F63745">
            <w:pPr>
              <w:pStyle w:val="BodyText"/>
              <w:spacing w:line="240" w:lineRule="auto"/>
              <w:ind w:left="-95" w:right="-66"/>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Eliminations</w:t>
            </w:r>
          </w:p>
        </w:tc>
        <w:tc>
          <w:tcPr>
            <w:tcW w:w="836"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Whole of Government</w:t>
            </w:r>
          </w:p>
        </w:tc>
      </w:tr>
      <w:tr w:rsidR="0014384D" w:rsidRPr="00D2014B" w:rsidTr="004E2478">
        <w:trPr>
          <w:tblHeader/>
        </w:trPr>
        <w:tc>
          <w:tcPr>
            <w:tcW w:w="1259" w:type="pct"/>
          </w:tcPr>
          <w:p w:rsidR="0014384D" w:rsidRPr="00D2014B" w:rsidRDefault="0014384D" w:rsidP="0014384D">
            <w:pPr>
              <w:pStyle w:val="BodyText"/>
              <w:spacing w:line="240" w:lineRule="auto"/>
              <w:ind w:left="0"/>
              <w:rPr>
                <w:rFonts w:ascii="Times New Roman" w:eastAsia="MS Mincho" w:hAnsi="Times New Roman"/>
                <w:b/>
                <w:sz w:val="16"/>
                <w:szCs w:val="16"/>
                <w:lang w:eastAsia="ja-JP"/>
              </w:rPr>
            </w:pPr>
          </w:p>
        </w:tc>
        <w:tc>
          <w:tcPr>
            <w:tcW w:w="524" w:type="pct"/>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Notes</w:t>
            </w:r>
          </w:p>
        </w:tc>
        <w:tc>
          <w:tcPr>
            <w:tcW w:w="525"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$m</w:t>
            </w:r>
          </w:p>
        </w:tc>
        <w:tc>
          <w:tcPr>
            <w:tcW w:w="597"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$m</w:t>
            </w:r>
          </w:p>
        </w:tc>
        <w:tc>
          <w:tcPr>
            <w:tcW w:w="525"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$m</w:t>
            </w:r>
          </w:p>
        </w:tc>
        <w:tc>
          <w:tcPr>
            <w:tcW w:w="734"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$m</w:t>
            </w:r>
          </w:p>
        </w:tc>
        <w:tc>
          <w:tcPr>
            <w:tcW w:w="836" w:type="pct"/>
            <w:vAlign w:val="bottom"/>
          </w:tcPr>
          <w:p w:rsidR="0014384D" w:rsidRPr="003079C4" w:rsidRDefault="0014384D" w:rsidP="00F63745">
            <w:pPr>
              <w:pStyle w:val="BodyText"/>
              <w:spacing w:line="240" w:lineRule="auto"/>
              <w:ind w:left="0"/>
              <w:jc w:val="center"/>
              <w:rPr>
                <w:rFonts w:ascii="Times New Roman" w:eastAsia="MS Mincho" w:hAnsi="Times New Roman"/>
                <w:sz w:val="16"/>
                <w:szCs w:val="16"/>
                <w:lang w:eastAsia="ja-JP"/>
              </w:rPr>
            </w:pPr>
            <w:r w:rsidRPr="003079C4">
              <w:rPr>
                <w:rFonts w:ascii="Times New Roman" w:eastAsia="MS Mincho" w:hAnsi="Times New Roman"/>
                <w:sz w:val="16"/>
                <w:szCs w:val="16"/>
                <w:lang w:eastAsia="ja-JP"/>
              </w:rPr>
              <w:t>$m</w:t>
            </w:r>
          </w:p>
        </w:tc>
      </w:tr>
      <w:tr w:rsidR="0014384D" w:rsidTr="004E2478">
        <w:tc>
          <w:tcPr>
            <w:tcW w:w="1259" w:type="pct"/>
          </w:tcPr>
          <w:p w:rsidR="0014384D" w:rsidRDefault="0014384D" w:rsidP="0014384D">
            <w:pPr>
              <w:autoSpaceDE w:val="0"/>
              <w:autoSpaceDN w:val="0"/>
              <w:adjustRightInd w:val="0"/>
              <w:spacing w:line="240" w:lineRule="auto"/>
              <w:rPr>
                <w:b/>
                <w:bCs/>
                <w:sz w:val="16"/>
                <w:szCs w:val="16"/>
              </w:rPr>
            </w:pPr>
            <w:r>
              <w:rPr>
                <w:b/>
                <w:bCs/>
                <w:sz w:val="16"/>
                <w:szCs w:val="16"/>
              </w:rPr>
              <w:t>…</w:t>
            </w:r>
          </w:p>
        </w:tc>
        <w:tc>
          <w:tcPr>
            <w:tcW w:w="524" w:type="pct"/>
          </w:tcPr>
          <w:p w:rsidR="0014384D" w:rsidRDefault="0014384D" w:rsidP="0014384D">
            <w:pPr>
              <w:pStyle w:val="BodyText"/>
              <w:spacing w:line="240" w:lineRule="auto"/>
              <w:ind w:left="0"/>
              <w:rPr>
                <w:rFonts w:ascii="Times New Roman" w:eastAsia="MS Mincho" w:hAnsi="Times New Roman"/>
                <w:b/>
                <w:szCs w:val="20"/>
                <w:lang w:eastAsia="ja-JP"/>
              </w:rPr>
            </w:pPr>
          </w:p>
        </w:tc>
        <w:tc>
          <w:tcPr>
            <w:tcW w:w="525" w:type="pct"/>
          </w:tcPr>
          <w:p w:rsidR="0014384D" w:rsidRDefault="0014384D" w:rsidP="0014384D">
            <w:pPr>
              <w:pStyle w:val="BodyText"/>
              <w:spacing w:line="240" w:lineRule="auto"/>
              <w:ind w:left="0"/>
              <w:jc w:val="center"/>
              <w:rPr>
                <w:rFonts w:ascii="Times New Roman" w:eastAsia="MS Mincho" w:hAnsi="Times New Roman"/>
                <w:b/>
                <w:szCs w:val="20"/>
                <w:lang w:eastAsia="ja-JP"/>
              </w:rPr>
            </w:pPr>
          </w:p>
        </w:tc>
        <w:tc>
          <w:tcPr>
            <w:tcW w:w="597" w:type="pct"/>
          </w:tcPr>
          <w:p w:rsidR="0014384D" w:rsidRDefault="0014384D" w:rsidP="0014384D">
            <w:pPr>
              <w:pStyle w:val="BodyText"/>
              <w:spacing w:line="240" w:lineRule="auto"/>
              <w:ind w:left="0"/>
              <w:jc w:val="center"/>
              <w:rPr>
                <w:rFonts w:ascii="Times New Roman" w:eastAsia="MS Mincho" w:hAnsi="Times New Roman"/>
                <w:b/>
                <w:szCs w:val="20"/>
                <w:lang w:eastAsia="ja-JP"/>
              </w:rPr>
            </w:pPr>
          </w:p>
        </w:tc>
        <w:tc>
          <w:tcPr>
            <w:tcW w:w="525" w:type="pct"/>
          </w:tcPr>
          <w:p w:rsidR="0014384D" w:rsidRDefault="0014384D" w:rsidP="0014384D">
            <w:pPr>
              <w:pStyle w:val="BodyText"/>
              <w:spacing w:line="240" w:lineRule="auto"/>
              <w:ind w:left="0"/>
              <w:jc w:val="center"/>
              <w:rPr>
                <w:rFonts w:ascii="Times New Roman" w:eastAsia="MS Mincho" w:hAnsi="Times New Roman"/>
                <w:b/>
                <w:szCs w:val="20"/>
                <w:lang w:eastAsia="ja-JP"/>
              </w:rPr>
            </w:pPr>
          </w:p>
        </w:tc>
        <w:tc>
          <w:tcPr>
            <w:tcW w:w="734" w:type="pct"/>
          </w:tcPr>
          <w:p w:rsidR="0014384D" w:rsidRDefault="0014384D" w:rsidP="0014384D">
            <w:pPr>
              <w:pStyle w:val="BodyText"/>
              <w:spacing w:line="240" w:lineRule="auto"/>
              <w:ind w:left="0"/>
              <w:jc w:val="center"/>
              <w:rPr>
                <w:rFonts w:ascii="Times New Roman" w:eastAsia="MS Mincho" w:hAnsi="Times New Roman"/>
                <w:b/>
                <w:szCs w:val="20"/>
                <w:lang w:eastAsia="ja-JP"/>
              </w:rPr>
            </w:pPr>
          </w:p>
        </w:tc>
        <w:tc>
          <w:tcPr>
            <w:tcW w:w="836" w:type="pct"/>
          </w:tcPr>
          <w:p w:rsidR="0014384D" w:rsidRDefault="0014384D" w:rsidP="0014384D">
            <w:pPr>
              <w:pStyle w:val="BodyText"/>
              <w:spacing w:line="240" w:lineRule="auto"/>
              <w:ind w:left="0"/>
              <w:jc w:val="center"/>
              <w:rPr>
                <w:rFonts w:ascii="Times New Roman" w:eastAsia="MS Mincho" w:hAnsi="Times New Roman"/>
                <w:b/>
                <w:szCs w:val="20"/>
                <w:lang w:eastAsia="ja-JP"/>
              </w:rPr>
            </w:pPr>
          </w:p>
        </w:tc>
      </w:tr>
      <w:tr w:rsidR="00004CA1" w:rsidTr="004E2478">
        <w:tc>
          <w:tcPr>
            <w:tcW w:w="1259" w:type="pct"/>
          </w:tcPr>
          <w:p w:rsidR="00004CA1" w:rsidRPr="00C66172" w:rsidRDefault="00004CA1" w:rsidP="00004CA1">
            <w:pPr>
              <w:spacing w:line="240" w:lineRule="auto"/>
              <w:rPr>
                <w:sz w:val="16"/>
                <w:szCs w:val="16"/>
              </w:rPr>
            </w:pPr>
            <w:r w:rsidRPr="00C66172">
              <w:rPr>
                <w:b/>
                <w:bCs/>
                <w:sz w:val="16"/>
                <w:szCs w:val="16"/>
              </w:rPr>
              <w:t>Other Economic Flows – Included in Operating Result</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center"/>
          </w:tcPr>
          <w:p w:rsidR="00004CA1" w:rsidRPr="00C66172" w:rsidRDefault="00004CA1" w:rsidP="00004CA1">
            <w:pPr>
              <w:spacing w:line="240" w:lineRule="auto"/>
              <w:jc w:val="right"/>
              <w:rPr>
                <w:rFonts w:eastAsia="Arial Unicode MS"/>
                <w:sz w:val="16"/>
                <w:szCs w:val="16"/>
              </w:rPr>
            </w:pPr>
          </w:p>
        </w:tc>
        <w:tc>
          <w:tcPr>
            <w:tcW w:w="597" w:type="pct"/>
          </w:tcPr>
          <w:p w:rsidR="00004CA1" w:rsidRPr="00C66172" w:rsidRDefault="00004CA1" w:rsidP="00004CA1">
            <w:pPr>
              <w:spacing w:line="240" w:lineRule="auto"/>
              <w:jc w:val="right"/>
              <w:rPr>
                <w:rFonts w:eastAsia="Arial Unicode MS"/>
                <w:sz w:val="16"/>
                <w:szCs w:val="16"/>
              </w:rPr>
            </w:pPr>
          </w:p>
        </w:tc>
        <w:tc>
          <w:tcPr>
            <w:tcW w:w="525" w:type="pct"/>
          </w:tcPr>
          <w:p w:rsidR="00004CA1" w:rsidRPr="00C66172" w:rsidRDefault="00004CA1" w:rsidP="00004CA1">
            <w:pPr>
              <w:spacing w:line="240" w:lineRule="auto"/>
              <w:jc w:val="right"/>
              <w:rPr>
                <w:rFonts w:eastAsia="Arial Unicode MS"/>
                <w:sz w:val="16"/>
                <w:szCs w:val="16"/>
              </w:rPr>
            </w:pPr>
          </w:p>
        </w:tc>
        <w:tc>
          <w:tcPr>
            <w:tcW w:w="734" w:type="pct"/>
          </w:tcPr>
          <w:p w:rsidR="00004CA1" w:rsidRPr="00C66172" w:rsidRDefault="00004CA1" w:rsidP="00004CA1">
            <w:pPr>
              <w:spacing w:line="240" w:lineRule="auto"/>
              <w:jc w:val="right"/>
              <w:rPr>
                <w:rFonts w:eastAsia="Arial Unicode MS"/>
                <w:sz w:val="16"/>
                <w:szCs w:val="16"/>
              </w:rPr>
            </w:pPr>
          </w:p>
        </w:tc>
        <w:tc>
          <w:tcPr>
            <w:tcW w:w="836" w:type="pct"/>
          </w:tcPr>
          <w:p w:rsidR="00004CA1" w:rsidRPr="00C66172" w:rsidRDefault="00004CA1" w:rsidP="00004CA1">
            <w:pPr>
              <w:spacing w:line="240" w:lineRule="auto"/>
              <w:jc w:val="right"/>
              <w:rPr>
                <w:rFonts w:eastAsia="Arial Unicode MS"/>
                <w:sz w:val="16"/>
                <w:szCs w:val="16"/>
              </w:rPr>
            </w:pPr>
          </w:p>
        </w:tc>
      </w:tr>
      <w:tr w:rsidR="00004CA1" w:rsidTr="004E2478">
        <w:tc>
          <w:tcPr>
            <w:tcW w:w="1259" w:type="pct"/>
          </w:tcPr>
          <w:p w:rsidR="00004CA1" w:rsidRPr="00C66172" w:rsidRDefault="00004CA1" w:rsidP="00004CA1">
            <w:pPr>
              <w:spacing w:line="240" w:lineRule="auto"/>
              <w:rPr>
                <w:sz w:val="16"/>
                <w:szCs w:val="16"/>
              </w:rPr>
            </w:pPr>
            <w:r w:rsidRPr="00C66172">
              <w:rPr>
                <w:sz w:val="16"/>
                <w:szCs w:val="16"/>
              </w:rPr>
              <w:t>Other revenue</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center"/>
          </w:tcPr>
          <w:p w:rsidR="00004CA1" w:rsidRPr="00C66172" w:rsidRDefault="00004CA1" w:rsidP="00004CA1">
            <w:pPr>
              <w:spacing w:line="240" w:lineRule="auto"/>
              <w:jc w:val="right"/>
              <w:rPr>
                <w:rFonts w:eastAsia="Arial Unicode MS"/>
                <w:sz w:val="16"/>
                <w:szCs w:val="16"/>
              </w:rPr>
            </w:pPr>
          </w:p>
        </w:tc>
        <w:tc>
          <w:tcPr>
            <w:tcW w:w="597" w:type="pct"/>
          </w:tcPr>
          <w:p w:rsidR="00004CA1" w:rsidRPr="00C66172" w:rsidRDefault="00004CA1" w:rsidP="00004CA1">
            <w:pPr>
              <w:spacing w:line="240" w:lineRule="auto"/>
              <w:jc w:val="right"/>
              <w:rPr>
                <w:rFonts w:eastAsia="Arial Unicode MS"/>
                <w:sz w:val="16"/>
                <w:szCs w:val="16"/>
              </w:rPr>
            </w:pPr>
          </w:p>
        </w:tc>
        <w:tc>
          <w:tcPr>
            <w:tcW w:w="525" w:type="pct"/>
          </w:tcPr>
          <w:p w:rsidR="00004CA1" w:rsidRPr="00C66172" w:rsidRDefault="00004CA1" w:rsidP="00004CA1">
            <w:pPr>
              <w:spacing w:line="240" w:lineRule="auto"/>
              <w:jc w:val="right"/>
              <w:rPr>
                <w:rFonts w:eastAsia="Arial Unicode MS"/>
                <w:sz w:val="16"/>
                <w:szCs w:val="16"/>
              </w:rPr>
            </w:pPr>
          </w:p>
        </w:tc>
        <w:tc>
          <w:tcPr>
            <w:tcW w:w="734" w:type="pct"/>
          </w:tcPr>
          <w:p w:rsidR="00004CA1" w:rsidRPr="00C66172" w:rsidRDefault="00004CA1" w:rsidP="00004CA1">
            <w:pPr>
              <w:spacing w:line="240" w:lineRule="auto"/>
              <w:jc w:val="right"/>
              <w:rPr>
                <w:rFonts w:eastAsia="Arial Unicode MS"/>
                <w:sz w:val="16"/>
                <w:szCs w:val="16"/>
              </w:rPr>
            </w:pPr>
          </w:p>
        </w:tc>
        <w:tc>
          <w:tcPr>
            <w:tcW w:w="836" w:type="pct"/>
          </w:tcPr>
          <w:p w:rsidR="00004CA1" w:rsidRPr="00C66172" w:rsidRDefault="00004CA1" w:rsidP="00004CA1">
            <w:pPr>
              <w:spacing w:line="240" w:lineRule="auto"/>
              <w:jc w:val="right"/>
              <w:rPr>
                <w:rFonts w:eastAsia="Arial Unicode MS"/>
                <w:sz w:val="16"/>
                <w:szCs w:val="16"/>
              </w:rPr>
            </w:pPr>
          </w:p>
        </w:tc>
      </w:tr>
      <w:tr w:rsidR="00004CA1" w:rsidTr="004E2478">
        <w:tc>
          <w:tcPr>
            <w:tcW w:w="1259" w:type="pct"/>
          </w:tcPr>
          <w:p w:rsidR="00004CA1" w:rsidRPr="00C66172" w:rsidRDefault="00004CA1" w:rsidP="002949B1">
            <w:pPr>
              <w:spacing w:line="240" w:lineRule="auto"/>
              <w:ind w:left="369" w:hanging="142"/>
              <w:rPr>
                <w:sz w:val="16"/>
                <w:szCs w:val="16"/>
              </w:rPr>
            </w:pPr>
            <w:r w:rsidRPr="00C66172">
              <w:rPr>
                <w:sz w:val="16"/>
                <w:szCs w:val="16"/>
              </w:rPr>
              <w:t xml:space="preserve">Net swap interest revenue </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rFonts w:eastAsia="Arial Unicode MS"/>
                <w:sz w:val="16"/>
                <w:szCs w:val="16"/>
              </w:rPr>
              <w:t>340 </w:t>
            </w:r>
          </w:p>
        </w:tc>
        <w:tc>
          <w:tcPr>
            <w:tcW w:w="597" w:type="pct"/>
            <w:vAlign w:val="bottom"/>
          </w:tcPr>
          <w:p w:rsidR="00004CA1" w:rsidRPr="00C66172" w:rsidRDefault="00004CA1" w:rsidP="00FF33F8">
            <w:pPr>
              <w:spacing w:line="240" w:lineRule="auto"/>
              <w:ind w:left="-200" w:right="110"/>
              <w:jc w:val="right"/>
              <w:rPr>
                <w:rFonts w:eastAsia="Arial Unicode MS"/>
                <w:sz w:val="16"/>
                <w:szCs w:val="16"/>
              </w:rPr>
            </w:pPr>
            <w:r w:rsidRPr="00C66172">
              <w:rPr>
                <w:rFonts w:eastAsia="Arial Unicode MS"/>
                <w:sz w:val="16"/>
                <w:szCs w:val="16"/>
              </w:rPr>
              <w:t>69</w:t>
            </w:r>
            <w:r w:rsidRPr="00C66172">
              <w:rPr>
                <w:sz w:val="16"/>
                <w:szCs w:val="16"/>
              </w:rPr>
              <w:t> </w:t>
            </w:r>
          </w:p>
        </w:tc>
        <w:tc>
          <w:tcPr>
            <w:tcW w:w="525" w:type="pct"/>
            <w:vAlign w:val="bottom"/>
          </w:tcPr>
          <w:p w:rsidR="00004CA1" w:rsidRPr="00C66172" w:rsidRDefault="00004CA1" w:rsidP="00FF33F8">
            <w:pPr>
              <w:spacing w:line="240" w:lineRule="auto"/>
              <w:ind w:left="-110" w:right="140"/>
              <w:jc w:val="right"/>
              <w:rPr>
                <w:rFonts w:eastAsia="Arial Unicode MS"/>
                <w:sz w:val="16"/>
                <w:szCs w:val="16"/>
              </w:rPr>
            </w:pPr>
            <w:r w:rsidRPr="00C66172">
              <w:rPr>
                <w:rFonts w:eastAsia="Arial Unicode MS"/>
                <w:sz w:val="16"/>
                <w:szCs w:val="16"/>
              </w:rPr>
              <w:t>168</w:t>
            </w:r>
            <w:r w:rsidRPr="00C66172">
              <w:rPr>
                <w:sz w:val="16"/>
                <w:szCs w:val="16"/>
              </w:rPr>
              <w:t> </w:t>
            </w:r>
          </w:p>
        </w:tc>
        <w:tc>
          <w:tcPr>
            <w:tcW w:w="734" w:type="pct"/>
            <w:vAlign w:val="bottom"/>
          </w:tcPr>
          <w:p w:rsidR="00004CA1" w:rsidRPr="00C66172" w:rsidRDefault="00004CA1" w:rsidP="00FF33F8">
            <w:pPr>
              <w:spacing w:line="240" w:lineRule="auto"/>
              <w:ind w:right="100"/>
              <w:jc w:val="right"/>
              <w:rPr>
                <w:rFonts w:eastAsia="Arial Unicode MS"/>
                <w:sz w:val="16"/>
                <w:szCs w:val="16"/>
              </w:rPr>
            </w:pPr>
            <w:r w:rsidRPr="00C66172">
              <w:rPr>
                <w:rFonts w:eastAsia="Arial Unicode MS"/>
                <w:sz w:val="16"/>
                <w:szCs w:val="16"/>
              </w:rPr>
              <w:t>-</w:t>
            </w:r>
            <w:r w:rsidRPr="00C66172">
              <w:rPr>
                <w:sz w:val="16"/>
                <w:szCs w:val="16"/>
              </w:rPr>
              <w:t> </w:t>
            </w:r>
          </w:p>
        </w:tc>
        <w:tc>
          <w:tcPr>
            <w:tcW w:w="836" w:type="pct"/>
            <w:vAlign w:val="bottom"/>
          </w:tcPr>
          <w:p w:rsidR="00004CA1" w:rsidRPr="00C66172" w:rsidRDefault="00004CA1" w:rsidP="00FF33F8">
            <w:pPr>
              <w:spacing w:line="240" w:lineRule="auto"/>
              <w:ind w:right="200"/>
              <w:jc w:val="right"/>
              <w:rPr>
                <w:rFonts w:eastAsia="Arial Unicode MS"/>
                <w:sz w:val="16"/>
                <w:szCs w:val="16"/>
              </w:rPr>
            </w:pPr>
            <w:r w:rsidRPr="00C66172">
              <w:rPr>
                <w:rFonts w:eastAsia="Arial Unicode MS"/>
                <w:sz w:val="16"/>
                <w:szCs w:val="16"/>
              </w:rPr>
              <w:t>577</w:t>
            </w:r>
            <w:r w:rsidRPr="00C66172">
              <w:rPr>
                <w:sz w:val="16"/>
                <w:szCs w:val="16"/>
              </w:rPr>
              <w:t> </w:t>
            </w:r>
          </w:p>
        </w:tc>
      </w:tr>
      <w:tr w:rsidR="00004CA1" w:rsidTr="004E2478">
        <w:tc>
          <w:tcPr>
            <w:tcW w:w="1259" w:type="pct"/>
          </w:tcPr>
          <w:p w:rsidR="00004CA1" w:rsidRPr="00C66172" w:rsidRDefault="00004CA1" w:rsidP="002949B1">
            <w:pPr>
              <w:spacing w:line="240" w:lineRule="auto"/>
              <w:ind w:left="369" w:hanging="142"/>
              <w:rPr>
                <w:sz w:val="16"/>
                <w:szCs w:val="16"/>
              </w:rPr>
            </w:pPr>
            <w:r w:rsidRPr="00C66172">
              <w:rPr>
                <w:sz w:val="16"/>
                <w:szCs w:val="16"/>
              </w:rPr>
              <w:t>Dividends from other sector entities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rFonts w:eastAsia="Arial Unicode MS"/>
                <w:sz w:val="16"/>
                <w:szCs w:val="16"/>
              </w:rPr>
              <w:t>300 </w:t>
            </w:r>
          </w:p>
        </w:tc>
        <w:tc>
          <w:tcPr>
            <w:tcW w:w="597" w:type="pct"/>
            <w:vAlign w:val="bottom"/>
          </w:tcPr>
          <w:p w:rsidR="00004CA1" w:rsidRPr="00C66172" w:rsidRDefault="00004CA1" w:rsidP="00FF33F8">
            <w:pPr>
              <w:spacing w:line="240" w:lineRule="auto"/>
              <w:ind w:left="-200" w:right="110"/>
              <w:jc w:val="right"/>
              <w:rPr>
                <w:rFonts w:eastAsia="Arial Unicode MS"/>
                <w:sz w:val="16"/>
                <w:szCs w:val="16"/>
              </w:rPr>
            </w:pPr>
            <w:r w:rsidRPr="00C66172">
              <w:rPr>
                <w:rFonts w:eastAsia="Arial Unicode MS"/>
                <w:sz w:val="16"/>
                <w:szCs w:val="16"/>
              </w:rPr>
              <w:t>-</w:t>
            </w:r>
            <w:r w:rsidRPr="00C66172">
              <w:rPr>
                <w:sz w:val="16"/>
                <w:szCs w:val="16"/>
              </w:rPr>
              <w:t> </w:t>
            </w:r>
          </w:p>
        </w:tc>
        <w:tc>
          <w:tcPr>
            <w:tcW w:w="525" w:type="pct"/>
            <w:vAlign w:val="bottom"/>
          </w:tcPr>
          <w:p w:rsidR="00004CA1" w:rsidRPr="00C66172" w:rsidRDefault="00004CA1" w:rsidP="00FF33F8">
            <w:pPr>
              <w:spacing w:line="240" w:lineRule="auto"/>
              <w:ind w:left="-110" w:right="140"/>
              <w:jc w:val="right"/>
              <w:rPr>
                <w:rFonts w:eastAsia="Arial Unicode MS"/>
                <w:sz w:val="16"/>
                <w:szCs w:val="16"/>
              </w:rPr>
            </w:pPr>
            <w:r w:rsidRPr="00C66172">
              <w:rPr>
                <w:rFonts w:eastAsia="Arial Unicode MS"/>
                <w:sz w:val="16"/>
                <w:szCs w:val="16"/>
              </w:rPr>
              <w:t>-</w:t>
            </w:r>
            <w:r w:rsidRPr="00C66172">
              <w:rPr>
                <w:sz w:val="16"/>
                <w:szCs w:val="16"/>
              </w:rPr>
              <w:t> </w:t>
            </w:r>
          </w:p>
        </w:tc>
        <w:tc>
          <w:tcPr>
            <w:tcW w:w="734" w:type="pct"/>
            <w:vAlign w:val="bottom"/>
          </w:tcPr>
          <w:p w:rsidR="00004CA1" w:rsidRPr="00C66172" w:rsidRDefault="00004CA1" w:rsidP="00FF33F8">
            <w:pPr>
              <w:spacing w:line="240" w:lineRule="auto"/>
              <w:ind w:right="100"/>
              <w:jc w:val="right"/>
              <w:rPr>
                <w:rFonts w:eastAsia="Arial Unicode MS"/>
                <w:sz w:val="16"/>
                <w:szCs w:val="16"/>
              </w:rPr>
            </w:pPr>
            <w:r w:rsidRPr="00C66172">
              <w:rPr>
                <w:rFonts w:eastAsia="Arial Unicode MS"/>
                <w:sz w:val="16"/>
                <w:szCs w:val="16"/>
              </w:rPr>
              <w:t>(300)</w:t>
            </w:r>
          </w:p>
        </w:tc>
        <w:tc>
          <w:tcPr>
            <w:tcW w:w="836" w:type="pct"/>
            <w:vAlign w:val="bottom"/>
          </w:tcPr>
          <w:p w:rsidR="00004CA1" w:rsidRPr="00C66172" w:rsidRDefault="00004CA1" w:rsidP="00FF33F8">
            <w:pPr>
              <w:spacing w:line="240" w:lineRule="auto"/>
              <w:ind w:right="200"/>
              <w:jc w:val="right"/>
              <w:rPr>
                <w:rFonts w:eastAsia="Arial Unicode MS"/>
                <w:sz w:val="16"/>
                <w:szCs w:val="16"/>
              </w:rPr>
            </w:pPr>
            <w:r w:rsidRPr="00C66172">
              <w:rPr>
                <w:rFonts w:eastAsia="Arial Unicode MS"/>
                <w:sz w:val="16"/>
                <w:szCs w:val="16"/>
              </w:rPr>
              <w:t>-</w:t>
            </w:r>
            <w:r w:rsidRPr="00C66172">
              <w:rPr>
                <w:sz w:val="16"/>
                <w:szCs w:val="16"/>
              </w:rPr>
              <w:t> </w:t>
            </w:r>
          </w:p>
        </w:tc>
      </w:tr>
      <w:tr w:rsidR="00004CA1" w:rsidTr="004E2478">
        <w:tc>
          <w:tcPr>
            <w:tcW w:w="1259" w:type="pct"/>
          </w:tcPr>
          <w:p w:rsidR="00004CA1" w:rsidRPr="00C66172" w:rsidRDefault="00004CA1" w:rsidP="002949B1">
            <w:pPr>
              <w:spacing w:line="240" w:lineRule="auto"/>
              <w:ind w:left="142" w:hanging="142"/>
              <w:rPr>
                <w:sz w:val="16"/>
                <w:szCs w:val="16"/>
              </w:rPr>
            </w:pPr>
            <w:r w:rsidRPr="00C66172">
              <w:rPr>
                <w:sz w:val="16"/>
                <w:szCs w:val="16"/>
              </w:rPr>
              <w:t>Net foreign exchange gains/(losses)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sz w:val="16"/>
                <w:szCs w:val="16"/>
              </w:rPr>
              <w:t xml:space="preserve">599  </w:t>
            </w:r>
          </w:p>
        </w:tc>
        <w:tc>
          <w:tcPr>
            <w:tcW w:w="597" w:type="pct"/>
            <w:vAlign w:val="bottom"/>
          </w:tcPr>
          <w:p w:rsidR="00004CA1" w:rsidRPr="00C66172" w:rsidRDefault="00004CA1" w:rsidP="00FF33F8">
            <w:pPr>
              <w:spacing w:line="240" w:lineRule="auto"/>
              <w:ind w:left="-200" w:right="110"/>
              <w:jc w:val="right"/>
              <w:rPr>
                <w:sz w:val="16"/>
                <w:szCs w:val="16"/>
              </w:rPr>
            </w:pPr>
            <w:r w:rsidRPr="00C66172">
              <w:rPr>
                <w:sz w:val="16"/>
                <w:szCs w:val="16"/>
              </w:rPr>
              <w:t>(3)</w:t>
            </w:r>
          </w:p>
        </w:tc>
        <w:tc>
          <w:tcPr>
            <w:tcW w:w="525" w:type="pct"/>
            <w:vAlign w:val="bottom"/>
          </w:tcPr>
          <w:p w:rsidR="00004CA1" w:rsidRPr="00C66172" w:rsidRDefault="00004CA1" w:rsidP="00FF33F8">
            <w:pPr>
              <w:spacing w:line="240" w:lineRule="auto"/>
              <w:ind w:left="-110" w:right="140"/>
              <w:jc w:val="right"/>
              <w:rPr>
                <w:sz w:val="16"/>
                <w:szCs w:val="16"/>
              </w:rPr>
            </w:pPr>
            <w:r w:rsidRPr="00C66172">
              <w:rPr>
                <w:sz w:val="16"/>
                <w:szCs w:val="16"/>
              </w:rPr>
              <w:t>1,524</w:t>
            </w:r>
          </w:p>
        </w:tc>
        <w:tc>
          <w:tcPr>
            <w:tcW w:w="734" w:type="pct"/>
            <w:vAlign w:val="bottom"/>
          </w:tcPr>
          <w:p w:rsidR="00004CA1" w:rsidRPr="00C66172" w:rsidRDefault="00004CA1" w:rsidP="00FF33F8">
            <w:pPr>
              <w:spacing w:line="240" w:lineRule="auto"/>
              <w:ind w:right="100"/>
              <w:jc w:val="right"/>
              <w:rPr>
                <w:sz w:val="16"/>
                <w:szCs w:val="16"/>
              </w:rPr>
            </w:pPr>
            <w:r w:rsidRPr="00C66172">
              <w:rPr>
                <w:sz w:val="16"/>
                <w:szCs w:val="16"/>
              </w:rPr>
              <w:t>- </w:t>
            </w:r>
          </w:p>
        </w:tc>
        <w:tc>
          <w:tcPr>
            <w:tcW w:w="836" w:type="pct"/>
            <w:vAlign w:val="bottom"/>
          </w:tcPr>
          <w:p w:rsidR="00004CA1" w:rsidRPr="00C66172" w:rsidRDefault="00004CA1" w:rsidP="00FF33F8">
            <w:pPr>
              <w:spacing w:line="240" w:lineRule="auto"/>
              <w:ind w:right="200"/>
              <w:jc w:val="right"/>
              <w:rPr>
                <w:sz w:val="16"/>
                <w:szCs w:val="16"/>
              </w:rPr>
            </w:pPr>
            <w:r w:rsidRPr="00C66172">
              <w:rPr>
                <w:sz w:val="16"/>
                <w:szCs w:val="16"/>
              </w:rPr>
              <w:t>2,120 </w:t>
            </w:r>
          </w:p>
        </w:tc>
      </w:tr>
      <w:tr w:rsidR="00004CA1" w:rsidTr="004E2478">
        <w:tc>
          <w:tcPr>
            <w:tcW w:w="1259" w:type="pct"/>
          </w:tcPr>
          <w:p w:rsidR="00004CA1" w:rsidRPr="00C66172" w:rsidRDefault="00004CA1" w:rsidP="002949B1">
            <w:pPr>
              <w:spacing w:line="240" w:lineRule="auto"/>
              <w:ind w:left="142" w:hanging="142"/>
              <w:rPr>
                <w:sz w:val="16"/>
                <w:szCs w:val="16"/>
              </w:rPr>
            </w:pPr>
            <w:r w:rsidRPr="00C66172">
              <w:rPr>
                <w:sz w:val="16"/>
                <w:szCs w:val="16"/>
              </w:rPr>
              <w:t>Net gain on sale of non-financial assets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r w:rsidRPr="00C66172">
              <w:rPr>
                <w:sz w:val="16"/>
                <w:szCs w:val="16"/>
              </w:rPr>
              <w:t>200 </w:t>
            </w:r>
          </w:p>
        </w:tc>
        <w:tc>
          <w:tcPr>
            <w:tcW w:w="597" w:type="pct"/>
            <w:vAlign w:val="bottom"/>
          </w:tcPr>
          <w:p w:rsidR="00004CA1" w:rsidRPr="00C66172" w:rsidRDefault="00004CA1" w:rsidP="00FF33F8">
            <w:pPr>
              <w:spacing w:line="240" w:lineRule="auto"/>
              <w:ind w:left="-200" w:right="110"/>
              <w:jc w:val="right"/>
              <w:rPr>
                <w:sz w:val="16"/>
                <w:szCs w:val="16"/>
              </w:rPr>
            </w:pPr>
            <w:r w:rsidRPr="00C66172">
              <w:rPr>
                <w:sz w:val="16"/>
                <w:szCs w:val="16"/>
              </w:rPr>
              <w:t>145 </w:t>
            </w:r>
          </w:p>
        </w:tc>
        <w:tc>
          <w:tcPr>
            <w:tcW w:w="525" w:type="pct"/>
            <w:vAlign w:val="bottom"/>
          </w:tcPr>
          <w:p w:rsidR="00004CA1" w:rsidRPr="00C66172" w:rsidRDefault="00004CA1" w:rsidP="00FF33F8">
            <w:pPr>
              <w:spacing w:line="240" w:lineRule="auto"/>
              <w:ind w:left="-110" w:right="140"/>
              <w:jc w:val="right"/>
              <w:rPr>
                <w:sz w:val="16"/>
                <w:szCs w:val="16"/>
              </w:rPr>
            </w:pPr>
            <w:r w:rsidRPr="00C66172">
              <w:rPr>
                <w:sz w:val="16"/>
                <w:szCs w:val="16"/>
              </w:rPr>
              <w:t>(2)</w:t>
            </w:r>
          </w:p>
        </w:tc>
        <w:tc>
          <w:tcPr>
            <w:tcW w:w="734" w:type="pct"/>
            <w:vAlign w:val="bottom"/>
          </w:tcPr>
          <w:p w:rsidR="00004CA1" w:rsidRPr="00C66172" w:rsidRDefault="00004CA1" w:rsidP="00FF33F8">
            <w:pPr>
              <w:spacing w:line="240" w:lineRule="auto"/>
              <w:ind w:right="100"/>
              <w:jc w:val="right"/>
              <w:rPr>
                <w:sz w:val="16"/>
                <w:szCs w:val="16"/>
              </w:rPr>
            </w:pPr>
            <w:r w:rsidRPr="00C66172">
              <w:rPr>
                <w:sz w:val="16"/>
                <w:szCs w:val="16"/>
              </w:rPr>
              <w:t>- </w:t>
            </w:r>
          </w:p>
        </w:tc>
        <w:tc>
          <w:tcPr>
            <w:tcW w:w="836" w:type="pct"/>
            <w:vAlign w:val="bottom"/>
          </w:tcPr>
          <w:p w:rsidR="00004CA1" w:rsidRPr="00C66172" w:rsidRDefault="00004CA1" w:rsidP="00FF33F8">
            <w:pPr>
              <w:spacing w:line="240" w:lineRule="auto"/>
              <w:ind w:right="200"/>
              <w:jc w:val="right"/>
              <w:rPr>
                <w:sz w:val="16"/>
                <w:szCs w:val="16"/>
              </w:rPr>
            </w:pPr>
            <w:r w:rsidRPr="00C66172">
              <w:rPr>
                <w:sz w:val="16"/>
                <w:szCs w:val="16"/>
              </w:rPr>
              <w:t>343 </w:t>
            </w:r>
          </w:p>
        </w:tc>
      </w:tr>
      <w:tr w:rsidR="00717124" w:rsidTr="004E2478">
        <w:tc>
          <w:tcPr>
            <w:tcW w:w="1259" w:type="pct"/>
          </w:tcPr>
          <w:p w:rsidR="00717124" w:rsidRPr="00C66172" w:rsidRDefault="00717124" w:rsidP="002949B1">
            <w:pPr>
              <w:spacing w:line="240" w:lineRule="auto"/>
              <w:ind w:left="142" w:hanging="142"/>
              <w:rPr>
                <w:rFonts w:eastAsia="Arial Unicode MS"/>
                <w:sz w:val="16"/>
                <w:szCs w:val="16"/>
              </w:rPr>
            </w:pPr>
            <w:r w:rsidRPr="00C66172">
              <w:rPr>
                <w:sz w:val="16"/>
                <w:szCs w:val="16"/>
              </w:rPr>
              <w:t>Net gain on financial assets or liabilities at fair value through operating result</w:t>
            </w:r>
          </w:p>
        </w:tc>
        <w:tc>
          <w:tcPr>
            <w:tcW w:w="524" w:type="pct"/>
          </w:tcPr>
          <w:p w:rsidR="00717124" w:rsidRPr="00C66172" w:rsidRDefault="00717124" w:rsidP="00004CA1">
            <w:pPr>
              <w:spacing w:line="240" w:lineRule="auto"/>
              <w:ind w:left="-215" w:right="65"/>
              <w:jc w:val="right"/>
              <w:rPr>
                <w:rFonts w:eastAsia="Arial Unicode MS"/>
                <w:sz w:val="16"/>
                <w:szCs w:val="16"/>
              </w:rPr>
            </w:pPr>
          </w:p>
        </w:tc>
        <w:tc>
          <w:tcPr>
            <w:tcW w:w="525" w:type="pct"/>
            <w:vAlign w:val="bottom"/>
          </w:tcPr>
          <w:p w:rsidR="00717124" w:rsidRPr="00C66172" w:rsidRDefault="00717124" w:rsidP="00FF33F8">
            <w:pPr>
              <w:spacing w:line="240" w:lineRule="auto"/>
              <w:ind w:left="-215" w:right="65"/>
              <w:jc w:val="right"/>
              <w:rPr>
                <w:rFonts w:eastAsia="Arial Unicode MS"/>
                <w:sz w:val="16"/>
                <w:szCs w:val="16"/>
              </w:rPr>
            </w:pPr>
            <w:r w:rsidRPr="00C66172">
              <w:rPr>
                <w:sz w:val="16"/>
                <w:szCs w:val="16"/>
              </w:rPr>
              <w:t xml:space="preserve">220  </w:t>
            </w:r>
          </w:p>
        </w:tc>
        <w:tc>
          <w:tcPr>
            <w:tcW w:w="597" w:type="pct"/>
            <w:vAlign w:val="bottom"/>
          </w:tcPr>
          <w:p w:rsidR="00717124" w:rsidRPr="00C66172" w:rsidRDefault="00717124" w:rsidP="00FF33F8">
            <w:pPr>
              <w:spacing w:line="240" w:lineRule="auto"/>
              <w:ind w:left="-200" w:right="110"/>
              <w:jc w:val="right"/>
              <w:rPr>
                <w:sz w:val="16"/>
                <w:szCs w:val="16"/>
              </w:rPr>
            </w:pPr>
            <w:r w:rsidRPr="00C66172">
              <w:rPr>
                <w:sz w:val="16"/>
                <w:szCs w:val="16"/>
              </w:rPr>
              <w:t>- </w:t>
            </w:r>
          </w:p>
        </w:tc>
        <w:tc>
          <w:tcPr>
            <w:tcW w:w="525" w:type="pct"/>
            <w:vAlign w:val="bottom"/>
          </w:tcPr>
          <w:p w:rsidR="00717124" w:rsidRPr="00C66172" w:rsidRDefault="00717124" w:rsidP="00FF33F8">
            <w:pPr>
              <w:spacing w:line="240" w:lineRule="auto"/>
              <w:ind w:left="-110" w:right="140"/>
              <w:jc w:val="right"/>
              <w:rPr>
                <w:sz w:val="16"/>
                <w:szCs w:val="16"/>
              </w:rPr>
            </w:pPr>
            <w:r w:rsidRPr="00C66172">
              <w:rPr>
                <w:sz w:val="16"/>
                <w:szCs w:val="16"/>
              </w:rPr>
              <w:t>45 </w:t>
            </w:r>
          </w:p>
        </w:tc>
        <w:tc>
          <w:tcPr>
            <w:tcW w:w="734" w:type="pct"/>
            <w:vAlign w:val="bottom"/>
          </w:tcPr>
          <w:p w:rsidR="00717124" w:rsidRPr="00C66172" w:rsidRDefault="00717124" w:rsidP="00FF33F8">
            <w:pPr>
              <w:spacing w:line="240" w:lineRule="auto"/>
              <w:ind w:right="100"/>
              <w:jc w:val="right"/>
              <w:rPr>
                <w:sz w:val="16"/>
                <w:szCs w:val="16"/>
              </w:rPr>
            </w:pPr>
            <w:r w:rsidRPr="00C66172">
              <w:rPr>
                <w:sz w:val="16"/>
                <w:szCs w:val="16"/>
              </w:rPr>
              <w:t>- </w:t>
            </w:r>
          </w:p>
        </w:tc>
        <w:tc>
          <w:tcPr>
            <w:tcW w:w="836" w:type="pct"/>
            <w:vAlign w:val="bottom"/>
          </w:tcPr>
          <w:p w:rsidR="00717124" w:rsidRPr="00C66172" w:rsidRDefault="00717124" w:rsidP="00FF33F8">
            <w:pPr>
              <w:spacing w:line="240" w:lineRule="auto"/>
              <w:ind w:right="200"/>
              <w:jc w:val="right"/>
              <w:rPr>
                <w:b/>
                <w:sz w:val="16"/>
                <w:szCs w:val="16"/>
              </w:rPr>
            </w:pPr>
            <w:r w:rsidRPr="00C66172">
              <w:rPr>
                <w:sz w:val="16"/>
                <w:szCs w:val="16"/>
              </w:rPr>
              <w:t>265 </w:t>
            </w:r>
          </w:p>
        </w:tc>
      </w:tr>
      <w:tr w:rsidR="00004CA1" w:rsidTr="004E2478">
        <w:tc>
          <w:tcPr>
            <w:tcW w:w="1259" w:type="pct"/>
          </w:tcPr>
          <w:p w:rsidR="00004CA1" w:rsidRPr="00D34472" w:rsidRDefault="00004CA1" w:rsidP="002949B1">
            <w:pPr>
              <w:spacing w:line="240" w:lineRule="auto"/>
              <w:ind w:left="142" w:hanging="142"/>
              <w:rPr>
                <w:strike/>
                <w:sz w:val="16"/>
                <w:szCs w:val="16"/>
              </w:rPr>
            </w:pPr>
            <w:r w:rsidRPr="00D34472">
              <w:rPr>
                <w:strike/>
                <w:sz w:val="16"/>
                <w:szCs w:val="16"/>
              </w:rPr>
              <w:t>Remeasurements of the defined benefit liability</w:t>
            </w:r>
          </w:p>
        </w:tc>
        <w:tc>
          <w:tcPr>
            <w:tcW w:w="524" w:type="pct"/>
            <w:vAlign w:val="center"/>
          </w:tcPr>
          <w:p w:rsidR="00004CA1" w:rsidRPr="00D34472" w:rsidRDefault="00004CA1" w:rsidP="00004CA1">
            <w:pPr>
              <w:spacing w:line="240" w:lineRule="auto"/>
              <w:jc w:val="center"/>
              <w:rPr>
                <w:rFonts w:eastAsia="Arial Unicode MS"/>
                <w:strike/>
                <w:sz w:val="16"/>
                <w:szCs w:val="16"/>
              </w:rPr>
            </w:pPr>
          </w:p>
        </w:tc>
        <w:tc>
          <w:tcPr>
            <w:tcW w:w="525" w:type="pct"/>
            <w:vAlign w:val="bottom"/>
          </w:tcPr>
          <w:p w:rsidR="00004CA1" w:rsidRPr="00D34472" w:rsidRDefault="00004CA1" w:rsidP="00FF33F8">
            <w:pPr>
              <w:spacing w:line="240" w:lineRule="auto"/>
              <w:ind w:left="-215" w:right="65"/>
              <w:jc w:val="right"/>
              <w:rPr>
                <w:rFonts w:eastAsia="Arial Unicode MS"/>
                <w:strike/>
                <w:sz w:val="16"/>
                <w:szCs w:val="16"/>
              </w:rPr>
            </w:pPr>
            <w:r w:rsidRPr="00D34472">
              <w:rPr>
                <w:strike/>
                <w:sz w:val="16"/>
                <w:szCs w:val="16"/>
              </w:rPr>
              <w:t>840 </w:t>
            </w:r>
          </w:p>
        </w:tc>
        <w:tc>
          <w:tcPr>
            <w:tcW w:w="597" w:type="pct"/>
            <w:vAlign w:val="bottom"/>
          </w:tcPr>
          <w:p w:rsidR="00004CA1" w:rsidRPr="00D34472" w:rsidRDefault="00004CA1" w:rsidP="00FF33F8">
            <w:pPr>
              <w:spacing w:line="240" w:lineRule="auto"/>
              <w:ind w:left="-200" w:right="110"/>
              <w:jc w:val="right"/>
              <w:rPr>
                <w:strike/>
                <w:sz w:val="16"/>
                <w:szCs w:val="16"/>
              </w:rPr>
            </w:pPr>
            <w:r w:rsidRPr="00D34472">
              <w:rPr>
                <w:strike/>
                <w:sz w:val="16"/>
                <w:szCs w:val="16"/>
              </w:rPr>
              <w:t>21 </w:t>
            </w:r>
          </w:p>
        </w:tc>
        <w:tc>
          <w:tcPr>
            <w:tcW w:w="525" w:type="pct"/>
            <w:vAlign w:val="bottom"/>
          </w:tcPr>
          <w:p w:rsidR="00004CA1" w:rsidRPr="00D34472" w:rsidRDefault="00004CA1" w:rsidP="00FF33F8">
            <w:pPr>
              <w:spacing w:line="240" w:lineRule="auto"/>
              <w:ind w:left="-110" w:right="140"/>
              <w:jc w:val="right"/>
              <w:rPr>
                <w:strike/>
                <w:sz w:val="16"/>
                <w:szCs w:val="16"/>
              </w:rPr>
            </w:pPr>
            <w:r w:rsidRPr="00D34472">
              <w:rPr>
                <w:strike/>
                <w:sz w:val="16"/>
                <w:szCs w:val="16"/>
              </w:rPr>
              <w:t>5 </w:t>
            </w:r>
          </w:p>
        </w:tc>
        <w:tc>
          <w:tcPr>
            <w:tcW w:w="734" w:type="pct"/>
            <w:vAlign w:val="bottom"/>
          </w:tcPr>
          <w:p w:rsidR="00004CA1" w:rsidRPr="00D34472" w:rsidRDefault="00004CA1" w:rsidP="00FF33F8">
            <w:pPr>
              <w:spacing w:line="240" w:lineRule="auto"/>
              <w:ind w:right="100"/>
              <w:jc w:val="right"/>
              <w:rPr>
                <w:strike/>
                <w:sz w:val="16"/>
                <w:szCs w:val="16"/>
              </w:rPr>
            </w:pPr>
            <w:r w:rsidRPr="00D34472">
              <w:rPr>
                <w:strike/>
                <w:sz w:val="16"/>
                <w:szCs w:val="16"/>
              </w:rPr>
              <w:t>- </w:t>
            </w:r>
          </w:p>
        </w:tc>
        <w:tc>
          <w:tcPr>
            <w:tcW w:w="836" w:type="pct"/>
            <w:vAlign w:val="bottom"/>
          </w:tcPr>
          <w:p w:rsidR="00004CA1" w:rsidRPr="00D34472" w:rsidRDefault="00004CA1" w:rsidP="00FF33F8">
            <w:pPr>
              <w:spacing w:line="240" w:lineRule="auto"/>
              <w:ind w:right="200"/>
              <w:jc w:val="right"/>
              <w:rPr>
                <w:strike/>
                <w:sz w:val="16"/>
                <w:szCs w:val="16"/>
              </w:rPr>
            </w:pPr>
            <w:r w:rsidRPr="00D34472">
              <w:rPr>
                <w:strike/>
                <w:sz w:val="16"/>
                <w:szCs w:val="16"/>
              </w:rPr>
              <w:t>866 </w:t>
            </w:r>
          </w:p>
        </w:tc>
      </w:tr>
      <w:tr w:rsidR="00004CA1" w:rsidTr="004E2478">
        <w:tc>
          <w:tcPr>
            <w:tcW w:w="1259" w:type="pct"/>
          </w:tcPr>
          <w:p w:rsidR="00004CA1" w:rsidRPr="00C66172" w:rsidRDefault="00004CA1" w:rsidP="002949B1">
            <w:pPr>
              <w:spacing w:line="240" w:lineRule="auto"/>
              <w:ind w:left="142" w:hanging="142"/>
              <w:rPr>
                <w:rFonts w:eastAsia="Arial Unicode MS"/>
                <w:sz w:val="16"/>
                <w:szCs w:val="16"/>
              </w:rPr>
            </w:pPr>
            <w:r w:rsidRPr="00C66172">
              <w:rPr>
                <w:sz w:val="16"/>
                <w:szCs w:val="16"/>
              </w:rPr>
              <w:t>Amortisation of non-produced assets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rFonts w:eastAsia="Arial Unicode MS"/>
                <w:sz w:val="16"/>
                <w:szCs w:val="16"/>
              </w:rPr>
              <w:t>(75)</w:t>
            </w:r>
          </w:p>
        </w:tc>
        <w:tc>
          <w:tcPr>
            <w:tcW w:w="597" w:type="pct"/>
            <w:vAlign w:val="bottom"/>
          </w:tcPr>
          <w:p w:rsidR="00004CA1" w:rsidRPr="00C66172" w:rsidRDefault="00004CA1" w:rsidP="00FF33F8">
            <w:pPr>
              <w:spacing w:line="240" w:lineRule="auto"/>
              <w:ind w:left="-200" w:right="110"/>
              <w:jc w:val="right"/>
              <w:rPr>
                <w:rFonts w:eastAsia="Arial Unicode MS"/>
                <w:sz w:val="16"/>
                <w:szCs w:val="16"/>
              </w:rPr>
            </w:pPr>
            <w:r w:rsidRPr="00C66172">
              <w:rPr>
                <w:rFonts w:eastAsia="Arial Unicode MS"/>
                <w:sz w:val="16"/>
                <w:szCs w:val="16"/>
              </w:rPr>
              <w:t>(43)</w:t>
            </w:r>
          </w:p>
        </w:tc>
        <w:tc>
          <w:tcPr>
            <w:tcW w:w="525" w:type="pct"/>
            <w:vAlign w:val="bottom"/>
          </w:tcPr>
          <w:p w:rsidR="00004CA1" w:rsidRPr="00C66172" w:rsidRDefault="00004CA1" w:rsidP="00FF33F8">
            <w:pPr>
              <w:spacing w:line="240" w:lineRule="auto"/>
              <w:ind w:left="-110" w:right="140"/>
              <w:jc w:val="right"/>
              <w:rPr>
                <w:rFonts w:eastAsia="Arial Unicode MS"/>
                <w:sz w:val="16"/>
                <w:szCs w:val="16"/>
              </w:rPr>
            </w:pPr>
            <w:r w:rsidRPr="00C66172">
              <w:rPr>
                <w:rFonts w:eastAsia="Arial Unicode MS"/>
                <w:sz w:val="16"/>
                <w:szCs w:val="16"/>
              </w:rPr>
              <w:t>(1)</w:t>
            </w:r>
          </w:p>
        </w:tc>
        <w:tc>
          <w:tcPr>
            <w:tcW w:w="734" w:type="pct"/>
            <w:vAlign w:val="bottom"/>
          </w:tcPr>
          <w:p w:rsidR="00004CA1" w:rsidRPr="00C66172" w:rsidRDefault="00004CA1" w:rsidP="00FF33F8">
            <w:pPr>
              <w:spacing w:line="240" w:lineRule="auto"/>
              <w:ind w:right="100"/>
              <w:jc w:val="right"/>
              <w:rPr>
                <w:rFonts w:eastAsia="Arial Unicode MS"/>
                <w:sz w:val="16"/>
                <w:szCs w:val="16"/>
              </w:rPr>
            </w:pPr>
            <w:r w:rsidRPr="00C66172">
              <w:rPr>
                <w:rFonts w:eastAsia="Arial Unicode MS"/>
                <w:sz w:val="16"/>
                <w:szCs w:val="16"/>
              </w:rPr>
              <w:t>-</w:t>
            </w:r>
            <w:r w:rsidRPr="00C66172">
              <w:rPr>
                <w:sz w:val="16"/>
                <w:szCs w:val="16"/>
              </w:rPr>
              <w:t> </w:t>
            </w:r>
          </w:p>
        </w:tc>
        <w:tc>
          <w:tcPr>
            <w:tcW w:w="836" w:type="pct"/>
            <w:vAlign w:val="bottom"/>
          </w:tcPr>
          <w:p w:rsidR="00004CA1" w:rsidRPr="00C66172" w:rsidRDefault="00004CA1" w:rsidP="00FF33F8">
            <w:pPr>
              <w:spacing w:line="240" w:lineRule="auto"/>
              <w:ind w:right="200"/>
              <w:jc w:val="right"/>
              <w:rPr>
                <w:rFonts w:eastAsia="Arial Unicode MS"/>
                <w:sz w:val="16"/>
                <w:szCs w:val="16"/>
              </w:rPr>
            </w:pPr>
            <w:r w:rsidRPr="00C66172">
              <w:rPr>
                <w:rFonts w:eastAsia="Arial Unicode MS"/>
                <w:sz w:val="16"/>
                <w:szCs w:val="16"/>
              </w:rPr>
              <w:t>(119)</w:t>
            </w:r>
          </w:p>
        </w:tc>
      </w:tr>
      <w:tr w:rsidR="00004CA1" w:rsidTr="004E2478">
        <w:tc>
          <w:tcPr>
            <w:tcW w:w="1259" w:type="pct"/>
          </w:tcPr>
          <w:p w:rsidR="00004CA1" w:rsidRPr="00C66172" w:rsidRDefault="00004CA1" w:rsidP="00004CA1">
            <w:pPr>
              <w:spacing w:line="240" w:lineRule="auto"/>
              <w:rPr>
                <w:sz w:val="16"/>
                <w:szCs w:val="16"/>
              </w:rPr>
            </w:pPr>
            <w:r w:rsidRPr="00C66172">
              <w:rPr>
                <w:sz w:val="16"/>
                <w:szCs w:val="16"/>
              </w:rPr>
              <w:t>Doubtful debts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rFonts w:eastAsia="Arial Unicode MS"/>
                <w:sz w:val="16"/>
                <w:szCs w:val="16"/>
              </w:rPr>
              <w:t>(500)</w:t>
            </w:r>
          </w:p>
        </w:tc>
        <w:tc>
          <w:tcPr>
            <w:tcW w:w="597" w:type="pct"/>
            <w:vAlign w:val="bottom"/>
          </w:tcPr>
          <w:p w:rsidR="00004CA1" w:rsidRPr="00C66172" w:rsidRDefault="00004CA1" w:rsidP="00FF33F8">
            <w:pPr>
              <w:spacing w:line="240" w:lineRule="auto"/>
              <w:ind w:left="-200" w:right="110"/>
              <w:jc w:val="right"/>
              <w:rPr>
                <w:rFonts w:eastAsia="Arial Unicode MS"/>
                <w:sz w:val="16"/>
                <w:szCs w:val="16"/>
              </w:rPr>
            </w:pPr>
            <w:r w:rsidRPr="00C66172">
              <w:rPr>
                <w:rFonts w:eastAsia="Arial Unicode MS"/>
                <w:sz w:val="16"/>
                <w:szCs w:val="16"/>
              </w:rPr>
              <w:t>(63)</w:t>
            </w:r>
          </w:p>
        </w:tc>
        <w:tc>
          <w:tcPr>
            <w:tcW w:w="525" w:type="pct"/>
            <w:vAlign w:val="bottom"/>
          </w:tcPr>
          <w:p w:rsidR="00004CA1" w:rsidRPr="00C66172" w:rsidRDefault="00004CA1" w:rsidP="00FF33F8">
            <w:pPr>
              <w:spacing w:line="240" w:lineRule="auto"/>
              <w:ind w:left="-110" w:right="140"/>
              <w:jc w:val="right"/>
              <w:rPr>
                <w:rFonts w:eastAsia="Arial Unicode MS"/>
                <w:sz w:val="16"/>
                <w:szCs w:val="16"/>
              </w:rPr>
            </w:pPr>
            <w:r w:rsidRPr="00C66172">
              <w:rPr>
                <w:rFonts w:eastAsia="Arial Unicode MS"/>
                <w:sz w:val="16"/>
                <w:szCs w:val="16"/>
              </w:rPr>
              <w:t>(41)</w:t>
            </w:r>
          </w:p>
        </w:tc>
        <w:tc>
          <w:tcPr>
            <w:tcW w:w="734" w:type="pct"/>
            <w:vAlign w:val="bottom"/>
          </w:tcPr>
          <w:p w:rsidR="00004CA1" w:rsidRPr="00C66172" w:rsidRDefault="00004CA1" w:rsidP="00FF33F8">
            <w:pPr>
              <w:spacing w:line="240" w:lineRule="auto"/>
              <w:ind w:right="100"/>
              <w:jc w:val="right"/>
              <w:rPr>
                <w:rFonts w:eastAsia="Arial Unicode MS"/>
                <w:sz w:val="16"/>
                <w:szCs w:val="16"/>
              </w:rPr>
            </w:pPr>
            <w:r w:rsidRPr="00C66172">
              <w:rPr>
                <w:rFonts w:eastAsia="Arial Unicode MS"/>
                <w:sz w:val="16"/>
                <w:szCs w:val="16"/>
              </w:rPr>
              <w:t>-</w:t>
            </w:r>
            <w:r w:rsidRPr="00C66172">
              <w:rPr>
                <w:sz w:val="16"/>
                <w:szCs w:val="16"/>
              </w:rPr>
              <w:t> </w:t>
            </w:r>
          </w:p>
        </w:tc>
        <w:tc>
          <w:tcPr>
            <w:tcW w:w="836" w:type="pct"/>
            <w:vAlign w:val="bottom"/>
          </w:tcPr>
          <w:p w:rsidR="00004CA1" w:rsidRPr="00C66172" w:rsidRDefault="00004CA1" w:rsidP="00FF33F8">
            <w:pPr>
              <w:spacing w:line="240" w:lineRule="auto"/>
              <w:ind w:right="200"/>
              <w:jc w:val="right"/>
              <w:rPr>
                <w:rFonts w:eastAsia="Arial Unicode MS"/>
                <w:sz w:val="16"/>
                <w:szCs w:val="16"/>
              </w:rPr>
            </w:pPr>
            <w:r w:rsidRPr="00C66172">
              <w:rPr>
                <w:rFonts w:eastAsia="Arial Unicode MS"/>
                <w:sz w:val="16"/>
                <w:szCs w:val="16"/>
              </w:rPr>
              <w:t>(604)</w:t>
            </w:r>
          </w:p>
        </w:tc>
      </w:tr>
      <w:tr w:rsidR="00004CA1" w:rsidTr="004E2478">
        <w:tc>
          <w:tcPr>
            <w:tcW w:w="1259" w:type="pct"/>
          </w:tcPr>
          <w:p w:rsidR="00004CA1" w:rsidRPr="00C66172" w:rsidRDefault="00004CA1" w:rsidP="002949B1">
            <w:pPr>
              <w:spacing w:line="240" w:lineRule="auto"/>
              <w:ind w:left="142" w:hanging="142"/>
              <w:rPr>
                <w:sz w:val="16"/>
                <w:szCs w:val="16"/>
              </w:rPr>
            </w:pPr>
            <w:r w:rsidRPr="00C66172">
              <w:rPr>
                <w:sz w:val="16"/>
                <w:szCs w:val="16"/>
              </w:rPr>
              <w:t>Share of net profit/(loss) from associates, excluding dividends</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tcBorders>
              <w:bottom w:val="single" w:sz="4" w:space="0" w:color="auto"/>
            </w:tcBorders>
            <w:vAlign w:val="bottom"/>
          </w:tcPr>
          <w:p w:rsidR="00004CA1" w:rsidRPr="00C66172" w:rsidRDefault="00004CA1" w:rsidP="00FF33F8">
            <w:pPr>
              <w:spacing w:line="240" w:lineRule="auto"/>
              <w:ind w:left="-215" w:right="65"/>
              <w:jc w:val="right"/>
              <w:rPr>
                <w:rFonts w:eastAsia="Arial Unicode MS"/>
                <w:sz w:val="16"/>
                <w:szCs w:val="16"/>
              </w:rPr>
            </w:pPr>
            <w:r w:rsidRPr="00C66172">
              <w:rPr>
                <w:sz w:val="16"/>
                <w:szCs w:val="16"/>
              </w:rPr>
              <w:t>(51)</w:t>
            </w:r>
          </w:p>
        </w:tc>
        <w:tc>
          <w:tcPr>
            <w:tcW w:w="597" w:type="pct"/>
            <w:tcBorders>
              <w:bottom w:val="single" w:sz="4" w:space="0" w:color="auto"/>
            </w:tcBorders>
            <w:vAlign w:val="bottom"/>
          </w:tcPr>
          <w:p w:rsidR="00004CA1" w:rsidRPr="00C66172" w:rsidRDefault="00004CA1" w:rsidP="00FF33F8">
            <w:pPr>
              <w:spacing w:line="240" w:lineRule="auto"/>
              <w:ind w:left="-200" w:right="110"/>
              <w:jc w:val="right"/>
              <w:rPr>
                <w:sz w:val="16"/>
                <w:szCs w:val="16"/>
              </w:rPr>
            </w:pPr>
            <w:r w:rsidRPr="00C66172">
              <w:rPr>
                <w:sz w:val="16"/>
                <w:szCs w:val="16"/>
              </w:rPr>
              <w:t>25 </w:t>
            </w:r>
          </w:p>
        </w:tc>
        <w:tc>
          <w:tcPr>
            <w:tcW w:w="525" w:type="pct"/>
            <w:tcBorders>
              <w:bottom w:val="single" w:sz="4" w:space="0" w:color="auto"/>
            </w:tcBorders>
            <w:vAlign w:val="bottom"/>
          </w:tcPr>
          <w:p w:rsidR="00004CA1" w:rsidRPr="00C66172" w:rsidRDefault="00004CA1" w:rsidP="00FF33F8">
            <w:pPr>
              <w:spacing w:line="240" w:lineRule="auto"/>
              <w:ind w:left="-110" w:right="140"/>
              <w:jc w:val="right"/>
              <w:rPr>
                <w:sz w:val="16"/>
                <w:szCs w:val="16"/>
              </w:rPr>
            </w:pPr>
            <w:r w:rsidRPr="00C66172">
              <w:rPr>
                <w:sz w:val="16"/>
                <w:szCs w:val="16"/>
              </w:rPr>
              <w:t>- </w:t>
            </w:r>
          </w:p>
        </w:tc>
        <w:tc>
          <w:tcPr>
            <w:tcW w:w="734" w:type="pct"/>
            <w:tcBorders>
              <w:bottom w:val="single" w:sz="4" w:space="0" w:color="auto"/>
            </w:tcBorders>
            <w:vAlign w:val="bottom"/>
          </w:tcPr>
          <w:p w:rsidR="00004CA1" w:rsidRPr="00C66172" w:rsidRDefault="00004CA1" w:rsidP="00FF33F8">
            <w:pPr>
              <w:spacing w:line="240" w:lineRule="auto"/>
              <w:ind w:right="100"/>
              <w:jc w:val="right"/>
              <w:rPr>
                <w:b/>
                <w:sz w:val="16"/>
                <w:szCs w:val="16"/>
              </w:rPr>
            </w:pPr>
            <w:r w:rsidRPr="00C66172">
              <w:rPr>
                <w:sz w:val="16"/>
                <w:szCs w:val="16"/>
              </w:rPr>
              <w:t>- </w:t>
            </w:r>
          </w:p>
        </w:tc>
        <w:tc>
          <w:tcPr>
            <w:tcW w:w="836" w:type="pct"/>
            <w:tcBorders>
              <w:bottom w:val="single" w:sz="4" w:space="0" w:color="auto"/>
            </w:tcBorders>
            <w:vAlign w:val="bottom"/>
          </w:tcPr>
          <w:p w:rsidR="00004CA1" w:rsidRPr="00C66172" w:rsidRDefault="00004CA1" w:rsidP="00FF33F8">
            <w:pPr>
              <w:spacing w:line="240" w:lineRule="auto"/>
              <w:ind w:right="200"/>
              <w:jc w:val="right"/>
              <w:rPr>
                <w:sz w:val="16"/>
                <w:szCs w:val="16"/>
              </w:rPr>
            </w:pPr>
            <w:r w:rsidRPr="00C66172">
              <w:rPr>
                <w:sz w:val="16"/>
                <w:szCs w:val="16"/>
              </w:rPr>
              <w:t>(26)</w:t>
            </w:r>
          </w:p>
        </w:tc>
      </w:tr>
      <w:tr w:rsidR="00E870C1" w:rsidTr="004E2478">
        <w:tc>
          <w:tcPr>
            <w:tcW w:w="1259" w:type="pct"/>
          </w:tcPr>
          <w:p w:rsidR="00E870C1" w:rsidRPr="00C66172" w:rsidRDefault="00E870C1" w:rsidP="00004CA1">
            <w:pPr>
              <w:spacing w:line="240" w:lineRule="auto"/>
              <w:rPr>
                <w:b/>
                <w:bCs/>
                <w:sz w:val="16"/>
                <w:szCs w:val="16"/>
              </w:rPr>
            </w:pPr>
          </w:p>
        </w:tc>
        <w:tc>
          <w:tcPr>
            <w:tcW w:w="524" w:type="pct"/>
            <w:vAlign w:val="center"/>
          </w:tcPr>
          <w:p w:rsidR="00E870C1" w:rsidRPr="00C66172" w:rsidRDefault="00E870C1" w:rsidP="00004CA1">
            <w:pPr>
              <w:spacing w:line="240" w:lineRule="auto"/>
              <w:jc w:val="center"/>
              <w:rPr>
                <w:rFonts w:eastAsia="Arial Unicode MS"/>
                <w:sz w:val="16"/>
                <w:szCs w:val="16"/>
              </w:rPr>
            </w:pPr>
          </w:p>
        </w:tc>
        <w:tc>
          <w:tcPr>
            <w:tcW w:w="525" w:type="pct"/>
            <w:tcBorders>
              <w:top w:val="single" w:sz="4" w:space="0" w:color="auto"/>
            </w:tcBorders>
            <w:vAlign w:val="bottom"/>
          </w:tcPr>
          <w:p w:rsidR="00E870C1" w:rsidRDefault="00E870C1" w:rsidP="00FF33F8">
            <w:pPr>
              <w:spacing w:line="240" w:lineRule="auto"/>
              <w:ind w:left="-215" w:right="65"/>
              <w:jc w:val="right"/>
              <w:rPr>
                <w:rFonts w:eastAsia="Arial Unicode MS"/>
                <w:strike/>
                <w:sz w:val="16"/>
                <w:szCs w:val="16"/>
              </w:rPr>
            </w:pPr>
            <w:r w:rsidRPr="00E870C1">
              <w:rPr>
                <w:rFonts w:eastAsia="Arial Unicode MS"/>
                <w:strike/>
                <w:sz w:val="16"/>
                <w:szCs w:val="16"/>
              </w:rPr>
              <w:t>1,873</w:t>
            </w:r>
            <w:r w:rsidR="00681491">
              <w:rPr>
                <w:rFonts w:eastAsia="Arial Unicode MS"/>
                <w:strike/>
                <w:sz w:val="16"/>
                <w:szCs w:val="16"/>
              </w:rPr>
              <w:t> </w:t>
            </w:r>
          </w:p>
          <w:p w:rsidR="00E870C1" w:rsidRPr="00681491" w:rsidRDefault="00F30774" w:rsidP="00FF33F8">
            <w:pPr>
              <w:spacing w:line="240" w:lineRule="auto"/>
              <w:ind w:left="-215" w:right="65"/>
              <w:jc w:val="right"/>
              <w:rPr>
                <w:rFonts w:eastAsia="Arial Unicode MS"/>
                <w:sz w:val="16"/>
                <w:szCs w:val="16"/>
              </w:rPr>
            </w:pPr>
            <w:r>
              <w:rPr>
                <w:rFonts w:eastAsia="Arial Unicode MS"/>
                <w:sz w:val="16"/>
                <w:szCs w:val="16"/>
                <w:u w:val="single"/>
              </w:rPr>
              <w:t>1,</w:t>
            </w:r>
            <w:r w:rsidR="00E870C1" w:rsidRPr="00E870C1">
              <w:rPr>
                <w:rFonts w:eastAsia="Arial Unicode MS"/>
                <w:sz w:val="16"/>
                <w:szCs w:val="16"/>
                <w:u w:val="single"/>
              </w:rPr>
              <w:t>033</w:t>
            </w:r>
            <w:r w:rsidR="00681491">
              <w:rPr>
                <w:rFonts w:eastAsia="Arial Unicode MS"/>
                <w:sz w:val="16"/>
                <w:szCs w:val="16"/>
              </w:rPr>
              <w:t> </w:t>
            </w:r>
          </w:p>
        </w:tc>
        <w:tc>
          <w:tcPr>
            <w:tcW w:w="597" w:type="pct"/>
            <w:tcBorders>
              <w:top w:val="single" w:sz="4" w:space="0" w:color="auto"/>
            </w:tcBorders>
            <w:vAlign w:val="bottom"/>
          </w:tcPr>
          <w:p w:rsidR="00E870C1" w:rsidRDefault="00E870C1" w:rsidP="00FF33F8">
            <w:pPr>
              <w:spacing w:line="240" w:lineRule="auto"/>
              <w:ind w:left="-200" w:right="110"/>
              <w:jc w:val="right"/>
              <w:rPr>
                <w:rFonts w:eastAsia="Arial Unicode MS"/>
                <w:strike/>
                <w:sz w:val="16"/>
                <w:szCs w:val="16"/>
              </w:rPr>
            </w:pPr>
            <w:r w:rsidRPr="00E870C1">
              <w:rPr>
                <w:rFonts w:eastAsia="Arial Unicode MS"/>
                <w:strike/>
                <w:sz w:val="16"/>
                <w:szCs w:val="16"/>
              </w:rPr>
              <w:t>151</w:t>
            </w:r>
            <w:r w:rsidR="00681491">
              <w:rPr>
                <w:rFonts w:eastAsia="Arial Unicode MS"/>
                <w:strike/>
                <w:sz w:val="16"/>
                <w:szCs w:val="16"/>
              </w:rPr>
              <w:t> </w:t>
            </w:r>
          </w:p>
          <w:p w:rsidR="00E870C1" w:rsidRPr="00681491" w:rsidRDefault="00E870C1" w:rsidP="00FF33F8">
            <w:pPr>
              <w:spacing w:line="240" w:lineRule="auto"/>
              <w:ind w:left="-200" w:right="110"/>
              <w:jc w:val="right"/>
              <w:rPr>
                <w:rFonts w:eastAsia="Arial Unicode MS"/>
                <w:sz w:val="16"/>
                <w:szCs w:val="16"/>
              </w:rPr>
            </w:pPr>
            <w:r w:rsidRPr="00E870C1">
              <w:rPr>
                <w:rFonts w:eastAsia="Arial Unicode MS"/>
                <w:sz w:val="16"/>
                <w:szCs w:val="16"/>
                <w:u w:val="single"/>
              </w:rPr>
              <w:t>130</w:t>
            </w:r>
            <w:r w:rsidR="00681491">
              <w:rPr>
                <w:rFonts w:eastAsia="Arial Unicode MS"/>
                <w:sz w:val="16"/>
                <w:szCs w:val="16"/>
              </w:rPr>
              <w:t> </w:t>
            </w:r>
          </w:p>
        </w:tc>
        <w:tc>
          <w:tcPr>
            <w:tcW w:w="525" w:type="pct"/>
            <w:tcBorders>
              <w:top w:val="single" w:sz="4" w:space="0" w:color="auto"/>
            </w:tcBorders>
            <w:vAlign w:val="bottom"/>
          </w:tcPr>
          <w:p w:rsidR="00E870C1" w:rsidRDefault="00E870C1" w:rsidP="00FF33F8">
            <w:pPr>
              <w:spacing w:line="240" w:lineRule="auto"/>
              <w:ind w:left="-110" w:right="140"/>
              <w:jc w:val="right"/>
              <w:rPr>
                <w:rFonts w:eastAsia="Arial Unicode MS"/>
                <w:sz w:val="16"/>
                <w:szCs w:val="16"/>
              </w:rPr>
            </w:pPr>
            <w:r w:rsidRPr="00E870C1">
              <w:rPr>
                <w:rFonts w:eastAsia="Arial Unicode MS"/>
                <w:strike/>
                <w:sz w:val="16"/>
                <w:szCs w:val="16"/>
              </w:rPr>
              <w:t>1,698</w:t>
            </w:r>
            <w:r w:rsidR="00681491">
              <w:rPr>
                <w:rFonts w:eastAsia="Arial Unicode MS"/>
                <w:strike/>
                <w:sz w:val="16"/>
                <w:szCs w:val="16"/>
              </w:rPr>
              <w:t> </w:t>
            </w:r>
          </w:p>
          <w:p w:rsidR="00E870C1" w:rsidRPr="00681491" w:rsidRDefault="00E870C1" w:rsidP="00FF33F8">
            <w:pPr>
              <w:spacing w:line="240" w:lineRule="auto"/>
              <w:ind w:left="-110" w:right="140"/>
              <w:jc w:val="right"/>
              <w:rPr>
                <w:rFonts w:eastAsia="Arial Unicode MS"/>
                <w:sz w:val="16"/>
                <w:szCs w:val="16"/>
              </w:rPr>
            </w:pPr>
            <w:r w:rsidRPr="00E870C1">
              <w:rPr>
                <w:rFonts w:eastAsia="Arial Unicode MS"/>
                <w:sz w:val="16"/>
                <w:szCs w:val="16"/>
                <w:u w:val="single"/>
              </w:rPr>
              <w:t>1,693</w:t>
            </w:r>
            <w:r w:rsidR="00681491">
              <w:rPr>
                <w:rFonts w:eastAsia="Arial Unicode MS"/>
                <w:sz w:val="16"/>
                <w:szCs w:val="16"/>
              </w:rPr>
              <w:t> </w:t>
            </w:r>
          </w:p>
        </w:tc>
        <w:tc>
          <w:tcPr>
            <w:tcW w:w="734" w:type="pct"/>
            <w:tcBorders>
              <w:top w:val="single" w:sz="4" w:space="0" w:color="auto"/>
            </w:tcBorders>
            <w:vAlign w:val="bottom"/>
          </w:tcPr>
          <w:p w:rsidR="00E870C1" w:rsidRPr="00E870C1" w:rsidRDefault="00E870C1" w:rsidP="00FF33F8">
            <w:pPr>
              <w:spacing w:line="240" w:lineRule="auto"/>
              <w:ind w:right="100"/>
              <w:jc w:val="right"/>
              <w:rPr>
                <w:rFonts w:eastAsia="Arial Unicode MS"/>
                <w:sz w:val="16"/>
                <w:szCs w:val="16"/>
              </w:rPr>
            </w:pPr>
            <w:r w:rsidRPr="00E870C1">
              <w:rPr>
                <w:rFonts w:eastAsia="Arial Unicode MS"/>
                <w:sz w:val="16"/>
                <w:szCs w:val="16"/>
              </w:rPr>
              <w:t>(300)</w:t>
            </w:r>
          </w:p>
        </w:tc>
        <w:tc>
          <w:tcPr>
            <w:tcW w:w="836" w:type="pct"/>
            <w:tcBorders>
              <w:top w:val="single" w:sz="4" w:space="0" w:color="auto"/>
            </w:tcBorders>
            <w:vAlign w:val="bottom"/>
          </w:tcPr>
          <w:p w:rsidR="00E870C1" w:rsidRDefault="00E870C1" w:rsidP="00FF33F8">
            <w:pPr>
              <w:spacing w:line="240" w:lineRule="auto"/>
              <w:ind w:right="200"/>
              <w:jc w:val="right"/>
              <w:rPr>
                <w:rFonts w:eastAsia="Arial Unicode MS"/>
                <w:strike/>
                <w:sz w:val="16"/>
                <w:szCs w:val="16"/>
              </w:rPr>
            </w:pPr>
            <w:r w:rsidRPr="00E870C1">
              <w:rPr>
                <w:rFonts w:eastAsia="Arial Unicode MS"/>
                <w:strike/>
                <w:sz w:val="16"/>
                <w:szCs w:val="16"/>
              </w:rPr>
              <w:t>3,422</w:t>
            </w:r>
            <w:r w:rsidR="00681491">
              <w:rPr>
                <w:rFonts w:eastAsia="Arial Unicode MS"/>
                <w:strike/>
                <w:sz w:val="16"/>
                <w:szCs w:val="16"/>
              </w:rPr>
              <w:t> </w:t>
            </w:r>
          </w:p>
          <w:p w:rsidR="00E870C1" w:rsidRPr="00681491" w:rsidRDefault="00E870C1" w:rsidP="00FF33F8">
            <w:pPr>
              <w:spacing w:line="240" w:lineRule="auto"/>
              <w:ind w:right="200"/>
              <w:jc w:val="right"/>
              <w:rPr>
                <w:rFonts w:eastAsia="Arial Unicode MS"/>
                <w:sz w:val="16"/>
                <w:szCs w:val="16"/>
              </w:rPr>
            </w:pPr>
            <w:r w:rsidRPr="00E870C1">
              <w:rPr>
                <w:rFonts w:eastAsia="Arial Unicode MS"/>
                <w:sz w:val="16"/>
                <w:szCs w:val="16"/>
                <w:u w:val="single"/>
              </w:rPr>
              <w:t>2,556</w:t>
            </w:r>
            <w:r w:rsidR="00681491">
              <w:rPr>
                <w:rFonts w:eastAsia="Arial Unicode MS"/>
                <w:sz w:val="16"/>
                <w:szCs w:val="16"/>
              </w:rPr>
              <w:t> </w:t>
            </w:r>
          </w:p>
        </w:tc>
      </w:tr>
      <w:tr w:rsidR="00E870C1" w:rsidTr="004E2478">
        <w:tc>
          <w:tcPr>
            <w:tcW w:w="1259" w:type="pct"/>
          </w:tcPr>
          <w:p w:rsidR="00E870C1" w:rsidRPr="00C66172" w:rsidRDefault="00E870C1" w:rsidP="00004CA1">
            <w:pPr>
              <w:pStyle w:val="Heading5"/>
              <w:spacing w:after="0" w:line="240" w:lineRule="auto"/>
              <w:rPr>
                <w:bCs w:val="0"/>
                <w:i w:val="0"/>
                <w:iCs/>
                <w:sz w:val="16"/>
              </w:rPr>
            </w:pPr>
            <w:r w:rsidRPr="00C66172">
              <w:rPr>
                <w:i w:val="0"/>
                <w:iCs/>
                <w:sz w:val="16"/>
                <w:szCs w:val="16"/>
              </w:rPr>
              <w:t>OPERATING RESULT</w:t>
            </w:r>
          </w:p>
        </w:tc>
        <w:tc>
          <w:tcPr>
            <w:tcW w:w="524" w:type="pct"/>
            <w:vAlign w:val="center"/>
          </w:tcPr>
          <w:p w:rsidR="00E870C1" w:rsidRPr="00C66172" w:rsidRDefault="00E870C1" w:rsidP="00004CA1">
            <w:pPr>
              <w:spacing w:line="240" w:lineRule="auto"/>
              <w:jc w:val="center"/>
              <w:rPr>
                <w:b/>
                <w:sz w:val="16"/>
                <w:szCs w:val="16"/>
              </w:rPr>
            </w:pPr>
          </w:p>
        </w:tc>
        <w:tc>
          <w:tcPr>
            <w:tcW w:w="525" w:type="pct"/>
            <w:tcBorders>
              <w:bottom w:val="double" w:sz="4" w:space="0" w:color="auto"/>
            </w:tcBorders>
            <w:vAlign w:val="bottom"/>
          </w:tcPr>
          <w:p w:rsidR="00E870C1" w:rsidRDefault="00E870C1" w:rsidP="00FF33F8">
            <w:pPr>
              <w:spacing w:line="240" w:lineRule="auto"/>
              <w:ind w:left="-215" w:right="65"/>
              <w:jc w:val="right"/>
              <w:rPr>
                <w:b/>
                <w:bCs/>
                <w:strike/>
                <w:sz w:val="16"/>
                <w:szCs w:val="16"/>
              </w:rPr>
            </w:pPr>
            <w:r w:rsidRPr="00E870C1">
              <w:rPr>
                <w:b/>
                <w:bCs/>
                <w:strike/>
                <w:sz w:val="16"/>
                <w:szCs w:val="16"/>
              </w:rPr>
              <w:t>6,167</w:t>
            </w:r>
            <w:r w:rsidR="00681491">
              <w:rPr>
                <w:b/>
                <w:bCs/>
                <w:strike/>
                <w:sz w:val="16"/>
                <w:szCs w:val="16"/>
              </w:rPr>
              <w:t> </w:t>
            </w:r>
          </w:p>
          <w:p w:rsidR="00E870C1" w:rsidRPr="00681491" w:rsidRDefault="00E870C1" w:rsidP="00FF33F8">
            <w:pPr>
              <w:spacing w:line="240" w:lineRule="auto"/>
              <w:ind w:left="-215" w:right="65"/>
              <w:jc w:val="right"/>
              <w:rPr>
                <w:b/>
                <w:sz w:val="16"/>
                <w:szCs w:val="16"/>
              </w:rPr>
            </w:pPr>
            <w:r w:rsidRPr="00E870C1">
              <w:rPr>
                <w:b/>
                <w:bCs/>
                <w:sz w:val="16"/>
                <w:szCs w:val="16"/>
                <w:u w:val="single"/>
              </w:rPr>
              <w:t>5,327</w:t>
            </w:r>
            <w:r w:rsidR="00681491">
              <w:rPr>
                <w:b/>
                <w:bCs/>
                <w:sz w:val="16"/>
                <w:szCs w:val="16"/>
              </w:rPr>
              <w:t> </w:t>
            </w:r>
          </w:p>
        </w:tc>
        <w:tc>
          <w:tcPr>
            <w:tcW w:w="597" w:type="pct"/>
            <w:tcBorders>
              <w:bottom w:val="double" w:sz="4" w:space="0" w:color="auto"/>
            </w:tcBorders>
            <w:vAlign w:val="bottom"/>
          </w:tcPr>
          <w:p w:rsidR="00E870C1" w:rsidRDefault="00E870C1" w:rsidP="00FF33F8">
            <w:pPr>
              <w:spacing w:line="240" w:lineRule="auto"/>
              <w:ind w:left="-200" w:right="110"/>
              <w:jc w:val="right"/>
              <w:rPr>
                <w:b/>
                <w:bCs/>
                <w:strike/>
                <w:sz w:val="16"/>
                <w:szCs w:val="16"/>
              </w:rPr>
            </w:pPr>
            <w:r w:rsidRPr="00E870C1">
              <w:rPr>
                <w:b/>
                <w:bCs/>
                <w:strike/>
                <w:sz w:val="16"/>
                <w:szCs w:val="16"/>
              </w:rPr>
              <w:t>(3,918)</w:t>
            </w:r>
            <w:r w:rsidR="00681491">
              <w:rPr>
                <w:b/>
                <w:bCs/>
                <w:strike/>
                <w:sz w:val="16"/>
                <w:szCs w:val="16"/>
              </w:rPr>
              <w:t> </w:t>
            </w:r>
          </w:p>
          <w:p w:rsidR="00E870C1" w:rsidRPr="00E870C1" w:rsidRDefault="00E870C1" w:rsidP="00FF33F8">
            <w:pPr>
              <w:spacing w:line="240" w:lineRule="auto"/>
              <w:ind w:left="-200" w:right="110"/>
              <w:jc w:val="right"/>
              <w:rPr>
                <w:b/>
                <w:bCs/>
                <w:sz w:val="16"/>
                <w:szCs w:val="16"/>
                <w:u w:val="single"/>
              </w:rPr>
            </w:pPr>
            <w:r w:rsidRPr="00E870C1">
              <w:rPr>
                <w:b/>
                <w:bCs/>
                <w:sz w:val="16"/>
                <w:szCs w:val="16"/>
                <w:u w:val="single"/>
              </w:rPr>
              <w:t>(3,939)</w:t>
            </w:r>
            <w:r w:rsidR="00681491">
              <w:rPr>
                <w:b/>
                <w:bCs/>
                <w:sz w:val="16"/>
                <w:szCs w:val="16"/>
              </w:rPr>
              <w:t> </w:t>
            </w:r>
          </w:p>
        </w:tc>
        <w:tc>
          <w:tcPr>
            <w:tcW w:w="525" w:type="pct"/>
            <w:tcBorders>
              <w:bottom w:val="double" w:sz="4" w:space="0" w:color="auto"/>
            </w:tcBorders>
            <w:vAlign w:val="bottom"/>
          </w:tcPr>
          <w:p w:rsidR="00E870C1" w:rsidRDefault="00E870C1" w:rsidP="00FF33F8">
            <w:pPr>
              <w:spacing w:line="240" w:lineRule="auto"/>
              <w:ind w:left="-110" w:right="140"/>
              <w:jc w:val="right"/>
              <w:rPr>
                <w:b/>
                <w:bCs/>
                <w:strike/>
                <w:sz w:val="16"/>
                <w:szCs w:val="16"/>
              </w:rPr>
            </w:pPr>
            <w:r w:rsidRPr="00E870C1">
              <w:rPr>
                <w:b/>
                <w:bCs/>
                <w:strike/>
                <w:sz w:val="16"/>
                <w:szCs w:val="16"/>
              </w:rPr>
              <w:t>6,178</w:t>
            </w:r>
            <w:r w:rsidR="00681491">
              <w:rPr>
                <w:b/>
                <w:bCs/>
                <w:strike/>
                <w:sz w:val="16"/>
                <w:szCs w:val="16"/>
              </w:rPr>
              <w:t> </w:t>
            </w:r>
          </w:p>
          <w:p w:rsidR="00E870C1" w:rsidRPr="00E870C1" w:rsidRDefault="00E870C1" w:rsidP="00FF33F8">
            <w:pPr>
              <w:spacing w:line="240" w:lineRule="auto"/>
              <w:ind w:left="-110" w:right="140"/>
              <w:jc w:val="right"/>
              <w:rPr>
                <w:b/>
                <w:bCs/>
                <w:sz w:val="16"/>
                <w:szCs w:val="16"/>
                <w:u w:val="single"/>
              </w:rPr>
            </w:pPr>
            <w:r w:rsidRPr="00E870C1">
              <w:rPr>
                <w:b/>
                <w:bCs/>
                <w:sz w:val="16"/>
                <w:szCs w:val="16"/>
                <w:u w:val="single"/>
              </w:rPr>
              <w:t>6,173</w:t>
            </w:r>
            <w:r w:rsidR="00681491">
              <w:rPr>
                <w:b/>
                <w:bCs/>
                <w:sz w:val="16"/>
                <w:szCs w:val="16"/>
              </w:rPr>
              <w:t> </w:t>
            </w:r>
          </w:p>
        </w:tc>
        <w:tc>
          <w:tcPr>
            <w:tcW w:w="734" w:type="pct"/>
            <w:tcBorders>
              <w:bottom w:val="double" w:sz="4" w:space="0" w:color="auto"/>
            </w:tcBorders>
            <w:vAlign w:val="bottom"/>
          </w:tcPr>
          <w:p w:rsidR="00E870C1" w:rsidRPr="00E870C1" w:rsidRDefault="00E870C1" w:rsidP="00FF33F8">
            <w:pPr>
              <w:spacing w:line="240" w:lineRule="auto"/>
              <w:ind w:right="100"/>
              <w:jc w:val="right"/>
              <w:rPr>
                <w:b/>
                <w:bCs/>
                <w:sz w:val="16"/>
                <w:szCs w:val="16"/>
              </w:rPr>
            </w:pPr>
            <w:r w:rsidRPr="00E870C1">
              <w:rPr>
                <w:b/>
                <w:bCs/>
                <w:sz w:val="16"/>
                <w:szCs w:val="16"/>
              </w:rPr>
              <w:t>(1,348)</w:t>
            </w:r>
          </w:p>
        </w:tc>
        <w:tc>
          <w:tcPr>
            <w:tcW w:w="836" w:type="pct"/>
            <w:tcBorders>
              <w:bottom w:val="double" w:sz="4" w:space="0" w:color="auto"/>
            </w:tcBorders>
            <w:vAlign w:val="bottom"/>
          </w:tcPr>
          <w:p w:rsidR="00E870C1" w:rsidRDefault="00E870C1" w:rsidP="00FF33F8">
            <w:pPr>
              <w:spacing w:line="240" w:lineRule="auto"/>
              <w:ind w:right="200"/>
              <w:jc w:val="right"/>
              <w:rPr>
                <w:b/>
                <w:strike/>
                <w:sz w:val="16"/>
                <w:szCs w:val="16"/>
              </w:rPr>
            </w:pPr>
            <w:r w:rsidRPr="00E870C1">
              <w:rPr>
                <w:b/>
                <w:strike/>
                <w:sz w:val="16"/>
                <w:szCs w:val="16"/>
              </w:rPr>
              <w:t>7,079</w:t>
            </w:r>
            <w:r w:rsidR="00681491">
              <w:rPr>
                <w:b/>
                <w:strike/>
                <w:sz w:val="16"/>
                <w:szCs w:val="16"/>
              </w:rPr>
              <w:t> </w:t>
            </w:r>
          </w:p>
          <w:p w:rsidR="00EC67A3" w:rsidRPr="00EC67A3" w:rsidRDefault="00EC67A3" w:rsidP="00FF33F8">
            <w:pPr>
              <w:spacing w:line="240" w:lineRule="auto"/>
              <w:ind w:right="200"/>
              <w:jc w:val="right"/>
              <w:rPr>
                <w:b/>
                <w:bCs/>
                <w:sz w:val="16"/>
                <w:szCs w:val="16"/>
                <w:u w:val="single"/>
              </w:rPr>
            </w:pPr>
            <w:r w:rsidRPr="00EC67A3">
              <w:rPr>
                <w:b/>
                <w:sz w:val="16"/>
                <w:szCs w:val="16"/>
                <w:u w:val="single"/>
              </w:rPr>
              <w:t>6,213</w:t>
            </w:r>
            <w:r w:rsidR="00681491">
              <w:rPr>
                <w:b/>
                <w:bCs/>
                <w:sz w:val="16"/>
                <w:szCs w:val="16"/>
              </w:rPr>
              <w:t> </w:t>
            </w:r>
          </w:p>
        </w:tc>
      </w:tr>
      <w:tr w:rsidR="00004CA1" w:rsidTr="004E2478">
        <w:tc>
          <w:tcPr>
            <w:tcW w:w="1259" w:type="pct"/>
          </w:tcPr>
          <w:p w:rsidR="00004CA1" w:rsidRPr="00C66172" w:rsidRDefault="00004CA1" w:rsidP="00C7397F">
            <w:pPr>
              <w:pStyle w:val="Heading5"/>
              <w:keepNext w:val="0"/>
              <w:spacing w:after="0" w:line="240" w:lineRule="auto"/>
              <w:rPr>
                <w:i w:val="0"/>
                <w:iCs/>
                <w:sz w:val="16"/>
              </w:rPr>
            </w:pPr>
          </w:p>
        </w:tc>
        <w:tc>
          <w:tcPr>
            <w:tcW w:w="524" w:type="pct"/>
            <w:vAlign w:val="center"/>
          </w:tcPr>
          <w:p w:rsidR="00004CA1" w:rsidRPr="00C66172" w:rsidRDefault="00004CA1" w:rsidP="00004CA1">
            <w:pPr>
              <w:spacing w:line="240" w:lineRule="auto"/>
              <w:jc w:val="center"/>
              <w:rPr>
                <w:sz w:val="16"/>
                <w:szCs w:val="16"/>
              </w:rPr>
            </w:pPr>
          </w:p>
        </w:tc>
        <w:tc>
          <w:tcPr>
            <w:tcW w:w="525" w:type="pct"/>
            <w:tcBorders>
              <w:top w:val="double" w:sz="4" w:space="0" w:color="auto"/>
            </w:tcBorders>
            <w:vAlign w:val="bottom"/>
          </w:tcPr>
          <w:p w:rsidR="00004CA1" w:rsidRPr="00C66172" w:rsidRDefault="00004CA1" w:rsidP="00FF33F8">
            <w:pPr>
              <w:spacing w:line="240" w:lineRule="auto"/>
              <w:ind w:left="-215" w:right="65"/>
              <w:jc w:val="right"/>
              <w:rPr>
                <w:sz w:val="16"/>
                <w:szCs w:val="16"/>
              </w:rPr>
            </w:pPr>
          </w:p>
        </w:tc>
        <w:tc>
          <w:tcPr>
            <w:tcW w:w="597" w:type="pct"/>
            <w:tcBorders>
              <w:top w:val="double" w:sz="4" w:space="0" w:color="auto"/>
            </w:tcBorders>
            <w:vAlign w:val="bottom"/>
          </w:tcPr>
          <w:p w:rsidR="00004CA1" w:rsidRPr="00C66172" w:rsidRDefault="00004CA1" w:rsidP="00FF33F8">
            <w:pPr>
              <w:spacing w:line="240" w:lineRule="auto"/>
              <w:ind w:left="-200" w:right="110"/>
              <w:jc w:val="right"/>
              <w:rPr>
                <w:sz w:val="16"/>
                <w:szCs w:val="16"/>
              </w:rPr>
            </w:pPr>
          </w:p>
        </w:tc>
        <w:tc>
          <w:tcPr>
            <w:tcW w:w="525" w:type="pct"/>
            <w:tcBorders>
              <w:top w:val="double" w:sz="4" w:space="0" w:color="auto"/>
            </w:tcBorders>
            <w:vAlign w:val="bottom"/>
          </w:tcPr>
          <w:p w:rsidR="00004CA1" w:rsidRPr="00C66172" w:rsidRDefault="00004CA1" w:rsidP="00FF33F8">
            <w:pPr>
              <w:spacing w:line="240" w:lineRule="auto"/>
              <w:ind w:left="-110" w:right="140"/>
              <w:jc w:val="right"/>
              <w:rPr>
                <w:sz w:val="16"/>
                <w:szCs w:val="16"/>
              </w:rPr>
            </w:pPr>
          </w:p>
        </w:tc>
        <w:tc>
          <w:tcPr>
            <w:tcW w:w="734" w:type="pct"/>
            <w:tcBorders>
              <w:top w:val="double" w:sz="4" w:space="0" w:color="auto"/>
            </w:tcBorders>
            <w:vAlign w:val="bottom"/>
          </w:tcPr>
          <w:p w:rsidR="00004CA1" w:rsidRPr="00C66172" w:rsidRDefault="00004CA1" w:rsidP="00FF33F8">
            <w:pPr>
              <w:spacing w:line="240" w:lineRule="auto"/>
              <w:ind w:right="100"/>
              <w:jc w:val="right"/>
              <w:rPr>
                <w:sz w:val="16"/>
                <w:szCs w:val="16"/>
              </w:rPr>
            </w:pPr>
          </w:p>
        </w:tc>
        <w:tc>
          <w:tcPr>
            <w:tcW w:w="836" w:type="pct"/>
            <w:tcBorders>
              <w:top w:val="double" w:sz="4" w:space="0" w:color="auto"/>
            </w:tcBorders>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tcPr>
          <w:p w:rsidR="00004CA1" w:rsidRPr="00C66172" w:rsidRDefault="00004CA1" w:rsidP="00004CA1">
            <w:pPr>
              <w:pStyle w:val="Heading5"/>
              <w:spacing w:after="0" w:line="240" w:lineRule="auto"/>
              <w:rPr>
                <w:b w:val="0"/>
                <w:bCs w:val="0"/>
                <w:i w:val="0"/>
                <w:iCs/>
                <w:sz w:val="16"/>
              </w:rPr>
            </w:pPr>
            <w:r w:rsidRPr="00C66172">
              <w:rPr>
                <w:i w:val="0"/>
                <w:iCs/>
                <w:sz w:val="16"/>
              </w:rPr>
              <w:br w:type="page"/>
            </w:r>
            <w:r w:rsidRPr="00C66172">
              <w:rPr>
                <w:i w:val="0"/>
                <w:iCs/>
                <w:sz w:val="16"/>
                <w:szCs w:val="16"/>
              </w:rPr>
              <w:t xml:space="preserve">Other Economic Flows – </w:t>
            </w:r>
            <w:r>
              <w:rPr>
                <w:i w:val="0"/>
                <w:iCs/>
                <w:sz w:val="16"/>
                <w:szCs w:val="16"/>
              </w:rPr>
              <w:t>Other Comprehensive Income</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p>
        </w:tc>
        <w:tc>
          <w:tcPr>
            <w:tcW w:w="597" w:type="pct"/>
            <w:vAlign w:val="bottom"/>
          </w:tcPr>
          <w:p w:rsidR="00004CA1" w:rsidRPr="00C66172" w:rsidRDefault="00004CA1" w:rsidP="00FF33F8">
            <w:pPr>
              <w:spacing w:line="240" w:lineRule="auto"/>
              <w:ind w:left="-200" w:right="110"/>
              <w:jc w:val="right"/>
              <w:rPr>
                <w:sz w:val="16"/>
                <w:szCs w:val="16"/>
              </w:rPr>
            </w:pPr>
          </w:p>
        </w:tc>
        <w:tc>
          <w:tcPr>
            <w:tcW w:w="525" w:type="pct"/>
            <w:vAlign w:val="bottom"/>
          </w:tcPr>
          <w:p w:rsidR="00004CA1" w:rsidRPr="00C66172" w:rsidRDefault="00004CA1" w:rsidP="00FF33F8">
            <w:pPr>
              <w:spacing w:line="240" w:lineRule="auto"/>
              <w:ind w:left="-110" w:right="140"/>
              <w:jc w:val="right"/>
              <w:rPr>
                <w:sz w:val="16"/>
                <w:szCs w:val="16"/>
              </w:rPr>
            </w:pPr>
          </w:p>
        </w:tc>
        <w:tc>
          <w:tcPr>
            <w:tcW w:w="734" w:type="pct"/>
            <w:vAlign w:val="bottom"/>
          </w:tcPr>
          <w:p w:rsidR="00004CA1" w:rsidRPr="00C66172" w:rsidRDefault="00004CA1" w:rsidP="00FF33F8">
            <w:pPr>
              <w:spacing w:line="240" w:lineRule="auto"/>
              <w:ind w:right="100"/>
              <w:jc w:val="right"/>
              <w:rPr>
                <w:sz w:val="16"/>
                <w:szCs w:val="16"/>
              </w:rPr>
            </w:pPr>
          </w:p>
        </w:tc>
        <w:tc>
          <w:tcPr>
            <w:tcW w:w="836" w:type="pct"/>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vAlign w:val="center"/>
          </w:tcPr>
          <w:p w:rsidR="00004CA1" w:rsidRPr="00C66172" w:rsidRDefault="00004CA1" w:rsidP="00004CA1">
            <w:pPr>
              <w:spacing w:line="240" w:lineRule="auto"/>
              <w:rPr>
                <w:sz w:val="16"/>
                <w:szCs w:val="16"/>
              </w:rPr>
            </w:pP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p>
        </w:tc>
        <w:tc>
          <w:tcPr>
            <w:tcW w:w="597" w:type="pct"/>
            <w:vAlign w:val="bottom"/>
          </w:tcPr>
          <w:p w:rsidR="00004CA1" w:rsidRPr="00C66172" w:rsidRDefault="00004CA1" w:rsidP="00FF33F8">
            <w:pPr>
              <w:spacing w:line="240" w:lineRule="auto"/>
              <w:ind w:left="-200" w:right="110"/>
              <w:jc w:val="right"/>
              <w:rPr>
                <w:sz w:val="16"/>
                <w:szCs w:val="16"/>
              </w:rPr>
            </w:pPr>
          </w:p>
        </w:tc>
        <w:tc>
          <w:tcPr>
            <w:tcW w:w="525" w:type="pct"/>
            <w:vAlign w:val="bottom"/>
          </w:tcPr>
          <w:p w:rsidR="00004CA1" w:rsidRPr="00C66172" w:rsidRDefault="00004CA1" w:rsidP="00FF33F8">
            <w:pPr>
              <w:spacing w:line="240" w:lineRule="auto"/>
              <w:ind w:left="-110" w:right="140"/>
              <w:jc w:val="right"/>
              <w:rPr>
                <w:sz w:val="16"/>
                <w:szCs w:val="16"/>
              </w:rPr>
            </w:pPr>
          </w:p>
        </w:tc>
        <w:tc>
          <w:tcPr>
            <w:tcW w:w="734" w:type="pct"/>
            <w:vAlign w:val="bottom"/>
          </w:tcPr>
          <w:p w:rsidR="00004CA1" w:rsidRPr="00C66172" w:rsidRDefault="00004CA1" w:rsidP="00FF33F8">
            <w:pPr>
              <w:spacing w:line="240" w:lineRule="auto"/>
              <w:ind w:right="100"/>
              <w:jc w:val="right"/>
              <w:rPr>
                <w:sz w:val="16"/>
                <w:szCs w:val="16"/>
              </w:rPr>
            </w:pPr>
          </w:p>
        </w:tc>
        <w:tc>
          <w:tcPr>
            <w:tcW w:w="836" w:type="pct"/>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vAlign w:val="center"/>
          </w:tcPr>
          <w:p w:rsidR="00004CA1" w:rsidRPr="004B6113" w:rsidRDefault="00004CA1" w:rsidP="00004CA1">
            <w:pPr>
              <w:spacing w:line="240" w:lineRule="auto"/>
              <w:rPr>
                <w:sz w:val="16"/>
                <w:szCs w:val="16"/>
              </w:rPr>
            </w:pPr>
            <w:r w:rsidRPr="005B4F7A">
              <w:rPr>
                <w:b/>
                <w:i/>
                <w:sz w:val="16"/>
                <w:szCs w:val="16"/>
              </w:rPr>
              <w:t>Items that will not be reclassified to operating result</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p>
        </w:tc>
        <w:tc>
          <w:tcPr>
            <w:tcW w:w="597" w:type="pct"/>
            <w:vAlign w:val="bottom"/>
          </w:tcPr>
          <w:p w:rsidR="00004CA1" w:rsidRPr="00C66172" w:rsidRDefault="00004CA1" w:rsidP="00FF33F8">
            <w:pPr>
              <w:spacing w:line="240" w:lineRule="auto"/>
              <w:ind w:left="-200" w:right="110"/>
              <w:jc w:val="right"/>
              <w:rPr>
                <w:sz w:val="16"/>
                <w:szCs w:val="16"/>
              </w:rPr>
            </w:pPr>
          </w:p>
        </w:tc>
        <w:tc>
          <w:tcPr>
            <w:tcW w:w="525" w:type="pct"/>
            <w:vAlign w:val="bottom"/>
          </w:tcPr>
          <w:p w:rsidR="00004CA1" w:rsidRPr="00C66172" w:rsidRDefault="00004CA1" w:rsidP="00FF33F8">
            <w:pPr>
              <w:spacing w:line="240" w:lineRule="auto"/>
              <w:ind w:left="-110" w:right="140"/>
              <w:jc w:val="right"/>
              <w:rPr>
                <w:sz w:val="16"/>
                <w:szCs w:val="16"/>
              </w:rPr>
            </w:pPr>
          </w:p>
        </w:tc>
        <w:tc>
          <w:tcPr>
            <w:tcW w:w="734" w:type="pct"/>
            <w:vAlign w:val="bottom"/>
          </w:tcPr>
          <w:p w:rsidR="00004CA1" w:rsidRPr="00C66172" w:rsidRDefault="00004CA1" w:rsidP="00FF33F8">
            <w:pPr>
              <w:spacing w:line="240" w:lineRule="auto"/>
              <w:ind w:right="100"/>
              <w:jc w:val="right"/>
              <w:rPr>
                <w:sz w:val="16"/>
                <w:szCs w:val="16"/>
              </w:rPr>
            </w:pPr>
          </w:p>
        </w:tc>
        <w:tc>
          <w:tcPr>
            <w:tcW w:w="836" w:type="pct"/>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vAlign w:val="center"/>
          </w:tcPr>
          <w:p w:rsidR="00004CA1" w:rsidRPr="00C66172" w:rsidRDefault="00004CA1" w:rsidP="00004CA1">
            <w:pPr>
              <w:spacing w:line="240" w:lineRule="auto"/>
              <w:rPr>
                <w:rFonts w:eastAsia="Arial Unicode MS"/>
                <w:sz w:val="16"/>
                <w:szCs w:val="16"/>
              </w:rPr>
            </w:pPr>
            <w:r w:rsidRPr="00C66172">
              <w:rPr>
                <w:sz w:val="16"/>
                <w:szCs w:val="16"/>
              </w:rPr>
              <w:t>Revaluations</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rFonts w:eastAsia="Arial Unicode MS"/>
                <w:sz w:val="16"/>
                <w:szCs w:val="16"/>
              </w:rPr>
            </w:pPr>
            <w:r w:rsidRPr="00C66172">
              <w:rPr>
                <w:sz w:val="16"/>
                <w:szCs w:val="16"/>
              </w:rPr>
              <w:t>1,552</w:t>
            </w:r>
            <w:r w:rsidR="00681491">
              <w:rPr>
                <w:sz w:val="16"/>
                <w:szCs w:val="16"/>
              </w:rPr>
              <w:t> </w:t>
            </w:r>
          </w:p>
        </w:tc>
        <w:tc>
          <w:tcPr>
            <w:tcW w:w="597" w:type="pct"/>
            <w:vAlign w:val="bottom"/>
          </w:tcPr>
          <w:p w:rsidR="00004CA1" w:rsidRPr="00C66172" w:rsidRDefault="00004CA1" w:rsidP="00FF33F8">
            <w:pPr>
              <w:spacing w:line="240" w:lineRule="auto"/>
              <w:ind w:left="-200" w:right="110"/>
              <w:jc w:val="right"/>
              <w:rPr>
                <w:sz w:val="16"/>
                <w:szCs w:val="16"/>
              </w:rPr>
            </w:pPr>
            <w:r w:rsidRPr="00C66172">
              <w:rPr>
                <w:sz w:val="16"/>
                <w:szCs w:val="16"/>
              </w:rPr>
              <w:t>20</w:t>
            </w:r>
            <w:r w:rsidR="00681491">
              <w:rPr>
                <w:sz w:val="16"/>
                <w:szCs w:val="16"/>
              </w:rPr>
              <w:t> </w:t>
            </w:r>
          </w:p>
        </w:tc>
        <w:tc>
          <w:tcPr>
            <w:tcW w:w="525" w:type="pct"/>
            <w:vAlign w:val="bottom"/>
          </w:tcPr>
          <w:p w:rsidR="00004CA1" w:rsidRPr="00C66172" w:rsidRDefault="00004CA1" w:rsidP="00FF33F8">
            <w:pPr>
              <w:spacing w:line="240" w:lineRule="auto"/>
              <w:ind w:left="-110" w:right="140"/>
              <w:jc w:val="right"/>
              <w:rPr>
                <w:sz w:val="16"/>
                <w:szCs w:val="16"/>
              </w:rPr>
            </w:pPr>
            <w:r w:rsidRPr="00C66172">
              <w:rPr>
                <w:sz w:val="16"/>
                <w:szCs w:val="16"/>
              </w:rPr>
              <w:t>17</w:t>
            </w:r>
            <w:r w:rsidR="00681491">
              <w:rPr>
                <w:sz w:val="16"/>
                <w:szCs w:val="16"/>
              </w:rPr>
              <w:t> </w:t>
            </w:r>
          </w:p>
        </w:tc>
        <w:tc>
          <w:tcPr>
            <w:tcW w:w="734" w:type="pct"/>
            <w:vAlign w:val="bottom"/>
          </w:tcPr>
          <w:p w:rsidR="00004CA1" w:rsidRPr="00C66172" w:rsidRDefault="00004CA1" w:rsidP="00FF33F8">
            <w:pPr>
              <w:spacing w:line="240" w:lineRule="auto"/>
              <w:ind w:right="100"/>
              <w:jc w:val="right"/>
              <w:rPr>
                <w:sz w:val="16"/>
                <w:szCs w:val="16"/>
              </w:rPr>
            </w:pPr>
            <w:r w:rsidRPr="00C66172">
              <w:rPr>
                <w:sz w:val="16"/>
                <w:szCs w:val="16"/>
              </w:rPr>
              <w:t>-</w:t>
            </w:r>
            <w:r w:rsidR="00681491">
              <w:rPr>
                <w:sz w:val="16"/>
                <w:szCs w:val="16"/>
              </w:rPr>
              <w:t> </w:t>
            </w:r>
          </w:p>
        </w:tc>
        <w:tc>
          <w:tcPr>
            <w:tcW w:w="836" w:type="pct"/>
            <w:vAlign w:val="bottom"/>
          </w:tcPr>
          <w:p w:rsidR="00004CA1" w:rsidRPr="00C66172" w:rsidRDefault="00004CA1" w:rsidP="00FF33F8">
            <w:pPr>
              <w:spacing w:line="240" w:lineRule="auto"/>
              <w:ind w:right="200"/>
              <w:jc w:val="right"/>
              <w:rPr>
                <w:sz w:val="16"/>
                <w:szCs w:val="16"/>
              </w:rPr>
            </w:pPr>
            <w:r w:rsidRPr="00C66172">
              <w:rPr>
                <w:sz w:val="16"/>
                <w:szCs w:val="16"/>
              </w:rPr>
              <w:t>1,589</w:t>
            </w:r>
            <w:r w:rsidR="00681491">
              <w:rPr>
                <w:sz w:val="16"/>
                <w:szCs w:val="16"/>
              </w:rPr>
              <w:t> </w:t>
            </w:r>
          </w:p>
        </w:tc>
      </w:tr>
      <w:tr w:rsidR="00004CA1" w:rsidTr="004E2478">
        <w:trPr>
          <w:cantSplit/>
        </w:trPr>
        <w:tc>
          <w:tcPr>
            <w:tcW w:w="1259" w:type="pct"/>
          </w:tcPr>
          <w:p w:rsidR="00004CA1" w:rsidRPr="00D34472" w:rsidRDefault="00004CA1" w:rsidP="002949B1">
            <w:pPr>
              <w:spacing w:line="240" w:lineRule="auto"/>
              <w:ind w:left="142" w:hanging="142"/>
              <w:rPr>
                <w:sz w:val="16"/>
                <w:szCs w:val="16"/>
                <w:u w:val="single"/>
              </w:rPr>
            </w:pPr>
            <w:r w:rsidRPr="00D34472">
              <w:rPr>
                <w:sz w:val="16"/>
                <w:szCs w:val="16"/>
                <w:u w:val="single"/>
              </w:rPr>
              <w:lastRenderedPageBreak/>
              <w:t>Remeasurements of the defined benefit liability</w:t>
            </w:r>
          </w:p>
        </w:tc>
        <w:tc>
          <w:tcPr>
            <w:tcW w:w="524" w:type="pct"/>
            <w:vAlign w:val="center"/>
          </w:tcPr>
          <w:p w:rsidR="00004CA1" w:rsidRPr="00D34472" w:rsidRDefault="00004CA1" w:rsidP="00004CA1">
            <w:pPr>
              <w:spacing w:line="240" w:lineRule="auto"/>
              <w:jc w:val="center"/>
              <w:rPr>
                <w:rFonts w:eastAsia="Arial Unicode MS"/>
                <w:sz w:val="16"/>
                <w:szCs w:val="16"/>
                <w:u w:val="single"/>
              </w:rPr>
            </w:pPr>
          </w:p>
        </w:tc>
        <w:tc>
          <w:tcPr>
            <w:tcW w:w="525" w:type="pct"/>
            <w:vAlign w:val="bottom"/>
          </w:tcPr>
          <w:p w:rsidR="00004CA1" w:rsidRPr="00D34472" w:rsidRDefault="00D34472" w:rsidP="00FF33F8">
            <w:pPr>
              <w:spacing w:line="240" w:lineRule="auto"/>
              <w:ind w:left="-215" w:right="65"/>
              <w:jc w:val="right"/>
              <w:rPr>
                <w:rFonts w:eastAsia="Arial Unicode MS"/>
                <w:sz w:val="16"/>
                <w:szCs w:val="16"/>
                <w:u w:val="single"/>
              </w:rPr>
            </w:pPr>
            <w:r>
              <w:rPr>
                <w:sz w:val="16"/>
                <w:szCs w:val="16"/>
                <w:u w:val="single"/>
              </w:rPr>
              <w:t>840</w:t>
            </w:r>
            <w:r w:rsidR="00681491">
              <w:rPr>
                <w:sz w:val="16"/>
                <w:szCs w:val="16"/>
              </w:rPr>
              <w:t> </w:t>
            </w:r>
          </w:p>
        </w:tc>
        <w:tc>
          <w:tcPr>
            <w:tcW w:w="597" w:type="pct"/>
            <w:vAlign w:val="bottom"/>
          </w:tcPr>
          <w:p w:rsidR="00004CA1" w:rsidRPr="00D34472" w:rsidRDefault="00D34472" w:rsidP="00FF33F8">
            <w:pPr>
              <w:spacing w:line="240" w:lineRule="auto"/>
              <w:ind w:left="-200" w:right="110"/>
              <w:jc w:val="right"/>
              <w:rPr>
                <w:sz w:val="16"/>
                <w:szCs w:val="16"/>
                <w:u w:val="single"/>
              </w:rPr>
            </w:pPr>
            <w:r>
              <w:rPr>
                <w:sz w:val="16"/>
                <w:szCs w:val="16"/>
                <w:u w:val="single"/>
              </w:rPr>
              <w:t>21</w:t>
            </w:r>
            <w:r w:rsidR="00681491">
              <w:rPr>
                <w:sz w:val="16"/>
                <w:szCs w:val="16"/>
              </w:rPr>
              <w:t> </w:t>
            </w:r>
          </w:p>
        </w:tc>
        <w:tc>
          <w:tcPr>
            <w:tcW w:w="525" w:type="pct"/>
            <w:vAlign w:val="bottom"/>
          </w:tcPr>
          <w:p w:rsidR="00004CA1" w:rsidRPr="00D34472" w:rsidRDefault="00D34472" w:rsidP="00FF33F8">
            <w:pPr>
              <w:spacing w:line="240" w:lineRule="auto"/>
              <w:ind w:left="-110" w:right="140"/>
              <w:jc w:val="right"/>
              <w:rPr>
                <w:sz w:val="16"/>
                <w:szCs w:val="16"/>
                <w:u w:val="single"/>
              </w:rPr>
            </w:pPr>
            <w:r>
              <w:rPr>
                <w:sz w:val="16"/>
                <w:szCs w:val="16"/>
                <w:u w:val="single"/>
              </w:rPr>
              <w:t>5</w:t>
            </w:r>
            <w:r w:rsidR="00681491">
              <w:rPr>
                <w:sz w:val="16"/>
                <w:szCs w:val="16"/>
              </w:rPr>
              <w:t> </w:t>
            </w:r>
          </w:p>
        </w:tc>
        <w:tc>
          <w:tcPr>
            <w:tcW w:w="734" w:type="pct"/>
            <w:vAlign w:val="bottom"/>
          </w:tcPr>
          <w:p w:rsidR="00004CA1" w:rsidRPr="00D34472" w:rsidRDefault="00004CA1" w:rsidP="00FF33F8">
            <w:pPr>
              <w:spacing w:line="240" w:lineRule="auto"/>
              <w:ind w:right="100"/>
              <w:jc w:val="right"/>
              <w:rPr>
                <w:sz w:val="16"/>
                <w:szCs w:val="16"/>
                <w:u w:val="single"/>
              </w:rPr>
            </w:pPr>
            <w:r w:rsidRPr="00D34472">
              <w:rPr>
                <w:sz w:val="16"/>
                <w:szCs w:val="16"/>
                <w:u w:val="single"/>
              </w:rPr>
              <w:t>-</w:t>
            </w:r>
            <w:r w:rsidR="00681491">
              <w:rPr>
                <w:sz w:val="16"/>
                <w:szCs w:val="16"/>
              </w:rPr>
              <w:t> </w:t>
            </w:r>
          </w:p>
        </w:tc>
        <w:tc>
          <w:tcPr>
            <w:tcW w:w="836" w:type="pct"/>
            <w:vAlign w:val="bottom"/>
          </w:tcPr>
          <w:p w:rsidR="00004CA1" w:rsidRPr="00D34472" w:rsidRDefault="00004CA1" w:rsidP="00FF33F8">
            <w:pPr>
              <w:spacing w:line="240" w:lineRule="auto"/>
              <w:ind w:right="200"/>
              <w:jc w:val="right"/>
              <w:rPr>
                <w:sz w:val="16"/>
                <w:szCs w:val="16"/>
                <w:u w:val="single"/>
              </w:rPr>
            </w:pPr>
            <w:r w:rsidRPr="00D34472">
              <w:rPr>
                <w:sz w:val="16"/>
                <w:szCs w:val="16"/>
                <w:u w:val="single"/>
              </w:rPr>
              <w:t>866</w:t>
            </w:r>
            <w:r w:rsidR="00681491">
              <w:rPr>
                <w:sz w:val="16"/>
                <w:szCs w:val="16"/>
              </w:rPr>
              <w:t> </w:t>
            </w:r>
          </w:p>
        </w:tc>
      </w:tr>
      <w:tr w:rsidR="00004CA1" w:rsidTr="004E2478">
        <w:tc>
          <w:tcPr>
            <w:tcW w:w="1259" w:type="pct"/>
            <w:vAlign w:val="center"/>
          </w:tcPr>
          <w:p w:rsidR="00004CA1" w:rsidRPr="00C66172" w:rsidRDefault="00004CA1" w:rsidP="00004CA1">
            <w:pPr>
              <w:spacing w:line="240" w:lineRule="auto"/>
              <w:rPr>
                <w:sz w:val="16"/>
                <w:szCs w:val="16"/>
              </w:rPr>
            </w:pP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p>
        </w:tc>
        <w:tc>
          <w:tcPr>
            <w:tcW w:w="597" w:type="pct"/>
            <w:vAlign w:val="bottom"/>
          </w:tcPr>
          <w:p w:rsidR="00004CA1" w:rsidRPr="00C66172" w:rsidRDefault="00004CA1" w:rsidP="00FF33F8">
            <w:pPr>
              <w:spacing w:line="240" w:lineRule="auto"/>
              <w:ind w:left="-200" w:right="110"/>
              <w:jc w:val="right"/>
              <w:rPr>
                <w:sz w:val="16"/>
                <w:szCs w:val="16"/>
              </w:rPr>
            </w:pPr>
          </w:p>
        </w:tc>
        <w:tc>
          <w:tcPr>
            <w:tcW w:w="525" w:type="pct"/>
            <w:vAlign w:val="bottom"/>
          </w:tcPr>
          <w:p w:rsidR="00004CA1" w:rsidRPr="00C66172" w:rsidRDefault="00004CA1" w:rsidP="00FF33F8">
            <w:pPr>
              <w:spacing w:line="240" w:lineRule="auto"/>
              <w:ind w:left="-110" w:right="140"/>
              <w:jc w:val="right"/>
              <w:rPr>
                <w:sz w:val="16"/>
                <w:szCs w:val="16"/>
              </w:rPr>
            </w:pPr>
          </w:p>
        </w:tc>
        <w:tc>
          <w:tcPr>
            <w:tcW w:w="734" w:type="pct"/>
            <w:vAlign w:val="bottom"/>
          </w:tcPr>
          <w:p w:rsidR="00004CA1" w:rsidRPr="00C66172" w:rsidRDefault="00004CA1" w:rsidP="00FF33F8">
            <w:pPr>
              <w:spacing w:line="240" w:lineRule="auto"/>
              <w:ind w:right="100"/>
              <w:jc w:val="right"/>
              <w:rPr>
                <w:sz w:val="16"/>
                <w:szCs w:val="16"/>
              </w:rPr>
            </w:pPr>
          </w:p>
        </w:tc>
        <w:tc>
          <w:tcPr>
            <w:tcW w:w="836" w:type="pct"/>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vAlign w:val="center"/>
          </w:tcPr>
          <w:p w:rsidR="00004CA1" w:rsidRPr="004B6113" w:rsidRDefault="00004CA1" w:rsidP="00004CA1">
            <w:pPr>
              <w:spacing w:line="240" w:lineRule="auto"/>
              <w:rPr>
                <w:sz w:val="16"/>
                <w:szCs w:val="16"/>
              </w:rPr>
            </w:pPr>
            <w:r w:rsidRPr="005B4F7A">
              <w:rPr>
                <w:b/>
                <w:i/>
                <w:sz w:val="16"/>
                <w:szCs w:val="16"/>
              </w:rPr>
              <w:t>Items that may be reclassified subsequently to operating result</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bottom"/>
          </w:tcPr>
          <w:p w:rsidR="00004CA1" w:rsidRPr="00C66172" w:rsidRDefault="00004CA1" w:rsidP="00FF33F8">
            <w:pPr>
              <w:spacing w:line="240" w:lineRule="auto"/>
              <w:ind w:left="-215" w:right="65"/>
              <w:jc w:val="right"/>
              <w:rPr>
                <w:sz w:val="16"/>
                <w:szCs w:val="16"/>
              </w:rPr>
            </w:pPr>
          </w:p>
        </w:tc>
        <w:tc>
          <w:tcPr>
            <w:tcW w:w="597" w:type="pct"/>
            <w:vAlign w:val="bottom"/>
          </w:tcPr>
          <w:p w:rsidR="00004CA1" w:rsidRPr="00C66172" w:rsidRDefault="00004CA1" w:rsidP="00FF33F8">
            <w:pPr>
              <w:spacing w:line="240" w:lineRule="auto"/>
              <w:ind w:left="-200" w:right="110"/>
              <w:jc w:val="right"/>
              <w:rPr>
                <w:sz w:val="16"/>
                <w:szCs w:val="16"/>
              </w:rPr>
            </w:pPr>
          </w:p>
        </w:tc>
        <w:tc>
          <w:tcPr>
            <w:tcW w:w="525" w:type="pct"/>
            <w:vAlign w:val="bottom"/>
          </w:tcPr>
          <w:p w:rsidR="00004CA1" w:rsidRPr="00C66172" w:rsidRDefault="00004CA1" w:rsidP="00FF33F8">
            <w:pPr>
              <w:spacing w:line="240" w:lineRule="auto"/>
              <w:ind w:left="-110" w:right="140"/>
              <w:jc w:val="right"/>
              <w:rPr>
                <w:sz w:val="16"/>
                <w:szCs w:val="16"/>
              </w:rPr>
            </w:pPr>
          </w:p>
        </w:tc>
        <w:tc>
          <w:tcPr>
            <w:tcW w:w="734" w:type="pct"/>
            <w:vAlign w:val="bottom"/>
          </w:tcPr>
          <w:p w:rsidR="00004CA1" w:rsidRPr="00C66172" w:rsidRDefault="00004CA1" w:rsidP="00FF33F8">
            <w:pPr>
              <w:spacing w:line="240" w:lineRule="auto"/>
              <w:ind w:right="100"/>
              <w:jc w:val="right"/>
              <w:rPr>
                <w:sz w:val="16"/>
                <w:szCs w:val="16"/>
              </w:rPr>
            </w:pPr>
          </w:p>
        </w:tc>
        <w:tc>
          <w:tcPr>
            <w:tcW w:w="836" w:type="pct"/>
            <w:vAlign w:val="bottom"/>
          </w:tcPr>
          <w:p w:rsidR="00004CA1" w:rsidRPr="00C66172" w:rsidRDefault="00004CA1" w:rsidP="00FF33F8">
            <w:pPr>
              <w:spacing w:line="240" w:lineRule="auto"/>
              <w:ind w:right="200"/>
              <w:jc w:val="right"/>
              <w:rPr>
                <w:sz w:val="16"/>
                <w:szCs w:val="16"/>
              </w:rPr>
            </w:pPr>
          </w:p>
        </w:tc>
      </w:tr>
      <w:tr w:rsidR="00004CA1" w:rsidTr="004E2478">
        <w:tc>
          <w:tcPr>
            <w:tcW w:w="1259" w:type="pct"/>
            <w:vAlign w:val="center"/>
          </w:tcPr>
          <w:p w:rsidR="00004CA1" w:rsidRPr="00C66172" w:rsidRDefault="00004CA1" w:rsidP="002949B1">
            <w:pPr>
              <w:spacing w:line="240" w:lineRule="auto"/>
              <w:ind w:left="142" w:hanging="142"/>
              <w:rPr>
                <w:sz w:val="16"/>
                <w:szCs w:val="16"/>
              </w:rPr>
            </w:pPr>
            <w:r w:rsidRPr="00C66172">
              <w:rPr>
                <w:sz w:val="16"/>
                <w:szCs w:val="16"/>
              </w:rPr>
              <w:t>Net gain on equity investments in other sector entities measured at proportional share of the carrying amount of net assets/</w:t>
            </w:r>
            <w:r w:rsidR="002949B1">
              <w:rPr>
                <w:sz w:val="16"/>
                <w:szCs w:val="16"/>
              </w:rPr>
              <w:br/>
            </w:r>
            <w:r w:rsidRPr="00C66172">
              <w:rPr>
                <w:sz w:val="16"/>
                <w:szCs w:val="16"/>
              </w:rPr>
              <w:t>(liabilities)</w:t>
            </w:r>
          </w:p>
        </w:tc>
        <w:tc>
          <w:tcPr>
            <w:tcW w:w="524" w:type="pct"/>
            <w:vAlign w:val="center"/>
          </w:tcPr>
          <w:p w:rsidR="00004CA1" w:rsidRPr="00C66172" w:rsidRDefault="00004CA1" w:rsidP="00004CA1">
            <w:pPr>
              <w:spacing w:line="160" w:lineRule="exact"/>
              <w:jc w:val="center"/>
              <w:rPr>
                <w:sz w:val="16"/>
                <w:szCs w:val="16"/>
              </w:rPr>
            </w:pPr>
          </w:p>
        </w:tc>
        <w:tc>
          <w:tcPr>
            <w:tcW w:w="525" w:type="pct"/>
            <w:vAlign w:val="bottom"/>
          </w:tcPr>
          <w:p w:rsidR="00004CA1" w:rsidRPr="00C66172" w:rsidRDefault="00004CA1" w:rsidP="00FF33F8">
            <w:pPr>
              <w:spacing w:line="160" w:lineRule="exact"/>
              <w:ind w:left="-215" w:right="65"/>
              <w:jc w:val="right"/>
              <w:rPr>
                <w:sz w:val="16"/>
                <w:szCs w:val="16"/>
              </w:rPr>
            </w:pPr>
            <w:r w:rsidRPr="00C66172">
              <w:rPr>
                <w:sz w:val="16"/>
                <w:szCs w:val="16"/>
              </w:rPr>
              <w:br/>
              <w:t xml:space="preserve">1,072  </w:t>
            </w:r>
          </w:p>
        </w:tc>
        <w:tc>
          <w:tcPr>
            <w:tcW w:w="597" w:type="pct"/>
            <w:vAlign w:val="bottom"/>
          </w:tcPr>
          <w:p w:rsidR="00004CA1" w:rsidRPr="00C66172" w:rsidRDefault="00004CA1" w:rsidP="00FF33F8">
            <w:pPr>
              <w:spacing w:line="160" w:lineRule="exact"/>
              <w:ind w:left="-200" w:right="110"/>
              <w:jc w:val="right"/>
              <w:rPr>
                <w:sz w:val="16"/>
                <w:szCs w:val="16"/>
              </w:rPr>
            </w:pPr>
            <w:r w:rsidRPr="00C66172">
              <w:rPr>
                <w:sz w:val="16"/>
                <w:szCs w:val="16"/>
              </w:rPr>
              <w:br/>
              <w:t>- </w:t>
            </w:r>
          </w:p>
        </w:tc>
        <w:tc>
          <w:tcPr>
            <w:tcW w:w="525" w:type="pct"/>
            <w:vAlign w:val="bottom"/>
          </w:tcPr>
          <w:p w:rsidR="00004CA1" w:rsidRPr="00C66172" w:rsidRDefault="00004CA1" w:rsidP="00FF33F8">
            <w:pPr>
              <w:spacing w:line="160" w:lineRule="exact"/>
              <w:ind w:left="-110" w:right="140"/>
              <w:jc w:val="right"/>
              <w:rPr>
                <w:sz w:val="16"/>
                <w:szCs w:val="16"/>
              </w:rPr>
            </w:pPr>
            <w:r w:rsidRPr="00C66172">
              <w:rPr>
                <w:sz w:val="16"/>
                <w:szCs w:val="16"/>
              </w:rPr>
              <w:br/>
              <w:t>- </w:t>
            </w:r>
          </w:p>
        </w:tc>
        <w:tc>
          <w:tcPr>
            <w:tcW w:w="734" w:type="pct"/>
            <w:vAlign w:val="bottom"/>
          </w:tcPr>
          <w:p w:rsidR="00004CA1" w:rsidRPr="00C66172" w:rsidRDefault="00004CA1" w:rsidP="00FF33F8">
            <w:pPr>
              <w:spacing w:line="160" w:lineRule="exact"/>
              <w:ind w:right="100"/>
              <w:jc w:val="right"/>
              <w:rPr>
                <w:sz w:val="16"/>
                <w:szCs w:val="16"/>
              </w:rPr>
            </w:pPr>
            <w:r w:rsidRPr="00C66172">
              <w:rPr>
                <w:sz w:val="16"/>
                <w:szCs w:val="16"/>
              </w:rPr>
              <w:br/>
              <w:t>(1,072)</w:t>
            </w:r>
          </w:p>
        </w:tc>
        <w:tc>
          <w:tcPr>
            <w:tcW w:w="836" w:type="pct"/>
            <w:vAlign w:val="bottom"/>
          </w:tcPr>
          <w:p w:rsidR="00004CA1" w:rsidRPr="00C66172" w:rsidRDefault="00004CA1" w:rsidP="00FF33F8">
            <w:pPr>
              <w:spacing w:line="160" w:lineRule="exact"/>
              <w:ind w:right="200"/>
              <w:jc w:val="right"/>
              <w:rPr>
                <w:sz w:val="16"/>
                <w:szCs w:val="16"/>
              </w:rPr>
            </w:pPr>
            <w:r w:rsidRPr="00C66172">
              <w:rPr>
                <w:sz w:val="16"/>
                <w:szCs w:val="16"/>
              </w:rPr>
              <w:br/>
              <w:t>- </w:t>
            </w:r>
          </w:p>
        </w:tc>
      </w:tr>
      <w:tr w:rsidR="00004CA1" w:rsidTr="004E2478">
        <w:tc>
          <w:tcPr>
            <w:tcW w:w="1259" w:type="pct"/>
            <w:vAlign w:val="center"/>
          </w:tcPr>
          <w:p w:rsidR="00004CA1" w:rsidRPr="00C66172" w:rsidRDefault="00004CA1" w:rsidP="002949B1">
            <w:pPr>
              <w:spacing w:line="240" w:lineRule="auto"/>
              <w:ind w:left="142" w:hanging="142"/>
              <w:rPr>
                <w:sz w:val="16"/>
                <w:szCs w:val="16"/>
              </w:rPr>
            </w:pPr>
            <w:r w:rsidRPr="00C66172">
              <w:rPr>
                <w:sz w:val="16"/>
                <w:szCs w:val="16"/>
              </w:rPr>
              <w:t>Net gain on financial assets measured at fair value</w:t>
            </w: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tcBorders>
              <w:bottom w:val="single" w:sz="4" w:space="0" w:color="auto"/>
            </w:tcBorders>
            <w:vAlign w:val="bottom"/>
          </w:tcPr>
          <w:p w:rsidR="00004CA1" w:rsidRPr="00C66172" w:rsidRDefault="00004CA1" w:rsidP="00FF33F8">
            <w:pPr>
              <w:spacing w:line="240" w:lineRule="auto"/>
              <w:ind w:left="-215" w:right="65"/>
              <w:jc w:val="right"/>
              <w:rPr>
                <w:sz w:val="16"/>
                <w:szCs w:val="16"/>
              </w:rPr>
            </w:pPr>
            <w:r w:rsidRPr="00C66172">
              <w:rPr>
                <w:sz w:val="16"/>
                <w:szCs w:val="16"/>
              </w:rPr>
              <w:t>1,000 </w:t>
            </w:r>
          </w:p>
        </w:tc>
        <w:tc>
          <w:tcPr>
            <w:tcW w:w="597" w:type="pct"/>
            <w:tcBorders>
              <w:bottom w:val="single" w:sz="4" w:space="0" w:color="auto"/>
            </w:tcBorders>
            <w:vAlign w:val="bottom"/>
          </w:tcPr>
          <w:p w:rsidR="00004CA1" w:rsidRPr="00C66172" w:rsidRDefault="00004CA1" w:rsidP="00FF33F8">
            <w:pPr>
              <w:spacing w:line="240" w:lineRule="auto"/>
              <w:ind w:left="-200" w:right="110"/>
              <w:jc w:val="right"/>
              <w:rPr>
                <w:sz w:val="16"/>
                <w:szCs w:val="16"/>
              </w:rPr>
            </w:pPr>
            <w:r w:rsidRPr="00C66172">
              <w:rPr>
                <w:sz w:val="16"/>
                <w:szCs w:val="16"/>
              </w:rPr>
              <w:t>15 </w:t>
            </w:r>
          </w:p>
        </w:tc>
        <w:tc>
          <w:tcPr>
            <w:tcW w:w="525" w:type="pct"/>
            <w:tcBorders>
              <w:bottom w:val="single" w:sz="4" w:space="0" w:color="auto"/>
            </w:tcBorders>
            <w:vAlign w:val="bottom"/>
          </w:tcPr>
          <w:p w:rsidR="00004CA1" w:rsidRPr="00C66172" w:rsidRDefault="00004CA1" w:rsidP="00FF33F8">
            <w:pPr>
              <w:spacing w:line="240" w:lineRule="auto"/>
              <w:ind w:left="-110" w:right="140"/>
              <w:jc w:val="right"/>
              <w:rPr>
                <w:sz w:val="16"/>
                <w:szCs w:val="16"/>
              </w:rPr>
            </w:pPr>
            <w:r w:rsidRPr="00C66172">
              <w:rPr>
                <w:sz w:val="16"/>
                <w:szCs w:val="16"/>
              </w:rPr>
              <w:t>1,931 </w:t>
            </w:r>
          </w:p>
        </w:tc>
        <w:tc>
          <w:tcPr>
            <w:tcW w:w="734" w:type="pct"/>
            <w:tcBorders>
              <w:bottom w:val="single" w:sz="4" w:space="0" w:color="auto"/>
            </w:tcBorders>
            <w:vAlign w:val="bottom"/>
          </w:tcPr>
          <w:p w:rsidR="00004CA1" w:rsidRPr="00C66172" w:rsidRDefault="00004CA1" w:rsidP="00FF33F8">
            <w:pPr>
              <w:spacing w:line="240" w:lineRule="auto"/>
              <w:ind w:right="100"/>
              <w:jc w:val="right"/>
              <w:rPr>
                <w:sz w:val="16"/>
                <w:szCs w:val="16"/>
              </w:rPr>
            </w:pPr>
            <w:r w:rsidRPr="00C66172">
              <w:rPr>
                <w:sz w:val="16"/>
                <w:szCs w:val="16"/>
              </w:rPr>
              <w:t>- </w:t>
            </w:r>
          </w:p>
        </w:tc>
        <w:tc>
          <w:tcPr>
            <w:tcW w:w="836" w:type="pct"/>
            <w:tcBorders>
              <w:bottom w:val="single" w:sz="4" w:space="0" w:color="auto"/>
            </w:tcBorders>
            <w:vAlign w:val="bottom"/>
          </w:tcPr>
          <w:p w:rsidR="00004CA1" w:rsidRPr="00C66172" w:rsidRDefault="00004CA1" w:rsidP="00FF33F8">
            <w:pPr>
              <w:spacing w:line="240" w:lineRule="auto"/>
              <w:ind w:right="200"/>
              <w:jc w:val="right"/>
              <w:rPr>
                <w:sz w:val="16"/>
                <w:szCs w:val="16"/>
              </w:rPr>
            </w:pPr>
            <w:r w:rsidRPr="00C66172">
              <w:rPr>
                <w:sz w:val="16"/>
                <w:szCs w:val="16"/>
              </w:rPr>
              <w:t>2,946 </w:t>
            </w:r>
          </w:p>
        </w:tc>
      </w:tr>
      <w:tr w:rsidR="00004CA1" w:rsidTr="004E2478">
        <w:tc>
          <w:tcPr>
            <w:tcW w:w="1259" w:type="pct"/>
          </w:tcPr>
          <w:p w:rsidR="00004CA1" w:rsidRPr="00C66172" w:rsidRDefault="00004CA1" w:rsidP="00004CA1">
            <w:pPr>
              <w:spacing w:line="240" w:lineRule="auto"/>
              <w:rPr>
                <w:sz w:val="16"/>
                <w:szCs w:val="16"/>
              </w:rPr>
            </w:pPr>
          </w:p>
        </w:tc>
        <w:tc>
          <w:tcPr>
            <w:tcW w:w="524" w:type="pct"/>
            <w:vAlign w:val="center"/>
          </w:tcPr>
          <w:p w:rsidR="00004CA1" w:rsidRPr="00C66172" w:rsidRDefault="00004CA1" w:rsidP="00004CA1">
            <w:pPr>
              <w:spacing w:line="240" w:lineRule="auto"/>
              <w:jc w:val="center"/>
              <w:rPr>
                <w:rFonts w:eastAsia="Arial Unicode MS"/>
                <w:sz w:val="16"/>
                <w:szCs w:val="16"/>
              </w:rPr>
            </w:pPr>
          </w:p>
        </w:tc>
        <w:tc>
          <w:tcPr>
            <w:tcW w:w="525" w:type="pct"/>
            <w:tcBorders>
              <w:top w:val="single" w:sz="4" w:space="0" w:color="auto"/>
            </w:tcBorders>
            <w:vAlign w:val="bottom"/>
          </w:tcPr>
          <w:p w:rsidR="00004CA1" w:rsidRDefault="00004CA1" w:rsidP="00FF33F8">
            <w:pPr>
              <w:spacing w:line="240" w:lineRule="auto"/>
              <w:ind w:left="-215" w:right="65"/>
              <w:jc w:val="right"/>
              <w:rPr>
                <w:strike/>
                <w:sz w:val="16"/>
                <w:szCs w:val="16"/>
              </w:rPr>
            </w:pPr>
            <w:r w:rsidRPr="00EC67A3">
              <w:rPr>
                <w:strike/>
                <w:sz w:val="16"/>
                <w:szCs w:val="16"/>
              </w:rPr>
              <w:t>3,624</w:t>
            </w:r>
            <w:r w:rsidR="00681491">
              <w:rPr>
                <w:strike/>
                <w:sz w:val="16"/>
                <w:szCs w:val="16"/>
              </w:rPr>
              <w:t> </w:t>
            </w:r>
          </w:p>
          <w:p w:rsidR="00EC67A3" w:rsidRPr="00EC67A3" w:rsidRDefault="00EC67A3" w:rsidP="00FF33F8">
            <w:pPr>
              <w:spacing w:line="240" w:lineRule="auto"/>
              <w:ind w:left="-215" w:right="65"/>
              <w:jc w:val="right"/>
              <w:rPr>
                <w:sz w:val="16"/>
                <w:szCs w:val="16"/>
                <w:u w:val="single"/>
              </w:rPr>
            </w:pPr>
            <w:r w:rsidRPr="00EC67A3">
              <w:rPr>
                <w:sz w:val="16"/>
                <w:szCs w:val="16"/>
                <w:u w:val="single"/>
              </w:rPr>
              <w:t>4,464</w:t>
            </w:r>
            <w:r w:rsidR="00681491">
              <w:rPr>
                <w:sz w:val="16"/>
                <w:szCs w:val="16"/>
              </w:rPr>
              <w:t> </w:t>
            </w:r>
          </w:p>
        </w:tc>
        <w:tc>
          <w:tcPr>
            <w:tcW w:w="597" w:type="pct"/>
            <w:tcBorders>
              <w:top w:val="single" w:sz="4" w:space="0" w:color="auto"/>
            </w:tcBorders>
            <w:vAlign w:val="bottom"/>
          </w:tcPr>
          <w:p w:rsidR="00004CA1" w:rsidRDefault="00004CA1" w:rsidP="00FF33F8">
            <w:pPr>
              <w:spacing w:line="240" w:lineRule="auto"/>
              <w:ind w:left="-200" w:right="110"/>
              <w:jc w:val="right"/>
              <w:rPr>
                <w:strike/>
                <w:sz w:val="16"/>
                <w:szCs w:val="16"/>
              </w:rPr>
            </w:pPr>
            <w:r w:rsidRPr="00EC67A3">
              <w:rPr>
                <w:strike/>
                <w:sz w:val="16"/>
                <w:szCs w:val="16"/>
              </w:rPr>
              <w:t>35</w:t>
            </w:r>
            <w:r w:rsidR="00681491">
              <w:rPr>
                <w:strike/>
                <w:sz w:val="16"/>
                <w:szCs w:val="16"/>
              </w:rPr>
              <w:t> </w:t>
            </w:r>
          </w:p>
          <w:p w:rsidR="00EC67A3" w:rsidRPr="00EC67A3" w:rsidRDefault="00EC67A3" w:rsidP="00FF33F8">
            <w:pPr>
              <w:spacing w:line="240" w:lineRule="auto"/>
              <w:ind w:left="-200" w:right="110"/>
              <w:jc w:val="right"/>
              <w:rPr>
                <w:sz w:val="16"/>
                <w:szCs w:val="16"/>
                <w:u w:val="single"/>
              </w:rPr>
            </w:pPr>
            <w:r w:rsidRPr="00EC67A3">
              <w:rPr>
                <w:sz w:val="16"/>
                <w:szCs w:val="16"/>
                <w:u w:val="single"/>
              </w:rPr>
              <w:t>56</w:t>
            </w:r>
            <w:r w:rsidR="00681491">
              <w:rPr>
                <w:sz w:val="16"/>
                <w:szCs w:val="16"/>
              </w:rPr>
              <w:t> </w:t>
            </w:r>
          </w:p>
        </w:tc>
        <w:tc>
          <w:tcPr>
            <w:tcW w:w="525" w:type="pct"/>
            <w:tcBorders>
              <w:top w:val="single" w:sz="4" w:space="0" w:color="auto"/>
            </w:tcBorders>
            <w:vAlign w:val="bottom"/>
          </w:tcPr>
          <w:p w:rsidR="00004CA1" w:rsidRDefault="00004CA1" w:rsidP="00FF33F8">
            <w:pPr>
              <w:spacing w:line="240" w:lineRule="auto"/>
              <w:ind w:left="-110" w:right="140"/>
              <w:jc w:val="right"/>
              <w:rPr>
                <w:strike/>
                <w:sz w:val="16"/>
                <w:szCs w:val="16"/>
              </w:rPr>
            </w:pPr>
            <w:r w:rsidRPr="00EC67A3">
              <w:rPr>
                <w:strike/>
                <w:sz w:val="16"/>
                <w:szCs w:val="16"/>
              </w:rPr>
              <w:t>1,</w:t>
            </w:r>
            <w:r w:rsidR="00EC67A3">
              <w:rPr>
                <w:strike/>
                <w:sz w:val="16"/>
                <w:szCs w:val="16"/>
              </w:rPr>
              <w:t>948</w:t>
            </w:r>
            <w:r w:rsidR="00681491">
              <w:rPr>
                <w:strike/>
                <w:sz w:val="16"/>
                <w:szCs w:val="16"/>
              </w:rPr>
              <w:t> </w:t>
            </w:r>
          </w:p>
          <w:p w:rsidR="00EC67A3" w:rsidRPr="00EC67A3" w:rsidRDefault="00EC67A3" w:rsidP="00FF33F8">
            <w:pPr>
              <w:spacing w:line="240" w:lineRule="auto"/>
              <w:ind w:left="-110" w:right="140"/>
              <w:jc w:val="right"/>
              <w:rPr>
                <w:sz w:val="16"/>
                <w:szCs w:val="16"/>
                <w:u w:val="single"/>
              </w:rPr>
            </w:pPr>
            <w:r w:rsidRPr="00EC67A3">
              <w:rPr>
                <w:sz w:val="16"/>
                <w:szCs w:val="16"/>
                <w:u w:val="single"/>
              </w:rPr>
              <w:t>1,953</w:t>
            </w:r>
            <w:r w:rsidR="00681491">
              <w:rPr>
                <w:sz w:val="16"/>
                <w:szCs w:val="16"/>
              </w:rPr>
              <w:t> </w:t>
            </w:r>
          </w:p>
        </w:tc>
        <w:tc>
          <w:tcPr>
            <w:tcW w:w="734" w:type="pct"/>
            <w:tcBorders>
              <w:top w:val="single" w:sz="4" w:space="0" w:color="auto"/>
            </w:tcBorders>
            <w:vAlign w:val="bottom"/>
          </w:tcPr>
          <w:p w:rsidR="00004CA1" w:rsidRPr="00EC67A3" w:rsidRDefault="00004CA1" w:rsidP="00FF33F8">
            <w:pPr>
              <w:spacing w:line="240" w:lineRule="auto"/>
              <w:ind w:right="100"/>
              <w:jc w:val="right"/>
              <w:rPr>
                <w:sz w:val="16"/>
                <w:szCs w:val="16"/>
              </w:rPr>
            </w:pPr>
            <w:r w:rsidRPr="00EC67A3">
              <w:rPr>
                <w:sz w:val="16"/>
                <w:szCs w:val="16"/>
              </w:rPr>
              <w:t>(1,072)</w:t>
            </w:r>
          </w:p>
        </w:tc>
        <w:tc>
          <w:tcPr>
            <w:tcW w:w="836" w:type="pct"/>
            <w:tcBorders>
              <w:top w:val="single" w:sz="4" w:space="0" w:color="auto"/>
            </w:tcBorders>
            <w:vAlign w:val="bottom"/>
          </w:tcPr>
          <w:p w:rsidR="00004CA1" w:rsidRDefault="00EC67A3" w:rsidP="00FF33F8">
            <w:pPr>
              <w:spacing w:line="240" w:lineRule="auto"/>
              <w:ind w:right="200"/>
              <w:jc w:val="right"/>
              <w:rPr>
                <w:strike/>
                <w:sz w:val="16"/>
                <w:szCs w:val="16"/>
              </w:rPr>
            </w:pPr>
            <w:r>
              <w:rPr>
                <w:strike/>
                <w:sz w:val="16"/>
                <w:szCs w:val="16"/>
              </w:rPr>
              <w:t>4,535</w:t>
            </w:r>
            <w:r w:rsidR="00681491">
              <w:rPr>
                <w:strike/>
                <w:sz w:val="16"/>
                <w:szCs w:val="16"/>
              </w:rPr>
              <w:t> </w:t>
            </w:r>
          </w:p>
          <w:p w:rsidR="00EC67A3" w:rsidRPr="00EC67A3" w:rsidRDefault="00EC67A3" w:rsidP="00FF33F8">
            <w:pPr>
              <w:spacing w:line="240" w:lineRule="auto"/>
              <w:ind w:right="200"/>
              <w:jc w:val="right"/>
              <w:rPr>
                <w:sz w:val="16"/>
                <w:szCs w:val="16"/>
                <w:u w:val="single"/>
              </w:rPr>
            </w:pPr>
            <w:r w:rsidRPr="00EC67A3">
              <w:rPr>
                <w:sz w:val="16"/>
                <w:szCs w:val="16"/>
                <w:u w:val="single"/>
              </w:rPr>
              <w:t>5,401</w:t>
            </w:r>
            <w:r w:rsidR="00681491">
              <w:rPr>
                <w:sz w:val="16"/>
                <w:szCs w:val="16"/>
              </w:rPr>
              <w:t> </w:t>
            </w:r>
          </w:p>
        </w:tc>
      </w:tr>
      <w:tr w:rsidR="00004CA1" w:rsidTr="004E2478">
        <w:tc>
          <w:tcPr>
            <w:tcW w:w="1259" w:type="pct"/>
          </w:tcPr>
          <w:p w:rsidR="00004CA1" w:rsidRPr="00C66172" w:rsidRDefault="00004CA1" w:rsidP="002949B1">
            <w:pPr>
              <w:spacing w:line="240" w:lineRule="auto"/>
              <w:rPr>
                <w:rFonts w:eastAsia="Arial Unicode MS"/>
                <w:b/>
                <w:bCs/>
                <w:sz w:val="16"/>
                <w:szCs w:val="16"/>
              </w:rPr>
            </w:pPr>
            <w:r w:rsidRPr="00C66172">
              <w:rPr>
                <w:b/>
                <w:bCs/>
                <w:sz w:val="16"/>
                <w:szCs w:val="16"/>
              </w:rPr>
              <w:t>COMPREHENSIVE RESULT – TOTAL CHANGE IN NET WORTH BEFORE TRANSACTIONS WITH OWNERS IN THEIR CAPACITY AS OWNERS</w:t>
            </w:r>
          </w:p>
        </w:tc>
        <w:tc>
          <w:tcPr>
            <w:tcW w:w="524" w:type="pct"/>
            <w:vAlign w:val="bottom"/>
          </w:tcPr>
          <w:p w:rsidR="00004CA1" w:rsidRPr="00C66172" w:rsidRDefault="00004CA1" w:rsidP="00004CA1">
            <w:pPr>
              <w:spacing w:line="160" w:lineRule="exact"/>
              <w:jc w:val="right"/>
              <w:rPr>
                <w:b/>
                <w:bCs/>
                <w:sz w:val="16"/>
                <w:szCs w:val="16"/>
              </w:rPr>
            </w:pPr>
          </w:p>
        </w:tc>
        <w:tc>
          <w:tcPr>
            <w:tcW w:w="525" w:type="pct"/>
            <w:tcBorders>
              <w:bottom w:val="double" w:sz="4" w:space="0" w:color="auto"/>
            </w:tcBorders>
            <w:vAlign w:val="bottom"/>
          </w:tcPr>
          <w:p w:rsidR="00004CA1" w:rsidRPr="00C66172" w:rsidRDefault="00004CA1" w:rsidP="00FF33F8">
            <w:pPr>
              <w:spacing w:line="160" w:lineRule="exact"/>
              <w:ind w:left="-215" w:right="65"/>
              <w:jc w:val="right"/>
              <w:rPr>
                <w:rFonts w:eastAsia="Arial Unicode MS"/>
                <w:b/>
                <w:bCs/>
                <w:sz w:val="16"/>
                <w:szCs w:val="16"/>
              </w:rPr>
            </w:pPr>
            <w:r w:rsidRPr="00C66172">
              <w:rPr>
                <w:b/>
                <w:bCs/>
                <w:sz w:val="16"/>
                <w:szCs w:val="16"/>
              </w:rPr>
              <w:br/>
            </w:r>
            <w:r w:rsidR="00437572">
              <w:rPr>
                <w:b/>
                <w:bCs/>
                <w:sz w:val="16"/>
                <w:szCs w:val="16"/>
              </w:rPr>
              <w:t xml:space="preserve"> 9,791</w:t>
            </w:r>
            <w:r w:rsidRPr="00C66172">
              <w:rPr>
                <w:b/>
                <w:bCs/>
                <w:sz w:val="16"/>
                <w:szCs w:val="16"/>
              </w:rPr>
              <w:t> </w:t>
            </w:r>
          </w:p>
        </w:tc>
        <w:tc>
          <w:tcPr>
            <w:tcW w:w="597" w:type="pct"/>
            <w:tcBorders>
              <w:bottom w:val="double" w:sz="4" w:space="0" w:color="auto"/>
            </w:tcBorders>
            <w:vAlign w:val="bottom"/>
          </w:tcPr>
          <w:p w:rsidR="00004CA1" w:rsidRPr="00C66172" w:rsidRDefault="00004CA1" w:rsidP="00FF33F8">
            <w:pPr>
              <w:spacing w:line="160" w:lineRule="exact"/>
              <w:ind w:left="-200" w:right="110"/>
              <w:jc w:val="right"/>
              <w:rPr>
                <w:b/>
                <w:bCs/>
                <w:sz w:val="16"/>
                <w:szCs w:val="16"/>
              </w:rPr>
            </w:pPr>
            <w:r w:rsidRPr="00C66172">
              <w:rPr>
                <w:b/>
                <w:bCs/>
                <w:sz w:val="16"/>
                <w:szCs w:val="16"/>
              </w:rPr>
              <w:br/>
              <w:t>(3,883)</w:t>
            </w:r>
          </w:p>
        </w:tc>
        <w:tc>
          <w:tcPr>
            <w:tcW w:w="525" w:type="pct"/>
            <w:tcBorders>
              <w:bottom w:val="double" w:sz="4" w:space="0" w:color="auto"/>
            </w:tcBorders>
            <w:vAlign w:val="bottom"/>
          </w:tcPr>
          <w:p w:rsidR="00004CA1" w:rsidRPr="00C66172" w:rsidRDefault="00004CA1" w:rsidP="00FF33F8">
            <w:pPr>
              <w:spacing w:line="160" w:lineRule="exact"/>
              <w:ind w:left="-110" w:right="140"/>
              <w:jc w:val="right"/>
              <w:rPr>
                <w:b/>
                <w:bCs/>
                <w:sz w:val="16"/>
                <w:szCs w:val="16"/>
              </w:rPr>
            </w:pPr>
            <w:r w:rsidRPr="00C66172">
              <w:rPr>
                <w:b/>
                <w:bCs/>
                <w:sz w:val="16"/>
                <w:szCs w:val="16"/>
              </w:rPr>
              <w:br/>
              <w:t>8,126</w:t>
            </w:r>
            <w:r w:rsidRPr="00C66172">
              <w:rPr>
                <w:sz w:val="16"/>
                <w:szCs w:val="16"/>
              </w:rPr>
              <w:t> </w:t>
            </w:r>
          </w:p>
        </w:tc>
        <w:tc>
          <w:tcPr>
            <w:tcW w:w="734" w:type="pct"/>
            <w:tcBorders>
              <w:bottom w:val="double" w:sz="4" w:space="0" w:color="auto"/>
            </w:tcBorders>
            <w:vAlign w:val="bottom"/>
          </w:tcPr>
          <w:p w:rsidR="00004CA1" w:rsidRPr="00C66172" w:rsidRDefault="00004CA1" w:rsidP="00FF33F8">
            <w:pPr>
              <w:spacing w:line="160" w:lineRule="exact"/>
              <w:ind w:right="100"/>
              <w:jc w:val="right"/>
              <w:rPr>
                <w:b/>
                <w:bCs/>
                <w:sz w:val="16"/>
                <w:szCs w:val="16"/>
              </w:rPr>
            </w:pPr>
            <w:r w:rsidRPr="00C66172">
              <w:rPr>
                <w:b/>
                <w:bCs/>
                <w:sz w:val="16"/>
                <w:szCs w:val="16"/>
              </w:rPr>
              <w:br/>
              <w:t>(2,420)</w:t>
            </w:r>
          </w:p>
        </w:tc>
        <w:tc>
          <w:tcPr>
            <w:tcW w:w="836" w:type="pct"/>
            <w:tcBorders>
              <w:bottom w:val="double" w:sz="4" w:space="0" w:color="auto"/>
            </w:tcBorders>
            <w:vAlign w:val="bottom"/>
          </w:tcPr>
          <w:p w:rsidR="00004CA1" w:rsidRPr="00C66172" w:rsidRDefault="00004CA1" w:rsidP="00FF33F8">
            <w:pPr>
              <w:spacing w:line="160" w:lineRule="exact"/>
              <w:ind w:right="200"/>
              <w:jc w:val="right"/>
              <w:rPr>
                <w:b/>
                <w:bCs/>
                <w:sz w:val="16"/>
                <w:szCs w:val="16"/>
              </w:rPr>
            </w:pPr>
            <w:r w:rsidRPr="00C66172">
              <w:rPr>
                <w:b/>
                <w:bCs/>
                <w:sz w:val="16"/>
                <w:szCs w:val="16"/>
              </w:rPr>
              <w:br/>
              <w:t>11,614</w:t>
            </w:r>
            <w:r w:rsidRPr="00C66172">
              <w:rPr>
                <w:sz w:val="16"/>
                <w:szCs w:val="16"/>
              </w:rPr>
              <w:t> </w:t>
            </w:r>
          </w:p>
        </w:tc>
      </w:tr>
      <w:tr w:rsidR="00004CA1" w:rsidTr="004E2478">
        <w:tc>
          <w:tcPr>
            <w:tcW w:w="1259" w:type="pct"/>
          </w:tcPr>
          <w:p w:rsidR="00004CA1" w:rsidRPr="00C66172" w:rsidRDefault="00004CA1" w:rsidP="00004CA1">
            <w:pPr>
              <w:tabs>
                <w:tab w:val="left" w:pos="217"/>
              </w:tabs>
              <w:spacing w:line="240" w:lineRule="auto"/>
              <w:rPr>
                <w:b/>
                <w:bCs/>
                <w:sz w:val="16"/>
                <w:szCs w:val="16"/>
              </w:rPr>
            </w:pPr>
          </w:p>
        </w:tc>
        <w:tc>
          <w:tcPr>
            <w:tcW w:w="524" w:type="pct"/>
            <w:vAlign w:val="center"/>
          </w:tcPr>
          <w:p w:rsidR="00004CA1" w:rsidRPr="00C66172" w:rsidRDefault="00004CA1" w:rsidP="00004CA1">
            <w:pPr>
              <w:spacing w:line="240" w:lineRule="auto"/>
              <w:jc w:val="center"/>
              <w:rPr>
                <w:sz w:val="16"/>
                <w:szCs w:val="16"/>
              </w:rPr>
            </w:pPr>
          </w:p>
        </w:tc>
        <w:tc>
          <w:tcPr>
            <w:tcW w:w="525" w:type="pct"/>
            <w:tcBorders>
              <w:top w:val="double" w:sz="4" w:space="0" w:color="auto"/>
            </w:tcBorders>
            <w:vAlign w:val="center"/>
          </w:tcPr>
          <w:p w:rsidR="00004CA1" w:rsidRPr="00C66172" w:rsidRDefault="00004CA1" w:rsidP="00004CA1">
            <w:pPr>
              <w:spacing w:line="240" w:lineRule="auto"/>
              <w:jc w:val="right"/>
              <w:rPr>
                <w:rFonts w:eastAsia="Arial Unicode MS"/>
                <w:sz w:val="16"/>
                <w:szCs w:val="16"/>
              </w:rPr>
            </w:pPr>
          </w:p>
        </w:tc>
        <w:tc>
          <w:tcPr>
            <w:tcW w:w="597" w:type="pct"/>
            <w:tcBorders>
              <w:top w:val="double" w:sz="4" w:space="0" w:color="auto"/>
            </w:tcBorders>
            <w:vAlign w:val="center"/>
          </w:tcPr>
          <w:p w:rsidR="00004CA1" w:rsidRPr="00C66172" w:rsidRDefault="00004CA1" w:rsidP="00004CA1">
            <w:pPr>
              <w:spacing w:line="240" w:lineRule="auto"/>
              <w:jc w:val="right"/>
              <w:rPr>
                <w:rFonts w:eastAsia="Arial Unicode MS"/>
                <w:sz w:val="16"/>
                <w:szCs w:val="16"/>
              </w:rPr>
            </w:pPr>
          </w:p>
        </w:tc>
        <w:tc>
          <w:tcPr>
            <w:tcW w:w="525" w:type="pct"/>
            <w:tcBorders>
              <w:top w:val="double" w:sz="4" w:space="0" w:color="auto"/>
            </w:tcBorders>
            <w:vAlign w:val="center"/>
          </w:tcPr>
          <w:p w:rsidR="00004CA1" w:rsidRPr="00C66172" w:rsidRDefault="00004CA1" w:rsidP="00004CA1">
            <w:pPr>
              <w:spacing w:line="240" w:lineRule="auto"/>
              <w:jc w:val="right"/>
              <w:rPr>
                <w:rFonts w:eastAsia="Arial Unicode MS"/>
                <w:sz w:val="16"/>
                <w:szCs w:val="16"/>
              </w:rPr>
            </w:pPr>
          </w:p>
        </w:tc>
        <w:tc>
          <w:tcPr>
            <w:tcW w:w="734" w:type="pct"/>
            <w:tcBorders>
              <w:top w:val="double" w:sz="4" w:space="0" w:color="auto"/>
            </w:tcBorders>
            <w:vAlign w:val="center"/>
          </w:tcPr>
          <w:p w:rsidR="00004CA1" w:rsidRPr="00C66172" w:rsidRDefault="00004CA1" w:rsidP="00004CA1">
            <w:pPr>
              <w:spacing w:line="240" w:lineRule="auto"/>
              <w:jc w:val="right"/>
              <w:rPr>
                <w:rFonts w:eastAsia="Arial Unicode MS"/>
                <w:sz w:val="16"/>
                <w:szCs w:val="16"/>
              </w:rPr>
            </w:pPr>
          </w:p>
        </w:tc>
        <w:tc>
          <w:tcPr>
            <w:tcW w:w="836" w:type="pct"/>
            <w:tcBorders>
              <w:top w:val="double" w:sz="4" w:space="0" w:color="auto"/>
            </w:tcBorders>
            <w:vAlign w:val="center"/>
          </w:tcPr>
          <w:p w:rsidR="00004CA1" w:rsidRPr="00C66172" w:rsidRDefault="00004CA1" w:rsidP="00004CA1">
            <w:pPr>
              <w:spacing w:line="240" w:lineRule="auto"/>
              <w:jc w:val="right"/>
              <w:rPr>
                <w:rFonts w:eastAsia="Arial Unicode MS"/>
                <w:sz w:val="16"/>
                <w:szCs w:val="16"/>
              </w:rPr>
            </w:pPr>
          </w:p>
        </w:tc>
      </w:tr>
      <w:tr w:rsidR="00004CA1" w:rsidTr="004E2478">
        <w:tc>
          <w:tcPr>
            <w:tcW w:w="1259" w:type="pct"/>
          </w:tcPr>
          <w:p w:rsidR="00004CA1" w:rsidRPr="00C66172" w:rsidRDefault="00F30774" w:rsidP="00004CA1">
            <w:pPr>
              <w:tabs>
                <w:tab w:val="left" w:pos="217"/>
              </w:tabs>
              <w:spacing w:line="240" w:lineRule="auto"/>
              <w:rPr>
                <w:b/>
                <w:bCs/>
                <w:sz w:val="16"/>
                <w:szCs w:val="16"/>
              </w:rPr>
            </w:pPr>
            <w:r>
              <w:rPr>
                <w:b/>
                <w:bCs/>
                <w:sz w:val="16"/>
                <w:szCs w:val="16"/>
              </w:rPr>
              <w:t>…</w:t>
            </w:r>
          </w:p>
        </w:tc>
        <w:tc>
          <w:tcPr>
            <w:tcW w:w="524" w:type="pct"/>
            <w:vAlign w:val="center"/>
          </w:tcPr>
          <w:p w:rsidR="00004CA1" w:rsidRPr="00C66172" w:rsidRDefault="00004CA1" w:rsidP="00004CA1">
            <w:pPr>
              <w:spacing w:line="240" w:lineRule="auto"/>
              <w:jc w:val="center"/>
              <w:rPr>
                <w:sz w:val="16"/>
                <w:szCs w:val="16"/>
              </w:rPr>
            </w:pPr>
          </w:p>
        </w:tc>
        <w:tc>
          <w:tcPr>
            <w:tcW w:w="525" w:type="pct"/>
            <w:vAlign w:val="center"/>
          </w:tcPr>
          <w:p w:rsidR="00004CA1" w:rsidRPr="00C66172" w:rsidRDefault="00004CA1" w:rsidP="00004CA1">
            <w:pPr>
              <w:spacing w:line="240" w:lineRule="auto"/>
              <w:jc w:val="right"/>
              <w:rPr>
                <w:rFonts w:eastAsia="Arial Unicode MS"/>
                <w:b/>
                <w:bCs/>
                <w:sz w:val="16"/>
                <w:szCs w:val="16"/>
              </w:rPr>
            </w:pPr>
          </w:p>
        </w:tc>
        <w:tc>
          <w:tcPr>
            <w:tcW w:w="597" w:type="pct"/>
            <w:vAlign w:val="center"/>
          </w:tcPr>
          <w:p w:rsidR="00004CA1" w:rsidRPr="00C66172" w:rsidRDefault="00004CA1" w:rsidP="00004CA1">
            <w:pPr>
              <w:spacing w:line="240" w:lineRule="auto"/>
              <w:jc w:val="right"/>
              <w:rPr>
                <w:rFonts w:eastAsia="Arial Unicode MS"/>
                <w:b/>
                <w:bCs/>
                <w:sz w:val="16"/>
                <w:szCs w:val="16"/>
              </w:rPr>
            </w:pPr>
          </w:p>
        </w:tc>
        <w:tc>
          <w:tcPr>
            <w:tcW w:w="525" w:type="pct"/>
            <w:vAlign w:val="center"/>
          </w:tcPr>
          <w:p w:rsidR="00004CA1" w:rsidRPr="00C66172" w:rsidRDefault="00004CA1" w:rsidP="00004CA1">
            <w:pPr>
              <w:spacing w:line="240" w:lineRule="auto"/>
              <w:jc w:val="right"/>
              <w:rPr>
                <w:rFonts w:eastAsia="Arial Unicode MS"/>
                <w:b/>
                <w:bCs/>
                <w:sz w:val="16"/>
                <w:szCs w:val="16"/>
              </w:rPr>
            </w:pPr>
          </w:p>
        </w:tc>
        <w:tc>
          <w:tcPr>
            <w:tcW w:w="734" w:type="pct"/>
            <w:vAlign w:val="center"/>
          </w:tcPr>
          <w:p w:rsidR="00004CA1" w:rsidRPr="00C66172" w:rsidRDefault="00004CA1" w:rsidP="00004CA1">
            <w:pPr>
              <w:spacing w:line="240" w:lineRule="auto"/>
              <w:jc w:val="right"/>
              <w:rPr>
                <w:rFonts w:eastAsia="Arial Unicode MS"/>
                <w:b/>
                <w:bCs/>
                <w:sz w:val="16"/>
                <w:szCs w:val="16"/>
              </w:rPr>
            </w:pPr>
          </w:p>
        </w:tc>
        <w:tc>
          <w:tcPr>
            <w:tcW w:w="836" w:type="pct"/>
            <w:vAlign w:val="center"/>
          </w:tcPr>
          <w:p w:rsidR="00004CA1" w:rsidRPr="00C66172" w:rsidRDefault="00004CA1" w:rsidP="00004CA1">
            <w:pPr>
              <w:spacing w:line="240" w:lineRule="auto"/>
              <w:jc w:val="right"/>
              <w:rPr>
                <w:rFonts w:eastAsia="Arial Unicode MS"/>
                <w:b/>
                <w:bCs/>
                <w:sz w:val="16"/>
                <w:szCs w:val="16"/>
              </w:rPr>
            </w:pPr>
          </w:p>
        </w:tc>
      </w:tr>
    </w:tbl>
    <w:p w:rsidR="00136227" w:rsidRDefault="00136227" w:rsidP="00C7397F">
      <w:pPr>
        <w:spacing w:after="240"/>
        <w:rPr>
          <w:rFonts w:eastAsia="MS Mincho"/>
          <w:lang w:eastAsia="ja-JP"/>
        </w:rPr>
      </w:pPr>
    </w:p>
    <w:p w:rsidR="00E02885" w:rsidRDefault="00E02885" w:rsidP="00E02885">
      <w:pPr>
        <w:pStyle w:val="NumPlain1"/>
        <w:rPr>
          <w:rFonts w:eastAsia="MS Mincho"/>
          <w:lang w:eastAsia="ja-JP"/>
        </w:rPr>
      </w:pPr>
      <w:r>
        <w:rPr>
          <w:rFonts w:eastAsia="MS Mincho"/>
          <w:lang w:eastAsia="ja-JP"/>
        </w:rPr>
        <w:t xml:space="preserve">Illustrative Example B is amended </w:t>
      </w:r>
      <w:r>
        <w:t xml:space="preserve">(new text is underlined and deleted text is struck through) </w:t>
      </w:r>
      <w:r>
        <w:rPr>
          <w:rFonts w:eastAsia="MS Mincho"/>
          <w:lang w:eastAsia="ja-JP"/>
        </w:rPr>
        <w:t>as follows:</w:t>
      </w:r>
    </w:p>
    <w:p w:rsidR="00E02885" w:rsidRPr="00383C39" w:rsidRDefault="00E02885" w:rsidP="00C7397F">
      <w:pPr>
        <w:pStyle w:val="NumPlain1"/>
        <w:numPr>
          <w:ilvl w:val="0"/>
          <w:numId w:val="0"/>
        </w:numPr>
        <w:spacing w:before="240" w:after="0" w:line="280" w:lineRule="exact"/>
        <w:ind w:left="510"/>
        <w:rPr>
          <w:b/>
          <w:sz w:val="28"/>
        </w:rPr>
      </w:pPr>
      <w:r w:rsidRPr="00383C39">
        <w:rPr>
          <w:b/>
          <w:sz w:val="28"/>
        </w:rPr>
        <w:t>ILLUSTRATIVE EXAMPLE B</w:t>
      </w:r>
    </w:p>
    <w:p w:rsidR="001748A7" w:rsidRPr="00136227" w:rsidRDefault="001748A7" w:rsidP="00C7397F">
      <w:pPr>
        <w:pStyle w:val="NumPlain1"/>
        <w:numPr>
          <w:ilvl w:val="0"/>
          <w:numId w:val="0"/>
        </w:numPr>
        <w:spacing w:before="120" w:after="120"/>
        <w:ind w:left="510"/>
        <w:rPr>
          <w:b/>
        </w:rPr>
      </w:pPr>
      <w:r w:rsidRPr="00136227">
        <w:rPr>
          <w:b/>
        </w:rPr>
        <w:t>…</w:t>
      </w:r>
    </w:p>
    <w:p w:rsidR="00E02885" w:rsidRPr="00E02885" w:rsidRDefault="00E02885" w:rsidP="00C7397F">
      <w:pPr>
        <w:pStyle w:val="NumPlain1"/>
        <w:numPr>
          <w:ilvl w:val="0"/>
          <w:numId w:val="0"/>
        </w:numPr>
        <w:spacing w:after="120"/>
        <w:ind w:left="510"/>
        <w:rPr>
          <w:b/>
        </w:rPr>
      </w:pPr>
      <w:r w:rsidRPr="00E02885">
        <w:rPr>
          <w:b/>
        </w:rPr>
        <w:t xml:space="preserve">Statement of Comprehensive Income for the General Government Sector </w:t>
      </w:r>
      <w:r w:rsidR="00C7397F">
        <w:rPr>
          <w:b/>
        </w:rPr>
        <w:br/>
      </w:r>
      <w:r w:rsidRPr="00E02885">
        <w:rPr>
          <w:b/>
        </w:rPr>
        <w:t>of the ABC Government for the Year Ended 30 June 20XX</w:t>
      </w:r>
    </w:p>
    <w:tbl>
      <w:tblPr>
        <w:tblStyle w:val="TableGrid"/>
        <w:tblW w:w="6204"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llustrative Example B"/>
        <w:tblDescription w:val="Illustrative example of a Statement of Comrehensive Income for the General Government Sector."/>
      </w:tblPr>
      <w:tblGrid>
        <w:gridCol w:w="3284"/>
        <w:gridCol w:w="1617"/>
        <w:gridCol w:w="1303"/>
      </w:tblGrid>
      <w:tr w:rsidR="00E02885" w:rsidTr="004E2478">
        <w:trPr>
          <w:tblHeader/>
        </w:trPr>
        <w:tc>
          <w:tcPr>
            <w:tcW w:w="3284" w:type="dxa"/>
          </w:tcPr>
          <w:p w:rsidR="00E02885" w:rsidRDefault="00E02885" w:rsidP="001748A7">
            <w:pPr>
              <w:autoSpaceDE w:val="0"/>
              <w:autoSpaceDN w:val="0"/>
              <w:adjustRightInd w:val="0"/>
              <w:spacing w:line="240" w:lineRule="auto"/>
              <w:rPr>
                <w:b/>
                <w:bCs/>
              </w:rPr>
            </w:pPr>
          </w:p>
        </w:tc>
        <w:tc>
          <w:tcPr>
            <w:tcW w:w="1617" w:type="dxa"/>
          </w:tcPr>
          <w:p w:rsidR="00E02885" w:rsidRPr="003079C4" w:rsidRDefault="00E02885" w:rsidP="003079C4">
            <w:pPr>
              <w:autoSpaceDE w:val="0"/>
              <w:autoSpaceDN w:val="0"/>
              <w:adjustRightInd w:val="0"/>
              <w:spacing w:line="240" w:lineRule="auto"/>
              <w:jc w:val="center"/>
              <w:rPr>
                <w:bCs/>
              </w:rPr>
            </w:pPr>
            <w:r w:rsidRPr="003079C4">
              <w:rPr>
                <w:sz w:val="16"/>
                <w:szCs w:val="16"/>
              </w:rPr>
              <w:t>Notes</w:t>
            </w:r>
          </w:p>
        </w:tc>
        <w:tc>
          <w:tcPr>
            <w:tcW w:w="1303" w:type="dxa"/>
          </w:tcPr>
          <w:p w:rsidR="00E02885" w:rsidRPr="003079C4" w:rsidRDefault="00E02885" w:rsidP="003079C4">
            <w:pPr>
              <w:autoSpaceDE w:val="0"/>
              <w:autoSpaceDN w:val="0"/>
              <w:adjustRightInd w:val="0"/>
              <w:spacing w:line="240" w:lineRule="auto"/>
              <w:jc w:val="center"/>
              <w:rPr>
                <w:sz w:val="16"/>
                <w:szCs w:val="16"/>
              </w:rPr>
            </w:pPr>
            <w:r w:rsidRPr="003079C4">
              <w:rPr>
                <w:sz w:val="16"/>
                <w:szCs w:val="16"/>
              </w:rPr>
              <w:t>$m</w:t>
            </w:r>
          </w:p>
        </w:tc>
      </w:tr>
      <w:tr w:rsidR="00E02885" w:rsidTr="004E2478">
        <w:tc>
          <w:tcPr>
            <w:tcW w:w="3284" w:type="dxa"/>
          </w:tcPr>
          <w:p w:rsidR="00E02885" w:rsidRDefault="00E02885" w:rsidP="001748A7">
            <w:pPr>
              <w:autoSpaceDE w:val="0"/>
              <w:autoSpaceDN w:val="0"/>
              <w:adjustRightInd w:val="0"/>
              <w:spacing w:line="240" w:lineRule="auto"/>
              <w:rPr>
                <w:b/>
                <w:bCs/>
                <w:sz w:val="16"/>
                <w:szCs w:val="16"/>
              </w:rPr>
            </w:pPr>
            <w:r>
              <w:rPr>
                <w:b/>
                <w:bCs/>
                <w:sz w:val="16"/>
                <w:szCs w:val="16"/>
              </w:rPr>
              <w:t>…</w:t>
            </w:r>
          </w:p>
        </w:tc>
        <w:tc>
          <w:tcPr>
            <w:tcW w:w="1617" w:type="dxa"/>
          </w:tcPr>
          <w:p w:rsidR="00E02885" w:rsidRPr="002D112E" w:rsidRDefault="00E02885" w:rsidP="001748A7">
            <w:pPr>
              <w:autoSpaceDE w:val="0"/>
              <w:autoSpaceDN w:val="0"/>
              <w:adjustRightInd w:val="0"/>
              <w:spacing w:line="240" w:lineRule="auto"/>
              <w:rPr>
                <w:b/>
                <w:sz w:val="16"/>
                <w:szCs w:val="16"/>
              </w:rPr>
            </w:pPr>
          </w:p>
        </w:tc>
        <w:tc>
          <w:tcPr>
            <w:tcW w:w="1303" w:type="dxa"/>
          </w:tcPr>
          <w:p w:rsidR="00E02885" w:rsidRDefault="00E02885" w:rsidP="001748A7">
            <w:pPr>
              <w:autoSpaceDE w:val="0"/>
              <w:autoSpaceDN w:val="0"/>
              <w:adjustRightInd w:val="0"/>
              <w:spacing w:line="240" w:lineRule="auto"/>
              <w:rPr>
                <w:b/>
                <w:bCs/>
                <w:sz w:val="16"/>
                <w:szCs w:val="16"/>
              </w:rPr>
            </w:pPr>
          </w:p>
        </w:tc>
      </w:tr>
      <w:tr w:rsidR="001748A7" w:rsidTr="004E2478">
        <w:tc>
          <w:tcPr>
            <w:tcW w:w="3284" w:type="dxa"/>
            <w:vAlign w:val="center"/>
          </w:tcPr>
          <w:p w:rsidR="001748A7" w:rsidRPr="00C66172" w:rsidRDefault="001748A7" w:rsidP="001748A7">
            <w:pPr>
              <w:spacing w:line="240" w:lineRule="auto"/>
              <w:rPr>
                <w:sz w:val="16"/>
                <w:szCs w:val="16"/>
              </w:rPr>
            </w:pPr>
            <w:r w:rsidRPr="00C66172">
              <w:rPr>
                <w:b/>
                <w:bCs/>
                <w:sz w:val="16"/>
                <w:szCs w:val="16"/>
              </w:rPr>
              <w:t>Other Economic Flows – Included in Operating Result</w:t>
            </w:r>
          </w:p>
        </w:tc>
        <w:tc>
          <w:tcPr>
            <w:tcW w:w="1617" w:type="dxa"/>
            <w:vAlign w:val="center"/>
          </w:tcPr>
          <w:p w:rsidR="001748A7" w:rsidRPr="00C66172" w:rsidRDefault="001748A7" w:rsidP="001748A7">
            <w:pPr>
              <w:spacing w:line="240" w:lineRule="auto"/>
              <w:jc w:val="center"/>
              <w:rPr>
                <w:sz w:val="16"/>
                <w:szCs w:val="16"/>
              </w:rPr>
            </w:pPr>
          </w:p>
        </w:tc>
        <w:tc>
          <w:tcPr>
            <w:tcW w:w="1303" w:type="dxa"/>
            <w:vAlign w:val="center"/>
          </w:tcPr>
          <w:p w:rsidR="001748A7" w:rsidRPr="00C66172" w:rsidRDefault="001748A7" w:rsidP="001748A7">
            <w:pPr>
              <w:spacing w:line="240" w:lineRule="auto"/>
              <w:jc w:val="center"/>
              <w:rPr>
                <w:rFonts w:eastAsia="Arial Unicode MS"/>
                <w:sz w:val="16"/>
                <w:szCs w:val="16"/>
              </w:rPr>
            </w:pPr>
          </w:p>
        </w:tc>
      </w:tr>
      <w:tr w:rsidR="001748A7" w:rsidTr="004E2478">
        <w:tc>
          <w:tcPr>
            <w:tcW w:w="3284" w:type="dxa"/>
            <w:vAlign w:val="center"/>
          </w:tcPr>
          <w:p w:rsidR="001748A7" w:rsidRPr="00C66172" w:rsidRDefault="001748A7" w:rsidP="001748A7">
            <w:pPr>
              <w:spacing w:line="240" w:lineRule="auto"/>
              <w:rPr>
                <w:rFonts w:eastAsia="Arial Unicode MS"/>
                <w:sz w:val="16"/>
                <w:szCs w:val="16"/>
              </w:rPr>
            </w:pPr>
            <w:r w:rsidRPr="00C66172">
              <w:rPr>
                <w:sz w:val="16"/>
                <w:szCs w:val="16"/>
              </w:rPr>
              <w:t>Other revenue</w:t>
            </w:r>
          </w:p>
        </w:tc>
        <w:tc>
          <w:tcPr>
            <w:tcW w:w="1617" w:type="dxa"/>
            <w:vAlign w:val="center"/>
          </w:tcPr>
          <w:p w:rsidR="001748A7" w:rsidRPr="00C66172" w:rsidRDefault="001748A7" w:rsidP="001748A7">
            <w:pPr>
              <w:spacing w:line="240" w:lineRule="auto"/>
              <w:jc w:val="center"/>
              <w:rPr>
                <w:sz w:val="16"/>
                <w:szCs w:val="16"/>
              </w:rPr>
            </w:pPr>
          </w:p>
        </w:tc>
        <w:tc>
          <w:tcPr>
            <w:tcW w:w="1303" w:type="dxa"/>
            <w:vAlign w:val="center"/>
          </w:tcPr>
          <w:p w:rsidR="001748A7" w:rsidRPr="00C66172" w:rsidRDefault="001748A7" w:rsidP="001748A7">
            <w:pPr>
              <w:spacing w:line="240" w:lineRule="auto"/>
              <w:jc w:val="center"/>
              <w:rPr>
                <w:rFonts w:eastAsia="Arial Unicode MS"/>
                <w:sz w:val="16"/>
                <w:szCs w:val="16"/>
              </w:rPr>
            </w:pPr>
          </w:p>
        </w:tc>
      </w:tr>
      <w:tr w:rsidR="001748A7" w:rsidTr="004E2478">
        <w:tc>
          <w:tcPr>
            <w:tcW w:w="3284" w:type="dxa"/>
            <w:vAlign w:val="center"/>
          </w:tcPr>
          <w:p w:rsidR="001748A7" w:rsidRPr="00C66172" w:rsidRDefault="001748A7" w:rsidP="001748A7">
            <w:pPr>
              <w:spacing w:line="240" w:lineRule="auto"/>
              <w:ind w:left="216"/>
              <w:rPr>
                <w:sz w:val="16"/>
                <w:szCs w:val="16"/>
              </w:rPr>
            </w:pPr>
            <w:r w:rsidRPr="00C66172">
              <w:rPr>
                <w:sz w:val="16"/>
                <w:szCs w:val="16"/>
              </w:rPr>
              <w:t xml:space="preserve">Net swap interest revenue </w:t>
            </w:r>
          </w:p>
        </w:tc>
        <w:tc>
          <w:tcPr>
            <w:tcW w:w="1617" w:type="dxa"/>
            <w:vAlign w:val="center"/>
          </w:tcPr>
          <w:p w:rsidR="001748A7" w:rsidRPr="00C66172" w:rsidRDefault="001748A7" w:rsidP="001748A7">
            <w:pPr>
              <w:spacing w:line="240" w:lineRule="auto"/>
              <w:jc w:val="center"/>
              <w:rPr>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rFonts w:eastAsia="Arial Unicode MS"/>
                <w:sz w:val="16"/>
                <w:szCs w:val="16"/>
              </w:rPr>
              <w:t>340 </w:t>
            </w:r>
          </w:p>
        </w:tc>
      </w:tr>
      <w:tr w:rsidR="001748A7" w:rsidTr="004E2478">
        <w:tc>
          <w:tcPr>
            <w:tcW w:w="3284" w:type="dxa"/>
            <w:vAlign w:val="center"/>
          </w:tcPr>
          <w:p w:rsidR="001748A7" w:rsidRPr="00C66172" w:rsidRDefault="001748A7" w:rsidP="001748A7">
            <w:pPr>
              <w:spacing w:line="240" w:lineRule="auto"/>
              <w:ind w:left="216"/>
              <w:rPr>
                <w:sz w:val="16"/>
                <w:szCs w:val="16"/>
              </w:rPr>
            </w:pPr>
            <w:r w:rsidRPr="00C66172">
              <w:rPr>
                <w:sz w:val="16"/>
                <w:szCs w:val="16"/>
              </w:rPr>
              <w:t>Dividends from other sector entities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rFonts w:eastAsia="Arial Unicode MS"/>
                <w:sz w:val="16"/>
                <w:szCs w:val="16"/>
              </w:rPr>
              <w:t>300 </w:t>
            </w:r>
          </w:p>
        </w:tc>
      </w:tr>
      <w:tr w:rsidR="001748A7" w:rsidTr="004E2478">
        <w:tc>
          <w:tcPr>
            <w:tcW w:w="3284" w:type="dxa"/>
            <w:vAlign w:val="center"/>
          </w:tcPr>
          <w:p w:rsidR="001748A7" w:rsidRPr="00C66172" w:rsidRDefault="001748A7" w:rsidP="001748A7">
            <w:pPr>
              <w:spacing w:line="240" w:lineRule="auto"/>
              <w:rPr>
                <w:sz w:val="16"/>
                <w:szCs w:val="16"/>
              </w:rPr>
            </w:pPr>
            <w:r w:rsidRPr="00C66172">
              <w:rPr>
                <w:sz w:val="16"/>
                <w:szCs w:val="16"/>
              </w:rPr>
              <w:t>Net foreign exchange gains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sz w:val="16"/>
                <w:szCs w:val="16"/>
              </w:rPr>
              <w:t xml:space="preserve">599  </w:t>
            </w:r>
          </w:p>
        </w:tc>
      </w:tr>
      <w:tr w:rsidR="001748A7" w:rsidTr="004E2478">
        <w:tc>
          <w:tcPr>
            <w:tcW w:w="3284" w:type="dxa"/>
            <w:vAlign w:val="center"/>
          </w:tcPr>
          <w:p w:rsidR="001748A7" w:rsidRPr="00C66172" w:rsidRDefault="001748A7" w:rsidP="001748A7">
            <w:pPr>
              <w:spacing w:line="240" w:lineRule="auto"/>
              <w:rPr>
                <w:sz w:val="16"/>
                <w:szCs w:val="16"/>
              </w:rPr>
            </w:pPr>
            <w:r w:rsidRPr="00C66172">
              <w:rPr>
                <w:sz w:val="16"/>
                <w:szCs w:val="16"/>
              </w:rPr>
              <w:t>Net gain on sale of non-financial assets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sz w:val="16"/>
                <w:szCs w:val="16"/>
              </w:rPr>
            </w:pPr>
            <w:r w:rsidRPr="00C66172">
              <w:rPr>
                <w:sz w:val="16"/>
                <w:szCs w:val="16"/>
              </w:rPr>
              <w:t>200 </w:t>
            </w:r>
          </w:p>
        </w:tc>
      </w:tr>
      <w:tr w:rsidR="001748A7" w:rsidTr="004E2478">
        <w:tc>
          <w:tcPr>
            <w:tcW w:w="3284" w:type="dxa"/>
            <w:vAlign w:val="center"/>
          </w:tcPr>
          <w:p w:rsidR="001748A7" w:rsidRPr="00C66172" w:rsidRDefault="001748A7" w:rsidP="002949B1">
            <w:pPr>
              <w:spacing w:line="240" w:lineRule="auto"/>
              <w:ind w:left="142" w:hanging="142"/>
              <w:rPr>
                <w:sz w:val="16"/>
                <w:szCs w:val="16"/>
              </w:rPr>
            </w:pPr>
            <w:r w:rsidRPr="00C66172">
              <w:rPr>
                <w:sz w:val="16"/>
                <w:szCs w:val="16"/>
              </w:rPr>
              <w:t>Net gain on financial assets or liabilities at fair value through operating result</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sz w:val="16"/>
                <w:szCs w:val="16"/>
              </w:rPr>
              <w:t xml:space="preserve">220  </w:t>
            </w:r>
          </w:p>
        </w:tc>
      </w:tr>
      <w:tr w:rsidR="001748A7" w:rsidTr="004E2478">
        <w:tc>
          <w:tcPr>
            <w:tcW w:w="3284" w:type="dxa"/>
            <w:vAlign w:val="center"/>
          </w:tcPr>
          <w:p w:rsidR="001748A7" w:rsidRPr="00C66172" w:rsidRDefault="001748A7" w:rsidP="001748A7">
            <w:pPr>
              <w:spacing w:line="240" w:lineRule="auto"/>
              <w:rPr>
                <w:sz w:val="16"/>
                <w:szCs w:val="16"/>
              </w:rPr>
            </w:pPr>
            <w:r w:rsidRPr="00853054">
              <w:rPr>
                <w:strike/>
                <w:sz w:val="16"/>
                <w:szCs w:val="16"/>
              </w:rPr>
              <w:t>Remeasurements of the defined benefit liability</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1748A7" w:rsidRDefault="001748A7" w:rsidP="00FF33F8">
            <w:pPr>
              <w:spacing w:line="240" w:lineRule="auto"/>
              <w:jc w:val="right"/>
              <w:rPr>
                <w:rFonts w:eastAsia="Arial Unicode MS"/>
                <w:strike/>
                <w:sz w:val="16"/>
                <w:szCs w:val="16"/>
              </w:rPr>
            </w:pPr>
            <w:r w:rsidRPr="001748A7">
              <w:rPr>
                <w:strike/>
                <w:sz w:val="16"/>
                <w:szCs w:val="16"/>
              </w:rPr>
              <w:t>840 </w:t>
            </w:r>
          </w:p>
        </w:tc>
      </w:tr>
      <w:tr w:rsidR="001748A7" w:rsidTr="004E2478">
        <w:tc>
          <w:tcPr>
            <w:tcW w:w="3284" w:type="dxa"/>
            <w:vAlign w:val="center"/>
          </w:tcPr>
          <w:p w:rsidR="001748A7" w:rsidRPr="00C66172" w:rsidRDefault="001748A7" w:rsidP="001748A7">
            <w:pPr>
              <w:spacing w:line="240" w:lineRule="auto"/>
              <w:rPr>
                <w:rFonts w:eastAsia="Arial Unicode MS"/>
                <w:sz w:val="16"/>
                <w:szCs w:val="16"/>
              </w:rPr>
            </w:pPr>
            <w:r w:rsidRPr="00C66172">
              <w:rPr>
                <w:sz w:val="16"/>
                <w:szCs w:val="16"/>
              </w:rPr>
              <w:t>Amortisation of non-produced assets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rFonts w:eastAsia="Arial Unicode MS"/>
                <w:sz w:val="16"/>
                <w:szCs w:val="16"/>
              </w:rPr>
              <w:t>(75)</w:t>
            </w:r>
          </w:p>
        </w:tc>
      </w:tr>
      <w:tr w:rsidR="001748A7" w:rsidTr="004E2478">
        <w:tc>
          <w:tcPr>
            <w:tcW w:w="3284" w:type="dxa"/>
            <w:vAlign w:val="center"/>
          </w:tcPr>
          <w:p w:rsidR="001748A7" w:rsidRPr="00C66172" w:rsidRDefault="001748A7" w:rsidP="001748A7">
            <w:pPr>
              <w:spacing w:line="240" w:lineRule="auto"/>
              <w:rPr>
                <w:sz w:val="16"/>
                <w:szCs w:val="16"/>
              </w:rPr>
            </w:pPr>
            <w:r w:rsidRPr="00C66172">
              <w:rPr>
                <w:sz w:val="16"/>
                <w:szCs w:val="16"/>
              </w:rPr>
              <w:t>Doubtful debts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vAlign w:val="bottom"/>
          </w:tcPr>
          <w:p w:rsidR="001748A7" w:rsidRPr="00C66172" w:rsidRDefault="001748A7" w:rsidP="00FF33F8">
            <w:pPr>
              <w:spacing w:line="240" w:lineRule="auto"/>
              <w:jc w:val="right"/>
              <w:rPr>
                <w:rFonts w:eastAsia="Arial Unicode MS"/>
                <w:sz w:val="16"/>
                <w:szCs w:val="16"/>
              </w:rPr>
            </w:pPr>
            <w:r w:rsidRPr="00C66172">
              <w:rPr>
                <w:rFonts w:eastAsia="Arial Unicode MS"/>
                <w:sz w:val="16"/>
                <w:szCs w:val="16"/>
              </w:rPr>
              <w:t>(500)</w:t>
            </w:r>
          </w:p>
        </w:tc>
      </w:tr>
      <w:tr w:rsidR="001748A7" w:rsidTr="004E2478">
        <w:tc>
          <w:tcPr>
            <w:tcW w:w="3284" w:type="dxa"/>
            <w:vAlign w:val="center"/>
          </w:tcPr>
          <w:p w:rsidR="001748A7" w:rsidRPr="00C66172" w:rsidRDefault="001748A7" w:rsidP="002949B1">
            <w:pPr>
              <w:spacing w:line="240" w:lineRule="auto"/>
              <w:ind w:left="142" w:hanging="142"/>
              <w:rPr>
                <w:sz w:val="16"/>
                <w:szCs w:val="16"/>
              </w:rPr>
            </w:pPr>
            <w:r w:rsidRPr="00C66172">
              <w:rPr>
                <w:sz w:val="16"/>
                <w:szCs w:val="16"/>
              </w:rPr>
              <w:t>Share of net profit/(loss) from associates, excluding dividends</w:t>
            </w: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tcBorders>
              <w:bottom w:val="single" w:sz="4" w:space="0" w:color="auto"/>
            </w:tcBorders>
            <w:vAlign w:val="bottom"/>
          </w:tcPr>
          <w:p w:rsidR="001748A7" w:rsidRPr="00C66172" w:rsidRDefault="001748A7" w:rsidP="00FF33F8">
            <w:pPr>
              <w:spacing w:line="240" w:lineRule="auto"/>
              <w:jc w:val="right"/>
              <w:rPr>
                <w:rFonts w:eastAsia="Arial Unicode MS"/>
                <w:sz w:val="16"/>
                <w:szCs w:val="16"/>
              </w:rPr>
            </w:pPr>
            <w:r w:rsidRPr="00C66172">
              <w:rPr>
                <w:sz w:val="16"/>
                <w:szCs w:val="16"/>
              </w:rPr>
              <w:t>(51)</w:t>
            </w:r>
          </w:p>
        </w:tc>
      </w:tr>
      <w:tr w:rsidR="001748A7" w:rsidTr="004E2478">
        <w:tc>
          <w:tcPr>
            <w:tcW w:w="3284" w:type="dxa"/>
            <w:vAlign w:val="center"/>
          </w:tcPr>
          <w:p w:rsidR="001748A7" w:rsidRPr="00C66172" w:rsidRDefault="001748A7" w:rsidP="001748A7">
            <w:pPr>
              <w:spacing w:line="240" w:lineRule="auto"/>
              <w:rPr>
                <w:b/>
                <w:bCs/>
                <w:sz w:val="16"/>
                <w:szCs w:val="16"/>
              </w:rPr>
            </w:pPr>
          </w:p>
        </w:tc>
        <w:tc>
          <w:tcPr>
            <w:tcW w:w="1617" w:type="dxa"/>
            <w:vAlign w:val="center"/>
          </w:tcPr>
          <w:p w:rsidR="001748A7" w:rsidRPr="00C66172" w:rsidRDefault="001748A7" w:rsidP="001748A7">
            <w:pPr>
              <w:spacing w:line="240" w:lineRule="auto"/>
              <w:jc w:val="center"/>
              <w:rPr>
                <w:rFonts w:eastAsia="Arial Unicode MS"/>
                <w:sz w:val="16"/>
                <w:szCs w:val="16"/>
              </w:rPr>
            </w:pPr>
          </w:p>
        </w:tc>
        <w:tc>
          <w:tcPr>
            <w:tcW w:w="1303" w:type="dxa"/>
            <w:tcBorders>
              <w:top w:val="single" w:sz="4" w:space="0" w:color="auto"/>
            </w:tcBorders>
            <w:vAlign w:val="bottom"/>
          </w:tcPr>
          <w:p w:rsidR="001748A7" w:rsidRPr="00681491" w:rsidRDefault="001748A7" w:rsidP="00FF33F8">
            <w:pPr>
              <w:spacing w:line="240" w:lineRule="auto"/>
              <w:jc w:val="right"/>
              <w:rPr>
                <w:rFonts w:eastAsia="Arial Unicode MS"/>
                <w:strike/>
                <w:sz w:val="16"/>
                <w:szCs w:val="16"/>
              </w:rPr>
            </w:pPr>
            <w:r w:rsidRPr="00F30774">
              <w:rPr>
                <w:rFonts w:eastAsia="Arial Unicode MS"/>
                <w:strike/>
                <w:sz w:val="16"/>
                <w:szCs w:val="16"/>
              </w:rPr>
              <w:t>1,</w:t>
            </w:r>
            <w:r w:rsidR="00F30774" w:rsidRPr="00F30774">
              <w:rPr>
                <w:rFonts w:eastAsia="Arial Unicode MS"/>
                <w:strike/>
                <w:sz w:val="16"/>
                <w:szCs w:val="16"/>
              </w:rPr>
              <w:t>873</w:t>
            </w:r>
            <w:r w:rsidR="00F30774">
              <w:rPr>
                <w:rFonts w:eastAsia="Arial Unicode MS"/>
                <w:strike/>
                <w:sz w:val="16"/>
                <w:szCs w:val="16"/>
              </w:rPr>
              <w:t xml:space="preserve"> </w:t>
            </w:r>
            <w:r w:rsidR="00F30774" w:rsidRPr="00F30774">
              <w:rPr>
                <w:rFonts w:eastAsia="Arial Unicode MS"/>
                <w:sz w:val="16"/>
                <w:szCs w:val="16"/>
                <w:u w:val="single"/>
              </w:rPr>
              <w:t>1,033</w:t>
            </w:r>
            <w:r w:rsidR="00681491">
              <w:rPr>
                <w:rFonts w:eastAsia="Arial Unicode MS"/>
                <w:sz w:val="16"/>
                <w:szCs w:val="16"/>
              </w:rPr>
              <w:t> </w:t>
            </w:r>
          </w:p>
        </w:tc>
      </w:tr>
      <w:tr w:rsidR="001748A7" w:rsidTr="004E2478">
        <w:tc>
          <w:tcPr>
            <w:tcW w:w="3284" w:type="dxa"/>
            <w:vAlign w:val="center"/>
          </w:tcPr>
          <w:p w:rsidR="001748A7" w:rsidRPr="00C66172" w:rsidRDefault="001748A7" w:rsidP="001748A7">
            <w:pPr>
              <w:spacing w:line="160" w:lineRule="exact"/>
              <w:ind w:left="217"/>
              <w:rPr>
                <w:sz w:val="16"/>
                <w:szCs w:val="16"/>
              </w:rPr>
            </w:pPr>
          </w:p>
        </w:tc>
        <w:tc>
          <w:tcPr>
            <w:tcW w:w="1617" w:type="dxa"/>
            <w:vAlign w:val="center"/>
          </w:tcPr>
          <w:p w:rsidR="001748A7" w:rsidRPr="00C66172" w:rsidRDefault="001748A7" w:rsidP="001748A7">
            <w:pPr>
              <w:spacing w:line="160" w:lineRule="exact"/>
              <w:jc w:val="center"/>
              <w:rPr>
                <w:sz w:val="16"/>
                <w:szCs w:val="16"/>
              </w:rPr>
            </w:pPr>
          </w:p>
        </w:tc>
        <w:tc>
          <w:tcPr>
            <w:tcW w:w="1303" w:type="dxa"/>
            <w:vAlign w:val="bottom"/>
          </w:tcPr>
          <w:p w:rsidR="001748A7" w:rsidRPr="00C66172" w:rsidRDefault="001748A7" w:rsidP="00FF33F8">
            <w:pPr>
              <w:spacing w:line="160" w:lineRule="exact"/>
              <w:jc w:val="right"/>
              <w:rPr>
                <w:rFonts w:eastAsia="Arial Unicode MS"/>
                <w:sz w:val="16"/>
                <w:szCs w:val="16"/>
              </w:rPr>
            </w:pPr>
          </w:p>
        </w:tc>
      </w:tr>
      <w:tr w:rsidR="001748A7" w:rsidTr="004E2478">
        <w:tc>
          <w:tcPr>
            <w:tcW w:w="3284" w:type="dxa"/>
            <w:vAlign w:val="center"/>
          </w:tcPr>
          <w:p w:rsidR="001748A7" w:rsidRPr="00C66172" w:rsidRDefault="001748A7" w:rsidP="00383C39">
            <w:pPr>
              <w:pStyle w:val="Heading5"/>
              <w:spacing w:after="0" w:line="160" w:lineRule="exact"/>
              <w:rPr>
                <w:b w:val="0"/>
                <w:bCs w:val="0"/>
                <w:i w:val="0"/>
                <w:iCs/>
                <w:sz w:val="16"/>
              </w:rPr>
            </w:pPr>
            <w:r w:rsidRPr="00C66172">
              <w:rPr>
                <w:i w:val="0"/>
                <w:iCs/>
                <w:sz w:val="16"/>
                <w:szCs w:val="16"/>
              </w:rPr>
              <w:t>OPERATING RESULT</w:t>
            </w:r>
          </w:p>
        </w:tc>
        <w:tc>
          <w:tcPr>
            <w:tcW w:w="1617" w:type="dxa"/>
            <w:vAlign w:val="center"/>
          </w:tcPr>
          <w:p w:rsidR="001748A7" w:rsidRPr="00C66172" w:rsidRDefault="001748A7" w:rsidP="001748A7">
            <w:pPr>
              <w:spacing w:line="160" w:lineRule="exact"/>
              <w:jc w:val="center"/>
              <w:rPr>
                <w:sz w:val="16"/>
                <w:szCs w:val="16"/>
              </w:rPr>
            </w:pPr>
          </w:p>
        </w:tc>
        <w:tc>
          <w:tcPr>
            <w:tcW w:w="1303" w:type="dxa"/>
            <w:tcBorders>
              <w:bottom w:val="double" w:sz="4" w:space="0" w:color="auto"/>
            </w:tcBorders>
            <w:vAlign w:val="bottom"/>
          </w:tcPr>
          <w:p w:rsidR="001748A7" w:rsidRPr="00681491" w:rsidRDefault="001748A7" w:rsidP="00FF33F8">
            <w:pPr>
              <w:spacing w:line="160" w:lineRule="exact"/>
              <w:jc w:val="right"/>
            </w:pPr>
            <w:r w:rsidRPr="001748A7">
              <w:rPr>
                <w:b/>
                <w:bCs/>
                <w:strike/>
                <w:sz w:val="16"/>
                <w:szCs w:val="16"/>
              </w:rPr>
              <w:t>6,167</w:t>
            </w:r>
            <w:r w:rsidR="00F30774">
              <w:rPr>
                <w:b/>
                <w:bCs/>
                <w:strike/>
                <w:sz w:val="16"/>
                <w:szCs w:val="16"/>
              </w:rPr>
              <w:t xml:space="preserve"> </w:t>
            </w:r>
            <w:r>
              <w:rPr>
                <w:b/>
                <w:bCs/>
                <w:sz w:val="16"/>
                <w:szCs w:val="16"/>
                <w:u w:val="single"/>
              </w:rPr>
              <w:t>5,327</w:t>
            </w:r>
            <w:r w:rsidR="00681491">
              <w:t> </w:t>
            </w:r>
          </w:p>
        </w:tc>
      </w:tr>
      <w:tr w:rsidR="001748A7" w:rsidTr="004E2478">
        <w:tc>
          <w:tcPr>
            <w:tcW w:w="3284" w:type="dxa"/>
            <w:vAlign w:val="center"/>
          </w:tcPr>
          <w:p w:rsidR="001748A7" w:rsidRPr="00C66172" w:rsidRDefault="001748A7" w:rsidP="001748A7">
            <w:pPr>
              <w:pStyle w:val="Heading5"/>
              <w:spacing w:line="160" w:lineRule="exact"/>
              <w:rPr>
                <w:i w:val="0"/>
                <w:iCs/>
                <w:sz w:val="16"/>
              </w:rPr>
            </w:pPr>
          </w:p>
        </w:tc>
        <w:tc>
          <w:tcPr>
            <w:tcW w:w="1617" w:type="dxa"/>
            <w:vAlign w:val="center"/>
          </w:tcPr>
          <w:p w:rsidR="001748A7" w:rsidRPr="00C66172" w:rsidRDefault="001748A7" w:rsidP="001748A7">
            <w:pPr>
              <w:spacing w:line="160" w:lineRule="exact"/>
              <w:jc w:val="center"/>
              <w:rPr>
                <w:sz w:val="16"/>
                <w:szCs w:val="16"/>
              </w:rPr>
            </w:pPr>
          </w:p>
        </w:tc>
        <w:tc>
          <w:tcPr>
            <w:tcW w:w="1303" w:type="dxa"/>
            <w:tcBorders>
              <w:top w:val="double" w:sz="4" w:space="0" w:color="auto"/>
            </w:tcBorders>
            <w:vAlign w:val="center"/>
          </w:tcPr>
          <w:p w:rsidR="001748A7" w:rsidRPr="00C66172" w:rsidRDefault="001748A7" w:rsidP="001748A7">
            <w:pPr>
              <w:spacing w:line="160" w:lineRule="exact"/>
              <w:jc w:val="right"/>
              <w:rPr>
                <w:sz w:val="16"/>
                <w:szCs w:val="16"/>
              </w:rPr>
            </w:pPr>
          </w:p>
        </w:tc>
      </w:tr>
      <w:tr w:rsidR="001748A7" w:rsidTr="004E2478">
        <w:tc>
          <w:tcPr>
            <w:tcW w:w="3284" w:type="dxa"/>
            <w:vAlign w:val="center"/>
          </w:tcPr>
          <w:p w:rsidR="001748A7" w:rsidRPr="00C66172" w:rsidRDefault="001748A7" w:rsidP="001748A7">
            <w:pPr>
              <w:pStyle w:val="Heading5"/>
              <w:spacing w:after="0" w:line="160" w:lineRule="exact"/>
              <w:rPr>
                <w:b w:val="0"/>
                <w:bCs w:val="0"/>
                <w:i w:val="0"/>
                <w:iCs/>
                <w:sz w:val="16"/>
              </w:rPr>
            </w:pPr>
            <w:r w:rsidRPr="00C66172">
              <w:rPr>
                <w:i w:val="0"/>
                <w:iCs/>
                <w:sz w:val="16"/>
              </w:rPr>
              <w:br w:type="page"/>
            </w:r>
            <w:r w:rsidRPr="00C66172">
              <w:rPr>
                <w:i w:val="0"/>
                <w:iCs/>
                <w:sz w:val="16"/>
                <w:szCs w:val="16"/>
              </w:rPr>
              <w:t xml:space="preserve">Other Economic Flows – </w:t>
            </w:r>
            <w:r>
              <w:rPr>
                <w:i w:val="0"/>
                <w:iCs/>
                <w:sz w:val="16"/>
                <w:szCs w:val="16"/>
              </w:rPr>
              <w:t>Other Comprehensive Income</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center"/>
          </w:tcPr>
          <w:p w:rsidR="001748A7" w:rsidRPr="00C66172" w:rsidRDefault="001748A7" w:rsidP="001748A7">
            <w:pPr>
              <w:spacing w:line="160" w:lineRule="exact"/>
              <w:jc w:val="right"/>
              <w:rPr>
                <w:sz w:val="16"/>
                <w:szCs w:val="16"/>
              </w:rPr>
            </w:pPr>
          </w:p>
        </w:tc>
      </w:tr>
      <w:tr w:rsidR="001748A7" w:rsidTr="004E2478">
        <w:tc>
          <w:tcPr>
            <w:tcW w:w="3284" w:type="dxa"/>
            <w:vAlign w:val="center"/>
          </w:tcPr>
          <w:p w:rsidR="001748A7" w:rsidRPr="00C66172" w:rsidRDefault="001748A7" w:rsidP="001748A7">
            <w:pPr>
              <w:spacing w:line="160" w:lineRule="exact"/>
              <w:rPr>
                <w:sz w:val="16"/>
                <w:szCs w:val="16"/>
              </w:rPr>
            </w:pPr>
          </w:p>
        </w:tc>
        <w:tc>
          <w:tcPr>
            <w:tcW w:w="1617" w:type="dxa"/>
            <w:vAlign w:val="center"/>
          </w:tcPr>
          <w:p w:rsidR="001748A7" w:rsidRPr="00C66172" w:rsidRDefault="001748A7" w:rsidP="001748A7">
            <w:pPr>
              <w:spacing w:line="160" w:lineRule="exact"/>
              <w:jc w:val="center"/>
              <w:rPr>
                <w:sz w:val="16"/>
                <w:szCs w:val="16"/>
              </w:rPr>
            </w:pPr>
          </w:p>
        </w:tc>
        <w:tc>
          <w:tcPr>
            <w:tcW w:w="1303" w:type="dxa"/>
            <w:vAlign w:val="center"/>
          </w:tcPr>
          <w:p w:rsidR="001748A7" w:rsidRPr="00C66172" w:rsidRDefault="001748A7" w:rsidP="001748A7">
            <w:pPr>
              <w:spacing w:line="160" w:lineRule="exact"/>
              <w:jc w:val="right"/>
              <w:rPr>
                <w:sz w:val="16"/>
                <w:szCs w:val="16"/>
              </w:rPr>
            </w:pPr>
          </w:p>
        </w:tc>
      </w:tr>
      <w:tr w:rsidR="001748A7" w:rsidTr="004E2478">
        <w:tc>
          <w:tcPr>
            <w:tcW w:w="3284" w:type="dxa"/>
            <w:vAlign w:val="center"/>
          </w:tcPr>
          <w:p w:rsidR="001748A7" w:rsidRPr="004B6113" w:rsidRDefault="001748A7" w:rsidP="002949B1">
            <w:pPr>
              <w:spacing w:line="240" w:lineRule="auto"/>
              <w:rPr>
                <w:sz w:val="16"/>
                <w:szCs w:val="16"/>
              </w:rPr>
            </w:pPr>
            <w:r w:rsidRPr="005B4F7A">
              <w:rPr>
                <w:b/>
                <w:i/>
                <w:sz w:val="16"/>
                <w:szCs w:val="16"/>
              </w:rPr>
              <w:t>Items that will not be reclassified to operating result</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center"/>
          </w:tcPr>
          <w:p w:rsidR="001748A7" w:rsidRPr="00C66172" w:rsidRDefault="001748A7" w:rsidP="001748A7">
            <w:pPr>
              <w:spacing w:line="160" w:lineRule="exact"/>
              <w:jc w:val="right"/>
              <w:rPr>
                <w:sz w:val="16"/>
                <w:szCs w:val="16"/>
              </w:rPr>
            </w:pPr>
          </w:p>
        </w:tc>
      </w:tr>
      <w:tr w:rsidR="001748A7" w:rsidTr="004E2478">
        <w:tc>
          <w:tcPr>
            <w:tcW w:w="3284" w:type="dxa"/>
            <w:vAlign w:val="center"/>
          </w:tcPr>
          <w:p w:rsidR="001748A7" w:rsidRPr="00C66172" w:rsidRDefault="001748A7" w:rsidP="001748A7">
            <w:pPr>
              <w:spacing w:line="160" w:lineRule="exact"/>
              <w:rPr>
                <w:rFonts w:eastAsia="Arial Unicode MS"/>
                <w:sz w:val="16"/>
                <w:szCs w:val="16"/>
              </w:rPr>
            </w:pPr>
            <w:r w:rsidRPr="00C66172">
              <w:rPr>
                <w:sz w:val="16"/>
                <w:szCs w:val="16"/>
              </w:rPr>
              <w:t>Revaluations</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bottom"/>
          </w:tcPr>
          <w:p w:rsidR="001748A7" w:rsidRPr="00C66172" w:rsidRDefault="001748A7" w:rsidP="00FF33F8">
            <w:pPr>
              <w:spacing w:line="160" w:lineRule="exact"/>
              <w:jc w:val="right"/>
              <w:rPr>
                <w:rFonts w:eastAsia="Arial Unicode MS"/>
                <w:sz w:val="16"/>
                <w:szCs w:val="16"/>
              </w:rPr>
            </w:pPr>
            <w:r w:rsidRPr="00C66172">
              <w:rPr>
                <w:sz w:val="16"/>
                <w:szCs w:val="16"/>
              </w:rPr>
              <w:t>1,552 </w:t>
            </w:r>
          </w:p>
        </w:tc>
      </w:tr>
      <w:tr w:rsidR="001748A7" w:rsidTr="004E2478">
        <w:tc>
          <w:tcPr>
            <w:tcW w:w="3284" w:type="dxa"/>
            <w:vAlign w:val="center"/>
          </w:tcPr>
          <w:p w:rsidR="001748A7" w:rsidRPr="001748A7" w:rsidRDefault="001748A7" w:rsidP="001748A7">
            <w:pPr>
              <w:spacing w:line="240" w:lineRule="auto"/>
              <w:rPr>
                <w:sz w:val="16"/>
                <w:szCs w:val="16"/>
                <w:u w:val="single"/>
              </w:rPr>
            </w:pPr>
            <w:r w:rsidRPr="001748A7">
              <w:rPr>
                <w:sz w:val="16"/>
                <w:szCs w:val="16"/>
                <w:u w:val="single"/>
              </w:rPr>
              <w:t>Remeasurements of the defined benefit liability</w:t>
            </w:r>
          </w:p>
        </w:tc>
        <w:tc>
          <w:tcPr>
            <w:tcW w:w="1617" w:type="dxa"/>
            <w:vAlign w:val="center"/>
          </w:tcPr>
          <w:p w:rsidR="001748A7" w:rsidRPr="001748A7" w:rsidRDefault="001748A7" w:rsidP="001748A7">
            <w:pPr>
              <w:spacing w:line="240" w:lineRule="auto"/>
              <w:jc w:val="center"/>
              <w:rPr>
                <w:rFonts w:eastAsia="Arial Unicode MS"/>
                <w:sz w:val="16"/>
                <w:szCs w:val="16"/>
                <w:u w:val="single"/>
              </w:rPr>
            </w:pPr>
          </w:p>
        </w:tc>
        <w:tc>
          <w:tcPr>
            <w:tcW w:w="1303" w:type="dxa"/>
            <w:vAlign w:val="bottom"/>
          </w:tcPr>
          <w:p w:rsidR="001748A7" w:rsidRPr="001748A7" w:rsidRDefault="001748A7" w:rsidP="00FF33F8">
            <w:pPr>
              <w:spacing w:line="240" w:lineRule="auto"/>
              <w:jc w:val="right"/>
              <w:rPr>
                <w:rFonts w:eastAsia="Arial Unicode MS"/>
                <w:sz w:val="16"/>
                <w:szCs w:val="16"/>
                <w:u w:val="single"/>
              </w:rPr>
            </w:pPr>
            <w:r w:rsidRPr="001748A7">
              <w:rPr>
                <w:sz w:val="16"/>
                <w:szCs w:val="16"/>
                <w:u w:val="single"/>
              </w:rPr>
              <w:t>840 </w:t>
            </w:r>
          </w:p>
        </w:tc>
      </w:tr>
      <w:tr w:rsidR="00770FF2" w:rsidTr="004E2478">
        <w:tc>
          <w:tcPr>
            <w:tcW w:w="3284" w:type="dxa"/>
            <w:vAlign w:val="center"/>
          </w:tcPr>
          <w:p w:rsidR="00770FF2" w:rsidRPr="005B4F7A" w:rsidRDefault="00770FF2" w:rsidP="001748A7">
            <w:pPr>
              <w:spacing w:line="160" w:lineRule="exact"/>
              <w:rPr>
                <w:b/>
                <w:i/>
                <w:sz w:val="16"/>
                <w:szCs w:val="16"/>
              </w:rPr>
            </w:pPr>
          </w:p>
        </w:tc>
        <w:tc>
          <w:tcPr>
            <w:tcW w:w="1617" w:type="dxa"/>
            <w:vAlign w:val="center"/>
          </w:tcPr>
          <w:p w:rsidR="00770FF2" w:rsidRPr="00C66172" w:rsidRDefault="00770FF2" w:rsidP="001748A7">
            <w:pPr>
              <w:spacing w:line="160" w:lineRule="exact"/>
              <w:jc w:val="center"/>
              <w:rPr>
                <w:sz w:val="16"/>
                <w:szCs w:val="16"/>
              </w:rPr>
            </w:pPr>
          </w:p>
        </w:tc>
        <w:tc>
          <w:tcPr>
            <w:tcW w:w="1303" w:type="dxa"/>
            <w:vAlign w:val="bottom"/>
          </w:tcPr>
          <w:p w:rsidR="00770FF2" w:rsidRPr="00C66172" w:rsidRDefault="00770FF2" w:rsidP="00FF33F8">
            <w:pPr>
              <w:spacing w:line="160" w:lineRule="exact"/>
              <w:jc w:val="right"/>
              <w:rPr>
                <w:sz w:val="16"/>
                <w:szCs w:val="16"/>
              </w:rPr>
            </w:pPr>
          </w:p>
        </w:tc>
      </w:tr>
      <w:tr w:rsidR="001748A7" w:rsidTr="004E2478">
        <w:tc>
          <w:tcPr>
            <w:tcW w:w="3284" w:type="dxa"/>
            <w:vAlign w:val="center"/>
          </w:tcPr>
          <w:p w:rsidR="001748A7" w:rsidRPr="004B6113" w:rsidRDefault="001748A7" w:rsidP="00FE62DF">
            <w:pPr>
              <w:pageBreakBefore/>
              <w:spacing w:line="240" w:lineRule="auto"/>
              <w:rPr>
                <w:sz w:val="16"/>
                <w:szCs w:val="16"/>
              </w:rPr>
            </w:pPr>
            <w:r w:rsidRPr="005B4F7A">
              <w:rPr>
                <w:b/>
                <w:i/>
                <w:sz w:val="16"/>
                <w:szCs w:val="16"/>
              </w:rPr>
              <w:lastRenderedPageBreak/>
              <w:t>Items that may be reclassified subsequently to operating result</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bottom"/>
          </w:tcPr>
          <w:p w:rsidR="001748A7" w:rsidRPr="00C66172" w:rsidRDefault="001748A7" w:rsidP="00FF33F8">
            <w:pPr>
              <w:spacing w:line="160" w:lineRule="exact"/>
              <w:jc w:val="right"/>
              <w:rPr>
                <w:sz w:val="16"/>
                <w:szCs w:val="16"/>
              </w:rPr>
            </w:pPr>
          </w:p>
        </w:tc>
      </w:tr>
      <w:tr w:rsidR="001748A7" w:rsidTr="004E2478">
        <w:tc>
          <w:tcPr>
            <w:tcW w:w="3284" w:type="dxa"/>
            <w:vAlign w:val="center"/>
          </w:tcPr>
          <w:p w:rsidR="001748A7" w:rsidRPr="00C66172" w:rsidRDefault="001748A7" w:rsidP="002949B1">
            <w:pPr>
              <w:spacing w:line="240" w:lineRule="auto"/>
              <w:ind w:left="142" w:hanging="142"/>
              <w:rPr>
                <w:sz w:val="16"/>
                <w:szCs w:val="16"/>
              </w:rPr>
            </w:pPr>
            <w:r w:rsidRPr="00C66172">
              <w:rPr>
                <w:sz w:val="16"/>
                <w:szCs w:val="16"/>
              </w:rPr>
              <w:t>Net gain on equity investments in other sector entities measured at proportional share of carrying amount of net assets/(liabilities)</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bottom"/>
          </w:tcPr>
          <w:p w:rsidR="001748A7" w:rsidRPr="00C66172" w:rsidRDefault="001748A7" w:rsidP="00FF33F8">
            <w:pPr>
              <w:spacing w:line="160" w:lineRule="exact"/>
              <w:jc w:val="right"/>
              <w:rPr>
                <w:sz w:val="16"/>
                <w:szCs w:val="16"/>
              </w:rPr>
            </w:pPr>
            <w:r w:rsidRPr="00C66172">
              <w:rPr>
                <w:sz w:val="16"/>
                <w:szCs w:val="16"/>
              </w:rPr>
              <w:t xml:space="preserve">1,072  </w:t>
            </w:r>
          </w:p>
        </w:tc>
      </w:tr>
      <w:tr w:rsidR="001748A7" w:rsidTr="004E2478">
        <w:tc>
          <w:tcPr>
            <w:tcW w:w="3284" w:type="dxa"/>
            <w:vAlign w:val="center"/>
          </w:tcPr>
          <w:p w:rsidR="001748A7" w:rsidRPr="00C66172" w:rsidRDefault="001748A7" w:rsidP="002949B1">
            <w:pPr>
              <w:spacing w:line="240" w:lineRule="auto"/>
              <w:ind w:left="142" w:hanging="142"/>
              <w:rPr>
                <w:sz w:val="16"/>
                <w:szCs w:val="16"/>
              </w:rPr>
            </w:pPr>
            <w:r w:rsidRPr="00C66172">
              <w:rPr>
                <w:sz w:val="16"/>
                <w:szCs w:val="16"/>
              </w:rPr>
              <w:t>Net gain on financial assets measured at fair value</w:t>
            </w:r>
          </w:p>
        </w:tc>
        <w:tc>
          <w:tcPr>
            <w:tcW w:w="1617" w:type="dxa"/>
            <w:vAlign w:val="center"/>
          </w:tcPr>
          <w:p w:rsidR="001748A7" w:rsidRPr="00C66172" w:rsidRDefault="001748A7" w:rsidP="001748A7">
            <w:pPr>
              <w:spacing w:line="160" w:lineRule="exact"/>
              <w:jc w:val="center"/>
              <w:rPr>
                <w:rFonts w:eastAsia="Arial Unicode MS"/>
                <w:sz w:val="16"/>
                <w:szCs w:val="16"/>
              </w:rPr>
            </w:pPr>
          </w:p>
        </w:tc>
        <w:tc>
          <w:tcPr>
            <w:tcW w:w="1303" w:type="dxa"/>
            <w:tcBorders>
              <w:bottom w:val="single" w:sz="4" w:space="0" w:color="auto"/>
            </w:tcBorders>
            <w:vAlign w:val="bottom"/>
          </w:tcPr>
          <w:p w:rsidR="001748A7" w:rsidRPr="00C66172" w:rsidRDefault="001748A7" w:rsidP="00FF33F8">
            <w:pPr>
              <w:spacing w:line="160" w:lineRule="exact"/>
              <w:jc w:val="right"/>
              <w:rPr>
                <w:sz w:val="16"/>
                <w:szCs w:val="16"/>
              </w:rPr>
            </w:pPr>
            <w:r w:rsidRPr="00C66172">
              <w:rPr>
                <w:sz w:val="16"/>
                <w:szCs w:val="16"/>
              </w:rPr>
              <w:t>1,000 </w:t>
            </w:r>
          </w:p>
        </w:tc>
      </w:tr>
      <w:tr w:rsidR="001748A7" w:rsidTr="004E2478">
        <w:tc>
          <w:tcPr>
            <w:tcW w:w="3284" w:type="dxa"/>
            <w:vAlign w:val="center"/>
          </w:tcPr>
          <w:p w:rsidR="001748A7" w:rsidRPr="00C66172" w:rsidRDefault="001748A7" w:rsidP="001748A7">
            <w:pPr>
              <w:spacing w:line="160" w:lineRule="exact"/>
              <w:rPr>
                <w:sz w:val="16"/>
                <w:szCs w:val="16"/>
              </w:rPr>
            </w:pPr>
          </w:p>
        </w:tc>
        <w:tc>
          <w:tcPr>
            <w:tcW w:w="1617" w:type="dxa"/>
            <w:vAlign w:val="center"/>
          </w:tcPr>
          <w:p w:rsidR="001748A7" w:rsidRPr="00C66172" w:rsidRDefault="001748A7" w:rsidP="001748A7">
            <w:pPr>
              <w:spacing w:line="160" w:lineRule="exact"/>
              <w:jc w:val="center"/>
              <w:rPr>
                <w:rFonts w:eastAsia="Arial Unicode MS"/>
                <w:sz w:val="16"/>
                <w:szCs w:val="16"/>
              </w:rPr>
            </w:pPr>
          </w:p>
        </w:tc>
        <w:tc>
          <w:tcPr>
            <w:tcW w:w="1303" w:type="dxa"/>
            <w:tcBorders>
              <w:top w:val="single" w:sz="4" w:space="0" w:color="auto"/>
            </w:tcBorders>
            <w:vAlign w:val="bottom"/>
          </w:tcPr>
          <w:p w:rsidR="001748A7" w:rsidRPr="00681491" w:rsidRDefault="00437572" w:rsidP="00FF33F8">
            <w:pPr>
              <w:spacing w:line="160" w:lineRule="exact"/>
              <w:jc w:val="right"/>
              <w:rPr>
                <w:sz w:val="16"/>
                <w:szCs w:val="16"/>
              </w:rPr>
            </w:pPr>
            <w:r>
              <w:rPr>
                <w:strike/>
                <w:sz w:val="16"/>
                <w:szCs w:val="16"/>
              </w:rPr>
              <w:t>3,624</w:t>
            </w:r>
            <w:r w:rsidR="00770FF2">
              <w:rPr>
                <w:strike/>
                <w:sz w:val="16"/>
                <w:szCs w:val="16"/>
              </w:rPr>
              <w:t xml:space="preserve"> </w:t>
            </w:r>
            <w:r>
              <w:rPr>
                <w:sz w:val="16"/>
                <w:szCs w:val="16"/>
                <w:u w:val="single"/>
              </w:rPr>
              <w:t>4,464</w:t>
            </w:r>
            <w:r w:rsidR="00681491">
              <w:rPr>
                <w:sz w:val="16"/>
                <w:szCs w:val="16"/>
              </w:rPr>
              <w:t> </w:t>
            </w:r>
          </w:p>
        </w:tc>
      </w:tr>
      <w:tr w:rsidR="001748A7" w:rsidTr="004E2478">
        <w:tc>
          <w:tcPr>
            <w:tcW w:w="3284" w:type="dxa"/>
            <w:vAlign w:val="center"/>
          </w:tcPr>
          <w:p w:rsidR="001748A7" w:rsidRPr="00C66172" w:rsidRDefault="001748A7" w:rsidP="001748A7">
            <w:pPr>
              <w:spacing w:line="160" w:lineRule="exact"/>
              <w:rPr>
                <w:sz w:val="16"/>
                <w:szCs w:val="16"/>
              </w:rPr>
            </w:pPr>
          </w:p>
        </w:tc>
        <w:tc>
          <w:tcPr>
            <w:tcW w:w="1617" w:type="dxa"/>
            <w:vAlign w:val="center"/>
          </w:tcPr>
          <w:p w:rsidR="001748A7" w:rsidRPr="00C66172" w:rsidRDefault="001748A7" w:rsidP="001748A7">
            <w:pPr>
              <w:spacing w:line="160" w:lineRule="exact"/>
              <w:jc w:val="center"/>
              <w:rPr>
                <w:sz w:val="16"/>
                <w:szCs w:val="16"/>
              </w:rPr>
            </w:pPr>
          </w:p>
        </w:tc>
        <w:tc>
          <w:tcPr>
            <w:tcW w:w="1303" w:type="dxa"/>
            <w:vAlign w:val="bottom"/>
          </w:tcPr>
          <w:p w:rsidR="001748A7" w:rsidRPr="00C66172" w:rsidRDefault="001748A7" w:rsidP="00FF33F8">
            <w:pPr>
              <w:spacing w:line="160" w:lineRule="exact"/>
              <w:jc w:val="right"/>
              <w:rPr>
                <w:sz w:val="16"/>
                <w:szCs w:val="16"/>
              </w:rPr>
            </w:pPr>
          </w:p>
        </w:tc>
      </w:tr>
      <w:tr w:rsidR="001748A7" w:rsidTr="004E2478">
        <w:tc>
          <w:tcPr>
            <w:tcW w:w="3284" w:type="dxa"/>
            <w:vAlign w:val="center"/>
          </w:tcPr>
          <w:p w:rsidR="001748A7" w:rsidRPr="00C66172" w:rsidRDefault="001748A7" w:rsidP="002949B1">
            <w:pPr>
              <w:spacing w:line="240" w:lineRule="auto"/>
              <w:rPr>
                <w:rFonts w:eastAsia="Arial Unicode MS"/>
                <w:b/>
                <w:bCs/>
                <w:sz w:val="16"/>
                <w:szCs w:val="16"/>
              </w:rPr>
            </w:pPr>
            <w:r w:rsidRPr="00C66172">
              <w:rPr>
                <w:b/>
                <w:bCs/>
                <w:sz w:val="16"/>
                <w:szCs w:val="16"/>
              </w:rPr>
              <w:t>COMPREHENSIVE RESULT – TOTAL CHANGE IN NET WORTH</w:t>
            </w:r>
          </w:p>
        </w:tc>
        <w:tc>
          <w:tcPr>
            <w:tcW w:w="1617" w:type="dxa"/>
            <w:vAlign w:val="center"/>
          </w:tcPr>
          <w:p w:rsidR="001748A7" w:rsidRPr="00C66172" w:rsidRDefault="001748A7" w:rsidP="001748A7">
            <w:pPr>
              <w:spacing w:line="160" w:lineRule="exact"/>
              <w:jc w:val="center"/>
              <w:rPr>
                <w:b/>
                <w:bCs/>
                <w:sz w:val="16"/>
                <w:szCs w:val="16"/>
              </w:rPr>
            </w:pPr>
          </w:p>
        </w:tc>
        <w:tc>
          <w:tcPr>
            <w:tcW w:w="1303" w:type="dxa"/>
            <w:tcBorders>
              <w:bottom w:val="double" w:sz="4" w:space="0" w:color="auto"/>
            </w:tcBorders>
            <w:vAlign w:val="bottom"/>
          </w:tcPr>
          <w:p w:rsidR="001748A7" w:rsidRPr="00C66172" w:rsidRDefault="001748A7" w:rsidP="00FF33F8">
            <w:pPr>
              <w:spacing w:line="160" w:lineRule="exact"/>
              <w:jc w:val="right"/>
              <w:rPr>
                <w:rFonts w:eastAsia="Arial Unicode MS"/>
                <w:b/>
                <w:bCs/>
                <w:sz w:val="16"/>
                <w:szCs w:val="16"/>
              </w:rPr>
            </w:pPr>
            <w:r w:rsidRPr="00C66172">
              <w:rPr>
                <w:b/>
                <w:bCs/>
                <w:sz w:val="16"/>
                <w:szCs w:val="16"/>
              </w:rPr>
              <w:t>9,791 </w:t>
            </w:r>
          </w:p>
        </w:tc>
      </w:tr>
      <w:tr w:rsidR="001748A7" w:rsidTr="004E2478">
        <w:tc>
          <w:tcPr>
            <w:tcW w:w="3284" w:type="dxa"/>
            <w:vAlign w:val="center"/>
          </w:tcPr>
          <w:p w:rsidR="001748A7" w:rsidRPr="00C66172" w:rsidRDefault="001748A7" w:rsidP="001748A7">
            <w:pPr>
              <w:tabs>
                <w:tab w:val="left" w:pos="217"/>
              </w:tabs>
              <w:spacing w:line="160" w:lineRule="exact"/>
              <w:rPr>
                <w:b/>
                <w:bCs/>
                <w:sz w:val="16"/>
                <w:szCs w:val="16"/>
              </w:rPr>
            </w:pPr>
          </w:p>
        </w:tc>
        <w:tc>
          <w:tcPr>
            <w:tcW w:w="1617" w:type="dxa"/>
            <w:vAlign w:val="center"/>
          </w:tcPr>
          <w:p w:rsidR="001748A7" w:rsidRPr="00C66172" w:rsidRDefault="001748A7" w:rsidP="001748A7">
            <w:pPr>
              <w:spacing w:line="160" w:lineRule="exact"/>
              <w:jc w:val="center"/>
              <w:rPr>
                <w:sz w:val="16"/>
                <w:szCs w:val="16"/>
              </w:rPr>
            </w:pPr>
          </w:p>
        </w:tc>
        <w:tc>
          <w:tcPr>
            <w:tcW w:w="1303" w:type="dxa"/>
            <w:tcBorders>
              <w:top w:val="double" w:sz="4" w:space="0" w:color="auto"/>
            </w:tcBorders>
            <w:vAlign w:val="center"/>
          </w:tcPr>
          <w:p w:rsidR="001748A7" w:rsidRPr="00C66172" w:rsidRDefault="001748A7" w:rsidP="001748A7">
            <w:pPr>
              <w:spacing w:line="160" w:lineRule="exact"/>
              <w:jc w:val="right"/>
              <w:rPr>
                <w:rFonts w:eastAsia="Arial Unicode MS"/>
                <w:sz w:val="16"/>
                <w:szCs w:val="16"/>
              </w:rPr>
            </w:pPr>
          </w:p>
        </w:tc>
      </w:tr>
      <w:tr w:rsidR="001748A7" w:rsidTr="004E2478">
        <w:tc>
          <w:tcPr>
            <w:tcW w:w="3284" w:type="dxa"/>
            <w:vAlign w:val="center"/>
          </w:tcPr>
          <w:p w:rsidR="001748A7" w:rsidRPr="00C66172" w:rsidRDefault="00770FF2" w:rsidP="001748A7">
            <w:pPr>
              <w:tabs>
                <w:tab w:val="left" w:pos="217"/>
              </w:tabs>
              <w:spacing w:before="120" w:line="160" w:lineRule="exact"/>
              <w:rPr>
                <w:b/>
                <w:bCs/>
                <w:sz w:val="16"/>
                <w:szCs w:val="16"/>
              </w:rPr>
            </w:pPr>
            <w:r>
              <w:rPr>
                <w:b/>
                <w:bCs/>
                <w:sz w:val="16"/>
                <w:szCs w:val="16"/>
              </w:rPr>
              <w:t>…</w:t>
            </w:r>
          </w:p>
        </w:tc>
        <w:tc>
          <w:tcPr>
            <w:tcW w:w="1617" w:type="dxa"/>
            <w:vAlign w:val="center"/>
          </w:tcPr>
          <w:p w:rsidR="001748A7" w:rsidRPr="00C66172" w:rsidRDefault="001748A7" w:rsidP="001748A7">
            <w:pPr>
              <w:spacing w:line="160" w:lineRule="exact"/>
              <w:jc w:val="center"/>
              <w:rPr>
                <w:sz w:val="16"/>
                <w:szCs w:val="16"/>
              </w:rPr>
            </w:pPr>
          </w:p>
        </w:tc>
        <w:tc>
          <w:tcPr>
            <w:tcW w:w="1303" w:type="dxa"/>
            <w:vAlign w:val="center"/>
          </w:tcPr>
          <w:p w:rsidR="001748A7" w:rsidRPr="00C66172" w:rsidRDefault="001748A7" w:rsidP="001748A7">
            <w:pPr>
              <w:spacing w:line="160" w:lineRule="exact"/>
              <w:jc w:val="right"/>
              <w:rPr>
                <w:rFonts w:eastAsia="Arial Unicode MS"/>
                <w:b/>
                <w:bCs/>
                <w:sz w:val="16"/>
                <w:szCs w:val="16"/>
              </w:rPr>
            </w:pPr>
          </w:p>
        </w:tc>
      </w:tr>
      <w:tr w:rsidR="007F528F" w:rsidTr="004E2478">
        <w:tc>
          <w:tcPr>
            <w:tcW w:w="3284" w:type="dxa"/>
            <w:vAlign w:val="center"/>
          </w:tcPr>
          <w:p w:rsidR="007F528F" w:rsidRDefault="007F528F" w:rsidP="001748A7">
            <w:pPr>
              <w:tabs>
                <w:tab w:val="left" w:pos="217"/>
              </w:tabs>
              <w:spacing w:before="120" w:line="160" w:lineRule="exact"/>
              <w:rPr>
                <w:b/>
                <w:bCs/>
                <w:sz w:val="16"/>
                <w:szCs w:val="16"/>
              </w:rPr>
            </w:pPr>
          </w:p>
        </w:tc>
        <w:tc>
          <w:tcPr>
            <w:tcW w:w="1617" w:type="dxa"/>
            <w:vAlign w:val="center"/>
          </w:tcPr>
          <w:p w:rsidR="007F528F" w:rsidRPr="00C66172" w:rsidRDefault="007F528F" w:rsidP="001748A7">
            <w:pPr>
              <w:spacing w:line="160" w:lineRule="exact"/>
              <w:jc w:val="center"/>
              <w:rPr>
                <w:sz w:val="16"/>
                <w:szCs w:val="16"/>
              </w:rPr>
            </w:pPr>
          </w:p>
        </w:tc>
        <w:tc>
          <w:tcPr>
            <w:tcW w:w="1303" w:type="dxa"/>
            <w:vAlign w:val="center"/>
          </w:tcPr>
          <w:p w:rsidR="007F528F" w:rsidRPr="00C66172" w:rsidRDefault="007F528F" w:rsidP="001748A7">
            <w:pPr>
              <w:spacing w:line="160" w:lineRule="exact"/>
              <w:jc w:val="right"/>
              <w:rPr>
                <w:rFonts w:eastAsia="Arial Unicode MS"/>
                <w:b/>
                <w:bCs/>
                <w:sz w:val="16"/>
                <w:szCs w:val="16"/>
              </w:rPr>
            </w:pPr>
          </w:p>
        </w:tc>
      </w:tr>
    </w:tbl>
    <w:p w:rsidR="003362DB" w:rsidRDefault="003362DB" w:rsidP="00C7397F">
      <w:pPr>
        <w:pStyle w:val="NumPlain1"/>
        <w:spacing w:before="120"/>
      </w:pPr>
      <w:r>
        <w:t>In the Explanatory Notes Supporting Illustrative Examples A and B, notes i</w:t>
      </w:r>
      <w:r w:rsidR="00172D3B">
        <w:t xml:space="preserve">, </w:t>
      </w:r>
      <w:r>
        <w:t xml:space="preserve">k </w:t>
      </w:r>
      <w:r w:rsidR="00172D3B">
        <w:t xml:space="preserve">and u </w:t>
      </w:r>
      <w:r>
        <w:t xml:space="preserve">are amended as follows </w:t>
      </w:r>
      <w:r w:rsidRPr="00F3673F">
        <w:t>(new text is underlined and deleted text is struck through):</w:t>
      </w:r>
    </w:p>
    <w:p w:rsidR="003362DB" w:rsidRDefault="003362DB" w:rsidP="003362DB">
      <w:pPr>
        <w:pStyle w:val="SubNumPlain1"/>
        <w:rPr>
          <w:b/>
          <w:lang w:eastAsia="en-AU"/>
        </w:rPr>
      </w:pPr>
      <w:r w:rsidRPr="003362DB">
        <w:rPr>
          <w:b/>
        </w:rPr>
        <w:t>i</w:t>
      </w:r>
      <w:r w:rsidRPr="003362DB">
        <w:rPr>
          <w:b/>
        </w:rPr>
        <w:tab/>
      </w:r>
      <w:r w:rsidRPr="003362DB">
        <w:rPr>
          <w:b/>
          <w:spacing w:val="1"/>
          <w:lang w:eastAsia="en-AU"/>
        </w:rPr>
        <w:t>Ot</w:t>
      </w:r>
      <w:r w:rsidRPr="003362DB">
        <w:rPr>
          <w:b/>
          <w:lang w:eastAsia="en-AU"/>
        </w:rPr>
        <w:t>her</w:t>
      </w:r>
      <w:r w:rsidRPr="003362DB">
        <w:rPr>
          <w:b/>
          <w:spacing w:val="-4"/>
          <w:lang w:eastAsia="en-AU"/>
        </w:rPr>
        <w:t xml:space="preserve"> </w:t>
      </w:r>
      <w:r w:rsidRPr="003362DB">
        <w:rPr>
          <w:b/>
          <w:spacing w:val="-1"/>
          <w:lang w:eastAsia="en-AU"/>
        </w:rPr>
        <w:t>E</w:t>
      </w:r>
      <w:r w:rsidRPr="003362DB">
        <w:rPr>
          <w:b/>
          <w:lang w:eastAsia="en-AU"/>
        </w:rPr>
        <w:t>c</w:t>
      </w:r>
      <w:r w:rsidRPr="003362DB">
        <w:rPr>
          <w:b/>
          <w:spacing w:val="1"/>
          <w:lang w:eastAsia="en-AU"/>
        </w:rPr>
        <w:t>o</w:t>
      </w:r>
      <w:r w:rsidRPr="003362DB">
        <w:rPr>
          <w:b/>
          <w:lang w:eastAsia="en-AU"/>
        </w:rPr>
        <w:t>n</w:t>
      </w:r>
      <w:r w:rsidRPr="003362DB">
        <w:rPr>
          <w:b/>
          <w:spacing w:val="3"/>
          <w:lang w:eastAsia="en-AU"/>
        </w:rPr>
        <w:t>o</w:t>
      </w:r>
      <w:r w:rsidRPr="003362DB">
        <w:rPr>
          <w:b/>
          <w:spacing w:val="-3"/>
          <w:lang w:eastAsia="en-AU"/>
        </w:rPr>
        <w:t>m</w:t>
      </w:r>
      <w:r w:rsidRPr="003362DB">
        <w:rPr>
          <w:b/>
          <w:lang w:eastAsia="en-AU"/>
        </w:rPr>
        <w:t>ic</w:t>
      </w:r>
      <w:r w:rsidRPr="003362DB">
        <w:rPr>
          <w:b/>
          <w:spacing w:val="-8"/>
          <w:lang w:eastAsia="en-AU"/>
        </w:rPr>
        <w:t xml:space="preserve"> </w:t>
      </w:r>
      <w:r w:rsidRPr="003362DB">
        <w:rPr>
          <w:b/>
          <w:lang w:eastAsia="en-AU"/>
        </w:rPr>
        <w:t>Fl</w:t>
      </w:r>
      <w:r w:rsidRPr="003362DB">
        <w:rPr>
          <w:b/>
          <w:spacing w:val="1"/>
          <w:lang w:eastAsia="en-AU"/>
        </w:rPr>
        <w:t>o</w:t>
      </w:r>
      <w:r w:rsidRPr="003362DB">
        <w:rPr>
          <w:b/>
          <w:spacing w:val="2"/>
          <w:lang w:eastAsia="en-AU"/>
        </w:rPr>
        <w:t>w</w:t>
      </w:r>
      <w:r w:rsidRPr="003362DB">
        <w:rPr>
          <w:b/>
          <w:lang w:eastAsia="en-AU"/>
        </w:rPr>
        <w:t>s</w:t>
      </w:r>
      <w:r w:rsidRPr="003362DB">
        <w:rPr>
          <w:b/>
          <w:spacing w:val="-3"/>
          <w:lang w:eastAsia="en-AU"/>
        </w:rPr>
        <w:t xml:space="preserve"> </w:t>
      </w:r>
      <w:r w:rsidRPr="003362DB">
        <w:rPr>
          <w:b/>
          <w:lang w:eastAsia="en-AU"/>
        </w:rPr>
        <w:t>–</w:t>
      </w:r>
      <w:r w:rsidRPr="003362DB">
        <w:rPr>
          <w:b/>
          <w:spacing w:val="1"/>
          <w:lang w:eastAsia="en-AU"/>
        </w:rPr>
        <w:t xml:space="preserve"> O</w:t>
      </w:r>
      <w:r w:rsidRPr="003362DB">
        <w:rPr>
          <w:b/>
          <w:spacing w:val="-2"/>
          <w:lang w:eastAsia="en-AU"/>
        </w:rPr>
        <w:t>t</w:t>
      </w:r>
      <w:r w:rsidRPr="003362DB">
        <w:rPr>
          <w:b/>
          <w:lang w:eastAsia="en-AU"/>
        </w:rPr>
        <w:t>her</w:t>
      </w:r>
      <w:r w:rsidRPr="003362DB">
        <w:rPr>
          <w:b/>
          <w:spacing w:val="-4"/>
          <w:lang w:eastAsia="en-AU"/>
        </w:rPr>
        <w:t xml:space="preserve"> </w:t>
      </w:r>
      <w:r w:rsidRPr="003737E9">
        <w:rPr>
          <w:b/>
          <w:strike/>
          <w:lang w:eastAsia="en-AU"/>
        </w:rPr>
        <w:t>N</w:t>
      </w:r>
      <w:r w:rsidRPr="003737E9">
        <w:rPr>
          <w:b/>
          <w:strike/>
          <w:spacing w:val="1"/>
          <w:lang w:eastAsia="en-AU"/>
        </w:rPr>
        <w:t>o</w:t>
      </w:r>
      <w:r w:rsidRPr="003737E9">
        <w:rPr>
          <w:b/>
          <w:strike/>
          <w:lang w:eastAsia="en-AU"/>
        </w:rPr>
        <w:t>n</w:t>
      </w:r>
      <w:r w:rsidRPr="003737E9">
        <w:rPr>
          <w:b/>
          <w:strike/>
          <w:spacing w:val="1"/>
          <w:lang w:eastAsia="en-AU"/>
        </w:rPr>
        <w:t>-O</w:t>
      </w:r>
      <w:r w:rsidRPr="003737E9">
        <w:rPr>
          <w:b/>
          <w:strike/>
          <w:spacing w:val="2"/>
          <w:lang w:eastAsia="en-AU"/>
        </w:rPr>
        <w:t>w</w:t>
      </w:r>
      <w:r w:rsidRPr="003737E9">
        <w:rPr>
          <w:b/>
          <w:strike/>
          <w:lang w:eastAsia="en-AU"/>
        </w:rPr>
        <w:t>ne</w:t>
      </w:r>
      <w:r w:rsidRPr="003737E9">
        <w:rPr>
          <w:b/>
          <w:strike/>
          <w:spacing w:val="1"/>
          <w:lang w:eastAsia="en-AU"/>
        </w:rPr>
        <w:t>r</w:t>
      </w:r>
      <w:r w:rsidRPr="003737E9">
        <w:rPr>
          <w:b/>
          <w:strike/>
          <w:position w:val="9"/>
          <w:sz w:val="13"/>
          <w:szCs w:val="13"/>
          <w:lang w:eastAsia="en-AU"/>
        </w:rPr>
        <w:t>3</w:t>
      </w:r>
      <w:r w:rsidRPr="003737E9">
        <w:rPr>
          <w:b/>
          <w:strike/>
          <w:spacing w:val="7"/>
          <w:position w:val="9"/>
          <w:sz w:val="13"/>
          <w:szCs w:val="13"/>
          <w:lang w:eastAsia="en-AU"/>
        </w:rPr>
        <w:t xml:space="preserve"> </w:t>
      </w:r>
      <w:r w:rsidRPr="003737E9">
        <w:rPr>
          <w:b/>
          <w:strike/>
          <w:lang w:eastAsia="en-AU"/>
        </w:rPr>
        <w:t>Ch</w:t>
      </w:r>
      <w:r w:rsidRPr="003737E9">
        <w:rPr>
          <w:b/>
          <w:strike/>
          <w:spacing w:val="1"/>
          <w:lang w:eastAsia="en-AU"/>
        </w:rPr>
        <w:t>a</w:t>
      </w:r>
      <w:r w:rsidRPr="003737E9">
        <w:rPr>
          <w:b/>
          <w:strike/>
          <w:lang w:eastAsia="en-AU"/>
        </w:rPr>
        <w:t>n</w:t>
      </w:r>
      <w:r w:rsidRPr="003737E9">
        <w:rPr>
          <w:b/>
          <w:strike/>
          <w:spacing w:val="1"/>
          <w:lang w:eastAsia="en-AU"/>
        </w:rPr>
        <w:t>g</w:t>
      </w:r>
      <w:r w:rsidRPr="003737E9">
        <w:rPr>
          <w:b/>
          <w:strike/>
          <w:lang w:eastAsia="en-AU"/>
        </w:rPr>
        <w:t>es</w:t>
      </w:r>
      <w:r w:rsidRPr="003737E9">
        <w:rPr>
          <w:b/>
          <w:strike/>
          <w:spacing w:val="-7"/>
          <w:lang w:eastAsia="en-AU"/>
        </w:rPr>
        <w:t xml:space="preserve"> </w:t>
      </w:r>
      <w:r w:rsidRPr="003737E9">
        <w:rPr>
          <w:b/>
          <w:strike/>
          <w:lang w:eastAsia="en-AU"/>
        </w:rPr>
        <w:t>in</w:t>
      </w:r>
      <w:r w:rsidRPr="003737E9">
        <w:rPr>
          <w:b/>
          <w:strike/>
          <w:spacing w:val="-2"/>
          <w:lang w:eastAsia="en-AU"/>
        </w:rPr>
        <w:t xml:space="preserve"> </w:t>
      </w:r>
      <w:r w:rsidRPr="003737E9">
        <w:rPr>
          <w:b/>
          <w:strike/>
          <w:lang w:eastAsia="en-AU"/>
        </w:rPr>
        <w:t>Eq</w:t>
      </w:r>
      <w:r w:rsidRPr="003737E9">
        <w:rPr>
          <w:b/>
          <w:strike/>
          <w:spacing w:val="-1"/>
          <w:lang w:eastAsia="en-AU"/>
        </w:rPr>
        <w:t>u</w:t>
      </w:r>
      <w:r w:rsidRPr="003737E9">
        <w:rPr>
          <w:b/>
          <w:strike/>
          <w:lang w:eastAsia="en-AU"/>
        </w:rPr>
        <w:t>ity</w:t>
      </w:r>
      <w:r w:rsidR="003737E9" w:rsidRPr="003737E9">
        <w:rPr>
          <w:b/>
          <w:lang w:eastAsia="en-AU"/>
        </w:rPr>
        <w:t xml:space="preserve"> </w:t>
      </w:r>
      <w:r w:rsidR="003737E9" w:rsidRPr="003737E9">
        <w:rPr>
          <w:b/>
          <w:u w:val="single"/>
          <w:lang w:eastAsia="en-AU"/>
        </w:rPr>
        <w:t>Comprehensive Income</w:t>
      </w:r>
      <w:r w:rsidRPr="003362DB">
        <w:rPr>
          <w:b/>
          <w:spacing w:val="-4"/>
          <w:lang w:eastAsia="en-AU"/>
        </w:rPr>
        <w:t xml:space="preserve"> </w:t>
      </w:r>
      <w:r w:rsidRPr="003362DB">
        <w:rPr>
          <w:b/>
          <w:lang w:eastAsia="en-AU"/>
        </w:rPr>
        <w:t>–</w:t>
      </w:r>
      <w:r w:rsidRPr="003362DB">
        <w:rPr>
          <w:b/>
          <w:spacing w:val="1"/>
          <w:lang w:eastAsia="en-AU"/>
        </w:rPr>
        <w:t xml:space="preserve"> </w:t>
      </w:r>
      <w:r w:rsidRPr="003362DB">
        <w:rPr>
          <w:b/>
          <w:lang w:eastAsia="en-AU"/>
        </w:rPr>
        <w:t>Net</w:t>
      </w:r>
      <w:r w:rsidRPr="003362DB">
        <w:rPr>
          <w:b/>
          <w:spacing w:val="-3"/>
          <w:lang w:eastAsia="en-AU"/>
        </w:rPr>
        <w:t xml:space="preserve"> </w:t>
      </w:r>
      <w:r w:rsidRPr="003362DB">
        <w:rPr>
          <w:b/>
          <w:spacing w:val="-1"/>
          <w:lang w:eastAsia="en-AU"/>
        </w:rPr>
        <w:t>G</w:t>
      </w:r>
      <w:r w:rsidRPr="003362DB">
        <w:rPr>
          <w:b/>
          <w:spacing w:val="1"/>
          <w:lang w:eastAsia="en-AU"/>
        </w:rPr>
        <w:t>a</w:t>
      </w:r>
      <w:r w:rsidRPr="003362DB">
        <w:rPr>
          <w:b/>
          <w:lang w:eastAsia="en-AU"/>
        </w:rPr>
        <w:t>in</w:t>
      </w:r>
      <w:r w:rsidRPr="003362DB">
        <w:rPr>
          <w:b/>
          <w:spacing w:val="-4"/>
          <w:lang w:eastAsia="en-AU"/>
        </w:rPr>
        <w:t xml:space="preserve"> </w:t>
      </w:r>
      <w:r w:rsidRPr="003362DB">
        <w:rPr>
          <w:b/>
          <w:spacing w:val="1"/>
          <w:lang w:eastAsia="en-AU"/>
        </w:rPr>
        <w:t>o</w:t>
      </w:r>
      <w:r w:rsidRPr="003362DB">
        <w:rPr>
          <w:b/>
          <w:lang w:eastAsia="en-AU"/>
        </w:rPr>
        <w:t>n</w:t>
      </w:r>
      <w:r w:rsidRPr="003362DB">
        <w:rPr>
          <w:b/>
          <w:spacing w:val="-2"/>
          <w:lang w:eastAsia="en-AU"/>
        </w:rPr>
        <w:t xml:space="preserve"> </w:t>
      </w:r>
      <w:r w:rsidRPr="003362DB">
        <w:rPr>
          <w:b/>
          <w:spacing w:val="2"/>
          <w:lang w:eastAsia="en-AU"/>
        </w:rPr>
        <w:t>E</w:t>
      </w:r>
      <w:r w:rsidRPr="003362DB">
        <w:rPr>
          <w:b/>
          <w:lang w:eastAsia="en-AU"/>
        </w:rPr>
        <w:t>q</w:t>
      </w:r>
      <w:r w:rsidRPr="003362DB">
        <w:rPr>
          <w:b/>
          <w:spacing w:val="-1"/>
          <w:lang w:eastAsia="en-AU"/>
        </w:rPr>
        <w:t>u</w:t>
      </w:r>
      <w:r w:rsidRPr="003362DB">
        <w:rPr>
          <w:b/>
          <w:lang w:eastAsia="en-AU"/>
        </w:rPr>
        <w:t>ity</w:t>
      </w:r>
      <w:r w:rsidRPr="003362DB">
        <w:rPr>
          <w:b/>
          <w:spacing w:val="1"/>
          <w:lang w:eastAsia="en-AU"/>
        </w:rPr>
        <w:t xml:space="preserve"> </w:t>
      </w:r>
      <w:r w:rsidRPr="003362DB">
        <w:rPr>
          <w:b/>
          <w:spacing w:val="-1"/>
          <w:lang w:eastAsia="en-AU"/>
        </w:rPr>
        <w:t>I</w:t>
      </w:r>
      <w:r w:rsidRPr="003362DB">
        <w:rPr>
          <w:b/>
          <w:lang w:eastAsia="en-AU"/>
        </w:rPr>
        <w:t>n</w:t>
      </w:r>
      <w:r w:rsidRPr="003362DB">
        <w:rPr>
          <w:b/>
          <w:spacing w:val="1"/>
          <w:lang w:eastAsia="en-AU"/>
        </w:rPr>
        <w:t>v</w:t>
      </w:r>
      <w:r w:rsidRPr="003362DB">
        <w:rPr>
          <w:b/>
          <w:lang w:eastAsia="en-AU"/>
        </w:rPr>
        <w:t>es</w:t>
      </w:r>
      <w:r w:rsidRPr="003362DB">
        <w:rPr>
          <w:b/>
          <w:spacing w:val="3"/>
          <w:lang w:eastAsia="en-AU"/>
        </w:rPr>
        <w:t>t</w:t>
      </w:r>
      <w:r w:rsidRPr="003362DB">
        <w:rPr>
          <w:b/>
          <w:spacing w:val="-3"/>
          <w:lang w:eastAsia="en-AU"/>
        </w:rPr>
        <w:t>m</w:t>
      </w:r>
      <w:r w:rsidRPr="003362DB">
        <w:rPr>
          <w:b/>
          <w:spacing w:val="3"/>
          <w:lang w:eastAsia="en-AU"/>
        </w:rPr>
        <w:t>e</w:t>
      </w:r>
      <w:r w:rsidRPr="003362DB">
        <w:rPr>
          <w:b/>
          <w:lang w:eastAsia="en-AU"/>
        </w:rPr>
        <w:t>nts</w:t>
      </w:r>
      <w:r w:rsidRPr="003362DB">
        <w:rPr>
          <w:b/>
          <w:spacing w:val="-8"/>
          <w:lang w:eastAsia="en-AU"/>
        </w:rPr>
        <w:t xml:space="preserve"> </w:t>
      </w:r>
      <w:r w:rsidRPr="003362DB">
        <w:rPr>
          <w:b/>
          <w:lang w:eastAsia="en-AU"/>
        </w:rPr>
        <w:t>in</w:t>
      </w:r>
      <w:r w:rsidRPr="003362DB">
        <w:rPr>
          <w:b/>
          <w:spacing w:val="-2"/>
          <w:lang w:eastAsia="en-AU"/>
        </w:rPr>
        <w:t xml:space="preserve"> </w:t>
      </w:r>
      <w:r w:rsidRPr="003362DB">
        <w:rPr>
          <w:b/>
          <w:spacing w:val="1"/>
          <w:lang w:eastAsia="en-AU"/>
        </w:rPr>
        <w:t>Ot</w:t>
      </w:r>
      <w:r w:rsidRPr="003362DB">
        <w:rPr>
          <w:b/>
          <w:lang w:eastAsia="en-AU"/>
        </w:rPr>
        <w:t>her</w:t>
      </w:r>
      <w:r w:rsidRPr="003362DB">
        <w:rPr>
          <w:b/>
          <w:spacing w:val="-4"/>
          <w:lang w:eastAsia="en-AU"/>
        </w:rPr>
        <w:t xml:space="preserve"> </w:t>
      </w:r>
      <w:r w:rsidRPr="003362DB">
        <w:rPr>
          <w:b/>
          <w:lang w:eastAsia="en-AU"/>
        </w:rPr>
        <w:t>Sec</w:t>
      </w:r>
      <w:r w:rsidRPr="003362DB">
        <w:rPr>
          <w:b/>
          <w:spacing w:val="1"/>
          <w:lang w:eastAsia="en-AU"/>
        </w:rPr>
        <w:t>to</w:t>
      </w:r>
      <w:r w:rsidRPr="003362DB">
        <w:rPr>
          <w:b/>
          <w:lang w:eastAsia="en-AU"/>
        </w:rPr>
        <w:t>r</w:t>
      </w:r>
      <w:r w:rsidRPr="003362DB">
        <w:rPr>
          <w:b/>
          <w:spacing w:val="-4"/>
          <w:lang w:eastAsia="en-AU"/>
        </w:rPr>
        <w:t xml:space="preserve"> </w:t>
      </w:r>
      <w:r w:rsidRPr="003362DB">
        <w:rPr>
          <w:b/>
          <w:spacing w:val="-1"/>
          <w:lang w:eastAsia="en-AU"/>
        </w:rPr>
        <w:t>E</w:t>
      </w:r>
      <w:r w:rsidRPr="003362DB">
        <w:rPr>
          <w:b/>
          <w:lang w:eastAsia="en-AU"/>
        </w:rPr>
        <w:t>nti</w:t>
      </w:r>
      <w:r w:rsidRPr="003362DB">
        <w:rPr>
          <w:b/>
          <w:spacing w:val="1"/>
          <w:lang w:eastAsia="en-AU"/>
        </w:rPr>
        <w:t>t</w:t>
      </w:r>
      <w:r w:rsidRPr="003362DB">
        <w:rPr>
          <w:b/>
          <w:lang w:eastAsia="en-AU"/>
        </w:rPr>
        <w:t>ies</w:t>
      </w:r>
      <w:r w:rsidRPr="003362DB">
        <w:rPr>
          <w:b/>
          <w:spacing w:val="-7"/>
          <w:lang w:eastAsia="en-AU"/>
        </w:rPr>
        <w:t xml:space="preserve"> </w:t>
      </w:r>
      <w:r w:rsidRPr="003362DB">
        <w:rPr>
          <w:b/>
          <w:spacing w:val="4"/>
          <w:lang w:eastAsia="en-AU"/>
        </w:rPr>
        <w:t>M</w:t>
      </w:r>
      <w:r w:rsidRPr="003362DB">
        <w:rPr>
          <w:b/>
          <w:lang w:eastAsia="en-AU"/>
        </w:rPr>
        <w:t>e</w:t>
      </w:r>
      <w:r w:rsidRPr="003362DB">
        <w:rPr>
          <w:b/>
          <w:spacing w:val="-1"/>
          <w:lang w:eastAsia="en-AU"/>
        </w:rPr>
        <w:t>as</w:t>
      </w:r>
      <w:r w:rsidRPr="003362DB">
        <w:rPr>
          <w:b/>
          <w:lang w:eastAsia="en-AU"/>
        </w:rPr>
        <w:t>ured</w:t>
      </w:r>
      <w:r w:rsidRPr="003362DB">
        <w:rPr>
          <w:b/>
          <w:spacing w:val="-9"/>
          <w:lang w:eastAsia="en-AU"/>
        </w:rPr>
        <w:t xml:space="preserve"> </w:t>
      </w:r>
      <w:r w:rsidRPr="003362DB">
        <w:rPr>
          <w:b/>
          <w:spacing w:val="1"/>
          <w:lang w:eastAsia="en-AU"/>
        </w:rPr>
        <w:t>a</w:t>
      </w:r>
      <w:r w:rsidRPr="003362DB">
        <w:rPr>
          <w:b/>
          <w:lang w:eastAsia="en-AU"/>
        </w:rPr>
        <w:t>t</w:t>
      </w:r>
      <w:r w:rsidRPr="003362DB">
        <w:rPr>
          <w:b/>
          <w:spacing w:val="-2"/>
          <w:lang w:eastAsia="en-AU"/>
        </w:rPr>
        <w:t xml:space="preserve"> </w:t>
      </w:r>
      <w:r w:rsidRPr="003362DB">
        <w:rPr>
          <w:b/>
          <w:lang w:eastAsia="en-AU"/>
        </w:rPr>
        <w:t>Pr</w:t>
      </w:r>
      <w:r w:rsidRPr="003362DB">
        <w:rPr>
          <w:b/>
          <w:spacing w:val="1"/>
          <w:lang w:eastAsia="en-AU"/>
        </w:rPr>
        <w:t>o</w:t>
      </w:r>
      <w:r w:rsidRPr="003362DB">
        <w:rPr>
          <w:b/>
          <w:lang w:eastAsia="en-AU"/>
        </w:rPr>
        <w:t>p</w:t>
      </w:r>
      <w:r w:rsidRPr="003362DB">
        <w:rPr>
          <w:b/>
          <w:spacing w:val="1"/>
          <w:lang w:eastAsia="en-AU"/>
        </w:rPr>
        <w:t>o</w:t>
      </w:r>
      <w:r w:rsidRPr="003362DB">
        <w:rPr>
          <w:b/>
          <w:lang w:eastAsia="en-AU"/>
        </w:rPr>
        <w:t>r</w:t>
      </w:r>
      <w:r w:rsidRPr="003362DB">
        <w:rPr>
          <w:b/>
          <w:spacing w:val="1"/>
          <w:lang w:eastAsia="en-AU"/>
        </w:rPr>
        <w:t>t</w:t>
      </w:r>
      <w:r w:rsidRPr="003362DB">
        <w:rPr>
          <w:b/>
          <w:lang w:eastAsia="en-AU"/>
        </w:rPr>
        <w:t>i</w:t>
      </w:r>
      <w:r w:rsidRPr="003362DB">
        <w:rPr>
          <w:b/>
          <w:spacing w:val="1"/>
          <w:lang w:eastAsia="en-AU"/>
        </w:rPr>
        <w:t>o</w:t>
      </w:r>
      <w:r w:rsidRPr="003362DB">
        <w:rPr>
          <w:b/>
          <w:lang w:eastAsia="en-AU"/>
        </w:rPr>
        <w:t>n</w:t>
      </w:r>
      <w:r w:rsidRPr="003362DB">
        <w:rPr>
          <w:b/>
          <w:spacing w:val="1"/>
          <w:lang w:eastAsia="en-AU"/>
        </w:rPr>
        <w:t>a</w:t>
      </w:r>
      <w:r w:rsidRPr="003362DB">
        <w:rPr>
          <w:b/>
          <w:lang w:eastAsia="en-AU"/>
        </w:rPr>
        <w:t>l</w:t>
      </w:r>
      <w:r w:rsidRPr="003362DB">
        <w:rPr>
          <w:b/>
          <w:spacing w:val="-11"/>
          <w:lang w:eastAsia="en-AU"/>
        </w:rPr>
        <w:t xml:space="preserve"> </w:t>
      </w:r>
      <w:r w:rsidRPr="003362DB">
        <w:rPr>
          <w:b/>
          <w:lang w:eastAsia="en-AU"/>
        </w:rPr>
        <w:t>Sh</w:t>
      </w:r>
      <w:r w:rsidRPr="003362DB">
        <w:rPr>
          <w:b/>
          <w:spacing w:val="1"/>
          <w:lang w:eastAsia="en-AU"/>
        </w:rPr>
        <w:t>a</w:t>
      </w:r>
      <w:r w:rsidRPr="003362DB">
        <w:rPr>
          <w:b/>
          <w:lang w:eastAsia="en-AU"/>
        </w:rPr>
        <w:t>re</w:t>
      </w:r>
      <w:r w:rsidRPr="003362DB">
        <w:rPr>
          <w:b/>
          <w:spacing w:val="-4"/>
          <w:lang w:eastAsia="en-AU"/>
        </w:rPr>
        <w:t xml:space="preserve"> </w:t>
      </w:r>
      <w:r w:rsidRPr="003362DB">
        <w:rPr>
          <w:b/>
          <w:spacing w:val="1"/>
          <w:lang w:eastAsia="en-AU"/>
        </w:rPr>
        <w:t>o</w:t>
      </w:r>
      <w:r w:rsidRPr="003362DB">
        <w:rPr>
          <w:b/>
          <w:lang w:eastAsia="en-AU"/>
        </w:rPr>
        <w:t>f</w:t>
      </w:r>
      <w:r w:rsidRPr="003362DB">
        <w:rPr>
          <w:b/>
          <w:spacing w:val="-1"/>
          <w:lang w:eastAsia="en-AU"/>
        </w:rPr>
        <w:t xml:space="preserve"> </w:t>
      </w:r>
      <w:r w:rsidRPr="003362DB">
        <w:rPr>
          <w:b/>
          <w:spacing w:val="1"/>
          <w:lang w:eastAsia="en-AU"/>
        </w:rPr>
        <w:t>t</w:t>
      </w:r>
      <w:r w:rsidRPr="003362DB">
        <w:rPr>
          <w:b/>
          <w:lang w:eastAsia="en-AU"/>
        </w:rPr>
        <w:t>he</w:t>
      </w:r>
      <w:r w:rsidRPr="003362DB">
        <w:rPr>
          <w:b/>
          <w:spacing w:val="-2"/>
          <w:lang w:eastAsia="en-AU"/>
        </w:rPr>
        <w:t xml:space="preserve"> </w:t>
      </w:r>
      <w:r w:rsidRPr="003362DB">
        <w:rPr>
          <w:b/>
          <w:lang w:eastAsia="en-AU"/>
        </w:rPr>
        <w:t>C</w:t>
      </w:r>
      <w:r w:rsidRPr="003362DB">
        <w:rPr>
          <w:b/>
          <w:spacing w:val="1"/>
          <w:lang w:eastAsia="en-AU"/>
        </w:rPr>
        <w:t>a</w:t>
      </w:r>
      <w:r w:rsidRPr="003362DB">
        <w:rPr>
          <w:b/>
          <w:lang w:eastAsia="en-AU"/>
        </w:rPr>
        <w:t>r</w:t>
      </w:r>
      <w:r w:rsidRPr="003362DB">
        <w:rPr>
          <w:b/>
          <w:spacing w:val="1"/>
          <w:lang w:eastAsia="en-AU"/>
        </w:rPr>
        <w:t>ry</w:t>
      </w:r>
      <w:r w:rsidRPr="003362DB">
        <w:rPr>
          <w:b/>
          <w:lang w:eastAsia="en-AU"/>
        </w:rPr>
        <w:t>ing</w:t>
      </w:r>
      <w:r w:rsidRPr="003362DB">
        <w:rPr>
          <w:b/>
          <w:spacing w:val="1"/>
          <w:lang w:eastAsia="en-AU"/>
        </w:rPr>
        <w:t xml:space="preserve"> </w:t>
      </w:r>
      <w:r w:rsidRPr="003362DB">
        <w:rPr>
          <w:b/>
          <w:spacing w:val="2"/>
          <w:lang w:eastAsia="en-AU"/>
        </w:rPr>
        <w:t>A</w:t>
      </w:r>
      <w:r w:rsidRPr="003362DB">
        <w:rPr>
          <w:b/>
          <w:spacing w:val="-5"/>
          <w:lang w:eastAsia="en-AU"/>
        </w:rPr>
        <w:t>m</w:t>
      </w:r>
      <w:r w:rsidRPr="003362DB">
        <w:rPr>
          <w:b/>
          <w:spacing w:val="1"/>
          <w:lang w:eastAsia="en-AU"/>
        </w:rPr>
        <w:t>o</w:t>
      </w:r>
      <w:r w:rsidRPr="003362DB">
        <w:rPr>
          <w:b/>
          <w:lang w:eastAsia="en-AU"/>
        </w:rPr>
        <w:t>u</w:t>
      </w:r>
      <w:r w:rsidRPr="003362DB">
        <w:rPr>
          <w:b/>
          <w:spacing w:val="-1"/>
          <w:lang w:eastAsia="en-AU"/>
        </w:rPr>
        <w:t>n</w:t>
      </w:r>
      <w:r w:rsidRPr="003362DB">
        <w:rPr>
          <w:b/>
          <w:lang w:eastAsia="en-AU"/>
        </w:rPr>
        <w:t>t</w:t>
      </w:r>
      <w:r w:rsidRPr="003362DB">
        <w:rPr>
          <w:b/>
          <w:spacing w:val="-6"/>
          <w:lang w:eastAsia="en-AU"/>
        </w:rPr>
        <w:t xml:space="preserve"> </w:t>
      </w:r>
      <w:r w:rsidRPr="003362DB">
        <w:rPr>
          <w:b/>
          <w:spacing w:val="1"/>
          <w:lang w:eastAsia="en-AU"/>
        </w:rPr>
        <w:t>o</w:t>
      </w:r>
      <w:r w:rsidRPr="003362DB">
        <w:rPr>
          <w:b/>
          <w:lang w:eastAsia="en-AU"/>
        </w:rPr>
        <w:t>f</w:t>
      </w:r>
      <w:r w:rsidRPr="003362DB">
        <w:rPr>
          <w:b/>
          <w:spacing w:val="2"/>
          <w:lang w:eastAsia="en-AU"/>
        </w:rPr>
        <w:t xml:space="preserve"> </w:t>
      </w:r>
      <w:r w:rsidRPr="003362DB">
        <w:rPr>
          <w:b/>
          <w:lang w:eastAsia="en-AU"/>
        </w:rPr>
        <w:t>Net</w:t>
      </w:r>
      <w:r w:rsidRPr="003362DB">
        <w:rPr>
          <w:b/>
          <w:spacing w:val="-1"/>
          <w:lang w:eastAsia="en-AU"/>
        </w:rPr>
        <w:t xml:space="preserve"> </w:t>
      </w:r>
      <w:r w:rsidRPr="003362DB">
        <w:rPr>
          <w:b/>
          <w:lang w:eastAsia="en-AU"/>
        </w:rPr>
        <w:t>As</w:t>
      </w:r>
      <w:r w:rsidRPr="003362DB">
        <w:rPr>
          <w:b/>
          <w:spacing w:val="-1"/>
          <w:lang w:eastAsia="en-AU"/>
        </w:rPr>
        <w:t>s</w:t>
      </w:r>
      <w:r w:rsidRPr="003362DB">
        <w:rPr>
          <w:b/>
          <w:spacing w:val="3"/>
          <w:lang w:eastAsia="en-AU"/>
        </w:rPr>
        <w:t>e</w:t>
      </w:r>
      <w:r w:rsidRPr="003362DB">
        <w:rPr>
          <w:b/>
          <w:spacing w:val="1"/>
          <w:lang w:eastAsia="en-AU"/>
        </w:rPr>
        <w:t>t</w:t>
      </w:r>
      <w:r w:rsidRPr="003362DB">
        <w:rPr>
          <w:b/>
          <w:spacing w:val="-1"/>
          <w:lang w:eastAsia="en-AU"/>
        </w:rPr>
        <w:t>s</w:t>
      </w:r>
      <w:r w:rsidRPr="003362DB">
        <w:rPr>
          <w:b/>
          <w:lang w:eastAsia="en-AU"/>
        </w:rPr>
        <w:t>/(</w:t>
      </w:r>
      <w:r w:rsidRPr="003362DB">
        <w:rPr>
          <w:b/>
          <w:spacing w:val="-1"/>
          <w:lang w:eastAsia="en-AU"/>
        </w:rPr>
        <w:t>L</w:t>
      </w:r>
      <w:r w:rsidRPr="003362DB">
        <w:rPr>
          <w:b/>
          <w:lang w:eastAsia="en-AU"/>
        </w:rPr>
        <w:t>i</w:t>
      </w:r>
      <w:r w:rsidRPr="003362DB">
        <w:rPr>
          <w:b/>
          <w:spacing w:val="1"/>
          <w:lang w:eastAsia="en-AU"/>
        </w:rPr>
        <w:t>a</w:t>
      </w:r>
      <w:r w:rsidRPr="003362DB">
        <w:rPr>
          <w:b/>
          <w:lang w:eastAsia="en-AU"/>
        </w:rPr>
        <w:t>bi</w:t>
      </w:r>
      <w:r w:rsidRPr="003362DB">
        <w:rPr>
          <w:b/>
          <w:spacing w:val="-1"/>
          <w:lang w:eastAsia="en-AU"/>
        </w:rPr>
        <w:t>l</w:t>
      </w:r>
      <w:r w:rsidRPr="003362DB">
        <w:rPr>
          <w:b/>
          <w:lang w:eastAsia="en-AU"/>
        </w:rPr>
        <w:t>iti</w:t>
      </w:r>
      <w:r w:rsidRPr="003362DB">
        <w:rPr>
          <w:b/>
          <w:spacing w:val="2"/>
          <w:lang w:eastAsia="en-AU"/>
        </w:rPr>
        <w:t>e</w:t>
      </w:r>
      <w:r w:rsidRPr="003362DB">
        <w:rPr>
          <w:b/>
          <w:spacing w:val="-1"/>
          <w:lang w:eastAsia="en-AU"/>
        </w:rPr>
        <w:t>s</w:t>
      </w:r>
      <w:r w:rsidRPr="003362DB">
        <w:rPr>
          <w:b/>
          <w:lang w:eastAsia="en-AU"/>
        </w:rPr>
        <w:t>)</w:t>
      </w:r>
    </w:p>
    <w:p w:rsidR="003362DB" w:rsidRDefault="003362DB" w:rsidP="008D76BE">
      <w:pPr>
        <w:spacing w:after="200"/>
        <w:ind w:left="1021"/>
        <w:rPr>
          <w:lang w:eastAsia="en-AU"/>
        </w:rPr>
      </w:pPr>
      <w:r>
        <w:rPr>
          <w:lang w:eastAsia="en-AU"/>
        </w:rPr>
        <w:t>…</w:t>
      </w:r>
    </w:p>
    <w:p w:rsidR="00B16C06" w:rsidRPr="00B16C06" w:rsidRDefault="00B16C06" w:rsidP="00B16C06">
      <w:pPr>
        <w:spacing w:after="120"/>
        <w:ind w:left="1021"/>
        <w:rPr>
          <w:u w:val="single"/>
          <w:lang w:eastAsia="en-AU"/>
        </w:rPr>
      </w:pPr>
      <w:r>
        <w:rPr>
          <w:lang w:eastAsia="en-AU"/>
        </w:rPr>
        <w:t>________________________</w:t>
      </w:r>
      <w:r w:rsidRPr="00B16C06">
        <w:rPr>
          <w:lang w:eastAsia="en-AU"/>
        </w:rPr>
        <w:t xml:space="preserve"> </w:t>
      </w:r>
    </w:p>
    <w:p w:rsidR="008D76BE" w:rsidRPr="003737E9" w:rsidRDefault="008D76BE" w:rsidP="00383C39">
      <w:pPr>
        <w:pStyle w:val="SubNumPlain2"/>
        <w:numPr>
          <w:ilvl w:val="0"/>
          <w:numId w:val="0"/>
        </w:numPr>
        <w:ind w:left="1361" w:hanging="340"/>
        <w:rPr>
          <w:strike/>
          <w:sz w:val="16"/>
          <w:szCs w:val="16"/>
        </w:rPr>
      </w:pPr>
      <w:r w:rsidRPr="003737E9">
        <w:rPr>
          <w:strike/>
          <w:sz w:val="16"/>
          <w:szCs w:val="16"/>
        </w:rPr>
        <w:t>3</w:t>
      </w:r>
      <w:r w:rsidRPr="003737E9">
        <w:rPr>
          <w:strike/>
          <w:sz w:val="16"/>
          <w:szCs w:val="16"/>
        </w:rPr>
        <w:tab/>
        <w:t xml:space="preserve">The term ‘Non-Owner’ </w:t>
      </w:r>
      <w:r w:rsidR="003737E9">
        <w:rPr>
          <w:strike/>
          <w:sz w:val="16"/>
          <w:szCs w:val="16"/>
        </w:rPr>
        <w:t xml:space="preserve">is not needed in a GGS context </w:t>
      </w:r>
      <w:r w:rsidRPr="003737E9">
        <w:rPr>
          <w:strike/>
          <w:sz w:val="16"/>
          <w:szCs w:val="16"/>
        </w:rPr>
        <w:t>compared with th</w:t>
      </w:r>
      <w:r w:rsidR="003737E9">
        <w:rPr>
          <w:strike/>
          <w:sz w:val="16"/>
          <w:szCs w:val="16"/>
        </w:rPr>
        <w:t xml:space="preserve">e whole of government context.  </w:t>
      </w:r>
      <w:r w:rsidRPr="003737E9">
        <w:rPr>
          <w:strike/>
          <w:sz w:val="16"/>
          <w:szCs w:val="16"/>
        </w:rPr>
        <w:t>In a whole of government context the term is used in Illustrative Example A in relation to the PNFC and PFC sector financial statements to distinguish between transactions that occur between the GGS (as owner) and the PNFC/PFC sectors and other types of transactions.</w:t>
      </w:r>
    </w:p>
    <w:p w:rsidR="008D76BE" w:rsidRDefault="008D76BE" w:rsidP="008D76BE">
      <w:pPr>
        <w:spacing w:after="200"/>
        <w:ind w:left="1021"/>
        <w:rPr>
          <w:lang w:eastAsia="en-AU"/>
        </w:rPr>
      </w:pPr>
      <w:r>
        <w:rPr>
          <w:lang w:eastAsia="en-AU"/>
        </w:rPr>
        <w:t>…</w:t>
      </w:r>
    </w:p>
    <w:p w:rsidR="008D76BE" w:rsidRDefault="005C78F4" w:rsidP="008D76BE">
      <w:pPr>
        <w:pStyle w:val="SubNumPlain1"/>
        <w:rPr>
          <w:b/>
          <w:lang w:eastAsia="en-AU"/>
        </w:rPr>
      </w:pPr>
      <w:r w:rsidRPr="005C78F4">
        <w:rPr>
          <w:b/>
          <w:lang w:eastAsia="en-AU"/>
        </w:rPr>
        <w:t>k</w:t>
      </w:r>
      <w:r w:rsidRPr="005C78F4">
        <w:rPr>
          <w:b/>
          <w:lang w:eastAsia="en-AU"/>
        </w:rPr>
        <w:tab/>
      </w:r>
      <w:r w:rsidRPr="005C78F4">
        <w:rPr>
          <w:rFonts w:eastAsia="Arial Unicode MS"/>
          <w:b/>
        </w:rPr>
        <w:t xml:space="preserve">Other Economic Flows – </w:t>
      </w:r>
      <w:r w:rsidR="00C04601" w:rsidRPr="003362DB">
        <w:rPr>
          <w:b/>
          <w:spacing w:val="1"/>
          <w:lang w:eastAsia="en-AU"/>
        </w:rPr>
        <w:t>O</w:t>
      </w:r>
      <w:r w:rsidR="00C04601" w:rsidRPr="003362DB">
        <w:rPr>
          <w:b/>
          <w:spacing w:val="-2"/>
          <w:lang w:eastAsia="en-AU"/>
        </w:rPr>
        <w:t>t</w:t>
      </w:r>
      <w:r w:rsidR="00C04601" w:rsidRPr="003362DB">
        <w:rPr>
          <w:b/>
          <w:lang w:eastAsia="en-AU"/>
        </w:rPr>
        <w:t>her</w:t>
      </w:r>
      <w:r w:rsidR="00C04601" w:rsidRPr="003362DB">
        <w:rPr>
          <w:b/>
          <w:spacing w:val="-4"/>
          <w:lang w:eastAsia="en-AU"/>
        </w:rPr>
        <w:t xml:space="preserve"> </w:t>
      </w:r>
      <w:r w:rsidR="00C04601" w:rsidRPr="003737E9">
        <w:rPr>
          <w:b/>
          <w:strike/>
          <w:lang w:eastAsia="en-AU"/>
        </w:rPr>
        <w:t>N</w:t>
      </w:r>
      <w:r w:rsidR="00C04601" w:rsidRPr="003737E9">
        <w:rPr>
          <w:b/>
          <w:strike/>
          <w:spacing w:val="1"/>
          <w:lang w:eastAsia="en-AU"/>
        </w:rPr>
        <w:t>o</w:t>
      </w:r>
      <w:r w:rsidR="00C04601" w:rsidRPr="003737E9">
        <w:rPr>
          <w:b/>
          <w:strike/>
          <w:lang w:eastAsia="en-AU"/>
        </w:rPr>
        <w:t>n</w:t>
      </w:r>
      <w:r w:rsidR="00C04601" w:rsidRPr="003737E9">
        <w:rPr>
          <w:b/>
          <w:strike/>
          <w:spacing w:val="1"/>
          <w:lang w:eastAsia="en-AU"/>
        </w:rPr>
        <w:t>-O</w:t>
      </w:r>
      <w:r w:rsidR="00C04601" w:rsidRPr="003737E9">
        <w:rPr>
          <w:b/>
          <w:strike/>
          <w:spacing w:val="2"/>
          <w:lang w:eastAsia="en-AU"/>
        </w:rPr>
        <w:t>w</w:t>
      </w:r>
      <w:r w:rsidR="00C04601" w:rsidRPr="003737E9">
        <w:rPr>
          <w:b/>
          <w:strike/>
          <w:lang w:eastAsia="en-AU"/>
        </w:rPr>
        <w:t>ne</w:t>
      </w:r>
      <w:r w:rsidR="00C04601" w:rsidRPr="003737E9">
        <w:rPr>
          <w:b/>
          <w:strike/>
          <w:spacing w:val="1"/>
          <w:lang w:eastAsia="en-AU"/>
        </w:rPr>
        <w:t>r</w:t>
      </w:r>
      <w:r w:rsidR="00C04601">
        <w:rPr>
          <w:b/>
          <w:strike/>
          <w:position w:val="9"/>
          <w:sz w:val="13"/>
          <w:szCs w:val="13"/>
          <w:lang w:eastAsia="en-AU"/>
        </w:rPr>
        <w:t>4</w:t>
      </w:r>
      <w:r w:rsidR="00C04601" w:rsidRPr="003737E9">
        <w:rPr>
          <w:b/>
          <w:strike/>
          <w:spacing w:val="7"/>
          <w:position w:val="9"/>
          <w:sz w:val="13"/>
          <w:szCs w:val="13"/>
          <w:lang w:eastAsia="en-AU"/>
        </w:rPr>
        <w:t xml:space="preserve"> </w:t>
      </w:r>
      <w:r w:rsidR="00C04601" w:rsidRPr="003737E9">
        <w:rPr>
          <w:b/>
          <w:strike/>
          <w:lang w:eastAsia="en-AU"/>
        </w:rPr>
        <w:t>Ch</w:t>
      </w:r>
      <w:r w:rsidR="00C04601" w:rsidRPr="003737E9">
        <w:rPr>
          <w:b/>
          <w:strike/>
          <w:spacing w:val="1"/>
          <w:lang w:eastAsia="en-AU"/>
        </w:rPr>
        <w:t>a</w:t>
      </w:r>
      <w:r w:rsidR="00C04601" w:rsidRPr="003737E9">
        <w:rPr>
          <w:b/>
          <w:strike/>
          <w:lang w:eastAsia="en-AU"/>
        </w:rPr>
        <w:t>n</w:t>
      </w:r>
      <w:r w:rsidR="00C04601" w:rsidRPr="003737E9">
        <w:rPr>
          <w:b/>
          <w:strike/>
          <w:spacing w:val="1"/>
          <w:lang w:eastAsia="en-AU"/>
        </w:rPr>
        <w:t>g</w:t>
      </w:r>
      <w:r w:rsidR="00C04601" w:rsidRPr="003737E9">
        <w:rPr>
          <w:b/>
          <w:strike/>
          <w:lang w:eastAsia="en-AU"/>
        </w:rPr>
        <w:t>es</w:t>
      </w:r>
      <w:r w:rsidR="00C04601" w:rsidRPr="003737E9">
        <w:rPr>
          <w:b/>
          <w:strike/>
          <w:spacing w:val="-7"/>
          <w:lang w:eastAsia="en-AU"/>
        </w:rPr>
        <w:t xml:space="preserve"> </w:t>
      </w:r>
      <w:r w:rsidR="00C04601" w:rsidRPr="003737E9">
        <w:rPr>
          <w:b/>
          <w:strike/>
          <w:lang w:eastAsia="en-AU"/>
        </w:rPr>
        <w:t>in</w:t>
      </w:r>
      <w:r w:rsidR="00C04601" w:rsidRPr="003737E9">
        <w:rPr>
          <w:b/>
          <w:strike/>
          <w:spacing w:val="-2"/>
          <w:lang w:eastAsia="en-AU"/>
        </w:rPr>
        <w:t xml:space="preserve"> </w:t>
      </w:r>
      <w:r w:rsidR="00C04601" w:rsidRPr="003737E9">
        <w:rPr>
          <w:b/>
          <w:strike/>
          <w:lang w:eastAsia="en-AU"/>
        </w:rPr>
        <w:t>Eq</w:t>
      </w:r>
      <w:r w:rsidR="00C04601" w:rsidRPr="003737E9">
        <w:rPr>
          <w:b/>
          <w:strike/>
          <w:spacing w:val="-1"/>
          <w:lang w:eastAsia="en-AU"/>
        </w:rPr>
        <w:t>u</w:t>
      </w:r>
      <w:r w:rsidR="00C04601" w:rsidRPr="003737E9">
        <w:rPr>
          <w:b/>
          <w:strike/>
          <w:lang w:eastAsia="en-AU"/>
        </w:rPr>
        <w:t>ity</w:t>
      </w:r>
      <w:r w:rsidR="00C04601" w:rsidRPr="003737E9">
        <w:rPr>
          <w:b/>
          <w:lang w:eastAsia="en-AU"/>
        </w:rPr>
        <w:t xml:space="preserve"> </w:t>
      </w:r>
      <w:r w:rsidR="00C04601" w:rsidRPr="003737E9">
        <w:rPr>
          <w:b/>
          <w:u w:val="single"/>
          <w:lang w:eastAsia="en-AU"/>
        </w:rPr>
        <w:t>Comprehensive Income</w:t>
      </w:r>
      <w:r w:rsidRPr="005C78F4">
        <w:rPr>
          <w:rFonts w:eastAsia="Arial Unicode MS"/>
          <w:b/>
        </w:rPr>
        <w:t xml:space="preserve"> – R</w:t>
      </w:r>
      <w:r w:rsidRPr="005C78F4">
        <w:rPr>
          <w:b/>
        </w:rPr>
        <w:t>evaluations</w:t>
      </w:r>
    </w:p>
    <w:p w:rsidR="005C78F4" w:rsidRDefault="005C78F4" w:rsidP="005C78F4">
      <w:pPr>
        <w:spacing w:after="200"/>
        <w:ind w:left="1021"/>
        <w:rPr>
          <w:lang w:eastAsia="en-AU"/>
        </w:rPr>
      </w:pPr>
      <w:r>
        <w:rPr>
          <w:lang w:eastAsia="en-AU"/>
        </w:rPr>
        <w:t>…</w:t>
      </w:r>
    </w:p>
    <w:p w:rsidR="00383C39" w:rsidRPr="00B16C06" w:rsidRDefault="00383C39" w:rsidP="00383C39">
      <w:pPr>
        <w:spacing w:after="120"/>
        <w:ind w:left="1021"/>
        <w:rPr>
          <w:u w:val="single"/>
          <w:lang w:eastAsia="en-AU"/>
        </w:rPr>
      </w:pPr>
      <w:r>
        <w:rPr>
          <w:lang w:eastAsia="en-AU"/>
        </w:rPr>
        <w:t>________________________</w:t>
      </w:r>
      <w:r w:rsidRPr="00B16C06">
        <w:rPr>
          <w:lang w:eastAsia="en-AU"/>
        </w:rPr>
        <w:t xml:space="preserve"> </w:t>
      </w:r>
    </w:p>
    <w:p w:rsidR="008D76BE" w:rsidRDefault="005C78F4" w:rsidP="00383C39">
      <w:pPr>
        <w:pStyle w:val="SubNumPlain2"/>
        <w:numPr>
          <w:ilvl w:val="0"/>
          <w:numId w:val="0"/>
        </w:numPr>
        <w:ind w:left="1361" w:hanging="340"/>
        <w:rPr>
          <w:strike/>
          <w:sz w:val="16"/>
          <w:szCs w:val="16"/>
          <w:lang w:eastAsia="en-AU"/>
        </w:rPr>
      </w:pPr>
      <w:r w:rsidRPr="003737E9">
        <w:rPr>
          <w:strike/>
          <w:sz w:val="16"/>
          <w:szCs w:val="16"/>
          <w:lang w:eastAsia="en-AU"/>
        </w:rPr>
        <w:t>4</w:t>
      </w:r>
      <w:r w:rsidRPr="003737E9">
        <w:rPr>
          <w:strike/>
          <w:sz w:val="16"/>
          <w:szCs w:val="16"/>
          <w:lang w:eastAsia="en-AU"/>
        </w:rPr>
        <w:tab/>
        <w:t>The term ‘Non-Owner’ is not needed in a GGS context compared with th</w:t>
      </w:r>
      <w:r w:rsidR="003737E9">
        <w:rPr>
          <w:strike/>
          <w:sz w:val="16"/>
          <w:szCs w:val="16"/>
          <w:lang w:eastAsia="en-AU"/>
        </w:rPr>
        <w:t xml:space="preserve">e whole of government context.  </w:t>
      </w:r>
      <w:r w:rsidRPr="003737E9">
        <w:rPr>
          <w:strike/>
          <w:sz w:val="16"/>
          <w:szCs w:val="16"/>
          <w:lang w:eastAsia="en-AU"/>
        </w:rPr>
        <w:t>In a whole of government context the term is used in Illustrative Example A in relation to the PNFC and PFC sector financial statements to distinguish between transactions that occur between the GGS (as owner) and the PNFC/PFC sectors and other types of transactions.</w:t>
      </w:r>
    </w:p>
    <w:p w:rsidR="00172D3B" w:rsidRDefault="00172D3B" w:rsidP="00172D3B">
      <w:pPr>
        <w:spacing w:after="200"/>
        <w:ind w:left="1021"/>
        <w:rPr>
          <w:lang w:eastAsia="en-AU"/>
        </w:rPr>
      </w:pPr>
      <w:r>
        <w:rPr>
          <w:lang w:eastAsia="en-AU"/>
        </w:rPr>
        <w:t>…</w:t>
      </w:r>
    </w:p>
    <w:p w:rsidR="00172D3B" w:rsidRDefault="00172D3B" w:rsidP="00172D3B">
      <w:pPr>
        <w:pStyle w:val="SubNumPlain1"/>
        <w:rPr>
          <w:b/>
          <w:lang w:eastAsia="en-AU"/>
        </w:rPr>
      </w:pPr>
      <w:r w:rsidRPr="00172D3B">
        <w:rPr>
          <w:b/>
          <w:lang w:eastAsia="en-AU"/>
        </w:rPr>
        <w:t>u</w:t>
      </w:r>
      <w:r w:rsidRPr="00172D3B">
        <w:rPr>
          <w:b/>
          <w:lang w:eastAsia="en-AU"/>
        </w:rPr>
        <w:tab/>
      </w:r>
      <w:r w:rsidRPr="00172D3B">
        <w:rPr>
          <w:b/>
        </w:rPr>
        <w:t>Classification Differences Included in the GFS Cash Surplus/(Deficit)</w:t>
      </w:r>
    </w:p>
    <w:p w:rsidR="00172D3B" w:rsidRDefault="00383C39" w:rsidP="00B064DC">
      <w:pPr>
        <w:spacing w:after="200"/>
        <w:ind w:left="1021"/>
      </w:pPr>
      <w:r>
        <w:rPr>
          <w:lang w:eastAsia="en-AU"/>
        </w:rPr>
        <w:t xml:space="preserve">For the whole of government and GGS, </w:t>
      </w:r>
      <w:r w:rsidR="00172D3B">
        <w:rPr>
          <w:lang w:eastAsia="en-AU"/>
        </w:rPr>
        <w:t>…</w:t>
      </w:r>
      <w:r w:rsidR="003463C9">
        <w:rPr>
          <w:lang w:eastAsia="en-AU"/>
        </w:rPr>
        <w:t xml:space="preserve"> </w:t>
      </w:r>
      <w:r w:rsidR="00172D3B" w:rsidRPr="00C66172">
        <w:t>Under GFS, the corresponding amounts are $</w:t>
      </w:r>
      <w:r w:rsidR="00172D3B">
        <w:t>41,105</w:t>
      </w:r>
      <w:r w:rsidR="00172D3B" w:rsidRPr="00C66172">
        <w:t xml:space="preserve">m and </w:t>
      </w:r>
      <w:r w:rsidR="00172D3B" w:rsidRPr="004A7AF4">
        <w:rPr>
          <w:strike/>
        </w:rPr>
        <w:t>$</w:t>
      </w:r>
      <w:r w:rsidR="00172D3B" w:rsidRPr="008365B8">
        <w:rPr>
          <w:strike/>
        </w:rPr>
        <w:t>3</w:t>
      </w:r>
      <w:r w:rsidR="008365B8" w:rsidRPr="008365B8">
        <w:rPr>
          <w:strike/>
        </w:rPr>
        <w:t>9,943</w:t>
      </w:r>
      <w:r w:rsidR="00536BF5">
        <w:rPr>
          <w:strike/>
        </w:rPr>
        <w:t xml:space="preserve">m </w:t>
      </w:r>
      <w:r w:rsidR="00536BF5" w:rsidRPr="00536BF5">
        <w:rPr>
          <w:u w:val="single"/>
        </w:rPr>
        <w:t>$</w:t>
      </w:r>
      <w:r w:rsidR="008365B8" w:rsidRPr="00536BF5">
        <w:rPr>
          <w:u w:val="single"/>
        </w:rPr>
        <w:t>37,943</w:t>
      </w:r>
      <w:r w:rsidR="00172D3B" w:rsidRPr="00536BF5">
        <w:rPr>
          <w:u w:val="single"/>
        </w:rPr>
        <w:t>m</w:t>
      </w:r>
      <w:r w:rsidR="00172D3B" w:rsidRPr="00C66172">
        <w:t xml:space="preserve"> </w:t>
      </w:r>
      <w:r w:rsidR="00172D3B">
        <w:t>respectively.</w:t>
      </w:r>
    </w:p>
    <w:p w:rsidR="00536BF5" w:rsidRPr="00172D3B" w:rsidRDefault="00536BF5" w:rsidP="00B064DC">
      <w:pPr>
        <w:spacing w:after="200"/>
        <w:ind w:left="1021"/>
        <w:rPr>
          <w:lang w:eastAsia="en-AU"/>
        </w:rPr>
      </w:pPr>
      <w:r>
        <w:t>…</w:t>
      </w:r>
    </w:p>
    <w:p w:rsidR="00356F1C" w:rsidRDefault="00356F1C" w:rsidP="008C096D">
      <w:pPr>
        <w:pStyle w:val="Heading2"/>
      </w:pPr>
      <w:r>
        <w:t>Amendments to AASB 2011-7</w:t>
      </w:r>
    </w:p>
    <w:p w:rsidR="00356F1C" w:rsidRDefault="00D25B89" w:rsidP="00356F1C">
      <w:pPr>
        <w:pStyle w:val="NumPlain1"/>
        <w:rPr>
          <w:lang w:val="en-GB"/>
        </w:rPr>
      </w:pPr>
      <w:r>
        <w:rPr>
          <w:lang w:val="en-GB"/>
        </w:rPr>
        <w:t>Paragraph</w:t>
      </w:r>
      <w:r w:rsidR="00FE2C83">
        <w:rPr>
          <w:lang w:val="en-GB"/>
        </w:rPr>
        <w:t>s</w:t>
      </w:r>
      <w:r>
        <w:rPr>
          <w:lang w:val="en-GB"/>
        </w:rPr>
        <w:t xml:space="preserve"> 6 </w:t>
      </w:r>
      <w:r w:rsidR="00FE2C83">
        <w:rPr>
          <w:lang w:val="en-GB"/>
        </w:rPr>
        <w:t>and 7 are</w:t>
      </w:r>
      <w:r>
        <w:rPr>
          <w:lang w:val="en-GB"/>
        </w:rPr>
        <w:t xml:space="preserve"> amended </w:t>
      </w:r>
      <w:r w:rsidR="00356F1C">
        <w:rPr>
          <w:lang w:val="en-GB"/>
        </w:rPr>
        <w:t>as follows</w:t>
      </w:r>
      <w:r w:rsidR="00BA732C" w:rsidRPr="00F3673F">
        <w:t xml:space="preserve"> (new text is underlined and deleted text is struck through):</w:t>
      </w:r>
    </w:p>
    <w:p w:rsidR="00356F1C" w:rsidRPr="00BA732C" w:rsidRDefault="00356F1C" w:rsidP="00356F1C">
      <w:pPr>
        <w:pStyle w:val="SubNumPlain1"/>
        <w:rPr>
          <w:lang w:val="en-GB"/>
        </w:rPr>
      </w:pPr>
      <w:r w:rsidRPr="00356F1C">
        <w:rPr>
          <w:b/>
          <w:lang w:val="en-GB"/>
        </w:rPr>
        <w:t>6</w:t>
      </w:r>
      <w:r>
        <w:rPr>
          <w:lang w:val="en-GB"/>
        </w:rPr>
        <w:tab/>
      </w:r>
      <w:r w:rsidR="00FE2C83">
        <w:rPr>
          <w:b/>
        </w:rPr>
        <w:t>This S</w:t>
      </w:r>
      <w:r w:rsidRPr="001235D8">
        <w:rPr>
          <w:b/>
        </w:rPr>
        <w:t>tandard applies to annual reporting periods beginning on or after 1 January 2013</w:t>
      </w:r>
      <w:r w:rsidR="00BA732C" w:rsidRPr="00BA732C">
        <w:rPr>
          <w:b/>
          <w:u w:val="single"/>
        </w:rPr>
        <w:t>, except tha</w:t>
      </w:r>
      <w:r w:rsidR="00FE2C83">
        <w:rPr>
          <w:b/>
          <w:u w:val="single"/>
        </w:rPr>
        <w:t>t for not-for-profit entities it</w:t>
      </w:r>
      <w:r w:rsidR="00BA732C" w:rsidRPr="00BA732C">
        <w:rPr>
          <w:b/>
          <w:u w:val="single"/>
        </w:rPr>
        <w:t xml:space="preserve"> applies to annual reporting periods beginning on or after 1 January 2014</w:t>
      </w:r>
      <w:r w:rsidRPr="001235D8">
        <w:rPr>
          <w:b/>
        </w:rPr>
        <w:t>.</w:t>
      </w:r>
    </w:p>
    <w:p w:rsidR="006C07BA" w:rsidRDefault="00BA732C" w:rsidP="00BA732C">
      <w:pPr>
        <w:pStyle w:val="SubNumPlain1"/>
        <w:rPr>
          <w:b/>
        </w:rPr>
      </w:pPr>
      <w:r>
        <w:rPr>
          <w:b/>
        </w:rPr>
        <w:t>7</w:t>
      </w:r>
      <w:r>
        <w:rPr>
          <w:b/>
        </w:rPr>
        <w:tab/>
      </w:r>
      <w:r w:rsidRPr="00BA732C">
        <w:rPr>
          <w:b/>
        </w:rPr>
        <w:t>This Standard shall be applied when AASB 10,</w:t>
      </w:r>
      <w:r w:rsidRPr="00BA732C">
        <w:rPr>
          <w:b/>
          <w:i/>
        </w:rPr>
        <w:t xml:space="preserve"> </w:t>
      </w:r>
      <w:r w:rsidRPr="00BA732C">
        <w:rPr>
          <w:b/>
        </w:rPr>
        <w:t xml:space="preserve">AASB 11, AASB 12, AASB 127 (August 2011) and AASB 128 (August 2011) are applied.  </w:t>
      </w:r>
      <w:r w:rsidR="006C07BA">
        <w:rPr>
          <w:b/>
        </w:rPr>
        <w:t>This Standard may be applied by</w:t>
      </w:r>
      <w:r w:rsidR="006C07BA" w:rsidRPr="006C07BA">
        <w:rPr>
          <w:b/>
          <w:u w:val="single"/>
        </w:rPr>
        <w:t>:</w:t>
      </w:r>
    </w:p>
    <w:p w:rsidR="006C07BA" w:rsidRDefault="00BA732C" w:rsidP="006C07BA">
      <w:pPr>
        <w:pStyle w:val="SubNumPlain2"/>
        <w:rPr>
          <w:b/>
        </w:rPr>
      </w:pPr>
      <w:r w:rsidRPr="006C07BA">
        <w:rPr>
          <w:b/>
        </w:rPr>
        <w:t>for-profit entities</w:t>
      </w:r>
      <w:r w:rsidRPr="006C07BA">
        <w:rPr>
          <w:b/>
          <w:strike/>
        </w:rPr>
        <w:t>, but not by not-for-profit entities,</w:t>
      </w:r>
      <w:r w:rsidRPr="006C07BA">
        <w:rPr>
          <w:b/>
        </w:rPr>
        <w:t xml:space="preserve"> to annual reporting periods beginning on or after 1 January 2005 but before 1 January 2013, except that the amendments to AASB 3 may be applied early only to annual reporting periods beginning on or after 30</w:t>
      </w:r>
      <w:r w:rsidR="00C7397F">
        <w:rPr>
          <w:b/>
        </w:rPr>
        <w:t> </w:t>
      </w:r>
      <w:r w:rsidRPr="006C07BA">
        <w:rPr>
          <w:b/>
        </w:rPr>
        <w:t>June 2007 but before 1 January 2013</w:t>
      </w:r>
      <w:r w:rsidR="006C07BA" w:rsidRPr="006C07BA">
        <w:rPr>
          <w:b/>
          <w:u w:val="single"/>
        </w:rPr>
        <w:t>;</w:t>
      </w:r>
      <w:r w:rsidR="006C07BA">
        <w:rPr>
          <w:b/>
          <w:u w:val="single"/>
        </w:rPr>
        <w:t xml:space="preserve"> and</w:t>
      </w:r>
    </w:p>
    <w:p w:rsidR="006C07BA" w:rsidRDefault="006C07BA" w:rsidP="006C07BA">
      <w:pPr>
        <w:pStyle w:val="SubNumPlain2"/>
        <w:rPr>
          <w:b/>
        </w:rPr>
      </w:pPr>
      <w:r w:rsidRPr="00E3350F">
        <w:rPr>
          <w:b/>
          <w:u w:val="single"/>
        </w:rPr>
        <w:t>not-for-profit entities to annual reporting periods beginning on or after 1 January 2013 but before 1</w:t>
      </w:r>
      <w:r w:rsidR="00C7397F">
        <w:rPr>
          <w:b/>
          <w:u w:val="single"/>
        </w:rPr>
        <w:t> </w:t>
      </w:r>
      <w:r w:rsidRPr="00E3350F">
        <w:rPr>
          <w:b/>
          <w:u w:val="single"/>
        </w:rPr>
        <w:t>January 2014</w:t>
      </w:r>
      <w:r w:rsidR="00F37408">
        <w:rPr>
          <w:b/>
        </w:rPr>
        <w:t>.</w:t>
      </w:r>
    </w:p>
    <w:p w:rsidR="00BA732C" w:rsidRDefault="00BA732C" w:rsidP="006C07BA">
      <w:pPr>
        <w:pStyle w:val="SubNumPlain2"/>
        <w:numPr>
          <w:ilvl w:val="0"/>
          <w:numId w:val="0"/>
        </w:numPr>
        <w:ind w:left="1020"/>
        <w:rPr>
          <w:b/>
        </w:rPr>
      </w:pPr>
      <w:r w:rsidRPr="006C07BA">
        <w:rPr>
          <w:b/>
        </w:rPr>
        <w:lastRenderedPageBreak/>
        <w:t xml:space="preserve">If </w:t>
      </w:r>
      <w:r w:rsidRPr="006C07BA">
        <w:rPr>
          <w:b/>
          <w:strike/>
        </w:rPr>
        <w:t>a for-profit</w:t>
      </w:r>
      <w:r w:rsidR="006C07BA">
        <w:rPr>
          <w:b/>
          <w:strike/>
        </w:rPr>
        <w:t xml:space="preserve"> </w:t>
      </w:r>
      <w:r w:rsidR="006C07BA" w:rsidRPr="006C07BA">
        <w:rPr>
          <w:b/>
          <w:u w:val="single"/>
        </w:rPr>
        <w:t>an</w:t>
      </w:r>
      <w:r w:rsidRPr="006C07BA">
        <w:rPr>
          <w:b/>
        </w:rPr>
        <w:t xml:space="preserve"> entity applies this Standard to </w:t>
      </w:r>
      <w:r w:rsidR="002F08AE" w:rsidRPr="002F08AE">
        <w:rPr>
          <w:b/>
          <w:u w:val="single"/>
        </w:rPr>
        <w:t>such</w:t>
      </w:r>
      <w:r w:rsidR="002F08AE">
        <w:rPr>
          <w:b/>
        </w:rPr>
        <w:t xml:space="preserve"> </w:t>
      </w:r>
      <w:r w:rsidRPr="006C07BA">
        <w:rPr>
          <w:b/>
        </w:rPr>
        <w:t xml:space="preserve">an annual reporting period </w:t>
      </w:r>
      <w:r w:rsidRPr="002F08AE">
        <w:rPr>
          <w:b/>
          <w:strike/>
        </w:rPr>
        <w:t>beginning on or after 1 January 2005 but before 1 January 2013</w:t>
      </w:r>
      <w:r w:rsidR="00FE2C83">
        <w:rPr>
          <w:b/>
          <w:strike/>
        </w:rPr>
        <w:t xml:space="preserve"> </w:t>
      </w:r>
      <w:r w:rsidR="002F08AE" w:rsidRPr="002F08AE">
        <w:rPr>
          <w:b/>
          <w:u w:val="single"/>
        </w:rPr>
        <w:t>in accordance with paragraph (a) or (b)</w:t>
      </w:r>
      <w:r w:rsidRPr="00FE2C83">
        <w:rPr>
          <w:b/>
        </w:rPr>
        <w:t xml:space="preserve">, </w:t>
      </w:r>
      <w:r w:rsidRPr="006C07BA">
        <w:rPr>
          <w:b/>
        </w:rPr>
        <w:t>it shall disclose that fact and apply AASB 10, AASB 11, AASB 12, AASB 127 (August 2011) and AASB 128 (August 2011)</w:t>
      </w:r>
      <w:r w:rsidRPr="006C07BA">
        <w:rPr>
          <w:b/>
          <w:i/>
        </w:rPr>
        <w:t xml:space="preserve"> </w:t>
      </w:r>
      <w:r w:rsidRPr="006C07BA">
        <w:rPr>
          <w:b/>
        </w:rPr>
        <w:t>at the same time.</w:t>
      </w:r>
    </w:p>
    <w:p w:rsidR="00FE2C83" w:rsidRDefault="00FE2C83" w:rsidP="00FE2C83">
      <w:pPr>
        <w:pStyle w:val="Heading2"/>
      </w:pPr>
      <w:r>
        <w:t>Amendments to Interpretation 12</w:t>
      </w:r>
    </w:p>
    <w:p w:rsidR="00FE2C83" w:rsidRDefault="00FE2C83" w:rsidP="00E24AD3">
      <w:pPr>
        <w:pStyle w:val="NumPlain1"/>
      </w:pPr>
      <w:r>
        <w:t>The heading ‘Effective Date of IFRIC 12’ before paragraph 28 is amended to ‘Effective Date’.</w:t>
      </w:r>
    </w:p>
    <w:p w:rsidR="00F6767D" w:rsidRDefault="00F6767D" w:rsidP="00FE2C83">
      <w:pPr>
        <w:pStyle w:val="NumPlain1"/>
      </w:pPr>
      <w:r>
        <w:t xml:space="preserve">In paragraph IE11 of the </w:t>
      </w:r>
      <w:r w:rsidR="001A0457">
        <w:t>Illustrative</w:t>
      </w:r>
      <w:r>
        <w:t xml:space="preserve"> Examples accompanying Interpretation 12, ‘at the end of the year 8’ is amended to ‘at the end of year</w:t>
      </w:r>
      <w:r w:rsidR="00F37408">
        <w:t> </w:t>
      </w:r>
      <w:r>
        <w:t>8’.</w:t>
      </w:r>
      <w:bookmarkStart w:id="21" w:name="TOCEnd"/>
      <w:bookmarkEnd w:id="21"/>
    </w:p>
    <w:sectPr w:rsidR="00F6767D" w:rsidSect="00F325C2">
      <w:footerReference w:type="default" r:id="rId15"/>
      <w:headerReference w:type="first" r:id="rId16"/>
      <w:footerReference w:type="first" r:id="rId17"/>
      <w:pgSz w:w="11907" w:h="16840" w:code="9"/>
      <w:pgMar w:top="1134" w:right="1134" w:bottom="1134" w:left="1134" w:header="709"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7F" w:rsidRDefault="00C7397F">
      <w:r>
        <w:separator/>
      </w:r>
    </w:p>
  </w:endnote>
  <w:endnote w:type="continuationSeparator" w:id="0">
    <w:p w:rsidR="00C7397F" w:rsidRDefault="00C7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rsidP="00F325C2">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8D09A1">
      <w:rPr>
        <w:b/>
      </w:rPr>
      <w:t>2012-10</w:t>
    </w:r>
    <w:r>
      <w:rPr>
        <w:b/>
      </w:rPr>
      <w:fldChar w:fldCharType="end"/>
    </w:r>
    <w:r>
      <w:rPr>
        <w:b/>
      </w:rPr>
      <w:tab/>
    </w:r>
    <w:r>
      <w:fldChar w:fldCharType="begin"/>
    </w:r>
    <w:r>
      <w:instrText>PAGE</w:instrText>
    </w:r>
    <w:r>
      <w:fldChar w:fldCharType="separate"/>
    </w:r>
    <w:r w:rsidR="00FE62DF">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rsidP="00F325C2">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8D09A1">
      <w:rPr>
        <w:b/>
      </w:rPr>
      <w:t>2012-10</w:t>
    </w:r>
    <w:r>
      <w:rPr>
        <w:b/>
      </w:rPr>
      <w:fldChar w:fldCharType="end"/>
    </w:r>
    <w:r>
      <w:rPr>
        <w:b/>
      </w:rPr>
      <w:tab/>
    </w:r>
    <w:r>
      <w:fldChar w:fldCharType="begin"/>
    </w:r>
    <w:r>
      <w:instrText>PAGE</w:instrText>
    </w:r>
    <w:r>
      <w:fldChar w:fldCharType="separate"/>
    </w:r>
    <w:r w:rsidR="00FE62DF">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rsidP="00F325C2">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8D09A1">
      <w:rPr>
        <w:b/>
      </w:rPr>
      <w:t>2012-10</w:t>
    </w:r>
    <w:r>
      <w:rPr>
        <w:b/>
      </w:rPr>
      <w:fldChar w:fldCharType="end"/>
    </w:r>
    <w:r>
      <w:rPr>
        <w:b/>
      </w:rPr>
      <w:tab/>
    </w:r>
    <w:r>
      <w:fldChar w:fldCharType="begin"/>
    </w:r>
    <w:r>
      <w:instrText>PAGE</w:instrText>
    </w:r>
    <w:r>
      <w:fldChar w:fldCharType="separate"/>
    </w:r>
    <w:r w:rsidR="00FE62DF">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rsidP="00F325C2">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8D09A1">
      <w:rPr>
        <w:b/>
      </w:rPr>
      <w:t>2012-10</w:t>
    </w:r>
    <w:r>
      <w:rPr>
        <w:b/>
      </w:rPr>
      <w:fldChar w:fldCharType="end"/>
    </w:r>
    <w:r>
      <w:rPr>
        <w:b/>
      </w:rPr>
      <w:tab/>
    </w:r>
    <w:r>
      <w:fldChar w:fldCharType="begin"/>
    </w:r>
    <w:r>
      <w:instrText>PAGE</w:instrText>
    </w:r>
    <w:r>
      <w:fldChar w:fldCharType="separate"/>
    </w:r>
    <w:r w:rsidR="00FE62DF">
      <w:rPr>
        <w:noProof/>
      </w:rPr>
      <w:t>5</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7F" w:rsidRDefault="00C7397F">
      <w:r>
        <w:separator/>
      </w:r>
    </w:p>
  </w:footnote>
  <w:footnote w:type="continuationSeparator" w:id="0">
    <w:p w:rsidR="00C7397F" w:rsidRDefault="00C7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pPr>
      <w:pStyle w:val="Header"/>
    </w:pPr>
  </w:p>
  <w:p w:rsidR="00C7397F" w:rsidRPr="00A85839" w:rsidRDefault="00FE62DF">
    <w:pPr>
      <w:pStyle w:val="Header"/>
      <w:rPr>
        <w:sz w:val="12"/>
      </w:rPr>
    </w:pPr>
    <w:r>
      <w:rPr>
        <w:b/>
        <w:noProof/>
        <w:sz w:val="24"/>
        <w:szCs w:val="24"/>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83"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pPr>
      <w:pStyle w:val="Header"/>
    </w:pPr>
  </w:p>
  <w:p w:rsidR="00C7397F" w:rsidRPr="00A85839" w:rsidRDefault="00FE62DF">
    <w:pPr>
      <w:pStyle w:val="Header"/>
      <w:rPr>
        <w:sz w:val="12"/>
      </w:rPr>
    </w:pPr>
    <w:r>
      <w:rPr>
        <w:b/>
        <w:noProof/>
        <w:sz w:val="24"/>
        <w:szCs w:val="24"/>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82"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7F" w:rsidRDefault="00C7397F">
    <w:pPr>
      <w:pStyle w:val="Header"/>
    </w:pPr>
  </w:p>
  <w:p w:rsidR="00C7397F" w:rsidRPr="00A85839" w:rsidRDefault="00FE62DF">
    <w:pPr>
      <w:pStyle w:val="Header"/>
      <w:rPr>
        <w:sz w:val="12"/>
      </w:rPr>
    </w:pPr>
    <w:r>
      <w:rPr>
        <w:b/>
        <w:noProof/>
        <w:sz w:val="24"/>
        <w:szCs w:val="24"/>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84" type="#_x0000_t172" alt="Draft watermark" style="position:absolute;margin-left:141.75pt;margin-top:226.8pt;width:311.8pt;height:256.8pt;z-index:-251651072;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542243"/>
    <w:multiLevelType w:val="multilevel"/>
    <w:tmpl w:val="3E20A538"/>
    <w:lvl w:ilvl="0">
      <w:start w:val="1"/>
      <w:numFmt w:val="decimal"/>
      <w:pStyle w:val="NumPlain1"/>
      <w:lvlText w:val="%1"/>
      <w:lvlJc w:val="left"/>
      <w:pPr>
        <w:tabs>
          <w:tab w:val="num" w:pos="510"/>
        </w:tabs>
        <w:ind w:left="510" w:hanging="51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rPr>
    </w:lvl>
    <w:lvl w:ilvl="2">
      <w:start w:val="1"/>
      <w:numFmt w:val="lowerLetter"/>
      <w:pStyle w:val="NumPlain3"/>
      <w:lvlText w:val="(%3)"/>
      <w:lvlJc w:val="left"/>
      <w:pPr>
        <w:tabs>
          <w:tab w:val="num" w:pos="1531"/>
        </w:tabs>
        <w:ind w:left="1531" w:hanging="510"/>
      </w:pPr>
      <w:rPr>
        <w:rFonts w:hint="default"/>
        <w:u w:val="none"/>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1B478C3"/>
    <w:multiLevelType w:val="hybridMultilevel"/>
    <w:tmpl w:val="92241DA2"/>
    <w:lvl w:ilvl="0" w:tplc="3DA65C04">
      <w:start w:val="3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9"/>
  </w:num>
  <w:num w:numId="7">
    <w:abstractNumId w:val="4"/>
  </w:num>
  <w:num w:numId="8">
    <w:abstractNumId w:val="5"/>
  </w:num>
  <w:num w:numId="9">
    <w:abstractNumId w:val="1"/>
    <w:lvlOverride w:ilvl="0">
      <w:lvl w:ilvl="0">
        <w:start w:val="1"/>
        <w:numFmt w:val="none"/>
        <w:pStyle w:val="SubNumPlain1"/>
        <w:suff w:val="nothing"/>
        <w:lvlText w:val="%1"/>
        <w:lvlJc w:val="left"/>
        <w:pPr>
          <w:ind w:left="1021" w:hanging="511"/>
        </w:pPr>
        <w:rPr>
          <w:rFonts w:hint="default"/>
        </w:rPr>
      </w:lvl>
    </w:lvlOverride>
    <w:lvlOverride w:ilvl="1">
      <w:lvl w:ilvl="1">
        <w:start w:val="1"/>
        <w:numFmt w:val="lowerLetter"/>
        <w:pStyle w:val="SubNumPlain2"/>
        <w:lvlText w:val="(%2)"/>
        <w:lvlJc w:val="left"/>
        <w:pPr>
          <w:ind w:left="1531" w:hanging="511"/>
        </w:pPr>
        <w:rPr>
          <w:rFonts w:hint="default"/>
          <w:u w:val="single"/>
        </w:rPr>
      </w:lvl>
    </w:lvlOverride>
    <w:lvlOverride w:ilvl="2">
      <w:lvl w:ilvl="2">
        <w:start w:val="1"/>
        <w:numFmt w:val="lowerRoman"/>
        <w:pStyle w:val="SubNumPlain3"/>
        <w:lvlText w:val="(%3)"/>
        <w:lvlJc w:val="left"/>
        <w:pPr>
          <w:ind w:left="2041" w:hanging="511"/>
        </w:pPr>
        <w:rPr>
          <w:rFonts w:hint="default"/>
          <w:u w:val="single"/>
        </w:rPr>
      </w:lvl>
    </w:lvlOverride>
    <w:lvlOverride w:ilvl="3">
      <w:lvl w:ilvl="3">
        <w:start w:val="1"/>
        <w:numFmt w:val="upperLetter"/>
        <w:pStyle w:val="SubNumPlain4"/>
        <w:lvlText w:val="(%4)"/>
        <w:lvlJc w:val="left"/>
        <w:pPr>
          <w:ind w:left="2551" w:hanging="511"/>
        </w:pPr>
        <w:rPr>
          <w:rFonts w:hint="default"/>
        </w:rPr>
      </w:lvl>
    </w:lvlOverride>
    <w:lvlOverride w:ilvl="4">
      <w:lvl w:ilvl="4">
        <w:start w:val="1"/>
        <w:numFmt w:val="lowerLetter"/>
        <w:lvlText w:val="(%5)"/>
        <w:lvlJc w:val="left"/>
        <w:pPr>
          <w:ind w:left="3061" w:hanging="511"/>
        </w:pPr>
        <w:rPr>
          <w:rFonts w:hint="default"/>
        </w:rPr>
      </w:lvl>
    </w:lvlOverride>
    <w:lvlOverride w:ilvl="5">
      <w:lvl w:ilvl="5">
        <w:start w:val="1"/>
        <w:numFmt w:val="lowerRoman"/>
        <w:lvlText w:val="(%6)"/>
        <w:lvlJc w:val="left"/>
        <w:pPr>
          <w:ind w:left="3571" w:hanging="511"/>
        </w:pPr>
        <w:rPr>
          <w:rFonts w:hint="default"/>
        </w:rPr>
      </w:lvl>
    </w:lvlOverride>
    <w:lvlOverride w:ilvl="6">
      <w:lvl w:ilvl="6">
        <w:start w:val="1"/>
        <w:numFmt w:val="decimal"/>
        <w:lvlText w:val="%7."/>
        <w:lvlJc w:val="left"/>
        <w:pPr>
          <w:ind w:left="4081" w:hanging="511"/>
        </w:pPr>
        <w:rPr>
          <w:rFonts w:hint="default"/>
        </w:rPr>
      </w:lvl>
    </w:lvlOverride>
    <w:lvlOverride w:ilvl="7">
      <w:lvl w:ilvl="7">
        <w:start w:val="1"/>
        <w:numFmt w:val="lowerLetter"/>
        <w:lvlText w:val="%8."/>
        <w:lvlJc w:val="left"/>
        <w:pPr>
          <w:ind w:left="4591" w:hanging="511"/>
        </w:pPr>
        <w:rPr>
          <w:rFonts w:hint="default"/>
        </w:rPr>
      </w:lvl>
    </w:lvlOverride>
    <w:lvlOverride w:ilvl="8">
      <w:lvl w:ilvl="8">
        <w:start w:val="1"/>
        <w:numFmt w:val="lowerRoman"/>
        <w:lvlText w:val="%9."/>
        <w:lvlJc w:val="left"/>
        <w:pPr>
          <w:ind w:left="5101" w:hanging="511"/>
        </w:pPr>
        <w:rPr>
          <w:rFonts w:hint="default"/>
        </w:rPr>
      </w:lvl>
    </w:lvlOverride>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 w:ilvl="0">
        <w:start w:val="1"/>
        <w:numFmt w:val="none"/>
        <w:pStyle w:val="SubNumPlain1"/>
        <w:suff w:val="nothing"/>
        <w:lvlText w:val="%1"/>
        <w:lvlJc w:val="left"/>
        <w:pPr>
          <w:ind w:left="1021" w:hanging="511"/>
        </w:pPr>
        <w:rPr>
          <w:rFonts w:hint="default"/>
        </w:rPr>
      </w:lvl>
    </w:lvlOverride>
    <w:lvlOverride w:ilvl="1">
      <w:startOverride w:val="1"/>
      <w:lvl w:ilvl="1">
        <w:start w:val="1"/>
        <w:numFmt w:val="lowerLetter"/>
        <w:pStyle w:val="SubNumPlain2"/>
        <w:lvlText w:val="(%2)"/>
        <w:lvlJc w:val="left"/>
        <w:pPr>
          <w:ind w:left="1531" w:hanging="511"/>
        </w:pPr>
        <w:rPr>
          <w:rFonts w:hint="default"/>
        </w:rPr>
      </w:lvl>
    </w:lvlOverride>
    <w:lvlOverride w:ilvl="2">
      <w:startOverride w:val="1"/>
      <w:lvl w:ilvl="2">
        <w:start w:val="1"/>
        <w:numFmt w:val="lowerRoman"/>
        <w:pStyle w:val="SubNumPlain3"/>
        <w:lvlText w:val="(%3)"/>
        <w:lvlJc w:val="left"/>
        <w:pPr>
          <w:ind w:left="2041" w:hanging="511"/>
        </w:pPr>
        <w:rPr>
          <w:rFonts w:hint="default"/>
          <w:u w:val="single"/>
        </w:rPr>
      </w:lvl>
    </w:lvlOverride>
    <w:lvlOverride w:ilvl="3">
      <w:startOverride w:val="1"/>
      <w:lvl w:ilvl="3">
        <w:start w:val="1"/>
        <w:numFmt w:val="upperLetter"/>
        <w:pStyle w:val="SubNumPlain4"/>
        <w:lvlText w:val="(%4)"/>
        <w:lvlJc w:val="left"/>
        <w:pPr>
          <w:ind w:left="2551" w:hanging="511"/>
        </w:pPr>
        <w:rPr>
          <w:rFonts w:hint="default"/>
        </w:rPr>
      </w:lvl>
    </w:lvlOverride>
    <w:lvlOverride w:ilvl="4">
      <w:startOverride w:val="1"/>
      <w:lvl w:ilvl="4">
        <w:start w:val="1"/>
        <w:numFmt w:val="lowerLetter"/>
        <w:lvlText w:val="(%5)"/>
        <w:lvlJc w:val="left"/>
        <w:pPr>
          <w:ind w:left="3061" w:hanging="511"/>
        </w:pPr>
        <w:rPr>
          <w:rFonts w:hint="default"/>
        </w:rPr>
      </w:lvl>
    </w:lvlOverride>
    <w:lvlOverride w:ilvl="5">
      <w:startOverride w:val="1"/>
      <w:lvl w:ilvl="5">
        <w:start w:val="1"/>
        <w:numFmt w:val="lowerRoman"/>
        <w:lvlText w:val="(%6)"/>
        <w:lvlJc w:val="left"/>
        <w:pPr>
          <w:ind w:left="3571" w:hanging="511"/>
        </w:pPr>
        <w:rPr>
          <w:rFonts w:hint="default"/>
        </w:rPr>
      </w:lvl>
    </w:lvlOverride>
    <w:lvlOverride w:ilvl="6">
      <w:startOverride w:val="1"/>
      <w:lvl w:ilvl="6">
        <w:start w:val="1"/>
        <w:numFmt w:val="decimal"/>
        <w:lvlText w:val="%7."/>
        <w:lvlJc w:val="left"/>
        <w:pPr>
          <w:ind w:left="4081" w:hanging="511"/>
        </w:pPr>
        <w:rPr>
          <w:rFonts w:hint="default"/>
        </w:rPr>
      </w:lvl>
    </w:lvlOverride>
    <w:lvlOverride w:ilvl="7">
      <w:startOverride w:val="1"/>
      <w:lvl w:ilvl="7">
        <w:start w:val="1"/>
        <w:numFmt w:val="lowerLetter"/>
        <w:lvlText w:val="%8."/>
        <w:lvlJc w:val="left"/>
        <w:pPr>
          <w:ind w:left="4591" w:hanging="511"/>
        </w:pPr>
        <w:rPr>
          <w:rFonts w:hint="default"/>
        </w:rPr>
      </w:lvl>
    </w:lvlOverride>
    <w:lvlOverride w:ilvl="8">
      <w:startOverride w:val="1"/>
      <w:lvl w:ilvl="8">
        <w:start w:val="1"/>
        <w:numFmt w:val="lowerRoman"/>
        <w:lvlText w:val="%9."/>
        <w:lvlJc w:val="left"/>
        <w:pPr>
          <w:ind w:left="5101" w:hanging="511"/>
        </w:pPr>
        <w:rPr>
          <w:rFonts w:hint="default"/>
        </w:rPr>
      </w:lvl>
    </w:lvlOverride>
  </w:num>
  <w:num w:numId="14">
    <w:abstractNumId w:val="8"/>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485">
      <o:colormru v:ext="edit" colors="#ddd,silver,#eaeaea"/>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DD"/>
    <w:rsid w:val="0000292B"/>
    <w:rsid w:val="00004CA1"/>
    <w:rsid w:val="00027E8B"/>
    <w:rsid w:val="00037C6D"/>
    <w:rsid w:val="000411AC"/>
    <w:rsid w:val="0004455B"/>
    <w:rsid w:val="00044D05"/>
    <w:rsid w:val="00054303"/>
    <w:rsid w:val="00074133"/>
    <w:rsid w:val="0008151A"/>
    <w:rsid w:val="000905F9"/>
    <w:rsid w:val="00090A6F"/>
    <w:rsid w:val="00096027"/>
    <w:rsid w:val="000A3F3B"/>
    <w:rsid w:val="000A6903"/>
    <w:rsid w:val="000A70B9"/>
    <w:rsid w:val="000B733C"/>
    <w:rsid w:val="000C1F9E"/>
    <w:rsid w:val="000C3EB0"/>
    <w:rsid w:val="000C57B4"/>
    <w:rsid w:val="000D3CB7"/>
    <w:rsid w:val="000D7B40"/>
    <w:rsid w:val="000E4104"/>
    <w:rsid w:val="000E577C"/>
    <w:rsid w:val="000E78E7"/>
    <w:rsid w:val="000F40A6"/>
    <w:rsid w:val="000F64CC"/>
    <w:rsid w:val="00104FC3"/>
    <w:rsid w:val="00110B96"/>
    <w:rsid w:val="001162C5"/>
    <w:rsid w:val="00120522"/>
    <w:rsid w:val="001206CF"/>
    <w:rsid w:val="0012194C"/>
    <w:rsid w:val="001235D8"/>
    <w:rsid w:val="00136227"/>
    <w:rsid w:val="00137CDB"/>
    <w:rsid w:val="0014154B"/>
    <w:rsid w:val="00142BF3"/>
    <w:rsid w:val="0014384D"/>
    <w:rsid w:val="001544EF"/>
    <w:rsid w:val="0015682F"/>
    <w:rsid w:val="00161DFE"/>
    <w:rsid w:val="001662B8"/>
    <w:rsid w:val="0016667E"/>
    <w:rsid w:val="00171F51"/>
    <w:rsid w:val="00172D3B"/>
    <w:rsid w:val="0017339E"/>
    <w:rsid w:val="001748A7"/>
    <w:rsid w:val="001761C6"/>
    <w:rsid w:val="00182ADB"/>
    <w:rsid w:val="0018576C"/>
    <w:rsid w:val="00191010"/>
    <w:rsid w:val="00191449"/>
    <w:rsid w:val="0019286F"/>
    <w:rsid w:val="001A0457"/>
    <w:rsid w:val="001A38C7"/>
    <w:rsid w:val="001A3B4D"/>
    <w:rsid w:val="001B33A5"/>
    <w:rsid w:val="001C225F"/>
    <w:rsid w:val="001D088A"/>
    <w:rsid w:val="001E19F9"/>
    <w:rsid w:val="001F0489"/>
    <w:rsid w:val="001F78DF"/>
    <w:rsid w:val="00214C5E"/>
    <w:rsid w:val="0022022E"/>
    <w:rsid w:val="00225FBD"/>
    <w:rsid w:val="002332E2"/>
    <w:rsid w:val="00237A15"/>
    <w:rsid w:val="00244A3F"/>
    <w:rsid w:val="00253A84"/>
    <w:rsid w:val="00265588"/>
    <w:rsid w:val="0028086D"/>
    <w:rsid w:val="00282942"/>
    <w:rsid w:val="00283482"/>
    <w:rsid w:val="00284F2E"/>
    <w:rsid w:val="00290887"/>
    <w:rsid w:val="002949B1"/>
    <w:rsid w:val="0029647E"/>
    <w:rsid w:val="002973E9"/>
    <w:rsid w:val="002A0C54"/>
    <w:rsid w:val="002A201D"/>
    <w:rsid w:val="002A3FEC"/>
    <w:rsid w:val="002A5AD6"/>
    <w:rsid w:val="002B2D46"/>
    <w:rsid w:val="002B400C"/>
    <w:rsid w:val="002B7803"/>
    <w:rsid w:val="002C5999"/>
    <w:rsid w:val="002D0BF7"/>
    <w:rsid w:val="002D2170"/>
    <w:rsid w:val="002F08AE"/>
    <w:rsid w:val="002F1CD0"/>
    <w:rsid w:val="00302806"/>
    <w:rsid w:val="00304E97"/>
    <w:rsid w:val="00307058"/>
    <w:rsid w:val="003079C4"/>
    <w:rsid w:val="00307F26"/>
    <w:rsid w:val="003144FC"/>
    <w:rsid w:val="0031712F"/>
    <w:rsid w:val="00321088"/>
    <w:rsid w:val="003251D8"/>
    <w:rsid w:val="00331D4A"/>
    <w:rsid w:val="0033581C"/>
    <w:rsid w:val="003362DB"/>
    <w:rsid w:val="003411F6"/>
    <w:rsid w:val="003463C9"/>
    <w:rsid w:val="00356F1C"/>
    <w:rsid w:val="00360013"/>
    <w:rsid w:val="00361AF1"/>
    <w:rsid w:val="0036375A"/>
    <w:rsid w:val="00364B30"/>
    <w:rsid w:val="00367DC9"/>
    <w:rsid w:val="003703DB"/>
    <w:rsid w:val="00371262"/>
    <w:rsid w:val="0037209D"/>
    <w:rsid w:val="003737E9"/>
    <w:rsid w:val="00377B8D"/>
    <w:rsid w:val="00382796"/>
    <w:rsid w:val="00383C39"/>
    <w:rsid w:val="0039009E"/>
    <w:rsid w:val="00395CC7"/>
    <w:rsid w:val="00397821"/>
    <w:rsid w:val="003A01EA"/>
    <w:rsid w:val="003A488F"/>
    <w:rsid w:val="003A5D9A"/>
    <w:rsid w:val="003B01F4"/>
    <w:rsid w:val="003B0CAA"/>
    <w:rsid w:val="003B0E71"/>
    <w:rsid w:val="003B36D3"/>
    <w:rsid w:val="003C35CC"/>
    <w:rsid w:val="003C5EDD"/>
    <w:rsid w:val="003D1DD4"/>
    <w:rsid w:val="003D3574"/>
    <w:rsid w:val="003E0A68"/>
    <w:rsid w:val="003E1C4C"/>
    <w:rsid w:val="003E2875"/>
    <w:rsid w:val="003E7635"/>
    <w:rsid w:val="003F3CCD"/>
    <w:rsid w:val="003F6171"/>
    <w:rsid w:val="004013F3"/>
    <w:rsid w:val="00401ECA"/>
    <w:rsid w:val="004069D7"/>
    <w:rsid w:val="0041301F"/>
    <w:rsid w:val="004150BD"/>
    <w:rsid w:val="00422E4D"/>
    <w:rsid w:val="00426876"/>
    <w:rsid w:val="00434D86"/>
    <w:rsid w:val="00436A2D"/>
    <w:rsid w:val="00437572"/>
    <w:rsid w:val="0044702C"/>
    <w:rsid w:val="004503D8"/>
    <w:rsid w:val="00460FBB"/>
    <w:rsid w:val="0046275A"/>
    <w:rsid w:val="0046746C"/>
    <w:rsid w:val="00470CE9"/>
    <w:rsid w:val="004716B9"/>
    <w:rsid w:val="0047683E"/>
    <w:rsid w:val="0048155F"/>
    <w:rsid w:val="00482C31"/>
    <w:rsid w:val="00485226"/>
    <w:rsid w:val="0048658C"/>
    <w:rsid w:val="00487CF6"/>
    <w:rsid w:val="004933D3"/>
    <w:rsid w:val="004961F8"/>
    <w:rsid w:val="004A417F"/>
    <w:rsid w:val="004A56E2"/>
    <w:rsid w:val="004A7AF4"/>
    <w:rsid w:val="004B038C"/>
    <w:rsid w:val="004B1C21"/>
    <w:rsid w:val="004B736C"/>
    <w:rsid w:val="004C5BDE"/>
    <w:rsid w:val="004D3809"/>
    <w:rsid w:val="004D4D1C"/>
    <w:rsid w:val="004E2478"/>
    <w:rsid w:val="004F55FE"/>
    <w:rsid w:val="00500E80"/>
    <w:rsid w:val="00511C34"/>
    <w:rsid w:val="005166B2"/>
    <w:rsid w:val="005233ED"/>
    <w:rsid w:val="00524C87"/>
    <w:rsid w:val="0052738D"/>
    <w:rsid w:val="00530D59"/>
    <w:rsid w:val="0053452C"/>
    <w:rsid w:val="00535A2C"/>
    <w:rsid w:val="00535EC5"/>
    <w:rsid w:val="00536BF5"/>
    <w:rsid w:val="00544B90"/>
    <w:rsid w:val="0056002A"/>
    <w:rsid w:val="0056274D"/>
    <w:rsid w:val="00577065"/>
    <w:rsid w:val="0058004D"/>
    <w:rsid w:val="005862C6"/>
    <w:rsid w:val="00590051"/>
    <w:rsid w:val="005A183C"/>
    <w:rsid w:val="005A2514"/>
    <w:rsid w:val="005A5388"/>
    <w:rsid w:val="005B146F"/>
    <w:rsid w:val="005C78F4"/>
    <w:rsid w:val="005D126D"/>
    <w:rsid w:val="005E0C9C"/>
    <w:rsid w:val="005E5326"/>
    <w:rsid w:val="005E65C3"/>
    <w:rsid w:val="005E6BE4"/>
    <w:rsid w:val="005F36AF"/>
    <w:rsid w:val="0060135D"/>
    <w:rsid w:val="00602261"/>
    <w:rsid w:val="00615A27"/>
    <w:rsid w:val="00622CF1"/>
    <w:rsid w:val="00625822"/>
    <w:rsid w:val="00625A72"/>
    <w:rsid w:val="006345B3"/>
    <w:rsid w:val="0064075F"/>
    <w:rsid w:val="00641282"/>
    <w:rsid w:val="00652DF8"/>
    <w:rsid w:val="006549F9"/>
    <w:rsid w:val="00656C06"/>
    <w:rsid w:val="00657D3B"/>
    <w:rsid w:val="0066374D"/>
    <w:rsid w:val="0066564E"/>
    <w:rsid w:val="00677983"/>
    <w:rsid w:val="00681491"/>
    <w:rsid w:val="00683E9B"/>
    <w:rsid w:val="006859BA"/>
    <w:rsid w:val="006A341C"/>
    <w:rsid w:val="006A3AE9"/>
    <w:rsid w:val="006A40E5"/>
    <w:rsid w:val="006A70FD"/>
    <w:rsid w:val="006B0CD6"/>
    <w:rsid w:val="006C0189"/>
    <w:rsid w:val="006C07BA"/>
    <w:rsid w:val="006C2E37"/>
    <w:rsid w:val="006C54FF"/>
    <w:rsid w:val="006D055E"/>
    <w:rsid w:val="006D08E0"/>
    <w:rsid w:val="006D134A"/>
    <w:rsid w:val="006D4700"/>
    <w:rsid w:val="006D70DD"/>
    <w:rsid w:val="006D7679"/>
    <w:rsid w:val="006E0B50"/>
    <w:rsid w:val="006E0F4C"/>
    <w:rsid w:val="006E2C39"/>
    <w:rsid w:val="006F75F8"/>
    <w:rsid w:val="00702A37"/>
    <w:rsid w:val="007035CA"/>
    <w:rsid w:val="00705C81"/>
    <w:rsid w:val="007060DD"/>
    <w:rsid w:val="00714340"/>
    <w:rsid w:val="00717124"/>
    <w:rsid w:val="00721E16"/>
    <w:rsid w:val="0073089D"/>
    <w:rsid w:val="007333C2"/>
    <w:rsid w:val="00737714"/>
    <w:rsid w:val="00737CED"/>
    <w:rsid w:val="00742E4B"/>
    <w:rsid w:val="007445F4"/>
    <w:rsid w:val="007455F0"/>
    <w:rsid w:val="0075146E"/>
    <w:rsid w:val="00751F6A"/>
    <w:rsid w:val="007554ED"/>
    <w:rsid w:val="00755E40"/>
    <w:rsid w:val="00756FF6"/>
    <w:rsid w:val="0076127E"/>
    <w:rsid w:val="00770FF2"/>
    <w:rsid w:val="00771D23"/>
    <w:rsid w:val="00775607"/>
    <w:rsid w:val="0078062C"/>
    <w:rsid w:val="0078116B"/>
    <w:rsid w:val="007A5EA0"/>
    <w:rsid w:val="007A6BC3"/>
    <w:rsid w:val="007A709C"/>
    <w:rsid w:val="007A7396"/>
    <w:rsid w:val="007C0D3F"/>
    <w:rsid w:val="007D212E"/>
    <w:rsid w:val="007D404E"/>
    <w:rsid w:val="007D4A99"/>
    <w:rsid w:val="007E5D7C"/>
    <w:rsid w:val="007F1D3D"/>
    <w:rsid w:val="007F528F"/>
    <w:rsid w:val="00812637"/>
    <w:rsid w:val="00813227"/>
    <w:rsid w:val="00820794"/>
    <w:rsid w:val="0082575F"/>
    <w:rsid w:val="00826C47"/>
    <w:rsid w:val="00830F30"/>
    <w:rsid w:val="00831497"/>
    <w:rsid w:val="008365B8"/>
    <w:rsid w:val="0083709E"/>
    <w:rsid w:val="00842C56"/>
    <w:rsid w:val="008459E8"/>
    <w:rsid w:val="008475E2"/>
    <w:rsid w:val="00853054"/>
    <w:rsid w:val="00864ADE"/>
    <w:rsid w:val="00870DC3"/>
    <w:rsid w:val="00871A12"/>
    <w:rsid w:val="008747FB"/>
    <w:rsid w:val="008779F1"/>
    <w:rsid w:val="00881403"/>
    <w:rsid w:val="00881BBE"/>
    <w:rsid w:val="00891334"/>
    <w:rsid w:val="00891A1F"/>
    <w:rsid w:val="0089376E"/>
    <w:rsid w:val="0089582D"/>
    <w:rsid w:val="00896E1D"/>
    <w:rsid w:val="008A6182"/>
    <w:rsid w:val="008B04E3"/>
    <w:rsid w:val="008B0DEC"/>
    <w:rsid w:val="008B1D94"/>
    <w:rsid w:val="008B2352"/>
    <w:rsid w:val="008B2712"/>
    <w:rsid w:val="008B4F89"/>
    <w:rsid w:val="008B643A"/>
    <w:rsid w:val="008C07C9"/>
    <w:rsid w:val="008C096D"/>
    <w:rsid w:val="008C4747"/>
    <w:rsid w:val="008C60B1"/>
    <w:rsid w:val="008C6BD0"/>
    <w:rsid w:val="008D09A1"/>
    <w:rsid w:val="008D1D0F"/>
    <w:rsid w:val="008D2C54"/>
    <w:rsid w:val="008D2EBD"/>
    <w:rsid w:val="008D76BE"/>
    <w:rsid w:val="008F0A81"/>
    <w:rsid w:val="008F31F6"/>
    <w:rsid w:val="008F5963"/>
    <w:rsid w:val="00900A26"/>
    <w:rsid w:val="0090201A"/>
    <w:rsid w:val="00912CB9"/>
    <w:rsid w:val="00923261"/>
    <w:rsid w:val="009256B7"/>
    <w:rsid w:val="0095236F"/>
    <w:rsid w:val="00964AEE"/>
    <w:rsid w:val="00970C7A"/>
    <w:rsid w:val="00971424"/>
    <w:rsid w:val="009721DB"/>
    <w:rsid w:val="00973F7A"/>
    <w:rsid w:val="00975FB6"/>
    <w:rsid w:val="00981454"/>
    <w:rsid w:val="00981D56"/>
    <w:rsid w:val="009A0191"/>
    <w:rsid w:val="009A28DF"/>
    <w:rsid w:val="009A4552"/>
    <w:rsid w:val="009A66B3"/>
    <w:rsid w:val="009B4870"/>
    <w:rsid w:val="009B536D"/>
    <w:rsid w:val="009B62FA"/>
    <w:rsid w:val="009B6535"/>
    <w:rsid w:val="009B75D5"/>
    <w:rsid w:val="009C00DE"/>
    <w:rsid w:val="009C2182"/>
    <w:rsid w:val="009C2479"/>
    <w:rsid w:val="009D06F8"/>
    <w:rsid w:val="009D4017"/>
    <w:rsid w:val="009D73F1"/>
    <w:rsid w:val="009E613E"/>
    <w:rsid w:val="009E6876"/>
    <w:rsid w:val="00A05041"/>
    <w:rsid w:val="00A05BCD"/>
    <w:rsid w:val="00A1053B"/>
    <w:rsid w:val="00A13F82"/>
    <w:rsid w:val="00A16664"/>
    <w:rsid w:val="00A171A9"/>
    <w:rsid w:val="00A41ED3"/>
    <w:rsid w:val="00A47FA2"/>
    <w:rsid w:val="00A54FA5"/>
    <w:rsid w:val="00A56200"/>
    <w:rsid w:val="00A609B0"/>
    <w:rsid w:val="00A60A1D"/>
    <w:rsid w:val="00A748BA"/>
    <w:rsid w:val="00A74DBA"/>
    <w:rsid w:val="00A83862"/>
    <w:rsid w:val="00A8486C"/>
    <w:rsid w:val="00A85839"/>
    <w:rsid w:val="00A908AF"/>
    <w:rsid w:val="00A96702"/>
    <w:rsid w:val="00A9763D"/>
    <w:rsid w:val="00A97EB2"/>
    <w:rsid w:val="00AA14A9"/>
    <w:rsid w:val="00AB0DCC"/>
    <w:rsid w:val="00AB72EC"/>
    <w:rsid w:val="00AB780A"/>
    <w:rsid w:val="00AC4315"/>
    <w:rsid w:val="00AC56B2"/>
    <w:rsid w:val="00AD0E93"/>
    <w:rsid w:val="00AD2EB5"/>
    <w:rsid w:val="00AD42DA"/>
    <w:rsid w:val="00AE6487"/>
    <w:rsid w:val="00AF466F"/>
    <w:rsid w:val="00AF61B8"/>
    <w:rsid w:val="00AF7B7B"/>
    <w:rsid w:val="00B064DC"/>
    <w:rsid w:val="00B07A99"/>
    <w:rsid w:val="00B110AD"/>
    <w:rsid w:val="00B11B6E"/>
    <w:rsid w:val="00B13352"/>
    <w:rsid w:val="00B13B77"/>
    <w:rsid w:val="00B16C06"/>
    <w:rsid w:val="00B216F1"/>
    <w:rsid w:val="00B271BA"/>
    <w:rsid w:val="00B2738E"/>
    <w:rsid w:val="00B33969"/>
    <w:rsid w:val="00B3429E"/>
    <w:rsid w:val="00B3769D"/>
    <w:rsid w:val="00B40300"/>
    <w:rsid w:val="00B4713B"/>
    <w:rsid w:val="00B56DB5"/>
    <w:rsid w:val="00B74237"/>
    <w:rsid w:val="00B83B01"/>
    <w:rsid w:val="00B9305D"/>
    <w:rsid w:val="00B9665C"/>
    <w:rsid w:val="00B97E93"/>
    <w:rsid w:val="00BA3AB4"/>
    <w:rsid w:val="00BA44F0"/>
    <w:rsid w:val="00BA4622"/>
    <w:rsid w:val="00BA554B"/>
    <w:rsid w:val="00BA732C"/>
    <w:rsid w:val="00BB4A05"/>
    <w:rsid w:val="00BB4C9F"/>
    <w:rsid w:val="00BB5000"/>
    <w:rsid w:val="00BC0794"/>
    <w:rsid w:val="00BC0D5D"/>
    <w:rsid w:val="00BC43B5"/>
    <w:rsid w:val="00BC59DD"/>
    <w:rsid w:val="00BD79B5"/>
    <w:rsid w:val="00BE2F68"/>
    <w:rsid w:val="00BE38FC"/>
    <w:rsid w:val="00BE4738"/>
    <w:rsid w:val="00BE6BE9"/>
    <w:rsid w:val="00BF6E76"/>
    <w:rsid w:val="00C03C7B"/>
    <w:rsid w:val="00C04601"/>
    <w:rsid w:val="00C20572"/>
    <w:rsid w:val="00C228D5"/>
    <w:rsid w:val="00C2700D"/>
    <w:rsid w:val="00C32508"/>
    <w:rsid w:val="00C3493B"/>
    <w:rsid w:val="00C369CE"/>
    <w:rsid w:val="00C37458"/>
    <w:rsid w:val="00C438DD"/>
    <w:rsid w:val="00C43CD1"/>
    <w:rsid w:val="00C45020"/>
    <w:rsid w:val="00C5022C"/>
    <w:rsid w:val="00C552FD"/>
    <w:rsid w:val="00C6027B"/>
    <w:rsid w:val="00C63573"/>
    <w:rsid w:val="00C7397F"/>
    <w:rsid w:val="00C85DE2"/>
    <w:rsid w:val="00C86F06"/>
    <w:rsid w:val="00C95D8A"/>
    <w:rsid w:val="00CA237F"/>
    <w:rsid w:val="00CA622B"/>
    <w:rsid w:val="00CB4B2C"/>
    <w:rsid w:val="00CB719A"/>
    <w:rsid w:val="00CC6FCD"/>
    <w:rsid w:val="00CD4142"/>
    <w:rsid w:val="00CD5D1C"/>
    <w:rsid w:val="00CE2F8C"/>
    <w:rsid w:val="00CF2185"/>
    <w:rsid w:val="00CF5DD5"/>
    <w:rsid w:val="00CF6E6C"/>
    <w:rsid w:val="00CF75CA"/>
    <w:rsid w:val="00CF7B67"/>
    <w:rsid w:val="00D00FD5"/>
    <w:rsid w:val="00D25B89"/>
    <w:rsid w:val="00D34472"/>
    <w:rsid w:val="00D52086"/>
    <w:rsid w:val="00D52C16"/>
    <w:rsid w:val="00D54F5C"/>
    <w:rsid w:val="00D5539E"/>
    <w:rsid w:val="00D564E7"/>
    <w:rsid w:val="00D56A2C"/>
    <w:rsid w:val="00D626AD"/>
    <w:rsid w:val="00D66238"/>
    <w:rsid w:val="00D67336"/>
    <w:rsid w:val="00D74038"/>
    <w:rsid w:val="00D8519E"/>
    <w:rsid w:val="00D87611"/>
    <w:rsid w:val="00D93727"/>
    <w:rsid w:val="00D942EB"/>
    <w:rsid w:val="00D96A64"/>
    <w:rsid w:val="00DA2A7B"/>
    <w:rsid w:val="00DA74AF"/>
    <w:rsid w:val="00DB1A8B"/>
    <w:rsid w:val="00DB25BB"/>
    <w:rsid w:val="00DB643E"/>
    <w:rsid w:val="00DC7E1B"/>
    <w:rsid w:val="00DD0298"/>
    <w:rsid w:val="00DD1DDC"/>
    <w:rsid w:val="00DD377A"/>
    <w:rsid w:val="00DD4F49"/>
    <w:rsid w:val="00DD7E7A"/>
    <w:rsid w:val="00DE3090"/>
    <w:rsid w:val="00DF39E3"/>
    <w:rsid w:val="00DF49A0"/>
    <w:rsid w:val="00DF68EF"/>
    <w:rsid w:val="00E02885"/>
    <w:rsid w:val="00E06C2F"/>
    <w:rsid w:val="00E24399"/>
    <w:rsid w:val="00E24AD3"/>
    <w:rsid w:val="00E274C6"/>
    <w:rsid w:val="00E3350F"/>
    <w:rsid w:val="00E35395"/>
    <w:rsid w:val="00E41399"/>
    <w:rsid w:val="00E44E74"/>
    <w:rsid w:val="00E51A30"/>
    <w:rsid w:val="00E61D9F"/>
    <w:rsid w:val="00E63279"/>
    <w:rsid w:val="00E74BD5"/>
    <w:rsid w:val="00E7592A"/>
    <w:rsid w:val="00E839DA"/>
    <w:rsid w:val="00E857FE"/>
    <w:rsid w:val="00E870C1"/>
    <w:rsid w:val="00E90B4F"/>
    <w:rsid w:val="00E915E3"/>
    <w:rsid w:val="00E918D1"/>
    <w:rsid w:val="00E92F19"/>
    <w:rsid w:val="00E94DA2"/>
    <w:rsid w:val="00E95FF3"/>
    <w:rsid w:val="00E97B4B"/>
    <w:rsid w:val="00EA074A"/>
    <w:rsid w:val="00EA54AA"/>
    <w:rsid w:val="00EB4197"/>
    <w:rsid w:val="00EB4756"/>
    <w:rsid w:val="00EB6150"/>
    <w:rsid w:val="00EC4AFD"/>
    <w:rsid w:val="00EC67A3"/>
    <w:rsid w:val="00ED06E4"/>
    <w:rsid w:val="00EE1217"/>
    <w:rsid w:val="00EE2509"/>
    <w:rsid w:val="00EE3B69"/>
    <w:rsid w:val="00EE3D03"/>
    <w:rsid w:val="00EE5B1E"/>
    <w:rsid w:val="00EE723B"/>
    <w:rsid w:val="00EE7312"/>
    <w:rsid w:val="00EE740D"/>
    <w:rsid w:val="00F14BDB"/>
    <w:rsid w:val="00F178C3"/>
    <w:rsid w:val="00F2677A"/>
    <w:rsid w:val="00F27D29"/>
    <w:rsid w:val="00F30774"/>
    <w:rsid w:val="00F325C2"/>
    <w:rsid w:val="00F36472"/>
    <w:rsid w:val="00F3673F"/>
    <w:rsid w:val="00F37408"/>
    <w:rsid w:val="00F4018A"/>
    <w:rsid w:val="00F424C9"/>
    <w:rsid w:val="00F42538"/>
    <w:rsid w:val="00F46525"/>
    <w:rsid w:val="00F556E7"/>
    <w:rsid w:val="00F63745"/>
    <w:rsid w:val="00F65E3D"/>
    <w:rsid w:val="00F66B41"/>
    <w:rsid w:val="00F6767D"/>
    <w:rsid w:val="00F717D3"/>
    <w:rsid w:val="00F76506"/>
    <w:rsid w:val="00F83599"/>
    <w:rsid w:val="00F96544"/>
    <w:rsid w:val="00F970FB"/>
    <w:rsid w:val="00FA38C0"/>
    <w:rsid w:val="00FB39CB"/>
    <w:rsid w:val="00FC2254"/>
    <w:rsid w:val="00FC64EE"/>
    <w:rsid w:val="00FE1297"/>
    <w:rsid w:val="00FE2C83"/>
    <w:rsid w:val="00FE32C5"/>
    <w:rsid w:val="00FE62DF"/>
    <w:rsid w:val="00FF3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link w:val="Heading5Char"/>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qFormat/>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6D70DD"/>
    <w:rPr>
      <w:lang w:eastAsia="en-US"/>
    </w:rPr>
  </w:style>
  <w:style w:type="paragraph" w:customStyle="1" w:styleId="IASBNormal">
    <w:name w:val="IASB Normal"/>
    <w:rsid w:val="006F75F8"/>
    <w:pPr>
      <w:spacing w:before="100" w:after="100"/>
      <w:jc w:val="both"/>
    </w:pPr>
    <w:rPr>
      <w:sz w:val="19"/>
      <w:lang w:val="en-GB" w:eastAsia="en-GB"/>
    </w:rPr>
  </w:style>
  <w:style w:type="paragraph" w:customStyle="1" w:styleId="DaveIASBSubsectionTitle">
    <w:name w:val="Dave IASB Subsection Title"/>
    <w:basedOn w:val="Normal"/>
    <w:rsid w:val="00182ADB"/>
    <w:pPr>
      <w:keepNext/>
      <w:keepLines/>
      <w:spacing w:before="300" w:after="200" w:line="240" w:lineRule="auto"/>
      <w:ind w:left="780"/>
    </w:pPr>
    <w:rPr>
      <w:rFonts w:ascii="Arial" w:hAnsi="Arial" w:cs="Arial"/>
      <w:b/>
      <w:sz w:val="26"/>
      <w:lang w:val="en-GB" w:eastAsia="en-GB"/>
    </w:rPr>
  </w:style>
  <w:style w:type="paragraph" w:customStyle="1" w:styleId="Body">
    <w:name w:val="Body"/>
    <w:rsid w:val="00AE6487"/>
    <w:pPr>
      <w:suppressAutoHyphens/>
      <w:autoSpaceDE w:val="0"/>
      <w:autoSpaceDN w:val="0"/>
      <w:adjustRightInd w:val="0"/>
      <w:spacing w:before="100" w:after="100" w:line="240" w:lineRule="atLeast"/>
      <w:jc w:val="both"/>
    </w:pPr>
    <w:rPr>
      <w:color w:val="000000"/>
      <w:w w:val="0"/>
      <w:lang w:val="en-GB" w:eastAsia="en-US"/>
    </w:rPr>
  </w:style>
  <w:style w:type="paragraph" w:customStyle="1" w:styleId="CellBodyLeft">
    <w:name w:val="Cell Body Left"/>
    <w:rsid w:val="00AE6487"/>
    <w:pPr>
      <w:suppressAutoHyphens/>
      <w:autoSpaceDE w:val="0"/>
      <w:autoSpaceDN w:val="0"/>
      <w:adjustRightInd w:val="0"/>
      <w:spacing w:line="240" w:lineRule="atLeast"/>
      <w:ind w:left="80" w:hanging="80"/>
    </w:pPr>
    <w:rPr>
      <w:color w:val="000000"/>
      <w:w w:val="0"/>
      <w:lang w:val="en-GB" w:eastAsia="en-US"/>
    </w:rPr>
  </w:style>
  <w:style w:type="paragraph" w:customStyle="1" w:styleId="CellBodyRight">
    <w:name w:val="Cell Body Right"/>
    <w:rsid w:val="00AE6487"/>
    <w:pPr>
      <w:suppressAutoHyphens/>
      <w:autoSpaceDE w:val="0"/>
      <w:autoSpaceDN w:val="0"/>
      <w:adjustRightInd w:val="0"/>
      <w:spacing w:line="240" w:lineRule="atLeast"/>
      <w:ind w:right="40"/>
      <w:jc w:val="right"/>
    </w:pPr>
    <w:rPr>
      <w:color w:val="000000"/>
      <w:w w:val="0"/>
      <w:lang w:val="en-GB" w:eastAsia="en-US"/>
    </w:rPr>
  </w:style>
  <w:style w:type="character" w:customStyle="1" w:styleId="Bold">
    <w:name w:val="Bold"/>
    <w:rsid w:val="00AE6487"/>
    <w:rPr>
      <w:b/>
      <w:bCs/>
    </w:rPr>
  </w:style>
  <w:style w:type="character" w:customStyle="1" w:styleId="TableDoubleUnderline">
    <w:name w:val="TableDoubleUnderline"/>
    <w:rsid w:val="00AE6487"/>
    <w:rPr>
      <w:w w:val="100"/>
      <w:u w:val="double"/>
      <w:lang w:eastAsia="x-none"/>
    </w:rPr>
  </w:style>
  <w:style w:type="character" w:customStyle="1" w:styleId="BoldItalic">
    <w:name w:val="Bold Italic"/>
    <w:rsid w:val="00AE6487"/>
    <w:rPr>
      <w:b/>
      <w:bCs/>
      <w:i/>
      <w:iCs/>
    </w:rPr>
  </w:style>
  <w:style w:type="character" w:customStyle="1" w:styleId="Italic">
    <w:name w:val="Italic"/>
    <w:rsid w:val="00AE6487"/>
    <w:rPr>
      <w:i/>
      <w:iCs/>
    </w:rPr>
  </w:style>
  <w:style w:type="character" w:customStyle="1" w:styleId="TableUnderline">
    <w:name w:val="TableUnderline"/>
    <w:rsid w:val="00AE6487"/>
    <w:rPr>
      <w:rFonts w:ascii="Times New Roman" w:hAnsi="Times New Roman" w:cs="Times New Roman"/>
      <w:color w:val="000000"/>
      <w:spacing w:val="0"/>
      <w:w w:val="100"/>
      <w:sz w:val="20"/>
      <w:szCs w:val="20"/>
      <w:u w:val="single"/>
      <w:vertAlign w:val="baseline"/>
      <w:lang w:val="en-GB" w:eastAsia="x-none"/>
    </w:rPr>
  </w:style>
  <w:style w:type="character" w:styleId="FootnoteReference">
    <w:name w:val="footnote reference"/>
    <w:rsid w:val="005C78F4"/>
    <w:rPr>
      <w:vertAlign w:val="superscript"/>
    </w:rPr>
  </w:style>
  <w:style w:type="paragraph" w:customStyle="1" w:styleId="BodyText">
    <w:name w:val="BodyText"/>
    <w:basedOn w:val="Normal"/>
    <w:uiPriority w:val="99"/>
    <w:rsid w:val="0014384D"/>
    <w:pPr>
      <w:spacing w:line="360" w:lineRule="auto"/>
      <w:ind w:left="142"/>
    </w:pPr>
    <w:rPr>
      <w:rFonts w:ascii="Arial" w:hAnsi="Arial"/>
      <w:szCs w:val="24"/>
      <w:lang w:eastAsia="en-AU"/>
    </w:rPr>
  </w:style>
  <w:style w:type="character" w:customStyle="1" w:styleId="Heading5Char">
    <w:name w:val="Heading 5 Char"/>
    <w:basedOn w:val="DefaultParagraphFont"/>
    <w:link w:val="Heading5"/>
    <w:rsid w:val="00004CA1"/>
    <w:rPr>
      <w:rFonts w:cs="Arial"/>
      <w:b/>
      <w:bCs/>
      <w:i/>
      <w:szCs w:val="26"/>
      <w:lang w:eastAsia="en-US"/>
    </w:rPr>
  </w:style>
  <w:style w:type="paragraph" w:styleId="BalloonText">
    <w:name w:val="Balloon Text"/>
    <w:basedOn w:val="Normal"/>
    <w:link w:val="BalloonTextChar"/>
    <w:rsid w:val="0077560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560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link w:val="Heading5Char"/>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qFormat/>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6D70DD"/>
    <w:rPr>
      <w:lang w:eastAsia="en-US"/>
    </w:rPr>
  </w:style>
  <w:style w:type="paragraph" w:customStyle="1" w:styleId="IASBNormal">
    <w:name w:val="IASB Normal"/>
    <w:rsid w:val="006F75F8"/>
    <w:pPr>
      <w:spacing w:before="100" w:after="100"/>
      <w:jc w:val="both"/>
    </w:pPr>
    <w:rPr>
      <w:sz w:val="19"/>
      <w:lang w:val="en-GB" w:eastAsia="en-GB"/>
    </w:rPr>
  </w:style>
  <w:style w:type="paragraph" w:customStyle="1" w:styleId="DaveIASBSubsectionTitle">
    <w:name w:val="Dave IASB Subsection Title"/>
    <w:basedOn w:val="Normal"/>
    <w:rsid w:val="00182ADB"/>
    <w:pPr>
      <w:keepNext/>
      <w:keepLines/>
      <w:spacing w:before="300" w:after="200" w:line="240" w:lineRule="auto"/>
      <w:ind w:left="780"/>
    </w:pPr>
    <w:rPr>
      <w:rFonts w:ascii="Arial" w:hAnsi="Arial" w:cs="Arial"/>
      <w:b/>
      <w:sz w:val="26"/>
      <w:lang w:val="en-GB" w:eastAsia="en-GB"/>
    </w:rPr>
  </w:style>
  <w:style w:type="paragraph" w:customStyle="1" w:styleId="Body">
    <w:name w:val="Body"/>
    <w:rsid w:val="00AE6487"/>
    <w:pPr>
      <w:suppressAutoHyphens/>
      <w:autoSpaceDE w:val="0"/>
      <w:autoSpaceDN w:val="0"/>
      <w:adjustRightInd w:val="0"/>
      <w:spacing w:before="100" w:after="100" w:line="240" w:lineRule="atLeast"/>
      <w:jc w:val="both"/>
    </w:pPr>
    <w:rPr>
      <w:color w:val="000000"/>
      <w:w w:val="0"/>
      <w:lang w:val="en-GB" w:eastAsia="en-US"/>
    </w:rPr>
  </w:style>
  <w:style w:type="paragraph" w:customStyle="1" w:styleId="CellBodyLeft">
    <w:name w:val="Cell Body Left"/>
    <w:rsid w:val="00AE6487"/>
    <w:pPr>
      <w:suppressAutoHyphens/>
      <w:autoSpaceDE w:val="0"/>
      <w:autoSpaceDN w:val="0"/>
      <w:adjustRightInd w:val="0"/>
      <w:spacing w:line="240" w:lineRule="atLeast"/>
      <w:ind w:left="80" w:hanging="80"/>
    </w:pPr>
    <w:rPr>
      <w:color w:val="000000"/>
      <w:w w:val="0"/>
      <w:lang w:val="en-GB" w:eastAsia="en-US"/>
    </w:rPr>
  </w:style>
  <w:style w:type="paragraph" w:customStyle="1" w:styleId="CellBodyRight">
    <w:name w:val="Cell Body Right"/>
    <w:rsid w:val="00AE6487"/>
    <w:pPr>
      <w:suppressAutoHyphens/>
      <w:autoSpaceDE w:val="0"/>
      <w:autoSpaceDN w:val="0"/>
      <w:adjustRightInd w:val="0"/>
      <w:spacing w:line="240" w:lineRule="atLeast"/>
      <w:ind w:right="40"/>
      <w:jc w:val="right"/>
    </w:pPr>
    <w:rPr>
      <w:color w:val="000000"/>
      <w:w w:val="0"/>
      <w:lang w:val="en-GB" w:eastAsia="en-US"/>
    </w:rPr>
  </w:style>
  <w:style w:type="character" w:customStyle="1" w:styleId="Bold">
    <w:name w:val="Bold"/>
    <w:rsid w:val="00AE6487"/>
    <w:rPr>
      <w:b/>
      <w:bCs/>
    </w:rPr>
  </w:style>
  <w:style w:type="character" w:customStyle="1" w:styleId="TableDoubleUnderline">
    <w:name w:val="TableDoubleUnderline"/>
    <w:rsid w:val="00AE6487"/>
    <w:rPr>
      <w:w w:val="100"/>
      <w:u w:val="double"/>
      <w:lang w:eastAsia="x-none"/>
    </w:rPr>
  </w:style>
  <w:style w:type="character" w:customStyle="1" w:styleId="BoldItalic">
    <w:name w:val="Bold Italic"/>
    <w:rsid w:val="00AE6487"/>
    <w:rPr>
      <w:b/>
      <w:bCs/>
      <w:i/>
      <w:iCs/>
    </w:rPr>
  </w:style>
  <w:style w:type="character" w:customStyle="1" w:styleId="Italic">
    <w:name w:val="Italic"/>
    <w:rsid w:val="00AE6487"/>
    <w:rPr>
      <w:i/>
      <w:iCs/>
    </w:rPr>
  </w:style>
  <w:style w:type="character" w:customStyle="1" w:styleId="TableUnderline">
    <w:name w:val="TableUnderline"/>
    <w:rsid w:val="00AE6487"/>
    <w:rPr>
      <w:rFonts w:ascii="Times New Roman" w:hAnsi="Times New Roman" w:cs="Times New Roman"/>
      <w:color w:val="000000"/>
      <w:spacing w:val="0"/>
      <w:w w:val="100"/>
      <w:sz w:val="20"/>
      <w:szCs w:val="20"/>
      <w:u w:val="single"/>
      <w:vertAlign w:val="baseline"/>
      <w:lang w:val="en-GB" w:eastAsia="x-none"/>
    </w:rPr>
  </w:style>
  <w:style w:type="character" w:styleId="FootnoteReference">
    <w:name w:val="footnote reference"/>
    <w:rsid w:val="005C78F4"/>
    <w:rPr>
      <w:vertAlign w:val="superscript"/>
    </w:rPr>
  </w:style>
  <w:style w:type="paragraph" w:customStyle="1" w:styleId="BodyText">
    <w:name w:val="BodyText"/>
    <w:basedOn w:val="Normal"/>
    <w:uiPriority w:val="99"/>
    <w:rsid w:val="0014384D"/>
    <w:pPr>
      <w:spacing w:line="360" w:lineRule="auto"/>
      <w:ind w:left="142"/>
    </w:pPr>
    <w:rPr>
      <w:rFonts w:ascii="Arial" w:hAnsi="Arial"/>
      <w:szCs w:val="24"/>
      <w:lang w:eastAsia="en-AU"/>
    </w:rPr>
  </w:style>
  <w:style w:type="character" w:customStyle="1" w:styleId="Heading5Char">
    <w:name w:val="Heading 5 Char"/>
    <w:basedOn w:val="DefaultParagraphFont"/>
    <w:link w:val="Heading5"/>
    <w:rsid w:val="00004CA1"/>
    <w:rPr>
      <w:rFonts w:cs="Arial"/>
      <w:b/>
      <w:bCs/>
      <w:i/>
      <w:szCs w:val="26"/>
      <w:lang w:eastAsia="en-US"/>
    </w:rPr>
  </w:style>
  <w:style w:type="paragraph" w:styleId="BalloonText">
    <w:name w:val="Balloon Text"/>
    <w:basedOn w:val="Normal"/>
    <w:link w:val="BalloonTextChar"/>
    <w:rsid w:val="0077560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56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ASB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9A9B-0825-4B07-8E80-6EBCF4CE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AASBIFRS.dotx</Template>
  <TotalTime>1148</TotalTime>
  <Pages>19</Pages>
  <Words>8014</Words>
  <Characters>43439</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51351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Clark M. Anstis</dc:creator>
  <cp:lastModifiedBy>Clark M. Anstis</cp:lastModifiedBy>
  <cp:revision>76</cp:revision>
  <cp:lastPrinted>2012-12-18T04:49:00Z</cp:lastPrinted>
  <dcterms:created xsi:type="dcterms:W3CDTF">2012-11-23T01:22:00Z</dcterms:created>
  <dcterms:modified xsi:type="dcterms:W3CDTF">2012-12-19T11:00:00Z</dcterms:modified>
</cp:coreProperties>
</file>