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D9C" w:rsidRPr="00E4135E" w:rsidRDefault="00B94D9C" w:rsidP="00B94D9C">
      <w:pPr>
        <w:pStyle w:val="Heading1"/>
        <w:ind w:left="1701" w:hanging="1701"/>
        <w:rPr>
          <w:rFonts w:ascii="Times New Roman" w:hAnsi="Times New Roman"/>
          <w:sz w:val="24"/>
          <w:szCs w:val="24"/>
        </w:rPr>
      </w:pPr>
      <w:r w:rsidRPr="00E4135E">
        <w:rPr>
          <w:rFonts w:ascii="Times New Roman" w:hAnsi="Times New Roman"/>
          <w:sz w:val="24"/>
          <w:szCs w:val="24"/>
        </w:rPr>
        <w:t>STATEMENT</w:t>
      </w:r>
      <w:r>
        <w:rPr>
          <w:rFonts w:ascii="Times New Roman" w:hAnsi="Times New Roman"/>
          <w:sz w:val="24"/>
          <w:szCs w:val="24"/>
        </w:rPr>
        <w:t xml:space="preserve"> OF COMPATIBILITY FOR A </w:t>
      </w:r>
      <w:r w:rsidRPr="00E4135E">
        <w:rPr>
          <w:rFonts w:ascii="Times New Roman" w:hAnsi="Times New Roman"/>
          <w:sz w:val="24"/>
          <w:szCs w:val="24"/>
        </w:rPr>
        <w:t xml:space="preserve">LEGISLATIVE INSTRUMENT THAT </w:t>
      </w:r>
      <w:r w:rsidRPr="00E4135E">
        <w:rPr>
          <w:rFonts w:ascii="Times New Roman" w:hAnsi="Times New Roman"/>
          <w:sz w:val="24"/>
          <w:szCs w:val="24"/>
          <w:u w:val="single"/>
        </w:rPr>
        <w:t>DOES NOT</w:t>
      </w:r>
      <w:r w:rsidRPr="00E4135E">
        <w:rPr>
          <w:rFonts w:ascii="Times New Roman" w:hAnsi="Times New Roman"/>
          <w:sz w:val="24"/>
          <w:szCs w:val="24"/>
        </w:rPr>
        <w:t xml:space="preserve"> RAISE ANY HUMAN RIGHTS ISSUES</w:t>
      </w:r>
    </w:p>
    <w:p w:rsidR="00B94D9C" w:rsidRDefault="00B94D9C" w:rsidP="00B94D9C">
      <w:pPr>
        <w:ind w:left="720" w:hanging="720"/>
      </w:pPr>
    </w:p>
    <w:p w:rsidR="00B94D9C" w:rsidRDefault="002011E6" w:rsidP="00B94D9C">
      <w:r>
        <w:rPr>
          <w:noProof/>
          <w:lang w:eastAsia="en-AU"/>
        </w:rPr>
        <w:pict>
          <v:rect id="_x0000_s1026" style="position:absolute;margin-left:-25.85pt;margin-top:22.5pt;width:505.55pt;height:555.45pt;z-index:251657728" strokeweight="6pt">
            <v:stroke linestyle="thickBetweenThin"/>
            <v:textbox style="mso-next-textbox:#_x0000_s1026" inset="5mm,,5mm">
              <w:txbxContent>
                <w:p w:rsidR="00AC6802" w:rsidRPr="00E4135E" w:rsidRDefault="00AC6802" w:rsidP="00B94D9C">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AC6802" w:rsidRPr="00E4135E" w:rsidRDefault="00AC6802" w:rsidP="00B94D9C">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AC6802" w:rsidRPr="00E4135E" w:rsidRDefault="00AC6802" w:rsidP="00B94D9C">
                  <w:pPr>
                    <w:spacing w:before="120" w:after="120"/>
                    <w:jc w:val="center"/>
                    <w:rPr>
                      <w:rFonts w:ascii="Times New Roman" w:hAnsi="Times New Roman"/>
                      <w:sz w:val="24"/>
                      <w:szCs w:val="24"/>
                    </w:rPr>
                  </w:pPr>
                </w:p>
                <w:p w:rsidR="00AC6802" w:rsidRPr="00E918D5" w:rsidRDefault="00AC6802" w:rsidP="00B94D9C">
                  <w:pPr>
                    <w:spacing w:before="120" w:after="120"/>
                    <w:jc w:val="center"/>
                    <w:rPr>
                      <w:rFonts w:ascii="Times New Roman" w:hAnsi="Times New Roman"/>
                      <w:b/>
                      <w:sz w:val="24"/>
                      <w:szCs w:val="24"/>
                    </w:rPr>
                  </w:pPr>
                  <w:r>
                    <w:rPr>
                      <w:rFonts w:ascii="Times New Roman" w:hAnsi="Times New Roman"/>
                      <w:b/>
                      <w:sz w:val="24"/>
                      <w:szCs w:val="24"/>
                    </w:rPr>
                    <w:t>Therapeutic Goods Information (Stakeholder Consultation on the System for Australian Recall Actions) Specification 2013</w:t>
                  </w:r>
                </w:p>
                <w:p w:rsidR="00AC6802" w:rsidRPr="00E4135E" w:rsidRDefault="00AC6802" w:rsidP="00B94D9C">
                  <w:pPr>
                    <w:spacing w:before="120" w:after="120"/>
                    <w:jc w:val="center"/>
                    <w:rPr>
                      <w:rFonts w:ascii="Times New Roman" w:hAnsi="Times New Roman"/>
                      <w:sz w:val="24"/>
                      <w:szCs w:val="24"/>
                    </w:rPr>
                  </w:pPr>
                </w:p>
                <w:p w:rsidR="00D065D2" w:rsidRDefault="00AC6802" w:rsidP="00D065D2">
                  <w:pPr>
                    <w:spacing w:before="120" w:after="120"/>
                    <w:rPr>
                      <w:rFonts w:ascii="Times New Roman" w:hAnsi="Times New Roman"/>
                      <w:sz w:val="24"/>
                      <w:szCs w:val="24"/>
                    </w:rPr>
                  </w:pPr>
                  <w:r>
                    <w:rPr>
                      <w:rFonts w:ascii="Times New Roman" w:hAnsi="Times New Roman"/>
                      <w:sz w:val="24"/>
                      <w:szCs w:val="24"/>
                    </w:rPr>
                    <w:t>This legislative i</w:t>
                  </w:r>
                  <w:r w:rsidRPr="00E4135E">
                    <w:rPr>
                      <w:rFonts w:ascii="Times New Roman" w:hAnsi="Times New Roman"/>
                      <w:sz w:val="24"/>
                      <w:szCs w:val="24"/>
                    </w:rPr>
                    <w:t xml:space="preserve">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Pr>
                      <w:rFonts w:ascii="Times New Roman" w:hAnsi="Times New Roman"/>
                      <w:sz w:val="24"/>
                      <w:szCs w:val="24"/>
                    </w:rPr>
                    <w:t>.</w:t>
                  </w:r>
                </w:p>
                <w:p w:rsidR="00AC6802" w:rsidRPr="00E4135E" w:rsidRDefault="00AC6802" w:rsidP="00B94D9C">
                  <w:pPr>
                    <w:spacing w:before="120" w:after="120"/>
                    <w:jc w:val="center"/>
                    <w:rPr>
                      <w:rFonts w:ascii="Times New Roman" w:hAnsi="Times New Roman"/>
                      <w:sz w:val="24"/>
                      <w:szCs w:val="24"/>
                    </w:rPr>
                  </w:pPr>
                </w:p>
                <w:p w:rsidR="00AC6802" w:rsidRPr="00E4135E" w:rsidRDefault="00AC6802" w:rsidP="00B94D9C">
                  <w:pPr>
                    <w:spacing w:before="120" w:after="120"/>
                    <w:jc w:val="both"/>
                    <w:rPr>
                      <w:rFonts w:ascii="Times New Roman" w:hAnsi="Times New Roman"/>
                      <w:b/>
                      <w:sz w:val="24"/>
                      <w:szCs w:val="24"/>
                    </w:rPr>
                  </w:pPr>
                  <w:r w:rsidRPr="00E4135E">
                    <w:rPr>
                      <w:rFonts w:ascii="Times New Roman" w:hAnsi="Times New Roman"/>
                      <w:b/>
                      <w:sz w:val="24"/>
                      <w:szCs w:val="24"/>
                    </w:rPr>
                    <w:t>Overview of the Bill/Legislative Instrument</w:t>
                  </w:r>
                </w:p>
                <w:p w:rsidR="00AC6802" w:rsidRDefault="00AC6802" w:rsidP="00B94D9C">
                  <w:pPr>
                    <w:spacing w:before="120" w:after="120"/>
                    <w:rPr>
                      <w:rFonts w:ascii="Times New Roman" w:hAnsi="Times New Roman"/>
                      <w:sz w:val="24"/>
                      <w:szCs w:val="24"/>
                    </w:rPr>
                  </w:pPr>
                  <w:r>
                    <w:rPr>
                      <w:rFonts w:ascii="Times New Roman" w:hAnsi="Times New Roman"/>
                      <w:sz w:val="24"/>
                      <w:szCs w:val="24"/>
                    </w:rPr>
                    <w:t xml:space="preserve">The Therapeutic Goods Information (Stakeholder Consultation on the System for Australian Recall Actions) 2013 (the Specification) is made by the Minister for Health under subsection 61(5AB) of the </w:t>
                  </w:r>
                  <w:r w:rsidRPr="001F1FD1">
                    <w:rPr>
                      <w:rFonts w:ascii="Times New Roman" w:hAnsi="Times New Roman"/>
                      <w:i/>
                      <w:sz w:val="24"/>
                      <w:szCs w:val="24"/>
                    </w:rPr>
                    <w:t>Therapeutic Goods Act 1989</w:t>
                  </w:r>
                  <w:r>
                    <w:rPr>
                      <w:rFonts w:ascii="Times New Roman" w:hAnsi="Times New Roman"/>
                      <w:sz w:val="24"/>
                      <w:szCs w:val="24"/>
                    </w:rPr>
                    <w:t xml:space="preserve"> (the Act).  It has the effect of permitting the Secretary </w:t>
                  </w:r>
                  <w:r w:rsidR="00DD34C3">
                    <w:rPr>
                      <w:rFonts w:ascii="Times New Roman" w:hAnsi="Times New Roman"/>
                      <w:sz w:val="24"/>
                      <w:szCs w:val="24"/>
                    </w:rPr>
                    <w:t xml:space="preserve">of </w:t>
                  </w:r>
                  <w:r>
                    <w:rPr>
                      <w:rFonts w:ascii="Times New Roman" w:hAnsi="Times New Roman"/>
                      <w:sz w:val="24"/>
                      <w:szCs w:val="24"/>
                    </w:rPr>
                    <w:t>the Department of Health and Ageing to release specified kinds of information relating to Australian recall actions, in the form of a database, to a number of specified persons and bodies, for the purpose of obtaining feedback on the functionality, suitability (in terms of informing the public about the recall of therapeutic goods) and presentation of that database, and any other related feedback, from the stakeholder groups.</w:t>
                  </w:r>
                </w:p>
                <w:p w:rsidR="00AC6802" w:rsidRPr="00E4135E" w:rsidRDefault="00AC6802" w:rsidP="00B94D9C">
                  <w:pPr>
                    <w:spacing w:before="120" w:after="120"/>
                    <w:rPr>
                      <w:rFonts w:ascii="Times New Roman" w:hAnsi="Times New Roman"/>
                      <w:b/>
                      <w:sz w:val="24"/>
                      <w:szCs w:val="24"/>
                    </w:rPr>
                  </w:pPr>
                  <w:r>
                    <w:rPr>
                      <w:rFonts w:ascii="Times New Roman" w:hAnsi="Times New Roman"/>
                      <w:b/>
                      <w:sz w:val="24"/>
                      <w:szCs w:val="24"/>
                    </w:rPr>
                    <w:t>Human ri</w:t>
                  </w:r>
                  <w:r w:rsidRPr="00E4135E">
                    <w:rPr>
                      <w:rFonts w:ascii="Times New Roman" w:hAnsi="Times New Roman"/>
                      <w:b/>
                      <w:sz w:val="24"/>
                      <w:szCs w:val="24"/>
                    </w:rPr>
                    <w:t>ghts implications</w:t>
                  </w:r>
                </w:p>
                <w:p w:rsidR="00AC6802" w:rsidRPr="00F928E0" w:rsidRDefault="00AC6802" w:rsidP="00B94D9C">
                  <w:pPr>
                    <w:spacing w:before="120" w:after="120"/>
                    <w:rPr>
                      <w:rFonts w:ascii="Times New Roman" w:hAnsi="Times New Roman"/>
                      <w:sz w:val="24"/>
                      <w:szCs w:val="24"/>
                    </w:rPr>
                  </w:pPr>
                  <w:r>
                    <w:rPr>
                      <w:rFonts w:ascii="Times New Roman" w:hAnsi="Times New Roman"/>
                      <w:sz w:val="24"/>
                      <w:szCs w:val="24"/>
                    </w:rPr>
                    <w:t>This legislative i</w:t>
                  </w:r>
                  <w:r w:rsidRPr="00E4135E">
                    <w:rPr>
                      <w:rFonts w:ascii="Times New Roman" w:hAnsi="Times New Roman"/>
                      <w:sz w:val="24"/>
                      <w:szCs w:val="24"/>
                    </w:rPr>
                    <w:t>nstrument does not engage any of the</w:t>
                  </w:r>
                  <w:r>
                    <w:rPr>
                      <w:rFonts w:ascii="Times New Roman" w:hAnsi="Times New Roman"/>
                      <w:sz w:val="24"/>
                      <w:szCs w:val="24"/>
                    </w:rPr>
                    <w:t xml:space="preserve"> applicable rights or freedoms.</w:t>
                  </w:r>
                </w:p>
                <w:p w:rsidR="00AC6802" w:rsidRPr="00E4135E" w:rsidRDefault="00AC6802" w:rsidP="00B94D9C">
                  <w:pPr>
                    <w:spacing w:before="120" w:after="120"/>
                    <w:rPr>
                      <w:rFonts w:ascii="Times New Roman" w:hAnsi="Times New Roman"/>
                      <w:b/>
                      <w:sz w:val="24"/>
                      <w:szCs w:val="24"/>
                    </w:rPr>
                  </w:pPr>
                  <w:r w:rsidRPr="00E4135E">
                    <w:rPr>
                      <w:rFonts w:ascii="Times New Roman" w:hAnsi="Times New Roman"/>
                      <w:b/>
                      <w:sz w:val="24"/>
                      <w:szCs w:val="24"/>
                    </w:rPr>
                    <w:t>Conclusion</w:t>
                  </w:r>
                </w:p>
                <w:p w:rsidR="00AC6802" w:rsidRDefault="00AC6802" w:rsidP="00B94D9C">
                  <w:pPr>
                    <w:spacing w:before="120" w:after="120"/>
                    <w:rPr>
                      <w:rFonts w:ascii="Times New Roman" w:hAnsi="Times New Roman"/>
                      <w:sz w:val="24"/>
                      <w:szCs w:val="24"/>
                    </w:rPr>
                  </w:pPr>
                  <w:r>
                    <w:rPr>
                      <w:rFonts w:ascii="Times New Roman" w:hAnsi="Times New Roman"/>
                      <w:sz w:val="24"/>
                      <w:szCs w:val="24"/>
                    </w:rPr>
                    <w:t>This legislative i</w:t>
                  </w:r>
                  <w:r w:rsidRPr="00E4135E">
                    <w:rPr>
                      <w:rFonts w:ascii="Times New Roman" w:hAnsi="Times New Roman"/>
                      <w:sz w:val="24"/>
                      <w:szCs w:val="24"/>
                    </w:rPr>
                    <w:t>nstrument is compatible with human rights as it does not raise any human rights issues.</w:t>
                  </w:r>
                </w:p>
                <w:p w:rsidR="00AC6802" w:rsidRPr="006A0A10" w:rsidRDefault="00DD34C3" w:rsidP="00B94D9C">
                  <w:pPr>
                    <w:spacing w:before="120" w:after="120"/>
                    <w:rPr>
                      <w:rFonts w:ascii="Times New Roman" w:hAnsi="Times New Roman"/>
                      <w:b/>
                      <w:sz w:val="24"/>
                      <w:szCs w:val="24"/>
                    </w:rPr>
                  </w:pPr>
                  <w:r>
                    <w:rPr>
                      <w:rFonts w:ascii="Times New Roman" w:hAnsi="Times New Roman"/>
                      <w:b/>
                      <w:sz w:val="24"/>
                      <w:szCs w:val="24"/>
                    </w:rPr>
                    <w:t xml:space="preserve">Dr </w:t>
                  </w:r>
                  <w:r w:rsidR="00AC6802">
                    <w:rPr>
                      <w:rFonts w:ascii="Times New Roman" w:hAnsi="Times New Roman"/>
                      <w:b/>
                      <w:sz w:val="24"/>
                      <w:szCs w:val="24"/>
                    </w:rPr>
                    <w:t xml:space="preserve">John </w:t>
                  </w:r>
                  <w:proofErr w:type="spellStart"/>
                  <w:r w:rsidR="00AC6802">
                    <w:rPr>
                      <w:rFonts w:ascii="Times New Roman" w:hAnsi="Times New Roman"/>
                      <w:b/>
                      <w:sz w:val="24"/>
                      <w:szCs w:val="24"/>
                    </w:rPr>
                    <w:t>Skerritt</w:t>
                  </w:r>
                  <w:proofErr w:type="spellEnd"/>
                  <w:r w:rsidR="00AC6802" w:rsidRPr="006A0A10">
                    <w:rPr>
                      <w:rFonts w:ascii="Times New Roman" w:hAnsi="Times New Roman"/>
                      <w:b/>
                      <w:sz w:val="24"/>
                      <w:szCs w:val="24"/>
                    </w:rPr>
                    <w:t>, delegate of the Minister for Health</w:t>
                  </w:r>
                </w:p>
              </w:txbxContent>
            </v:textbox>
          </v:rect>
        </w:pict>
      </w:r>
    </w:p>
    <w:p w:rsidR="00B94D9C" w:rsidRPr="00E4135E" w:rsidRDefault="00B94D9C" w:rsidP="00B94D9C">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rsidR="00B94D9C" w:rsidRPr="00E4135E" w:rsidRDefault="00B94D9C" w:rsidP="00B94D9C">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rsidR="00B94D9C" w:rsidRPr="00E4135E" w:rsidRDefault="00B94D9C" w:rsidP="00B94D9C">
      <w:pPr>
        <w:spacing w:before="120" w:after="120"/>
        <w:jc w:val="center"/>
        <w:rPr>
          <w:rFonts w:ascii="Times New Roman" w:hAnsi="Times New Roman"/>
          <w:sz w:val="24"/>
          <w:szCs w:val="24"/>
        </w:rPr>
      </w:pPr>
    </w:p>
    <w:p w:rsidR="00B94D9C" w:rsidRPr="00E918D5" w:rsidRDefault="00B94D9C" w:rsidP="00B94D9C">
      <w:pPr>
        <w:spacing w:before="120" w:after="120"/>
        <w:jc w:val="center"/>
        <w:rPr>
          <w:rFonts w:ascii="Times New Roman" w:hAnsi="Times New Roman"/>
          <w:b/>
          <w:sz w:val="24"/>
          <w:szCs w:val="24"/>
        </w:rPr>
      </w:pPr>
      <w:r>
        <w:rPr>
          <w:rFonts w:ascii="Times New Roman" w:hAnsi="Times New Roman"/>
          <w:b/>
          <w:sz w:val="24"/>
          <w:szCs w:val="24"/>
        </w:rPr>
        <w:t xml:space="preserve">Therapeutic Goods (Listing) Notice 2012 (No. 4) -                                                                  Calcified </w:t>
      </w:r>
      <w:proofErr w:type="spellStart"/>
      <w:r>
        <w:rPr>
          <w:rFonts w:ascii="Times New Roman" w:hAnsi="Times New Roman"/>
          <w:b/>
          <w:sz w:val="24"/>
          <w:szCs w:val="24"/>
        </w:rPr>
        <w:t>Lithothamnion</w:t>
      </w:r>
      <w:proofErr w:type="spellEnd"/>
      <w:r>
        <w:rPr>
          <w:rFonts w:ascii="Times New Roman" w:hAnsi="Times New Roman"/>
          <w:b/>
          <w:sz w:val="24"/>
          <w:szCs w:val="24"/>
        </w:rPr>
        <w:t xml:space="preserve"> </w:t>
      </w:r>
      <w:proofErr w:type="spellStart"/>
      <w:r>
        <w:rPr>
          <w:rFonts w:ascii="Times New Roman" w:hAnsi="Times New Roman"/>
          <w:b/>
          <w:sz w:val="24"/>
          <w:szCs w:val="24"/>
        </w:rPr>
        <w:t>tophiforme</w:t>
      </w:r>
      <w:proofErr w:type="spellEnd"/>
      <w:r w:rsidRPr="00E918D5">
        <w:rPr>
          <w:rFonts w:ascii="Times New Roman" w:hAnsi="Times New Roman"/>
          <w:sz w:val="24"/>
          <w:szCs w:val="24"/>
        </w:rPr>
        <w:t xml:space="preserve"> </w:t>
      </w:r>
    </w:p>
    <w:p w:rsidR="00B94D9C" w:rsidRPr="00E4135E" w:rsidRDefault="00B94D9C" w:rsidP="00B94D9C">
      <w:pPr>
        <w:spacing w:before="120" w:after="120"/>
        <w:jc w:val="center"/>
        <w:rPr>
          <w:rFonts w:ascii="Times New Roman" w:hAnsi="Times New Roman"/>
          <w:sz w:val="24"/>
          <w:szCs w:val="24"/>
        </w:rPr>
      </w:pPr>
    </w:p>
    <w:p w:rsidR="00B94D9C" w:rsidRPr="00E4135E" w:rsidRDefault="00B94D9C" w:rsidP="00B94D9C">
      <w:pPr>
        <w:spacing w:before="120" w:after="120"/>
        <w:jc w:val="center"/>
        <w:rPr>
          <w:rFonts w:ascii="Times New Roman" w:hAnsi="Times New Roman"/>
          <w:sz w:val="24"/>
          <w:szCs w:val="24"/>
        </w:rPr>
      </w:pPr>
      <w:r>
        <w:rPr>
          <w:rFonts w:ascii="Times New Roman" w:hAnsi="Times New Roman"/>
          <w:sz w:val="24"/>
          <w:szCs w:val="24"/>
        </w:rPr>
        <w:t>This legislative i</w:t>
      </w:r>
      <w:r w:rsidRPr="00E4135E">
        <w:rPr>
          <w:rFonts w:ascii="Times New Roman" w:hAnsi="Times New Roman"/>
          <w:sz w:val="24"/>
          <w:szCs w:val="24"/>
        </w:rPr>
        <w:t xml:space="preserve">nstrument is compatible with the human rights and freedoms recognised or declared in the international instruments listed in section 3 of the </w:t>
      </w:r>
      <w:r w:rsidRPr="00E4135E">
        <w:rPr>
          <w:rFonts w:ascii="Times New Roman" w:hAnsi="Times New Roman"/>
          <w:i/>
          <w:sz w:val="24"/>
          <w:szCs w:val="24"/>
        </w:rPr>
        <w:t>Human Rights (Parliamentary Scrutiny) Act 2011</w:t>
      </w:r>
      <w:r>
        <w:rPr>
          <w:rFonts w:ascii="Times New Roman" w:hAnsi="Times New Roman"/>
          <w:sz w:val="24"/>
          <w:szCs w:val="24"/>
        </w:rPr>
        <w:t>.</w:t>
      </w:r>
    </w:p>
    <w:p w:rsidR="00B94D9C" w:rsidRPr="00E4135E" w:rsidRDefault="00B94D9C" w:rsidP="00B94D9C">
      <w:pPr>
        <w:spacing w:before="120" w:after="120"/>
        <w:jc w:val="center"/>
        <w:rPr>
          <w:rFonts w:ascii="Times New Roman" w:hAnsi="Times New Roman"/>
          <w:sz w:val="24"/>
          <w:szCs w:val="24"/>
        </w:rPr>
      </w:pPr>
    </w:p>
    <w:p w:rsidR="00B94D9C" w:rsidRPr="00E4135E" w:rsidRDefault="00B94D9C" w:rsidP="00B94D9C">
      <w:pPr>
        <w:spacing w:before="120" w:after="120"/>
        <w:jc w:val="both"/>
        <w:rPr>
          <w:rFonts w:ascii="Times New Roman" w:hAnsi="Times New Roman"/>
          <w:b/>
          <w:sz w:val="24"/>
          <w:szCs w:val="24"/>
        </w:rPr>
      </w:pPr>
      <w:r w:rsidRPr="00E4135E">
        <w:rPr>
          <w:rFonts w:ascii="Times New Roman" w:hAnsi="Times New Roman"/>
          <w:b/>
          <w:sz w:val="24"/>
          <w:szCs w:val="24"/>
        </w:rPr>
        <w:t>Overview of the Bill/Legislative Instrument</w:t>
      </w:r>
    </w:p>
    <w:p w:rsidR="00B94D9C" w:rsidRPr="002C49EF" w:rsidRDefault="00B94D9C" w:rsidP="00B94D9C">
      <w:pPr>
        <w:tabs>
          <w:tab w:val="num" w:pos="927"/>
        </w:tabs>
        <w:spacing w:after="0" w:line="240" w:lineRule="auto"/>
        <w:rPr>
          <w:rFonts w:ascii="Times New Roman" w:hAnsi="Times New Roman"/>
          <w:sz w:val="24"/>
          <w:szCs w:val="24"/>
        </w:rPr>
      </w:pPr>
      <w:r w:rsidRPr="005E69C8">
        <w:rPr>
          <w:rFonts w:ascii="Times New Roman" w:hAnsi="Times New Roman"/>
          <w:i/>
          <w:sz w:val="24"/>
          <w:szCs w:val="24"/>
        </w:rPr>
        <w:t>Therapeutic Go</w:t>
      </w:r>
      <w:r>
        <w:rPr>
          <w:rFonts w:ascii="Times New Roman" w:hAnsi="Times New Roman"/>
          <w:i/>
          <w:sz w:val="24"/>
          <w:szCs w:val="24"/>
        </w:rPr>
        <w:t>ods (Listing) Notice 2012 (No. 4</w:t>
      </w:r>
      <w:r w:rsidRPr="005E69C8">
        <w:rPr>
          <w:rFonts w:ascii="Times New Roman" w:hAnsi="Times New Roman"/>
          <w:i/>
          <w:sz w:val="24"/>
          <w:szCs w:val="24"/>
        </w:rPr>
        <w:t>)</w:t>
      </w:r>
      <w:r w:rsidRPr="005E69C8">
        <w:rPr>
          <w:rFonts w:ascii="Times New Roman" w:hAnsi="Times New Roman"/>
          <w:sz w:val="24"/>
          <w:szCs w:val="24"/>
        </w:rPr>
        <w:t xml:space="preserve"> (the Listing Notice) is a notice made by the delegate of the Minister for Health under subsection 9A(5) of the </w:t>
      </w:r>
      <w:r w:rsidRPr="005E69C8">
        <w:rPr>
          <w:rFonts w:ascii="Times New Roman" w:hAnsi="Times New Roman"/>
          <w:i/>
          <w:iCs/>
          <w:sz w:val="24"/>
          <w:szCs w:val="24"/>
        </w:rPr>
        <w:t xml:space="preserve">Therapeutic Goods Act 1989 </w:t>
      </w:r>
      <w:r w:rsidRPr="005E69C8">
        <w:rPr>
          <w:rFonts w:ascii="Times New Roman" w:hAnsi="Times New Roman"/>
          <w:sz w:val="24"/>
          <w:szCs w:val="24"/>
        </w:rPr>
        <w:t>(the Act). The Listing Notice has the effect of requiring that therapeutic goods that contain ‘</w:t>
      </w:r>
      <w:r>
        <w:rPr>
          <w:rFonts w:ascii="Times New Roman" w:hAnsi="Times New Roman"/>
          <w:sz w:val="24"/>
          <w:szCs w:val="24"/>
        </w:rPr>
        <w:t xml:space="preserve">Calcified </w:t>
      </w:r>
      <w:proofErr w:type="spellStart"/>
      <w:r>
        <w:rPr>
          <w:rFonts w:ascii="Times New Roman" w:hAnsi="Times New Roman"/>
          <w:sz w:val="24"/>
          <w:szCs w:val="24"/>
        </w:rPr>
        <w:t>Lithothamnion</w:t>
      </w:r>
      <w:proofErr w:type="spellEnd"/>
      <w:r>
        <w:rPr>
          <w:rFonts w:ascii="Times New Roman" w:hAnsi="Times New Roman"/>
          <w:sz w:val="24"/>
          <w:szCs w:val="24"/>
        </w:rPr>
        <w:t xml:space="preserve"> </w:t>
      </w:r>
      <w:proofErr w:type="spellStart"/>
      <w:r>
        <w:rPr>
          <w:rFonts w:ascii="Times New Roman" w:hAnsi="Times New Roman"/>
          <w:sz w:val="24"/>
          <w:szCs w:val="24"/>
        </w:rPr>
        <w:t>tophiforme</w:t>
      </w:r>
      <w:proofErr w:type="spellEnd"/>
      <w:r>
        <w:rPr>
          <w:rFonts w:ascii="Times New Roman" w:hAnsi="Times New Roman"/>
          <w:sz w:val="24"/>
          <w:szCs w:val="24"/>
        </w:rPr>
        <w:t>’</w:t>
      </w:r>
      <w:r w:rsidRPr="005E69C8">
        <w:rPr>
          <w:rFonts w:ascii="Times New Roman" w:hAnsi="Times New Roman"/>
          <w:sz w:val="24"/>
          <w:szCs w:val="24"/>
        </w:rPr>
        <w:t xml:space="preserve"> as a therapeutically active ingredient, </w:t>
      </w:r>
      <w:r w:rsidRPr="002C49EF">
        <w:rPr>
          <w:rFonts w:ascii="Times New Roman" w:hAnsi="Times New Roman"/>
          <w:sz w:val="24"/>
          <w:szCs w:val="24"/>
        </w:rPr>
        <w:t>and that are presented as oral preparations,</w:t>
      </w:r>
      <w:r w:rsidRPr="005E69C8">
        <w:rPr>
          <w:rFonts w:ascii="Times New Roman" w:hAnsi="Times New Roman"/>
          <w:sz w:val="24"/>
          <w:szCs w:val="24"/>
        </w:rPr>
        <w:t xml:space="preserve"> be included in the part of the Australian Register of Therapeutic Goods (the Register) for listed goods.</w:t>
      </w:r>
      <w:r>
        <w:rPr>
          <w:rFonts w:ascii="Times New Roman" w:hAnsi="Times New Roman"/>
          <w:sz w:val="24"/>
          <w:szCs w:val="24"/>
        </w:rPr>
        <w:t xml:space="preserve"> The Listing Notice commences on the day after it is</w:t>
      </w:r>
      <w:r w:rsidRPr="002C49EF">
        <w:rPr>
          <w:rFonts w:ascii="Times New Roman" w:hAnsi="Times New Roman"/>
          <w:sz w:val="24"/>
          <w:szCs w:val="24"/>
        </w:rPr>
        <w:t xml:space="preserve"> registered on the Federal Register of Legislative Instruments (FRLI). Once </w:t>
      </w:r>
      <w:r>
        <w:rPr>
          <w:rFonts w:ascii="Times New Roman" w:hAnsi="Times New Roman"/>
          <w:sz w:val="24"/>
          <w:szCs w:val="24"/>
        </w:rPr>
        <w:t>the Listing Notice commences</w:t>
      </w:r>
      <w:r w:rsidRPr="002C49EF">
        <w:rPr>
          <w:rFonts w:ascii="Times New Roman" w:hAnsi="Times New Roman"/>
          <w:sz w:val="24"/>
          <w:szCs w:val="24"/>
        </w:rPr>
        <w:t>, applications can be made for the listi</w:t>
      </w:r>
      <w:r>
        <w:rPr>
          <w:rFonts w:ascii="Times New Roman" w:hAnsi="Times New Roman"/>
          <w:sz w:val="24"/>
          <w:szCs w:val="24"/>
        </w:rPr>
        <w:t>ng o</w:t>
      </w:r>
      <w:r w:rsidRPr="002C49EF">
        <w:rPr>
          <w:rFonts w:ascii="Times New Roman" w:hAnsi="Times New Roman"/>
          <w:sz w:val="24"/>
          <w:szCs w:val="24"/>
        </w:rPr>
        <w:t>n the Register of new therapeutic goods that contain ingredients/substances of the kind set out in the notice.</w:t>
      </w:r>
    </w:p>
    <w:p w:rsidR="00B94D9C" w:rsidRPr="00E4135E" w:rsidRDefault="00B94D9C" w:rsidP="00B94D9C">
      <w:pPr>
        <w:spacing w:before="120" w:after="120"/>
        <w:rPr>
          <w:rFonts w:ascii="Times New Roman" w:hAnsi="Times New Roman"/>
          <w:b/>
          <w:sz w:val="24"/>
          <w:szCs w:val="24"/>
        </w:rPr>
      </w:pPr>
      <w:r>
        <w:rPr>
          <w:rFonts w:ascii="Times New Roman" w:hAnsi="Times New Roman"/>
          <w:b/>
          <w:sz w:val="24"/>
          <w:szCs w:val="24"/>
        </w:rPr>
        <w:t>Human ri</w:t>
      </w:r>
      <w:r w:rsidRPr="00E4135E">
        <w:rPr>
          <w:rFonts w:ascii="Times New Roman" w:hAnsi="Times New Roman"/>
          <w:b/>
          <w:sz w:val="24"/>
          <w:szCs w:val="24"/>
        </w:rPr>
        <w:t>ghts implications</w:t>
      </w:r>
    </w:p>
    <w:p w:rsidR="00B94D9C" w:rsidRPr="00F928E0" w:rsidRDefault="00B94D9C" w:rsidP="00B94D9C">
      <w:pPr>
        <w:spacing w:before="120" w:after="120"/>
        <w:rPr>
          <w:rFonts w:ascii="Times New Roman" w:hAnsi="Times New Roman"/>
          <w:sz w:val="24"/>
          <w:szCs w:val="24"/>
        </w:rPr>
      </w:pPr>
      <w:r>
        <w:rPr>
          <w:rFonts w:ascii="Times New Roman" w:hAnsi="Times New Roman"/>
          <w:sz w:val="24"/>
          <w:szCs w:val="24"/>
        </w:rPr>
        <w:t>This legislative i</w:t>
      </w:r>
      <w:r w:rsidRPr="00E4135E">
        <w:rPr>
          <w:rFonts w:ascii="Times New Roman" w:hAnsi="Times New Roman"/>
          <w:sz w:val="24"/>
          <w:szCs w:val="24"/>
        </w:rPr>
        <w:t>nstrument does not engage any of the</w:t>
      </w:r>
      <w:r>
        <w:rPr>
          <w:rFonts w:ascii="Times New Roman" w:hAnsi="Times New Roman"/>
          <w:sz w:val="24"/>
          <w:szCs w:val="24"/>
        </w:rPr>
        <w:t xml:space="preserve"> applicable rights or freedoms.</w:t>
      </w:r>
    </w:p>
    <w:p w:rsidR="00B94D9C" w:rsidRPr="00E4135E" w:rsidRDefault="00B94D9C" w:rsidP="00B94D9C">
      <w:pPr>
        <w:spacing w:before="120" w:after="120"/>
        <w:rPr>
          <w:rFonts w:ascii="Times New Roman" w:hAnsi="Times New Roman"/>
          <w:b/>
          <w:sz w:val="24"/>
          <w:szCs w:val="24"/>
        </w:rPr>
      </w:pPr>
      <w:r w:rsidRPr="00E4135E">
        <w:rPr>
          <w:rFonts w:ascii="Times New Roman" w:hAnsi="Times New Roman"/>
          <w:b/>
          <w:sz w:val="24"/>
          <w:szCs w:val="24"/>
        </w:rPr>
        <w:t>Conclusion</w:t>
      </w:r>
    </w:p>
    <w:p w:rsidR="00B94D9C" w:rsidRDefault="00B94D9C" w:rsidP="00B94D9C">
      <w:pPr>
        <w:spacing w:before="120" w:after="120"/>
        <w:rPr>
          <w:rFonts w:ascii="Times New Roman" w:hAnsi="Times New Roman"/>
          <w:sz w:val="24"/>
          <w:szCs w:val="24"/>
        </w:rPr>
      </w:pPr>
      <w:r>
        <w:rPr>
          <w:rFonts w:ascii="Times New Roman" w:hAnsi="Times New Roman"/>
          <w:sz w:val="24"/>
          <w:szCs w:val="24"/>
        </w:rPr>
        <w:t>This legislative i</w:t>
      </w:r>
      <w:r w:rsidRPr="00E4135E">
        <w:rPr>
          <w:rFonts w:ascii="Times New Roman" w:hAnsi="Times New Roman"/>
          <w:sz w:val="24"/>
          <w:szCs w:val="24"/>
        </w:rPr>
        <w:t>nstrument is compatible with human rights as it does not raise any human rights issues.</w:t>
      </w:r>
    </w:p>
    <w:p w:rsidR="00B94D9C" w:rsidRDefault="00B94D9C" w:rsidP="00B94D9C">
      <w:pPr>
        <w:spacing w:before="120" w:after="120"/>
        <w:rPr>
          <w:rFonts w:ascii="Times New Roman" w:hAnsi="Times New Roman"/>
          <w:sz w:val="24"/>
          <w:szCs w:val="24"/>
        </w:rPr>
      </w:pPr>
    </w:p>
    <w:p w:rsidR="00B94D9C" w:rsidRPr="006A0A10" w:rsidRDefault="00B94D9C" w:rsidP="00B94D9C">
      <w:pPr>
        <w:spacing w:before="120" w:after="120"/>
        <w:rPr>
          <w:rFonts w:ascii="Times New Roman" w:hAnsi="Times New Roman"/>
          <w:b/>
          <w:sz w:val="24"/>
          <w:szCs w:val="24"/>
        </w:rPr>
      </w:pPr>
      <w:r>
        <w:rPr>
          <w:rFonts w:ascii="Times New Roman" w:hAnsi="Times New Roman"/>
          <w:b/>
          <w:sz w:val="24"/>
          <w:szCs w:val="24"/>
        </w:rPr>
        <w:t xml:space="preserve">Dr John </w:t>
      </w:r>
      <w:proofErr w:type="spellStart"/>
      <w:r>
        <w:rPr>
          <w:rFonts w:ascii="Times New Roman" w:hAnsi="Times New Roman"/>
          <w:b/>
          <w:sz w:val="24"/>
          <w:szCs w:val="24"/>
        </w:rPr>
        <w:t>Skerritt</w:t>
      </w:r>
      <w:proofErr w:type="spellEnd"/>
      <w:r w:rsidRPr="006A0A10">
        <w:rPr>
          <w:rFonts w:ascii="Times New Roman" w:hAnsi="Times New Roman"/>
          <w:b/>
          <w:sz w:val="24"/>
          <w:szCs w:val="24"/>
        </w:rPr>
        <w:t>, delegate of the Minister for Health</w:t>
      </w:r>
    </w:p>
    <w:p w:rsidR="00827F41" w:rsidRPr="00416EAC" w:rsidRDefault="00827F41" w:rsidP="00416EAC"/>
    <w:sectPr w:rsidR="00827F41" w:rsidRPr="00416EAC" w:rsidSect="00C06A51">
      <w:footerReference w:type="default" r:id="rId8"/>
      <w:headerReference w:type="first" r:id="rId9"/>
      <w:footerReference w:type="first" r:id="rId10"/>
      <w:type w:val="continuous"/>
      <w:pgSz w:w="11906" w:h="16838" w:code="9"/>
      <w:pgMar w:top="1522" w:right="1701" w:bottom="567" w:left="1701" w:header="907" w:footer="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802" w:rsidRDefault="00AC6802" w:rsidP="00C40A36">
      <w:pPr>
        <w:spacing w:after="0"/>
      </w:pPr>
      <w:r>
        <w:separator/>
      </w:r>
    </w:p>
  </w:endnote>
  <w:endnote w:type="continuationSeparator" w:id="0">
    <w:p w:rsidR="00AC6802" w:rsidRDefault="00AC6802"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Borders>
        <w:top w:val="single" w:sz="4" w:space="0" w:color="auto"/>
      </w:tblBorders>
      <w:tblLayout w:type="fixed"/>
      <w:tblCellMar>
        <w:top w:w="170" w:type="dxa"/>
        <w:left w:w="0" w:type="dxa"/>
        <w:bottom w:w="227" w:type="dxa"/>
        <w:right w:w="0" w:type="dxa"/>
      </w:tblCellMar>
      <w:tblLook w:val="04A0"/>
    </w:tblPr>
    <w:tblGrid>
      <w:gridCol w:w="7660"/>
      <w:gridCol w:w="1201"/>
    </w:tblGrid>
    <w:tr w:rsidR="00AC6802" w:rsidTr="00AE32A9">
      <w:trPr>
        <w:trHeight w:val="269"/>
      </w:trPr>
      <w:tc>
        <w:tcPr>
          <w:tcW w:w="7660" w:type="dxa"/>
          <w:tcMar>
            <w:top w:w="142" w:type="dxa"/>
            <w:bottom w:w="0" w:type="dxa"/>
          </w:tcMar>
        </w:tcPr>
        <w:p w:rsidR="00AC6802" w:rsidRPr="00B94D9C" w:rsidRDefault="00AC6802" w:rsidP="00826007">
          <w:pPr>
            <w:pStyle w:val="Footer"/>
            <w:rPr>
              <w:rFonts w:ascii="Cambria" w:eastAsia="Cambria" w:hAnsi="Cambria"/>
            </w:rPr>
          </w:pPr>
        </w:p>
      </w:tc>
      <w:tc>
        <w:tcPr>
          <w:tcW w:w="1201" w:type="dxa"/>
          <w:tcMar>
            <w:top w:w="142" w:type="dxa"/>
            <w:bottom w:w="0" w:type="dxa"/>
          </w:tcMar>
        </w:tcPr>
        <w:p w:rsidR="00AC6802" w:rsidRPr="00B94D9C" w:rsidRDefault="00AC6802" w:rsidP="002E015C">
          <w:pPr>
            <w:pStyle w:val="Footer"/>
            <w:jc w:val="right"/>
            <w:rPr>
              <w:rFonts w:ascii="Cambria" w:eastAsia="Cambria" w:hAnsi="Cambria"/>
            </w:rPr>
          </w:pPr>
          <w:r w:rsidRPr="00B94D9C">
            <w:rPr>
              <w:rFonts w:ascii="Cambria" w:eastAsia="Cambria" w:hAnsi="Cambria"/>
            </w:rPr>
            <w:t xml:space="preserve">Page </w:t>
          </w:r>
          <w:r w:rsidR="002011E6" w:rsidRPr="00B94D9C">
            <w:rPr>
              <w:rFonts w:ascii="Cambria" w:eastAsia="Cambria" w:hAnsi="Cambria"/>
            </w:rPr>
            <w:fldChar w:fldCharType="begin"/>
          </w:r>
          <w:r w:rsidRPr="00B94D9C">
            <w:rPr>
              <w:rFonts w:ascii="Cambria" w:eastAsia="Cambria" w:hAnsi="Cambria"/>
            </w:rPr>
            <w:instrText xml:space="preserve"> PAGE   \* MERGEFORMAT </w:instrText>
          </w:r>
          <w:r w:rsidR="002011E6" w:rsidRPr="00B94D9C">
            <w:rPr>
              <w:rFonts w:ascii="Cambria" w:eastAsia="Cambria" w:hAnsi="Cambria"/>
            </w:rPr>
            <w:fldChar w:fldCharType="separate"/>
          </w:r>
          <w:r w:rsidR="00053C65">
            <w:rPr>
              <w:rFonts w:ascii="Cambria" w:eastAsia="Cambria" w:hAnsi="Cambria"/>
              <w:noProof/>
            </w:rPr>
            <w:t>1</w:t>
          </w:r>
          <w:r w:rsidR="002011E6" w:rsidRPr="00B94D9C">
            <w:rPr>
              <w:rFonts w:ascii="Cambria" w:eastAsia="Cambria" w:hAnsi="Cambria"/>
            </w:rPr>
            <w:fldChar w:fldCharType="end"/>
          </w:r>
          <w:r w:rsidRPr="00B94D9C">
            <w:rPr>
              <w:rFonts w:ascii="Cambria" w:eastAsia="Cambria" w:hAnsi="Cambria"/>
            </w:rPr>
            <w:t xml:space="preserve"> of </w:t>
          </w:r>
          <w:r w:rsidR="002011E6" w:rsidRPr="00B94D9C">
            <w:rPr>
              <w:rFonts w:ascii="Cambria" w:eastAsia="Cambria" w:hAnsi="Cambria"/>
            </w:rPr>
            <w:fldChar w:fldCharType="begin"/>
          </w:r>
          <w:r w:rsidRPr="00B94D9C">
            <w:rPr>
              <w:rFonts w:ascii="Cambria" w:eastAsia="Cambria" w:hAnsi="Cambria"/>
            </w:rPr>
            <w:instrText xml:space="preserve"> NUMPAGES  \* Arabic </w:instrText>
          </w:r>
          <w:r w:rsidR="002011E6" w:rsidRPr="00B94D9C">
            <w:rPr>
              <w:rFonts w:ascii="Cambria" w:eastAsia="Cambria" w:hAnsi="Cambria"/>
            </w:rPr>
            <w:fldChar w:fldCharType="separate"/>
          </w:r>
          <w:r w:rsidR="00053C65">
            <w:rPr>
              <w:rFonts w:ascii="Cambria" w:eastAsia="Cambria" w:hAnsi="Cambria"/>
              <w:noProof/>
            </w:rPr>
            <w:t>1</w:t>
          </w:r>
          <w:r w:rsidR="002011E6" w:rsidRPr="00B94D9C">
            <w:rPr>
              <w:rFonts w:ascii="Cambria" w:eastAsia="Cambria" w:hAnsi="Cambria"/>
            </w:rPr>
            <w:fldChar w:fldCharType="end"/>
          </w:r>
        </w:p>
      </w:tc>
    </w:tr>
  </w:tbl>
  <w:p w:rsidR="00AC6802" w:rsidRPr="00826007" w:rsidRDefault="00AC6802" w:rsidP="008260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75" w:type="dxa"/>
      <w:tblBorders>
        <w:top w:val="single" w:sz="4" w:space="0" w:color="auto"/>
      </w:tblBorders>
      <w:tblLayout w:type="fixed"/>
      <w:tblCellMar>
        <w:top w:w="170" w:type="dxa"/>
        <w:left w:w="0" w:type="dxa"/>
        <w:bottom w:w="227" w:type="dxa"/>
        <w:right w:w="0" w:type="dxa"/>
      </w:tblCellMar>
      <w:tblLook w:val="04A0"/>
    </w:tblPr>
    <w:tblGrid>
      <w:gridCol w:w="7413"/>
      <w:gridCol w:w="1162"/>
    </w:tblGrid>
    <w:tr w:rsidR="00AC6802" w:rsidTr="00AE32A9">
      <w:trPr>
        <w:trHeight w:val="339"/>
      </w:trPr>
      <w:tc>
        <w:tcPr>
          <w:tcW w:w="7413" w:type="dxa"/>
          <w:tcMar>
            <w:top w:w="142" w:type="dxa"/>
            <w:bottom w:w="0" w:type="dxa"/>
          </w:tcMar>
        </w:tcPr>
        <w:p w:rsidR="00AC6802" w:rsidRDefault="00AC6802" w:rsidP="002E015C">
          <w:pPr>
            <w:pStyle w:val="Footer"/>
          </w:pPr>
        </w:p>
      </w:tc>
      <w:tc>
        <w:tcPr>
          <w:tcW w:w="1162" w:type="dxa"/>
          <w:tcMar>
            <w:top w:w="142" w:type="dxa"/>
            <w:bottom w:w="0" w:type="dxa"/>
          </w:tcMar>
        </w:tcPr>
        <w:p w:rsidR="00AC6802" w:rsidRDefault="00AC6802" w:rsidP="002E015C">
          <w:pPr>
            <w:pStyle w:val="Footer"/>
            <w:jc w:val="right"/>
          </w:pPr>
          <w:r>
            <w:t xml:space="preserve">Page </w:t>
          </w:r>
          <w:fldSimple w:instr=" PAGE   \* MERGEFORMAT ">
            <w:r>
              <w:rPr>
                <w:noProof/>
              </w:rPr>
              <w:t>1</w:t>
            </w:r>
          </w:fldSimple>
          <w:r>
            <w:t xml:space="preserve"> of </w:t>
          </w:r>
          <w:fldSimple w:instr=" NUMPAGES  \* Arabic ">
            <w:r w:rsidR="00053C65">
              <w:rPr>
                <w:noProof/>
              </w:rPr>
              <w:t>1</w:t>
            </w:r>
          </w:fldSimple>
        </w:p>
      </w:tc>
    </w:tr>
  </w:tbl>
  <w:p w:rsidR="00AC6802" w:rsidRDefault="00AC6802" w:rsidP="00AE32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802" w:rsidRDefault="00AC6802" w:rsidP="00C40A36">
      <w:pPr>
        <w:spacing w:after="0"/>
      </w:pPr>
      <w:r>
        <w:separator/>
      </w:r>
    </w:p>
  </w:footnote>
  <w:footnote w:type="continuationSeparator" w:id="0">
    <w:p w:rsidR="00AC6802" w:rsidRDefault="00AC6802" w:rsidP="00C40A3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802" w:rsidRPr="00AE32A9" w:rsidRDefault="00AC6802" w:rsidP="00AE32A9">
    <w:pPr>
      <w:pStyle w:val="Header"/>
      <w:pBdr>
        <w:bottom w:val="none" w:sz="0" w:space="0" w:color="auto"/>
      </w:pBdr>
    </w:pPr>
    <w:r w:rsidRPr="00AE32A9">
      <w:tab/>
    </w:r>
    <w:r w:rsidRPr="00AE32A9">
      <w:tab/>
    </w:r>
    <w:r w:rsidRPr="00AE32A9">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25EA4CF5"/>
    <w:multiLevelType w:val="hybridMultilevel"/>
    <w:tmpl w:val="1C16F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686EAB"/>
    <w:multiLevelType w:val="hybridMultilevel"/>
    <w:tmpl w:val="B95ED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7BA1E77"/>
    <w:multiLevelType w:val="hybridMultilevel"/>
    <w:tmpl w:val="C2BAF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3982D0B"/>
    <w:multiLevelType w:val="hybridMultilevel"/>
    <w:tmpl w:val="55C4B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FBF6095"/>
    <w:multiLevelType w:val="hybridMultilevel"/>
    <w:tmpl w:val="59BC00BE"/>
    <w:lvl w:ilvl="0" w:tplc="151E7E3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F247F05"/>
    <w:multiLevelType w:val="hybridMultilevel"/>
    <w:tmpl w:val="82EC1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704350C"/>
    <w:multiLevelType w:val="hybridMultilevel"/>
    <w:tmpl w:val="B89492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7AD21CD9"/>
    <w:multiLevelType w:val="hybridMultilevel"/>
    <w:tmpl w:val="D20CB884"/>
    <w:lvl w:ilvl="0" w:tplc="FC26E8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4"/>
  </w:num>
  <w:num w:numId="5">
    <w:abstractNumId w:val="0"/>
  </w:num>
  <w:num w:numId="6">
    <w:abstractNumId w:val="4"/>
  </w:num>
  <w:num w:numId="7">
    <w:abstractNumId w:val="4"/>
  </w:num>
  <w:num w:numId="8">
    <w:abstractNumId w:val="3"/>
  </w:num>
  <w:num w:numId="9">
    <w:abstractNumId w:val="3"/>
  </w:num>
  <w:num w:numId="10">
    <w:abstractNumId w:val="3"/>
  </w:num>
  <w:num w:numId="11">
    <w:abstractNumId w:val="3"/>
  </w:num>
  <w:num w:numId="12">
    <w:abstractNumId w:val="4"/>
  </w:num>
  <w:num w:numId="13">
    <w:abstractNumId w:val="4"/>
  </w:num>
  <w:num w:numId="14">
    <w:abstractNumId w:val="4"/>
  </w:num>
  <w:num w:numId="15">
    <w:abstractNumId w:val="9"/>
  </w:num>
  <w:num w:numId="16">
    <w:abstractNumId w:val="9"/>
  </w:num>
  <w:num w:numId="17">
    <w:abstractNumId w:val="10"/>
  </w:num>
  <w:num w:numId="18">
    <w:abstractNumId w:val="11"/>
  </w:num>
  <w:num w:numId="19">
    <w:abstractNumId w:val="12"/>
  </w:num>
  <w:num w:numId="20">
    <w:abstractNumId w:val="7"/>
  </w:num>
  <w:num w:numId="21">
    <w:abstractNumId w:val="5"/>
  </w:num>
  <w:num w:numId="22">
    <w:abstractNumId w:val="6"/>
  </w:num>
  <w:num w:numId="23">
    <w:abstractNumId w:val="8"/>
  </w:num>
  <w:num w:numId="24">
    <w:abstractNumId w:val="4"/>
  </w:num>
  <w:num w:numId="25">
    <w:abstractNumId w:val="4"/>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stylePaneFormatFilter w:val="1001"/>
  <w:stylePaneSortMethod w:val="0000"/>
  <w:defaultTabStop w:val="720"/>
  <w:drawingGridHorizontalSpacing w:val="110"/>
  <w:displayHorizontalDrawingGridEvery w:val="2"/>
  <w:characterSpacingControl w:val="doNotCompress"/>
  <w:hdrShapeDefaults>
    <o:shapedefaults v:ext="edit" spidmax="188417">
      <o:colormenu v:ext="edit" fillcolor="none [3206]"/>
    </o:shapedefaults>
  </w:hdrShapeDefaults>
  <w:footnotePr>
    <w:footnote w:id="-1"/>
    <w:footnote w:id="0"/>
  </w:footnotePr>
  <w:endnotePr>
    <w:endnote w:id="-1"/>
    <w:endnote w:id="0"/>
  </w:endnotePr>
  <w:compat/>
  <w:rsids>
    <w:rsidRoot w:val="002E015C"/>
    <w:rsid w:val="00002031"/>
    <w:rsid w:val="00004734"/>
    <w:rsid w:val="00006B22"/>
    <w:rsid w:val="000073E8"/>
    <w:rsid w:val="0001276A"/>
    <w:rsid w:val="000246AE"/>
    <w:rsid w:val="00025C67"/>
    <w:rsid w:val="00043D7C"/>
    <w:rsid w:val="00053C65"/>
    <w:rsid w:val="0005559E"/>
    <w:rsid w:val="00077775"/>
    <w:rsid w:val="00090471"/>
    <w:rsid w:val="000A1F98"/>
    <w:rsid w:val="000A20BF"/>
    <w:rsid w:val="000B1EBF"/>
    <w:rsid w:val="000B3532"/>
    <w:rsid w:val="000B3A75"/>
    <w:rsid w:val="000B543C"/>
    <w:rsid w:val="000B7084"/>
    <w:rsid w:val="000D391B"/>
    <w:rsid w:val="000D3D6D"/>
    <w:rsid w:val="000D4FC7"/>
    <w:rsid w:val="000F4869"/>
    <w:rsid w:val="000F5B42"/>
    <w:rsid w:val="000F6E6F"/>
    <w:rsid w:val="001003F2"/>
    <w:rsid w:val="0010601F"/>
    <w:rsid w:val="00110EA5"/>
    <w:rsid w:val="00115240"/>
    <w:rsid w:val="00125318"/>
    <w:rsid w:val="001305A2"/>
    <w:rsid w:val="00133238"/>
    <w:rsid w:val="0014197B"/>
    <w:rsid w:val="001447CD"/>
    <w:rsid w:val="00144C49"/>
    <w:rsid w:val="0014503C"/>
    <w:rsid w:val="001467B9"/>
    <w:rsid w:val="00146B24"/>
    <w:rsid w:val="001516B1"/>
    <w:rsid w:val="00156316"/>
    <w:rsid w:val="00156653"/>
    <w:rsid w:val="00165389"/>
    <w:rsid w:val="0017693F"/>
    <w:rsid w:val="0018110E"/>
    <w:rsid w:val="00181684"/>
    <w:rsid w:val="001843C6"/>
    <w:rsid w:val="001850E0"/>
    <w:rsid w:val="001867C1"/>
    <w:rsid w:val="001A525F"/>
    <w:rsid w:val="001B09F9"/>
    <w:rsid w:val="001B6448"/>
    <w:rsid w:val="001D1664"/>
    <w:rsid w:val="001E07CF"/>
    <w:rsid w:val="001E425B"/>
    <w:rsid w:val="001E59F1"/>
    <w:rsid w:val="001E7CA3"/>
    <w:rsid w:val="001F1FD1"/>
    <w:rsid w:val="001F49EB"/>
    <w:rsid w:val="001F6CBA"/>
    <w:rsid w:val="002011E6"/>
    <w:rsid w:val="00201D4E"/>
    <w:rsid w:val="00220B8A"/>
    <w:rsid w:val="002257F3"/>
    <w:rsid w:val="0023048E"/>
    <w:rsid w:val="00233456"/>
    <w:rsid w:val="002339A5"/>
    <w:rsid w:val="00234B0C"/>
    <w:rsid w:val="002501BF"/>
    <w:rsid w:val="00257848"/>
    <w:rsid w:val="0027084A"/>
    <w:rsid w:val="00286434"/>
    <w:rsid w:val="00286C59"/>
    <w:rsid w:val="002942D1"/>
    <w:rsid w:val="002A0556"/>
    <w:rsid w:val="002B1218"/>
    <w:rsid w:val="002B1638"/>
    <w:rsid w:val="002D371E"/>
    <w:rsid w:val="002D3D18"/>
    <w:rsid w:val="002D7BA2"/>
    <w:rsid w:val="002E015C"/>
    <w:rsid w:val="002E4C9A"/>
    <w:rsid w:val="002F11F8"/>
    <w:rsid w:val="002F32B3"/>
    <w:rsid w:val="002F3F56"/>
    <w:rsid w:val="002F44B5"/>
    <w:rsid w:val="002F61FC"/>
    <w:rsid w:val="00302933"/>
    <w:rsid w:val="00311AC0"/>
    <w:rsid w:val="003246C8"/>
    <w:rsid w:val="003521E8"/>
    <w:rsid w:val="0035403E"/>
    <w:rsid w:val="003664BF"/>
    <w:rsid w:val="003728F3"/>
    <w:rsid w:val="003779FA"/>
    <w:rsid w:val="00390900"/>
    <w:rsid w:val="003A63F3"/>
    <w:rsid w:val="003B7E39"/>
    <w:rsid w:val="003C33BE"/>
    <w:rsid w:val="003C58DC"/>
    <w:rsid w:val="003E3208"/>
    <w:rsid w:val="003E4C13"/>
    <w:rsid w:val="003F0B04"/>
    <w:rsid w:val="003F1B0F"/>
    <w:rsid w:val="0040134E"/>
    <w:rsid w:val="00415D8D"/>
    <w:rsid w:val="00416EAC"/>
    <w:rsid w:val="00420F31"/>
    <w:rsid w:val="004360FB"/>
    <w:rsid w:val="00440A2D"/>
    <w:rsid w:val="00440DAF"/>
    <w:rsid w:val="004564A7"/>
    <w:rsid w:val="004617BF"/>
    <w:rsid w:val="00481784"/>
    <w:rsid w:val="00491760"/>
    <w:rsid w:val="004923FF"/>
    <w:rsid w:val="00494E60"/>
    <w:rsid w:val="004A38EE"/>
    <w:rsid w:val="004B7B76"/>
    <w:rsid w:val="004C08EC"/>
    <w:rsid w:val="004F0F38"/>
    <w:rsid w:val="004F2D9F"/>
    <w:rsid w:val="00501921"/>
    <w:rsid w:val="00526C8F"/>
    <w:rsid w:val="00530354"/>
    <w:rsid w:val="005434C6"/>
    <w:rsid w:val="00543B39"/>
    <w:rsid w:val="00550096"/>
    <w:rsid w:val="00557FF9"/>
    <w:rsid w:val="00571115"/>
    <w:rsid w:val="00576378"/>
    <w:rsid w:val="00577E38"/>
    <w:rsid w:val="00585322"/>
    <w:rsid w:val="00593AD1"/>
    <w:rsid w:val="005A1131"/>
    <w:rsid w:val="005B65D1"/>
    <w:rsid w:val="005C5570"/>
    <w:rsid w:val="005C79A4"/>
    <w:rsid w:val="005D5442"/>
    <w:rsid w:val="0060182A"/>
    <w:rsid w:val="0060286D"/>
    <w:rsid w:val="006051EA"/>
    <w:rsid w:val="00640FC3"/>
    <w:rsid w:val="00642020"/>
    <w:rsid w:val="0065337B"/>
    <w:rsid w:val="0065419D"/>
    <w:rsid w:val="006604D8"/>
    <w:rsid w:val="00664A5B"/>
    <w:rsid w:val="00667942"/>
    <w:rsid w:val="00680C08"/>
    <w:rsid w:val="0068284F"/>
    <w:rsid w:val="0068741A"/>
    <w:rsid w:val="006931B1"/>
    <w:rsid w:val="006936E2"/>
    <w:rsid w:val="006A15C0"/>
    <w:rsid w:val="006A399C"/>
    <w:rsid w:val="006C1F3B"/>
    <w:rsid w:val="006C3E2A"/>
    <w:rsid w:val="006C642F"/>
    <w:rsid w:val="006D03E5"/>
    <w:rsid w:val="006D3540"/>
    <w:rsid w:val="006D5D3E"/>
    <w:rsid w:val="006E08B3"/>
    <w:rsid w:val="006E1980"/>
    <w:rsid w:val="006F572E"/>
    <w:rsid w:val="007046D6"/>
    <w:rsid w:val="00705DB0"/>
    <w:rsid w:val="00706AFE"/>
    <w:rsid w:val="00712EE4"/>
    <w:rsid w:val="00714FB5"/>
    <w:rsid w:val="00720EEB"/>
    <w:rsid w:val="0074253D"/>
    <w:rsid w:val="0074429B"/>
    <w:rsid w:val="00745D5F"/>
    <w:rsid w:val="00746136"/>
    <w:rsid w:val="007477F8"/>
    <w:rsid w:val="007615BC"/>
    <w:rsid w:val="00762F05"/>
    <w:rsid w:val="007652FF"/>
    <w:rsid w:val="00771329"/>
    <w:rsid w:val="00772CEF"/>
    <w:rsid w:val="00773EF7"/>
    <w:rsid w:val="00774E1D"/>
    <w:rsid w:val="0077675A"/>
    <w:rsid w:val="00780355"/>
    <w:rsid w:val="00781735"/>
    <w:rsid w:val="00785721"/>
    <w:rsid w:val="00793A59"/>
    <w:rsid w:val="007A2162"/>
    <w:rsid w:val="007C0F3D"/>
    <w:rsid w:val="007C1AF7"/>
    <w:rsid w:val="007C44CB"/>
    <w:rsid w:val="007C4790"/>
    <w:rsid w:val="007D308C"/>
    <w:rsid w:val="007E1D03"/>
    <w:rsid w:val="007E39A9"/>
    <w:rsid w:val="007E462A"/>
    <w:rsid w:val="008100B6"/>
    <w:rsid w:val="00814CE3"/>
    <w:rsid w:val="00821776"/>
    <w:rsid w:val="00826007"/>
    <w:rsid w:val="00827F41"/>
    <w:rsid w:val="008321F5"/>
    <w:rsid w:val="00832369"/>
    <w:rsid w:val="00834660"/>
    <w:rsid w:val="0083644E"/>
    <w:rsid w:val="00836BC2"/>
    <w:rsid w:val="0085641B"/>
    <w:rsid w:val="00857136"/>
    <w:rsid w:val="00873328"/>
    <w:rsid w:val="00885930"/>
    <w:rsid w:val="00896018"/>
    <w:rsid w:val="008A2B9D"/>
    <w:rsid w:val="008A5E0B"/>
    <w:rsid w:val="008A6D59"/>
    <w:rsid w:val="008A7F9B"/>
    <w:rsid w:val="008B4B03"/>
    <w:rsid w:val="008B596F"/>
    <w:rsid w:val="008C159F"/>
    <w:rsid w:val="008C1623"/>
    <w:rsid w:val="008C1BE2"/>
    <w:rsid w:val="008C3A45"/>
    <w:rsid w:val="008C4E34"/>
    <w:rsid w:val="008C51A9"/>
    <w:rsid w:val="008E6F53"/>
    <w:rsid w:val="008E7524"/>
    <w:rsid w:val="008F1CCC"/>
    <w:rsid w:val="008F2967"/>
    <w:rsid w:val="008F7F86"/>
    <w:rsid w:val="00920330"/>
    <w:rsid w:val="009219D7"/>
    <w:rsid w:val="00922D53"/>
    <w:rsid w:val="00923B70"/>
    <w:rsid w:val="0092600B"/>
    <w:rsid w:val="00930237"/>
    <w:rsid w:val="009465F2"/>
    <w:rsid w:val="009533D0"/>
    <w:rsid w:val="00963C08"/>
    <w:rsid w:val="009749DF"/>
    <w:rsid w:val="009A4CED"/>
    <w:rsid w:val="009B15E8"/>
    <w:rsid w:val="009B1D12"/>
    <w:rsid w:val="009B416B"/>
    <w:rsid w:val="009C4BD5"/>
    <w:rsid w:val="009C65A4"/>
    <w:rsid w:val="009D170D"/>
    <w:rsid w:val="009D7B77"/>
    <w:rsid w:val="009E0BB0"/>
    <w:rsid w:val="009E3FBB"/>
    <w:rsid w:val="009F5F9B"/>
    <w:rsid w:val="00A14DF7"/>
    <w:rsid w:val="00A27A1A"/>
    <w:rsid w:val="00A3246D"/>
    <w:rsid w:val="00A35E34"/>
    <w:rsid w:val="00A36FA7"/>
    <w:rsid w:val="00A4383E"/>
    <w:rsid w:val="00A475B7"/>
    <w:rsid w:val="00A47AF7"/>
    <w:rsid w:val="00A47C3E"/>
    <w:rsid w:val="00A50226"/>
    <w:rsid w:val="00A57BE7"/>
    <w:rsid w:val="00A60BAD"/>
    <w:rsid w:val="00A61B30"/>
    <w:rsid w:val="00A63407"/>
    <w:rsid w:val="00A73A8D"/>
    <w:rsid w:val="00A87E87"/>
    <w:rsid w:val="00AB21A0"/>
    <w:rsid w:val="00AC2B40"/>
    <w:rsid w:val="00AC2BB2"/>
    <w:rsid w:val="00AC2C3C"/>
    <w:rsid w:val="00AC5EFA"/>
    <w:rsid w:val="00AC6802"/>
    <w:rsid w:val="00AD243A"/>
    <w:rsid w:val="00AE1954"/>
    <w:rsid w:val="00AE32A9"/>
    <w:rsid w:val="00AE65EB"/>
    <w:rsid w:val="00AF1D94"/>
    <w:rsid w:val="00AF4FB1"/>
    <w:rsid w:val="00AF60C5"/>
    <w:rsid w:val="00B009C6"/>
    <w:rsid w:val="00B01548"/>
    <w:rsid w:val="00B03550"/>
    <w:rsid w:val="00B15E5C"/>
    <w:rsid w:val="00B21D29"/>
    <w:rsid w:val="00B25034"/>
    <w:rsid w:val="00B27FCE"/>
    <w:rsid w:val="00B33863"/>
    <w:rsid w:val="00B34026"/>
    <w:rsid w:val="00B37D17"/>
    <w:rsid w:val="00B4175E"/>
    <w:rsid w:val="00B54C25"/>
    <w:rsid w:val="00B56277"/>
    <w:rsid w:val="00B76B91"/>
    <w:rsid w:val="00B94D9C"/>
    <w:rsid w:val="00B96878"/>
    <w:rsid w:val="00BA5BB9"/>
    <w:rsid w:val="00BC622A"/>
    <w:rsid w:val="00BE0A78"/>
    <w:rsid w:val="00BE79F0"/>
    <w:rsid w:val="00BF046D"/>
    <w:rsid w:val="00BF5D04"/>
    <w:rsid w:val="00C06A51"/>
    <w:rsid w:val="00C13563"/>
    <w:rsid w:val="00C224CA"/>
    <w:rsid w:val="00C34A54"/>
    <w:rsid w:val="00C36EC5"/>
    <w:rsid w:val="00C404A6"/>
    <w:rsid w:val="00C40A36"/>
    <w:rsid w:val="00C44419"/>
    <w:rsid w:val="00C45E7B"/>
    <w:rsid w:val="00C471B1"/>
    <w:rsid w:val="00C54E0F"/>
    <w:rsid w:val="00C61587"/>
    <w:rsid w:val="00C6316B"/>
    <w:rsid w:val="00C634A9"/>
    <w:rsid w:val="00C661EE"/>
    <w:rsid w:val="00C72261"/>
    <w:rsid w:val="00C772FF"/>
    <w:rsid w:val="00C801AF"/>
    <w:rsid w:val="00C80256"/>
    <w:rsid w:val="00CA3BC1"/>
    <w:rsid w:val="00CB6BC0"/>
    <w:rsid w:val="00CC1B7C"/>
    <w:rsid w:val="00CC727F"/>
    <w:rsid w:val="00CE5BB0"/>
    <w:rsid w:val="00CF15C3"/>
    <w:rsid w:val="00CF2B6F"/>
    <w:rsid w:val="00CF7F5A"/>
    <w:rsid w:val="00D017ED"/>
    <w:rsid w:val="00D065D2"/>
    <w:rsid w:val="00D0673D"/>
    <w:rsid w:val="00D153B1"/>
    <w:rsid w:val="00D224FE"/>
    <w:rsid w:val="00D242AC"/>
    <w:rsid w:val="00D6493E"/>
    <w:rsid w:val="00D73E47"/>
    <w:rsid w:val="00D85F12"/>
    <w:rsid w:val="00DA1124"/>
    <w:rsid w:val="00DA2A4A"/>
    <w:rsid w:val="00DB3186"/>
    <w:rsid w:val="00DB3E1E"/>
    <w:rsid w:val="00DC64B4"/>
    <w:rsid w:val="00DD1285"/>
    <w:rsid w:val="00DD2605"/>
    <w:rsid w:val="00DD34C3"/>
    <w:rsid w:val="00DD75A3"/>
    <w:rsid w:val="00DE02AE"/>
    <w:rsid w:val="00DE6A0C"/>
    <w:rsid w:val="00DF1D7F"/>
    <w:rsid w:val="00E02FB4"/>
    <w:rsid w:val="00E20571"/>
    <w:rsid w:val="00E21651"/>
    <w:rsid w:val="00E235F7"/>
    <w:rsid w:val="00E239D4"/>
    <w:rsid w:val="00E40B22"/>
    <w:rsid w:val="00E4588F"/>
    <w:rsid w:val="00E45EA5"/>
    <w:rsid w:val="00E46DA3"/>
    <w:rsid w:val="00EA406B"/>
    <w:rsid w:val="00EB0798"/>
    <w:rsid w:val="00EB40AD"/>
    <w:rsid w:val="00EB586E"/>
    <w:rsid w:val="00EB5FC8"/>
    <w:rsid w:val="00EC48AD"/>
    <w:rsid w:val="00ED5A41"/>
    <w:rsid w:val="00EE3694"/>
    <w:rsid w:val="00EF0773"/>
    <w:rsid w:val="00EF3598"/>
    <w:rsid w:val="00EF578B"/>
    <w:rsid w:val="00F033EC"/>
    <w:rsid w:val="00F04624"/>
    <w:rsid w:val="00F04F68"/>
    <w:rsid w:val="00F12225"/>
    <w:rsid w:val="00F12670"/>
    <w:rsid w:val="00F14B27"/>
    <w:rsid w:val="00F3148D"/>
    <w:rsid w:val="00F35298"/>
    <w:rsid w:val="00F47E37"/>
    <w:rsid w:val="00F640B6"/>
    <w:rsid w:val="00F80E40"/>
    <w:rsid w:val="00F816FA"/>
    <w:rsid w:val="00F93D68"/>
    <w:rsid w:val="00FA0A98"/>
    <w:rsid w:val="00FA5B82"/>
    <w:rsid w:val="00FA639E"/>
    <w:rsid w:val="00FC25E4"/>
    <w:rsid w:val="00FC2B32"/>
    <w:rsid w:val="00FC4EF7"/>
    <w:rsid w:val="00FD1E53"/>
    <w:rsid w:val="00FE1DEE"/>
    <w:rsid w:val="00FF2126"/>
    <w:rsid w:val="00FF69BE"/>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8417">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94D9C"/>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B27FCE"/>
    <w:pPr>
      <w:keepNext/>
      <w:keepLines/>
      <w:spacing w:before="360" w:after="360"/>
      <w:outlineLvl w:val="0"/>
    </w:pPr>
    <w:rPr>
      <w:rFonts w:ascii="Arial" w:eastAsia="Times New Roman" w:hAnsi="Arial"/>
      <w:b/>
      <w:bCs/>
      <w:sz w:val="64"/>
      <w:szCs w:val="28"/>
    </w:rPr>
  </w:style>
  <w:style w:type="paragraph" w:styleId="Heading2">
    <w:name w:val="heading 2"/>
    <w:basedOn w:val="Normal"/>
    <w:next w:val="Normal"/>
    <w:link w:val="Heading2Char"/>
    <w:qFormat/>
    <w:rsid w:val="00B27FCE"/>
    <w:pPr>
      <w:keepNext/>
      <w:keepLines/>
      <w:spacing w:before="360"/>
      <w:outlineLvl w:val="1"/>
    </w:pPr>
    <w:rPr>
      <w:rFonts w:ascii="Arial" w:eastAsia="Times New Roman" w:hAnsi="Arial"/>
      <w:b/>
      <w:bCs/>
      <w:sz w:val="32"/>
      <w:szCs w:val="26"/>
    </w:rPr>
  </w:style>
  <w:style w:type="paragraph" w:styleId="Heading3">
    <w:name w:val="heading 3"/>
    <w:basedOn w:val="Normal"/>
    <w:next w:val="Normal"/>
    <w:link w:val="Heading3Char"/>
    <w:qFormat/>
    <w:rsid w:val="00B27FCE"/>
    <w:pPr>
      <w:keepNext/>
      <w:keepLines/>
      <w:spacing w:before="36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B27FCE"/>
    <w:pPr>
      <w:keepNext/>
      <w:spacing w:before="240" w:after="0" w:line="220" w:lineRule="atLeast"/>
      <w:outlineLvl w:val="3"/>
    </w:pPr>
    <w:rPr>
      <w:b/>
      <w:bCs/>
      <w:szCs w:val="21"/>
    </w:rPr>
  </w:style>
  <w:style w:type="paragraph" w:styleId="Heading5">
    <w:name w:val="heading 5"/>
    <w:basedOn w:val="Normal"/>
    <w:next w:val="Normal"/>
    <w:link w:val="Heading5Char"/>
    <w:uiPriority w:val="9"/>
    <w:qFormat/>
    <w:rsid w:val="00B27FCE"/>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B27FCE"/>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B27FCE"/>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2A9"/>
    <w:rPr>
      <w:rFonts w:ascii="Arial" w:eastAsia="Times New Roman" w:hAnsi="Arial" w:cs="Times New Roman"/>
      <w:b/>
      <w:bCs/>
      <w:sz w:val="64"/>
      <w:szCs w:val="28"/>
    </w:rPr>
  </w:style>
  <w:style w:type="character" w:customStyle="1" w:styleId="Heading2Char">
    <w:name w:val="Heading 2 Char"/>
    <w:basedOn w:val="DefaultParagraphFont"/>
    <w:link w:val="Heading2"/>
    <w:rsid w:val="00930237"/>
    <w:rPr>
      <w:rFonts w:ascii="Arial" w:eastAsia="Times New Roman" w:hAnsi="Arial" w:cs="Times New Roman"/>
      <w:b/>
      <w:bCs/>
      <w:sz w:val="32"/>
      <w:szCs w:val="26"/>
    </w:rPr>
  </w:style>
  <w:style w:type="character" w:customStyle="1" w:styleId="Heading3Char">
    <w:name w:val="Heading 3 Char"/>
    <w:basedOn w:val="DefaultParagraphFont"/>
    <w:link w:val="Heading3"/>
    <w:rsid w:val="00AE32A9"/>
    <w:rPr>
      <w:rFonts w:ascii="Arial" w:eastAsia="Times New Roman" w:hAnsi="Arial" w:cs="Times New Roman"/>
      <w:b/>
      <w:bCs/>
      <w:szCs w:val="21"/>
    </w:rPr>
  </w:style>
  <w:style w:type="paragraph" w:customStyle="1" w:styleId="Address">
    <w:name w:val="Address"/>
    <w:basedOn w:val="Normal"/>
    <w:qFormat/>
    <w:rsid w:val="00EF578B"/>
    <w:pPr>
      <w:spacing w:after="0" w:line="240" w:lineRule="auto"/>
    </w:pPr>
    <w:rPr>
      <w:rFonts w:ascii="Arial" w:hAnsi="Arial"/>
      <w:sz w:val="16"/>
    </w:r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F3148D"/>
    <w:pPr>
      <w:spacing w:after="0"/>
    </w:pPr>
    <w:rPr>
      <w:sz w:val="17"/>
      <w:szCs w:val="18"/>
    </w:rPr>
  </w:style>
  <w:style w:type="paragraph" w:customStyle="1" w:styleId="Contents">
    <w:name w:val="Contents"/>
    <w:basedOn w:val="Normal"/>
    <w:rsid w:val="008A5E0B"/>
    <w:pPr>
      <w:spacing w:after="360"/>
    </w:pPr>
    <w:rPr>
      <w:rFonts w:ascii="Arial" w:hAnsi="Arial"/>
      <w:b/>
      <w:sz w:val="64"/>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Caption">
    <w:name w:val="Figure Caption"/>
    <w:basedOn w:val="Normal"/>
    <w:qFormat/>
    <w:rsid w:val="00F3148D"/>
    <w:pPr>
      <w:spacing w:after="0"/>
    </w:pPr>
  </w:style>
  <w:style w:type="paragraph" w:customStyle="1" w:styleId="FigureTitle">
    <w:name w:val="Figure Title"/>
    <w:basedOn w:val="Normal"/>
    <w:qFormat/>
    <w:rsid w:val="00F3148D"/>
    <w:pPr>
      <w:spacing w:line="220" w:lineRule="atLeast"/>
    </w:pPr>
    <w:rPr>
      <w:b/>
    </w:rPr>
  </w:style>
  <w:style w:type="character" w:customStyle="1" w:styleId="Heading4Char">
    <w:name w:val="Heading 4 Char"/>
    <w:basedOn w:val="DefaultParagraphFont"/>
    <w:link w:val="Heading4"/>
    <w:rsid w:val="00AE32A9"/>
    <w:rPr>
      <w:rFonts w:ascii="Cambria" w:hAnsi="Cambria" w:cs="Times New Roman"/>
      <w:b/>
      <w:bCs/>
      <w:szCs w:val="21"/>
    </w:rPr>
  </w:style>
  <w:style w:type="paragraph" w:customStyle="1" w:styleId="FlowChartWhiteHeading">
    <w:name w:val="Flow Chart White Heading"/>
    <w:basedOn w:val="Normal"/>
    <w:rsid w:val="00D73E47"/>
    <w:pPr>
      <w:spacing w:before="120"/>
      <w:jc w:val="center"/>
    </w:pPr>
    <w:rPr>
      <w:rFonts w:ascii="Arial" w:hAnsi="Arial"/>
      <w:b/>
      <w:color w:val="FFFFFF"/>
    </w:rPr>
  </w:style>
  <w:style w:type="paragraph" w:customStyle="1" w:styleId="FlowChartBlackHeading">
    <w:name w:val="Flow Chart Black Heading"/>
    <w:basedOn w:val="FlowChartWhiteHeading"/>
    <w:rsid w:val="00D73E47"/>
    <w:rPr>
      <w:color w:val="auto"/>
    </w:rPr>
  </w:style>
  <w:style w:type="paragraph" w:customStyle="1" w:styleId="FlowChartWhiteText">
    <w:name w:val="Flow Chart White Text"/>
    <w:basedOn w:val="Normal"/>
    <w:rsid w:val="00EF3598"/>
    <w:pPr>
      <w:spacing w:after="0"/>
      <w:jc w:val="center"/>
    </w:pPr>
    <w:rPr>
      <w:rFonts w:ascii="Arial" w:hAnsi="Arial"/>
      <w:color w:val="FFFFFF"/>
    </w:rPr>
  </w:style>
  <w:style w:type="paragraph" w:customStyle="1" w:styleId="FlowchartText">
    <w:name w:val="Flowchart Text"/>
    <w:basedOn w:val="Normal"/>
    <w:rsid w:val="00EF3598"/>
    <w:pPr>
      <w:spacing w:after="0"/>
      <w:jc w:val="center"/>
    </w:pPr>
    <w:rPr>
      <w:rFonts w:ascii="Arial" w:hAnsi="Arial"/>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uiPriority w:val="99"/>
    <w:rsid w:val="00826007"/>
    <w:pPr>
      <w:tabs>
        <w:tab w:val="center" w:pos="4513"/>
        <w:tab w:val="right" w:pos="9026"/>
      </w:tabs>
      <w:spacing w:after="0" w:line="240" w:lineRule="auto"/>
    </w:pPr>
    <w:rPr>
      <w:sz w:val="17"/>
    </w:rPr>
  </w:style>
  <w:style w:type="character" w:customStyle="1" w:styleId="FooterChar">
    <w:name w:val="Footer Char"/>
    <w:basedOn w:val="DefaultParagraphFont"/>
    <w:link w:val="Footer"/>
    <w:uiPriority w:val="99"/>
    <w:rsid w:val="00826007"/>
    <w:rPr>
      <w:rFonts w:ascii="Cambria" w:hAnsi="Cambria"/>
      <w:sz w:val="17"/>
    </w:rPr>
  </w:style>
  <w:style w:type="paragraph" w:styleId="Header">
    <w:name w:val="header"/>
    <w:basedOn w:val="Normal"/>
    <w:link w:val="HeaderChar"/>
    <w:uiPriority w:val="99"/>
    <w:rsid w:val="002D371E"/>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FA639E"/>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F3148D"/>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F3148D"/>
    <w:rPr>
      <w:rFonts w:ascii="Cambria" w:eastAsia="Times New Roman" w:hAnsi="Cambria" w:cs="Times New Roman"/>
      <w:bCs/>
      <w:sz w:val="18"/>
      <w:szCs w:val="24"/>
    </w:rPr>
  </w:style>
  <w:style w:type="character" w:styleId="Hyperlink">
    <w:name w:val="Hyperlink"/>
    <w:basedOn w:val="DefaultParagraphFont"/>
    <w:uiPriority w:val="99"/>
    <w:unhideWhenUsed/>
    <w:rsid w:val="006A399C"/>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3F1B0F"/>
    <w:pPr>
      <w:numPr>
        <w:numId w:val="26"/>
      </w:numPr>
      <w:spacing w:before="120"/>
    </w:pPr>
  </w:style>
  <w:style w:type="paragraph" w:styleId="ListBullet2">
    <w:name w:val="List Bullet 2"/>
    <w:basedOn w:val="Normal"/>
    <w:uiPriority w:val="99"/>
    <w:qFormat/>
    <w:rsid w:val="003F1B0F"/>
    <w:pPr>
      <w:numPr>
        <w:ilvl w:val="1"/>
        <w:numId w:val="26"/>
      </w:numPr>
      <w:spacing w:before="120"/>
    </w:pPr>
  </w:style>
  <w:style w:type="paragraph" w:styleId="ListBullet3">
    <w:name w:val="List Bullet 3"/>
    <w:basedOn w:val="Normal"/>
    <w:uiPriority w:val="99"/>
    <w:qFormat/>
    <w:rsid w:val="003F1B0F"/>
    <w:pPr>
      <w:numPr>
        <w:ilvl w:val="2"/>
        <w:numId w:val="26"/>
      </w:numPr>
      <w:spacing w:before="120"/>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F3148D"/>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F3148D"/>
    <w:pPr>
      <w:numPr>
        <w:numId w:val="11"/>
      </w:numPr>
    </w:pPr>
  </w:style>
  <w:style w:type="paragraph" w:customStyle="1" w:styleId="Numberbullet2">
    <w:name w:val="Number bullet 2"/>
    <w:basedOn w:val="ListBullet2"/>
    <w:qFormat/>
    <w:rsid w:val="00F3148D"/>
    <w:pPr>
      <w:numPr>
        <w:numId w:val="11"/>
      </w:numPr>
    </w:pPr>
  </w:style>
  <w:style w:type="paragraph" w:customStyle="1" w:styleId="Numberbullet3">
    <w:name w:val="Number bullet 3"/>
    <w:basedOn w:val="ListBullet3"/>
    <w:qFormat/>
    <w:rsid w:val="00F3148D"/>
    <w:pPr>
      <w:numPr>
        <w:numId w:val="11"/>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szCs w:val="21"/>
    </w:rPr>
    <w:tblPr>
      <w:tblInd w:w="0" w:type="dxa"/>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style>
  <w:style w:type="table" w:customStyle="1" w:styleId="TableTGAblack">
    <w:name w:val="Table TGA black"/>
    <w:basedOn w:val="TableNormal"/>
    <w:uiPriority w:val="99"/>
    <w:rsid w:val="00AC5EFA"/>
    <w:pPr>
      <w:spacing w:before="60"/>
    </w:pPr>
    <w:rPr>
      <w:color w:val="000000"/>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qFormat/>
    <w:rsid w:val="00F3148D"/>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F3148D"/>
    <w:rPr>
      <w:rFonts w:ascii="Arial" w:eastAsia="Times New Roman" w:hAnsi="Arial"/>
      <w:spacing w:val="5"/>
      <w:kern w:val="28"/>
      <w:sz w:val="52"/>
      <w:szCs w:val="52"/>
      <w:lang w:val="en-AU" w:eastAsia="en-US" w:bidi="ar-SA"/>
    </w:rPr>
  </w:style>
  <w:style w:type="paragraph" w:styleId="TOC1">
    <w:name w:val="toc 1"/>
    <w:basedOn w:val="Normal"/>
    <w:next w:val="Normal"/>
    <w:uiPriority w:val="39"/>
    <w:rsid w:val="00F3148D"/>
    <w:pPr>
      <w:tabs>
        <w:tab w:val="right" w:pos="8505"/>
      </w:tabs>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spacing w:before="480" w:after="0"/>
      <w:outlineLvl w:val="9"/>
    </w:pPr>
    <w:rPr>
      <w:bCs w:val="0"/>
      <w:color w:val="002035"/>
      <w:sz w:val="28"/>
      <w:lang w:val="en-US"/>
    </w:rPr>
  </w:style>
  <w:style w:type="paragraph" w:customStyle="1" w:styleId="Subject">
    <w:name w:val="Subject"/>
    <w:basedOn w:val="Normal"/>
    <w:qFormat/>
    <w:rsid w:val="00D153B1"/>
    <w:rPr>
      <w:b/>
    </w:rPr>
  </w:style>
  <w:style w:type="table" w:styleId="TableGrid">
    <w:name w:val="Table Grid"/>
    <w:basedOn w:val="TableNormal"/>
    <w:uiPriority w:val="59"/>
    <w:rsid w:val="004A38EE"/>
    <w:tblPr>
      <w:tblInd w:w="0"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0" w:type="dxa"/>
        <w:left w:w="108" w:type="dxa"/>
        <w:bottom w:w="0" w:type="dxa"/>
        <w:right w:w="108" w:type="dxa"/>
      </w:tblCellMar>
    </w:tblPr>
  </w:style>
  <w:style w:type="paragraph" w:customStyle="1" w:styleId="Footnote">
    <w:name w:val="Footnote"/>
    <w:qFormat/>
    <w:rsid w:val="0014503C"/>
    <w:rPr>
      <w:lang w:eastAsia="en-US"/>
    </w:rPr>
  </w:style>
  <w:style w:type="paragraph" w:styleId="FootnoteText">
    <w:name w:val="footnote text"/>
    <w:basedOn w:val="Normal"/>
    <w:link w:val="FootnoteTextChar"/>
    <w:uiPriority w:val="99"/>
    <w:semiHidden/>
    <w:unhideWhenUsed/>
    <w:rsid w:val="001450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s>
</file>

<file path=word/webSettings.xml><?xml version="1.0" encoding="utf-8"?>
<w:webSettings xmlns:r="http://schemas.openxmlformats.org/officeDocument/2006/relationships" xmlns:w="http://schemas.openxmlformats.org/wordprocessingml/2006/main">
  <w:divs>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588BC-1006-480F-9767-9C4C6394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TGA</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mortat</dc:creator>
  <cp:lastModifiedBy>Shanahan, Bart</cp:lastModifiedBy>
  <cp:revision>3</cp:revision>
  <cp:lastPrinted>2013-01-23T23:07:00Z</cp:lastPrinted>
  <dcterms:created xsi:type="dcterms:W3CDTF">2013-01-17T01:52:00Z</dcterms:created>
  <dcterms:modified xsi:type="dcterms:W3CDTF">2013-01-23T23:07:00Z</dcterms:modified>
</cp:coreProperties>
</file>