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05" w:rsidRPr="001D6BBA" w:rsidRDefault="00D13A05" w:rsidP="00AF12CE">
      <w:pPr>
        <w:pStyle w:val="ACMAHeading2"/>
        <w:jc w:val="center"/>
        <w:rPr>
          <w:sz w:val="20"/>
          <w:szCs w:val="20"/>
          <w:u w:val="single"/>
        </w:rPr>
      </w:pPr>
      <w:r w:rsidRPr="001D6BBA">
        <w:rPr>
          <w:sz w:val="20"/>
          <w:szCs w:val="20"/>
          <w:u w:val="single"/>
        </w:rPr>
        <w:t>EXPLANATORY STATEMENT</w:t>
      </w:r>
    </w:p>
    <w:p w:rsidR="00892FD8" w:rsidRDefault="00892FD8" w:rsidP="00AF12CE">
      <w:pPr>
        <w:pStyle w:val="ACMAHeading3"/>
        <w:jc w:val="center"/>
        <w:rPr>
          <w:sz w:val="20"/>
        </w:rPr>
      </w:pPr>
    </w:p>
    <w:p w:rsidR="00D13A05" w:rsidRPr="001D6BBA" w:rsidRDefault="00D13A05" w:rsidP="00AF12CE">
      <w:pPr>
        <w:pStyle w:val="ACMAHeading3"/>
        <w:jc w:val="center"/>
        <w:rPr>
          <w:sz w:val="20"/>
        </w:rPr>
      </w:pPr>
      <w:r w:rsidRPr="001D6BBA">
        <w:rPr>
          <w:sz w:val="20"/>
        </w:rPr>
        <w:t>Issued by the Australian Communications and Media Authority</w:t>
      </w:r>
    </w:p>
    <w:p w:rsidR="00D13A05" w:rsidRDefault="00D13A05" w:rsidP="00AF12CE">
      <w:pPr>
        <w:pStyle w:val="ACMAHeading3"/>
        <w:jc w:val="center"/>
        <w:rPr>
          <w:i/>
          <w:sz w:val="20"/>
        </w:rPr>
      </w:pPr>
      <w:r w:rsidRPr="001D6BBA">
        <w:rPr>
          <w:i/>
          <w:sz w:val="20"/>
        </w:rPr>
        <w:t xml:space="preserve">Radiocommunications </w:t>
      </w:r>
      <w:r>
        <w:rPr>
          <w:i/>
          <w:sz w:val="20"/>
        </w:rPr>
        <w:t xml:space="preserve">(Unacceptable Levels of Interference </w:t>
      </w:r>
      <w:r w:rsidRPr="001D6BBA">
        <w:rPr>
          <w:i/>
          <w:sz w:val="20"/>
        </w:rPr>
        <w:t xml:space="preserve">– </w:t>
      </w:r>
      <w:r>
        <w:rPr>
          <w:i/>
          <w:sz w:val="20"/>
        </w:rPr>
        <w:t>700</w:t>
      </w:r>
      <w:r w:rsidRPr="001D6BBA">
        <w:rPr>
          <w:i/>
          <w:sz w:val="20"/>
        </w:rPr>
        <w:t xml:space="preserve"> </w:t>
      </w:r>
      <w:r>
        <w:rPr>
          <w:i/>
          <w:sz w:val="20"/>
        </w:rPr>
        <w:t>M</w:t>
      </w:r>
      <w:r w:rsidRPr="001D6BBA">
        <w:rPr>
          <w:i/>
          <w:sz w:val="20"/>
        </w:rPr>
        <w:t xml:space="preserve">Hz Band) </w:t>
      </w:r>
    </w:p>
    <w:p w:rsidR="00D13A05" w:rsidRPr="001D6BBA" w:rsidRDefault="00113CE3" w:rsidP="00AF12CE">
      <w:pPr>
        <w:pStyle w:val="ACMAHeading3"/>
        <w:jc w:val="center"/>
        <w:rPr>
          <w:i/>
          <w:sz w:val="20"/>
        </w:rPr>
      </w:pPr>
      <w:r>
        <w:rPr>
          <w:i/>
          <w:sz w:val="20"/>
        </w:rPr>
        <w:t xml:space="preserve">Amendment </w:t>
      </w:r>
      <w:r w:rsidR="00C95E0F">
        <w:rPr>
          <w:i/>
          <w:sz w:val="20"/>
        </w:rPr>
        <w:t>Determination</w:t>
      </w:r>
      <w:r w:rsidR="008B2A88">
        <w:rPr>
          <w:i/>
          <w:sz w:val="20"/>
        </w:rPr>
        <w:t xml:space="preserve"> </w:t>
      </w:r>
      <w:r w:rsidR="00D13A05" w:rsidRPr="001D6BBA">
        <w:rPr>
          <w:i/>
          <w:sz w:val="20"/>
        </w:rPr>
        <w:t>20</w:t>
      </w:r>
      <w:r w:rsidR="00D13A05">
        <w:rPr>
          <w:i/>
          <w:sz w:val="20"/>
        </w:rPr>
        <w:t>1</w:t>
      </w:r>
      <w:r w:rsidR="00C95E0F">
        <w:rPr>
          <w:i/>
          <w:sz w:val="20"/>
        </w:rPr>
        <w:t>3 (No.</w:t>
      </w:r>
      <w:r w:rsidR="002E6851">
        <w:rPr>
          <w:i/>
          <w:sz w:val="20"/>
        </w:rPr>
        <w:t xml:space="preserve"> </w:t>
      </w:r>
      <w:r w:rsidR="00C95E0F">
        <w:rPr>
          <w:i/>
          <w:sz w:val="20"/>
        </w:rPr>
        <w:t>1)</w:t>
      </w:r>
      <w:r>
        <w:rPr>
          <w:i/>
          <w:sz w:val="20"/>
        </w:rPr>
        <w:t xml:space="preserve"> </w:t>
      </w:r>
    </w:p>
    <w:p w:rsidR="00D13A05" w:rsidRDefault="00D13A05" w:rsidP="00AF12CE">
      <w:pPr>
        <w:pStyle w:val="ACMAHeading3"/>
        <w:jc w:val="center"/>
        <w:rPr>
          <w:i/>
          <w:sz w:val="20"/>
        </w:rPr>
      </w:pPr>
      <w:r w:rsidRPr="001D6BBA">
        <w:rPr>
          <w:i/>
          <w:sz w:val="20"/>
        </w:rPr>
        <w:t>Radiocommunications Act 1992</w:t>
      </w:r>
    </w:p>
    <w:p w:rsidR="00D13A05" w:rsidRPr="00422AA3" w:rsidRDefault="00D13A05" w:rsidP="00AF12CE">
      <w:pPr>
        <w:pStyle w:val="ACMABodyText"/>
      </w:pPr>
    </w:p>
    <w:p w:rsidR="00D13A05" w:rsidRDefault="00D13A05" w:rsidP="00AF12CE">
      <w:pPr>
        <w:pStyle w:val="ACMAHeading3"/>
        <w:spacing w:line="360" w:lineRule="auto"/>
        <w:rPr>
          <w:sz w:val="20"/>
        </w:rPr>
      </w:pPr>
      <w:r w:rsidRPr="001D6BBA">
        <w:rPr>
          <w:sz w:val="20"/>
        </w:rPr>
        <w:t>Purpose</w:t>
      </w:r>
    </w:p>
    <w:p w:rsidR="00D13A05" w:rsidRDefault="00D13A05" w:rsidP="00CA7615">
      <w:pPr>
        <w:pStyle w:val="ACMABodyText"/>
        <w:spacing w:line="360" w:lineRule="auto"/>
        <w:rPr>
          <w:rFonts w:ascii="Arial" w:hAnsi="Arial"/>
          <w:sz w:val="20"/>
        </w:rPr>
      </w:pPr>
      <w:r w:rsidRPr="001D6BBA">
        <w:rPr>
          <w:rFonts w:ascii="Arial" w:hAnsi="Arial"/>
          <w:sz w:val="20"/>
        </w:rPr>
        <w:t xml:space="preserve">The </w:t>
      </w:r>
      <w:r w:rsidRPr="001D6BBA">
        <w:rPr>
          <w:rFonts w:ascii="Arial" w:hAnsi="Arial"/>
          <w:i/>
          <w:sz w:val="20"/>
        </w:rPr>
        <w:t>Radiocommunications (</w:t>
      </w:r>
      <w:r>
        <w:rPr>
          <w:rFonts w:ascii="Arial" w:hAnsi="Arial"/>
          <w:i/>
          <w:sz w:val="20"/>
        </w:rPr>
        <w:t>Unacceptable Levels of Interference</w:t>
      </w:r>
      <w:r w:rsidRPr="001D6BBA">
        <w:rPr>
          <w:rFonts w:ascii="Arial" w:hAnsi="Arial"/>
          <w:i/>
          <w:sz w:val="20"/>
        </w:rPr>
        <w:t xml:space="preserve"> – </w:t>
      </w:r>
      <w:r>
        <w:rPr>
          <w:rFonts w:ascii="Arial" w:hAnsi="Arial"/>
          <w:i/>
          <w:sz w:val="20"/>
        </w:rPr>
        <w:t>700</w:t>
      </w:r>
      <w:r w:rsidRPr="001D6BBA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M</w:t>
      </w:r>
      <w:r w:rsidRPr="001D6BBA">
        <w:rPr>
          <w:rFonts w:ascii="Arial" w:hAnsi="Arial"/>
          <w:i/>
          <w:sz w:val="20"/>
        </w:rPr>
        <w:t xml:space="preserve">Hz Band) </w:t>
      </w:r>
      <w:r w:rsidR="00A023CE">
        <w:rPr>
          <w:rFonts w:ascii="Arial" w:hAnsi="Arial"/>
          <w:i/>
          <w:sz w:val="20"/>
        </w:rPr>
        <w:t>Amendment</w:t>
      </w:r>
      <w:r w:rsidRPr="001D6BBA">
        <w:rPr>
          <w:rFonts w:ascii="Arial" w:hAnsi="Arial"/>
          <w:sz w:val="20"/>
        </w:rPr>
        <w:t xml:space="preserve"> </w:t>
      </w:r>
      <w:r w:rsidR="008B2A88">
        <w:rPr>
          <w:rFonts w:ascii="Arial" w:hAnsi="Arial"/>
          <w:i/>
          <w:sz w:val="20"/>
        </w:rPr>
        <w:t>Determination</w:t>
      </w:r>
      <w:r w:rsidR="008B2A88" w:rsidRPr="001D6BBA">
        <w:rPr>
          <w:rFonts w:ascii="Arial" w:hAnsi="Arial"/>
          <w:sz w:val="20"/>
        </w:rPr>
        <w:t xml:space="preserve"> </w:t>
      </w:r>
      <w:r w:rsidR="00A145B3" w:rsidRPr="00A145B3">
        <w:rPr>
          <w:rFonts w:ascii="Arial" w:hAnsi="Arial"/>
          <w:i/>
          <w:sz w:val="20"/>
        </w:rPr>
        <w:t>2013 (No. 1)</w:t>
      </w:r>
      <w:r w:rsidR="008B2A88">
        <w:rPr>
          <w:rFonts w:ascii="Arial" w:hAnsi="Arial"/>
          <w:sz w:val="20"/>
        </w:rPr>
        <w:t xml:space="preserve"> </w:t>
      </w:r>
      <w:r w:rsidRPr="001D6BBA">
        <w:rPr>
          <w:rFonts w:ascii="Arial" w:hAnsi="Arial"/>
          <w:sz w:val="20"/>
        </w:rPr>
        <w:t>(th</w:t>
      </w:r>
      <w:r>
        <w:rPr>
          <w:rFonts w:ascii="Arial" w:hAnsi="Arial"/>
          <w:sz w:val="20"/>
        </w:rPr>
        <w:t xml:space="preserve">e </w:t>
      </w:r>
      <w:r w:rsidR="00A023CE">
        <w:rPr>
          <w:rFonts w:ascii="Arial" w:hAnsi="Arial"/>
          <w:b/>
          <w:sz w:val="20"/>
        </w:rPr>
        <w:t>Amendment</w:t>
      </w:r>
      <w:r w:rsidRPr="001D6BBA">
        <w:rPr>
          <w:rFonts w:ascii="Arial" w:hAnsi="Arial"/>
          <w:sz w:val="20"/>
        </w:rPr>
        <w:t xml:space="preserve">) </w:t>
      </w:r>
      <w:r w:rsidR="007B4E50">
        <w:rPr>
          <w:rFonts w:ascii="Arial" w:hAnsi="Arial"/>
          <w:sz w:val="20"/>
        </w:rPr>
        <w:t xml:space="preserve">amends section 1 of </w:t>
      </w:r>
      <w:r w:rsidR="00A023CE">
        <w:rPr>
          <w:rFonts w:ascii="Arial" w:hAnsi="Arial" w:cs="Arial"/>
          <w:sz w:val="20"/>
        </w:rPr>
        <w:t xml:space="preserve">the </w:t>
      </w:r>
      <w:r w:rsidR="00A023CE" w:rsidRPr="00807C2E">
        <w:rPr>
          <w:rFonts w:ascii="Arial" w:hAnsi="Arial" w:cs="Arial"/>
          <w:i/>
          <w:sz w:val="20"/>
        </w:rPr>
        <w:t>Radiocommunications (Unacceptable Levels of Interference – 700 MHz Band) Determination</w:t>
      </w:r>
      <w:r w:rsidR="00A023CE">
        <w:rPr>
          <w:rFonts w:ascii="Arial" w:hAnsi="Arial" w:cs="Arial"/>
          <w:sz w:val="20"/>
        </w:rPr>
        <w:t xml:space="preserve"> </w:t>
      </w:r>
      <w:r w:rsidR="004A24C9">
        <w:rPr>
          <w:rFonts w:ascii="Arial" w:hAnsi="Arial" w:cs="Arial"/>
          <w:sz w:val="20"/>
        </w:rPr>
        <w:t xml:space="preserve">(the </w:t>
      </w:r>
      <w:r w:rsidR="004A24C9" w:rsidRPr="004A24C9">
        <w:rPr>
          <w:rFonts w:ascii="Arial" w:hAnsi="Arial" w:cs="Arial"/>
          <w:b/>
          <w:sz w:val="20"/>
        </w:rPr>
        <w:t>Determination</w:t>
      </w:r>
      <w:r w:rsidR="004A24C9">
        <w:rPr>
          <w:rFonts w:ascii="Arial" w:hAnsi="Arial" w:cs="Arial"/>
          <w:sz w:val="20"/>
        </w:rPr>
        <w:t xml:space="preserve">) </w:t>
      </w:r>
      <w:r w:rsidR="00A023CE">
        <w:rPr>
          <w:rFonts w:ascii="Arial" w:hAnsi="Arial" w:cs="Arial"/>
          <w:sz w:val="20"/>
        </w:rPr>
        <w:t xml:space="preserve">to </w:t>
      </w:r>
      <w:r w:rsidR="007B4E50">
        <w:rPr>
          <w:rFonts w:ascii="Arial" w:hAnsi="Arial" w:cs="Arial"/>
          <w:sz w:val="20"/>
        </w:rPr>
        <w:t>include the year in which the Determination was made</w:t>
      </w:r>
      <w:r>
        <w:rPr>
          <w:rFonts w:ascii="Arial" w:hAnsi="Arial"/>
          <w:sz w:val="20"/>
        </w:rPr>
        <w:t>.</w:t>
      </w:r>
    </w:p>
    <w:p w:rsidR="00D13A05" w:rsidRDefault="00D13A05" w:rsidP="00AF12CE">
      <w:pPr>
        <w:pStyle w:val="ACMAHeading3"/>
        <w:spacing w:line="360" w:lineRule="auto"/>
        <w:rPr>
          <w:sz w:val="20"/>
        </w:rPr>
      </w:pPr>
      <w:r w:rsidRPr="001D6BBA">
        <w:rPr>
          <w:sz w:val="20"/>
        </w:rPr>
        <w:t>Legislative Provisions</w:t>
      </w:r>
    </w:p>
    <w:p w:rsidR="00D13A05" w:rsidRPr="00863A3D" w:rsidRDefault="004A24C9" w:rsidP="00AF6D1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Determination was</w:t>
      </w:r>
      <w:r w:rsidR="00D13A05" w:rsidRPr="00863A3D">
        <w:rPr>
          <w:rFonts w:ascii="Arial" w:hAnsi="Arial" w:cs="Arial"/>
          <w:sz w:val="20"/>
          <w:szCs w:val="20"/>
        </w:rPr>
        <w:t xml:space="preserve"> made under subsection 145(4) of </w:t>
      </w:r>
      <w:r w:rsidR="00D13A05" w:rsidRPr="00863A3D">
        <w:rPr>
          <w:rFonts w:ascii="Arial" w:hAnsi="Arial" w:cs="Arial"/>
          <w:i/>
          <w:sz w:val="20"/>
          <w:szCs w:val="20"/>
        </w:rPr>
        <w:t>the Radiocommunications Act 1992</w:t>
      </w:r>
      <w:r w:rsidR="00D13A05" w:rsidRPr="00863A3D">
        <w:rPr>
          <w:rFonts w:ascii="Arial" w:hAnsi="Arial" w:cs="Arial"/>
          <w:sz w:val="20"/>
          <w:szCs w:val="20"/>
        </w:rPr>
        <w:t xml:space="preserve"> (the </w:t>
      </w:r>
      <w:r w:rsidR="00D13A05" w:rsidRPr="00863A3D">
        <w:rPr>
          <w:rFonts w:ascii="Arial" w:hAnsi="Arial" w:cs="Arial"/>
          <w:b/>
          <w:sz w:val="20"/>
          <w:szCs w:val="20"/>
        </w:rPr>
        <w:t>Act</w:t>
      </w:r>
      <w:r w:rsidR="00D13A05" w:rsidRPr="00863A3D">
        <w:rPr>
          <w:rFonts w:ascii="Arial" w:hAnsi="Arial" w:cs="Arial"/>
          <w:sz w:val="20"/>
          <w:szCs w:val="20"/>
        </w:rPr>
        <w:t xml:space="preserve">) which provides that the </w:t>
      </w:r>
      <w:r w:rsidR="00CF0598">
        <w:rPr>
          <w:rFonts w:ascii="Arial" w:hAnsi="Arial" w:cs="Arial"/>
          <w:sz w:val="20"/>
          <w:szCs w:val="20"/>
        </w:rPr>
        <w:t xml:space="preserve">ACMA </w:t>
      </w:r>
      <w:r w:rsidR="00D13A05" w:rsidRPr="00863A3D">
        <w:rPr>
          <w:rFonts w:ascii="Arial" w:hAnsi="Arial" w:cs="Arial"/>
          <w:sz w:val="20"/>
          <w:szCs w:val="20"/>
        </w:rPr>
        <w:t xml:space="preserve">may, by written instrument, determine what are unacceptable levels of interference for the purposes of deciding whether to refuse to register the details of a radiocommunications transmitter for operation under </w:t>
      </w:r>
      <w:r w:rsidR="007B3008">
        <w:rPr>
          <w:rFonts w:ascii="Arial" w:hAnsi="Arial" w:cs="Arial"/>
          <w:sz w:val="20"/>
          <w:szCs w:val="20"/>
        </w:rPr>
        <w:t xml:space="preserve">a </w:t>
      </w:r>
      <w:r w:rsidR="00D13A05" w:rsidRPr="00863A3D">
        <w:rPr>
          <w:rFonts w:ascii="Arial" w:hAnsi="Arial" w:cs="Arial"/>
          <w:sz w:val="20"/>
          <w:szCs w:val="20"/>
        </w:rPr>
        <w:t>spectrum licence in the Register of Radiocommunications Licences.</w:t>
      </w:r>
      <w:r w:rsidR="001A4DA8">
        <w:rPr>
          <w:rFonts w:ascii="Arial" w:hAnsi="Arial" w:cs="Arial"/>
          <w:sz w:val="20"/>
          <w:szCs w:val="20"/>
        </w:rPr>
        <w:t xml:space="preserve"> </w:t>
      </w:r>
      <w:r w:rsidR="004244AC">
        <w:rPr>
          <w:rFonts w:ascii="Arial" w:hAnsi="Arial" w:cs="Arial"/>
          <w:sz w:val="20"/>
          <w:szCs w:val="20"/>
        </w:rPr>
        <w:t xml:space="preserve"> The Amendment is also made under subsection 145(4) of the Act.</w:t>
      </w:r>
    </w:p>
    <w:p w:rsidR="00D13A05" w:rsidRDefault="00D13A05" w:rsidP="00AF12CE">
      <w:pPr>
        <w:pStyle w:val="ACMAHeading3"/>
        <w:spacing w:line="360" w:lineRule="auto"/>
        <w:rPr>
          <w:sz w:val="20"/>
        </w:rPr>
      </w:pPr>
      <w:r w:rsidRPr="001D6BBA">
        <w:rPr>
          <w:sz w:val="20"/>
        </w:rPr>
        <w:t>Operation</w:t>
      </w:r>
    </w:p>
    <w:p w:rsidR="00D13A05" w:rsidRDefault="00C95E0F" w:rsidP="00276662">
      <w:pPr>
        <w:spacing w:after="240" w:line="360" w:lineRule="auto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The Amendment </w:t>
      </w:r>
      <w:r w:rsidR="00E41D8A">
        <w:rPr>
          <w:rFonts w:ascii="Arial" w:hAnsi="Arial" w:cs="Arial"/>
          <w:sz w:val="20"/>
          <w:szCs w:val="20"/>
        </w:rPr>
        <w:t>amends</w:t>
      </w:r>
      <w:r w:rsidR="00645ED9">
        <w:rPr>
          <w:rFonts w:ascii="Arial" w:hAnsi="Arial" w:cs="Arial"/>
          <w:sz w:val="20"/>
          <w:szCs w:val="20"/>
        </w:rPr>
        <w:t xml:space="preserve"> </w:t>
      </w:r>
      <w:r w:rsidR="006A1F21">
        <w:rPr>
          <w:rFonts w:ascii="Arial" w:hAnsi="Arial" w:cs="Arial"/>
          <w:sz w:val="20"/>
          <w:szCs w:val="20"/>
        </w:rPr>
        <w:t xml:space="preserve">section 1 </w:t>
      </w:r>
      <w:r w:rsidR="00807C2E">
        <w:rPr>
          <w:rFonts w:ascii="Arial" w:hAnsi="Arial" w:cs="Arial"/>
          <w:sz w:val="20"/>
          <w:szCs w:val="20"/>
        </w:rPr>
        <w:t>of the Determination by inc</w:t>
      </w:r>
      <w:r w:rsidR="00E41D8A">
        <w:rPr>
          <w:rFonts w:ascii="Arial" w:hAnsi="Arial" w:cs="Arial"/>
          <w:sz w:val="20"/>
          <w:szCs w:val="20"/>
        </w:rPr>
        <w:t xml:space="preserve">luding </w:t>
      </w:r>
      <w:r w:rsidR="00807C2E">
        <w:rPr>
          <w:rFonts w:ascii="Arial" w:hAnsi="Arial" w:cs="Arial"/>
          <w:sz w:val="20"/>
          <w:szCs w:val="20"/>
        </w:rPr>
        <w:t xml:space="preserve">the year in which the Determination was made. </w:t>
      </w:r>
    </w:p>
    <w:p w:rsidR="00D13A05" w:rsidRDefault="00D13A05" w:rsidP="008B2A88">
      <w:pPr>
        <w:pStyle w:val="ACMAHeading3"/>
        <w:keepNext w:val="0"/>
        <w:widowControl w:val="0"/>
        <w:spacing w:line="360" w:lineRule="auto"/>
        <w:rPr>
          <w:sz w:val="20"/>
        </w:rPr>
      </w:pPr>
      <w:r w:rsidRPr="001D6BBA">
        <w:rPr>
          <w:sz w:val="20"/>
        </w:rPr>
        <w:t>Consultation</w:t>
      </w:r>
    </w:p>
    <w:p w:rsidR="00807C2E" w:rsidRDefault="00C95E0F" w:rsidP="008B2A88">
      <w:pPr>
        <w:pStyle w:val="ACMAHeading3"/>
        <w:keepNext w:val="0"/>
        <w:widowControl w:val="0"/>
        <w:suppressAutoHyphens w:val="0"/>
        <w:spacing w:line="360" w:lineRule="auto"/>
        <w:rPr>
          <w:b w:val="0"/>
          <w:sz w:val="20"/>
        </w:rPr>
      </w:pPr>
      <w:r>
        <w:rPr>
          <w:b w:val="0"/>
          <w:sz w:val="20"/>
        </w:rPr>
        <w:t>Given the limited</w:t>
      </w:r>
      <w:r w:rsidR="00807C2E">
        <w:rPr>
          <w:b w:val="0"/>
          <w:sz w:val="20"/>
        </w:rPr>
        <w:t xml:space="preserve"> </w:t>
      </w:r>
      <w:r w:rsidR="00645ED9">
        <w:rPr>
          <w:b w:val="0"/>
          <w:sz w:val="20"/>
        </w:rPr>
        <w:t xml:space="preserve">scope of the </w:t>
      </w:r>
      <w:r w:rsidR="00807C2E">
        <w:rPr>
          <w:b w:val="0"/>
          <w:sz w:val="20"/>
        </w:rPr>
        <w:t>Amendment</w:t>
      </w:r>
      <w:r>
        <w:rPr>
          <w:b w:val="0"/>
          <w:sz w:val="20"/>
        </w:rPr>
        <w:t xml:space="preserve">, </w:t>
      </w:r>
      <w:r w:rsidR="00807C2E">
        <w:rPr>
          <w:b w:val="0"/>
          <w:sz w:val="20"/>
        </w:rPr>
        <w:t>n</w:t>
      </w:r>
      <w:r w:rsidR="00807C2E" w:rsidRPr="00807C2E">
        <w:rPr>
          <w:b w:val="0"/>
          <w:sz w:val="20"/>
        </w:rPr>
        <w:t>o consultation has been undertaken with respect to the Amendment</w:t>
      </w:r>
      <w:r w:rsidR="00807C2E">
        <w:rPr>
          <w:b w:val="0"/>
          <w:sz w:val="20"/>
        </w:rPr>
        <w:t>.</w:t>
      </w:r>
      <w:r w:rsidR="00807C2E" w:rsidRPr="00807C2E">
        <w:rPr>
          <w:b w:val="0"/>
          <w:sz w:val="20"/>
        </w:rPr>
        <w:t xml:space="preserve"> </w:t>
      </w:r>
    </w:p>
    <w:p w:rsidR="00D13A05" w:rsidRDefault="00D13A05" w:rsidP="008B2A88">
      <w:pPr>
        <w:pStyle w:val="ACMAHeading3"/>
        <w:keepNext w:val="0"/>
        <w:widowControl w:val="0"/>
        <w:suppressAutoHyphens w:val="0"/>
        <w:spacing w:line="360" w:lineRule="auto"/>
        <w:rPr>
          <w:sz w:val="20"/>
        </w:rPr>
      </w:pPr>
      <w:r w:rsidRPr="00BF219C">
        <w:rPr>
          <w:sz w:val="20"/>
        </w:rPr>
        <w:t>Statement of compatibility with human rights</w:t>
      </w:r>
    </w:p>
    <w:p w:rsidR="00D13A05" w:rsidRPr="00422AA3" w:rsidRDefault="00C95E0F" w:rsidP="008B2A88">
      <w:pPr>
        <w:pStyle w:val="ACMAHeading3"/>
        <w:keepNext w:val="0"/>
        <w:widowControl w:val="0"/>
        <w:suppressAutoHyphens w:val="0"/>
        <w:spacing w:line="360" w:lineRule="auto"/>
        <w:rPr>
          <w:rFonts w:cs="Arial"/>
          <w:b w:val="0"/>
          <w:sz w:val="20"/>
          <w:lang w:val="en-AU"/>
        </w:rPr>
      </w:pPr>
      <w:r>
        <w:rPr>
          <w:rFonts w:cs="Arial"/>
          <w:b w:val="0"/>
          <w:sz w:val="20"/>
          <w:lang w:val="en-AU"/>
        </w:rPr>
        <w:t>A statement of compatibility with human rights, for the purposes of s</w:t>
      </w:r>
      <w:r w:rsidR="00D13A05" w:rsidRPr="00422AA3">
        <w:rPr>
          <w:rFonts w:cs="Arial"/>
          <w:b w:val="0"/>
          <w:sz w:val="20"/>
          <w:lang w:val="en-AU"/>
        </w:rPr>
        <w:t xml:space="preserve">ubsection 9(1) of the </w:t>
      </w:r>
      <w:r w:rsidR="00D13A05" w:rsidRPr="00A71723">
        <w:rPr>
          <w:rFonts w:cs="Arial"/>
          <w:b w:val="0"/>
          <w:i/>
          <w:sz w:val="20"/>
          <w:lang w:val="en-AU"/>
        </w:rPr>
        <w:t>Human Rights (Parliamentary Scrutiny) Act 2011</w:t>
      </w:r>
      <w:r w:rsidRPr="00C95E0F">
        <w:rPr>
          <w:rFonts w:cs="Arial"/>
          <w:b w:val="0"/>
          <w:sz w:val="20"/>
          <w:lang w:val="en-AU"/>
        </w:rPr>
        <w:t>,</w:t>
      </w:r>
      <w:r w:rsidR="00D13A05" w:rsidRPr="00422AA3">
        <w:rPr>
          <w:rFonts w:cs="Arial"/>
          <w:b w:val="0"/>
          <w:sz w:val="20"/>
          <w:lang w:val="en-AU"/>
        </w:rPr>
        <w:t xml:space="preserve"> is </w:t>
      </w:r>
      <w:r>
        <w:rPr>
          <w:rFonts w:cs="Arial"/>
          <w:b w:val="0"/>
          <w:sz w:val="20"/>
          <w:lang w:val="en-AU"/>
        </w:rPr>
        <w:t xml:space="preserve">set out </w:t>
      </w:r>
      <w:r w:rsidR="00A95B31">
        <w:rPr>
          <w:rFonts w:cs="Arial"/>
          <w:b w:val="0"/>
          <w:sz w:val="20"/>
          <w:lang w:val="en-AU"/>
        </w:rPr>
        <w:t>below</w:t>
      </w:r>
      <w:r w:rsidR="00D13A05" w:rsidRPr="00422AA3">
        <w:rPr>
          <w:rFonts w:cs="Arial"/>
          <w:b w:val="0"/>
          <w:sz w:val="20"/>
          <w:lang w:val="en-AU"/>
        </w:rPr>
        <w:t>.</w:t>
      </w:r>
    </w:p>
    <w:p w:rsidR="00D13A05" w:rsidRDefault="00D13A05" w:rsidP="00AF12CE">
      <w:pPr>
        <w:pStyle w:val="ACMAHeading3"/>
        <w:spacing w:line="360" w:lineRule="auto"/>
        <w:rPr>
          <w:sz w:val="20"/>
        </w:rPr>
      </w:pPr>
      <w:r w:rsidRPr="001D6BBA">
        <w:rPr>
          <w:sz w:val="20"/>
        </w:rPr>
        <w:t xml:space="preserve">Regulatory Impact </w:t>
      </w:r>
      <w:r>
        <w:rPr>
          <w:sz w:val="20"/>
        </w:rPr>
        <w:t>Analysis</w:t>
      </w:r>
    </w:p>
    <w:p w:rsidR="00D13A05" w:rsidRDefault="001861F7" w:rsidP="00AF12C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4 January 2013, t</w:t>
      </w:r>
      <w:r w:rsidR="00E60A84">
        <w:rPr>
          <w:rFonts w:ascii="Arial" w:hAnsi="Arial" w:cs="Arial"/>
          <w:sz w:val="20"/>
          <w:szCs w:val="20"/>
        </w:rPr>
        <w:t xml:space="preserve">he Office of Best Practice and Regulation (the </w:t>
      </w:r>
      <w:r w:rsidR="00E60A84">
        <w:rPr>
          <w:rFonts w:ascii="Arial" w:hAnsi="Arial" w:cs="Arial"/>
          <w:b/>
          <w:sz w:val="20"/>
          <w:szCs w:val="20"/>
        </w:rPr>
        <w:t>OBP</w:t>
      </w:r>
      <w:r w:rsidR="00011D17">
        <w:rPr>
          <w:rFonts w:ascii="Arial" w:hAnsi="Arial" w:cs="Arial"/>
          <w:b/>
          <w:sz w:val="20"/>
          <w:szCs w:val="20"/>
        </w:rPr>
        <w:t>R</w:t>
      </w:r>
      <w:r w:rsidR="00E60A84">
        <w:rPr>
          <w:rFonts w:ascii="Arial" w:hAnsi="Arial" w:cs="Arial"/>
          <w:sz w:val="20"/>
          <w:szCs w:val="20"/>
        </w:rPr>
        <w:t xml:space="preserve">) advised that a Regulation Impact Statement is not required for </w:t>
      </w:r>
      <w:r>
        <w:rPr>
          <w:rFonts w:ascii="Arial" w:hAnsi="Arial" w:cs="Arial"/>
          <w:sz w:val="20"/>
          <w:szCs w:val="20"/>
        </w:rPr>
        <w:t>the Amend</w:t>
      </w:r>
      <w:r w:rsidR="008732B6">
        <w:rPr>
          <w:rFonts w:ascii="Arial" w:hAnsi="Arial" w:cs="Arial"/>
          <w:sz w:val="20"/>
          <w:szCs w:val="20"/>
        </w:rPr>
        <w:t>ment</w:t>
      </w:r>
      <w:r>
        <w:rPr>
          <w:rFonts w:ascii="Arial" w:hAnsi="Arial" w:cs="Arial"/>
          <w:sz w:val="20"/>
          <w:szCs w:val="20"/>
        </w:rPr>
        <w:t>, since this</w:t>
      </w:r>
      <w:r w:rsidR="00E60A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instrument </w:t>
      </w:r>
      <w:r w:rsidR="00E60A84">
        <w:rPr>
          <w:rFonts w:ascii="Arial" w:hAnsi="Arial" w:cs="Arial"/>
          <w:sz w:val="20"/>
          <w:szCs w:val="20"/>
        </w:rPr>
        <w:t xml:space="preserve">will have only minor </w:t>
      </w:r>
      <w:r w:rsidR="006A1F21">
        <w:rPr>
          <w:rFonts w:ascii="Arial" w:hAnsi="Arial" w:cs="Arial"/>
          <w:sz w:val="20"/>
          <w:szCs w:val="20"/>
        </w:rPr>
        <w:t>or</w:t>
      </w:r>
      <w:r w:rsidR="00E60A84">
        <w:rPr>
          <w:rFonts w:ascii="Arial" w:hAnsi="Arial" w:cs="Arial"/>
          <w:sz w:val="20"/>
          <w:szCs w:val="20"/>
        </w:rPr>
        <w:t xml:space="preserve"> machinery impacts. </w:t>
      </w:r>
    </w:p>
    <w:p w:rsidR="00D13A05" w:rsidRPr="003F4109" w:rsidRDefault="00D13A05" w:rsidP="00AF12CE">
      <w:pPr>
        <w:pStyle w:val="ACMAHeading3"/>
        <w:spacing w:line="360" w:lineRule="auto"/>
        <w:rPr>
          <w:rFonts w:cs="Arial"/>
          <w:i/>
          <w:sz w:val="20"/>
        </w:rPr>
      </w:pPr>
      <w:r w:rsidRPr="003F4109">
        <w:rPr>
          <w:rFonts w:cs="Arial"/>
          <w:i/>
          <w:sz w:val="20"/>
        </w:rPr>
        <w:lastRenderedPageBreak/>
        <w:t>Detailed Description of the Instrument</w:t>
      </w:r>
    </w:p>
    <w:p w:rsidR="00D13A05" w:rsidRDefault="00D13A05" w:rsidP="00AF12CE">
      <w:pPr>
        <w:pStyle w:val="ACMABodyText"/>
        <w:spacing w:line="360" w:lineRule="auto"/>
        <w:rPr>
          <w:rFonts w:ascii="Arial" w:hAnsi="Arial" w:cs="Arial"/>
          <w:b/>
          <w:sz w:val="20"/>
        </w:rPr>
      </w:pPr>
      <w:r w:rsidRPr="003F4109">
        <w:rPr>
          <w:rFonts w:ascii="Arial" w:hAnsi="Arial" w:cs="Arial"/>
          <w:b/>
          <w:sz w:val="20"/>
        </w:rPr>
        <w:t>S</w:t>
      </w:r>
      <w:r w:rsidRPr="001D6BBA">
        <w:rPr>
          <w:rFonts w:ascii="Arial" w:hAnsi="Arial" w:cs="Arial"/>
          <w:b/>
          <w:sz w:val="20"/>
        </w:rPr>
        <w:t xml:space="preserve">ection 1 – Name of </w:t>
      </w:r>
      <w:r>
        <w:rPr>
          <w:rFonts w:ascii="Arial" w:hAnsi="Arial" w:cs="Arial"/>
          <w:b/>
          <w:sz w:val="20"/>
        </w:rPr>
        <w:t>Determination</w:t>
      </w:r>
    </w:p>
    <w:p w:rsidR="00D13A05" w:rsidRDefault="00D13A05" w:rsidP="00AF12CE">
      <w:pPr>
        <w:pStyle w:val="ACMABodyText"/>
        <w:spacing w:line="360" w:lineRule="auto"/>
        <w:rPr>
          <w:rFonts w:ascii="Arial" w:hAnsi="Arial" w:cs="Arial"/>
          <w:sz w:val="20"/>
        </w:rPr>
      </w:pPr>
      <w:r w:rsidRPr="001D6BBA">
        <w:rPr>
          <w:rFonts w:ascii="Arial" w:hAnsi="Arial" w:cs="Arial"/>
          <w:sz w:val="20"/>
        </w:rPr>
        <w:t xml:space="preserve">This section gives the citation for the </w:t>
      </w:r>
      <w:r w:rsidR="00645ED9">
        <w:rPr>
          <w:rFonts w:ascii="Arial" w:hAnsi="Arial" w:cs="Arial"/>
          <w:sz w:val="20"/>
        </w:rPr>
        <w:t>Amendment</w:t>
      </w:r>
      <w:r w:rsidRPr="001D6BBA">
        <w:rPr>
          <w:rFonts w:ascii="Arial" w:hAnsi="Arial" w:cs="Arial"/>
          <w:sz w:val="20"/>
        </w:rPr>
        <w:t>.</w:t>
      </w:r>
    </w:p>
    <w:p w:rsidR="00D13A05" w:rsidRDefault="00D13A05" w:rsidP="00AF12CE">
      <w:pPr>
        <w:pStyle w:val="ACMABodyText"/>
        <w:spacing w:line="360" w:lineRule="auto"/>
        <w:rPr>
          <w:rFonts w:ascii="Arial" w:hAnsi="Arial" w:cs="Arial"/>
          <w:b/>
          <w:sz w:val="20"/>
        </w:rPr>
      </w:pPr>
      <w:r w:rsidRPr="001D6BBA">
        <w:rPr>
          <w:rFonts w:ascii="Arial" w:hAnsi="Arial" w:cs="Arial"/>
          <w:b/>
          <w:sz w:val="20"/>
        </w:rPr>
        <w:t>Section 2 – Commencement</w:t>
      </w:r>
    </w:p>
    <w:p w:rsidR="00D13A05" w:rsidRDefault="00D13A05" w:rsidP="00AF12C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A5F1C">
        <w:rPr>
          <w:rFonts w:ascii="Arial" w:hAnsi="Arial" w:cs="Arial"/>
          <w:sz w:val="20"/>
          <w:szCs w:val="20"/>
          <w:lang w:val="en-US"/>
        </w:rPr>
        <w:t>This section provides that th</w:t>
      </w:r>
      <w:r w:rsidR="007F5E20"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645ED9">
        <w:rPr>
          <w:rFonts w:ascii="Arial" w:hAnsi="Arial" w:cs="Arial"/>
          <w:sz w:val="20"/>
          <w:szCs w:val="20"/>
          <w:lang w:val="en-US"/>
        </w:rPr>
        <w:t xml:space="preserve">Amendment </w:t>
      </w:r>
      <w:r w:rsidRPr="00CA5F1C">
        <w:rPr>
          <w:rFonts w:ascii="Arial" w:hAnsi="Arial" w:cs="Arial"/>
          <w:sz w:val="20"/>
          <w:szCs w:val="20"/>
          <w:lang w:val="en-US"/>
        </w:rPr>
        <w:t>commence</w:t>
      </w:r>
      <w:r w:rsidR="007B3008">
        <w:rPr>
          <w:rFonts w:ascii="Arial" w:hAnsi="Arial" w:cs="Arial"/>
          <w:sz w:val="20"/>
          <w:szCs w:val="20"/>
          <w:lang w:val="en-US"/>
        </w:rPr>
        <w:t>s</w:t>
      </w:r>
      <w:r w:rsidRPr="00CA5F1C">
        <w:rPr>
          <w:rFonts w:ascii="Arial" w:hAnsi="Arial" w:cs="Arial"/>
          <w:sz w:val="20"/>
          <w:szCs w:val="20"/>
          <w:lang w:val="en-US"/>
        </w:rPr>
        <w:t xml:space="preserve"> on the day </w:t>
      </w:r>
      <w:r w:rsidR="00561845">
        <w:rPr>
          <w:rFonts w:ascii="Arial" w:hAnsi="Arial" w:cs="Arial"/>
          <w:sz w:val="20"/>
          <w:szCs w:val="20"/>
          <w:lang w:val="en-US"/>
        </w:rPr>
        <w:t>after it is registered</w:t>
      </w:r>
      <w:r w:rsidRPr="00CA5F1C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D13A05" w:rsidRDefault="00D13A05" w:rsidP="00207244">
      <w:pPr>
        <w:pStyle w:val="Heading2"/>
        <w:spacing w:line="360" w:lineRule="auto"/>
        <w:rPr>
          <w:i w:val="0"/>
          <w:sz w:val="20"/>
        </w:rPr>
      </w:pPr>
      <w:bookmarkStart w:id="0" w:name="_Toc78106021"/>
      <w:r w:rsidRPr="00EA4BE7">
        <w:rPr>
          <w:i w:val="0"/>
          <w:sz w:val="20"/>
        </w:rPr>
        <w:t>Section 3</w:t>
      </w:r>
      <w:bookmarkEnd w:id="0"/>
      <w:r>
        <w:rPr>
          <w:i w:val="0"/>
          <w:sz w:val="20"/>
        </w:rPr>
        <w:t xml:space="preserve"> </w:t>
      </w:r>
      <w:r w:rsidR="00645ED9">
        <w:rPr>
          <w:i w:val="0"/>
          <w:sz w:val="20"/>
        </w:rPr>
        <w:t>–</w:t>
      </w:r>
      <w:r>
        <w:rPr>
          <w:i w:val="0"/>
          <w:sz w:val="20"/>
        </w:rPr>
        <w:t xml:space="preserve"> </w:t>
      </w:r>
      <w:r w:rsidR="00645ED9">
        <w:rPr>
          <w:i w:val="0"/>
          <w:sz w:val="20"/>
        </w:rPr>
        <w:t xml:space="preserve">Amendment of </w:t>
      </w:r>
      <w:r w:rsidR="00645ED9" w:rsidRPr="00645ED9">
        <w:rPr>
          <w:sz w:val="20"/>
        </w:rPr>
        <w:t>Radiocommunications (Unacceptable Levels of Interference – 700 MHz Band) Determination</w:t>
      </w:r>
    </w:p>
    <w:p w:rsidR="00D13A05" w:rsidRDefault="00645ED9" w:rsidP="00AF12C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section </w:t>
      </w:r>
      <w:r w:rsidR="00E41D8A">
        <w:rPr>
          <w:rFonts w:ascii="Arial" w:hAnsi="Arial" w:cs="Arial"/>
          <w:sz w:val="20"/>
          <w:szCs w:val="20"/>
          <w:lang w:val="en-US"/>
        </w:rPr>
        <w:t>states</w:t>
      </w:r>
      <w:r>
        <w:rPr>
          <w:rFonts w:ascii="Arial" w:hAnsi="Arial" w:cs="Arial"/>
          <w:sz w:val="20"/>
          <w:szCs w:val="20"/>
          <w:lang w:val="en-US"/>
        </w:rPr>
        <w:t xml:space="preserve"> that Schedule 1 amends the Determination.</w:t>
      </w:r>
    </w:p>
    <w:p w:rsidR="00645ED9" w:rsidRPr="00645ED9" w:rsidRDefault="00645ED9" w:rsidP="00AF12C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645ED9">
        <w:rPr>
          <w:rFonts w:ascii="Arial" w:hAnsi="Arial" w:cs="Arial"/>
          <w:b/>
          <w:sz w:val="20"/>
          <w:szCs w:val="20"/>
          <w:lang w:val="en-US"/>
        </w:rPr>
        <w:t>Schedule 1</w:t>
      </w:r>
      <w:r w:rsidRPr="00645ED9">
        <w:rPr>
          <w:rFonts w:ascii="Arial" w:hAnsi="Arial" w:cs="Arial"/>
          <w:b/>
          <w:sz w:val="20"/>
          <w:szCs w:val="20"/>
          <w:lang w:val="en-US"/>
        </w:rPr>
        <w:tab/>
        <w:t>Amendments</w:t>
      </w:r>
    </w:p>
    <w:p w:rsidR="00645ED9" w:rsidRDefault="00645ED9" w:rsidP="00AF12C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Item [1] </w:t>
      </w:r>
    </w:p>
    <w:p w:rsidR="00645ED9" w:rsidRDefault="00645ED9" w:rsidP="00645ED9">
      <w:pPr>
        <w:pStyle w:val="ACMABodyText"/>
        <w:spacing w:line="360" w:lineRule="auto"/>
        <w:rPr>
          <w:rFonts w:ascii="Arial" w:hAnsi="Arial"/>
          <w:sz w:val="20"/>
        </w:rPr>
      </w:pPr>
      <w:r>
        <w:rPr>
          <w:rFonts w:ascii="Arial" w:hAnsi="Arial" w:cs="Arial"/>
          <w:sz w:val="20"/>
          <w:lang w:val="en-US"/>
        </w:rPr>
        <w:t xml:space="preserve">This section </w:t>
      </w:r>
      <w:r w:rsidR="006A1F21">
        <w:rPr>
          <w:rFonts w:ascii="Arial" w:hAnsi="Arial" w:cs="Arial"/>
          <w:sz w:val="20"/>
          <w:lang w:val="en-US"/>
        </w:rPr>
        <w:t xml:space="preserve">amends section 1 </w:t>
      </w:r>
      <w:r>
        <w:rPr>
          <w:rFonts w:ascii="Arial" w:hAnsi="Arial" w:cs="Arial"/>
          <w:sz w:val="20"/>
          <w:lang w:val="en-US"/>
        </w:rPr>
        <w:t xml:space="preserve">of the Determination </w:t>
      </w:r>
      <w:r>
        <w:rPr>
          <w:rFonts w:ascii="Arial" w:hAnsi="Arial" w:cs="Arial"/>
          <w:sz w:val="20"/>
        </w:rPr>
        <w:t xml:space="preserve">to </w:t>
      </w:r>
      <w:r w:rsidR="006A1F21">
        <w:rPr>
          <w:rFonts w:ascii="Arial" w:hAnsi="Arial" w:cs="Arial"/>
          <w:sz w:val="20"/>
        </w:rPr>
        <w:t xml:space="preserve">include </w:t>
      </w:r>
      <w:r w:rsidR="00631114">
        <w:rPr>
          <w:rFonts w:ascii="Arial" w:hAnsi="Arial" w:cs="Arial"/>
          <w:sz w:val="20"/>
        </w:rPr>
        <w:t xml:space="preserve">2012 as </w:t>
      </w:r>
      <w:r w:rsidR="006A1F21">
        <w:rPr>
          <w:rFonts w:ascii="Arial" w:hAnsi="Arial" w:cs="Arial"/>
          <w:sz w:val="20"/>
        </w:rPr>
        <w:t>the year in which the Determination was made</w:t>
      </w:r>
      <w:r>
        <w:rPr>
          <w:rFonts w:ascii="Arial" w:hAnsi="Arial"/>
          <w:sz w:val="20"/>
        </w:rPr>
        <w:t>.</w:t>
      </w:r>
    </w:p>
    <w:p w:rsidR="00A95B31" w:rsidRDefault="00A95B31" w:rsidP="00AF12C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13A05" w:rsidRPr="00EC4D12" w:rsidRDefault="00D13A05" w:rsidP="00AF12C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C4D12">
        <w:rPr>
          <w:rFonts w:ascii="Arial" w:hAnsi="Arial" w:cs="Arial"/>
          <w:b/>
          <w:sz w:val="20"/>
          <w:szCs w:val="20"/>
        </w:rPr>
        <w:t>Statement of Compatibility with Human Rights</w:t>
      </w:r>
    </w:p>
    <w:p w:rsidR="00D13A05" w:rsidRPr="00EC4D12" w:rsidRDefault="00D13A05" w:rsidP="00AF12C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C4D12">
        <w:rPr>
          <w:rFonts w:ascii="Arial" w:hAnsi="Arial" w:cs="Arial"/>
          <w:sz w:val="20"/>
          <w:szCs w:val="20"/>
        </w:rPr>
        <w:t>Prepared in accordance with Part 3 of the Human Rights (Parliamentary Scrutiny) Act 2011</w:t>
      </w:r>
    </w:p>
    <w:p w:rsidR="00D13A05" w:rsidRPr="00EC4D12" w:rsidRDefault="00D13A05" w:rsidP="00AF12CE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EC4D12">
        <w:rPr>
          <w:rFonts w:ascii="Arial" w:hAnsi="Arial" w:cs="Arial"/>
          <w:b/>
          <w:i/>
          <w:sz w:val="20"/>
          <w:szCs w:val="20"/>
        </w:rPr>
        <w:t>Radiocommunications (</w:t>
      </w:r>
      <w:r>
        <w:rPr>
          <w:rFonts w:ascii="Arial" w:hAnsi="Arial" w:cs="Arial"/>
          <w:b/>
          <w:i/>
          <w:sz w:val="20"/>
          <w:szCs w:val="20"/>
        </w:rPr>
        <w:t>Unacceptable Levels of Interference – 700</w:t>
      </w:r>
      <w:r w:rsidRPr="00EC4D12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M</w:t>
      </w:r>
      <w:r w:rsidRPr="00EC4D12">
        <w:rPr>
          <w:rFonts w:ascii="Arial" w:hAnsi="Arial" w:cs="Arial"/>
          <w:b/>
          <w:i/>
          <w:sz w:val="20"/>
          <w:szCs w:val="20"/>
        </w:rPr>
        <w:t xml:space="preserve">Hz Band) </w:t>
      </w:r>
      <w:r w:rsidR="00E41D8A">
        <w:rPr>
          <w:rFonts w:ascii="Arial" w:hAnsi="Arial" w:cs="Arial"/>
          <w:b/>
          <w:i/>
          <w:sz w:val="20"/>
          <w:szCs w:val="20"/>
        </w:rPr>
        <w:t xml:space="preserve">Amendment </w:t>
      </w:r>
      <w:r w:rsidR="003B2CB6">
        <w:rPr>
          <w:rFonts w:ascii="Arial" w:hAnsi="Arial" w:cs="Arial"/>
          <w:b/>
          <w:i/>
          <w:sz w:val="20"/>
          <w:szCs w:val="20"/>
        </w:rPr>
        <w:t xml:space="preserve">Determination </w:t>
      </w:r>
      <w:r w:rsidRPr="00EC4D12">
        <w:rPr>
          <w:rFonts w:ascii="Arial" w:hAnsi="Arial" w:cs="Arial"/>
          <w:b/>
          <w:i/>
          <w:sz w:val="20"/>
          <w:szCs w:val="20"/>
        </w:rPr>
        <w:t>201</w:t>
      </w:r>
      <w:r w:rsidR="00E41D8A">
        <w:rPr>
          <w:rFonts w:ascii="Arial" w:hAnsi="Arial" w:cs="Arial"/>
          <w:b/>
          <w:i/>
          <w:sz w:val="20"/>
          <w:szCs w:val="20"/>
        </w:rPr>
        <w:t>3 (No.</w:t>
      </w:r>
      <w:r w:rsidR="002E6851">
        <w:rPr>
          <w:rFonts w:ascii="Arial" w:hAnsi="Arial" w:cs="Arial"/>
          <w:b/>
          <w:i/>
          <w:sz w:val="20"/>
          <w:szCs w:val="20"/>
        </w:rPr>
        <w:t xml:space="preserve"> </w:t>
      </w:r>
      <w:r w:rsidR="00E41D8A">
        <w:rPr>
          <w:rFonts w:ascii="Arial" w:hAnsi="Arial" w:cs="Arial"/>
          <w:b/>
          <w:i/>
          <w:sz w:val="20"/>
          <w:szCs w:val="20"/>
        </w:rPr>
        <w:t>1)</w:t>
      </w:r>
    </w:p>
    <w:p w:rsidR="00D13A05" w:rsidRPr="00EC4D12" w:rsidRDefault="00D13A05" w:rsidP="00AF12CE">
      <w:pPr>
        <w:spacing w:line="360" w:lineRule="auto"/>
        <w:rPr>
          <w:rFonts w:ascii="Arial" w:hAnsi="Arial" w:cs="Arial"/>
          <w:sz w:val="20"/>
          <w:szCs w:val="20"/>
        </w:rPr>
      </w:pPr>
      <w:r w:rsidRPr="00EC4D12">
        <w:rPr>
          <w:rFonts w:ascii="Arial" w:hAnsi="Arial" w:cs="Arial"/>
          <w:sz w:val="20"/>
          <w:szCs w:val="20"/>
        </w:rPr>
        <w:t xml:space="preserve">This legislative instrument is compatible with the human rights and freedoms recognised or declared in the international instruments listed in section 3 of the </w:t>
      </w:r>
      <w:r w:rsidRPr="00EC4D12">
        <w:rPr>
          <w:rFonts w:ascii="Arial" w:hAnsi="Arial" w:cs="Arial"/>
          <w:i/>
          <w:sz w:val="20"/>
          <w:szCs w:val="20"/>
        </w:rPr>
        <w:t>Human Rights (Parliamentary Scrutiny) Act 2011</w:t>
      </w:r>
      <w:r w:rsidRPr="00EC4D12">
        <w:rPr>
          <w:rFonts w:ascii="Arial" w:hAnsi="Arial" w:cs="Arial"/>
          <w:sz w:val="20"/>
          <w:szCs w:val="20"/>
        </w:rPr>
        <w:t>.</w:t>
      </w:r>
    </w:p>
    <w:p w:rsidR="00D13A05" w:rsidRPr="00EC4D12" w:rsidRDefault="00D13A05" w:rsidP="00AF12C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C4D12">
        <w:rPr>
          <w:rFonts w:ascii="Arial" w:hAnsi="Arial" w:cs="Arial"/>
          <w:b/>
          <w:sz w:val="20"/>
          <w:szCs w:val="20"/>
        </w:rPr>
        <w:t>Overview of the Legislative Instrument</w:t>
      </w:r>
    </w:p>
    <w:p w:rsidR="005E01D8" w:rsidRDefault="005E01D8" w:rsidP="0025637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legislative instrument was made by the </w:t>
      </w:r>
      <w:r w:rsidRPr="00256370">
        <w:rPr>
          <w:rFonts w:ascii="Arial" w:hAnsi="Arial" w:cs="Arial"/>
          <w:sz w:val="20"/>
          <w:szCs w:val="20"/>
        </w:rPr>
        <w:t xml:space="preserve">Australian Communications and Media Authority (the </w:t>
      </w:r>
      <w:r w:rsidRPr="00290C00">
        <w:rPr>
          <w:rFonts w:ascii="Arial" w:hAnsi="Arial" w:cs="Arial"/>
          <w:b/>
          <w:sz w:val="20"/>
          <w:szCs w:val="20"/>
        </w:rPr>
        <w:t>ACMA</w:t>
      </w:r>
      <w:r w:rsidRPr="0025637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to </w:t>
      </w:r>
      <w:r w:rsidR="007B4E50">
        <w:rPr>
          <w:rFonts w:ascii="Arial" w:hAnsi="Arial" w:cs="Arial"/>
          <w:sz w:val="20"/>
          <w:szCs w:val="20"/>
        </w:rPr>
        <w:t>insert</w:t>
      </w:r>
      <w:r w:rsidR="00746459">
        <w:rPr>
          <w:rFonts w:ascii="Arial" w:hAnsi="Arial" w:cs="Arial"/>
          <w:sz w:val="20"/>
          <w:szCs w:val="20"/>
        </w:rPr>
        <w:t>,</w:t>
      </w:r>
      <w:r w:rsidR="007B4E50">
        <w:rPr>
          <w:rFonts w:ascii="Arial" w:hAnsi="Arial" w:cs="Arial"/>
          <w:sz w:val="20"/>
          <w:szCs w:val="20"/>
        </w:rPr>
        <w:t xml:space="preserve"> in section 1</w:t>
      </w:r>
      <w:r w:rsidR="00746459">
        <w:rPr>
          <w:rFonts w:ascii="Arial" w:hAnsi="Arial" w:cs="Arial"/>
          <w:sz w:val="20"/>
          <w:szCs w:val="20"/>
        </w:rPr>
        <w:t xml:space="preserve"> </w:t>
      </w:r>
      <w:r w:rsidR="007B4E50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the </w:t>
      </w:r>
      <w:r w:rsidRPr="00807C2E">
        <w:rPr>
          <w:rFonts w:ascii="Arial" w:hAnsi="Arial" w:cs="Arial"/>
          <w:i/>
          <w:sz w:val="20"/>
        </w:rPr>
        <w:t>Radiocommunications (Unacceptable Levels of Interference – 700 MHz Band) Determination</w:t>
      </w:r>
      <w:r>
        <w:rPr>
          <w:rFonts w:ascii="Arial" w:hAnsi="Arial" w:cs="Arial"/>
          <w:sz w:val="20"/>
        </w:rPr>
        <w:t xml:space="preserve">’ (the </w:t>
      </w:r>
      <w:r w:rsidRPr="005E01D8">
        <w:rPr>
          <w:rFonts w:ascii="Arial" w:hAnsi="Arial" w:cs="Arial"/>
          <w:b/>
          <w:sz w:val="20"/>
        </w:rPr>
        <w:t>Determination</w:t>
      </w:r>
      <w:r>
        <w:rPr>
          <w:rFonts w:ascii="Arial" w:hAnsi="Arial" w:cs="Arial"/>
          <w:sz w:val="20"/>
        </w:rPr>
        <w:t>)</w:t>
      </w:r>
      <w:r w:rsidR="0074645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7B4E50">
        <w:rPr>
          <w:rFonts w:ascii="Arial" w:hAnsi="Arial" w:cs="Arial"/>
          <w:sz w:val="20"/>
        </w:rPr>
        <w:t>the year in which the Determination was made</w:t>
      </w:r>
      <w:r>
        <w:rPr>
          <w:rFonts w:ascii="Arial" w:hAnsi="Arial" w:cs="Arial"/>
          <w:sz w:val="20"/>
        </w:rPr>
        <w:t xml:space="preserve">. </w:t>
      </w:r>
    </w:p>
    <w:p w:rsidR="00256370" w:rsidRPr="00256370" w:rsidRDefault="00256370" w:rsidP="00256370">
      <w:pPr>
        <w:spacing w:line="360" w:lineRule="auto"/>
        <w:rPr>
          <w:rFonts w:ascii="Arial" w:hAnsi="Arial" w:cs="Arial"/>
          <w:sz w:val="20"/>
          <w:szCs w:val="20"/>
        </w:rPr>
      </w:pPr>
      <w:r w:rsidRPr="00256370">
        <w:rPr>
          <w:rFonts w:ascii="Arial" w:hAnsi="Arial" w:cs="Arial"/>
          <w:sz w:val="20"/>
          <w:szCs w:val="20"/>
        </w:rPr>
        <w:t xml:space="preserve">The </w:t>
      </w:r>
      <w:r w:rsidR="005E01D8">
        <w:rPr>
          <w:rFonts w:ascii="Arial" w:hAnsi="Arial" w:cs="Arial"/>
          <w:sz w:val="20"/>
          <w:szCs w:val="20"/>
        </w:rPr>
        <w:t>Determination was</w:t>
      </w:r>
      <w:r w:rsidRPr="00256370">
        <w:rPr>
          <w:rFonts w:ascii="Arial" w:hAnsi="Arial" w:cs="Arial"/>
          <w:sz w:val="20"/>
          <w:szCs w:val="20"/>
        </w:rPr>
        <w:t xml:space="preserve"> made under subsection 145(4) of the </w:t>
      </w:r>
      <w:r w:rsidR="00290C00" w:rsidRPr="00290C00">
        <w:rPr>
          <w:rFonts w:ascii="Arial" w:hAnsi="Arial" w:cs="Arial"/>
          <w:i/>
          <w:sz w:val="20"/>
          <w:szCs w:val="20"/>
        </w:rPr>
        <w:t>Radiocommunications Act 1992</w:t>
      </w:r>
      <w:r w:rsidRPr="00256370">
        <w:rPr>
          <w:rFonts w:ascii="Arial" w:hAnsi="Arial" w:cs="Arial"/>
          <w:sz w:val="20"/>
          <w:szCs w:val="20"/>
        </w:rPr>
        <w:t xml:space="preserve"> (the </w:t>
      </w:r>
      <w:r w:rsidR="00290C00" w:rsidRPr="00290C00">
        <w:rPr>
          <w:rFonts w:ascii="Arial" w:hAnsi="Arial" w:cs="Arial"/>
          <w:b/>
          <w:sz w:val="20"/>
          <w:szCs w:val="20"/>
        </w:rPr>
        <w:t>Act</w:t>
      </w:r>
      <w:r w:rsidRPr="00256370">
        <w:rPr>
          <w:rFonts w:ascii="Arial" w:hAnsi="Arial" w:cs="Arial"/>
          <w:sz w:val="20"/>
          <w:szCs w:val="20"/>
        </w:rPr>
        <w:t xml:space="preserve">) which provides that the </w:t>
      </w:r>
      <w:r w:rsidR="005E01D8">
        <w:rPr>
          <w:rFonts w:ascii="Arial" w:hAnsi="Arial" w:cs="Arial"/>
          <w:sz w:val="20"/>
          <w:szCs w:val="20"/>
        </w:rPr>
        <w:t xml:space="preserve">ACMA </w:t>
      </w:r>
      <w:r w:rsidRPr="00256370">
        <w:rPr>
          <w:rFonts w:ascii="Arial" w:hAnsi="Arial" w:cs="Arial"/>
          <w:sz w:val="20"/>
          <w:szCs w:val="20"/>
        </w:rPr>
        <w:t>may, by written instrument, determine what are unacceptable levels of interference for the purposes of deciding whether to refuse to register the details of a radiocommunications transmitter for operation under spectrum licence in the Register of Radiocommunications Licences.</w:t>
      </w:r>
    </w:p>
    <w:p w:rsidR="00D13A05" w:rsidRDefault="00D13A05" w:rsidP="00AF12C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C4D12">
        <w:rPr>
          <w:rFonts w:ascii="Arial" w:hAnsi="Arial" w:cs="Arial"/>
          <w:b/>
          <w:sz w:val="20"/>
          <w:szCs w:val="20"/>
        </w:rPr>
        <w:t>Human Rights Implications</w:t>
      </w:r>
    </w:p>
    <w:p w:rsidR="00D13A05" w:rsidRPr="00EC4D12" w:rsidRDefault="00D13A05" w:rsidP="00AF12C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EC4D12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 Determination</w:t>
      </w:r>
      <w:r w:rsidRPr="00EC4D1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>es</w:t>
      </w:r>
      <w:r w:rsidRPr="00EC4D12">
        <w:rPr>
          <w:rFonts w:ascii="Arial" w:hAnsi="Arial" w:cs="Arial"/>
          <w:sz w:val="20"/>
          <w:szCs w:val="20"/>
        </w:rPr>
        <w:t xml:space="preserve"> not engage any of the applicable rights or freedoms.</w:t>
      </w:r>
    </w:p>
    <w:p w:rsidR="00D13A05" w:rsidRPr="00EC4D12" w:rsidRDefault="00D13A05" w:rsidP="00AF12C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C4D12">
        <w:rPr>
          <w:rFonts w:ascii="Arial" w:hAnsi="Arial" w:cs="Arial"/>
          <w:b/>
          <w:sz w:val="20"/>
          <w:szCs w:val="20"/>
        </w:rPr>
        <w:t>Conclusion</w:t>
      </w:r>
    </w:p>
    <w:p w:rsidR="00D13A05" w:rsidRDefault="00D13A05" w:rsidP="00D415BA">
      <w:pPr>
        <w:spacing w:line="360" w:lineRule="auto"/>
      </w:pPr>
      <w:r>
        <w:rPr>
          <w:rFonts w:ascii="Arial" w:hAnsi="Arial" w:cs="Arial"/>
          <w:sz w:val="20"/>
          <w:szCs w:val="20"/>
        </w:rPr>
        <w:t>The Determination is</w:t>
      </w:r>
      <w:r w:rsidRPr="00EC4D12">
        <w:rPr>
          <w:rFonts w:ascii="Arial" w:hAnsi="Arial" w:cs="Arial"/>
          <w:sz w:val="20"/>
          <w:szCs w:val="20"/>
        </w:rPr>
        <w:t xml:space="preserve"> compatible with human rights as</w:t>
      </w:r>
      <w:r>
        <w:rPr>
          <w:rFonts w:ascii="Arial" w:hAnsi="Arial" w:cs="Arial"/>
          <w:sz w:val="20"/>
          <w:szCs w:val="20"/>
        </w:rPr>
        <w:t xml:space="preserve"> it does not</w:t>
      </w:r>
      <w:r w:rsidRPr="00EC4D12">
        <w:rPr>
          <w:rFonts w:ascii="Arial" w:hAnsi="Arial" w:cs="Arial"/>
          <w:sz w:val="20"/>
          <w:szCs w:val="20"/>
        </w:rPr>
        <w:t xml:space="preserve"> raise any human rights issues.</w:t>
      </w:r>
    </w:p>
    <w:sectPr w:rsidR="00D13A05" w:rsidSect="007171E0">
      <w:footerReference w:type="default" r:id="rId9"/>
      <w:pgSz w:w="11907" w:h="16840" w:code="9"/>
      <w:pgMar w:top="1418" w:right="1418" w:bottom="1418" w:left="1418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DA8" w:rsidRDefault="001A4DA8" w:rsidP="00AF12CE">
      <w:pPr>
        <w:spacing w:before="0" w:after="0" w:line="240" w:lineRule="auto"/>
      </w:pPr>
      <w:r>
        <w:separator/>
      </w:r>
    </w:p>
  </w:endnote>
  <w:endnote w:type="continuationSeparator" w:id="0">
    <w:p w:rsidR="001A4DA8" w:rsidRDefault="001A4DA8" w:rsidP="00AF12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A8" w:rsidRPr="007C0D4C" w:rsidRDefault="00010617">
    <w:pPr>
      <w:pStyle w:val="Footer"/>
      <w:jc w:val="center"/>
      <w:rPr>
        <w:rFonts w:ascii="Arial" w:hAnsi="Arial" w:cs="Arial"/>
        <w:sz w:val="20"/>
        <w:szCs w:val="20"/>
      </w:rPr>
    </w:pPr>
    <w:r w:rsidRPr="007C0D4C">
      <w:rPr>
        <w:rFonts w:ascii="Arial" w:hAnsi="Arial" w:cs="Arial"/>
        <w:sz w:val="20"/>
        <w:szCs w:val="20"/>
      </w:rPr>
      <w:fldChar w:fldCharType="begin"/>
    </w:r>
    <w:r w:rsidR="001A4DA8" w:rsidRPr="007C0D4C">
      <w:rPr>
        <w:rFonts w:ascii="Arial" w:hAnsi="Arial" w:cs="Arial"/>
        <w:sz w:val="20"/>
        <w:szCs w:val="20"/>
      </w:rPr>
      <w:instrText xml:space="preserve"> PAGE   \* MERGEFORMAT </w:instrText>
    </w:r>
    <w:r w:rsidRPr="007C0D4C">
      <w:rPr>
        <w:rFonts w:ascii="Arial" w:hAnsi="Arial" w:cs="Arial"/>
        <w:sz w:val="20"/>
        <w:szCs w:val="20"/>
      </w:rPr>
      <w:fldChar w:fldCharType="separate"/>
    </w:r>
    <w:r w:rsidR="004E736B">
      <w:rPr>
        <w:rFonts w:ascii="Arial" w:hAnsi="Arial" w:cs="Arial"/>
        <w:noProof/>
        <w:sz w:val="20"/>
        <w:szCs w:val="20"/>
      </w:rPr>
      <w:t>1</w:t>
    </w:r>
    <w:r w:rsidRPr="007C0D4C">
      <w:rPr>
        <w:rFonts w:ascii="Arial" w:hAnsi="Arial" w:cs="Arial"/>
        <w:sz w:val="20"/>
        <w:szCs w:val="20"/>
      </w:rPr>
      <w:fldChar w:fldCharType="end"/>
    </w:r>
  </w:p>
  <w:p w:rsidR="001A4DA8" w:rsidRDefault="001A4D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DA8" w:rsidRDefault="001A4DA8" w:rsidP="00AF12CE">
      <w:pPr>
        <w:spacing w:before="0" w:after="0" w:line="240" w:lineRule="auto"/>
      </w:pPr>
      <w:r>
        <w:separator/>
      </w:r>
    </w:p>
  </w:footnote>
  <w:footnote w:type="continuationSeparator" w:id="0">
    <w:p w:rsidR="001A4DA8" w:rsidRDefault="001A4DA8" w:rsidP="00AF12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0AF260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7484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EE2D66"/>
    <w:multiLevelType w:val="hybridMultilevel"/>
    <w:tmpl w:val="97949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B13EC"/>
    <w:multiLevelType w:val="hybridMultilevel"/>
    <w:tmpl w:val="05B2F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76651"/>
    <w:multiLevelType w:val="hybridMultilevel"/>
    <w:tmpl w:val="0D2CB68C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AA7E62"/>
    <w:multiLevelType w:val="hybridMultilevel"/>
    <w:tmpl w:val="7E8C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A3204"/>
    <w:multiLevelType w:val="hybridMultilevel"/>
    <w:tmpl w:val="007CE9EA"/>
    <w:lvl w:ilvl="0" w:tplc="1BE0D760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02E58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221E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A48F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E004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E7A94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62B0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8CC8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78A59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1C19D5"/>
    <w:multiLevelType w:val="hybridMultilevel"/>
    <w:tmpl w:val="0284C75C"/>
    <w:lvl w:ilvl="0" w:tplc="A1D032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586584"/>
    <w:multiLevelType w:val="hybridMultilevel"/>
    <w:tmpl w:val="BCB86E14"/>
    <w:lvl w:ilvl="0" w:tplc="44D64128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73593"/>
    <w:multiLevelType w:val="hybridMultilevel"/>
    <w:tmpl w:val="49887CEC"/>
    <w:lvl w:ilvl="0" w:tplc="44D64128">
      <w:start w:val="1"/>
      <w:numFmt w:val="bullet"/>
      <w:lvlText w:val="˃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D47610"/>
    <w:multiLevelType w:val="hybridMultilevel"/>
    <w:tmpl w:val="F0FEC55A"/>
    <w:lvl w:ilvl="0" w:tplc="923458A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9"/>
  </w:num>
  <w:num w:numId="14">
    <w:abstractNumId w:val="8"/>
  </w:num>
  <w:num w:numId="15">
    <w:abstractNumId w:val="10"/>
  </w:num>
  <w:num w:numId="16">
    <w:abstractNumId w:val="5"/>
  </w:num>
  <w:num w:numId="17">
    <w:abstractNumId w:val="6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2CE"/>
    <w:rsid w:val="00007C51"/>
    <w:rsid w:val="00010617"/>
    <w:rsid w:val="00011D17"/>
    <w:rsid w:val="00014F18"/>
    <w:rsid w:val="00042A01"/>
    <w:rsid w:val="00050A6A"/>
    <w:rsid w:val="00057B5E"/>
    <w:rsid w:val="00060959"/>
    <w:rsid w:val="00067DAD"/>
    <w:rsid w:val="00071815"/>
    <w:rsid w:val="00072777"/>
    <w:rsid w:val="000800F9"/>
    <w:rsid w:val="000803F5"/>
    <w:rsid w:val="000856EC"/>
    <w:rsid w:val="0008601D"/>
    <w:rsid w:val="00090556"/>
    <w:rsid w:val="000A4938"/>
    <w:rsid w:val="000A6253"/>
    <w:rsid w:val="000A663D"/>
    <w:rsid w:val="000B0B7D"/>
    <w:rsid w:val="000B1451"/>
    <w:rsid w:val="000B2131"/>
    <w:rsid w:val="000B2A5A"/>
    <w:rsid w:val="000B2CDE"/>
    <w:rsid w:val="000C1BB3"/>
    <w:rsid w:val="000C3BB2"/>
    <w:rsid w:val="000D78A5"/>
    <w:rsid w:val="000E1782"/>
    <w:rsid w:val="000F3E31"/>
    <w:rsid w:val="000F62A8"/>
    <w:rsid w:val="000F7A5A"/>
    <w:rsid w:val="001031E0"/>
    <w:rsid w:val="00111C9C"/>
    <w:rsid w:val="00113CE3"/>
    <w:rsid w:val="00137DE6"/>
    <w:rsid w:val="001552D8"/>
    <w:rsid w:val="0015628D"/>
    <w:rsid w:val="00161470"/>
    <w:rsid w:val="00161E69"/>
    <w:rsid w:val="001861F7"/>
    <w:rsid w:val="0018739A"/>
    <w:rsid w:val="00192890"/>
    <w:rsid w:val="001940EF"/>
    <w:rsid w:val="001969F1"/>
    <w:rsid w:val="00197C50"/>
    <w:rsid w:val="001A4DA8"/>
    <w:rsid w:val="001B41FD"/>
    <w:rsid w:val="001B78C4"/>
    <w:rsid w:val="001C3A8C"/>
    <w:rsid w:val="001D05BF"/>
    <w:rsid w:val="001D35A7"/>
    <w:rsid w:val="001D6BBA"/>
    <w:rsid w:val="001F0D9E"/>
    <w:rsid w:val="00203166"/>
    <w:rsid w:val="002052F0"/>
    <w:rsid w:val="00205FF7"/>
    <w:rsid w:val="00207244"/>
    <w:rsid w:val="00240060"/>
    <w:rsid w:val="00256370"/>
    <w:rsid w:val="00263241"/>
    <w:rsid w:val="00266557"/>
    <w:rsid w:val="00276662"/>
    <w:rsid w:val="00290C00"/>
    <w:rsid w:val="002920D8"/>
    <w:rsid w:val="002B4CE3"/>
    <w:rsid w:val="002C47F7"/>
    <w:rsid w:val="002D1019"/>
    <w:rsid w:val="002E6851"/>
    <w:rsid w:val="002E73F1"/>
    <w:rsid w:val="00303495"/>
    <w:rsid w:val="00312A20"/>
    <w:rsid w:val="0031355F"/>
    <w:rsid w:val="00336D28"/>
    <w:rsid w:val="00345504"/>
    <w:rsid w:val="00362883"/>
    <w:rsid w:val="00363831"/>
    <w:rsid w:val="003747A9"/>
    <w:rsid w:val="00376C51"/>
    <w:rsid w:val="00384359"/>
    <w:rsid w:val="00387400"/>
    <w:rsid w:val="00390D21"/>
    <w:rsid w:val="003B2CB6"/>
    <w:rsid w:val="003C5426"/>
    <w:rsid w:val="003D421E"/>
    <w:rsid w:val="003E7193"/>
    <w:rsid w:val="003F4109"/>
    <w:rsid w:val="003F7668"/>
    <w:rsid w:val="00402FC1"/>
    <w:rsid w:val="00403BF5"/>
    <w:rsid w:val="004224CE"/>
    <w:rsid w:val="00422AA3"/>
    <w:rsid w:val="004244AC"/>
    <w:rsid w:val="00432C9E"/>
    <w:rsid w:val="00442072"/>
    <w:rsid w:val="004470EC"/>
    <w:rsid w:val="00455A0C"/>
    <w:rsid w:val="00456B48"/>
    <w:rsid w:val="00462F85"/>
    <w:rsid w:val="004677D3"/>
    <w:rsid w:val="004744CB"/>
    <w:rsid w:val="00476846"/>
    <w:rsid w:val="00477721"/>
    <w:rsid w:val="004818D3"/>
    <w:rsid w:val="0049778F"/>
    <w:rsid w:val="00497A03"/>
    <w:rsid w:val="004A24C9"/>
    <w:rsid w:val="004A25F5"/>
    <w:rsid w:val="004B3A93"/>
    <w:rsid w:val="004C16A7"/>
    <w:rsid w:val="004D0165"/>
    <w:rsid w:val="004D180A"/>
    <w:rsid w:val="004D2430"/>
    <w:rsid w:val="004D6852"/>
    <w:rsid w:val="004D6C3C"/>
    <w:rsid w:val="004E1BE3"/>
    <w:rsid w:val="004E2677"/>
    <w:rsid w:val="004E736B"/>
    <w:rsid w:val="004F5815"/>
    <w:rsid w:val="00503E25"/>
    <w:rsid w:val="00515869"/>
    <w:rsid w:val="005201ED"/>
    <w:rsid w:val="00521563"/>
    <w:rsid w:val="00532ABF"/>
    <w:rsid w:val="005365D4"/>
    <w:rsid w:val="005368D1"/>
    <w:rsid w:val="00554EA8"/>
    <w:rsid w:val="00561845"/>
    <w:rsid w:val="00562152"/>
    <w:rsid w:val="00563B2A"/>
    <w:rsid w:val="0056678C"/>
    <w:rsid w:val="00596DBC"/>
    <w:rsid w:val="005A33DF"/>
    <w:rsid w:val="005A7BA2"/>
    <w:rsid w:val="005B5C15"/>
    <w:rsid w:val="005C038B"/>
    <w:rsid w:val="005C60CE"/>
    <w:rsid w:val="005C65D9"/>
    <w:rsid w:val="005D3833"/>
    <w:rsid w:val="005D5FC8"/>
    <w:rsid w:val="005E01D8"/>
    <w:rsid w:val="005E4800"/>
    <w:rsid w:val="00603C8B"/>
    <w:rsid w:val="00604DFF"/>
    <w:rsid w:val="00610F83"/>
    <w:rsid w:val="00615BAF"/>
    <w:rsid w:val="006166BD"/>
    <w:rsid w:val="006230BF"/>
    <w:rsid w:val="00631114"/>
    <w:rsid w:val="00631398"/>
    <w:rsid w:val="00632142"/>
    <w:rsid w:val="0063329D"/>
    <w:rsid w:val="00645ED9"/>
    <w:rsid w:val="006638FD"/>
    <w:rsid w:val="00663D87"/>
    <w:rsid w:val="00676D5A"/>
    <w:rsid w:val="00681350"/>
    <w:rsid w:val="00696C12"/>
    <w:rsid w:val="00697757"/>
    <w:rsid w:val="006A1F21"/>
    <w:rsid w:val="006A5D0E"/>
    <w:rsid w:val="006C434E"/>
    <w:rsid w:val="006D41DC"/>
    <w:rsid w:val="006E1E1C"/>
    <w:rsid w:val="006F0C25"/>
    <w:rsid w:val="0070678F"/>
    <w:rsid w:val="007171E0"/>
    <w:rsid w:val="00723555"/>
    <w:rsid w:val="007261E5"/>
    <w:rsid w:val="00727ACE"/>
    <w:rsid w:val="00740CF6"/>
    <w:rsid w:val="00743FB7"/>
    <w:rsid w:val="007448D0"/>
    <w:rsid w:val="00746459"/>
    <w:rsid w:val="00752790"/>
    <w:rsid w:val="00755F38"/>
    <w:rsid w:val="007568CA"/>
    <w:rsid w:val="00762FC0"/>
    <w:rsid w:val="00770125"/>
    <w:rsid w:val="007849A8"/>
    <w:rsid w:val="007908AE"/>
    <w:rsid w:val="007935BF"/>
    <w:rsid w:val="007A1C49"/>
    <w:rsid w:val="007B0273"/>
    <w:rsid w:val="007B3008"/>
    <w:rsid w:val="007B4E50"/>
    <w:rsid w:val="007B7946"/>
    <w:rsid w:val="007C0D4C"/>
    <w:rsid w:val="007C1FB2"/>
    <w:rsid w:val="007D2A39"/>
    <w:rsid w:val="007E55BA"/>
    <w:rsid w:val="007E6F2C"/>
    <w:rsid w:val="007F3BC5"/>
    <w:rsid w:val="007F40A0"/>
    <w:rsid w:val="007F5E20"/>
    <w:rsid w:val="00807C2E"/>
    <w:rsid w:val="00812161"/>
    <w:rsid w:val="00820C30"/>
    <w:rsid w:val="00840404"/>
    <w:rsid w:val="00863A3D"/>
    <w:rsid w:val="0086447C"/>
    <w:rsid w:val="008732B6"/>
    <w:rsid w:val="00883FB5"/>
    <w:rsid w:val="00892FD8"/>
    <w:rsid w:val="008A6881"/>
    <w:rsid w:val="008B201F"/>
    <w:rsid w:val="008B2A88"/>
    <w:rsid w:val="008B623A"/>
    <w:rsid w:val="008D054E"/>
    <w:rsid w:val="008F06A4"/>
    <w:rsid w:val="009127B8"/>
    <w:rsid w:val="0092239A"/>
    <w:rsid w:val="009224E2"/>
    <w:rsid w:val="00922A65"/>
    <w:rsid w:val="009645C7"/>
    <w:rsid w:val="00970811"/>
    <w:rsid w:val="00972DC7"/>
    <w:rsid w:val="0097494E"/>
    <w:rsid w:val="00986435"/>
    <w:rsid w:val="00995851"/>
    <w:rsid w:val="009B575D"/>
    <w:rsid w:val="009C2B61"/>
    <w:rsid w:val="009C599F"/>
    <w:rsid w:val="009C68D1"/>
    <w:rsid w:val="009D2145"/>
    <w:rsid w:val="009E4CC4"/>
    <w:rsid w:val="009F4D43"/>
    <w:rsid w:val="009F52D1"/>
    <w:rsid w:val="00A018FF"/>
    <w:rsid w:val="00A023CE"/>
    <w:rsid w:val="00A03C73"/>
    <w:rsid w:val="00A073C2"/>
    <w:rsid w:val="00A145B3"/>
    <w:rsid w:val="00A2639A"/>
    <w:rsid w:val="00A32E89"/>
    <w:rsid w:val="00A36ED6"/>
    <w:rsid w:val="00A378AC"/>
    <w:rsid w:val="00A42469"/>
    <w:rsid w:val="00A43B49"/>
    <w:rsid w:val="00A57016"/>
    <w:rsid w:val="00A60766"/>
    <w:rsid w:val="00A61E89"/>
    <w:rsid w:val="00A62CA7"/>
    <w:rsid w:val="00A63647"/>
    <w:rsid w:val="00A71723"/>
    <w:rsid w:val="00A73B59"/>
    <w:rsid w:val="00A82C18"/>
    <w:rsid w:val="00A85D26"/>
    <w:rsid w:val="00A86D13"/>
    <w:rsid w:val="00A92555"/>
    <w:rsid w:val="00A95B31"/>
    <w:rsid w:val="00A96B06"/>
    <w:rsid w:val="00AA014E"/>
    <w:rsid w:val="00AB54E4"/>
    <w:rsid w:val="00AB5951"/>
    <w:rsid w:val="00AB6313"/>
    <w:rsid w:val="00AC1473"/>
    <w:rsid w:val="00AD0171"/>
    <w:rsid w:val="00AE65E0"/>
    <w:rsid w:val="00AE6DD9"/>
    <w:rsid w:val="00AF12CE"/>
    <w:rsid w:val="00AF6D1D"/>
    <w:rsid w:val="00AF6D29"/>
    <w:rsid w:val="00B04C63"/>
    <w:rsid w:val="00B134B3"/>
    <w:rsid w:val="00B14046"/>
    <w:rsid w:val="00B204C2"/>
    <w:rsid w:val="00B50848"/>
    <w:rsid w:val="00B60F86"/>
    <w:rsid w:val="00B706C3"/>
    <w:rsid w:val="00B908F0"/>
    <w:rsid w:val="00BB5D59"/>
    <w:rsid w:val="00BC581E"/>
    <w:rsid w:val="00BC7469"/>
    <w:rsid w:val="00BC7CE2"/>
    <w:rsid w:val="00BD3479"/>
    <w:rsid w:val="00BD383D"/>
    <w:rsid w:val="00BD5B59"/>
    <w:rsid w:val="00BD6B79"/>
    <w:rsid w:val="00BF219C"/>
    <w:rsid w:val="00BF39B1"/>
    <w:rsid w:val="00BF4F62"/>
    <w:rsid w:val="00C10C3C"/>
    <w:rsid w:val="00C11815"/>
    <w:rsid w:val="00C13F2C"/>
    <w:rsid w:val="00C2364F"/>
    <w:rsid w:val="00C372B8"/>
    <w:rsid w:val="00C40CAE"/>
    <w:rsid w:val="00C466F3"/>
    <w:rsid w:val="00C511F1"/>
    <w:rsid w:val="00C51F99"/>
    <w:rsid w:val="00C57E20"/>
    <w:rsid w:val="00C635E8"/>
    <w:rsid w:val="00C702CE"/>
    <w:rsid w:val="00C702D1"/>
    <w:rsid w:val="00C80B0D"/>
    <w:rsid w:val="00C906E3"/>
    <w:rsid w:val="00C95E0F"/>
    <w:rsid w:val="00CA5F1C"/>
    <w:rsid w:val="00CA7615"/>
    <w:rsid w:val="00CB34B7"/>
    <w:rsid w:val="00CB46B0"/>
    <w:rsid w:val="00CB6106"/>
    <w:rsid w:val="00CC1776"/>
    <w:rsid w:val="00CC74C7"/>
    <w:rsid w:val="00CD184C"/>
    <w:rsid w:val="00CD2B26"/>
    <w:rsid w:val="00CD31A3"/>
    <w:rsid w:val="00CE0EDD"/>
    <w:rsid w:val="00CE1E02"/>
    <w:rsid w:val="00CE2487"/>
    <w:rsid w:val="00CF0598"/>
    <w:rsid w:val="00CF4033"/>
    <w:rsid w:val="00D13A05"/>
    <w:rsid w:val="00D1667A"/>
    <w:rsid w:val="00D2529E"/>
    <w:rsid w:val="00D30EE2"/>
    <w:rsid w:val="00D35838"/>
    <w:rsid w:val="00D415BA"/>
    <w:rsid w:val="00D42A37"/>
    <w:rsid w:val="00D622DF"/>
    <w:rsid w:val="00D6624E"/>
    <w:rsid w:val="00DB18FE"/>
    <w:rsid w:val="00DB44BD"/>
    <w:rsid w:val="00DB54EB"/>
    <w:rsid w:val="00DC3F16"/>
    <w:rsid w:val="00DE5DB4"/>
    <w:rsid w:val="00E11665"/>
    <w:rsid w:val="00E11DEE"/>
    <w:rsid w:val="00E139E3"/>
    <w:rsid w:val="00E30F4C"/>
    <w:rsid w:val="00E41D8A"/>
    <w:rsid w:val="00E47DAB"/>
    <w:rsid w:val="00E60A84"/>
    <w:rsid w:val="00E6775B"/>
    <w:rsid w:val="00E818EB"/>
    <w:rsid w:val="00E9536B"/>
    <w:rsid w:val="00EA2069"/>
    <w:rsid w:val="00EA2876"/>
    <w:rsid w:val="00EA4BE7"/>
    <w:rsid w:val="00EC3C30"/>
    <w:rsid w:val="00EC3CBA"/>
    <w:rsid w:val="00EC4AA0"/>
    <w:rsid w:val="00EC4D12"/>
    <w:rsid w:val="00ED04D5"/>
    <w:rsid w:val="00ED2879"/>
    <w:rsid w:val="00EE682F"/>
    <w:rsid w:val="00F078F2"/>
    <w:rsid w:val="00F12651"/>
    <w:rsid w:val="00F12932"/>
    <w:rsid w:val="00F15945"/>
    <w:rsid w:val="00F2778D"/>
    <w:rsid w:val="00F3406D"/>
    <w:rsid w:val="00F54C17"/>
    <w:rsid w:val="00F61D1A"/>
    <w:rsid w:val="00F6280D"/>
    <w:rsid w:val="00F811B8"/>
    <w:rsid w:val="00F83AE1"/>
    <w:rsid w:val="00F9221B"/>
    <w:rsid w:val="00FA487B"/>
    <w:rsid w:val="00FB1E13"/>
    <w:rsid w:val="00FC1132"/>
    <w:rsid w:val="00FC2369"/>
    <w:rsid w:val="00FC79F0"/>
    <w:rsid w:val="00FD0CBC"/>
    <w:rsid w:val="00FF733D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List Bullet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CE"/>
    <w:pPr>
      <w:spacing w:before="80" w:after="120" w:line="280" w:lineRule="atLeast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24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07244"/>
    <w:rPr>
      <w:rFonts w:ascii="Arial" w:hAnsi="Arial" w:cs="Arial"/>
      <w:b/>
      <w:bCs/>
      <w:i/>
      <w:iCs/>
      <w:sz w:val="28"/>
      <w:szCs w:val="28"/>
      <w:lang w:eastAsia="en-AU"/>
    </w:rPr>
  </w:style>
  <w:style w:type="paragraph" w:customStyle="1" w:styleId="ACMABodyText">
    <w:name w:val="ACMA Body Text"/>
    <w:link w:val="ACMABodyTextChar1"/>
    <w:uiPriority w:val="99"/>
    <w:rsid w:val="00AF12CE"/>
    <w:pPr>
      <w:suppressAutoHyphens/>
      <w:spacing w:before="80" w:after="120" w:line="280" w:lineRule="atLeast"/>
    </w:pPr>
    <w:rPr>
      <w:rFonts w:ascii="Times New Roman" w:eastAsia="Times New Roman" w:hAnsi="Times New Roman"/>
      <w:sz w:val="24"/>
      <w:lang w:eastAsia="en-US"/>
    </w:rPr>
  </w:style>
  <w:style w:type="paragraph" w:customStyle="1" w:styleId="ACMAHeading2">
    <w:name w:val="ACMA Heading 2"/>
    <w:next w:val="ACMABodyText"/>
    <w:uiPriority w:val="99"/>
    <w:rsid w:val="00AF12CE"/>
    <w:pPr>
      <w:keepNext/>
      <w:suppressAutoHyphens/>
      <w:spacing w:before="240"/>
      <w:outlineLvl w:val="2"/>
    </w:pPr>
    <w:rPr>
      <w:rFonts w:ascii="Arial" w:eastAsia="Times New Roman" w:hAnsi="Arial"/>
      <w:b/>
      <w:caps/>
      <w:sz w:val="26"/>
      <w:szCs w:val="26"/>
      <w:lang w:val="en-US" w:eastAsia="en-US"/>
    </w:rPr>
  </w:style>
  <w:style w:type="paragraph" w:customStyle="1" w:styleId="ACMAHeading3">
    <w:name w:val="ACMA Heading 3"/>
    <w:next w:val="ACMABodyText"/>
    <w:uiPriority w:val="99"/>
    <w:rsid w:val="00AF12CE"/>
    <w:pPr>
      <w:keepNext/>
      <w:suppressAutoHyphens/>
      <w:spacing w:before="240"/>
      <w:outlineLvl w:val="3"/>
    </w:pPr>
    <w:rPr>
      <w:rFonts w:ascii="Arial" w:eastAsia="Times New Roman" w:hAnsi="Arial"/>
      <w:b/>
      <w:sz w:val="24"/>
      <w:lang w:val="en-US" w:eastAsia="en-US"/>
    </w:rPr>
  </w:style>
  <w:style w:type="character" w:styleId="FootnoteReference">
    <w:name w:val="footnote reference"/>
    <w:aliases w:val="Appel note de bas de p,Appel note de bas de p + 11 pt,Italic,Footnote,Appel note de bas de p1,Appel note de bas de p2,Appel note de bas de p3,Footnote Reference/"/>
    <w:basedOn w:val="DefaultParagraphFont"/>
    <w:uiPriority w:val="99"/>
    <w:rsid w:val="00AF12CE"/>
    <w:rPr>
      <w:rFonts w:cs="Times New Roman"/>
      <w:vertAlign w:val="superscript"/>
    </w:rPr>
  </w:style>
  <w:style w:type="paragraph" w:styleId="FootnoteText">
    <w:name w:val="footnote text"/>
    <w:aliases w:val="ACMA Footnote Text,Footnote Text Char1,Footnote Text Char Char,Footnote Text Char1 Char Char,Footnote Text Char Char Char Char,Footnote Text Char1 Char Char Char Char,Footnote Text Char Char Char Char Char Char,f"/>
    <w:basedOn w:val="Normal"/>
    <w:link w:val="FootnoteTextChar2"/>
    <w:uiPriority w:val="99"/>
    <w:rsid w:val="00AF12CE"/>
    <w:pPr>
      <w:tabs>
        <w:tab w:val="left" w:pos="284"/>
      </w:tabs>
      <w:spacing w:before="0" w:after="0" w:line="240" w:lineRule="auto"/>
      <w:ind w:left="288" w:hanging="288"/>
    </w:pPr>
    <w:rPr>
      <w:sz w:val="20"/>
      <w:szCs w:val="20"/>
    </w:rPr>
  </w:style>
  <w:style w:type="character" w:customStyle="1" w:styleId="FootnoteTextChar">
    <w:name w:val="Footnote Text Char"/>
    <w:aliases w:val="ACMA Footnote Text Char,Footnote Text Char1 Char,Footnote Text Char Char Char,Footnote Text Char1 Char Char Char,Footnote Text Char Char Char Char Char,Footnote Text Char1 Char Char Char Char Char,f Char"/>
    <w:basedOn w:val="DefaultParagraphFont"/>
    <w:link w:val="FootnoteText"/>
    <w:uiPriority w:val="99"/>
    <w:semiHidden/>
    <w:locked/>
    <w:rsid w:val="009C599F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FootnoteTextChar2">
    <w:name w:val="Footnote Text Char2"/>
    <w:aliases w:val="ACMA Footnote Text Char1,Footnote Text Char1 Char1,Footnote Text Char Char Char1,Footnote Text Char1 Char Char Char1,Footnote Text Char Char Char Char Char1,Footnote Text Char1 Char Char Char Char Char1,f Char1"/>
    <w:basedOn w:val="DefaultParagraphFont"/>
    <w:link w:val="FootnoteText"/>
    <w:uiPriority w:val="99"/>
    <w:locked/>
    <w:rsid w:val="00AF12CE"/>
    <w:rPr>
      <w:rFonts w:ascii="Times New Roman" w:hAnsi="Times New Roman" w:cs="Times New Roman"/>
      <w:lang w:val="en-AU" w:eastAsia="en-US" w:bidi="ar-SA"/>
    </w:rPr>
  </w:style>
  <w:style w:type="character" w:styleId="Hyperlink">
    <w:name w:val="Hyperlink"/>
    <w:basedOn w:val="DefaultParagraphFont"/>
    <w:uiPriority w:val="99"/>
    <w:rsid w:val="00AF12CE"/>
    <w:rPr>
      <w:rFonts w:cs="Times New Roman"/>
      <w:color w:val="0000FF"/>
      <w:u w:val="single"/>
    </w:rPr>
  </w:style>
  <w:style w:type="paragraph" w:styleId="ListBullet">
    <w:name w:val="List Bullet"/>
    <w:basedOn w:val="Normal"/>
    <w:autoRedefine/>
    <w:uiPriority w:val="99"/>
    <w:rsid w:val="00AF12CE"/>
    <w:pPr>
      <w:numPr>
        <w:numId w:val="15"/>
      </w:numPr>
      <w:spacing w:before="0" w:after="80" w:line="360" w:lineRule="auto"/>
      <w:jc w:val="both"/>
    </w:pPr>
    <w:rPr>
      <w:lang w:eastAsia="en-AU"/>
    </w:rPr>
  </w:style>
  <w:style w:type="character" w:customStyle="1" w:styleId="ACMABodyTextChar1">
    <w:name w:val="ACMA Body Text Char1"/>
    <w:basedOn w:val="DefaultParagraphFont"/>
    <w:link w:val="ACMABodyText"/>
    <w:uiPriority w:val="99"/>
    <w:locked/>
    <w:rsid w:val="00AF12CE"/>
    <w:rPr>
      <w:rFonts w:ascii="Times New Roman" w:eastAsia="Times New Roman" w:hAnsi="Times New Roman"/>
      <w:sz w:val="24"/>
      <w:lang w:val="en-AU" w:eastAsia="en-US" w:bidi="ar-SA"/>
    </w:rPr>
  </w:style>
  <w:style w:type="paragraph" w:styleId="CommentText">
    <w:name w:val="annotation text"/>
    <w:basedOn w:val="Normal"/>
    <w:link w:val="CommentTextChar"/>
    <w:uiPriority w:val="99"/>
    <w:rsid w:val="00AF12CE"/>
    <w:pPr>
      <w:spacing w:before="0"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F12CE"/>
    <w:rPr>
      <w:rFonts w:ascii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AF12C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F12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12C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2CDE"/>
    <w:pPr>
      <w:spacing w:before="80" w:after="120"/>
    </w:pPr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B2CDE"/>
    <w:rPr>
      <w:b/>
      <w:bCs/>
    </w:rPr>
  </w:style>
  <w:style w:type="paragraph" w:styleId="ListParagraph">
    <w:name w:val="List Paragraph"/>
    <w:basedOn w:val="Normal"/>
    <w:uiPriority w:val="99"/>
    <w:qFormat/>
    <w:rsid w:val="00DB54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BC581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5B5C1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5C1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B5C1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5C15"/>
    <w:rPr>
      <w:rFonts w:ascii="Times New Roman" w:hAnsi="Times New Roman" w:cs="Times New Roman"/>
      <w:sz w:val="24"/>
      <w:szCs w:val="24"/>
    </w:rPr>
  </w:style>
  <w:style w:type="character" w:customStyle="1" w:styleId="CharSectno">
    <w:name w:val="CharSectno"/>
    <w:basedOn w:val="DefaultParagraphFont"/>
    <w:uiPriority w:val="99"/>
    <w:rsid w:val="00207244"/>
    <w:rPr>
      <w:rFonts w:cs="Times New Roman"/>
    </w:rPr>
  </w:style>
  <w:style w:type="paragraph" w:styleId="Revision">
    <w:name w:val="Revision"/>
    <w:hidden/>
    <w:uiPriority w:val="99"/>
    <w:semiHidden/>
    <w:rsid w:val="00B706C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CMAHeaderOdd">
    <w:name w:val="ACMA Header (Odd)"/>
    <w:rsid w:val="004D180A"/>
    <w:pPr>
      <w:jc w:val="right"/>
    </w:pPr>
    <w:rPr>
      <w:rFonts w:ascii="Times New Roman" w:eastAsia="Times New Roman" w:hAnsi="Times New Roman"/>
      <w:i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CE48-07F8-48F3-9C5F-F342C62818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B1D8D2-26ED-438D-9FA1-5DDE53A3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Australian Communications and Media Authority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ewoo</dc:creator>
  <cp:lastModifiedBy>Helen Turnbull</cp:lastModifiedBy>
  <cp:revision>2</cp:revision>
  <cp:lastPrinted>2012-07-26T05:37:00Z</cp:lastPrinted>
  <dcterms:created xsi:type="dcterms:W3CDTF">2013-01-30T05:20:00Z</dcterms:created>
  <dcterms:modified xsi:type="dcterms:W3CDTF">2013-01-30T05:20:00Z</dcterms:modified>
</cp:coreProperties>
</file>