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78562" w14:textId="77777777" w:rsidR="00FA04D7" w:rsidRPr="00884EA9" w:rsidRDefault="00FA04D7">
      <w:pPr>
        <w:tabs>
          <w:tab w:val="right" w:pos="9072"/>
        </w:tabs>
        <w:ind w:right="91"/>
        <w:jc w:val="center"/>
        <w:rPr>
          <w:b/>
          <w:u w:val="single"/>
        </w:rPr>
      </w:pPr>
      <w:r w:rsidRPr="00884EA9">
        <w:rPr>
          <w:b/>
          <w:u w:val="single"/>
        </w:rPr>
        <w:t xml:space="preserve">EXPLANATORY </w:t>
      </w:r>
      <w:r w:rsidR="00140859" w:rsidRPr="00884EA9">
        <w:rPr>
          <w:b/>
          <w:u w:val="single"/>
        </w:rPr>
        <w:t>STATEMENT</w:t>
      </w:r>
    </w:p>
    <w:p w14:paraId="2E41E1DB" w14:textId="77777777" w:rsidR="00884EA9" w:rsidRPr="00884EA9" w:rsidRDefault="00884EA9">
      <w:pPr>
        <w:tabs>
          <w:tab w:val="right" w:pos="9072"/>
        </w:tabs>
        <w:ind w:right="91"/>
        <w:jc w:val="center"/>
        <w:rPr>
          <w:b/>
          <w:u w:val="single"/>
        </w:rPr>
      </w:pPr>
    </w:p>
    <w:p w14:paraId="308248C8" w14:textId="112EF04F" w:rsidR="00884EA9" w:rsidRPr="00884EA9" w:rsidRDefault="00884EA9">
      <w:pPr>
        <w:tabs>
          <w:tab w:val="right" w:pos="9072"/>
        </w:tabs>
        <w:ind w:right="91"/>
        <w:jc w:val="center"/>
        <w:rPr>
          <w:b/>
          <w:u w:val="single"/>
        </w:rPr>
      </w:pPr>
      <w:r w:rsidRPr="00884EA9">
        <w:rPr>
          <w:b/>
          <w:u w:val="single"/>
        </w:rPr>
        <w:t>Select Legislative Instrument 2013 No. 6</w:t>
      </w:r>
    </w:p>
    <w:p w14:paraId="3414E83A" w14:textId="77777777" w:rsidR="00FA04D7" w:rsidRPr="00884EA9" w:rsidRDefault="00FA04D7">
      <w:pPr>
        <w:tabs>
          <w:tab w:val="right" w:pos="9072"/>
        </w:tabs>
        <w:ind w:right="91"/>
        <w:jc w:val="center"/>
        <w:rPr>
          <w:b/>
          <w:u w:val="single"/>
        </w:rPr>
      </w:pPr>
    </w:p>
    <w:p w14:paraId="211DDAEE" w14:textId="77777777" w:rsidR="00FA04D7" w:rsidRPr="00884EA9" w:rsidRDefault="00140859">
      <w:pPr>
        <w:pStyle w:val="Heading6"/>
        <w:tabs>
          <w:tab w:val="right" w:pos="9072"/>
        </w:tabs>
        <w:spacing w:before="0"/>
        <w:rPr>
          <w:b/>
          <w:szCs w:val="24"/>
        </w:rPr>
      </w:pPr>
      <w:r w:rsidRPr="00884EA9">
        <w:rPr>
          <w:b/>
          <w:szCs w:val="24"/>
        </w:rPr>
        <w:t xml:space="preserve">Issued by authority of the Assistant Treasurer </w:t>
      </w:r>
    </w:p>
    <w:p w14:paraId="1164987B" w14:textId="77777777" w:rsidR="00FA04D7" w:rsidRPr="00884EA9" w:rsidRDefault="00FA04D7">
      <w:pPr>
        <w:tabs>
          <w:tab w:val="right" w:pos="9072"/>
        </w:tabs>
        <w:ind w:right="91"/>
        <w:rPr>
          <w:szCs w:val="24"/>
        </w:rPr>
      </w:pPr>
    </w:p>
    <w:p w14:paraId="5B3A6D1D" w14:textId="77777777" w:rsidR="00FA04D7" w:rsidRPr="00884EA9" w:rsidRDefault="00FA04D7" w:rsidP="00140859">
      <w:pPr>
        <w:ind w:left="1418" w:hanging="1418"/>
        <w:jc w:val="center"/>
        <w:rPr>
          <w:i/>
        </w:rPr>
      </w:pPr>
      <w:r w:rsidRPr="00884EA9">
        <w:rPr>
          <w:i/>
        </w:rPr>
        <w:t>A New Tax System (Goods and Services Tax) Act 1999</w:t>
      </w:r>
    </w:p>
    <w:p w14:paraId="6B78E7D8" w14:textId="77777777" w:rsidR="00FA04D7" w:rsidRPr="00884EA9" w:rsidRDefault="00FA04D7" w:rsidP="005A64C2">
      <w:pPr>
        <w:rPr>
          <w:i/>
        </w:rPr>
      </w:pPr>
    </w:p>
    <w:p w14:paraId="18634268" w14:textId="4CFFBC75" w:rsidR="00FA04D7" w:rsidRPr="00884EA9" w:rsidRDefault="00FA04D7" w:rsidP="00140859">
      <w:pPr>
        <w:ind w:left="1418"/>
        <w:jc w:val="center"/>
        <w:rPr>
          <w:i/>
        </w:rPr>
      </w:pPr>
      <w:bookmarkStart w:id="0" w:name="OLE_LINK1"/>
      <w:bookmarkStart w:id="1" w:name="OLE_LINK2"/>
      <w:r w:rsidRPr="00884EA9">
        <w:rPr>
          <w:i/>
          <w:szCs w:val="24"/>
        </w:rPr>
        <w:t>A New Tax System (Goods and Services Tax) Amendment Regulation 201</w:t>
      </w:r>
      <w:r w:rsidR="00A66247" w:rsidRPr="00884EA9">
        <w:rPr>
          <w:i/>
          <w:szCs w:val="24"/>
        </w:rPr>
        <w:t>3</w:t>
      </w:r>
      <w:r w:rsidRPr="00884EA9">
        <w:rPr>
          <w:i/>
          <w:szCs w:val="24"/>
        </w:rPr>
        <w:t xml:space="preserve"> (No.</w:t>
      </w:r>
      <w:r w:rsidR="005D268D" w:rsidRPr="00884EA9">
        <w:rPr>
          <w:i/>
          <w:szCs w:val="24"/>
        </w:rPr>
        <w:t xml:space="preserve"> </w:t>
      </w:r>
      <w:r w:rsidR="00884EA9" w:rsidRPr="00884EA9">
        <w:rPr>
          <w:i/>
          <w:szCs w:val="24"/>
        </w:rPr>
        <w:t>1</w:t>
      </w:r>
      <w:r w:rsidRPr="00884EA9">
        <w:rPr>
          <w:i/>
          <w:szCs w:val="24"/>
        </w:rPr>
        <w:t>)</w:t>
      </w:r>
      <w:bookmarkEnd w:id="0"/>
      <w:bookmarkEnd w:id="1"/>
    </w:p>
    <w:p w14:paraId="32F749B4" w14:textId="77777777" w:rsidR="005450C8" w:rsidRPr="00884EA9" w:rsidRDefault="005450C8" w:rsidP="005450C8">
      <w:pPr>
        <w:tabs>
          <w:tab w:val="left" w:pos="1701"/>
          <w:tab w:val="right" w:pos="9072"/>
        </w:tabs>
        <w:ind w:right="91"/>
      </w:pPr>
    </w:p>
    <w:p w14:paraId="53D34187" w14:textId="77777777" w:rsidR="00FA04D7" w:rsidRPr="00884EA9" w:rsidRDefault="00FA04D7" w:rsidP="005450C8">
      <w:pPr>
        <w:tabs>
          <w:tab w:val="left" w:pos="1701"/>
          <w:tab w:val="right" w:pos="9072"/>
        </w:tabs>
        <w:ind w:right="91"/>
      </w:pPr>
      <w:r w:rsidRPr="00884EA9">
        <w:t xml:space="preserve">Section 177-15 of the </w:t>
      </w:r>
      <w:r w:rsidRPr="00884EA9">
        <w:rPr>
          <w:i/>
        </w:rPr>
        <w:t>A New Tax System (Goods and Services Tax) Act 1999</w:t>
      </w:r>
      <w:r w:rsidRPr="00884EA9">
        <w:t xml:space="preserve"> provide</w:t>
      </w:r>
      <w:r w:rsidR="00C14965" w:rsidRPr="00884EA9">
        <w:t>s</w:t>
      </w:r>
      <w:r w:rsidRPr="00884EA9">
        <w:t xml:space="preserve"> that the Governor-General may make regulations prescribing matters required or permitted by the Act to be prescribed, or as necessary or convenient to be prescribed for carrying out or giving effect to the Act</w:t>
      </w:r>
      <w:r w:rsidR="001401C3" w:rsidRPr="00884EA9">
        <w:t>.</w:t>
      </w:r>
    </w:p>
    <w:p w14:paraId="6A85A84A" w14:textId="77777777" w:rsidR="005450C8" w:rsidRPr="00884EA9" w:rsidRDefault="005450C8" w:rsidP="005450C8"/>
    <w:p w14:paraId="24960D54" w14:textId="00657F34" w:rsidR="00140859" w:rsidRPr="00884EA9" w:rsidRDefault="00FA04D7" w:rsidP="00140859">
      <w:pPr>
        <w:jc w:val="both"/>
        <w:rPr>
          <w:i/>
        </w:rPr>
      </w:pPr>
      <w:r w:rsidRPr="00884EA9">
        <w:t xml:space="preserve">The </w:t>
      </w:r>
      <w:r w:rsidR="00140859" w:rsidRPr="00884EA9">
        <w:rPr>
          <w:i/>
          <w:szCs w:val="24"/>
        </w:rPr>
        <w:t>A New Tax System (Goo</w:t>
      </w:r>
      <w:bookmarkStart w:id="2" w:name="_GoBack"/>
      <w:bookmarkEnd w:id="2"/>
      <w:r w:rsidR="00140859" w:rsidRPr="00884EA9">
        <w:rPr>
          <w:i/>
          <w:szCs w:val="24"/>
        </w:rPr>
        <w:t xml:space="preserve">ds and Services Tax) Amendment Regulation 2013 (No. </w:t>
      </w:r>
      <w:r w:rsidR="00884EA9" w:rsidRPr="00884EA9">
        <w:rPr>
          <w:i/>
          <w:szCs w:val="24"/>
        </w:rPr>
        <w:t>1</w:t>
      </w:r>
      <w:r w:rsidR="00140859" w:rsidRPr="00884EA9">
        <w:rPr>
          <w:i/>
          <w:szCs w:val="24"/>
        </w:rPr>
        <w:t>)</w:t>
      </w:r>
    </w:p>
    <w:p w14:paraId="2B8A1F51" w14:textId="77777777" w:rsidR="00FA04D7" w:rsidRPr="00884EA9" w:rsidRDefault="00140859" w:rsidP="00140859">
      <w:r w:rsidRPr="00884EA9">
        <w:t>(</w:t>
      </w:r>
      <w:r w:rsidR="00FA04D7" w:rsidRPr="00884EA9">
        <w:t>the Regulation</w:t>
      </w:r>
      <w:r w:rsidRPr="00884EA9">
        <w:t>)</w:t>
      </w:r>
      <w:r w:rsidR="00FA04D7" w:rsidRPr="00884EA9">
        <w:t xml:space="preserve"> amend</w:t>
      </w:r>
      <w:r w:rsidRPr="00884EA9">
        <w:t>s</w:t>
      </w:r>
      <w:r w:rsidR="00FA04D7" w:rsidRPr="00884EA9">
        <w:t xml:space="preserve"> </w:t>
      </w:r>
      <w:r w:rsidR="005450C8" w:rsidRPr="00884EA9">
        <w:t xml:space="preserve">the </w:t>
      </w:r>
      <w:r w:rsidR="00FA04D7" w:rsidRPr="00884EA9">
        <w:rPr>
          <w:i/>
        </w:rPr>
        <w:t xml:space="preserve">A New Tax System (Goods and Services Tax) Regulations 1999 </w:t>
      </w:r>
      <w:r w:rsidR="00FA04D7" w:rsidRPr="00884EA9">
        <w:t>to make minor changes to the Tourist Refund Scheme (TRS) and the sealed bag scheme (SBS).</w:t>
      </w:r>
    </w:p>
    <w:p w14:paraId="6CE02B0F" w14:textId="77777777" w:rsidR="00C14965" w:rsidRPr="00884EA9" w:rsidRDefault="00C14965" w:rsidP="002B520A"/>
    <w:p w14:paraId="6EE0C6F9" w14:textId="77777777" w:rsidR="00C14965" w:rsidRPr="00884EA9" w:rsidRDefault="00C14965" w:rsidP="00C14965">
      <w:r w:rsidRPr="00884EA9">
        <w:t xml:space="preserve">As part of the introduction of a </w:t>
      </w:r>
      <w:r w:rsidRPr="00884EA9">
        <w:rPr>
          <w:i/>
        </w:rPr>
        <w:t xml:space="preserve">New Tax System </w:t>
      </w:r>
      <w:r w:rsidR="005450C8" w:rsidRPr="00884EA9">
        <w:rPr>
          <w:i/>
        </w:rPr>
        <w:t xml:space="preserve">(Goods and Services Tax) </w:t>
      </w:r>
      <w:r w:rsidRPr="00884EA9">
        <w:rPr>
          <w:i/>
        </w:rPr>
        <w:t>Act 1999</w:t>
      </w:r>
      <w:r w:rsidRPr="00884EA9">
        <w:t xml:space="preserve">, the Australian Government established the TRS to enable overseas tourists and Australians travelling abroad to claim refunds of goods and services tax (GST) and Wine Equalisation Tax (WET) paid on goods that they purchase in Australia and take with them. </w:t>
      </w:r>
    </w:p>
    <w:p w14:paraId="403E2748" w14:textId="77777777" w:rsidR="00C14965" w:rsidRPr="00884EA9" w:rsidRDefault="00C14965" w:rsidP="00C14965"/>
    <w:p w14:paraId="2B75D37E" w14:textId="77777777" w:rsidR="00C14965" w:rsidRPr="00884EA9" w:rsidRDefault="00C14965" w:rsidP="00C14965">
      <w:r w:rsidRPr="00884EA9">
        <w:t>The SBS allows international travellers to purchase goods, tax free (excise or customs duty, GST or WET) from duty free stores and certain retail stores. Goods purchased through the SBS are placed in a sealed bag</w:t>
      </w:r>
      <w:r w:rsidR="005D268D" w:rsidRPr="00884EA9">
        <w:t xml:space="preserve"> which remains sealed to ensure that the traveller takes the goods </w:t>
      </w:r>
      <w:r w:rsidR="001B28D5" w:rsidRPr="00884EA9">
        <w:t xml:space="preserve">out </w:t>
      </w:r>
      <w:r w:rsidR="005D268D" w:rsidRPr="00884EA9">
        <w:t xml:space="preserve">of the country so </w:t>
      </w:r>
      <w:r w:rsidR="00095B4F" w:rsidRPr="00884EA9">
        <w:t>that the goods cannot be</w:t>
      </w:r>
      <w:r w:rsidR="005D268D" w:rsidRPr="00884EA9">
        <w:t xml:space="preserve"> consumed in Australia, and therefore </w:t>
      </w:r>
      <w:r w:rsidR="001B28D5" w:rsidRPr="00884EA9">
        <w:t xml:space="preserve">are </w:t>
      </w:r>
      <w:r w:rsidR="005D268D" w:rsidRPr="00884EA9">
        <w:t>not subject to Australian taxes.</w:t>
      </w:r>
      <w:r w:rsidRPr="00884EA9">
        <w:t xml:space="preserve"> </w:t>
      </w:r>
    </w:p>
    <w:p w14:paraId="623F568C" w14:textId="77777777" w:rsidR="00C14965" w:rsidRPr="00884EA9" w:rsidRDefault="00C14965" w:rsidP="00C14965"/>
    <w:p w14:paraId="32E82788" w14:textId="77777777" w:rsidR="00FA04D7" w:rsidRPr="00884EA9" w:rsidRDefault="00FA04D7" w:rsidP="002B520A">
      <w:r w:rsidRPr="00884EA9">
        <w:t>The Regulation extend</w:t>
      </w:r>
      <w:r w:rsidR="00140859" w:rsidRPr="00884EA9">
        <w:t>s</w:t>
      </w:r>
      <w:r w:rsidRPr="00884EA9">
        <w:t xml:space="preserve"> the period during which travellers can </w:t>
      </w:r>
      <w:r w:rsidR="00476798" w:rsidRPr="00884EA9">
        <w:t>acquire</w:t>
      </w:r>
      <w:r w:rsidRPr="00884EA9">
        <w:t xml:space="preserve"> goods to access the TRS or </w:t>
      </w:r>
      <w:r w:rsidR="00665F9D" w:rsidRPr="00884EA9">
        <w:t xml:space="preserve">SBS </w:t>
      </w:r>
      <w:r w:rsidRPr="00884EA9">
        <w:t xml:space="preserve">from 30 days to 60 days </w:t>
      </w:r>
      <w:r w:rsidR="008673D2" w:rsidRPr="00884EA9">
        <w:t xml:space="preserve">prior to departure </w:t>
      </w:r>
      <w:r w:rsidRPr="00884EA9">
        <w:t>and also allow travellers accessing the TRS to aggregate multiple invoices from single retailers in order to meet the $300 threshold for TRS claims</w:t>
      </w:r>
      <w:r w:rsidR="005D268D" w:rsidRPr="00884EA9">
        <w:t xml:space="preserve"> rather than the requirement to hold one invoice only</w:t>
      </w:r>
      <w:r w:rsidRPr="00884EA9">
        <w:t>.</w:t>
      </w:r>
    </w:p>
    <w:p w14:paraId="0F414AC0" w14:textId="77777777" w:rsidR="00FA04D7" w:rsidRPr="00884EA9" w:rsidRDefault="00FA04D7" w:rsidP="002B520A"/>
    <w:p w14:paraId="56DD6005" w14:textId="77777777" w:rsidR="008673D2" w:rsidRPr="00884EA9" w:rsidRDefault="008673D2" w:rsidP="002B520A">
      <w:r w:rsidRPr="00884EA9">
        <w:t xml:space="preserve">The Regulation </w:t>
      </w:r>
      <w:r w:rsidR="005D268D" w:rsidRPr="00884EA9">
        <w:t>appl</w:t>
      </w:r>
      <w:r w:rsidR="004E432D" w:rsidRPr="00884EA9">
        <w:t>ies</w:t>
      </w:r>
      <w:r w:rsidRPr="00884EA9">
        <w:t xml:space="preserve"> to acquisitions made 60 days or more after the day the </w:t>
      </w:r>
      <w:r w:rsidR="005D268D" w:rsidRPr="00884EA9">
        <w:t>R</w:t>
      </w:r>
      <w:r w:rsidRPr="00884EA9">
        <w:t>egulation</w:t>
      </w:r>
      <w:r w:rsidR="005D268D" w:rsidRPr="00884EA9">
        <w:t xml:space="preserve"> is</w:t>
      </w:r>
      <w:r w:rsidRPr="00884EA9">
        <w:t xml:space="preserve"> registered on the Federal Register of Legislative Instruments. </w:t>
      </w:r>
    </w:p>
    <w:p w14:paraId="05B98978" w14:textId="77777777" w:rsidR="008673D2" w:rsidRPr="00884EA9" w:rsidRDefault="008673D2" w:rsidP="002B520A"/>
    <w:p w14:paraId="39DB786B" w14:textId="77777777" w:rsidR="00FA04D7" w:rsidRPr="00884EA9" w:rsidRDefault="00FA04D7" w:rsidP="002B520A">
      <w:r w:rsidRPr="00884EA9">
        <w:t xml:space="preserve">For example, once the </w:t>
      </w:r>
      <w:r w:rsidR="008673D2" w:rsidRPr="00884EA9">
        <w:t>R</w:t>
      </w:r>
      <w:r w:rsidRPr="00884EA9">
        <w:t>egulation appl</w:t>
      </w:r>
      <w:r w:rsidR="008673D2" w:rsidRPr="00884EA9">
        <w:t>ies</w:t>
      </w:r>
      <w:r w:rsidRPr="00884EA9">
        <w:t xml:space="preserve">, a tourist can make several </w:t>
      </w:r>
      <w:r w:rsidR="008673D2" w:rsidRPr="00884EA9">
        <w:t xml:space="preserve">acquisitions </w:t>
      </w:r>
      <w:r w:rsidRPr="00884EA9">
        <w:t>from the same retailer and provided the total of the invoices for that 60 day period are over $300 and they are exporting the goods when they leave Australia, they can claim</w:t>
      </w:r>
      <w:r w:rsidR="003E78F8" w:rsidRPr="00884EA9">
        <w:t xml:space="preserve"> a</w:t>
      </w:r>
      <w:r w:rsidRPr="00884EA9">
        <w:t xml:space="preserve"> GST</w:t>
      </w:r>
      <w:r w:rsidR="003E78F8" w:rsidRPr="00884EA9">
        <w:t xml:space="preserve"> refund</w:t>
      </w:r>
      <w:r w:rsidRPr="00884EA9">
        <w:t xml:space="preserve">, and </w:t>
      </w:r>
      <w:r w:rsidR="003E78F8" w:rsidRPr="00884EA9">
        <w:t xml:space="preserve">a </w:t>
      </w:r>
      <w:r w:rsidRPr="00884EA9">
        <w:t xml:space="preserve">WET </w:t>
      </w:r>
      <w:r w:rsidR="003E78F8" w:rsidRPr="00884EA9">
        <w:t xml:space="preserve">refund </w:t>
      </w:r>
      <w:r w:rsidRPr="00884EA9">
        <w:t xml:space="preserve">if applicable, at the TRS facility at any international airport or seaport.   </w:t>
      </w:r>
    </w:p>
    <w:p w14:paraId="33A760B6" w14:textId="77777777" w:rsidR="008673D2" w:rsidRPr="00884EA9" w:rsidRDefault="008673D2" w:rsidP="002B520A"/>
    <w:p w14:paraId="3735F6AA" w14:textId="77777777" w:rsidR="00765BEB" w:rsidRPr="00884EA9" w:rsidRDefault="00765BEB" w:rsidP="002B520A">
      <w:r w:rsidRPr="00884EA9">
        <w:t xml:space="preserve">Consultation was undertaken on the proposed amendments and no changes were made as a result of consultation.  </w:t>
      </w:r>
    </w:p>
    <w:p w14:paraId="2C44BBB7" w14:textId="77777777" w:rsidR="00765BEB" w:rsidRPr="00884EA9" w:rsidRDefault="00765BEB" w:rsidP="00256503"/>
    <w:p w14:paraId="63E21ACB" w14:textId="77777777" w:rsidR="008673D2" w:rsidRPr="00884EA9" w:rsidRDefault="008673D2" w:rsidP="00256503">
      <w:r w:rsidRPr="00884EA9">
        <w:lastRenderedPageBreak/>
        <w:t xml:space="preserve">The </w:t>
      </w:r>
      <w:r w:rsidR="00832E02" w:rsidRPr="00884EA9">
        <w:t>R</w:t>
      </w:r>
      <w:r w:rsidRPr="00884EA9">
        <w:t>egulation commence</w:t>
      </w:r>
      <w:r w:rsidR="004E432D" w:rsidRPr="00884EA9">
        <w:t>s</w:t>
      </w:r>
      <w:r w:rsidRPr="00884EA9">
        <w:t xml:space="preserve"> on the day after it is registered.</w:t>
      </w:r>
    </w:p>
    <w:p w14:paraId="742ACA3D" w14:textId="77777777" w:rsidR="008673D2" w:rsidRPr="00884EA9" w:rsidRDefault="008673D2" w:rsidP="00256503"/>
    <w:p w14:paraId="289D86F7" w14:textId="77777777" w:rsidR="00FA04D7" w:rsidRPr="00884EA9" w:rsidRDefault="00FA04D7" w:rsidP="00256503">
      <w:r w:rsidRPr="00884EA9">
        <w:t xml:space="preserve">The Regulation </w:t>
      </w:r>
      <w:r w:rsidR="004E432D" w:rsidRPr="00884EA9">
        <w:t xml:space="preserve">is </w:t>
      </w:r>
      <w:r w:rsidRPr="00884EA9">
        <w:t xml:space="preserve">a legislative instrument for the purposes of the </w:t>
      </w:r>
      <w:r w:rsidRPr="00884EA9">
        <w:rPr>
          <w:i/>
        </w:rPr>
        <w:t>Legislative Instruments Act 2003</w:t>
      </w:r>
      <w:r w:rsidRPr="00884EA9">
        <w:t xml:space="preserve">. </w:t>
      </w:r>
    </w:p>
    <w:p w14:paraId="3E4F6E7F" w14:textId="77777777" w:rsidR="008673D2" w:rsidRPr="00884EA9" w:rsidRDefault="008673D2" w:rsidP="00256503"/>
    <w:p w14:paraId="084EE3E5" w14:textId="77777777" w:rsidR="003F6227" w:rsidRPr="00884EA9" w:rsidRDefault="003F6227" w:rsidP="003F6227">
      <w:pPr>
        <w:jc w:val="center"/>
        <w:rPr>
          <w:b/>
          <w:sz w:val="28"/>
          <w:szCs w:val="28"/>
        </w:rPr>
      </w:pPr>
      <w:r w:rsidRPr="00884EA9">
        <w:br w:type="column"/>
      </w:r>
      <w:r w:rsidRPr="00884EA9">
        <w:rPr>
          <w:b/>
          <w:sz w:val="28"/>
          <w:szCs w:val="28"/>
        </w:rPr>
        <w:lastRenderedPageBreak/>
        <w:t>Statement of Compatibility with Human Rights</w:t>
      </w:r>
    </w:p>
    <w:p w14:paraId="55896EEE" w14:textId="77777777" w:rsidR="003F6227" w:rsidRPr="00884EA9" w:rsidRDefault="003F6227" w:rsidP="003F6227">
      <w:pPr>
        <w:jc w:val="center"/>
        <w:rPr>
          <w:i/>
          <w:szCs w:val="24"/>
        </w:rPr>
      </w:pPr>
    </w:p>
    <w:p w14:paraId="147176C8" w14:textId="77777777" w:rsidR="003F6227" w:rsidRPr="00884EA9" w:rsidRDefault="003F6227" w:rsidP="003F6227">
      <w:pPr>
        <w:jc w:val="center"/>
        <w:rPr>
          <w:szCs w:val="24"/>
        </w:rPr>
      </w:pPr>
      <w:r w:rsidRPr="00884EA9">
        <w:rPr>
          <w:i/>
          <w:szCs w:val="24"/>
        </w:rPr>
        <w:t>Prepared in accordance with Part 3 of the Human Rights (Parliamentary Scrutiny) Act 2011</w:t>
      </w:r>
    </w:p>
    <w:p w14:paraId="5FE693B9" w14:textId="77777777" w:rsidR="003F6227" w:rsidRPr="00884EA9" w:rsidRDefault="003F6227" w:rsidP="003F6227">
      <w:pPr>
        <w:jc w:val="center"/>
        <w:rPr>
          <w:b/>
          <w:szCs w:val="24"/>
        </w:rPr>
      </w:pPr>
    </w:p>
    <w:p w14:paraId="2BBDFB79" w14:textId="77777777" w:rsidR="003F6227" w:rsidRPr="00884EA9" w:rsidRDefault="003F6227" w:rsidP="003F6227">
      <w:pPr>
        <w:jc w:val="center"/>
        <w:rPr>
          <w:b/>
          <w:szCs w:val="24"/>
        </w:rPr>
      </w:pPr>
      <w:r w:rsidRPr="00884EA9">
        <w:rPr>
          <w:b/>
          <w:szCs w:val="24"/>
        </w:rPr>
        <w:t xml:space="preserve">A New Tax System (Goods and Services Tax) Amendment Regulation 2013 </w:t>
      </w:r>
    </w:p>
    <w:p w14:paraId="32650D93" w14:textId="78441BAA" w:rsidR="003F6227" w:rsidRPr="00884EA9" w:rsidRDefault="00884EA9" w:rsidP="003F6227">
      <w:pPr>
        <w:jc w:val="center"/>
        <w:rPr>
          <w:b/>
          <w:szCs w:val="24"/>
        </w:rPr>
      </w:pPr>
      <w:r w:rsidRPr="00884EA9">
        <w:rPr>
          <w:b/>
          <w:szCs w:val="24"/>
        </w:rPr>
        <w:t>(No. 1</w:t>
      </w:r>
      <w:r w:rsidR="003F6227" w:rsidRPr="00884EA9">
        <w:rPr>
          <w:b/>
          <w:szCs w:val="24"/>
        </w:rPr>
        <w:t>)</w:t>
      </w:r>
    </w:p>
    <w:p w14:paraId="69C69837" w14:textId="77777777" w:rsidR="003F6227" w:rsidRPr="00884EA9" w:rsidRDefault="003F6227" w:rsidP="003F6227">
      <w:pPr>
        <w:rPr>
          <w:szCs w:val="24"/>
        </w:rPr>
      </w:pPr>
    </w:p>
    <w:p w14:paraId="02CA71B1" w14:textId="77777777" w:rsidR="003F6227" w:rsidRPr="00884EA9" w:rsidRDefault="003F6227" w:rsidP="003F6227">
      <w:pPr>
        <w:rPr>
          <w:szCs w:val="24"/>
        </w:rPr>
      </w:pPr>
      <w:r w:rsidRPr="00884EA9">
        <w:rPr>
          <w:szCs w:val="24"/>
        </w:rPr>
        <w:t xml:space="preserve">This Legislative Instrument is compatible with the human rights and freedoms recognised or declared in the international instruments listed in section 3 of the </w:t>
      </w:r>
      <w:r w:rsidRPr="00884EA9">
        <w:rPr>
          <w:i/>
          <w:szCs w:val="24"/>
        </w:rPr>
        <w:t>Human Rights (Parliamentary Scrutiny) Act 2011</w:t>
      </w:r>
      <w:r w:rsidRPr="00884EA9">
        <w:rPr>
          <w:szCs w:val="24"/>
        </w:rPr>
        <w:t>.</w:t>
      </w:r>
    </w:p>
    <w:p w14:paraId="2B784282" w14:textId="77777777" w:rsidR="003F6227" w:rsidRPr="00884EA9" w:rsidRDefault="003F6227" w:rsidP="003F6227">
      <w:pPr>
        <w:jc w:val="both"/>
        <w:rPr>
          <w:b/>
          <w:szCs w:val="24"/>
        </w:rPr>
      </w:pPr>
    </w:p>
    <w:p w14:paraId="3F9C3957" w14:textId="77777777" w:rsidR="003F6227" w:rsidRPr="00884EA9" w:rsidRDefault="003F6227" w:rsidP="003F6227">
      <w:pPr>
        <w:jc w:val="both"/>
        <w:rPr>
          <w:b/>
          <w:szCs w:val="24"/>
        </w:rPr>
      </w:pPr>
      <w:r w:rsidRPr="00884EA9">
        <w:rPr>
          <w:b/>
          <w:szCs w:val="24"/>
        </w:rPr>
        <w:t>Overview of the Legislative Instrument</w:t>
      </w:r>
    </w:p>
    <w:p w14:paraId="67508D5A" w14:textId="77777777" w:rsidR="003F6227" w:rsidRPr="00884EA9" w:rsidRDefault="003F6227" w:rsidP="003F6227"/>
    <w:p w14:paraId="184BB23B" w14:textId="77777777" w:rsidR="003E78F8" w:rsidRPr="00884EA9" w:rsidRDefault="003E78F8" w:rsidP="003F6227">
      <w:r w:rsidRPr="00884EA9">
        <w:t>The Tourist Refund Scheme (TRS) and sealed bag scheme (SBS) are arrangements that allow international travellers to purchase tax-free goods on leaving Australia.</w:t>
      </w:r>
    </w:p>
    <w:p w14:paraId="2B013091" w14:textId="77777777" w:rsidR="003E78F8" w:rsidRPr="00884EA9" w:rsidRDefault="003E78F8" w:rsidP="003F6227"/>
    <w:p w14:paraId="67B0E7D1" w14:textId="77777777" w:rsidR="003F6227" w:rsidRPr="00884EA9" w:rsidRDefault="003F6227" w:rsidP="003F6227">
      <w:r w:rsidRPr="00884EA9">
        <w:t xml:space="preserve">The purpose of the Legislative Instrument is to extend the period during which international travellers can acquire </w:t>
      </w:r>
      <w:r w:rsidR="003E78F8" w:rsidRPr="00884EA9">
        <w:t xml:space="preserve">goods to </w:t>
      </w:r>
      <w:r w:rsidRPr="00884EA9">
        <w:t xml:space="preserve">access to the </w:t>
      </w:r>
      <w:r w:rsidR="003E78F8" w:rsidRPr="00884EA9">
        <w:t>TRS</w:t>
      </w:r>
      <w:r w:rsidRPr="00884EA9">
        <w:t xml:space="preserve"> or </w:t>
      </w:r>
      <w:r w:rsidR="003E78F8" w:rsidRPr="00884EA9">
        <w:t>SBS</w:t>
      </w:r>
      <w:r w:rsidRPr="00884EA9">
        <w:t xml:space="preserve"> from 30 days to 60 days and also </w:t>
      </w:r>
      <w:r w:rsidR="0004498F" w:rsidRPr="00884EA9">
        <w:t xml:space="preserve">to </w:t>
      </w:r>
      <w:r w:rsidRPr="00884EA9">
        <w:t>allow travellers accessing the TRS to aggregate multiple invoices from single retailers in order to meet the $300 threshold for TRS claims rather than the requirement to hold one invoice only.</w:t>
      </w:r>
    </w:p>
    <w:p w14:paraId="08BA1F29" w14:textId="77777777" w:rsidR="003F6227" w:rsidRPr="00884EA9" w:rsidRDefault="003F6227" w:rsidP="003F6227">
      <w:pPr>
        <w:rPr>
          <w:b/>
          <w:szCs w:val="24"/>
        </w:rPr>
      </w:pPr>
    </w:p>
    <w:p w14:paraId="674A2063" w14:textId="77777777" w:rsidR="003F6227" w:rsidRPr="00884EA9" w:rsidRDefault="003F6227" w:rsidP="003F6227">
      <w:pPr>
        <w:rPr>
          <w:b/>
          <w:szCs w:val="24"/>
        </w:rPr>
      </w:pPr>
      <w:r w:rsidRPr="00884EA9">
        <w:rPr>
          <w:b/>
          <w:szCs w:val="24"/>
        </w:rPr>
        <w:t>Human rights implications</w:t>
      </w:r>
    </w:p>
    <w:p w14:paraId="21C97485" w14:textId="77777777" w:rsidR="003F6227" w:rsidRPr="00884EA9" w:rsidRDefault="003F6227" w:rsidP="003F6227"/>
    <w:p w14:paraId="4887E423" w14:textId="77777777" w:rsidR="003F6227" w:rsidRPr="00884EA9" w:rsidRDefault="003F6227" w:rsidP="003F6227">
      <w:pPr>
        <w:rPr>
          <w:szCs w:val="24"/>
        </w:rPr>
      </w:pPr>
    </w:p>
    <w:p w14:paraId="2047FA0B" w14:textId="77777777" w:rsidR="003F6227" w:rsidRPr="00884EA9" w:rsidRDefault="003F6227" w:rsidP="003F6227">
      <w:pPr>
        <w:rPr>
          <w:szCs w:val="24"/>
        </w:rPr>
      </w:pPr>
      <w:r w:rsidRPr="00884EA9">
        <w:rPr>
          <w:szCs w:val="24"/>
        </w:rPr>
        <w:t>This Legislative Instrument does not engage any of the applicable rights or freedoms.</w:t>
      </w:r>
      <w:r w:rsidR="003E78F8" w:rsidRPr="00884EA9">
        <w:rPr>
          <w:szCs w:val="24"/>
        </w:rPr>
        <w:t xml:space="preserve">  It increases the flexibility of international travellers to access the TRS and SBS.</w:t>
      </w:r>
    </w:p>
    <w:p w14:paraId="04503DFC" w14:textId="77777777" w:rsidR="003F6227" w:rsidRPr="00884EA9" w:rsidRDefault="003F6227" w:rsidP="003F6227">
      <w:pPr>
        <w:rPr>
          <w:b/>
          <w:szCs w:val="24"/>
        </w:rPr>
      </w:pPr>
    </w:p>
    <w:p w14:paraId="156692B0" w14:textId="77777777" w:rsidR="003F6227" w:rsidRPr="00884EA9" w:rsidRDefault="003F6227" w:rsidP="003F6227">
      <w:pPr>
        <w:rPr>
          <w:b/>
          <w:szCs w:val="24"/>
        </w:rPr>
      </w:pPr>
      <w:r w:rsidRPr="00884EA9">
        <w:rPr>
          <w:b/>
          <w:szCs w:val="24"/>
        </w:rPr>
        <w:t>Conclusion</w:t>
      </w:r>
    </w:p>
    <w:p w14:paraId="1B162EE0" w14:textId="77777777" w:rsidR="003F6227" w:rsidRPr="00884EA9" w:rsidRDefault="003F6227" w:rsidP="003F6227">
      <w:pPr>
        <w:rPr>
          <w:szCs w:val="24"/>
        </w:rPr>
      </w:pPr>
    </w:p>
    <w:p w14:paraId="3D10FF0C" w14:textId="77777777" w:rsidR="003F6227" w:rsidRPr="00E4135E" w:rsidRDefault="003F6227" w:rsidP="003F6227">
      <w:pPr>
        <w:rPr>
          <w:szCs w:val="24"/>
        </w:rPr>
      </w:pPr>
      <w:r w:rsidRPr="00884EA9">
        <w:rPr>
          <w:szCs w:val="24"/>
        </w:rPr>
        <w:t>This Legislative Instrument is compatible with human rights as it does not raise any human rights issues.</w:t>
      </w:r>
    </w:p>
    <w:p w14:paraId="501547A0" w14:textId="77777777" w:rsidR="003F6227" w:rsidRDefault="003F6227" w:rsidP="00256503"/>
    <w:p w14:paraId="5B699DEA" w14:textId="77777777" w:rsidR="00FA04D7" w:rsidRPr="00370E92" w:rsidRDefault="00FA04D7">
      <w:pPr>
        <w:tabs>
          <w:tab w:val="right" w:pos="9072"/>
        </w:tabs>
        <w:ind w:right="91"/>
        <w:rPr>
          <w:sz w:val="20"/>
        </w:rPr>
      </w:pPr>
    </w:p>
    <w:p w14:paraId="7DDBFD36" w14:textId="77777777" w:rsidR="00FA04D7" w:rsidRDefault="00FA04D7" w:rsidP="005A64C2">
      <w:pPr>
        <w:tabs>
          <w:tab w:val="left" w:pos="1701"/>
          <w:tab w:val="right" w:pos="9072"/>
        </w:tabs>
        <w:ind w:right="91"/>
        <w:rPr>
          <w:sz w:val="16"/>
        </w:rPr>
      </w:pPr>
    </w:p>
    <w:sectPr w:rsidR="00FA04D7" w:rsidSect="003B736A">
      <w:headerReference w:type="even" r:id="rId12"/>
      <w:headerReference w:type="default" r:id="rId13"/>
      <w:footerReference w:type="even" r:id="rId14"/>
      <w:footerReference w:type="default" r:id="rId15"/>
      <w:headerReference w:type="first" r:id="rId16"/>
      <w:footerReference w:type="first" r:id="rId17"/>
      <w:pgSz w:w="11906" w:h="16838" w:code="9"/>
      <w:pgMar w:top="1134" w:right="1797" w:bottom="1134" w:left="179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F764D" w14:textId="77777777" w:rsidR="001E2D3B" w:rsidRDefault="001E2D3B" w:rsidP="001B28D5">
      <w:r>
        <w:separator/>
      </w:r>
    </w:p>
  </w:endnote>
  <w:endnote w:type="continuationSeparator" w:id="0">
    <w:p w14:paraId="3069AEDF" w14:textId="77777777" w:rsidR="001E2D3B" w:rsidRDefault="001E2D3B" w:rsidP="001B2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910AD" w14:textId="77777777" w:rsidR="001E2D3B" w:rsidRDefault="001E2D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B1D73" w14:textId="77777777" w:rsidR="001E2D3B" w:rsidRDefault="001E2D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FBEF5" w14:textId="77777777" w:rsidR="001E2D3B" w:rsidRDefault="001E2D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8DED56" w14:textId="77777777" w:rsidR="001E2D3B" w:rsidRDefault="001E2D3B" w:rsidP="001B28D5">
      <w:r>
        <w:separator/>
      </w:r>
    </w:p>
  </w:footnote>
  <w:footnote w:type="continuationSeparator" w:id="0">
    <w:p w14:paraId="661B9021" w14:textId="77777777" w:rsidR="001E2D3B" w:rsidRDefault="001E2D3B" w:rsidP="001B2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A6202" w14:textId="77777777" w:rsidR="001E2D3B" w:rsidRDefault="001E2D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793D9" w14:textId="77777777" w:rsidR="001E2D3B" w:rsidRDefault="001E2D3B">
    <w:pPr>
      <w:pStyle w:val="Header"/>
      <w:jc w:val="center"/>
    </w:pPr>
    <w:r>
      <w:fldChar w:fldCharType="begin"/>
    </w:r>
    <w:r>
      <w:instrText xml:space="preserve"> PAGE   \* MERGEFORMAT </w:instrText>
    </w:r>
    <w:r>
      <w:fldChar w:fldCharType="separate"/>
    </w:r>
    <w:r w:rsidR="00884EA9">
      <w:rPr>
        <w:noProof/>
      </w:rPr>
      <w:t>2</w:t>
    </w:r>
    <w:r>
      <w:rPr>
        <w:noProof/>
      </w:rPr>
      <w:fldChar w:fldCharType="end"/>
    </w:r>
  </w:p>
  <w:p w14:paraId="43AFCE10" w14:textId="77777777" w:rsidR="001E2D3B" w:rsidRDefault="001E2D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92758" w14:textId="77777777" w:rsidR="001E2D3B" w:rsidRDefault="001E2D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CA"/>
    <w:multiLevelType w:val="multilevel"/>
    <w:tmpl w:val="29E8F4CA"/>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1FD"/>
    <w:rsid w:val="0004498F"/>
    <w:rsid w:val="00066AFA"/>
    <w:rsid w:val="00095B4F"/>
    <w:rsid w:val="001079A2"/>
    <w:rsid w:val="001401C3"/>
    <w:rsid w:val="00140859"/>
    <w:rsid w:val="00191DC3"/>
    <w:rsid w:val="001B28D5"/>
    <w:rsid w:val="001D2CB4"/>
    <w:rsid w:val="001E2D3B"/>
    <w:rsid w:val="00256503"/>
    <w:rsid w:val="002B520A"/>
    <w:rsid w:val="002C21FD"/>
    <w:rsid w:val="002D1692"/>
    <w:rsid w:val="003128B1"/>
    <w:rsid w:val="00321E97"/>
    <w:rsid w:val="00370E92"/>
    <w:rsid w:val="00387892"/>
    <w:rsid w:val="003A6D62"/>
    <w:rsid w:val="003B736A"/>
    <w:rsid w:val="003C2D2D"/>
    <w:rsid w:val="003E78F8"/>
    <w:rsid w:val="003F38B6"/>
    <w:rsid w:val="003F6227"/>
    <w:rsid w:val="004104D1"/>
    <w:rsid w:val="00476798"/>
    <w:rsid w:val="004D117C"/>
    <w:rsid w:val="004E432D"/>
    <w:rsid w:val="005450C8"/>
    <w:rsid w:val="005766AE"/>
    <w:rsid w:val="005A64C2"/>
    <w:rsid w:val="005C315B"/>
    <w:rsid w:val="005C62C9"/>
    <w:rsid w:val="005C7927"/>
    <w:rsid w:val="005D268D"/>
    <w:rsid w:val="00601CC7"/>
    <w:rsid w:val="00606BE3"/>
    <w:rsid w:val="0063640F"/>
    <w:rsid w:val="00665F9D"/>
    <w:rsid w:val="006914CC"/>
    <w:rsid w:val="006E1999"/>
    <w:rsid w:val="00721C09"/>
    <w:rsid w:val="00765BEB"/>
    <w:rsid w:val="00787238"/>
    <w:rsid w:val="00832E02"/>
    <w:rsid w:val="008673D2"/>
    <w:rsid w:val="00884EA9"/>
    <w:rsid w:val="008B1403"/>
    <w:rsid w:val="00974E4E"/>
    <w:rsid w:val="00990A30"/>
    <w:rsid w:val="009A14CE"/>
    <w:rsid w:val="009A24E0"/>
    <w:rsid w:val="009D2D2A"/>
    <w:rsid w:val="00A07ABF"/>
    <w:rsid w:val="00A32B49"/>
    <w:rsid w:val="00A66247"/>
    <w:rsid w:val="00A839FF"/>
    <w:rsid w:val="00B854C1"/>
    <w:rsid w:val="00C0360E"/>
    <w:rsid w:val="00C14965"/>
    <w:rsid w:val="00C5683F"/>
    <w:rsid w:val="00CC75C7"/>
    <w:rsid w:val="00CF2F6C"/>
    <w:rsid w:val="00D53142"/>
    <w:rsid w:val="00D73308"/>
    <w:rsid w:val="00E031D6"/>
    <w:rsid w:val="00E43FA8"/>
    <w:rsid w:val="00EB3496"/>
    <w:rsid w:val="00F30FC7"/>
    <w:rsid w:val="00F31730"/>
    <w:rsid w:val="00F55596"/>
    <w:rsid w:val="00FA04D7"/>
    <w:rsid w:val="00FC28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7E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36A"/>
    <w:rPr>
      <w:sz w:val="24"/>
      <w:szCs w:val="20"/>
    </w:rPr>
  </w:style>
  <w:style w:type="paragraph" w:styleId="Heading1">
    <w:name w:val="heading 1"/>
    <w:basedOn w:val="Normal"/>
    <w:next w:val="Normal"/>
    <w:link w:val="Heading1Char"/>
    <w:uiPriority w:val="99"/>
    <w:qFormat/>
    <w:rsid w:val="003B736A"/>
    <w:pPr>
      <w:keepNext/>
      <w:spacing w:before="240" w:after="360"/>
      <w:outlineLvl w:val="0"/>
    </w:pPr>
    <w:rPr>
      <w:b/>
      <w:caps/>
      <w:sz w:val="28"/>
    </w:rPr>
  </w:style>
  <w:style w:type="paragraph" w:styleId="Heading2">
    <w:name w:val="heading 2"/>
    <w:basedOn w:val="Normal"/>
    <w:next w:val="Normal"/>
    <w:link w:val="Heading2Char"/>
    <w:uiPriority w:val="99"/>
    <w:qFormat/>
    <w:rsid w:val="003B736A"/>
    <w:pPr>
      <w:keepNext/>
      <w:spacing w:before="120"/>
      <w:outlineLvl w:val="1"/>
    </w:pPr>
    <w:rPr>
      <w:b/>
      <w:caps/>
    </w:rPr>
  </w:style>
  <w:style w:type="paragraph" w:styleId="Heading3">
    <w:name w:val="heading 3"/>
    <w:basedOn w:val="Normal"/>
    <w:next w:val="Normal"/>
    <w:link w:val="Heading3Char"/>
    <w:uiPriority w:val="99"/>
    <w:qFormat/>
    <w:rsid w:val="003B736A"/>
    <w:pPr>
      <w:keepNext/>
      <w:spacing w:before="60"/>
      <w:outlineLvl w:val="2"/>
    </w:pPr>
    <w:rPr>
      <w:b/>
    </w:rPr>
  </w:style>
  <w:style w:type="paragraph" w:styleId="Heading4">
    <w:name w:val="heading 4"/>
    <w:basedOn w:val="Normal"/>
    <w:next w:val="Normal"/>
    <w:link w:val="Heading4Char"/>
    <w:uiPriority w:val="99"/>
    <w:qFormat/>
    <w:rsid w:val="003B736A"/>
    <w:pPr>
      <w:keepNext/>
      <w:outlineLvl w:val="3"/>
    </w:pPr>
    <w:rPr>
      <w:i/>
      <w:sz w:val="20"/>
    </w:rPr>
  </w:style>
  <w:style w:type="paragraph" w:styleId="Heading6">
    <w:name w:val="heading 6"/>
    <w:basedOn w:val="Normal"/>
    <w:next w:val="Normal"/>
    <w:link w:val="Heading6Char"/>
    <w:uiPriority w:val="99"/>
    <w:qFormat/>
    <w:rsid w:val="003B736A"/>
    <w:pPr>
      <w:keepNext/>
      <w:spacing w:before="240"/>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68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F568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F568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F568B"/>
    <w:rPr>
      <w:rFonts w:asciiTheme="minorHAnsi" w:eastAsiaTheme="minorEastAsia" w:hAnsiTheme="minorHAnsi" w:cstheme="minorBidi"/>
      <w:b/>
      <w:bCs/>
      <w:sz w:val="28"/>
      <w:szCs w:val="28"/>
    </w:rPr>
  </w:style>
  <w:style w:type="character" w:customStyle="1" w:styleId="Heading6Char">
    <w:name w:val="Heading 6 Char"/>
    <w:basedOn w:val="DefaultParagraphFont"/>
    <w:link w:val="Heading6"/>
    <w:uiPriority w:val="9"/>
    <w:semiHidden/>
    <w:rsid w:val="008F568B"/>
    <w:rPr>
      <w:rFonts w:asciiTheme="minorHAnsi" w:eastAsiaTheme="minorEastAsia" w:hAnsiTheme="minorHAnsi" w:cstheme="minorBidi"/>
      <w:b/>
      <w:bCs/>
    </w:rPr>
  </w:style>
  <w:style w:type="paragraph" w:customStyle="1" w:styleId="SingleParagraph">
    <w:name w:val="Single Paragraph"/>
    <w:basedOn w:val="Normal"/>
    <w:uiPriority w:val="99"/>
    <w:rsid w:val="003B736A"/>
  </w:style>
  <w:style w:type="paragraph" w:customStyle="1" w:styleId="ChartMainHeading">
    <w:name w:val="Chart Main Heading"/>
    <w:basedOn w:val="SingleParagraph"/>
    <w:next w:val="Normal"/>
    <w:uiPriority w:val="99"/>
    <w:rsid w:val="003B736A"/>
    <w:pPr>
      <w:jc w:val="center"/>
    </w:pPr>
    <w:rPr>
      <w:b/>
      <w:caps/>
    </w:rPr>
  </w:style>
  <w:style w:type="paragraph" w:customStyle="1" w:styleId="ChartSecondHeading">
    <w:name w:val="Chart Second Heading"/>
    <w:basedOn w:val="SingleParagraph"/>
    <w:next w:val="Normal"/>
    <w:uiPriority w:val="99"/>
    <w:rsid w:val="003B736A"/>
    <w:pPr>
      <w:jc w:val="center"/>
    </w:pPr>
    <w:rPr>
      <w:b/>
    </w:rPr>
  </w:style>
  <w:style w:type="paragraph" w:customStyle="1" w:styleId="TableMainHeading">
    <w:name w:val="Table Main Heading"/>
    <w:basedOn w:val="Heading2"/>
    <w:next w:val="Normal"/>
    <w:uiPriority w:val="99"/>
    <w:rsid w:val="003B736A"/>
    <w:pPr>
      <w:spacing w:before="240"/>
      <w:outlineLvl w:val="9"/>
    </w:pPr>
    <w:rPr>
      <w:rFonts w:ascii="Helvetica" w:hAnsi="Helvetica"/>
      <w:b w:val="0"/>
      <w:caps w:val="0"/>
      <w:spacing w:val="30"/>
      <w:sz w:val="22"/>
    </w:rPr>
  </w:style>
  <w:style w:type="paragraph" w:styleId="BalloonText">
    <w:name w:val="Balloon Text"/>
    <w:basedOn w:val="Normal"/>
    <w:link w:val="BalloonTextChar"/>
    <w:uiPriority w:val="99"/>
    <w:semiHidden/>
    <w:rsid w:val="00FC288A"/>
    <w:rPr>
      <w:rFonts w:ascii="Tahoma" w:hAnsi="Tahoma" w:cs="Tahoma"/>
      <w:sz w:val="16"/>
      <w:szCs w:val="16"/>
    </w:rPr>
  </w:style>
  <w:style w:type="character" w:customStyle="1" w:styleId="BalloonTextChar">
    <w:name w:val="Balloon Text Char"/>
    <w:basedOn w:val="DefaultParagraphFont"/>
    <w:link w:val="BalloonText"/>
    <w:uiPriority w:val="99"/>
    <w:semiHidden/>
    <w:rsid w:val="008F568B"/>
    <w:rPr>
      <w:sz w:val="0"/>
      <w:szCs w:val="0"/>
    </w:rPr>
  </w:style>
  <w:style w:type="paragraph" w:customStyle="1" w:styleId="Bullet">
    <w:name w:val="Bullet"/>
    <w:basedOn w:val="Normal"/>
    <w:rsid w:val="00C14965"/>
    <w:pPr>
      <w:numPr>
        <w:numId w:val="1"/>
      </w:numPr>
      <w:spacing w:after="240"/>
    </w:pPr>
  </w:style>
  <w:style w:type="paragraph" w:customStyle="1" w:styleId="Dash">
    <w:name w:val="Dash"/>
    <w:basedOn w:val="Normal"/>
    <w:rsid w:val="00C14965"/>
    <w:pPr>
      <w:numPr>
        <w:ilvl w:val="1"/>
        <w:numId w:val="1"/>
      </w:numPr>
      <w:spacing w:after="240"/>
    </w:pPr>
  </w:style>
  <w:style w:type="paragraph" w:customStyle="1" w:styleId="DoubleDot">
    <w:name w:val="Double Dot"/>
    <w:basedOn w:val="Normal"/>
    <w:rsid w:val="00C14965"/>
    <w:pPr>
      <w:numPr>
        <w:ilvl w:val="2"/>
        <w:numId w:val="1"/>
      </w:numPr>
      <w:spacing w:after="240"/>
    </w:pPr>
  </w:style>
  <w:style w:type="paragraph" w:styleId="Header">
    <w:name w:val="header"/>
    <w:basedOn w:val="Normal"/>
    <w:link w:val="HeaderChar"/>
    <w:uiPriority w:val="99"/>
    <w:unhideWhenUsed/>
    <w:rsid w:val="001B28D5"/>
    <w:pPr>
      <w:tabs>
        <w:tab w:val="center" w:pos="4513"/>
        <w:tab w:val="right" w:pos="9026"/>
      </w:tabs>
    </w:pPr>
  </w:style>
  <w:style w:type="character" w:customStyle="1" w:styleId="HeaderChar">
    <w:name w:val="Header Char"/>
    <w:basedOn w:val="DefaultParagraphFont"/>
    <w:link w:val="Header"/>
    <w:uiPriority w:val="99"/>
    <w:rsid w:val="001B28D5"/>
    <w:rPr>
      <w:sz w:val="24"/>
      <w:szCs w:val="20"/>
    </w:rPr>
  </w:style>
  <w:style w:type="paragraph" w:styleId="Footer">
    <w:name w:val="footer"/>
    <w:basedOn w:val="Normal"/>
    <w:link w:val="FooterChar"/>
    <w:uiPriority w:val="99"/>
    <w:unhideWhenUsed/>
    <w:rsid w:val="001B28D5"/>
    <w:pPr>
      <w:tabs>
        <w:tab w:val="center" w:pos="4513"/>
        <w:tab w:val="right" w:pos="9026"/>
      </w:tabs>
    </w:pPr>
  </w:style>
  <w:style w:type="character" w:customStyle="1" w:styleId="FooterChar">
    <w:name w:val="Footer Char"/>
    <w:basedOn w:val="DefaultParagraphFont"/>
    <w:link w:val="Footer"/>
    <w:uiPriority w:val="99"/>
    <w:rsid w:val="001B28D5"/>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36A"/>
    <w:rPr>
      <w:sz w:val="24"/>
      <w:szCs w:val="20"/>
    </w:rPr>
  </w:style>
  <w:style w:type="paragraph" w:styleId="Heading1">
    <w:name w:val="heading 1"/>
    <w:basedOn w:val="Normal"/>
    <w:next w:val="Normal"/>
    <w:link w:val="Heading1Char"/>
    <w:uiPriority w:val="99"/>
    <w:qFormat/>
    <w:rsid w:val="003B736A"/>
    <w:pPr>
      <w:keepNext/>
      <w:spacing w:before="240" w:after="360"/>
      <w:outlineLvl w:val="0"/>
    </w:pPr>
    <w:rPr>
      <w:b/>
      <w:caps/>
      <w:sz w:val="28"/>
    </w:rPr>
  </w:style>
  <w:style w:type="paragraph" w:styleId="Heading2">
    <w:name w:val="heading 2"/>
    <w:basedOn w:val="Normal"/>
    <w:next w:val="Normal"/>
    <w:link w:val="Heading2Char"/>
    <w:uiPriority w:val="99"/>
    <w:qFormat/>
    <w:rsid w:val="003B736A"/>
    <w:pPr>
      <w:keepNext/>
      <w:spacing w:before="120"/>
      <w:outlineLvl w:val="1"/>
    </w:pPr>
    <w:rPr>
      <w:b/>
      <w:caps/>
    </w:rPr>
  </w:style>
  <w:style w:type="paragraph" w:styleId="Heading3">
    <w:name w:val="heading 3"/>
    <w:basedOn w:val="Normal"/>
    <w:next w:val="Normal"/>
    <w:link w:val="Heading3Char"/>
    <w:uiPriority w:val="99"/>
    <w:qFormat/>
    <w:rsid w:val="003B736A"/>
    <w:pPr>
      <w:keepNext/>
      <w:spacing w:before="60"/>
      <w:outlineLvl w:val="2"/>
    </w:pPr>
    <w:rPr>
      <w:b/>
    </w:rPr>
  </w:style>
  <w:style w:type="paragraph" w:styleId="Heading4">
    <w:name w:val="heading 4"/>
    <w:basedOn w:val="Normal"/>
    <w:next w:val="Normal"/>
    <w:link w:val="Heading4Char"/>
    <w:uiPriority w:val="99"/>
    <w:qFormat/>
    <w:rsid w:val="003B736A"/>
    <w:pPr>
      <w:keepNext/>
      <w:outlineLvl w:val="3"/>
    </w:pPr>
    <w:rPr>
      <w:i/>
      <w:sz w:val="20"/>
    </w:rPr>
  </w:style>
  <w:style w:type="paragraph" w:styleId="Heading6">
    <w:name w:val="heading 6"/>
    <w:basedOn w:val="Normal"/>
    <w:next w:val="Normal"/>
    <w:link w:val="Heading6Char"/>
    <w:uiPriority w:val="99"/>
    <w:qFormat/>
    <w:rsid w:val="003B736A"/>
    <w:pPr>
      <w:keepNext/>
      <w:spacing w:before="240"/>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68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F568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F568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F568B"/>
    <w:rPr>
      <w:rFonts w:asciiTheme="minorHAnsi" w:eastAsiaTheme="minorEastAsia" w:hAnsiTheme="minorHAnsi" w:cstheme="minorBidi"/>
      <w:b/>
      <w:bCs/>
      <w:sz w:val="28"/>
      <w:szCs w:val="28"/>
    </w:rPr>
  </w:style>
  <w:style w:type="character" w:customStyle="1" w:styleId="Heading6Char">
    <w:name w:val="Heading 6 Char"/>
    <w:basedOn w:val="DefaultParagraphFont"/>
    <w:link w:val="Heading6"/>
    <w:uiPriority w:val="9"/>
    <w:semiHidden/>
    <w:rsid w:val="008F568B"/>
    <w:rPr>
      <w:rFonts w:asciiTheme="minorHAnsi" w:eastAsiaTheme="minorEastAsia" w:hAnsiTheme="minorHAnsi" w:cstheme="minorBidi"/>
      <w:b/>
      <w:bCs/>
    </w:rPr>
  </w:style>
  <w:style w:type="paragraph" w:customStyle="1" w:styleId="SingleParagraph">
    <w:name w:val="Single Paragraph"/>
    <w:basedOn w:val="Normal"/>
    <w:uiPriority w:val="99"/>
    <w:rsid w:val="003B736A"/>
  </w:style>
  <w:style w:type="paragraph" w:customStyle="1" w:styleId="ChartMainHeading">
    <w:name w:val="Chart Main Heading"/>
    <w:basedOn w:val="SingleParagraph"/>
    <w:next w:val="Normal"/>
    <w:uiPriority w:val="99"/>
    <w:rsid w:val="003B736A"/>
    <w:pPr>
      <w:jc w:val="center"/>
    </w:pPr>
    <w:rPr>
      <w:b/>
      <w:caps/>
    </w:rPr>
  </w:style>
  <w:style w:type="paragraph" w:customStyle="1" w:styleId="ChartSecondHeading">
    <w:name w:val="Chart Second Heading"/>
    <w:basedOn w:val="SingleParagraph"/>
    <w:next w:val="Normal"/>
    <w:uiPriority w:val="99"/>
    <w:rsid w:val="003B736A"/>
    <w:pPr>
      <w:jc w:val="center"/>
    </w:pPr>
    <w:rPr>
      <w:b/>
    </w:rPr>
  </w:style>
  <w:style w:type="paragraph" w:customStyle="1" w:styleId="TableMainHeading">
    <w:name w:val="Table Main Heading"/>
    <w:basedOn w:val="Heading2"/>
    <w:next w:val="Normal"/>
    <w:uiPriority w:val="99"/>
    <w:rsid w:val="003B736A"/>
    <w:pPr>
      <w:spacing w:before="240"/>
      <w:outlineLvl w:val="9"/>
    </w:pPr>
    <w:rPr>
      <w:rFonts w:ascii="Helvetica" w:hAnsi="Helvetica"/>
      <w:b w:val="0"/>
      <w:caps w:val="0"/>
      <w:spacing w:val="30"/>
      <w:sz w:val="22"/>
    </w:rPr>
  </w:style>
  <w:style w:type="paragraph" w:styleId="BalloonText">
    <w:name w:val="Balloon Text"/>
    <w:basedOn w:val="Normal"/>
    <w:link w:val="BalloonTextChar"/>
    <w:uiPriority w:val="99"/>
    <w:semiHidden/>
    <w:rsid w:val="00FC288A"/>
    <w:rPr>
      <w:rFonts w:ascii="Tahoma" w:hAnsi="Tahoma" w:cs="Tahoma"/>
      <w:sz w:val="16"/>
      <w:szCs w:val="16"/>
    </w:rPr>
  </w:style>
  <w:style w:type="character" w:customStyle="1" w:styleId="BalloonTextChar">
    <w:name w:val="Balloon Text Char"/>
    <w:basedOn w:val="DefaultParagraphFont"/>
    <w:link w:val="BalloonText"/>
    <w:uiPriority w:val="99"/>
    <w:semiHidden/>
    <w:rsid w:val="008F568B"/>
    <w:rPr>
      <w:sz w:val="0"/>
      <w:szCs w:val="0"/>
    </w:rPr>
  </w:style>
  <w:style w:type="paragraph" w:customStyle="1" w:styleId="Bullet">
    <w:name w:val="Bullet"/>
    <w:basedOn w:val="Normal"/>
    <w:rsid w:val="00C14965"/>
    <w:pPr>
      <w:numPr>
        <w:numId w:val="1"/>
      </w:numPr>
      <w:spacing w:after="240"/>
    </w:pPr>
  </w:style>
  <w:style w:type="paragraph" w:customStyle="1" w:styleId="Dash">
    <w:name w:val="Dash"/>
    <w:basedOn w:val="Normal"/>
    <w:rsid w:val="00C14965"/>
    <w:pPr>
      <w:numPr>
        <w:ilvl w:val="1"/>
        <w:numId w:val="1"/>
      </w:numPr>
      <w:spacing w:after="240"/>
    </w:pPr>
  </w:style>
  <w:style w:type="paragraph" w:customStyle="1" w:styleId="DoubleDot">
    <w:name w:val="Double Dot"/>
    <w:basedOn w:val="Normal"/>
    <w:rsid w:val="00C14965"/>
    <w:pPr>
      <w:numPr>
        <w:ilvl w:val="2"/>
        <w:numId w:val="1"/>
      </w:numPr>
      <w:spacing w:after="240"/>
    </w:pPr>
  </w:style>
  <w:style w:type="paragraph" w:styleId="Header">
    <w:name w:val="header"/>
    <w:basedOn w:val="Normal"/>
    <w:link w:val="HeaderChar"/>
    <w:uiPriority w:val="99"/>
    <w:unhideWhenUsed/>
    <w:rsid w:val="001B28D5"/>
    <w:pPr>
      <w:tabs>
        <w:tab w:val="center" w:pos="4513"/>
        <w:tab w:val="right" w:pos="9026"/>
      </w:tabs>
    </w:pPr>
  </w:style>
  <w:style w:type="character" w:customStyle="1" w:styleId="HeaderChar">
    <w:name w:val="Header Char"/>
    <w:basedOn w:val="DefaultParagraphFont"/>
    <w:link w:val="Header"/>
    <w:uiPriority w:val="99"/>
    <w:rsid w:val="001B28D5"/>
    <w:rPr>
      <w:sz w:val="24"/>
      <w:szCs w:val="20"/>
    </w:rPr>
  </w:style>
  <w:style w:type="paragraph" w:styleId="Footer">
    <w:name w:val="footer"/>
    <w:basedOn w:val="Normal"/>
    <w:link w:val="FooterChar"/>
    <w:uiPriority w:val="99"/>
    <w:unhideWhenUsed/>
    <w:rsid w:val="001B28D5"/>
    <w:pPr>
      <w:tabs>
        <w:tab w:val="center" w:pos="4513"/>
        <w:tab w:val="right" w:pos="9026"/>
      </w:tabs>
    </w:pPr>
  </w:style>
  <w:style w:type="character" w:customStyle="1" w:styleId="FooterChar">
    <w:name w:val="Footer Char"/>
    <w:basedOn w:val="DefaultParagraphFont"/>
    <w:link w:val="Footer"/>
    <w:uiPriority w:val="99"/>
    <w:rsid w:val="001B28D5"/>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planatory%20Memorandum%20-%20Gene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neral Content" ma:contentTypeID="0x010100E726210826AA43828690450C811EB923009CA11FFD1E014DF4B1FA162D0F61129800080350834F0B46469CE5D2ECAC346F75" ma:contentTypeVersion="0" ma:contentTypeDescription="If you are creating a Word, PowerPoint or Excel document use the options available in the drop down list; for all other documents leave the content type as General Content." ma:contentTypeScope="" ma:versionID="ff9f6d2aa4bc77db93e65de572d08b4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35F27-A17C-48D3-A4D1-C737D1EBB960}">
  <ds:schemaRefs>
    <ds:schemaRef ds:uri="http://www.w3.org/XML/1998/namespace"/>
    <ds:schemaRef ds:uri="http://schemas.microsoft.com/office/infopath/2007/PartnerControl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E3275D1C-181C-4332-9838-FD748FCBDF4C}">
  <ds:schemaRefs>
    <ds:schemaRef ds:uri="http://schemas.microsoft.com/sharepoint/v3/contenttype/forms"/>
  </ds:schemaRefs>
</ds:datastoreItem>
</file>

<file path=customXml/itemProps3.xml><?xml version="1.0" encoding="utf-8"?>
<ds:datastoreItem xmlns:ds="http://schemas.openxmlformats.org/officeDocument/2006/customXml" ds:itemID="{E90690A2-ADEE-4622-BE6D-C9E6EEC08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A07020-CE7F-4E0D-82BB-84C60EF38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XCo Explanatory Memorandum - General.dotx</Template>
  <TotalTime>0</TotalTime>
  <Pages>3</Pages>
  <Words>646</Words>
  <Characters>3366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The Treasury</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McKay, Brian</dc:creator>
  <cp:lastModifiedBy>Hilhorst, Matt</cp:lastModifiedBy>
  <cp:revision>2</cp:revision>
  <cp:lastPrinted>2012-12-18T04:13:00Z</cp:lastPrinted>
  <dcterms:created xsi:type="dcterms:W3CDTF">2013-02-12T01:59:00Z</dcterms:created>
  <dcterms:modified xsi:type="dcterms:W3CDTF">2013-02-12T01:59:00Z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-986243961</vt:i4>
  </property>
  <property fmtid="{D5CDD505-2E9C-101B-9397-08002B2CF9AE}" pid="4" name="_EmailSubject">
    <vt:lpwstr>TRS documents [SEC=UNCLASSIFIED]</vt:lpwstr>
  </property>
  <property fmtid="{D5CDD505-2E9C-101B-9397-08002B2CF9AE}" pid="5" name="_AuthorEmail">
    <vt:lpwstr>Sarah.Alland@TREASURY.GOV.AU</vt:lpwstr>
  </property>
  <property fmtid="{D5CDD505-2E9C-101B-9397-08002B2CF9AE}" pid="6" name="_AuthorEmailDisplayName">
    <vt:lpwstr>Alland, Sarah</vt:lpwstr>
  </property>
  <property fmtid="{D5CDD505-2E9C-101B-9397-08002B2CF9AE}" pid="7" name="_PreviousAdHocReviewCycleID">
    <vt:i4>-1002333874</vt:i4>
  </property>
  <property fmtid="{D5CDD505-2E9C-101B-9397-08002B2CF9AE}" pid="8" name="_ReviewingToolsShownOnce">
    <vt:lpwstr/>
  </property>
  <property fmtid="{D5CDD505-2E9C-101B-9397-08002B2CF9AE}" pid="9" name="ContentTypeId">
    <vt:lpwstr>0x010100E726210826AA43828690450C811EB923009CA11FFD1E014DF4B1FA162D0F61129800080350834F0B46469CE5D2ECAC346F75</vt:lpwstr>
  </property>
</Properties>
</file>