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6E707" w14:textId="77777777" w:rsidR="005C315B" w:rsidRDefault="00A32B49">
      <w:pPr>
        <w:tabs>
          <w:tab w:val="right" w:pos="9072"/>
        </w:tabs>
        <w:ind w:right="91"/>
        <w:jc w:val="center"/>
        <w:rPr>
          <w:b/>
          <w:u w:val="single"/>
        </w:rPr>
      </w:pPr>
      <w:r>
        <w:rPr>
          <w:b/>
          <w:u w:val="single"/>
        </w:rPr>
        <w:t xml:space="preserve">EXPLANATORY </w:t>
      </w:r>
      <w:r w:rsidR="001F31D9">
        <w:rPr>
          <w:b/>
          <w:u w:val="single"/>
        </w:rPr>
        <w:t>STATEMENT</w:t>
      </w:r>
    </w:p>
    <w:p w14:paraId="1FE9A3D4" w14:textId="77777777" w:rsidR="005C315B" w:rsidRDefault="005C315B">
      <w:pPr>
        <w:tabs>
          <w:tab w:val="right" w:pos="9072"/>
        </w:tabs>
        <w:ind w:right="91"/>
        <w:jc w:val="center"/>
        <w:rPr>
          <w:b/>
          <w:u w:val="single"/>
        </w:rPr>
      </w:pPr>
    </w:p>
    <w:p w14:paraId="613EC867" w14:textId="7AF6ED62" w:rsidR="005C315B" w:rsidRPr="00B13B81" w:rsidRDefault="00B157D9" w:rsidP="00EB31B6">
      <w:pPr>
        <w:pStyle w:val="Heading6"/>
        <w:tabs>
          <w:tab w:val="right" w:pos="9072"/>
        </w:tabs>
        <w:spacing w:before="0"/>
        <w:jc w:val="center"/>
      </w:pPr>
      <w:r w:rsidRPr="00B13B81">
        <w:rPr>
          <w:b/>
        </w:rPr>
        <w:t xml:space="preserve">Select Legislative Instrument </w:t>
      </w:r>
      <w:r w:rsidR="002E0D27" w:rsidRPr="00B13B81">
        <w:rPr>
          <w:b/>
        </w:rPr>
        <w:t xml:space="preserve">2013 </w:t>
      </w:r>
      <w:r w:rsidRPr="00B13B81">
        <w:rPr>
          <w:b/>
        </w:rPr>
        <w:t>No.</w:t>
      </w:r>
      <w:r w:rsidR="00B13B81" w:rsidRPr="00B13B81">
        <w:rPr>
          <w:b/>
        </w:rPr>
        <w:t xml:space="preserve"> 13</w:t>
      </w:r>
    </w:p>
    <w:p w14:paraId="409B0B72" w14:textId="77777777" w:rsidR="00B157D9" w:rsidRPr="00B157D9" w:rsidRDefault="00B157D9" w:rsidP="00EB31B6"/>
    <w:p w14:paraId="1712E57D" w14:textId="77777777" w:rsidR="00B157D9" w:rsidRPr="00EB31B6" w:rsidRDefault="00B157D9" w:rsidP="00EB31B6">
      <w:pPr>
        <w:jc w:val="right"/>
        <w:rPr>
          <w:b/>
          <w:u w:val="single"/>
        </w:rPr>
      </w:pPr>
      <w:r w:rsidRPr="00EB31B6">
        <w:rPr>
          <w:b/>
          <w:u w:val="single"/>
        </w:rPr>
        <w:t>Issued by authority of the Minister for Financial Services and Superannuation</w:t>
      </w:r>
    </w:p>
    <w:p w14:paraId="4AFAB46A" w14:textId="77777777" w:rsidR="005C315B" w:rsidRPr="00370E92" w:rsidRDefault="005C315B">
      <w:pPr>
        <w:tabs>
          <w:tab w:val="right" w:pos="9072"/>
        </w:tabs>
        <w:ind w:right="91"/>
        <w:rPr>
          <w:sz w:val="20"/>
        </w:rPr>
      </w:pPr>
    </w:p>
    <w:p w14:paraId="0EE835B4" w14:textId="77777777" w:rsidR="00DF2A5F" w:rsidRDefault="00DF2A5F" w:rsidP="00EB31B6">
      <w:pPr>
        <w:ind w:left="1440" w:right="91" w:hanging="1440"/>
        <w:jc w:val="center"/>
        <w:rPr>
          <w:i/>
          <w:szCs w:val="22"/>
        </w:rPr>
      </w:pPr>
      <w:r w:rsidRPr="005C2E8D">
        <w:rPr>
          <w:i/>
          <w:szCs w:val="22"/>
        </w:rPr>
        <w:t xml:space="preserve">Superannuation Industry (Supervision) </w:t>
      </w:r>
      <w:r>
        <w:rPr>
          <w:i/>
          <w:szCs w:val="22"/>
        </w:rPr>
        <w:t xml:space="preserve">Act </w:t>
      </w:r>
      <w:r w:rsidRPr="005C2E8D">
        <w:rPr>
          <w:i/>
          <w:szCs w:val="22"/>
        </w:rPr>
        <w:t>199</w:t>
      </w:r>
      <w:r>
        <w:rPr>
          <w:i/>
          <w:szCs w:val="22"/>
        </w:rPr>
        <w:t>3</w:t>
      </w:r>
    </w:p>
    <w:p w14:paraId="7D610324" w14:textId="02E3C887" w:rsidR="00F91232" w:rsidRDefault="00F91232" w:rsidP="00F91232">
      <w:pPr>
        <w:ind w:right="91"/>
        <w:jc w:val="center"/>
        <w:rPr>
          <w:i/>
        </w:rPr>
      </w:pPr>
      <w:r w:rsidRPr="005C2E8D">
        <w:rPr>
          <w:i/>
          <w:szCs w:val="22"/>
        </w:rPr>
        <w:t xml:space="preserve">Superannuation Industry (Supervision) </w:t>
      </w:r>
      <w:r>
        <w:rPr>
          <w:i/>
          <w:szCs w:val="22"/>
        </w:rPr>
        <w:t xml:space="preserve">Amendment </w:t>
      </w:r>
      <w:r>
        <w:rPr>
          <w:i/>
        </w:rPr>
        <w:t xml:space="preserve">Regulation </w:t>
      </w:r>
      <w:r w:rsidR="002E0D27">
        <w:rPr>
          <w:i/>
        </w:rPr>
        <w:t xml:space="preserve">2013 </w:t>
      </w:r>
      <w:r w:rsidR="00B13B81">
        <w:rPr>
          <w:i/>
        </w:rPr>
        <w:t>(No. 1</w:t>
      </w:r>
      <w:r w:rsidRPr="00547901">
        <w:rPr>
          <w:i/>
        </w:rPr>
        <w:t>)</w:t>
      </w:r>
    </w:p>
    <w:p w14:paraId="0DC28A98" w14:textId="77777777" w:rsidR="00F91232" w:rsidRDefault="00F91232" w:rsidP="00EB31B6">
      <w:pPr>
        <w:ind w:left="1440" w:right="91" w:hanging="1440"/>
        <w:jc w:val="center"/>
        <w:rPr>
          <w:szCs w:val="22"/>
        </w:rPr>
      </w:pPr>
    </w:p>
    <w:p w14:paraId="7B4BAF20" w14:textId="77777777" w:rsidR="009B14A1" w:rsidRDefault="009B14A1" w:rsidP="00EB31B6">
      <w:pPr>
        <w:ind w:right="91"/>
        <w:jc w:val="center"/>
        <w:rPr>
          <w:i/>
          <w:szCs w:val="22"/>
        </w:rPr>
      </w:pPr>
      <w:r w:rsidRPr="009B14A1">
        <w:rPr>
          <w:i/>
          <w:szCs w:val="22"/>
        </w:rPr>
        <w:t>Retirement Savings Accounts Act 1997</w:t>
      </w:r>
    </w:p>
    <w:p w14:paraId="218A4A86" w14:textId="1A6539F4" w:rsidR="009B14A1" w:rsidRPr="00270D90" w:rsidRDefault="009B14A1" w:rsidP="00EB31B6">
      <w:pPr>
        <w:spacing w:after="120"/>
        <w:ind w:right="-765"/>
        <w:jc w:val="center"/>
        <w:rPr>
          <w:szCs w:val="24"/>
        </w:rPr>
      </w:pPr>
      <w:r w:rsidRPr="00270D90">
        <w:rPr>
          <w:i/>
          <w:iCs/>
          <w:szCs w:val="24"/>
        </w:rPr>
        <w:t xml:space="preserve">Retirement Savings Accounts Amendment Regulation </w:t>
      </w:r>
      <w:r w:rsidR="002E0D27" w:rsidRPr="00270D90">
        <w:rPr>
          <w:i/>
          <w:iCs/>
          <w:szCs w:val="24"/>
        </w:rPr>
        <w:t>201</w:t>
      </w:r>
      <w:r w:rsidR="002E0D27">
        <w:rPr>
          <w:i/>
          <w:iCs/>
          <w:szCs w:val="24"/>
        </w:rPr>
        <w:t>3</w:t>
      </w:r>
      <w:r w:rsidR="002E0D27" w:rsidRPr="00270D90">
        <w:rPr>
          <w:i/>
          <w:iCs/>
          <w:szCs w:val="24"/>
        </w:rPr>
        <w:t xml:space="preserve"> </w:t>
      </w:r>
      <w:r w:rsidRPr="00270D90">
        <w:rPr>
          <w:i/>
          <w:iCs/>
          <w:szCs w:val="24"/>
        </w:rPr>
        <w:t>(No.</w:t>
      </w:r>
      <w:r w:rsidR="00B13B81">
        <w:rPr>
          <w:i/>
          <w:iCs/>
          <w:szCs w:val="24"/>
        </w:rPr>
        <w:t xml:space="preserve"> 1</w:t>
      </w:r>
      <w:r w:rsidRPr="00270D90">
        <w:rPr>
          <w:i/>
          <w:iCs/>
          <w:szCs w:val="24"/>
        </w:rPr>
        <w:t>)</w:t>
      </w:r>
    </w:p>
    <w:p w14:paraId="5159BFBC" w14:textId="77777777" w:rsidR="005C315B" w:rsidRPr="00142F96" w:rsidRDefault="005C315B" w:rsidP="00142F96">
      <w:pPr>
        <w:pStyle w:val="Bullet"/>
        <w:numPr>
          <w:ilvl w:val="0"/>
          <w:numId w:val="0"/>
        </w:numPr>
      </w:pPr>
    </w:p>
    <w:p w14:paraId="7B1D6CF4" w14:textId="77777777" w:rsidR="00A85B81" w:rsidRPr="00A85B81" w:rsidRDefault="00A85B81" w:rsidP="00A85B81">
      <w:pPr>
        <w:spacing w:after="240"/>
        <w:rPr>
          <w:szCs w:val="24"/>
        </w:rPr>
      </w:pPr>
      <w:r w:rsidRPr="00A85B81">
        <w:rPr>
          <w:szCs w:val="24"/>
        </w:rPr>
        <w:t xml:space="preserve">Subsection 353(1) of the </w:t>
      </w:r>
      <w:r w:rsidRPr="00A85B81">
        <w:rPr>
          <w:i/>
          <w:iCs/>
          <w:szCs w:val="24"/>
        </w:rPr>
        <w:t>Superannuation Industry (Supervision) Act 1993</w:t>
      </w:r>
      <w:r w:rsidRPr="00A85B81">
        <w:rPr>
          <w:szCs w:val="24"/>
        </w:rPr>
        <w:t xml:space="preserve"> (SIS Act) </w:t>
      </w:r>
      <w:bookmarkStart w:id="0" w:name="OLE_LINK13"/>
      <w:bookmarkStart w:id="1" w:name="OLE_LINK14"/>
      <w:bookmarkEnd w:id="0"/>
      <w:r w:rsidRPr="00A85B81">
        <w:rPr>
          <w:szCs w:val="24"/>
        </w:rPr>
        <w:t>provides, in part, that the Governor-General may make regulations prescribing matters required or permitted by the SIS Act to be prescribed, or necessary or convenient to be prescribed, for carrying out or giving effect to the SIS Act.</w:t>
      </w:r>
      <w:bookmarkEnd w:id="1"/>
    </w:p>
    <w:p w14:paraId="32E9CECB" w14:textId="77777777" w:rsidR="00A85B81" w:rsidRDefault="00A85B81" w:rsidP="00A85B81">
      <w:pPr>
        <w:spacing w:after="240"/>
        <w:rPr>
          <w:szCs w:val="24"/>
        </w:rPr>
      </w:pPr>
      <w:r w:rsidRPr="00A85B81">
        <w:rPr>
          <w:szCs w:val="24"/>
        </w:rPr>
        <w:t xml:space="preserve">Subsection 200(1) of the </w:t>
      </w:r>
      <w:r w:rsidRPr="00A85B81">
        <w:rPr>
          <w:i/>
          <w:iCs/>
          <w:szCs w:val="24"/>
        </w:rPr>
        <w:t xml:space="preserve">Retirement Savings Accounts Act 1997 </w:t>
      </w:r>
      <w:r w:rsidRPr="00A85B81">
        <w:rPr>
          <w:szCs w:val="24"/>
        </w:rPr>
        <w:t>(RSA Act) provides, in part, that the Governor-General may make regulations prescribing matters required or permitted by the RSA Act to be prescribed, or necessary or convenient to be prescribed, for carrying out or giving effect to the RSA Act.</w:t>
      </w:r>
    </w:p>
    <w:p w14:paraId="4EAF08DA" w14:textId="77777777" w:rsidR="00544F08" w:rsidRPr="00625D28" w:rsidRDefault="00544F08" w:rsidP="0085773E">
      <w:pPr>
        <w:rPr>
          <w:b/>
        </w:rPr>
      </w:pPr>
      <w:r w:rsidRPr="00625D28">
        <w:rPr>
          <w:b/>
        </w:rPr>
        <w:t xml:space="preserve">Electronic portability </w:t>
      </w:r>
      <w:r w:rsidR="00C347FC" w:rsidRPr="00625D28">
        <w:rPr>
          <w:b/>
        </w:rPr>
        <w:t>request</w:t>
      </w:r>
      <w:r w:rsidR="006F142C" w:rsidRPr="00625D28">
        <w:rPr>
          <w:b/>
        </w:rPr>
        <w:t xml:space="preserve"> scheme</w:t>
      </w:r>
    </w:p>
    <w:p w14:paraId="2BF37B7F" w14:textId="77777777" w:rsidR="001B0EED" w:rsidRDefault="001B0EED" w:rsidP="0085773E">
      <w:pPr>
        <w:rPr>
          <w:i/>
        </w:rPr>
      </w:pPr>
    </w:p>
    <w:p w14:paraId="36D58AFB" w14:textId="77777777" w:rsidR="00895997" w:rsidRDefault="00895997" w:rsidP="001B0EED">
      <w:pPr>
        <w:ind w:right="91"/>
      </w:pPr>
      <w:r w:rsidRPr="00895997">
        <w:t>Section 34A</w:t>
      </w:r>
      <w:r>
        <w:t xml:space="preserve"> of the </w:t>
      </w:r>
      <w:r w:rsidRPr="00270D90">
        <w:t xml:space="preserve">SIS Act and </w:t>
      </w:r>
      <w:r w:rsidRPr="00895997">
        <w:t>section 39A</w:t>
      </w:r>
      <w:r>
        <w:t xml:space="preserve"> of the </w:t>
      </w:r>
      <w:r w:rsidRPr="00270D90">
        <w:t>RSA Act</w:t>
      </w:r>
      <w:r>
        <w:t xml:space="preserve"> provide that the respective regulations may prescribe a scheme, referred to in this Explanatory Memorandum as the electronic portability request scheme.</w:t>
      </w:r>
    </w:p>
    <w:p w14:paraId="3941A2D7" w14:textId="77777777" w:rsidR="001B0EED" w:rsidRDefault="001B0EED" w:rsidP="001B0EED">
      <w:pPr>
        <w:ind w:right="91"/>
      </w:pPr>
    </w:p>
    <w:p w14:paraId="2610DBE9" w14:textId="77777777" w:rsidR="008D2D33" w:rsidRDefault="00895997" w:rsidP="004D17E5">
      <w:pPr>
        <w:tabs>
          <w:tab w:val="left" w:pos="1701"/>
          <w:tab w:val="right" w:pos="9072"/>
        </w:tabs>
        <w:spacing w:after="240"/>
        <w:ind w:right="91"/>
      </w:pPr>
      <w:r>
        <w:t xml:space="preserve">The purpose of the amendments is to prescribe the details of the electronic portability request scheme.  Superannuation </w:t>
      </w:r>
      <w:r w:rsidR="00CA269C">
        <w:t>f</w:t>
      </w:r>
      <w:r w:rsidR="000C4607">
        <w:t>und m</w:t>
      </w:r>
      <w:r w:rsidR="008E4D3E">
        <w:t xml:space="preserve">embers </w:t>
      </w:r>
      <w:r w:rsidR="000C4607">
        <w:t xml:space="preserve">and </w:t>
      </w:r>
      <w:r>
        <w:t xml:space="preserve">retirement savings </w:t>
      </w:r>
      <w:r w:rsidR="000C4607">
        <w:t xml:space="preserve">account </w:t>
      </w:r>
      <w:r>
        <w:t xml:space="preserve">(RSA) </w:t>
      </w:r>
      <w:r w:rsidR="000C4607">
        <w:t xml:space="preserve">holders </w:t>
      </w:r>
      <w:r w:rsidR="001F31D9">
        <w:t>may</w:t>
      </w:r>
      <w:r w:rsidR="008E4D3E">
        <w:t xml:space="preserve"> electronically request the rollover or transfer of their </w:t>
      </w:r>
      <w:r w:rsidR="002E0D27">
        <w:t xml:space="preserve">superannuation </w:t>
      </w:r>
      <w:r w:rsidR="008E4D3E">
        <w:t xml:space="preserve">benefits </w:t>
      </w:r>
      <w:r w:rsidR="00A224B1">
        <w:t xml:space="preserve">from their fund or </w:t>
      </w:r>
      <w:r w:rsidR="00C347FC">
        <w:t xml:space="preserve">RSA </w:t>
      </w:r>
      <w:r w:rsidR="008E4D3E">
        <w:t xml:space="preserve">through </w:t>
      </w:r>
      <w:r w:rsidR="00FA1206">
        <w:t>the Australian Taxation Offi</w:t>
      </w:r>
      <w:r w:rsidR="008D2D33">
        <w:t>ce (ATO)</w:t>
      </w:r>
      <w:r>
        <w:t xml:space="preserve"> under the scheme</w:t>
      </w:r>
      <w:r w:rsidR="008D2D33">
        <w:t>.</w:t>
      </w:r>
    </w:p>
    <w:p w14:paraId="6FD15042" w14:textId="77777777" w:rsidR="00895997" w:rsidRDefault="00895997" w:rsidP="00895997">
      <w:pPr>
        <w:tabs>
          <w:tab w:val="left" w:pos="1701"/>
          <w:tab w:val="right" w:pos="9072"/>
        </w:tabs>
        <w:spacing w:after="240"/>
        <w:ind w:right="91"/>
      </w:pPr>
      <w:r>
        <w:t xml:space="preserve">Currently, a fund member or </w:t>
      </w:r>
      <w:r w:rsidR="00244D15">
        <w:t>RSA</w:t>
      </w:r>
      <w:r>
        <w:t xml:space="preserve"> holder must apply </w:t>
      </w:r>
      <w:r w:rsidR="00B77FAB">
        <w:t xml:space="preserve">in writing </w:t>
      </w:r>
      <w:r>
        <w:t>to their fund trustee or RSA</w:t>
      </w:r>
      <w:r w:rsidR="00B77FAB">
        <w:t> </w:t>
      </w:r>
      <w:r>
        <w:t>provider to request the rollover or transfer of their benefits.</w:t>
      </w:r>
    </w:p>
    <w:p w14:paraId="4C00F348" w14:textId="77777777" w:rsidR="008E4D3E" w:rsidRDefault="00D25A3E" w:rsidP="004D17E5">
      <w:pPr>
        <w:tabs>
          <w:tab w:val="left" w:pos="1701"/>
          <w:tab w:val="right" w:pos="9072"/>
        </w:tabs>
        <w:spacing w:after="240"/>
        <w:ind w:right="91"/>
      </w:pPr>
      <w:r>
        <w:t xml:space="preserve">The electronic portability request </w:t>
      </w:r>
      <w:r w:rsidR="00F91232">
        <w:t xml:space="preserve">scheme </w:t>
      </w:r>
      <w:r>
        <w:t xml:space="preserve">is accessible through </w:t>
      </w:r>
      <w:r w:rsidR="002E0D27">
        <w:t xml:space="preserve">an </w:t>
      </w:r>
      <w:r w:rsidR="00081588">
        <w:t xml:space="preserve">online service provided by the ATO, </w:t>
      </w:r>
      <w:r>
        <w:t xml:space="preserve">available on the ATO website.  </w:t>
      </w:r>
      <w:r w:rsidR="00081588">
        <w:t xml:space="preserve">This online service </w:t>
      </w:r>
      <w:r>
        <w:t>provides f</w:t>
      </w:r>
      <w:r w:rsidR="008D2D33">
        <w:t xml:space="preserve">und members and </w:t>
      </w:r>
      <w:r w:rsidR="009B2D42">
        <w:t>RSA</w:t>
      </w:r>
      <w:r w:rsidR="008D2D33">
        <w:t xml:space="preserve"> holders </w:t>
      </w:r>
      <w:r>
        <w:t>with</w:t>
      </w:r>
      <w:r w:rsidR="008D2D33">
        <w:t xml:space="preserve"> information </w:t>
      </w:r>
      <w:r w:rsidR="00081588">
        <w:t xml:space="preserve">that is held by the ATO </w:t>
      </w:r>
      <w:r w:rsidR="008D2D33">
        <w:t>about their superannuation benefits</w:t>
      </w:r>
      <w:r w:rsidR="00081588">
        <w:t>.</w:t>
      </w:r>
      <w:r>
        <w:t xml:space="preserve">  </w:t>
      </w:r>
      <w:r w:rsidR="00FA1206">
        <w:t xml:space="preserve">Members and </w:t>
      </w:r>
      <w:r w:rsidR="009B2D42">
        <w:t>RSA</w:t>
      </w:r>
      <w:r w:rsidR="00FA1206">
        <w:t xml:space="preserve"> holders may also search </w:t>
      </w:r>
      <w:r w:rsidR="00081588">
        <w:t xml:space="preserve">online </w:t>
      </w:r>
      <w:r w:rsidR="00FA1206">
        <w:t>to locate any lost or unclaimed benefits.</w:t>
      </w:r>
      <w:r w:rsidR="00895997">
        <w:t xml:space="preserve">  </w:t>
      </w:r>
    </w:p>
    <w:p w14:paraId="5B81DC02" w14:textId="77777777" w:rsidR="00C222D0" w:rsidRDefault="001718E7" w:rsidP="00C222D0">
      <w:pPr>
        <w:tabs>
          <w:tab w:val="left" w:pos="1701"/>
          <w:tab w:val="right" w:pos="9072"/>
        </w:tabs>
        <w:spacing w:after="240"/>
        <w:ind w:right="91"/>
      </w:pPr>
      <w:r>
        <w:t>The amendments simplify and streamline the</w:t>
      </w:r>
      <w:r w:rsidRPr="002A5B46">
        <w:t xml:space="preserve"> process </w:t>
      </w:r>
      <w:r>
        <w:t xml:space="preserve">for members </w:t>
      </w:r>
      <w:r w:rsidR="00CD17EF">
        <w:t xml:space="preserve">and </w:t>
      </w:r>
      <w:r w:rsidR="009B2D42">
        <w:t>RSA</w:t>
      </w:r>
      <w:r w:rsidR="00CD17EF">
        <w:t xml:space="preserve"> holders </w:t>
      </w:r>
      <w:r w:rsidRPr="002A5B46">
        <w:t xml:space="preserve">to </w:t>
      </w:r>
      <w:r w:rsidR="001F31D9">
        <w:t xml:space="preserve">initiate a </w:t>
      </w:r>
      <w:r>
        <w:t xml:space="preserve">rollover or transfer </w:t>
      </w:r>
      <w:r w:rsidR="001F31D9">
        <w:t xml:space="preserve">of </w:t>
      </w:r>
      <w:r>
        <w:t>their benefits</w:t>
      </w:r>
      <w:r w:rsidR="008D2D33">
        <w:t xml:space="preserve">, </w:t>
      </w:r>
      <w:r w:rsidR="00895997">
        <w:t xml:space="preserve">to </w:t>
      </w:r>
      <w:r w:rsidR="008D2D33">
        <w:t xml:space="preserve">locate and </w:t>
      </w:r>
      <w:r w:rsidRPr="002A5B46">
        <w:t xml:space="preserve">consolidate </w:t>
      </w:r>
      <w:r w:rsidR="008D2D33">
        <w:t xml:space="preserve">their </w:t>
      </w:r>
      <w:r>
        <w:t>benefits</w:t>
      </w:r>
      <w:r w:rsidR="008D2D33">
        <w:t>,</w:t>
      </w:r>
      <w:r>
        <w:t xml:space="preserve"> </w:t>
      </w:r>
      <w:r w:rsidRPr="002A5B46">
        <w:t xml:space="preserve">and avoid paying unnecessary fees </w:t>
      </w:r>
      <w:r w:rsidR="00BB3A25">
        <w:t xml:space="preserve">and charges </w:t>
      </w:r>
      <w:r w:rsidRPr="002A5B46">
        <w:t>on multiple accounts</w:t>
      </w:r>
      <w:r>
        <w:t xml:space="preserve">.  </w:t>
      </w:r>
    </w:p>
    <w:p w14:paraId="1FE2242D" w14:textId="77777777" w:rsidR="00081588" w:rsidRDefault="00081588" w:rsidP="00081588">
      <w:pPr>
        <w:spacing w:after="240"/>
        <w:ind w:right="91"/>
      </w:pPr>
      <w:r w:rsidRPr="00081588">
        <w:t xml:space="preserve">The </w:t>
      </w:r>
      <w:r>
        <w:t xml:space="preserve">amendments </w:t>
      </w:r>
      <w:r w:rsidRPr="00081588">
        <w:t>also make minor amendments to the portability regulations</w:t>
      </w:r>
      <w:r>
        <w:rPr>
          <w:b/>
        </w:rPr>
        <w:t xml:space="preserve"> </w:t>
      </w:r>
      <w:r>
        <w:t xml:space="preserve">in the SIS Regulations and the RSA Regulations to accommodate the electronic portability request scheme.  </w:t>
      </w:r>
    </w:p>
    <w:p w14:paraId="419297F5" w14:textId="77777777" w:rsidR="005B4E59" w:rsidRDefault="005B4E59" w:rsidP="00081588">
      <w:pPr>
        <w:spacing w:after="240"/>
        <w:ind w:right="91"/>
      </w:pPr>
    </w:p>
    <w:p w14:paraId="2FDC6207" w14:textId="77777777" w:rsidR="005430AC" w:rsidRPr="00625D28" w:rsidRDefault="002D3F84" w:rsidP="00142F96">
      <w:pPr>
        <w:tabs>
          <w:tab w:val="left" w:pos="1701"/>
          <w:tab w:val="right" w:pos="9072"/>
        </w:tabs>
        <w:spacing w:after="240"/>
        <w:ind w:right="91"/>
        <w:rPr>
          <w:b/>
        </w:rPr>
      </w:pPr>
      <w:r w:rsidRPr="00625D28">
        <w:rPr>
          <w:b/>
        </w:rPr>
        <w:lastRenderedPageBreak/>
        <w:t>Minor amendments</w:t>
      </w:r>
    </w:p>
    <w:p w14:paraId="34A98015" w14:textId="77777777" w:rsidR="007614B0" w:rsidRDefault="004A651A" w:rsidP="00142F96">
      <w:pPr>
        <w:tabs>
          <w:tab w:val="left" w:pos="1701"/>
          <w:tab w:val="right" w:pos="9072"/>
        </w:tabs>
        <w:spacing w:after="240"/>
        <w:ind w:right="91"/>
      </w:pPr>
      <w:r>
        <w:t xml:space="preserve">The amendments </w:t>
      </w:r>
      <w:r w:rsidR="00244D15">
        <w:t xml:space="preserve">to the regulations </w:t>
      </w:r>
      <w:r w:rsidR="007614B0">
        <w:t xml:space="preserve">also </w:t>
      </w:r>
      <w:r>
        <w:t>make minor amendment</w:t>
      </w:r>
      <w:r w:rsidR="00D87533">
        <w:t>s</w:t>
      </w:r>
      <w:r w:rsidR="002D3F84">
        <w:t xml:space="preserve"> </w:t>
      </w:r>
      <w:r w:rsidR="007614B0">
        <w:t>relating to certain account-based income streams</w:t>
      </w:r>
      <w:r w:rsidR="00544F08">
        <w:t>,</w:t>
      </w:r>
      <w:r w:rsidR="007614B0">
        <w:t xml:space="preserve"> and </w:t>
      </w:r>
      <w:r w:rsidR="0040291F">
        <w:t xml:space="preserve">to </w:t>
      </w:r>
      <w:r w:rsidR="007614B0">
        <w:t xml:space="preserve">the time </w:t>
      </w:r>
      <w:r w:rsidR="00EA66B2">
        <w:t xml:space="preserve">frame </w:t>
      </w:r>
      <w:r w:rsidR="007614B0">
        <w:t>in which trustees are required to roll</w:t>
      </w:r>
      <w:r w:rsidR="003353F1">
        <w:t xml:space="preserve"> </w:t>
      </w:r>
      <w:r w:rsidR="007614B0">
        <w:t>over or transfer a member’s benefits in certain circumstances.</w:t>
      </w:r>
    </w:p>
    <w:p w14:paraId="65A381CA" w14:textId="77777777" w:rsidR="00E57FC9" w:rsidRDefault="008B236F" w:rsidP="00142F96">
      <w:pPr>
        <w:spacing w:after="240"/>
        <w:rPr>
          <w:szCs w:val="24"/>
        </w:rPr>
      </w:pPr>
      <w:r w:rsidRPr="008B236F">
        <w:rPr>
          <w:szCs w:val="24"/>
        </w:rPr>
        <w:t xml:space="preserve">Details of the amendments to the SIS Regulations are set out in </w:t>
      </w:r>
      <w:r w:rsidRPr="008B236F">
        <w:rPr>
          <w:szCs w:val="24"/>
          <w:u w:val="single"/>
        </w:rPr>
        <w:t>Attachment</w:t>
      </w:r>
      <w:r w:rsidR="00244D15">
        <w:rPr>
          <w:szCs w:val="24"/>
          <w:u w:val="single"/>
        </w:rPr>
        <w:t> </w:t>
      </w:r>
      <w:r w:rsidRPr="008B236F">
        <w:rPr>
          <w:szCs w:val="24"/>
          <w:u w:val="single"/>
        </w:rPr>
        <w:t>A</w:t>
      </w:r>
      <w:r w:rsidRPr="008B236F">
        <w:rPr>
          <w:b/>
          <w:bCs/>
          <w:szCs w:val="24"/>
        </w:rPr>
        <w:t xml:space="preserve"> </w:t>
      </w:r>
      <w:r w:rsidRPr="008B236F">
        <w:rPr>
          <w:szCs w:val="24"/>
        </w:rPr>
        <w:t>and details of the amendments to the RSA Regulations are set</w:t>
      </w:r>
      <w:r w:rsidR="00244D15">
        <w:rPr>
          <w:szCs w:val="24"/>
        </w:rPr>
        <w:t> </w:t>
      </w:r>
      <w:r w:rsidRPr="008B236F">
        <w:rPr>
          <w:szCs w:val="24"/>
        </w:rPr>
        <w:t xml:space="preserve">out in </w:t>
      </w:r>
      <w:r w:rsidRPr="008B236F">
        <w:rPr>
          <w:szCs w:val="24"/>
          <w:u w:val="single"/>
        </w:rPr>
        <w:t>Attachment B</w:t>
      </w:r>
      <w:r w:rsidRPr="008B236F">
        <w:rPr>
          <w:szCs w:val="24"/>
        </w:rPr>
        <w:t>.</w:t>
      </w:r>
      <w:r w:rsidR="00065DFA">
        <w:rPr>
          <w:szCs w:val="24"/>
        </w:rPr>
        <w:t xml:space="preserve">  </w:t>
      </w:r>
      <w:r w:rsidRPr="008B236F">
        <w:rPr>
          <w:szCs w:val="24"/>
        </w:rPr>
        <w:t xml:space="preserve"> </w:t>
      </w:r>
      <w:r w:rsidR="00F91232">
        <w:rPr>
          <w:szCs w:val="24"/>
        </w:rPr>
        <w:t>A s</w:t>
      </w:r>
      <w:r w:rsidR="00065DFA">
        <w:t xml:space="preserve">tatement of compatibility with human rights for the amendments to the SIS Regulations and RSA Regulations </w:t>
      </w:r>
      <w:r w:rsidR="00F91232">
        <w:t>is</w:t>
      </w:r>
      <w:r w:rsidR="00065DFA">
        <w:t xml:space="preserve"> also provided.</w:t>
      </w:r>
    </w:p>
    <w:p w14:paraId="4CB70C42" w14:textId="77777777" w:rsidR="008B236F" w:rsidRDefault="008B236F" w:rsidP="00142F96">
      <w:pPr>
        <w:tabs>
          <w:tab w:val="left" w:pos="1701"/>
          <w:tab w:val="right" w:pos="9072"/>
        </w:tabs>
        <w:spacing w:after="240"/>
        <w:ind w:right="91"/>
      </w:pPr>
      <w:r>
        <w:t xml:space="preserve">The SIS Act and the RSA Act specify no conditions that need to be </w:t>
      </w:r>
      <w:r w:rsidR="00D37B6E">
        <w:t xml:space="preserve">met </w:t>
      </w:r>
      <w:r>
        <w:t>before the power to make the Regulation</w:t>
      </w:r>
      <w:r w:rsidR="00D37B6E">
        <w:t>s</w:t>
      </w:r>
      <w:r>
        <w:t xml:space="preserve"> may be exercised.</w:t>
      </w:r>
    </w:p>
    <w:p w14:paraId="255E0CB5" w14:textId="77777777" w:rsidR="008B236F" w:rsidRDefault="008B236F" w:rsidP="00142F96">
      <w:pPr>
        <w:tabs>
          <w:tab w:val="left" w:pos="1701"/>
          <w:tab w:val="right" w:pos="9072"/>
        </w:tabs>
        <w:spacing w:after="240"/>
        <w:ind w:right="91"/>
      </w:pPr>
      <w:r>
        <w:t xml:space="preserve">The Regulations </w:t>
      </w:r>
      <w:r w:rsidR="00D37B6E">
        <w:t>are</w:t>
      </w:r>
      <w:r>
        <w:t xml:space="preserve"> legislative instruments for the purposes of the </w:t>
      </w:r>
      <w:r>
        <w:rPr>
          <w:i/>
        </w:rPr>
        <w:t>Legislative Instruments Act 2003</w:t>
      </w:r>
      <w:r>
        <w:t>.</w:t>
      </w:r>
    </w:p>
    <w:p w14:paraId="241A2F3B" w14:textId="77777777" w:rsidR="00D37B6E" w:rsidRDefault="008B236F" w:rsidP="00625D28">
      <w:pPr>
        <w:spacing w:before="100" w:beforeAutospacing="1" w:after="240"/>
        <w:ind w:right="91"/>
      </w:pPr>
      <w:r>
        <w:t xml:space="preserve">The Regulations commence on the day after they are registered on the Federal Register of Legislative Instruments.  </w:t>
      </w:r>
    </w:p>
    <w:p w14:paraId="1B92BC1C" w14:textId="77777777" w:rsidR="00182358" w:rsidRPr="008F5121" w:rsidRDefault="00182358" w:rsidP="00625D28">
      <w:pPr>
        <w:spacing w:before="100" w:beforeAutospacing="1" w:after="240"/>
        <w:ind w:right="91"/>
        <w:rPr>
          <w:szCs w:val="24"/>
        </w:rPr>
      </w:pPr>
      <w:r w:rsidRPr="008F5121">
        <w:rPr>
          <w:szCs w:val="24"/>
        </w:rPr>
        <w:t>Public consultation on the draft regulations was conducted through the Department of the Treasury website between 18 September and 28 September 2012.  Six </w:t>
      </w:r>
      <w:r w:rsidR="001F31D9" w:rsidRPr="008F5121">
        <w:rPr>
          <w:szCs w:val="24"/>
        </w:rPr>
        <w:t>submissions were received</w:t>
      </w:r>
      <w:r w:rsidRPr="008F5121">
        <w:rPr>
          <w:szCs w:val="24"/>
        </w:rPr>
        <w:t xml:space="preserve">.  </w:t>
      </w:r>
    </w:p>
    <w:p w14:paraId="67473132" w14:textId="77777777" w:rsidR="005C315B" w:rsidRDefault="005C315B" w:rsidP="00142F96">
      <w:pPr>
        <w:tabs>
          <w:tab w:val="left" w:pos="1701"/>
          <w:tab w:val="right" w:pos="9072"/>
        </w:tabs>
        <w:ind w:right="91"/>
      </w:pPr>
    </w:p>
    <w:p w14:paraId="31373FC1" w14:textId="77777777" w:rsidR="006C7B36" w:rsidRPr="00BF3E31" w:rsidRDefault="006C7B36" w:rsidP="00142F96">
      <w:pPr>
        <w:tabs>
          <w:tab w:val="left" w:pos="1701"/>
          <w:tab w:val="right" w:pos="9072"/>
        </w:tabs>
        <w:ind w:right="91"/>
      </w:pPr>
    </w:p>
    <w:p w14:paraId="2F959ADE" w14:textId="77777777" w:rsidR="005C315B" w:rsidRDefault="008B236F" w:rsidP="008F5121">
      <w:pPr>
        <w:tabs>
          <w:tab w:val="left" w:pos="2835"/>
        </w:tabs>
        <w:spacing w:after="240"/>
        <w:ind w:right="91"/>
        <w:jc w:val="right"/>
        <w:rPr>
          <w:i/>
          <w:iCs/>
          <w:szCs w:val="24"/>
        </w:rPr>
      </w:pPr>
      <w:r w:rsidRPr="00DB3D47">
        <w:tab/>
      </w:r>
      <w:r w:rsidR="00823532" w:rsidRPr="00DB3D47">
        <w:tab/>
      </w:r>
      <w:r w:rsidR="00823532" w:rsidRPr="00DB3D47">
        <w:tab/>
      </w:r>
      <w:r w:rsidR="00A32B49" w:rsidRPr="00DB3D47">
        <w:rPr>
          <w:u w:val="single"/>
        </w:rPr>
        <w:t>Authority</w:t>
      </w:r>
      <w:r w:rsidR="00A32B49" w:rsidRPr="00DB3D47">
        <w:t xml:space="preserve">:  </w:t>
      </w:r>
      <w:r w:rsidRPr="00DB3D47">
        <w:rPr>
          <w:szCs w:val="24"/>
        </w:rPr>
        <w:t>Subsection 353(1) of the</w:t>
      </w:r>
      <w:r w:rsidRPr="00A85B81">
        <w:rPr>
          <w:szCs w:val="24"/>
        </w:rPr>
        <w:t xml:space="preserve"> </w:t>
      </w:r>
      <w:r w:rsidRPr="00A85B81">
        <w:rPr>
          <w:i/>
          <w:iCs/>
          <w:szCs w:val="24"/>
        </w:rPr>
        <w:t>Superannuation Industry (Supervision) Act 1993</w:t>
      </w:r>
    </w:p>
    <w:p w14:paraId="196302A1" w14:textId="77777777" w:rsidR="008B236F" w:rsidRDefault="008B236F">
      <w:pPr>
        <w:tabs>
          <w:tab w:val="left" w:pos="2835"/>
        </w:tabs>
        <w:spacing w:after="240"/>
        <w:ind w:right="91"/>
        <w:jc w:val="right"/>
        <w:rPr>
          <w:i/>
          <w:iCs/>
          <w:szCs w:val="24"/>
        </w:rPr>
      </w:pPr>
      <w:r>
        <w:rPr>
          <w:szCs w:val="24"/>
        </w:rPr>
        <w:tab/>
      </w:r>
      <w:r w:rsidR="00823532">
        <w:rPr>
          <w:szCs w:val="24"/>
        </w:rPr>
        <w:tab/>
      </w:r>
      <w:r w:rsidR="00823532">
        <w:rPr>
          <w:szCs w:val="24"/>
        </w:rPr>
        <w:tab/>
        <w:t xml:space="preserve">   </w:t>
      </w:r>
      <w:r w:rsidR="00823532">
        <w:rPr>
          <w:szCs w:val="24"/>
        </w:rPr>
        <w:tab/>
      </w:r>
      <w:r w:rsidR="00823532">
        <w:rPr>
          <w:szCs w:val="24"/>
        </w:rPr>
        <w:tab/>
        <w:t xml:space="preserve">  </w:t>
      </w:r>
      <w:r w:rsidRPr="00A85B81">
        <w:rPr>
          <w:szCs w:val="24"/>
        </w:rPr>
        <w:t xml:space="preserve">Subsection 200(1) of the </w:t>
      </w:r>
      <w:r w:rsidRPr="00A85B81">
        <w:rPr>
          <w:i/>
          <w:iCs/>
          <w:szCs w:val="24"/>
        </w:rPr>
        <w:t>Retirement Savings Accounts Act 1997</w:t>
      </w:r>
    </w:p>
    <w:p w14:paraId="06689503" w14:textId="77777777" w:rsidR="005C315B" w:rsidRDefault="005C315B" w:rsidP="00625D28">
      <w:pPr>
        <w:tabs>
          <w:tab w:val="left" w:pos="2835"/>
        </w:tabs>
        <w:spacing w:after="240"/>
        <w:ind w:right="91"/>
        <w:jc w:val="right"/>
      </w:pPr>
    </w:p>
    <w:p w14:paraId="7529423E" w14:textId="77777777" w:rsidR="00DB3D47" w:rsidRPr="009C7A63" w:rsidRDefault="00A32B49" w:rsidP="00DB3D47">
      <w:pPr>
        <w:ind w:right="91"/>
        <w:jc w:val="right"/>
        <w:rPr>
          <w:u w:val="single"/>
        </w:rPr>
      </w:pPr>
      <w:r>
        <w:rPr>
          <w:sz w:val="16"/>
        </w:rPr>
        <w:br w:type="page"/>
      </w:r>
      <w:r w:rsidR="00DB3D47" w:rsidRPr="009C7A63">
        <w:rPr>
          <w:b/>
          <w:u w:val="single"/>
        </w:rPr>
        <w:lastRenderedPageBreak/>
        <w:t>ATTACHMENT</w:t>
      </w:r>
      <w:r w:rsidR="00DB3D47">
        <w:rPr>
          <w:b/>
          <w:u w:val="single"/>
        </w:rPr>
        <w:t xml:space="preserve"> A</w:t>
      </w:r>
    </w:p>
    <w:p w14:paraId="4ADF4088" w14:textId="77777777" w:rsidR="00DB3D47" w:rsidRDefault="00DB3D47" w:rsidP="00DB3D47">
      <w:pPr>
        <w:ind w:right="91"/>
        <w:jc w:val="right"/>
      </w:pPr>
    </w:p>
    <w:p w14:paraId="71BB6C8E" w14:textId="386D0063" w:rsidR="00DB3D47" w:rsidRPr="007373CA" w:rsidRDefault="00DB3D47" w:rsidP="00DB3D47">
      <w:pPr>
        <w:ind w:right="91"/>
        <w:rPr>
          <w:u w:val="single"/>
        </w:rPr>
      </w:pPr>
      <w:r w:rsidRPr="007373CA">
        <w:rPr>
          <w:b/>
        </w:rPr>
        <w:t xml:space="preserve">Details of the </w:t>
      </w:r>
      <w:r w:rsidRPr="001024EA">
        <w:rPr>
          <w:b/>
          <w:i/>
        </w:rPr>
        <w:t xml:space="preserve">Superannuation Industry (Supervision) Amendment Regulation </w:t>
      </w:r>
      <w:r w:rsidR="002E0D27" w:rsidRPr="001024EA">
        <w:rPr>
          <w:b/>
          <w:i/>
        </w:rPr>
        <w:t>201</w:t>
      </w:r>
      <w:r w:rsidR="002E0D27">
        <w:rPr>
          <w:b/>
          <w:i/>
        </w:rPr>
        <w:t>3</w:t>
      </w:r>
      <w:r w:rsidR="002E0D27" w:rsidRPr="001024EA">
        <w:rPr>
          <w:b/>
          <w:i/>
        </w:rPr>
        <w:t xml:space="preserve"> </w:t>
      </w:r>
      <w:r w:rsidRPr="001024EA">
        <w:rPr>
          <w:b/>
          <w:i/>
        </w:rPr>
        <w:t xml:space="preserve">(No. </w:t>
      </w:r>
      <w:r w:rsidR="00B13B81">
        <w:rPr>
          <w:b/>
          <w:i/>
        </w:rPr>
        <w:t>1</w:t>
      </w:r>
      <w:r w:rsidRPr="001024EA">
        <w:rPr>
          <w:b/>
          <w:i/>
        </w:rPr>
        <w:t>)</w:t>
      </w:r>
    </w:p>
    <w:p w14:paraId="3E408AE8" w14:textId="77777777" w:rsidR="00DB3D47" w:rsidRDefault="00DB3D47" w:rsidP="00DB3D47">
      <w:pPr>
        <w:ind w:right="91"/>
      </w:pPr>
    </w:p>
    <w:p w14:paraId="4D1DC1C5" w14:textId="77777777" w:rsidR="00DB3D47" w:rsidRDefault="00DB3D47" w:rsidP="00DB3D47">
      <w:pPr>
        <w:ind w:right="91"/>
      </w:pPr>
    </w:p>
    <w:p w14:paraId="099F7418" w14:textId="56D1E31E" w:rsidR="00DB3D47" w:rsidRPr="007373CA" w:rsidRDefault="00F91232" w:rsidP="00DB3D47">
      <w:pPr>
        <w:spacing w:after="240"/>
        <w:ind w:right="91"/>
      </w:pPr>
      <w:r>
        <w:rPr>
          <w:b/>
        </w:rPr>
        <w:t>Section</w:t>
      </w:r>
      <w:r w:rsidRPr="00DB3D47">
        <w:rPr>
          <w:b/>
        </w:rPr>
        <w:t xml:space="preserve"> </w:t>
      </w:r>
      <w:r w:rsidR="00DB3D47" w:rsidRPr="00DB3D47">
        <w:rPr>
          <w:b/>
        </w:rPr>
        <w:t>1</w:t>
      </w:r>
      <w:r w:rsidR="00DB3D47" w:rsidRPr="00DB3D47">
        <w:t xml:space="preserve"> </w:t>
      </w:r>
      <w:r w:rsidR="001F31D9" w:rsidRPr="00DB3D47">
        <w:t>specif</w:t>
      </w:r>
      <w:r w:rsidR="001F31D9">
        <w:t>ies</w:t>
      </w:r>
      <w:r w:rsidR="001F31D9" w:rsidRPr="00DB3D47">
        <w:t xml:space="preserve"> </w:t>
      </w:r>
      <w:r w:rsidR="00DB3D47" w:rsidRPr="00DB3D47">
        <w:t>the name</w:t>
      </w:r>
      <w:r w:rsidR="003E6B0E">
        <w:t xml:space="preserve"> </w:t>
      </w:r>
      <w:r w:rsidR="00DB3D47" w:rsidRPr="007373CA">
        <w:t xml:space="preserve">of the Regulation is the </w:t>
      </w:r>
      <w:r w:rsidR="00DB3D47" w:rsidRPr="001024EA">
        <w:rPr>
          <w:i/>
        </w:rPr>
        <w:t xml:space="preserve">Superannuation Industry (Supervision) Amendment Regulation </w:t>
      </w:r>
      <w:r w:rsidR="002E0D27" w:rsidRPr="001024EA">
        <w:rPr>
          <w:i/>
        </w:rPr>
        <w:t>201</w:t>
      </w:r>
      <w:r w:rsidR="002E0D27">
        <w:rPr>
          <w:i/>
        </w:rPr>
        <w:t>3</w:t>
      </w:r>
      <w:r w:rsidR="002E0D27" w:rsidRPr="001024EA">
        <w:rPr>
          <w:i/>
        </w:rPr>
        <w:t xml:space="preserve"> </w:t>
      </w:r>
      <w:r w:rsidR="00DB3D47" w:rsidRPr="001024EA">
        <w:rPr>
          <w:i/>
        </w:rPr>
        <w:t xml:space="preserve">(No. </w:t>
      </w:r>
      <w:r w:rsidR="00B13B81">
        <w:rPr>
          <w:i/>
        </w:rPr>
        <w:t>1</w:t>
      </w:r>
      <w:r w:rsidR="00DB3D47" w:rsidRPr="001024EA">
        <w:rPr>
          <w:i/>
        </w:rPr>
        <w:t>)</w:t>
      </w:r>
      <w:r w:rsidR="00DB3D47" w:rsidRPr="007373CA">
        <w:t>.</w:t>
      </w:r>
    </w:p>
    <w:p w14:paraId="453561CF" w14:textId="77777777" w:rsidR="00DB3D47" w:rsidRPr="00224C83" w:rsidRDefault="00F91232" w:rsidP="00DB3D47">
      <w:pPr>
        <w:spacing w:after="240"/>
        <w:ind w:right="91"/>
      </w:pPr>
      <w:r>
        <w:rPr>
          <w:b/>
        </w:rPr>
        <w:t>Section</w:t>
      </w:r>
      <w:r w:rsidRPr="00DB3D47">
        <w:rPr>
          <w:b/>
        </w:rPr>
        <w:t xml:space="preserve"> </w:t>
      </w:r>
      <w:r w:rsidR="00DB3D47" w:rsidRPr="00DB3D47">
        <w:rPr>
          <w:b/>
        </w:rPr>
        <w:t>2</w:t>
      </w:r>
      <w:r w:rsidR="00DB3D47" w:rsidRPr="00DB44F1">
        <w:t xml:space="preserve"> </w:t>
      </w:r>
      <w:r w:rsidR="00DB3D47">
        <w:t>provide</w:t>
      </w:r>
      <w:r w:rsidR="001F31D9">
        <w:t>s</w:t>
      </w:r>
      <w:r w:rsidR="00DB3D47">
        <w:t xml:space="preserve"> that the Regulation</w:t>
      </w:r>
      <w:r w:rsidR="00DB3D47" w:rsidRPr="00224C83">
        <w:t xml:space="preserve"> </w:t>
      </w:r>
      <w:r w:rsidR="00DB3D47">
        <w:t>commence</w:t>
      </w:r>
      <w:r w:rsidR="001F31D9">
        <w:t>s</w:t>
      </w:r>
      <w:r w:rsidR="00DB3D47">
        <w:t xml:space="preserve"> on the day after it is registered.  </w:t>
      </w:r>
      <w:r w:rsidR="00DB3D47" w:rsidRPr="00224C83">
        <w:t xml:space="preserve"> </w:t>
      </w:r>
    </w:p>
    <w:p w14:paraId="2BF618AB" w14:textId="77777777" w:rsidR="00DB3D47" w:rsidRPr="00DB3D47" w:rsidRDefault="00F91232" w:rsidP="00DB3D47">
      <w:pPr>
        <w:spacing w:after="240"/>
        <w:ind w:right="91"/>
      </w:pPr>
      <w:r>
        <w:rPr>
          <w:b/>
        </w:rPr>
        <w:t>Section</w:t>
      </w:r>
      <w:r w:rsidRPr="00DB3D47">
        <w:rPr>
          <w:b/>
        </w:rPr>
        <w:t xml:space="preserve"> </w:t>
      </w:r>
      <w:r w:rsidR="00DB3D47" w:rsidRPr="00DB3D47">
        <w:rPr>
          <w:b/>
        </w:rPr>
        <w:t>3</w:t>
      </w:r>
      <w:r w:rsidR="00DB3D47" w:rsidRPr="00DB3D47">
        <w:t xml:space="preserve"> </w:t>
      </w:r>
      <w:r w:rsidR="00C5202A">
        <w:t>provide</w:t>
      </w:r>
      <w:r w:rsidR="001F31D9">
        <w:t>s</w:t>
      </w:r>
      <w:r w:rsidR="00DB3D47" w:rsidRPr="00DB3D47">
        <w:t xml:space="preserve"> that Schedule 1 amend</w:t>
      </w:r>
      <w:r w:rsidR="001F31D9">
        <w:t>s</w:t>
      </w:r>
      <w:r w:rsidR="00DB3D47" w:rsidRPr="00DB3D47">
        <w:t xml:space="preserve"> the </w:t>
      </w:r>
      <w:r w:rsidR="00DB3D47" w:rsidRPr="00DB3D47">
        <w:rPr>
          <w:i/>
        </w:rPr>
        <w:t xml:space="preserve">Superannuation Industry (Supervision) Regulations 1994 </w:t>
      </w:r>
      <w:r w:rsidR="00DB3D47" w:rsidRPr="00DB3D47">
        <w:t>(SIS Regulations)</w:t>
      </w:r>
      <w:r w:rsidR="00DB3D47">
        <w:t>.</w:t>
      </w:r>
    </w:p>
    <w:p w14:paraId="1B1D2320" w14:textId="77777777" w:rsidR="00DB3D47" w:rsidRDefault="00DB3D47" w:rsidP="00DB3D47">
      <w:pPr>
        <w:spacing w:after="240"/>
        <w:ind w:right="91"/>
        <w:rPr>
          <w:b/>
        </w:rPr>
      </w:pPr>
      <w:r w:rsidRPr="00DB3D47">
        <w:rPr>
          <w:b/>
        </w:rPr>
        <w:t>Schedule 1 Amendments</w:t>
      </w:r>
    </w:p>
    <w:p w14:paraId="47D955A5" w14:textId="77777777" w:rsidR="002D3F84" w:rsidRDefault="002D3F84" w:rsidP="00DB3D47">
      <w:pPr>
        <w:spacing w:after="240"/>
        <w:ind w:right="91"/>
        <w:rPr>
          <w:b/>
        </w:rPr>
      </w:pPr>
      <w:r w:rsidRPr="00BD7053">
        <w:rPr>
          <w:b/>
        </w:rPr>
        <w:t>Electronic portability request</w:t>
      </w:r>
      <w:r w:rsidR="006F142C" w:rsidRPr="00BD7053">
        <w:rPr>
          <w:b/>
        </w:rPr>
        <w:t xml:space="preserve"> scheme</w:t>
      </w:r>
    </w:p>
    <w:p w14:paraId="77B77EAB" w14:textId="77777777" w:rsidR="008008DF" w:rsidRPr="008008DF" w:rsidRDefault="008008DF" w:rsidP="00DB3D47">
      <w:pPr>
        <w:spacing w:after="240"/>
        <w:ind w:right="91"/>
      </w:pPr>
      <w:r w:rsidRPr="008008DF">
        <w:t>Division 6.5 of the SIS Regulations provides for the compulsory rollover and transfer of superannuation benefit</w:t>
      </w:r>
      <w:r>
        <w:t>s</w:t>
      </w:r>
      <w:r w:rsidRPr="008008DF">
        <w:t xml:space="preserve"> in regulated superannuation funds and approved deposit funds</w:t>
      </w:r>
      <w:r>
        <w:t xml:space="preserve"> (</w:t>
      </w:r>
      <w:r w:rsidR="00C347FC">
        <w:t xml:space="preserve">the </w:t>
      </w:r>
      <w:r>
        <w:t>portability</w:t>
      </w:r>
      <w:r w:rsidR="00C347FC">
        <w:t xml:space="preserve"> arrangements</w:t>
      </w:r>
      <w:r>
        <w:t>)</w:t>
      </w:r>
      <w:r w:rsidRPr="008008DF">
        <w:t xml:space="preserve">. </w:t>
      </w:r>
    </w:p>
    <w:p w14:paraId="55835D42" w14:textId="77777777" w:rsidR="0047093E" w:rsidRPr="007C0BA5" w:rsidRDefault="00D25A3E" w:rsidP="0047093E">
      <w:pPr>
        <w:pStyle w:val="Bullet"/>
        <w:numPr>
          <w:ilvl w:val="0"/>
          <w:numId w:val="0"/>
        </w:numPr>
        <w:ind w:left="567" w:hanging="567"/>
        <w:rPr>
          <w:b/>
          <w:i/>
          <w:highlight w:val="yellow"/>
        </w:rPr>
      </w:pPr>
      <w:r>
        <w:rPr>
          <w:b/>
          <w:i/>
        </w:rPr>
        <w:t>Introduction of the electronic portability request scheme</w:t>
      </w:r>
    </w:p>
    <w:p w14:paraId="2B9D7F79" w14:textId="77777777" w:rsidR="0047093E" w:rsidRDefault="0047093E" w:rsidP="003353F1">
      <w:pPr>
        <w:pStyle w:val="Bullet"/>
        <w:numPr>
          <w:ilvl w:val="0"/>
          <w:numId w:val="0"/>
        </w:numPr>
        <w:ind w:left="567" w:hanging="567"/>
      </w:pPr>
    </w:p>
    <w:p w14:paraId="54301E45" w14:textId="77777777" w:rsidR="0049610B" w:rsidRDefault="0049610B" w:rsidP="003353F1">
      <w:pPr>
        <w:pStyle w:val="Bullet"/>
        <w:numPr>
          <w:ilvl w:val="0"/>
          <w:numId w:val="0"/>
        </w:numPr>
        <w:ind w:left="567" w:hanging="567"/>
      </w:pPr>
      <w:r w:rsidRPr="00CD17EF">
        <w:rPr>
          <w:b/>
        </w:rPr>
        <w:t xml:space="preserve">Item </w:t>
      </w:r>
      <w:r w:rsidR="00F91232">
        <w:rPr>
          <w:b/>
        </w:rPr>
        <w:t>7</w:t>
      </w:r>
      <w:r w:rsidR="00F91232">
        <w:t xml:space="preserve"> </w:t>
      </w:r>
      <w:r>
        <w:t>insert</w:t>
      </w:r>
      <w:r w:rsidR="001F31D9">
        <w:t>s</w:t>
      </w:r>
      <w:r>
        <w:t xml:space="preserve"> Part 6A into the SIS Regulations.</w:t>
      </w:r>
    </w:p>
    <w:p w14:paraId="55062AAF" w14:textId="77777777" w:rsidR="0049610B" w:rsidRDefault="0049610B" w:rsidP="003353F1">
      <w:pPr>
        <w:pStyle w:val="Bullet"/>
        <w:numPr>
          <w:ilvl w:val="0"/>
          <w:numId w:val="0"/>
        </w:numPr>
        <w:ind w:left="567" w:hanging="567"/>
      </w:pPr>
    </w:p>
    <w:p w14:paraId="68A071CF" w14:textId="77777777" w:rsidR="0049610B" w:rsidRDefault="001F31D9" w:rsidP="00CD17EF">
      <w:r>
        <w:t>R</w:t>
      </w:r>
      <w:r w:rsidR="008D47F1">
        <w:t>egulation 6A.01</w:t>
      </w:r>
      <w:r w:rsidR="0049610B">
        <w:t xml:space="preserve"> </w:t>
      </w:r>
      <w:r w:rsidR="00CD17EF">
        <w:t>of the SIS Regulations prescribe</w:t>
      </w:r>
      <w:r>
        <w:t>s</w:t>
      </w:r>
      <w:r w:rsidR="00CD17EF">
        <w:t xml:space="preserve"> </w:t>
      </w:r>
      <w:r w:rsidR="0049610B">
        <w:t xml:space="preserve">the </w:t>
      </w:r>
      <w:r w:rsidR="0049610B" w:rsidRPr="00BB3A25">
        <w:t xml:space="preserve">electronic portability </w:t>
      </w:r>
      <w:r w:rsidR="008B0C37" w:rsidRPr="00BB3A25">
        <w:t xml:space="preserve">request </w:t>
      </w:r>
      <w:r w:rsidR="0049610B" w:rsidRPr="00BB3A25">
        <w:t>scheme</w:t>
      </w:r>
      <w:r w:rsidR="0049610B">
        <w:t xml:space="preserve">, under which a </w:t>
      </w:r>
      <w:r w:rsidR="00D36D10">
        <w:t xml:space="preserve">member of a regulated superannuation fund or approved deposit fund </w:t>
      </w:r>
      <w:r w:rsidR="0049610B">
        <w:t xml:space="preserve">may give the Commissioner </w:t>
      </w:r>
      <w:r w:rsidR="00D25A3E">
        <w:t xml:space="preserve">of Taxation </w:t>
      </w:r>
      <w:r w:rsidR="0049610B">
        <w:t xml:space="preserve">a request to roll over or transfer the member’s </w:t>
      </w:r>
      <w:r w:rsidR="00EE6E9F">
        <w:t xml:space="preserve">withdrawal </w:t>
      </w:r>
      <w:r w:rsidR="0049610B">
        <w:t>benefits</w:t>
      </w:r>
      <w:r w:rsidR="000C4607">
        <w:t xml:space="preserve"> held in th</w:t>
      </w:r>
      <w:r w:rsidR="00F90D86">
        <w:t>e</w:t>
      </w:r>
      <w:r w:rsidR="000C4607">
        <w:t xml:space="preserve"> fund, and the Commissioner may give the request to the fund’s trustee.</w:t>
      </w:r>
    </w:p>
    <w:p w14:paraId="6E3B042A" w14:textId="77777777" w:rsidR="006F142C" w:rsidRDefault="006F142C" w:rsidP="00CD17EF"/>
    <w:p w14:paraId="691BA3A9" w14:textId="77777777" w:rsidR="00CD17EF" w:rsidRDefault="00CD17EF" w:rsidP="00204FB2">
      <w:r>
        <w:t xml:space="preserve">The scheme is </w:t>
      </w:r>
      <w:r w:rsidR="008B0C37" w:rsidRPr="00BB3A25">
        <w:t>given effect</w:t>
      </w:r>
      <w:r w:rsidR="008B0C37">
        <w:t xml:space="preserve"> by</w:t>
      </w:r>
      <w:r>
        <w:t xml:space="preserve"> section 34A of the SIS Act.</w:t>
      </w:r>
    </w:p>
    <w:p w14:paraId="64627384" w14:textId="77777777" w:rsidR="000C4607" w:rsidRDefault="000C4607" w:rsidP="003353F1">
      <w:pPr>
        <w:pStyle w:val="Bullet"/>
        <w:numPr>
          <w:ilvl w:val="0"/>
          <w:numId w:val="0"/>
        </w:numPr>
        <w:ind w:left="567" w:hanging="567"/>
      </w:pPr>
    </w:p>
    <w:p w14:paraId="2FF68916" w14:textId="13D2CD90" w:rsidR="000C4607" w:rsidRDefault="00847F55" w:rsidP="00847F55">
      <w:pPr>
        <w:spacing w:after="120"/>
      </w:pPr>
      <w:r>
        <w:t>The scheme provide</w:t>
      </w:r>
      <w:r w:rsidR="001F31D9">
        <w:t>s</w:t>
      </w:r>
      <w:r>
        <w:t xml:space="preserve"> a simple and streamlined process for members to </w:t>
      </w:r>
      <w:r w:rsidR="00395FB5">
        <w:t xml:space="preserve">initiate </w:t>
      </w:r>
      <w:r>
        <w:t xml:space="preserve">the rollover or transfer of their benefits.  </w:t>
      </w:r>
      <w:r w:rsidR="007C0BA5">
        <w:t>K</w:t>
      </w:r>
      <w:r>
        <w:t>e</w:t>
      </w:r>
      <w:r w:rsidR="00B13B81">
        <w:t>y differences between the</w:t>
      </w:r>
      <w:r>
        <w:t xml:space="preserve"> scheme and the existing portability arrangements </w:t>
      </w:r>
      <w:r w:rsidR="007C0BA5">
        <w:t>include</w:t>
      </w:r>
      <w:r>
        <w:t>:</w:t>
      </w:r>
    </w:p>
    <w:p w14:paraId="1FF5EDAE" w14:textId="77777777" w:rsidR="00847F55" w:rsidRDefault="00847F55" w:rsidP="00847F55">
      <w:pPr>
        <w:pStyle w:val="Bullet"/>
        <w:spacing w:after="120"/>
      </w:pPr>
      <w:r>
        <w:t xml:space="preserve">the member </w:t>
      </w:r>
      <w:r w:rsidR="00CA269C">
        <w:t>applies</w:t>
      </w:r>
      <w:r>
        <w:t xml:space="preserve"> electronically</w:t>
      </w:r>
      <w:r w:rsidR="009B2D42">
        <w:t xml:space="preserve"> to the Commissioner</w:t>
      </w:r>
      <w:r>
        <w:t>, rather than in writing to the trustee of their fund;</w:t>
      </w:r>
    </w:p>
    <w:p w14:paraId="38ABFA23" w14:textId="77777777" w:rsidR="00F91232" w:rsidRDefault="00847F55" w:rsidP="00847F55">
      <w:pPr>
        <w:pStyle w:val="Bullet"/>
        <w:spacing w:after="120"/>
      </w:pPr>
      <w:r>
        <w:t xml:space="preserve">the Commissioner </w:t>
      </w:r>
      <w:r w:rsidR="00CA269C">
        <w:t>verifies</w:t>
      </w:r>
      <w:r>
        <w:t xml:space="preserve"> the member’s identity, instead of the member providing certified copies of identity documents to the fund trustee; </w:t>
      </w:r>
    </w:p>
    <w:p w14:paraId="38A7E6F5" w14:textId="77777777" w:rsidR="00847F55" w:rsidRDefault="00F91232" w:rsidP="00847F55">
      <w:pPr>
        <w:pStyle w:val="Bullet"/>
        <w:spacing w:after="120"/>
      </w:pPr>
      <w:r>
        <w:t xml:space="preserve">The Commissioner also confirms the ownership of the benefits and fund membership details; </w:t>
      </w:r>
      <w:r w:rsidR="00847F55">
        <w:t xml:space="preserve">and </w:t>
      </w:r>
    </w:p>
    <w:p w14:paraId="1C542178" w14:textId="77777777" w:rsidR="00847F55" w:rsidRDefault="00847F55" w:rsidP="00847F55">
      <w:pPr>
        <w:pStyle w:val="Bullet"/>
      </w:pPr>
      <w:r>
        <w:t xml:space="preserve">the Commissioner </w:t>
      </w:r>
      <w:r w:rsidR="00CA269C">
        <w:t>gives</w:t>
      </w:r>
      <w:r>
        <w:t xml:space="preserve"> the request </w:t>
      </w:r>
      <w:r w:rsidR="00B86460">
        <w:t xml:space="preserve">electronically </w:t>
      </w:r>
      <w:r>
        <w:t xml:space="preserve">to the </w:t>
      </w:r>
      <w:r w:rsidR="00B86460">
        <w:t>fund</w:t>
      </w:r>
      <w:r>
        <w:t xml:space="preserve"> trustee.  </w:t>
      </w:r>
    </w:p>
    <w:p w14:paraId="6294B19D" w14:textId="77777777" w:rsidR="0049610B" w:rsidRDefault="0049610B" w:rsidP="003353F1">
      <w:pPr>
        <w:pStyle w:val="Bullet"/>
        <w:numPr>
          <w:ilvl w:val="0"/>
          <w:numId w:val="0"/>
        </w:numPr>
        <w:ind w:left="567" w:hanging="567"/>
      </w:pPr>
    </w:p>
    <w:p w14:paraId="7D6EB6A3" w14:textId="1924C942" w:rsidR="00CA269C" w:rsidRDefault="00CA269C" w:rsidP="00CA269C">
      <w:r>
        <w:t>It is not compulsory for members to electronically request the rollover or transfer of their benefits</w:t>
      </w:r>
      <w:r w:rsidR="00CF4FE6">
        <w:t xml:space="preserve"> under the scheme</w:t>
      </w:r>
      <w:r>
        <w:t xml:space="preserve">.  Members may continue to apply in writing to their fund under </w:t>
      </w:r>
      <w:proofErr w:type="spellStart"/>
      <w:r>
        <w:t>subregulations</w:t>
      </w:r>
      <w:proofErr w:type="spellEnd"/>
      <w:r>
        <w:t xml:space="preserve"> 6.33(1) to (3)</w:t>
      </w:r>
      <w:r w:rsidR="00506223">
        <w:t xml:space="preserve"> if </w:t>
      </w:r>
      <w:r w:rsidR="00F238CF">
        <w:t xml:space="preserve">they </w:t>
      </w:r>
      <w:r w:rsidR="006F142C">
        <w:t>do</w:t>
      </w:r>
      <w:r w:rsidR="00B86460">
        <w:t> </w:t>
      </w:r>
      <w:r w:rsidR="006F142C">
        <w:t xml:space="preserve">not </w:t>
      </w:r>
      <w:r w:rsidR="00506223">
        <w:t xml:space="preserve">wish to </w:t>
      </w:r>
      <w:r w:rsidR="00F238CF">
        <w:t xml:space="preserve">use the scheme or their request cannot be completed electronically.  </w:t>
      </w:r>
      <w:r>
        <w:t xml:space="preserve">  </w:t>
      </w:r>
    </w:p>
    <w:p w14:paraId="1B618CEB" w14:textId="77777777" w:rsidR="00244D15" w:rsidRDefault="00244D15" w:rsidP="00CA269C"/>
    <w:p w14:paraId="0867D709" w14:textId="77777777" w:rsidR="00244D15" w:rsidRDefault="00244D15" w:rsidP="00CA269C">
      <w:r>
        <w:t>Definitions used in Part 6 of the SIS Regulations</w:t>
      </w:r>
      <w:r w:rsidR="0040291F">
        <w:t xml:space="preserve"> </w:t>
      </w:r>
      <w:r>
        <w:t xml:space="preserve">also apply to Part 6A.  </w:t>
      </w:r>
    </w:p>
    <w:p w14:paraId="12B12893" w14:textId="77777777" w:rsidR="001B0ECA" w:rsidRDefault="001B0ECA" w:rsidP="00CA269C"/>
    <w:p w14:paraId="316E3AA3" w14:textId="77777777" w:rsidR="001B0ECA" w:rsidRDefault="001B0ECA" w:rsidP="00CA269C">
      <w:r w:rsidRPr="00C5202A">
        <w:t xml:space="preserve">Part 6A of the SIS Regulations </w:t>
      </w:r>
      <w:r w:rsidR="001F31D9">
        <w:t>is</w:t>
      </w:r>
      <w:r w:rsidRPr="00C5202A">
        <w:t xml:space="preserve"> administered</w:t>
      </w:r>
      <w:r w:rsidR="009B2D42" w:rsidRPr="00C5202A">
        <w:t xml:space="preserve"> by the Commissioner</w:t>
      </w:r>
      <w:r w:rsidR="00C5202A">
        <w:t xml:space="preserve"> under subparagraph 6(1)(g)(</w:t>
      </w:r>
      <w:proofErr w:type="spellStart"/>
      <w:r w:rsidR="00C5202A">
        <w:t>i</w:t>
      </w:r>
      <w:proofErr w:type="spellEnd"/>
      <w:r w:rsidR="00C5202A">
        <w:t>) of the SIS Act.</w:t>
      </w:r>
    </w:p>
    <w:p w14:paraId="6CCC51A2" w14:textId="77777777" w:rsidR="005B3BA1" w:rsidRDefault="005B3BA1" w:rsidP="00CA269C"/>
    <w:p w14:paraId="7564AC8F" w14:textId="77777777" w:rsidR="00335299" w:rsidRPr="007C0BA5" w:rsidRDefault="00335299" w:rsidP="00CA269C">
      <w:pPr>
        <w:rPr>
          <w:b/>
          <w:i/>
        </w:rPr>
      </w:pPr>
      <w:r w:rsidRPr="007C0BA5">
        <w:rPr>
          <w:b/>
          <w:i/>
        </w:rPr>
        <w:t>Scheme criteria</w:t>
      </w:r>
    </w:p>
    <w:p w14:paraId="323CDBC4" w14:textId="77777777" w:rsidR="00335299" w:rsidRDefault="00335299" w:rsidP="00CA269C"/>
    <w:p w14:paraId="63C7C4BE" w14:textId="77777777" w:rsidR="002154FD" w:rsidRDefault="00C4592E" w:rsidP="002154FD">
      <w:pPr>
        <w:spacing w:after="120"/>
      </w:pPr>
      <w:r>
        <w:t xml:space="preserve">Regulation 6A.02 sets out the criteria for a member to make an electronic request.  </w:t>
      </w:r>
    </w:p>
    <w:p w14:paraId="01D3A55D" w14:textId="77777777" w:rsidR="00CF7A8F" w:rsidRDefault="002154FD" w:rsidP="007B671F">
      <w:pPr>
        <w:spacing w:after="120"/>
      </w:pPr>
      <w:r>
        <w:t>A m</w:t>
      </w:r>
      <w:r w:rsidR="00CF7A8F">
        <w:t xml:space="preserve">ember </w:t>
      </w:r>
      <w:r w:rsidR="001F31D9">
        <w:t xml:space="preserve">may </w:t>
      </w:r>
      <w:r w:rsidR="006F142C">
        <w:t xml:space="preserve">make an electronic portability request </w:t>
      </w:r>
      <w:r w:rsidR="00496C0C">
        <w:t>where</w:t>
      </w:r>
      <w:r w:rsidR="00CF7A8F">
        <w:t>:</w:t>
      </w:r>
    </w:p>
    <w:p w14:paraId="2F7B8953" w14:textId="77777777" w:rsidR="002154FD" w:rsidRDefault="00CF4FE6" w:rsidP="007B671F">
      <w:pPr>
        <w:pStyle w:val="Bullet"/>
        <w:spacing w:after="120"/>
      </w:pPr>
      <w:r>
        <w:t>the member</w:t>
      </w:r>
      <w:r w:rsidR="000E5F05">
        <w:t xml:space="preserve">’s withdrawal benefit is held in </w:t>
      </w:r>
      <w:r>
        <w:t xml:space="preserve">a </w:t>
      </w:r>
      <w:r w:rsidR="00CF7A8F">
        <w:t>regulated superannuation fund</w:t>
      </w:r>
      <w:r>
        <w:t xml:space="preserve"> or an </w:t>
      </w:r>
      <w:r w:rsidR="00CF7A8F">
        <w:t xml:space="preserve">approved deposit fund, and </w:t>
      </w:r>
      <w:r>
        <w:t xml:space="preserve">is not </w:t>
      </w:r>
      <w:r w:rsidR="000E5F05">
        <w:t xml:space="preserve">held in an exempted fund or is an exempted interest (see below); </w:t>
      </w:r>
    </w:p>
    <w:p w14:paraId="314FF2E6" w14:textId="77777777" w:rsidR="002154FD" w:rsidRDefault="002154FD" w:rsidP="007B671F">
      <w:pPr>
        <w:pStyle w:val="Bullet"/>
        <w:spacing w:after="120"/>
      </w:pPr>
      <w:r>
        <w:t xml:space="preserve">the Commissioner holds information about the member’s </w:t>
      </w:r>
      <w:r w:rsidR="007D1979">
        <w:t>withdrawal benefit</w:t>
      </w:r>
      <w:r>
        <w:t xml:space="preserve"> in the fund; </w:t>
      </w:r>
    </w:p>
    <w:p w14:paraId="63261F72" w14:textId="77777777" w:rsidR="007B671F" w:rsidRDefault="002154FD" w:rsidP="007B671F">
      <w:pPr>
        <w:pStyle w:val="Bullet"/>
        <w:spacing w:after="120"/>
      </w:pPr>
      <w:r>
        <w:t>the request</w:t>
      </w:r>
      <w:r w:rsidR="00A224B1">
        <w:t xml:space="preserve"> is</w:t>
      </w:r>
      <w:r>
        <w:t xml:space="preserve"> </w:t>
      </w:r>
      <w:r w:rsidR="00656F4A">
        <w:t>to</w:t>
      </w:r>
      <w:r>
        <w:t xml:space="preserve"> roll</w:t>
      </w:r>
      <w:r w:rsidR="005E0F3A">
        <w:t xml:space="preserve"> </w:t>
      </w:r>
      <w:r>
        <w:t xml:space="preserve">over or transfer of the whole of the member’s </w:t>
      </w:r>
      <w:r w:rsidR="00EE6E9F">
        <w:t xml:space="preserve">withdrawal </w:t>
      </w:r>
      <w:r>
        <w:t>benefit</w:t>
      </w:r>
      <w:r w:rsidR="005E0F3A">
        <w:t xml:space="preserve"> to a complying superannuation fund of which they are a member</w:t>
      </w:r>
      <w:r w:rsidR="007B671F">
        <w:t>;</w:t>
      </w:r>
      <w:r w:rsidR="0088039C">
        <w:t xml:space="preserve"> and</w:t>
      </w:r>
    </w:p>
    <w:p w14:paraId="4891339A" w14:textId="77777777" w:rsidR="0088039C" w:rsidRDefault="0088039C" w:rsidP="00625D28">
      <w:pPr>
        <w:pStyle w:val="Bullet"/>
      </w:pPr>
      <w:r>
        <w:t xml:space="preserve">the electronic request </w:t>
      </w:r>
      <w:r w:rsidR="005E0F3A">
        <w:t xml:space="preserve">is </w:t>
      </w:r>
      <w:r>
        <w:t>in the approved form and contain</w:t>
      </w:r>
      <w:r w:rsidR="005E0F3A">
        <w:t>s</w:t>
      </w:r>
      <w:r>
        <w:t xml:space="preserve"> the information required by the Commissioner.  </w:t>
      </w:r>
    </w:p>
    <w:p w14:paraId="057576F6" w14:textId="77777777" w:rsidR="00003BD4" w:rsidRDefault="00003BD4" w:rsidP="00625D28">
      <w:pPr>
        <w:pStyle w:val="Bullet"/>
        <w:numPr>
          <w:ilvl w:val="0"/>
          <w:numId w:val="0"/>
        </w:numPr>
        <w:ind w:left="567" w:hanging="567"/>
      </w:pPr>
    </w:p>
    <w:p w14:paraId="066170F2" w14:textId="77777777" w:rsidR="007D1979" w:rsidRDefault="007B671F" w:rsidP="00BB3A25">
      <w:r>
        <w:t xml:space="preserve">The electronic portability request scheme does not apply to </w:t>
      </w:r>
      <w:r w:rsidR="007D1979">
        <w:t xml:space="preserve">withdrawal benefits held in </w:t>
      </w:r>
      <w:r w:rsidR="00CF7A8F">
        <w:t>an unfunded public sector superannuation scheme</w:t>
      </w:r>
      <w:r>
        <w:t xml:space="preserve">, </w:t>
      </w:r>
      <w:r w:rsidR="00CF7A8F">
        <w:t xml:space="preserve">a </w:t>
      </w:r>
      <w:proofErr w:type="spellStart"/>
      <w:r w:rsidR="00CF7A8F">
        <w:t>self</w:t>
      </w:r>
      <w:r w:rsidR="005B3BA1">
        <w:t xml:space="preserve"> </w:t>
      </w:r>
      <w:r w:rsidR="00CF7A8F">
        <w:t>managed</w:t>
      </w:r>
      <w:proofErr w:type="spellEnd"/>
      <w:r w:rsidR="00CF7A8F">
        <w:t xml:space="preserve"> superannuation fund</w:t>
      </w:r>
      <w:r w:rsidR="00244D15">
        <w:t>,</w:t>
      </w:r>
      <w:r>
        <w:t xml:space="preserve"> or </w:t>
      </w:r>
      <w:r w:rsidR="004340F9">
        <w:t xml:space="preserve">in respect of </w:t>
      </w:r>
      <w:r w:rsidR="00CF7A8F">
        <w:t>a defined benefit component of a</w:t>
      </w:r>
      <w:r w:rsidR="007D1979">
        <w:t xml:space="preserve">n interest in a </w:t>
      </w:r>
      <w:r w:rsidR="00CF7A8F">
        <w:t>superannuation</w:t>
      </w:r>
      <w:r w:rsidR="004340F9">
        <w:t xml:space="preserve"> fund</w:t>
      </w:r>
      <w:r w:rsidR="00CF7A8F">
        <w:t xml:space="preserve"> </w:t>
      </w:r>
      <w:r w:rsidR="004340F9">
        <w:t>if</w:t>
      </w:r>
      <w:r w:rsidR="00CF7A8F">
        <w:t xml:space="preserve"> the member </w:t>
      </w:r>
      <w:r w:rsidR="004340F9">
        <w:t xml:space="preserve">who holds the interest </w:t>
      </w:r>
      <w:r w:rsidR="00CF7A8F">
        <w:t>is an employee of an employer-sponsor</w:t>
      </w:r>
      <w:r w:rsidR="007D1979">
        <w:t xml:space="preserve"> of</w:t>
      </w:r>
      <w:r w:rsidR="00CF7A8F">
        <w:t xml:space="preserve"> the fund</w:t>
      </w:r>
      <w:r w:rsidR="00BB3A25">
        <w:t xml:space="preserve">.  </w:t>
      </w:r>
    </w:p>
    <w:p w14:paraId="6336A285" w14:textId="77777777" w:rsidR="007D1979" w:rsidRDefault="007D1979" w:rsidP="00BB3A25"/>
    <w:p w14:paraId="4205A168" w14:textId="77777777" w:rsidR="0088039C" w:rsidRDefault="0088039C" w:rsidP="00BB3A25">
      <w:r>
        <w:t>If the member’s request is in respect of a benefit being paid as a pension, the pension must be an allocated pension, an account</w:t>
      </w:r>
      <w:r>
        <w:noBreakHyphen/>
        <w:t>based pension or a market linked pension</w:t>
      </w:r>
      <w:r w:rsidR="005E0F3A">
        <w:t xml:space="preserve"> for it to be rolled over or transferred under the scheme</w:t>
      </w:r>
      <w:r>
        <w:t xml:space="preserve">.  </w:t>
      </w:r>
    </w:p>
    <w:p w14:paraId="6D0DEB7E" w14:textId="77777777" w:rsidR="0088039C" w:rsidRDefault="0088039C" w:rsidP="00BB3A25"/>
    <w:p w14:paraId="4A104360" w14:textId="77777777" w:rsidR="00CF7A8F" w:rsidRDefault="00BB3A25" w:rsidP="00BB3A25">
      <w:r>
        <w:t>The</w:t>
      </w:r>
      <w:r w:rsidR="001B0EED">
        <w:t xml:space="preserve"> exemption of these </w:t>
      </w:r>
      <w:r w:rsidR="00D25A3E">
        <w:t>entities</w:t>
      </w:r>
      <w:r w:rsidR="007D1979">
        <w:t xml:space="preserve"> and interests</w:t>
      </w:r>
      <w:r w:rsidR="00D25A3E">
        <w:t xml:space="preserve"> </w:t>
      </w:r>
      <w:r w:rsidR="001B0EED">
        <w:t xml:space="preserve">from the scheme is </w:t>
      </w:r>
      <w:r w:rsidR="007B671F">
        <w:t>consistent with the current portability arrangements</w:t>
      </w:r>
      <w:r w:rsidR="00CF7A8F">
        <w:t>.</w:t>
      </w:r>
    </w:p>
    <w:p w14:paraId="6CF5846D" w14:textId="77777777" w:rsidR="00830D69" w:rsidRDefault="00830D69" w:rsidP="00847F55"/>
    <w:p w14:paraId="21E63F89" w14:textId="77777777" w:rsidR="004E7426" w:rsidRDefault="00973861" w:rsidP="00BB3A25">
      <w:r>
        <w:t xml:space="preserve">Information that the Commissioner holds about a member’s </w:t>
      </w:r>
      <w:r w:rsidR="008D2D33">
        <w:t>benefits</w:t>
      </w:r>
      <w:r>
        <w:t xml:space="preserve"> in a fund </w:t>
      </w:r>
      <w:r w:rsidR="007B671F">
        <w:t>is</w:t>
      </w:r>
      <w:r>
        <w:t xml:space="preserve"> displayed on </w:t>
      </w:r>
      <w:r w:rsidR="007D1979">
        <w:t>the online service provided by the ATO</w:t>
      </w:r>
      <w:r w:rsidR="00395FB5">
        <w:t xml:space="preserve">.  Broadly, </w:t>
      </w:r>
      <w:r w:rsidR="005E0F3A">
        <w:t xml:space="preserve">this </w:t>
      </w:r>
      <w:r w:rsidR="00395FB5">
        <w:t xml:space="preserve">service displays details about a member’s active and lost accounts.  Superannuation funds are required to report these details to the ATO on Member Contribution Statements and Lost Members’ Statements.  </w:t>
      </w:r>
      <w:r w:rsidR="007D1979">
        <w:t xml:space="preserve"> </w:t>
      </w:r>
      <w:r w:rsidR="00BB3A25">
        <w:t xml:space="preserve">  </w:t>
      </w:r>
    </w:p>
    <w:p w14:paraId="192040DD" w14:textId="77777777" w:rsidR="00E03366" w:rsidRDefault="00E03366" w:rsidP="00BB3A25"/>
    <w:p w14:paraId="05652CD0" w14:textId="77777777" w:rsidR="00E03366" w:rsidRDefault="0088039C" w:rsidP="00E03366">
      <w:r>
        <w:t xml:space="preserve">An </w:t>
      </w:r>
      <w:r w:rsidR="00E03366">
        <w:t xml:space="preserve">electronic request lodged through </w:t>
      </w:r>
      <w:r w:rsidR="00BB2B1D">
        <w:t xml:space="preserve">the </w:t>
      </w:r>
      <w:r w:rsidR="005E0F3A">
        <w:t xml:space="preserve">ATO’s </w:t>
      </w:r>
      <w:r w:rsidR="00BB2B1D">
        <w:t>online service</w:t>
      </w:r>
      <w:r w:rsidR="00B3127C">
        <w:t xml:space="preserve"> </w:t>
      </w:r>
      <w:r w:rsidR="005E0F3A">
        <w:t xml:space="preserve">is </w:t>
      </w:r>
      <w:r>
        <w:t>an approved form and contain</w:t>
      </w:r>
      <w:r w:rsidR="005E0F3A">
        <w:t>s</w:t>
      </w:r>
      <w:r>
        <w:t xml:space="preserve"> the information required by the Commissioner</w:t>
      </w:r>
      <w:r w:rsidR="00E03366">
        <w:t xml:space="preserve">.  </w:t>
      </w:r>
    </w:p>
    <w:p w14:paraId="1574E8D4" w14:textId="77777777" w:rsidR="00E03366" w:rsidRDefault="00E03366" w:rsidP="00E03366">
      <w:pPr>
        <w:pStyle w:val="Bullet"/>
        <w:numPr>
          <w:ilvl w:val="0"/>
          <w:numId w:val="0"/>
        </w:numPr>
        <w:ind w:left="567" w:hanging="567"/>
      </w:pPr>
    </w:p>
    <w:p w14:paraId="4114C882" w14:textId="77777777" w:rsidR="00A224B1" w:rsidRDefault="00BB3A25" w:rsidP="00BB3A25">
      <w:pPr>
        <w:spacing w:after="120"/>
      </w:pPr>
      <w:r>
        <w:t>A</w:t>
      </w:r>
      <w:r w:rsidR="00A224B1">
        <w:t xml:space="preserve"> member </w:t>
      </w:r>
      <w:r w:rsidR="001F31D9">
        <w:t xml:space="preserve">may not be able to complete </w:t>
      </w:r>
      <w:r w:rsidR="006F142C">
        <w:t xml:space="preserve">an electronic portability request </w:t>
      </w:r>
      <w:r w:rsidR="00A224B1">
        <w:t>if;</w:t>
      </w:r>
    </w:p>
    <w:p w14:paraId="555D059B" w14:textId="77777777" w:rsidR="00A224B1" w:rsidRDefault="00496C0C" w:rsidP="00BB3A25">
      <w:pPr>
        <w:pStyle w:val="Bullet"/>
        <w:spacing w:after="120"/>
      </w:pPr>
      <w:r>
        <w:t>t</w:t>
      </w:r>
      <w:r w:rsidR="004340F9">
        <w:t>he member</w:t>
      </w:r>
      <w:r w:rsidR="00BB2B1D">
        <w:t xml:space="preserve">’s withdrawal benefit is held in a fund </w:t>
      </w:r>
      <w:r w:rsidR="004340F9">
        <w:t>exempted from the scheme</w:t>
      </w:r>
      <w:r w:rsidR="00A224B1">
        <w:t>;</w:t>
      </w:r>
      <w:r>
        <w:t xml:space="preserve"> </w:t>
      </w:r>
    </w:p>
    <w:p w14:paraId="6CACF81A" w14:textId="77777777" w:rsidR="00496C0C" w:rsidRDefault="00496C0C" w:rsidP="00BB3A25">
      <w:pPr>
        <w:pStyle w:val="Bullet"/>
        <w:spacing w:after="120"/>
      </w:pPr>
      <w:r>
        <w:t xml:space="preserve">the member’s </w:t>
      </w:r>
      <w:r w:rsidR="00BB2B1D">
        <w:t xml:space="preserve">withdrawal benefit is an </w:t>
      </w:r>
      <w:r>
        <w:t xml:space="preserve">interest </w:t>
      </w:r>
      <w:r w:rsidR="00BB2B1D">
        <w:t>exempted from the scheme;</w:t>
      </w:r>
    </w:p>
    <w:p w14:paraId="42B6F3C2" w14:textId="77777777" w:rsidR="00BB2B1D" w:rsidRDefault="00BB2B1D" w:rsidP="00BB3A25">
      <w:pPr>
        <w:pStyle w:val="Bullet"/>
        <w:spacing w:after="120"/>
      </w:pPr>
      <w:r>
        <w:t xml:space="preserve">details of the member’s withdrawal benefit in a fund </w:t>
      </w:r>
      <w:r w:rsidR="005B3BA1">
        <w:t xml:space="preserve">are </w:t>
      </w:r>
      <w:r>
        <w:t xml:space="preserve">not displayed on the </w:t>
      </w:r>
      <w:r w:rsidR="005B3BA1">
        <w:t xml:space="preserve">ATO’s </w:t>
      </w:r>
      <w:r>
        <w:t>online service;</w:t>
      </w:r>
    </w:p>
    <w:p w14:paraId="7FB22C1E" w14:textId="77777777" w:rsidR="00BB3A25" w:rsidRDefault="00496C0C" w:rsidP="00BB3A25">
      <w:pPr>
        <w:pStyle w:val="Bullet"/>
        <w:spacing w:after="120"/>
      </w:pPr>
      <w:r>
        <w:t>t</w:t>
      </w:r>
      <w:r w:rsidR="00A224B1">
        <w:t>he request is for the rollover or transfer of part of the member’s benefit</w:t>
      </w:r>
      <w:r w:rsidR="00BB3A25">
        <w:t>;</w:t>
      </w:r>
      <w:r w:rsidR="00E03366">
        <w:t xml:space="preserve"> </w:t>
      </w:r>
    </w:p>
    <w:p w14:paraId="71538883" w14:textId="77777777" w:rsidR="00E03366" w:rsidRDefault="00E03366" w:rsidP="00BB3A25">
      <w:pPr>
        <w:pStyle w:val="Bullet"/>
        <w:spacing w:after="120"/>
      </w:pPr>
      <w:r>
        <w:t>the information required on the electronic request is not provided;</w:t>
      </w:r>
    </w:p>
    <w:p w14:paraId="2CA8EEF8" w14:textId="77777777" w:rsidR="00BB3A25" w:rsidRDefault="00BB2B1D" w:rsidP="00E03366">
      <w:pPr>
        <w:pStyle w:val="Bullet"/>
      </w:pPr>
      <w:r>
        <w:lastRenderedPageBreak/>
        <w:t xml:space="preserve">the request is in respect of a benefit that the member is receiving as a pension </w:t>
      </w:r>
      <w:r w:rsidR="0088039C">
        <w:t>other than</w:t>
      </w:r>
      <w:r w:rsidR="00BB3A25">
        <w:t xml:space="preserve"> an allocated pension, an account</w:t>
      </w:r>
      <w:r w:rsidR="00BB3A25">
        <w:noBreakHyphen/>
        <w:t>based pensio</w:t>
      </w:r>
      <w:r w:rsidR="009B2D42">
        <w:t>n or a market linked pension</w:t>
      </w:r>
      <w:r w:rsidR="00E03366">
        <w:t xml:space="preserve">. </w:t>
      </w:r>
    </w:p>
    <w:p w14:paraId="67E470CA" w14:textId="77777777" w:rsidR="00782C5C" w:rsidRDefault="00782C5C" w:rsidP="00782C5C">
      <w:pPr>
        <w:pStyle w:val="Bullet"/>
        <w:numPr>
          <w:ilvl w:val="0"/>
          <w:numId w:val="0"/>
        </w:numPr>
        <w:ind w:left="567"/>
      </w:pPr>
    </w:p>
    <w:p w14:paraId="41C7E746" w14:textId="77777777" w:rsidR="00795241" w:rsidRDefault="00795241" w:rsidP="00625D28">
      <w:r>
        <w:t xml:space="preserve">If </w:t>
      </w:r>
      <w:r w:rsidR="00F238CF">
        <w:t xml:space="preserve">a request cannot be completed electronically, </w:t>
      </w:r>
      <w:r>
        <w:t xml:space="preserve">the member may print the form and post it to their fund.  </w:t>
      </w:r>
    </w:p>
    <w:p w14:paraId="2D0045DE" w14:textId="77777777" w:rsidR="00795241" w:rsidRDefault="00795241" w:rsidP="0040291F">
      <w:pPr>
        <w:pStyle w:val="Bullet"/>
        <w:numPr>
          <w:ilvl w:val="0"/>
          <w:numId w:val="0"/>
        </w:numPr>
        <w:ind w:left="567" w:hanging="567"/>
      </w:pPr>
    </w:p>
    <w:p w14:paraId="7E851C87" w14:textId="77777777" w:rsidR="00335299" w:rsidRPr="007C0BA5" w:rsidRDefault="00335299" w:rsidP="00847F55">
      <w:pPr>
        <w:rPr>
          <w:b/>
          <w:i/>
        </w:rPr>
      </w:pPr>
      <w:r w:rsidRPr="007C0BA5">
        <w:rPr>
          <w:b/>
          <w:i/>
        </w:rPr>
        <w:t xml:space="preserve">Commissioner’s </w:t>
      </w:r>
      <w:r w:rsidR="007B66FA">
        <w:rPr>
          <w:b/>
          <w:i/>
        </w:rPr>
        <w:t xml:space="preserve">verification </w:t>
      </w:r>
      <w:r w:rsidRPr="007C0BA5">
        <w:rPr>
          <w:b/>
          <w:i/>
        </w:rPr>
        <w:t>role</w:t>
      </w:r>
    </w:p>
    <w:p w14:paraId="53A460CD" w14:textId="77777777" w:rsidR="00335299" w:rsidRDefault="00335299" w:rsidP="00847F55"/>
    <w:p w14:paraId="642278C1" w14:textId="77777777" w:rsidR="00973861" w:rsidRDefault="00973861" w:rsidP="00847F55">
      <w:r>
        <w:t xml:space="preserve">Regulation 6A.03 sets out the Commissioner’s role </w:t>
      </w:r>
      <w:r w:rsidR="00E03366">
        <w:t xml:space="preserve">in </w:t>
      </w:r>
      <w:r>
        <w:t>the scheme.</w:t>
      </w:r>
    </w:p>
    <w:p w14:paraId="197F6D9D" w14:textId="77777777" w:rsidR="0049610B" w:rsidRDefault="0049610B" w:rsidP="003353F1">
      <w:pPr>
        <w:pStyle w:val="Bullet"/>
        <w:numPr>
          <w:ilvl w:val="0"/>
          <w:numId w:val="0"/>
        </w:numPr>
        <w:ind w:left="567" w:hanging="567"/>
      </w:pPr>
    </w:p>
    <w:p w14:paraId="489CF048" w14:textId="77777777" w:rsidR="00E03366" w:rsidRDefault="00852036" w:rsidP="00EE6E9F">
      <w:r>
        <w:t>U</w:t>
      </w:r>
      <w:r w:rsidR="00496C0C">
        <w:t>nder the scheme the Commissioner must</w:t>
      </w:r>
      <w:r>
        <w:t xml:space="preserve"> </w:t>
      </w:r>
      <w:r w:rsidR="003E2A70">
        <w:t>confirm the member’s identity</w:t>
      </w:r>
      <w:r w:rsidR="00E03366">
        <w:t xml:space="preserve"> and </w:t>
      </w:r>
      <w:r w:rsidR="00EE6E9F">
        <w:t>the member’s ownership of the withdrawal benefit</w:t>
      </w:r>
      <w:r w:rsidR="00E03366">
        <w:t xml:space="preserve">.  </w:t>
      </w:r>
      <w:r w:rsidR="005E0F3A">
        <w:t>The Commissioner must also confirm the member’s membership in the complying superannuation fund to which the rollover or transfer is to be made.  The Commissioner must also identify the account in the complying superannuation fund to which the rollover or transfer is to be made.</w:t>
      </w:r>
    </w:p>
    <w:p w14:paraId="47BAE89A" w14:textId="77777777" w:rsidR="00E03366" w:rsidRDefault="00E03366" w:rsidP="00EE6E9F"/>
    <w:p w14:paraId="687A2BBE" w14:textId="77777777" w:rsidR="00830D69" w:rsidRDefault="00830D69" w:rsidP="00830D69">
      <w:r>
        <w:t>The Commissioner confirms the</w:t>
      </w:r>
      <w:r w:rsidR="0013116E">
        <w:t xml:space="preserve">se matters </w:t>
      </w:r>
      <w:r>
        <w:t>using information available</w:t>
      </w:r>
      <w:r w:rsidR="00BB3A25">
        <w:t xml:space="preserve"> to the Commissioner</w:t>
      </w:r>
      <w:r>
        <w:t>, such as the member’s tax file number</w:t>
      </w:r>
      <w:r w:rsidR="00BB3A25">
        <w:t xml:space="preserve"> and</w:t>
      </w:r>
      <w:r>
        <w:t xml:space="preserve"> other personal </w:t>
      </w:r>
      <w:r w:rsidR="0075773A">
        <w:t xml:space="preserve">information; </w:t>
      </w:r>
      <w:r w:rsidR="00BB3A25">
        <w:t>details from correspondence between the ATO and the member</w:t>
      </w:r>
      <w:r w:rsidR="0075773A">
        <w:t>;</w:t>
      </w:r>
      <w:r w:rsidR="00BB3A25">
        <w:t xml:space="preserve"> information </w:t>
      </w:r>
      <w:r w:rsidR="00852036">
        <w:t>held by</w:t>
      </w:r>
      <w:r w:rsidR="00BB3A25">
        <w:t xml:space="preserve"> the ATO</w:t>
      </w:r>
      <w:r w:rsidR="00802911">
        <w:t xml:space="preserve"> in respect of the member</w:t>
      </w:r>
      <w:r w:rsidR="0089518B">
        <w:t>; and statements lodged with the Commissioner by funds about their members</w:t>
      </w:r>
      <w:r w:rsidR="00BB3A25">
        <w:t xml:space="preserve">.  </w:t>
      </w:r>
    </w:p>
    <w:p w14:paraId="31ED0306" w14:textId="77777777" w:rsidR="007B66FA" w:rsidRDefault="007B66FA" w:rsidP="00830D69"/>
    <w:p w14:paraId="6C99BF57" w14:textId="77777777" w:rsidR="00EE6E9F" w:rsidRDefault="0013116E" w:rsidP="00EE6E9F">
      <w:r>
        <w:t>If these matters are confirmed, t</w:t>
      </w:r>
      <w:r w:rsidR="00EE6E9F">
        <w:t>he Commissioner must</w:t>
      </w:r>
      <w:r w:rsidR="00BB2B1D">
        <w:t xml:space="preserve"> </w:t>
      </w:r>
      <w:r w:rsidR="00CF4FE6">
        <w:t>give</w:t>
      </w:r>
      <w:r w:rsidR="00EE6E9F">
        <w:t xml:space="preserve"> the request to the member’s fund trustee</w:t>
      </w:r>
      <w:r w:rsidR="00065DFA">
        <w:t>, subject to the exceptions noted below</w:t>
      </w:r>
      <w:r w:rsidR="00EE6E9F">
        <w:t xml:space="preserve">.  </w:t>
      </w:r>
      <w:r w:rsidR="00CC3B70">
        <w:t>The request is given to the trustee of the fund which holds the member’s benefits that are the subject of the request</w:t>
      </w:r>
      <w:r w:rsidR="00BD7053">
        <w:t xml:space="preserve">.  </w:t>
      </w:r>
    </w:p>
    <w:p w14:paraId="614E555A" w14:textId="77777777" w:rsidR="0040291F" w:rsidRDefault="0040291F" w:rsidP="00EE6E9F"/>
    <w:p w14:paraId="152D5B5A" w14:textId="3349A871" w:rsidR="0040291F" w:rsidRDefault="0040291F" w:rsidP="0040291F">
      <w:r>
        <w:t>It is expected that after the Commissioner has confirmed the member’s identity and given the request to the fund, the trustee will not usually need to seek further verification.  If the trustee has specific concerns about a particular request, the trustee may seek further information or documentation from the member under regulation 6.33A, consistent with the existing portability arrangements.</w:t>
      </w:r>
    </w:p>
    <w:p w14:paraId="081656A1" w14:textId="77777777" w:rsidR="0040291F" w:rsidRDefault="0040291F" w:rsidP="0040291F"/>
    <w:p w14:paraId="5C06042D" w14:textId="77777777" w:rsidR="00065DFA" w:rsidRDefault="00065DFA" w:rsidP="00065DFA">
      <w:r>
        <w:t>The Commissioner may decline to give the request to the member’s fund trustee if the request does not comply with the requirements of Regulation 6A.02</w:t>
      </w:r>
      <w:r w:rsidR="0089518B">
        <w:t>;</w:t>
      </w:r>
      <w:r>
        <w:t xml:space="preserve"> or </w:t>
      </w:r>
      <w:r w:rsidR="0089518B">
        <w:t xml:space="preserve">it appears to the Commissioner that the way in which the fund is conducted in likely to adversely </w:t>
      </w:r>
      <w:r w:rsidR="00D67D15">
        <w:t>a</w:t>
      </w:r>
      <w:r w:rsidR="0089518B">
        <w:t xml:space="preserve">ffect the values of the interests of beneficiaries of that fund; or </w:t>
      </w:r>
      <w:r>
        <w:t xml:space="preserve">the trustee cannot electronically receive the request.    </w:t>
      </w:r>
    </w:p>
    <w:p w14:paraId="6DDB1A32" w14:textId="77777777" w:rsidR="00065DFA" w:rsidRDefault="00065DFA" w:rsidP="00065DFA"/>
    <w:p w14:paraId="0988E6EE" w14:textId="77777777" w:rsidR="00065DFA" w:rsidRDefault="00065DFA" w:rsidP="00065DFA">
      <w:r>
        <w:t xml:space="preserve">The request may not comply with the requirements of Regulation 6A.02 if, for example, it does not contain the required information, such as the member’s  tax file number or sufficient details of the receiving fund.    </w:t>
      </w:r>
    </w:p>
    <w:p w14:paraId="640FE830" w14:textId="77777777" w:rsidR="00D12B10" w:rsidRDefault="00D12B10"/>
    <w:p w14:paraId="514B6E53" w14:textId="77777777" w:rsidR="0089518B" w:rsidRDefault="0089518B">
      <w:r>
        <w:t>Conduct that would appear to be likely to adversely affect the values of the interests of beneficiaries of a fund would include the possible involvement of the fund in the illegal early release of superannuation benefits.</w:t>
      </w:r>
    </w:p>
    <w:p w14:paraId="55D44DC7" w14:textId="77777777" w:rsidR="0089518B" w:rsidRDefault="0089518B"/>
    <w:p w14:paraId="4CB8AD26" w14:textId="77777777" w:rsidR="0073358D" w:rsidRDefault="00D12B10">
      <w:r>
        <w:t xml:space="preserve">If the request cannot be completed electronically, </w:t>
      </w:r>
      <w:r w:rsidR="00EA63F0">
        <w:t xml:space="preserve">the member may print the form and post it to their fund. </w:t>
      </w:r>
      <w:r w:rsidR="008B7FB3">
        <w:t xml:space="preserve">  </w:t>
      </w:r>
    </w:p>
    <w:p w14:paraId="63D76D2F" w14:textId="77777777" w:rsidR="00E054FA" w:rsidRDefault="00E054FA"/>
    <w:p w14:paraId="5A8490DE" w14:textId="77777777" w:rsidR="005B4E59" w:rsidRDefault="005B4E59"/>
    <w:p w14:paraId="2AB68AF6" w14:textId="77777777" w:rsidR="002E5926" w:rsidRPr="007C0BA5" w:rsidRDefault="002E5926" w:rsidP="002E5926">
      <w:pPr>
        <w:pStyle w:val="Bullet"/>
        <w:numPr>
          <w:ilvl w:val="0"/>
          <w:numId w:val="0"/>
        </w:numPr>
        <w:ind w:left="567" w:hanging="567"/>
        <w:rPr>
          <w:b/>
          <w:i/>
        </w:rPr>
      </w:pPr>
      <w:r w:rsidRPr="007C0BA5">
        <w:rPr>
          <w:b/>
          <w:i/>
        </w:rPr>
        <w:lastRenderedPageBreak/>
        <w:t>Commissioner gives request to trustee</w:t>
      </w:r>
    </w:p>
    <w:p w14:paraId="37FDD1F0" w14:textId="77777777" w:rsidR="0049610B" w:rsidRDefault="0049610B" w:rsidP="003353F1">
      <w:pPr>
        <w:pStyle w:val="Bullet"/>
        <w:numPr>
          <w:ilvl w:val="0"/>
          <w:numId w:val="0"/>
        </w:numPr>
        <w:ind w:left="567" w:hanging="567"/>
      </w:pPr>
    </w:p>
    <w:p w14:paraId="1F6BC479" w14:textId="77777777" w:rsidR="002E5926" w:rsidRDefault="002E5926" w:rsidP="002E5926">
      <w:r w:rsidRPr="003353F1">
        <w:t>Item 3 insert</w:t>
      </w:r>
      <w:r w:rsidR="001F31D9">
        <w:t>s</w:t>
      </w:r>
      <w:r w:rsidRPr="003353F1">
        <w:t xml:space="preserve"> </w:t>
      </w:r>
      <w:proofErr w:type="spellStart"/>
      <w:r w:rsidRPr="003353F1">
        <w:t>subregulation</w:t>
      </w:r>
      <w:proofErr w:type="spellEnd"/>
      <w:r w:rsidRPr="003353F1">
        <w:t xml:space="preserve"> 6.33(4)</w:t>
      </w:r>
      <w:r>
        <w:t xml:space="preserve">, which provides that the Commissioner may give to the trustee a request made by the member under the electronic portability request scheme.  </w:t>
      </w:r>
    </w:p>
    <w:p w14:paraId="045D1919" w14:textId="77777777" w:rsidR="002E5926" w:rsidRDefault="002E5926" w:rsidP="002E5926"/>
    <w:p w14:paraId="02987DF9" w14:textId="77777777" w:rsidR="002E5926" w:rsidRDefault="002E5926" w:rsidP="002E5926">
      <w:r>
        <w:t>This provision has the effect of including an electronic portability request</w:t>
      </w:r>
      <w:r w:rsidR="0075773A">
        <w:t>,</w:t>
      </w:r>
      <w:r>
        <w:t xml:space="preserve"> received by the trustee from the Commissioner </w:t>
      </w:r>
      <w:r w:rsidR="001A2F66">
        <w:t>under Part 6A</w:t>
      </w:r>
      <w:r w:rsidR="0075773A">
        <w:t>,</w:t>
      </w:r>
      <w:r w:rsidR="001A2F66">
        <w:t xml:space="preserve"> </w:t>
      </w:r>
      <w:r>
        <w:t>in the portability arrangements in Div</w:t>
      </w:r>
      <w:r w:rsidR="001A2F66">
        <w:t>ision 6.5</w:t>
      </w:r>
      <w:r>
        <w:t xml:space="preserve">.  </w:t>
      </w:r>
    </w:p>
    <w:p w14:paraId="2F255B2D" w14:textId="77777777" w:rsidR="002E5926" w:rsidRDefault="002E5926" w:rsidP="002E5926"/>
    <w:p w14:paraId="47279D26" w14:textId="77777777" w:rsidR="002E5926" w:rsidRDefault="002E5926" w:rsidP="002E5926">
      <w:r>
        <w:t xml:space="preserve">Upon receiving the request from the Commissioner, the fund trustee </w:t>
      </w:r>
      <w:r w:rsidR="001F31D9">
        <w:t xml:space="preserve">must </w:t>
      </w:r>
      <w:r>
        <w:t>roll</w:t>
      </w:r>
      <w:r w:rsidR="00885B1D">
        <w:t xml:space="preserve"> </w:t>
      </w:r>
      <w:r>
        <w:t xml:space="preserve">over or transfer the member’s withdrawal benefits in accordance with the request under the portability arrangements of Division 6.5 of the SIS Regulations.  </w:t>
      </w:r>
    </w:p>
    <w:p w14:paraId="55C49671" w14:textId="77777777" w:rsidR="00FA1206" w:rsidRDefault="00FA1206" w:rsidP="002E5926"/>
    <w:p w14:paraId="71CC4C82" w14:textId="77777777" w:rsidR="00FA1206" w:rsidRDefault="00FA1206" w:rsidP="00FA1206">
      <w:r>
        <w:t xml:space="preserve">The portability arrangements in Division 6.5 of the SIS Regulations continue to be administered by </w:t>
      </w:r>
      <w:r w:rsidR="007F3A9E">
        <w:t>the Australian Prudential Regulation Authority (</w:t>
      </w:r>
      <w:r>
        <w:t>APRA</w:t>
      </w:r>
      <w:r w:rsidR="007F3A9E">
        <w:t>)</w:t>
      </w:r>
      <w:r>
        <w:t>.</w:t>
      </w:r>
    </w:p>
    <w:p w14:paraId="45A000CD" w14:textId="77777777" w:rsidR="005B4E59" w:rsidRDefault="005B4E59" w:rsidP="00FA1206"/>
    <w:p w14:paraId="264B8FC4" w14:textId="77777777" w:rsidR="007C0BA5" w:rsidRPr="007C0BA5" w:rsidRDefault="007C0BA5" w:rsidP="002E5926">
      <w:pPr>
        <w:spacing w:after="240"/>
        <w:ind w:right="91"/>
        <w:rPr>
          <w:b/>
          <w:i/>
        </w:rPr>
      </w:pPr>
      <w:r w:rsidRPr="007C0BA5">
        <w:rPr>
          <w:b/>
          <w:i/>
        </w:rPr>
        <w:t>Existing portability arrangements</w:t>
      </w:r>
    </w:p>
    <w:p w14:paraId="3BD71D22" w14:textId="77777777" w:rsidR="002E5926" w:rsidRDefault="002E5926" w:rsidP="002E5926">
      <w:pPr>
        <w:spacing w:after="240"/>
        <w:ind w:right="91"/>
      </w:pPr>
      <w:r w:rsidRPr="00CD17EF">
        <w:rPr>
          <w:b/>
        </w:rPr>
        <w:t xml:space="preserve">Item </w:t>
      </w:r>
      <w:r>
        <w:rPr>
          <w:b/>
        </w:rPr>
        <w:t>3</w:t>
      </w:r>
      <w:r>
        <w:t xml:space="preserve"> re-arrange</w:t>
      </w:r>
      <w:r w:rsidR="001F31D9">
        <w:t>s</w:t>
      </w:r>
      <w:r>
        <w:t xml:space="preserve"> the provisions of former regulations 6.33 and 6.34 in Division</w:t>
      </w:r>
      <w:r w:rsidR="007B66FA">
        <w:t> </w:t>
      </w:r>
      <w:r>
        <w:t>6.5</w:t>
      </w:r>
      <w:r w:rsidR="007C0BA5">
        <w:t xml:space="preserve"> of the SIS Regulations</w:t>
      </w:r>
      <w:r>
        <w:t xml:space="preserve"> to accommodate the regulations.  </w:t>
      </w:r>
    </w:p>
    <w:p w14:paraId="46856D67" w14:textId="77777777" w:rsidR="002E5926" w:rsidRDefault="002E5926" w:rsidP="002E5926">
      <w:pPr>
        <w:spacing w:after="120"/>
        <w:ind w:right="91"/>
      </w:pPr>
      <w:r>
        <w:t xml:space="preserve">The regulations </w:t>
      </w:r>
      <w:r w:rsidR="001F31D9">
        <w:t>are</w:t>
      </w:r>
      <w:r>
        <w:t xml:space="preserve"> arranged into a more logical sequence, grouping together the provisions relating to:</w:t>
      </w:r>
    </w:p>
    <w:p w14:paraId="07C2F046" w14:textId="77777777" w:rsidR="002E5926" w:rsidRDefault="002E5926" w:rsidP="002E5926">
      <w:pPr>
        <w:pStyle w:val="Bullet"/>
        <w:spacing w:after="120"/>
      </w:pPr>
      <w:r>
        <w:t>a member making a request to roll</w:t>
      </w:r>
      <w:r w:rsidR="009B2D42">
        <w:t xml:space="preserve"> </w:t>
      </w:r>
      <w:r>
        <w:t>over or transfer a withdrawal benefit (</w:t>
      </w:r>
      <w:r w:rsidR="0089518B">
        <w:t>regulation 6</w:t>
      </w:r>
      <w:r>
        <w:t>.33);</w:t>
      </w:r>
    </w:p>
    <w:p w14:paraId="5C885777" w14:textId="77777777" w:rsidR="002E5926" w:rsidRDefault="002E5926" w:rsidP="002E5926">
      <w:pPr>
        <w:pStyle w:val="Bullet"/>
        <w:spacing w:after="120"/>
      </w:pPr>
      <w:r>
        <w:t>a trustee requesting further information or documentation from the member  (</w:t>
      </w:r>
      <w:r w:rsidR="0089518B">
        <w:t>regulation</w:t>
      </w:r>
      <w:r>
        <w:t xml:space="preserve"> 6.33A); and</w:t>
      </w:r>
    </w:p>
    <w:p w14:paraId="7590463F" w14:textId="77777777" w:rsidR="002E5926" w:rsidRDefault="002E5926" w:rsidP="002E5926">
      <w:pPr>
        <w:pStyle w:val="Bullet"/>
      </w:pPr>
      <w:r>
        <w:t>the trustee rolling over or transferring the benefit in accordance with the member’s request (</w:t>
      </w:r>
      <w:r w:rsidR="0089518B">
        <w:t>regulation</w:t>
      </w:r>
      <w:r>
        <w:t xml:space="preserve"> 6.34).</w:t>
      </w:r>
    </w:p>
    <w:p w14:paraId="3AE3CCCF" w14:textId="77777777" w:rsidR="002E5926" w:rsidRPr="003353F1" w:rsidRDefault="002E5926" w:rsidP="002E5926">
      <w:pPr>
        <w:pStyle w:val="Bullet"/>
        <w:numPr>
          <w:ilvl w:val="0"/>
          <w:numId w:val="0"/>
        </w:numPr>
        <w:ind w:left="567" w:hanging="567"/>
      </w:pPr>
    </w:p>
    <w:p w14:paraId="5034E6A8" w14:textId="77777777" w:rsidR="002E5926" w:rsidRDefault="002E5926" w:rsidP="002E5926">
      <w:pPr>
        <w:pStyle w:val="Bullet"/>
        <w:numPr>
          <w:ilvl w:val="0"/>
          <w:numId w:val="0"/>
        </w:numPr>
        <w:ind w:left="567" w:hanging="567"/>
      </w:pPr>
      <w:r>
        <w:t>Item 3 also make</w:t>
      </w:r>
      <w:r w:rsidR="001F31D9">
        <w:t>s</w:t>
      </w:r>
      <w:r>
        <w:t xml:space="preserve"> minor amendments to the re-arranged regulations.</w:t>
      </w:r>
    </w:p>
    <w:p w14:paraId="1881A37C" w14:textId="77777777" w:rsidR="002E5926" w:rsidRDefault="002E5926" w:rsidP="002E5926">
      <w:pPr>
        <w:pStyle w:val="Bullet"/>
        <w:numPr>
          <w:ilvl w:val="0"/>
          <w:numId w:val="0"/>
        </w:numPr>
        <w:ind w:left="567" w:hanging="567"/>
      </w:pPr>
    </w:p>
    <w:p w14:paraId="40698777" w14:textId="77777777" w:rsidR="001836F5" w:rsidRDefault="001836F5" w:rsidP="001836F5">
      <w:r>
        <w:t>Paragraph 6.33A(2)(c) allow</w:t>
      </w:r>
      <w:r w:rsidR="001F31D9">
        <w:t>s</w:t>
      </w:r>
      <w:r>
        <w:t xml:space="preserve"> the trustee to request further information from the member that is reasonably required to process the member’s request </w:t>
      </w:r>
      <w:r w:rsidR="00D13D14">
        <w:t>to</w:t>
      </w:r>
      <w:r>
        <w:t xml:space="preserve"> roll</w:t>
      </w:r>
      <w:r w:rsidR="00D13D14">
        <w:t xml:space="preserve"> </w:t>
      </w:r>
      <w:r>
        <w:t xml:space="preserve">over </w:t>
      </w:r>
      <w:r w:rsidR="00386192">
        <w:t xml:space="preserve">or </w:t>
      </w:r>
      <w:r>
        <w:t xml:space="preserve">transfer part of the member’s withdrawal benefit.  </w:t>
      </w:r>
    </w:p>
    <w:p w14:paraId="2B7EBBA5" w14:textId="77777777" w:rsidR="001836F5" w:rsidRDefault="001836F5" w:rsidP="002E5926"/>
    <w:p w14:paraId="37F1737F" w14:textId="77777777" w:rsidR="002E5926" w:rsidRDefault="002E5926" w:rsidP="002E5926">
      <w:r>
        <w:t xml:space="preserve">The reference to Regulation 7.9.83 of the </w:t>
      </w:r>
      <w:r w:rsidRPr="0054252A">
        <w:rPr>
          <w:i/>
        </w:rPr>
        <w:t>Corporations Regulations</w:t>
      </w:r>
      <w:r>
        <w:t>, in the Note to par</w:t>
      </w:r>
      <w:r w:rsidR="00D67D15">
        <w:t>a</w:t>
      </w:r>
      <w:r>
        <w:t xml:space="preserve">graph 6.34(2)(b), </w:t>
      </w:r>
      <w:r w:rsidR="001F31D9">
        <w:t>has been</w:t>
      </w:r>
      <w:r>
        <w:t xml:space="preserve"> removed, as this regulation was repealed in 2003.</w:t>
      </w:r>
    </w:p>
    <w:p w14:paraId="44E89EB6" w14:textId="77777777" w:rsidR="002E5926" w:rsidRDefault="002E5926" w:rsidP="002E5926"/>
    <w:p w14:paraId="2B1D8236" w14:textId="77777777" w:rsidR="002E5926" w:rsidRDefault="002E5926" w:rsidP="002E5926">
      <w:proofErr w:type="spellStart"/>
      <w:r>
        <w:t>S</w:t>
      </w:r>
      <w:r w:rsidRPr="0047093E">
        <w:t>ubregulation</w:t>
      </w:r>
      <w:proofErr w:type="spellEnd"/>
      <w:r w:rsidRPr="0047093E">
        <w:t xml:space="preserve"> 6.34(3)(c)</w:t>
      </w:r>
      <w:r>
        <w:t xml:space="preserve"> refer</w:t>
      </w:r>
      <w:r w:rsidR="001F31D9">
        <w:t>s</w:t>
      </w:r>
      <w:r>
        <w:t xml:space="preserve"> to ‘a suspension or variation’, </w:t>
      </w:r>
      <w:r w:rsidRPr="0047093E">
        <w:t xml:space="preserve">as regulations 6.36 and 6.37 </w:t>
      </w:r>
      <w:r>
        <w:t xml:space="preserve">deal with APRA’s </w:t>
      </w:r>
      <w:r w:rsidRPr="0047093E">
        <w:t>suspension or variation of a trustee’s obligation</w:t>
      </w:r>
      <w:r>
        <w:t xml:space="preserve"> to roll over or transfer amounts.  </w:t>
      </w:r>
    </w:p>
    <w:p w14:paraId="26192025" w14:textId="77777777" w:rsidR="002E5926" w:rsidRPr="0047093E" w:rsidRDefault="002E5926" w:rsidP="002E5926">
      <w:pPr>
        <w:pStyle w:val="Bullet"/>
        <w:numPr>
          <w:ilvl w:val="0"/>
          <w:numId w:val="0"/>
        </w:numPr>
        <w:ind w:left="567"/>
      </w:pPr>
    </w:p>
    <w:p w14:paraId="2CF2ECB5" w14:textId="77777777" w:rsidR="002E5926" w:rsidRDefault="002E5926" w:rsidP="002E5926">
      <w:r>
        <w:t xml:space="preserve">The former subparagraph 6.34(6)(b)(ii), which deals with illiquid investments made before 1 July 2007, </w:t>
      </w:r>
      <w:r w:rsidR="001F31D9">
        <w:t>has been removed</w:t>
      </w:r>
      <w:r>
        <w:t xml:space="preserve">, as it is now redundant.  </w:t>
      </w:r>
    </w:p>
    <w:p w14:paraId="7E6F973E" w14:textId="77777777" w:rsidR="002E5926" w:rsidRDefault="002E5926" w:rsidP="002E5926">
      <w:pPr>
        <w:pStyle w:val="Bullet"/>
        <w:numPr>
          <w:ilvl w:val="0"/>
          <w:numId w:val="0"/>
        </w:numPr>
        <w:ind w:left="567" w:hanging="567"/>
        <w:rPr>
          <w:highlight w:val="yellow"/>
        </w:rPr>
      </w:pPr>
    </w:p>
    <w:p w14:paraId="1A0A2E45" w14:textId="77777777" w:rsidR="00AD6F2C" w:rsidRDefault="00AD6F2C" w:rsidP="00923FA4">
      <w:r w:rsidRPr="00923FA4">
        <w:rPr>
          <w:b/>
        </w:rPr>
        <w:t xml:space="preserve">Items 2 and </w:t>
      </w:r>
      <w:r w:rsidR="00A93BA5">
        <w:rPr>
          <w:b/>
        </w:rPr>
        <w:t>9</w:t>
      </w:r>
      <w:r w:rsidR="00A93BA5" w:rsidRPr="00923FA4">
        <w:t xml:space="preserve"> </w:t>
      </w:r>
      <w:r w:rsidR="00923FA4" w:rsidRPr="00923FA4">
        <w:t>substitute references to the regulations consequen</w:t>
      </w:r>
      <w:r w:rsidR="00923FA4">
        <w:t>t</w:t>
      </w:r>
      <w:r w:rsidR="00923FA4" w:rsidRPr="00923FA4">
        <w:t>ial upon the amendments made by item 3.</w:t>
      </w:r>
    </w:p>
    <w:p w14:paraId="139DD394" w14:textId="77777777" w:rsidR="005B4E59" w:rsidRDefault="005B4E59" w:rsidP="00923FA4"/>
    <w:p w14:paraId="28CA8552" w14:textId="77777777" w:rsidR="00B3127C" w:rsidRDefault="00B3127C" w:rsidP="002E0D27"/>
    <w:p w14:paraId="7C69693C" w14:textId="77777777" w:rsidR="00E45E3F" w:rsidRDefault="00E45E3F" w:rsidP="00E45E3F">
      <w:pPr>
        <w:rPr>
          <w:szCs w:val="24"/>
        </w:rPr>
      </w:pPr>
      <w:r>
        <w:rPr>
          <w:rFonts w:ascii="Arial" w:hAnsi="Arial" w:cs="Arial"/>
          <w:sz w:val="20"/>
        </w:rPr>
        <w:lastRenderedPageBreak/>
        <w:t xml:space="preserve">Item 2 also includes a reference to section 6.34A (amended by the </w:t>
      </w:r>
      <w:r>
        <w:rPr>
          <w:rStyle w:val="Emphasis"/>
          <w:szCs w:val="24"/>
        </w:rPr>
        <w:t xml:space="preserve">Superannuation Industry (Supervision) Amendment Regulation 2012 (No. 5)), </w:t>
      </w:r>
      <w:r>
        <w:rPr>
          <w:szCs w:val="24"/>
        </w:rPr>
        <w:t xml:space="preserve">to ensure that </w:t>
      </w:r>
      <w:proofErr w:type="spellStart"/>
      <w:r>
        <w:rPr>
          <w:szCs w:val="24"/>
        </w:rPr>
        <w:t>subregulation</w:t>
      </w:r>
      <w:proofErr w:type="spellEnd"/>
      <w:r>
        <w:rPr>
          <w:szCs w:val="24"/>
        </w:rPr>
        <w:t xml:space="preserve"> 6.31(3) continue</w:t>
      </w:r>
      <w:r w:rsidR="00D67D15">
        <w:rPr>
          <w:szCs w:val="24"/>
        </w:rPr>
        <w:t>s</w:t>
      </w:r>
      <w:r>
        <w:rPr>
          <w:szCs w:val="24"/>
        </w:rPr>
        <w:t xml:space="preserve"> to operate correctly when the superannuation data and payment regulations commence on 1 July 2013. </w:t>
      </w:r>
    </w:p>
    <w:p w14:paraId="72F729D1" w14:textId="77777777" w:rsidR="001A2F66" w:rsidRDefault="001A2F66" w:rsidP="00923FA4"/>
    <w:p w14:paraId="0F0C1CE8" w14:textId="77777777" w:rsidR="002D3F84" w:rsidRDefault="002D3F84">
      <w:pPr>
        <w:rPr>
          <w:b/>
        </w:rPr>
      </w:pPr>
      <w:r w:rsidRPr="002D3F84">
        <w:rPr>
          <w:b/>
        </w:rPr>
        <w:t>Minor amendments</w:t>
      </w:r>
    </w:p>
    <w:p w14:paraId="5EBDABFF" w14:textId="77777777" w:rsidR="00EA66B2" w:rsidRDefault="00EA66B2">
      <w:pPr>
        <w:rPr>
          <w:b/>
        </w:rPr>
      </w:pPr>
    </w:p>
    <w:p w14:paraId="2D7C4CED" w14:textId="77777777" w:rsidR="00EA66B2" w:rsidRPr="00AD6F2C" w:rsidRDefault="00EA66B2" w:rsidP="00EA66B2">
      <w:pPr>
        <w:rPr>
          <w:b/>
          <w:i/>
        </w:rPr>
      </w:pPr>
      <w:r w:rsidRPr="00AD6F2C">
        <w:rPr>
          <w:b/>
          <w:i/>
        </w:rPr>
        <w:t>Account-based income streams</w:t>
      </w:r>
    </w:p>
    <w:p w14:paraId="149FDA2C" w14:textId="77777777" w:rsidR="00EA66B2" w:rsidRDefault="00EA66B2"/>
    <w:p w14:paraId="538174B1" w14:textId="77777777" w:rsidR="002D3F84" w:rsidRDefault="00AD6F2C">
      <w:r w:rsidRPr="002D3F84">
        <w:rPr>
          <w:b/>
        </w:rPr>
        <w:t>Item 1</w:t>
      </w:r>
      <w:r>
        <w:rPr>
          <w:b/>
        </w:rPr>
        <w:t xml:space="preserve"> </w:t>
      </w:r>
      <w:r w:rsidR="002D3F84">
        <w:t>amend</w:t>
      </w:r>
      <w:r w:rsidR="001F31D9">
        <w:t>s</w:t>
      </w:r>
      <w:r w:rsidR="002D3F84">
        <w:t xml:space="preserve"> paragraph 6.30(2)(d) to insert </w:t>
      </w:r>
      <w:r w:rsidR="00F53B8D">
        <w:t>‘</w:t>
      </w:r>
      <w:r w:rsidR="002D3F84">
        <w:t>account-based pension</w:t>
      </w:r>
      <w:r w:rsidR="00F53B8D">
        <w:t>’</w:t>
      </w:r>
      <w:r w:rsidR="002D3F84">
        <w:t xml:space="preserve"> and </w:t>
      </w:r>
      <w:r w:rsidR="00F53B8D">
        <w:t>‘</w:t>
      </w:r>
      <w:r w:rsidR="002D3F84">
        <w:t>market linked pension</w:t>
      </w:r>
      <w:r w:rsidR="00F53B8D">
        <w:t>’</w:t>
      </w:r>
      <w:r w:rsidR="002D3F84">
        <w:t xml:space="preserve">.  </w:t>
      </w:r>
    </w:p>
    <w:p w14:paraId="286698AC" w14:textId="77777777" w:rsidR="002D3F84" w:rsidRDefault="002D3F84"/>
    <w:p w14:paraId="02FBC752" w14:textId="77777777" w:rsidR="002D3F84" w:rsidRDefault="002D3F84" w:rsidP="002D3F84">
      <w:pPr>
        <w:tabs>
          <w:tab w:val="left" w:pos="1701"/>
          <w:tab w:val="right" w:pos="9072"/>
        </w:tabs>
        <w:spacing w:after="240"/>
        <w:ind w:right="91"/>
      </w:pPr>
      <w:r>
        <w:t xml:space="preserve">The portability </w:t>
      </w:r>
      <w:r w:rsidR="00AD6F2C">
        <w:t>arrangements</w:t>
      </w:r>
      <w:r>
        <w:t xml:space="preserve"> of the SIS Regulations </w:t>
      </w:r>
      <w:r w:rsidR="007614B0">
        <w:t xml:space="preserve">currently </w:t>
      </w:r>
      <w:r>
        <w:t xml:space="preserve">apply to allocated pensions.  When the portability </w:t>
      </w:r>
      <w:r w:rsidR="00AD6F2C">
        <w:t>arrangements</w:t>
      </w:r>
      <w:r>
        <w:t xml:space="preserve"> were introduced in 2004, an allocated pension was the only account-based income stream available.</w:t>
      </w:r>
    </w:p>
    <w:p w14:paraId="101A372F" w14:textId="77777777" w:rsidR="002D3F84" w:rsidRDefault="002D3F84" w:rsidP="002D3F84">
      <w:pPr>
        <w:tabs>
          <w:tab w:val="left" w:pos="1701"/>
          <w:tab w:val="right" w:pos="9072"/>
        </w:tabs>
        <w:spacing w:after="240"/>
        <w:ind w:right="91"/>
      </w:pPr>
      <w:r>
        <w:t xml:space="preserve">Since 2004, two new types of account-based income streams have been developed, </w:t>
      </w:r>
      <w:r w:rsidR="00AD6F2C">
        <w:t xml:space="preserve">that is </w:t>
      </w:r>
      <w:r w:rsidR="00F53B8D">
        <w:t xml:space="preserve">account-based pensions and </w:t>
      </w:r>
      <w:r>
        <w:t xml:space="preserve">market linked pensions.  These types of pensions are not currently </w:t>
      </w:r>
      <w:r w:rsidR="00AD6F2C">
        <w:t xml:space="preserve">covered by </w:t>
      </w:r>
      <w:r>
        <w:t xml:space="preserve">the portability </w:t>
      </w:r>
      <w:r w:rsidR="00AD6F2C">
        <w:t>arrangements</w:t>
      </w:r>
      <w:r>
        <w:t>.</w:t>
      </w:r>
    </w:p>
    <w:p w14:paraId="58C3C7DD" w14:textId="77777777" w:rsidR="002D3F84" w:rsidRDefault="002D3F84" w:rsidP="002D3F84">
      <w:pPr>
        <w:tabs>
          <w:tab w:val="left" w:pos="1701"/>
          <w:tab w:val="right" w:pos="9072"/>
        </w:tabs>
        <w:spacing w:after="240"/>
        <w:ind w:right="91"/>
      </w:pPr>
      <w:r>
        <w:t>The amendment include</w:t>
      </w:r>
      <w:r w:rsidR="005E42CF">
        <w:t>s</w:t>
      </w:r>
      <w:r>
        <w:t xml:space="preserve"> </w:t>
      </w:r>
      <w:r w:rsidR="00F53B8D">
        <w:t>account</w:t>
      </w:r>
      <w:r w:rsidR="00F53B8D">
        <w:noBreakHyphen/>
        <w:t xml:space="preserve">based pensions and </w:t>
      </w:r>
      <w:r>
        <w:t xml:space="preserve">market linked pensions in the portability </w:t>
      </w:r>
      <w:r w:rsidR="00AD6F2C">
        <w:t>arrangements</w:t>
      </w:r>
      <w:r>
        <w:t>, and ensure</w:t>
      </w:r>
      <w:r w:rsidR="00065DFA">
        <w:t>s</w:t>
      </w:r>
      <w:r>
        <w:t xml:space="preserve"> they are portable in the same manner as allocated pensions.</w:t>
      </w:r>
    </w:p>
    <w:p w14:paraId="69D74632" w14:textId="77777777" w:rsidR="00A93BA5" w:rsidRDefault="00A93BA5" w:rsidP="002D3F84">
      <w:pPr>
        <w:tabs>
          <w:tab w:val="left" w:pos="1701"/>
          <w:tab w:val="right" w:pos="9072"/>
        </w:tabs>
        <w:spacing w:after="240"/>
        <w:ind w:right="91"/>
      </w:pPr>
      <w:r w:rsidRPr="00625D28">
        <w:rPr>
          <w:b/>
        </w:rPr>
        <w:t xml:space="preserve">Items 4 and 5 </w:t>
      </w:r>
      <w:r w:rsidRPr="00625D28">
        <w:t>insert a new circumstance when a trustee may refuse to roll</w:t>
      </w:r>
      <w:r>
        <w:t xml:space="preserve"> </w:t>
      </w:r>
      <w:r w:rsidRPr="00625D28">
        <w:t>over or transfer an amount, where the amount is a superannuation death bene</w:t>
      </w:r>
      <w:r>
        <w:t>f</w:t>
      </w:r>
      <w:r w:rsidRPr="00625D28">
        <w:t>it in the form of a</w:t>
      </w:r>
      <w:r>
        <w:t xml:space="preserve"> </w:t>
      </w:r>
      <w:r w:rsidRPr="00625D28">
        <w:t>pension and the rollover or transfer would be incon</w:t>
      </w:r>
      <w:r>
        <w:t>s</w:t>
      </w:r>
      <w:r w:rsidRPr="00625D28">
        <w:t>istent with the governing rules of the fund applying in respect of the be</w:t>
      </w:r>
      <w:r>
        <w:t>n</w:t>
      </w:r>
      <w:r w:rsidRPr="00625D28">
        <w:t>e</w:t>
      </w:r>
      <w:r>
        <w:t>f</w:t>
      </w:r>
      <w:r w:rsidRPr="00625D28">
        <w:t>it.</w:t>
      </w:r>
    </w:p>
    <w:p w14:paraId="02ACCF00" w14:textId="77777777" w:rsidR="00A93BA5" w:rsidRDefault="00A93BA5" w:rsidP="00A93BA5">
      <w:pPr>
        <w:pStyle w:val="Bullet"/>
        <w:numPr>
          <w:ilvl w:val="0"/>
          <w:numId w:val="0"/>
        </w:numPr>
      </w:pPr>
      <w:r w:rsidRPr="00B70C0B">
        <w:t>The governing rules of some superannuation funds provide for nominations in favour of a beneficiary</w:t>
      </w:r>
      <w:r>
        <w:t>,</w:t>
      </w:r>
      <w:r w:rsidRPr="00B70C0B">
        <w:t xml:space="preserve"> such as a minor child of a member</w:t>
      </w:r>
      <w:r>
        <w:t>,</w:t>
      </w:r>
      <w:r w:rsidRPr="00B70C0B">
        <w:t xml:space="preserve"> which compe</w:t>
      </w:r>
      <w:r>
        <w:t>l the trustee to pay an account-</w:t>
      </w:r>
      <w:r w:rsidRPr="00B70C0B">
        <w:t>based pension to the child upon the member’s death.</w:t>
      </w:r>
      <w:r>
        <w:t xml:space="preserve"> </w:t>
      </w:r>
      <w:r w:rsidRPr="00B70C0B">
        <w:t xml:space="preserve"> </w:t>
      </w:r>
      <w:r>
        <w:t>This</w:t>
      </w:r>
      <w:r w:rsidRPr="00B70C0B">
        <w:t xml:space="preserve"> can </w:t>
      </w:r>
      <w:r>
        <w:t xml:space="preserve">allow members, </w:t>
      </w:r>
      <w:r w:rsidRPr="00B70C0B">
        <w:t xml:space="preserve">who wish to ensure </w:t>
      </w:r>
      <w:r>
        <w:t xml:space="preserve">that </w:t>
      </w:r>
      <w:r w:rsidRPr="00B70C0B">
        <w:t>the super</w:t>
      </w:r>
      <w:r>
        <w:t>annuation</w:t>
      </w:r>
      <w:r w:rsidRPr="00B70C0B">
        <w:t xml:space="preserve"> benefits they pass on </w:t>
      </w:r>
      <w:r>
        <w:t>cannot</w:t>
      </w:r>
      <w:r w:rsidRPr="00B70C0B">
        <w:t xml:space="preserve"> be accessed inappropriately</w:t>
      </w:r>
      <w:r>
        <w:t>, to</w:t>
      </w:r>
      <w:r w:rsidRPr="00B70C0B">
        <w:t xml:space="preserve"> impose restrictions in relation to minimum payments and access to lump sum payments</w:t>
      </w:r>
      <w:r>
        <w:t xml:space="preserve"> or </w:t>
      </w:r>
      <w:r w:rsidRPr="00B70C0B">
        <w:t>commutations</w:t>
      </w:r>
      <w:r>
        <w:t>,</w:t>
      </w:r>
      <w:r w:rsidRPr="00B70C0B">
        <w:t xml:space="preserve"> which are binding on the trustee under the rules of the fund.  </w:t>
      </w:r>
      <w:r>
        <w:t xml:space="preserve">For superannuation </w:t>
      </w:r>
      <w:r w:rsidRPr="00B70C0B">
        <w:t>death benefits paid to minor children</w:t>
      </w:r>
      <w:r>
        <w:t xml:space="preserve">, such restrictions can </w:t>
      </w:r>
      <w:r w:rsidRPr="00B70C0B">
        <w:t>ensure that neither the</w:t>
      </w:r>
      <w:r>
        <w:t xml:space="preserve"> child nor the child’s guardian or </w:t>
      </w:r>
      <w:r w:rsidRPr="00B70C0B">
        <w:t xml:space="preserve">legal personal representative can access </w:t>
      </w:r>
      <w:r>
        <w:t>the benefits</w:t>
      </w:r>
      <w:r w:rsidRPr="00B70C0B">
        <w:t xml:space="preserve"> before the </w:t>
      </w:r>
      <w:r>
        <w:t xml:space="preserve">time the </w:t>
      </w:r>
      <w:r w:rsidRPr="00B70C0B">
        <w:t>deceased intended.</w:t>
      </w:r>
    </w:p>
    <w:p w14:paraId="3A8DD684" w14:textId="77777777" w:rsidR="005B4E59" w:rsidRDefault="005B4E59" w:rsidP="00A93BA5">
      <w:pPr>
        <w:pStyle w:val="Bullet"/>
        <w:numPr>
          <w:ilvl w:val="0"/>
          <w:numId w:val="0"/>
        </w:numPr>
      </w:pPr>
    </w:p>
    <w:p w14:paraId="6E6B638A" w14:textId="77777777" w:rsidR="00EA66B2" w:rsidRPr="00AD6F2C" w:rsidRDefault="00EA66B2">
      <w:pPr>
        <w:rPr>
          <w:b/>
          <w:i/>
        </w:rPr>
      </w:pPr>
      <w:r w:rsidRPr="00AD6F2C">
        <w:rPr>
          <w:b/>
          <w:i/>
        </w:rPr>
        <w:t>Time frame for rollovers and transfers</w:t>
      </w:r>
    </w:p>
    <w:p w14:paraId="28D690F5" w14:textId="77777777" w:rsidR="002F7634" w:rsidRDefault="002F7634"/>
    <w:p w14:paraId="4A83C92A" w14:textId="77777777" w:rsidR="00671740" w:rsidRDefault="00AD6F2C" w:rsidP="00AD6F2C">
      <w:r w:rsidRPr="002F7634">
        <w:rPr>
          <w:b/>
        </w:rPr>
        <w:t>Item</w:t>
      </w:r>
      <w:r>
        <w:rPr>
          <w:b/>
        </w:rPr>
        <w:t>s</w:t>
      </w:r>
      <w:r w:rsidRPr="002F7634">
        <w:rPr>
          <w:b/>
        </w:rPr>
        <w:t xml:space="preserve"> </w:t>
      </w:r>
      <w:r w:rsidR="00A93BA5">
        <w:rPr>
          <w:b/>
        </w:rPr>
        <w:t xml:space="preserve">6 </w:t>
      </w:r>
      <w:r>
        <w:rPr>
          <w:b/>
        </w:rPr>
        <w:t xml:space="preserve">and </w:t>
      </w:r>
      <w:r w:rsidR="00A93BA5">
        <w:rPr>
          <w:b/>
        </w:rPr>
        <w:t xml:space="preserve">10 </w:t>
      </w:r>
      <w:r w:rsidR="00671740">
        <w:t xml:space="preserve">reduce the time in which a trustee </w:t>
      </w:r>
      <w:r w:rsidR="002469FC">
        <w:t xml:space="preserve">is required to </w:t>
      </w:r>
      <w:r w:rsidR="00600A2C">
        <w:t xml:space="preserve">complete rollovers or transfers.  </w:t>
      </w:r>
    </w:p>
    <w:p w14:paraId="3CC93902" w14:textId="77777777" w:rsidR="00AD6F2C" w:rsidRDefault="00AD6F2C" w:rsidP="00AD6F2C"/>
    <w:p w14:paraId="0E9CD905" w14:textId="77777777" w:rsidR="00544F08" w:rsidRDefault="00AD6F2C" w:rsidP="00544F08">
      <w:pPr>
        <w:tabs>
          <w:tab w:val="left" w:pos="1701"/>
          <w:tab w:val="right" w:pos="9072"/>
        </w:tabs>
        <w:spacing w:after="240"/>
        <w:ind w:right="91"/>
      </w:pPr>
      <w:r>
        <w:t xml:space="preserve">When the portability arrangements were </w:t>
      </w:r>
      <w:r w:rsidR="00544F08">
        <w:t>introduced in 2004, fund</w:t>
      </w:r>
      <w:r w:rsidR="002469FC">
        <w:t xml:space="preserve"> trustees </w:t>
      </w:r>
      <w:r>
        <w:t xml:space="preserve">were required </w:t>
      </w:r>
      <w:r w:rsidR="002469FC">
        <w:t xml:space="preserve">to </w:t>
      </w:r>
      <w:r w:rsidR="00EA66B2">
        <w:t>complete</w:t>
      </w:r>
      <w:r w:rsidR="002469FC">
        <w:t xml:space="preserve"> rollovers and transfers </w:t>
      </w:r>
      <w:r w:rsidR="00544F08">
        <w:t xml:space="preserve">within 90 days of </w:t>
      </w:r>
      <w:r w:rsidR="002469FC">
        <w:t>receiving a</w:t>
      </w:r>
      <w:r w:rsidR="00544F08">
        <w:t xml:space="preserve"> completed </w:t>
      </w:r>
      <w:r w:rsidR="002469FC">
        <w:t>application</w:t>
      </w:r>
      <w:r w:rsidR="00544F08">
        <w:t>.  From 1</w:t>
      </w:r>
      <w:r w:rsidR="002469FC">
        <w:t> </w:t>
      </w:r>
      <w:r w:rsidR="00544F08">
        <w:t xml:space="preserve">July 2007, this time frame was shortened to 30 days.  </w:t>
      </w:r>
    </w:p>
    <w:p w14:paraId="323E5FBF" w14:textId="77777777" w:rsidR="002469FC" w:rsidRDefault="00D97130" w:rsidP="00544F08">
      <w:pPr>
        <w:tabs>
          <w:tab w:val="left" w:pos="1701"/>
          <w:tab w:val="right" w:pos="9072"/>
        </w:tabs>
        <w:spacing w:after="240"/>
        <w:ind w:right="91"/>
      </w:pPr>
      <w:r>
        <w:t xml:space="preserve">The time frames for </w:t>
      </w:r>
      <w:r w:rsidR="00544F08">
        <w:t xml:space="preserve">the </w:t>
      </w:r>
      <w:r w:rsidR="002469FC">
        <w:t xml:space="preserve">spouse contributions-splitting provisions under Division 6.7 </w:t>
      </w:r>
      <w:r w:rsidR="00600A2C">
        <w:t xml:space="preserve">and the family law payment splitting provisions under Part 7A </w:t>
      </w:r>
      <w:r w:rsidR="002469FC">
        <w:t>of the SIS</w:t>
      </w:r>
      <w:r w:rsidR="00600A2C">
        <w:t> </w:t>
      </w:r>
      <w:r w:rsidR="002469FC">
        <w:t>Regulations were not amended</w:t>
      </w:r>
      <w:r>
        <w:t xml:space="preserve"> when the 2007 changes were made</w:t>
      </w:r>
      <w:r w:rsidR="002469FC">
        <w:t xml:space="preserve">.  </w:t>
      </w:r>
    </w:p>
    <w:p w14:paraId="1DEBEE71" w14:textId="77777777" w:rsidR="002469FC" w:rsidRDefault="00EA66B2" w:rsidP="00544F08">
      <w:pPr>
        <w:tabs>
          <w:tab w:val="left" w:pos="1701"/>
          <w:tab w:val="right" w:pos="9072"/>
        </w:tabs>
        <w:spacing w:after="240"/>
        <w:ind w:right="91"/>
      </w:pPr>
      <w:r>
        <w:lastRenderedPageBreak/>
        <w:t>The amendment</w:t>
      </w:r>
      <w:r w:rsidR="00600A2C">
        <w:t>s</w:t>
      </w:r>
      <w:r>
        <w:t xml:space="preserve"> reduce the time frame</w:t>
      </w:r>
      <w:r w:rsidR="00600A2C">
        <w:t>,</w:t>
      </w:r>
      <w:r>
        <w:t xml:space="preserve"> in which fund trustees are required to roll over</w:t>
      </w:r>
      <w:r w:rsidR="00600A2C">
        <w:t xml:space="preserve">, </w:t>
      </w:r>
      <w:r>
        <w:t>transfer</w:t>
      </w:r>
      <w:r w:rsidR="00600A2C">
        <w:t xml:space="preserve"> </w:t>
      </w:r>
      <w:r>
        <w:t>or allot an amount</w:t>
      </w:r>
      <w:r w:rsidR="00600A2C">
        <w:t>,</w:t>
      </w:r>
      <w:r>
        <w:t xml:space="preserve"> from 90 days to 30 days.</w:t>
      </w:r>
    </w:p>
    <w:p w14:paraId="7F272689" w14:textId="77777777" w:rsidR="00EA66B2" w:rsidRDefault="00EA66B2" w:rsidP="00EA66B2">
      <w:pPr>
        <w:tabs>
          <w:tab w:val="left" w:pos="1701"/>
          <w:tab w:val="right" w:pos="9072"/>
        </w:tabs>
        <w:spacing w:after="240"/>
        <w:ind w:right="91"/>
      </w:pPr>
      <w:r>
        <w:t xml:space="preserve">These amendments provide consistency </w:t>
      </w:r>
      <w:r w:rsidR="00C46E65">
        <w:t xml:space="preserve">among </w:t>
      </w:r>
      <w:r>
        <w:t xml:space="preserve">the portability </w:t>
      </w:r>
      <w:r w:rsidR="00600A2C">
        <w:t>regulations,</w:t>
      </w:r>
      <w:r>
        <w:t xml:space="preserve"> the spouse contribution-splitting arrangements</w:t>
      </w:r>
      <w:r w:rsidR="00600A2C">
        <w:t xml:space="preserve"> and the payment splitting provisions</w:t>
      </w:r>
      <w:r>
        <w:t>.</w:t>
      </w:r>
    </w:p>
    <w:p w14:paraId="1BFE4C89" w14:textId="77777777" w:rsidR="00335299" w:rsidRDefault="00335299" w:rsidP="00335299">
      <w:pPr>
        <w:spacing w:after="240"/>
        <w:ind w:right="91"/>
        <w:rPr>
          <w:b/>
        </w:rPr>
      </w:pPr>
      <w:r>
        <w:rPr>
          <w:b/>
        </w:rPr>
        <w:t xml:space="preserve">Application </w:t>
      </w:r>
      <w:r w:rsidR="006A36DF">
        <w:rPr>
          <w:b/>
        </w:rPr>
        <w:t>p</w:t>
      </w:r>
      <w:r>
        <w:rPr>
          <w:b/>
        </w:rPr>
        <w:t>rovisions</w:t>
      </w:r>
    </w:p>
    <w:p w14:paraId="05CAD381" w14:textId="77777777" w:rsidR="00335299" w:rsidRDefault="00335299" w:rsidP="00335299">
      <w:pPr>
        <w:spacing w:after="240"/>
        <w:ind w:right="91"/>
      </w:pPr>
      <w:r w:rsidRPr="00335299">
        <w:rPr>
          <w:b/>
        </w:rPr>
        <w:t xml:space="preserve">Item </w:t>
      </w:r>
      <w:r w:rsidR="00A93BA5">
        <w:rPr>
          <w:b/>
        </w:rPr>
        <w:t>8</w:t>
      </w:r>
      <w:r w:rsidR="00A93BA5">
        <w:t xml:space="preserve"> </w:t>
      </w:r>
      <w:r>
        <w:t>provide</w:t>
      </w:r>
      <w:r w:rsidR="005E42CF">
        <w:t>s</w:t>
      </w:r>
      <w:r>
        <w:t xml:space="preserve"> for the application of the regulations.</w:t>
      </w:r>
    </w:p>
    <w:p w14:paraId="5120A406" w14:textId="77777777" w:rsidR="00335299" w:rsidRDefault="00335299" w:rsidP="00335299">
      <w:pPr>
        <w:spacing w:after="240"/>
        <w:ind w:right="91"/>
      </w:pPr>
      <w:r>
        <w:t xml:space="preserve">Amendments made by items 2, 3 and </w:t>
      </w:r>
      <w:r w:rsidR="00A93BA5">
        <w:t xml:space="preserve">7 </w:t>
      </w:r>
      <w:r>
        <w:t>apply to a member’s request</w:t>
      </w:r>
      <w:r w:rsidR="00AD6F2C">
        <w:t>,</w:t>
      </w:r>
      <w:r>
        <w:t xml:space="preserve"> to roll over or transfer their withdrawal benefits</w:t>
      </w:r>
      <w:r w:rsidR="00AD6F2C">
        <w:t>,</w:t>
      </w:r>
      <w:r>
        <w:t xml:space="preserve"> made on or after the commencement of this regulation.</w:t>
      </w:r>
    </w:p>
    <w:p w14:paraId="6C4161CE" w14:textId="77777777" w:rsidR="00335299" w:rsidRDefault="00335299" w:rsidP="00335299">
      <w:pPr>
        <w:spacing w:after="240"/>
        <w:ind w:right="91"/>
      </w:pPr>
      <w:r>
        <w:t xml:space="preserve">The amendment made by item </w:t>
      </w:r>
      <w:r w:rsidR="00A93BA5">
        <w:t xml:space="preserve">6 </w:t>
      </w:r>
      <w:r w:rsidR="005E42CF">
        <w:t xml:space="preserve">applies </w:t>
      </w:r>
      <w:r>
        <w:t>in relation to an application accepted by the trustee</w:t>
      </w:r>
      <w:r w:rsidR="00AD6F2C">
        <w:t>,</w:t>
      </w:r>
      <w:r>
        <w:t xml:space="preserve"> under the spouse contribution-splitting provisions</w:t>
      </w:r>
      <w:r w:rsidR="00AD6F2C">
        <w:t>,</w:t>
      </w:r>
      <w:r>
        <w:t xml:space="preserve"> on or after the commencement of this regulation.</w:t>
      </w:r>
    </w:p>
    <w:p w14:paraId="2351FDB2" w14:textId="77777777" w:rsidR="00D67D15" w:rsidRDefault="00335299" w:rsidP="00B86460">
      <w:pPr>
        <w:spacing w:after="240"/>
        <w:ind w:right="91"/>
      </w:pPr>
      <w:r>
        <w:t xml:space="preserve">The amendment made by item </w:t>
      </w:r>
      <w:r w:rsidR="00A93BA5">
        <w:t xml:space="preserve">10 </w:t>
      </w:r>
      <w:r w:rsidR="005E42CF">
        <w:t xml:space="preserve">applies </w:t>
      </w:r>
      <w:r>
        <w:t>in relation to a superannuation interest that becomes subject to a payment split on or after the commencement of this regulation.</w:t>
      </w:r>
    </w:p>
    <w:p w14:paraId="1B7E51AF" w14:textId="77777777" w:rsidR="0041315C" w:rsidRDefault="0041315C" w:rsidP="00B86460">
      <w:pPr>
        <w:spacing w:after="240"/>
        <w:ind w:right="91"/>
      </w:pPr>
      <w:r>
        <w:br w:type="page"/>
      </w:r>
    </w:p>
    <w:p w14:paraId="58106D01" w14:textId="77777777" w:rsidR="0041315C" w:rsidRPr="009C7A63" w:rsidRDefault="0041315C" w:rsidP="0041315C">
      <w:pPr>
        <w:ind w:right="91"/>
        <w:jc w:val="right"/>
        <w:rPr>
          <w:u w:val="single"/>
        </w:rPr>
      </w:pPr>
      <w:r w:rsidRPr="009C7A63">
        <w:rPr>
          <w:b/>
          <w:u w:val="single"/>
        </w:rPr>
        <w:lastRenderedPageBreak/>
        <w:t>ATTACHMENT</w:t>
      </w:r>
      <w:r>
        <w:rPr>
          <w:b/>
          <w:u w:val="single"/>
        </w:rPr>
        <w:t xml:space="preserve"> B</w:t>
      </w:r>
    </w:p>
    <w:p w14:paraId="0932B5AE" w14:textId="77777777" w:rsidR="0041315C" w:rsidRDefault="0041315C" w:rsidP="0041315C">
      <w:pPr>
        <w:ind w:right="91"/>
        <w:jc w:val="right"/>
      </w:pPr>
    </w:p>
    <w:p w14:paraId="7970806A" w14:textId="4D02E94A" w:rsidR="0041315C" w:rsidRPr="007373CA" w:rsidRDefault="0041315C" w:rsidP="0041315C">
      <w:pPr>
        <w:ind w:right="91"/>
        <w:rPr>
          <w:u w:val="single"/>
        </w:rPr>
      </w:pPr>
      <w:r w:rsidRPr="007373CA">
        <w:rPr>
          <w:b/>
        </w:rPr>
        <w:t xml:space="preserve">Details of the </w:t>
      </w:r>
      <w:r w:rsidRPr="009800D2">
        <w:rPr>
          <w:b/>
          <w:i/>
        </w:rPr>
        <w:t>Retirement Savings Accounts</w:t>
      </w:r>
      <w:r>
        <w:rPr>
          <w:b/>
        </w:rPr>
        <w:t xml:space="preserve"> </w:t>
      </w:r>
      <w:r w:rsidRPr="009800D2">
        <w:rPr>
          <w:b/>
          <w:i/>
        </w:rPr>
        <w:t xml:space="preserve">Amendment Regulation </w:t>
      </w:r>
      <w:r w:rsidR="00B3127C" w:rsidRPr="009800D2">
        <w:rPr>
          <w:b/>
          <w:i/>
        </w:rPr>
        <w:t>201</w:t>
      </w:r>
      <w:r w:rsidR="00B3127C">
        <w:rPr>
          <w:b/>
          <w:i/>
        </w:rPr>
        <w:t>3</w:t>
      </w:r>
      <w:r w:rsidR="00B3127C" w:rsidRPr="009800D2">
        <w:rPr>
          <w:b/>
          <w:i/>
        </w:rPr>
        <w:t xml:space="preserve"> </w:t>
      </w:r>
      <w:r w:rsidRPr="009800D2">
        <w:rPr>
          <w:b/>
          <w:i/>
        </w:rPr>
        <w:t xml:space="preserve">(No. </w:t>
      </w:r>
      <w:r w:rsidR="00B13B81">
        <w:rPr>
          <w:b/>
          <w:i/>
        </w:rPr>
        <w:t>1</w:t>
      </w:r>
      <w:r w:rsidRPr="009800D2">
        <w:rPr>
          <w:b/>
          <w:i/>
        </w:rPr>
        <w:t>)</w:t>
      </w:r>
    </w:p>
    <w:p w14:paraId="6BFB6927" w14:textId="77777777" w:rsidR="0041315C" w:rsidRDefault="0041315C" w:rsidP="0041315C">
      <w:pPr>
        <w:ind w:right="91"/>
      </w:pPr>
    </w:p>
    <w:p w14:paraId="26FDE6BE" w14:textId="77777777" w:rsidR="0041315C" w:rsidRDefault="0041315C" w:rsidP="0041315C">
      <w:pPr>
        <w:ind w:right="91"/>
      </w:pPr>
    </w:p>
    <w:p w14:paraId="7589DE50" w14:textId="03BC8B3C" w:rsidR="0041315C" w:rsidRPr="007373CA" w:rsidRDefault="00A93BA5" w:rsidP="0041315C">
      <w:pPr>
        <w:spacing w:after="240"/>
        <w:ind w:right="91"/>
      </w:pPr>
      <w:r>
        <w:rPr>
          <w:b/>
        </w:rPr>
        <w:t>Section</w:t>
      </w:r>
      <w:r w:rsidRPr="00DB3D47">
        <w:rPr>
          <w:b/>
        </w:rPr>
        <w:t xml:space="preserve"> </w:t>
      </w:r>
      <w:r w:rsidR="0041315C" w:rsidRPr="00DB3D47">
        <w:rPr>
          <w:b/>
        </w:rPr>
        <w:t>1</w:t>
      </w:r>
      <w:r w:rsidR="0041315C" w:rsidRPr="00DB3D47">
        <w:t xml:space="preserve"> </w:t>
      </w:r>
      <w:r w:rsidR="00C46E65" w:rsidRPr="00DB3D47">
        <w:t>specif</w:t>
      </w:r>
      <w:r w:rsidR="00C46E65">
        <w:t>ies</w:t>
      </w:r>
      <w:r w:rsidR="00C46E65" w:rsidRPr="00DB3D47">
        <w:t xml:space="preserve"> </w:t>
      </w:r>
      <w:r w:rsidR="0041315C" w:rsidRPr="00DB3D47">
        <w:t>the name</w:t>
      </w:r>
      <w:r w:rsidR="0041315C">
        <w:rPr>
          <w:u w:val="single"/>
        </w:rPr>
        <w:t xml:space="preserve"> </w:t>
      </w:r>
      <w:r w:rsidR="0041315C" w:rsidRPr="007373CA">
        <w:t xml:space="preserve">of the </w:t>
      </w:r>
      <w:r w:rsidR="0041315C" w:rsidRPr="00B95244">
        <w:t>Regulation is the</w:t>
      </w:r>
      <w:r w:rsidR="0041315C" w:rsidRPr="00B95244">
        <w:rPr>
          <w:i/>
        </w:rPr>
        <w:t xml:space="preserve"> Retirement Savings Accounts Amendment Regulation </w:t>
      </w:r>
      <w:r w:rsidR="00B3127C" w:rsidRPr="00B95244">
        <w:rPr>
          <w:i/>
        </w:rPr>
        <w:t>201</w:t>
      </w:r>
      <w:r w:rsidR="00B3127C">
        <w:rPr>
          <w:i/>
        </w:rPr>
        <w:t>3</w:t>
      </w:r>
      <w:r w:rsidR="00B3127C">
        <w:t xml:space="preserve"> </w:t>
      </w:r>
      <w:r w:rsidR="0041315C" w:rsidRPr="001024EA">
        <w:rPr>
          <w:i/>
        </w:rPr>
        <w:t xml:space="preserve">(No. </w:t>
      </w:r>
      <w:r w:rsidR="00B13B81">
        <w:rPr>
          <w:i/>
        </w:rPr>
        <w:t>1</w:t>
      </w:r>
      <w:r w:rsidR="0041315C" w:rsidRPr="001024EA">
        <w:rPr>
          <w:i/>
        </w:rPr>
        <w:t>)</w:t>
      </w:r>
      <w:r w:rsidR="0041315C" w:rsidRPr="007373CA">
        <w:t>.</w:t>
      </w:r>
    </w:p>
    <w:p w14:paraId="4522945B" w14:textId="77777777" w:rsidR="0041315C" w:rsidRPr="00224C83" w:rsidRDefault="00A93BA5" w:rsidP="0041315C">
      <w:pPr>
        <w:spacing w:after="240"/>
        <w:ind w:right="91"/>
      </w:pPr>
      <w:r>
        <w:rPr>
          <w:b/>
        </w:rPr>
        <w:t>Section</w:t>
      </w:r>
      <w:r w:rsidRPr="00DB3D47">
        <w:rPr>
          <w:b/>
        </w:rPr>
        <w:t xml:space="preserve"> </w:t>
      </w:r>
      <w:r w:rsidR="0041315C" w:rsidRPr="00DB3D47">
        <w:rPr>
          <w:b/>
        </w:rPr>
        <w:t>2</w:t>
      </w:r>
      <w:r w:rsidR="0041315C" w:rsidRPr="00E17233">
        <w:t xml:space="preserve"> </w:t>
      </w:r>
      <w:r w:rsidR="0041315C">
        <w:t>provide</w:t>
      </w:r>
      <w:r w:rsidR="00C46E65">
        <w:t>s</w:t>
      </w:r>
      <w:r w:rsidR="0041315C">
        <w:t xml:space="preserve"> that the Regulation</w:t>
      </w:r>
      <w:r w:rsidR="0041315C" w:rsidRPr="00224C83">
        <w:t xml:space="preserve"> </w:t>
      </w:r>
      <w:r w:rsidR="0041315C">
        <w:t xml:space="preserve">will commence on the day after it is registered.  </w:t>
      </w:r>
      <w:r w:rsidR="0041315C" w:rsidRPr="00224C83">
        <w:t xml:space="preserve"> </w:t>
      </w:r>
    </w:p>
    <w:p w14:paraId="5AA2331C" w14:textId="77777777" w:rsidR="0041315C" w:rsidRPr="00DB3D47" w:rsidRDefault="00A93BA5" w:rsidP="0041315C">
      <w:pPr>
        <w:spacing w:after="240"/>
        <w:ind w:right="91"/>
      </w:pPr>
      <w:r>
        <w:rPr>
          <w:b/>
        </w:rPr>
        <w:t>Section</w:t>
      </w:r>
      <w:r w:rsidRPr="00DB3D47">
        <w:rPr>
          <w:b/>
        </w:rPr>
        <w:t xml:space="preserve"> </w:t>
      </w:r>
      <w:r w:rsidR="0041315C" w:rsidRPr="00DB3D47">
        <w:rPr>
          <w:b/>
        </w:rPr>
        <w:t>3</w:t>
      </w:r>
      <w:r w:rsidR="0041315C" w:rsidRPr="00DB3D47">
        <w:t xml:space="preserve"> provide</w:t>
      </w:r>
      <w:r w:rsidR="00C46E65">
        <w:t>s</w:t>
      </w:r>
      <w:r w:rsidR="0041315C" w:rsidRPr="00DB3D47">
        <w:t xml:space="preserve"> that Schedule 1 will amend the </w:t>
      </w:r>
      <w:r w:rsidR="0041315C" w:rsidRPr="00B95244">
        <w:rPr>
          <w:i/>
        </w:rPr>
        <w:t>Retirements Savings Account</w:t>
      </w:r>
      <w:r>
        <w:rPr>
          <w:i/>
        </w:rPr>
        <w:t>s</w:t>
      </w:r>
      <w:r w:rsidR="0041315C">
        <w:t xml:space="preserve"> </w:t>
      </w:r>
      <w:r w:rsidR="0041315C" w:rsidRPr="00DB3D47">
        <w:rPr>
          <w:i/>
        </w:rPr>
        <w:t>Regulations 199</w:t>
      </w:r>
      <w:r w:rsidR="0041315C">
        <w:rPr>
          <w:i/>
        </w:rPr>
        <w:t>7</w:t>
      </w:r>
      <w:r w:rsidR="0041315C" w:rsidRPr="00DB3D47">
        <w:rPr>
          <w:i/>
        </w:rPr>
        <w:t xml:space="preserve"> </w:t>
      </w:r>
      <w:r w:rsidR="0041315C" w:rsidRPr="00DB3D47">
        <w:t>(</w:t>
      </w:r>
      <w:r w:rsidR="0041315C">
        <w:t>RSA</w:t>
      </w:r>
      <w:r w:rsidR="0041315C" w:rsidRPr="00DB3D47">
        <w:t xml:space="preserve"> Regulations)</w:t>
      </w:r>
      <w:r w:rsidR="0041315C">
        <w:t>.</w:t>
      </w:r>
    </w:p>
    <w:p w14:paraId="1B8FA106" w14:textId="77777777" w:rsidR="0041315C" w:rsidRDefault="0041315C" w:rsidP="0041315C">
      <w:pPr>
        <w:spacing w:after="240"/>
        <w:ind w:right="91"/>
        <w:rPr>
          <w:b/>
        </w:rPr>
      </w:pPr>
      <w:r w:rsidRPr="00DB3D47">
        <w:rPr>
          <w:b/>
        </w:rPr>
        <w:t>Schedule 1 Amendments</w:t>
      </w:r>
    </w:p>
    <w:p w14:paraId="70213393" w14:textId="77777777" w:rsidR="0041315C" w:rsidRDefault="0041315C" w:rsidP="0041315C">
      <w:pPr>
        <w:spacing w:after="240"/>
        <w:ind w:right="91"/>
        <w:rPr>
          <w:b/>
        </w:rPr>
      </w:pPr>
      <w:r w:rsidRPr="00BD7053">
        <w:rPr>
          <w:b/>
        </w:rPr>
        <w:t>Electronic portability request scheme</w:t>
      </w:r>
    </w:p>
    <w:p w14:paraId="44C48AC9" w14:textId="77777777" w:rsidR="0041315C" w:rsidRPr="008008DF" w:rsidRDefault="0041315C" w:rsidP="0041315C">
      <w:pPr>
        <w:spacing w:after="240"/>
        <w:ind w:right="91"/>
      </w:pPr>
      <w:r w:rsidRPr="008008DF">
        <w:t xml:space="preserve">Division </w:t>
      </w:r>
      <w:r>
        <w:t>4.4A</w:t>
      </w:r>
      <w:r w:rsidRPr="008008DF">
        <w:t xml:space="preserve"> of the </w:t>
      </w:r>
      <w:r>
        <w:t>RSA</w:t>
      </w:r>
      <w:r w:rsidRPr="008008DF">
        <w:t xml:space="preserve"> Regulations provides for the compulsory rollover and transfer of benefit</w:t>
      </w:r>
      <w:r>
        <w:t>s</w:t>
      </w:r>
      <w:r w:rsidRPr="008008DF">
        <w:t xml:space="preserve"> in </w:t>
      </w:r>
      <w:r>
        <w:t>RSAs (the portability arrangements)</w:t>
      </w:r>
      <w:r w:rsidRPr="008008DF">
        <w:t xml:space="preserve">. </w:t>
      </w:r>
    </w:p>
    <w:p w14:paraId="430D0894" w14:textId="77777777" w:rsidR="0041315C" w:rsidRPr="007C0BA5" w:rsidRDefault="0041315C" w:rsidP="0041315C">
      <w:pPr>
        <w:pStyle w:val="Bullet"/>
        <w:numPr>
          <w:ilvl w:val="0"/>
          <w:numId w:val="0"/>
        </w:numPr>
        <w:ind w:left="567" w:hanging="567"/>
        <w:rPr>
          <w:b/>
          <w:i/>
          <w:highlight w:val="yellow"/>
        </w:rPr>
      </w:pPr>
      <w:r>
        <w:rPr>
          <w:b/>
          <w:i/>
        </w:rPr>
        <w:t>Introduction of the electronic portability request scheme</w:t>
      </w:r>
    </w:p>
    <w:p w14:paraId="660EDB26" w14:textId="77777777" w:rsidR="0041315C" w:rsidRDefault="0041315C" w:rsidP="0041315C">
      <w:pPr>
        <w:pStyle w:val="Bullet"/>
        <w:numPr>
          <w:ilvl w:val="0"/>
          <w:numId w:val="0"/>
        </w:numPr>
        <w:ind w:left="567" w:hanging="567"/>
      </w:pPr>
    </w:p>
    <w:p w14:paraId="62FA2249" w14:textId="77777777" w:rsidR="0041315C" w:rsidRDefault="0041315C" w:rsidP="0041315C">
      <w:pPr>
        <w:pStyle w:val="Bullet"/>
        <w:numPr>
          <w:ilvl w:val="0"/>
          <w:numId w:val="0"/>
        </w:numPr>
        <w:ind w:left="567" w:hanging="567"/>
      </w:pPr>
      <w:r w:rsidRPr="00CD17EF">
        <w:rPr>
          <w:b/>
        </w:rPr>
        <w:t>Item 5</w:t>
      </w:r>
      <w:r>
        <w:t xml:space="preserve"> insert</w:t>
      </w:r>
      <w:r w:rsidR="00C46E65">
        <w:t>s</w:t>
      </w:r>
      <w:r>
        <w:t xml:space="preserve"> Part 4AA into the RSA Regulations.</w:t>
      </w:r>
    </w:p>
    <w:p w14:paraId="3102306C" w14:textId="77777777" w:rsidR="0041315C" w:rsidRDefault="0041315C" w:rsidP="0041315C">
      <w:pPr>
        <w:pStyle w:val="Bullet"/>
        <w:numPr>
          <w:ilvl w:val="0"/>
          <w:numId w:val="0"/>
        </w:numPr>
        <w:ind w:left="567" w:hanging="567"/>
      </w:pPr>
    </w:p>
    <w:p w14:paraId="3C087A46" w14:textId="77777777" w:rsidR="0041315C" w:rsidRDefault="00C46E65" w:rsidP="0041315C">
      <w:r>
        <w:t>R</w:t>
      </w:r>
      <w:r w:rsidR="0041315C">
        <w:t>egulation 4AA.01 of the RSA Regulations prescribe</w:t>
      </w:r>
      <w:r>
        <w:t>s</w:t>
      </w:r>
      <w:r w:rsidR="0041315C">
        <w:t xml:space="preserve"> the </w:t>
      </w:r>
      <w:r w:rsidR="0041315C" w:rsidRPr="00BB3A25">
        <w:t>electronic portability request scheme</w:t>
      </w:r>
      <w:r w:rsidR="0041315C">
        <w:t>, under which an RSA holder may give the Commissioner a</w:t>
      </w:r>
      <w:r w:rsidR="00F3565F">
        <w:t> </w:t>
      </w:r>
      <w:r w:rsidR="0041315C">
        <w:t>request to roll over or transfer the</w:t>
      </w:r>
      <w:r w:rsidR="00F3565F">
        <w:t xml:space="preserve"> whole of the</w:t>
      </w:r>
      <w:r w:rsidR="0041315C">
        <w:t xml:space="preserve"> RSA holder’s withdrawal benefits held by </w:t>
      </w:r>
      <w:r w:rsidR="00C5202A">
        <w:t>the</w:t>
      </w:r>
      <w:r w:rsidR="0041315C">
        <w:t xml:space="preserve"> RSA provider, and the Commissioner may give the request to the RSA</w:t>
      </w:r>
      <w:r w:rsidR="00B86460">
        <w:t> </w:t>
      </w:r>
      <w:r w:rsidR="0041315C">
        <w:t>provider.</w:t>
      </w:r>
    </w:p>
    <w:p w14:paraId="2C479D82" w14:textId="77777777" w:rsidR="0041315C" w:rsidRDefault="0041315C" w:rsidP="0041315C"/>
    <w:p w14:paraId="5272420B" w14:textId="77777777" w:rsidR="0041315C" w:rsidRDefault="0041315C" w:rsidP="0041315C">
      <w:r>
        <w:t xml:space="preserve">The scheme is </w:t>
      </w:r>
      <w:r w:rsidRPr="00BB3A25">
        <w:t>given effect</w:t>
      </w:r>
      <w:r>
        <w:t xml:space="preserve"> by section 39A of the RSA Act.</w:t>
      </w:r>
    </w:p>
    <w:p w14:paraId="045C7438" w14:textId="77777777" w:rsidR="0041315C" w:rsidRDefault="0041315C" w:rsidP="0041315C">
      <w:pPr>
        <w:pStyle w:val="Bullet"/>
        <w:numPr>
          <w:ilvl w:val="0"/>
          <w:numId w:val="0"/>
        </w:numPr>
        <w:ind w:left="567" w:hanging="567"/>
      </w:pPr>
    </w:p>
    <w:p w14:paraId="69E3421C" w14:textId="77777777" w:rsidR="0041315C" w:rsidRDefault="0041315C" w:rsidP="0041315C">
      <w:pPr>
        <w:spacing w:after="120"/>
      </w:pPr>
      <w:r>
        <w:t>The scheme provide</w:t>
      </w:r>
      <w:r w:rsidR="00C46E65">
        <w:t>s</w:t>
      </w:r>
      <w:r>
        <w:t xml:space="preserve"> a simple and streamlined process for RSA holders to </w:t>
      </w:r>
      <w:r w:rsidR="00065DFA">
        <w:t xml:space="preserve">initiate </w:t>
      </w:r>
      <w:r>
        <w:t>the rollover or transfer of their benefits.  Key differences between the scheme and the existing portability arrangements include:</w:t>
      </w:r>
    </w:p>
    <w:p w14:paraId="4E6C2E19" w14:textId="77777777" w:rsidR="0041315C" w:rsidRDefault="0041315C" w:rsidP="0041315C">
      <w:pPr>
        <w:pStyle w:val="Bullet"/>
        <w:spacing w:after="120"/>
      </w:pPr>
      <w:r>
        <w:t>the RSA holder applies electronically</w:t>
      </w:r>
      <w:r w:rsidR="00C5202A">
        <w:t xml:space="preserve"> to the Commissioner</w:t>
      </w:r>
      <w:r>
        <w:t xml:space="preserve">, rather than in writing to their RSA provider; </w:t>
      </w:r>
    </w:p>
    <w:p w14:paraId="27314D93" w14:textId="77777777" w:rsidR="00A93BA5" w:rsidRDefault="0041315C" w:rsidP="0041315C">
      <w:pPr>
        <w:pStyle w:val="Bullet"/>
        <w:spacing w:after="120"/>
      </w:pPr>
      <w:r>
        <w:t xml:space="preserve">the Commissioner verifies the RSA holder’s identity, instead of the holder providing certified copies of identity documents to the RSA provider; </w:t>
      </w:r>
    </w:p>
    <w:p w14:paraId="2979C7BC" w14:textId="77777777" w:rsidR="0041315C" w:rsidRDefault="00A93BA5" w:rsidP="0041315C">
      <w:pPr>
        <w:pStyle w:val="Bullet"/>
        <w:spacing w:after="120"/>
      </w:pPr>
      <w:r>
        <w:t xml:space="preserve">The Commissioner also confirms the ownership of the benefits and membership details; </w:t>
      </w:r>
      <w:r w:rsidR="0041315C">
        <w:t xml:space="preserve">and </w:t>
      </w:r>
    </w:p>
    <w:p w14:paraId="3FF04E24" w14:textId="77777777" w:rsidR="0041315C" w:rsidRDefault="0041315C" w:rsidP="0041315C">
      <w:pPr>
        <w:pStyle w:val="Bullet"/>
      </w:pPr>
      <w:r>
        <w:t>the Commissioner gives the request</w:t>
      </w:r>
      <w:r w:rsidR="00B86460">
        <w:t xml:space="preserve"> electronically</w:t>
      </w:r>
      <w:r>
        <w:t xml:space="preserve"> to the holder’s RSA</w:t>
      </w:r>
      <w:r w:rsidR="00B86460">
        <w:t> </w:t>
      </w:r>
      <w:r>
        <w:t xml:space="preserve">provider.  </w:t>
      </w:r>
    </w:p>
    <w:p w14:paraId="00F28290" w14:textId="77777777" w:rsidR="0041315C" w:rsidRDefault="0041315C" w:rsidP="0041315C">
      <w:pPr>
        <w:pStyle w:val="Bullet"/>
        <w:numPr>
          <w:ilvl w:val="0"/>
          <w:numId w:val="0"/>
        </w:numPr>
        <w:ind w:left="567" w:hanging="567"/>
      </w:pPr>
    </w:p>
    <w:p w14:paraId="72878CBA" w14:textId="77777777" w:rsidR="0041315C" w:rsidRDefault="0041315C" w:rsidP="0041315C">
      <w:r>
        <w:t xml:space="preserve">It is not compulsory for RSA holders to electronically request the rollover or transfer of their benefits under the scheme.  RSA holders may continue to apply in writing to their </w:t>
      </w:r>
      <w:proofErr w:type="spellStart"/>
      <w:r>
        <w:t>RSA</w:t>
      </w:r>
      <w:proofErr w:type="spellEnd"/>
      <w:r>
        <w:t xml:space="preserve"> provider under </w:t>
      </w:r>
      <w:proofErr w:type="spellStart"/>
      <w:r>
        <w:t>subregulations</w:t>
      </w:r>
      <w:proofErr w:type="spellEnd"/>
      <w:r>
        <w:t xml:space="preserve"> 4.35C(1) to (3) if they do not wish to </w:t>
      </w:r>
      <w:r w:rsidR="00F238CF">
        <w:t xml:space="preserve">use the scheme or their request cannot be completed electronically.  </w:t>
      </w:r>
      <w:r>
        <w:t xml:space="preserve">  </w:t>
      </w:r>
    </w:p>
    <w:p w14:paraId="552EA12C" w14:textId="77777777" w:rsidR="00656F4A" w:rsidRDefault="00656F4A" w:rsidP="0041315C"/>
    <w:p w14:paraId="78EA060C" w14:textId="77777777" w:rsidR="0041315C" w:rsidRDefault="0041315C" w:rsidP="0041315C">
      <w:r>
        <w:t xml:space="preserve">Part 4AA of the RSA Regulations </w:t>
      </w:r>
      <w:r w:rsidR="00C46E65">
        <w:t>is</w:t>
      </w:r>
      <w:r>
        <w:t xml:space="preserve"> administered by the Commissioner</w:t>
      </w:r>
      <w:r w:rsidR="00656F4A">
        <w:t xml:space="preserve"> under subparagraph 3(1)(e)(</w:t>
      </w:r>
      <w:proofErr w:type="spellStart"/>
      <w:r w:rsidR="00656F4A">
        <w:t>i</w:t>
      </w:r>
      <w:proofErr w:type="spellEnd"/>
      <w:r w:rsidR="00656F4A">
        <w:t xml:space="preserve">) of the </w:t>
      </w:r>
      <w:proofErr w:type="spellStart"/>
      <w:r w:rsidR="00656F4A">
        <w:t>RSA</w:t>
      </w:r>
      <w:proofErr w:type="spellEnd"/>
      <w:r w:rsidR="00656F4A">
        <w:t xml:space="preserve"> Act</w:t>
      </w:r>
      <w:r>
        <w:t>.</w:t>
      </w:r>
    </w:p>
    <w:p w14:paraId="44F6FE3C" w14:textId="77777777" w:rsidR="00B3127C" w:rsidRDefault="00B3127C" w:rsidP="0041315C"/>
    <w:p w14:paraId="528411A6" w14:textId="77777777" w:rsidR="0041315C" w:rsidRPr="007C0BA5" w:rsidRDefault="0041315C" w:rsidP="0041315C">
      <w:pPr>
        <w:rPr>
          <w:b/>
          <w:i/>
        </w:rPr>
      </w:pPr>
      <w:r w:rsidRPr="007C0BA5">
        <w:rPr>
          <w:b/>
          <w:i/>
        </w:rPr>
        <w:t>Scheme criteria</w:t>
      </w:r>
    </w:p>
    <w:p w14:paraId="2FA5DC95" w14:textId="77777777" w:rsidR="0041315C" w:rsidRDefault="0041315C" w:rsidP="0041315C"/>
    <w:p w14:paraId="090BFA5A" w14:textId="77777777" w:rsidR="0041315C" w:rsidRDefault="0041315C" w:rsidP="0041315C">
      <w:pPr>
        <w:spacing w:after="120"/>
      </w:pPr>
      <w:r>
        <w:t xml:space="preserve">Regulation 4AA.02 sets out the criteria for an RSA holder to make an electronic portability request.  </w:t>
      </w:r>
    </w:p>
    <w:p w14:paraId="2B900758" w14:textId="77777777" w:rsidR="0041315C" w:rsidRDefault="0041315C" w:rsidP="0041315C">
      <w:pPr>
        <w:spacing w:after="120"/>
      </w:pPr>
      <w:r>
        <w:t xml:space="preserve">An RSA holder </w:t>
      </w:r>
      <w:r w:rsidR="00C46E65">
        <w:t>may</w:t>
      </w:r>
      <w:r>
        <w:t xml:space="preserve"> make an electronic portability request where:</w:t>
      </w:r>
    </w:p>
    <w:p w14:paraId="4F767ABB" w14:textId="77777777" w:rsidR="0041315C" w:rsidRDefault="0041315C" w:rsidP="0041315C">
      <w:pPr>
        <w:pStyle w:val="Bullet"/>
        <w:spacing w:after="120"/>
      </w:pPr>
      <w:r>
        <w:t xml:space="preserve">the Commissioner holds information about the holder’s RSA; </w:t>
      </w:r>
    </w:p>
    <w:p w14:paraId="0F4F47E1" w14:textId="77777777" w:rsidR="00174C6A" w:rsidRDefault="0041315C" w:rsidP="00625D28">
      <w:pPr>
        <w:pStyle w:val="Bullet"/>
        <w:spacing w:after="120"/>
      </w:pPr>
      <w:r>
        <w:t xml:space="preserve">the request is </w:t>
      </w:r>
      <w:r w:rsidR="00656F4A">
        <w:t>to</w:t>
      </w:r>
      <w:r>
        <w:t xml:space="preserve"> roll</w:t>
      </w:r>
      <w:r w:rsidR="00A93BA5">
        <w:t xml:space="preserve"> </w:t>
      </w:r>
      <w:r>
        <w:t>over or transfer of the whole of the RSA holder’s withdrawal benefit</w:t>
      </w:r>
      <w:r w:rsidR="00A93BA5">
        <w:t xml:space="preserve"> to a complying superannuation fund of which they are a member</w:t>
      </w:r>
      <w:r w:rsidR="00386192">
        <w:t>; and</w:t>
      </w:r>
    </w:p>
    <w:p w14:paraId="6F854473" w14:textId="77777777" w:rsidR="00386192" w:rsidRDefault="00386192" w:rsidP="00625D28">
      <w:pPr>
        <w:pStyle w:val="Bullet"/>
      </w:pPr>
      <w:r>
        <w:t xml:space="preserve">the electronic request </w:t>
      </w:r>
      <w:r w:rsidR="00A93BA5">
        <w:t>is</w:t>
      </w:r>
      <w:r>
        <w:t xml:space="preserve"> in the approved form and contain</w:t>
      </w:r>
      <w:r w:rsidR="00A93BA5">
        <w:t>s</w:t>
      </w:r>
      <w:r>
        <w:t xml:space="preserve"> the information required by the Commissioner.  </w:t>
      </w:r>
    </w:p>
    <w:p w14:paraId="669FD514" w14:textId="77777777" w:rsidR="0041315C" w:rsidRDefault="0041315C" w:rsidP="0041315C"/>
    <w:p w14:paraId="1CBE5049" w14:textId="77777777" w:rsidR="005B3BA1" w:rsidRDefault="0041315C" w:rsidP="00F238CF">
      <w:r>
        <w:t xml:space="preserve">Information that the Commissioner holds about a holder’s benefits in an RSA is displayed on </w:t>
      </w:r>
      <w:r w:rsidR="00F3565F">
        <w:t>the online service provided by the ATO</w:t>
      </w:r>
      <w:r w:rsidR="00F238CF">
        <w:t>.  Broadly, th</w:t>
      </w:r>
      <w:r w:rsidR="00A93BA5">
        <w:t xml:space="preserve">is </w:t>
      </w:r>
      <w:r w:rsidR="00F238CF">
        <w:t>service displays details about a member’s active and lost accounts.  RSA providers are required to report these details to the ATO on Member Contribution Statements and Lost Members’ Statements</w:t>
      </w:r>
      <w:r w:rsidR="00D45767">
        <w:t>.</w:t>
      </w:r>
    </w:p>
    <w:p w14:paraId="4C1AC933" w14:textId="77777777" w:rsidR="00474EC1" w:rsidRDefault="00474EC1" w:rsidP="00F238CF"/>
    <w:p w14:paraId="3AA58AB6" w14:textId="77777777" w:rsidR="00656F4A" w:rsidRDefault="00386192" w:rsidP="00656F4A">
      <w:r>
        <w:t>An</w:t>
      </w:r>
      <w:r w:rsidR="00656F4A">
        <w:t xml:space="preserve"> electronic request lodged through </w:t>
      </w:r>
      <w:r w:rsidR="00F3565F">
        <w:t xml:space="preserve">the </w:t>
      </w:r>
      <w:r w:rsidR="005B3BA1">
        <w:t xml:space="preserve">ATO’s </w:t>
      </w:r>
      <w:r w:rsidR="00F3565F">
        <w:t>online s</w:t>
      </w:r>
      <w:r w:rsidR="00096786">
        <w:t xml:space="preserve">ervice </w:t>
      </w:r>
      <w:r w:rsidR="00C46E65">
        <w:t>is</w:t>
      </w:r>
      <w:r w:rsidR="00656F4A">
        <w:t xml:space="preserve"> </w:t>
      </w:r>
      <w:r>
        <w:t>an approved form and contain</w:t>
      </w:r>
      <w:r w:rsidR="00C46E65">
        <w:t>s</w:t>
      </w:r>
      <w:r>
        <w:t xml:space="preserve"> the information required by the Commissioner</w:t>
      </w:r>
      <w:r w:rsidR="00656F4A">
        <w:t xml:space="preserve">.  </w:t>
      </w:r>
    </w:p>
    <w:p w14:paraId="7BC73225" w14:textId="77777777" w:rsidR="008B7FB3" w:rsidRDefault="008B7FB3" w:rsidP="00656F4A"/>
    <w:p w14:paraId="23DBA0F7" w14:textId="77777777" w:rsidR="0041315C" w:rsidRDefault="0041315C" w:rsidP="0041315C">
      <w:pPr>
        <w:spacing w:after="120"/>
      </w:pPr>
      <w:r>
        <w:t xml:space="preserve">An RSA holder </w:t>
      </w:r>
      <w:r w:rsidR="00C46E65">
        <w:t>may not be able to complete</w:t>
      </w:r>
      <w:r>
        <w:t xml:space="preserve"> an electronic portability request if;</w:t>
      </w:r>
    </w:p>
    <w:p w14:paraId="3BBAF062" w14:textId="77777777" w:rsidR="0041315C" w:rsidRDefault="0041315C" w:rsidP="0041315C">
      <w:pPr>
        <w:pStyle w:val="Bullet"/>
        <w:spacing w:after="120"/>
      </w:pPr>
      <w:r>
        <w:t xml:space="preserve">the member’s RSA is not displayed on </w:t>
      </w:r>
      <w:r w:rsidR="00F3565F">
        <w:t xml:space="preserve">the </w:t>
      </w:r>
      <w:r w:rsidR="00657EEF">
        <w:t xml:space="preserve">ATO’s </w:t>
      </w:r>
      <w:r w:rsidR="00F3565F">
        <w:t>online service</w:t>
      </w:r>
      <w:r>
        <w:t xml:space="preserve">; </w:t>
      </w:r>
    </w:p>
    <w:p w14:paraId="0DA4B27A" w14:textId="77777777" w:rsidR="00656F4A" w:rsidRDefault="0041315C" w:rsidP="00656F4A">
      <w:pPr>
        <w:pStyle w:val="Bullet"/>
        <w:spacing w:after="120"/>
      </w:pPr>
      <w:r>
        <w:t>the request is for the rollover or transfer of part of the holder’s benefit</w:t>
      </w:r>
      <w:r w:rsidR="00656F4A">
        <w:t xml:space="preserve">; </w:t>
      </w:r>
    </w:p>
    <w:p w14:paraId="025FA1C1" w14:textId="77777777" w:rsidR="00D45767" w:rsidRDefault="00656F4A" w:rsidP="00D45767">
      <w:pPr>
        <w:pStyle w:val="Bullet"/>
      </w:pPr>
      <w:r>
        <w:t>the information required on the electronic request is not provided.</w:t>
      </w:r>
    </w:p>
    <w:p w14:paraId="29CD1BC4" w14:textId="77777777" w:rsidR="00D45767" w:rsidRDefault="00D45767" w:rsidP="00625D28">
      <w:pPr>
        <w:pStyle w:val="Bullet"/>
        <w:numPr>
          <w:ilvl w:val="0"/>
          <w:numId w:val="0"/>
        </w:numPr>
        <w:ind w:left="567" w:hanging="567"/>
      </w:pPr>
    </w:p>
    <w:p w14:paraId="3CAEFFF4" w14:textId="77777777" w:rsidR="0041315C" w:rsidRDefault="00D45767" w:rsidP="0041315C">
      <w:r>
        <w:t xml:space="preserve">If a request cannot be completed electronically, the holder may print the form and post it to their </w:t>
      </w:r>
      <w:r w:rsidR="00C46E65">
        <w:t>provider</w:t>
      </w:r>
      <w:r>
        <w:t>.</w:t>
      </w:r>
    </w:p>
    <w:p w14:paraId="209E04A4" w14:textId="77777777" w:rsidR="00D45767" w:rsidRDefault="00D45767" w:rsidP="0041315C"/>
    <w:p w14:paraId="6924C89D" w14:textId="77777777" w:rsidR="0041315C" w:rsidRPr="007C0BA5" w:rsidRDefault="0041315C" w:rsidP="0041315C">
      <w:pPr>
        <w:rPr>
          <w:b/>
          <w:i/>
        </w:rPr>
      </w:pPr>
      <w:r w:rsidRPr="007C0BA5">
        <w:rPr>
          <w:b/>
          <w:i/>
        </w:rPr>
        <w:t xml:space="preserve">Commissioner’s </w:t>
      </w:r>
      <w:r>
        <w:rPr>
          <w:b/>
          <w:i/>
        </w:rPr>
        <w:t xml:space="preserve">verification </w:t>
      </w:r>
      <w:r w:rsidRPr="007C0BA5">
        <w:rPr>
          <w:b/>
          <w:i/>
        </w:rPr>
        <w:t>role</w:t>
      </w:r>
    </w:p>
    <w:p w14:paraId="4331225A" w14:textId="77777777" w:rsidR="0041315C" w:rsidRDefault="0041315C" w:rsidP="0041315C"/>
    <w:p w14:paraId="4EFF9F13" w14:textId="77777777" w:rsidR="0041315C" w:rsidRDefault="0041315C" w:rsidP="0041315C">
      <w:r>
        <w:t>Regulation 4AA.03 sets out the Commissioner’s role under the scheme.</w:t>
      </w:r>
    </w:p>
    <w:p w14:paraId="3F868793" w14:textId="77777777" w:rsidR="0041315C" w:rsidRDefault="0041315C" w:rsidP="0041315C">
      <w:pPr>
        <w:pStyle w:val="Bullet"/>
        <w:numPr>
          <w:ilvl w:val="0"/>
          <w:numId w:val="0"/>
        </w:numPr>
        <w:ind w:left="567" w:hanging="567"/>
      </w:pPr>
    </w:p>
    <w:p w14:paraId="270BECEB" w14:textId="77777777" w:rsidR="0073358D" w:rsidRDefault="00386192" w:rsidP="0041315C">
      <w:r>
        <w:t>U</w:t>
      </w:r>
      <w:r w:rsidR="0041315C">
        <w:t>nder the scheme the Commissioner must</w:t>
      </w:r>
      <w:r>
        <w:t xml:space="preserve"> </w:t>
      </w:r>
      <w:r w:rsidR="0041315C">
        <w:t>confirm the RSA holder’s identity</w:t>
      </w:r>
      <w:r w:rsidR="00657EEF">
        <w:t>,</w:t>
      </w:r>
      <w:r w:rsidR="0073358D">
        <w:t xml:space="preserve"> </w:t>
      </w:r>
      <w:r w:rsidR="0041315C">
        <w:t>the holder’s ownership of the withdrawal benefit</w:t>
      </w:r>
      <w:r w:rsidR="00657EEF">
        <w:t xml:space="preserve"> and their membership of the receiving fund</w:t>
      </w:r>
      <w:r w:rsidR="0073358D">
        <w:t>.</w:t>
      </w:r>
    </w:p>
    <w:p w14:paraId="0F8CB709" w14:textId="77777777" w:rsidR="0041315C" w:rsidRDefault="0041315C" w:rsidP="0041315C"/>
    <w:p w14:paraId="24568892" w14:textId="77777777" w:rsidR="00657EEF" w:rsidRDefault="00657EEF" w:rsidP="00657EEF">
      <w:r>
        <w:t xml:space="preserve">The Commissioner confirms these matters using information available to the Commissioner, such as the member’s tax file number and other personal information; details from correspondence between the ATO and the member; information held by the ATO in respect of the member; and statements lodged with the Commissioner by providers about their members.  </w:t>
      </w:r>
    </w:p>
    <w:p w14:paraId="26C21AA3" w14:textId="77777777" w:rsidR="00F3565F" w:rsidRDefault="00F3565F" w:rsidP="0041315C"/>
    <w:p w14:paraId="7F84B1A2" w14:textId="77777777" w:rsidR="0041315C" w:rsidRDefault="00065DFA" w:rsidP="0041315C">
      <w:r>
        <w:t>If these matters are confirmed, t</w:t>
      </w:r>
      <w:r w:rsidR="0041315C">
        <w:t xml:space="preserve">he Commissioner must give the request to the holder’s RSA </w:t>
      </w:r>
      <w:r w:rsidR="00F3565F">
        <w:t>provider</w:t>
      </w:r>
      <w:r>
        <w:t>, subject to the exceptions noted below</w:t>
      </w:r>
      <w:r w:rsidR="0041315C">
        <w:t xml:space="preserve">.  The request is given to the RSA </w:t>
      </w:r>
      <w:r w:rsidR="00F3565F">
        <w:t xml:space="preserve">provider </w:t>
      </w:r>
      <w:r w:rsidR="0041315C">
        <w:t xml:space="preserve">which holds the holder’s benefits that are the subject of the request.  </w:t>
      </w:r>
    </w:p>
    <w:p w14:paraId="209F8C90" w14:textId="77777777" w:rsidR="0040291F" w:rsidRDefault="0040291F" w:rsidP="0041315C"/>
    <w:p w14:paraId="23E03BC4" w14:textId="2BCFCB1F" w:rsidR="0040291F" w:rsidRDefault="0040291F" w:rsidP="0040291F">
      <w:r>
        <w:lastRenderedPageBreak/>
        <w:t>It is expected that after the Commissioner has confirmed the RSA holder’s identity and given the request to the RSA provider, the provider will not usually need to seek further verification.  If the RSA provider has specific concerns about a particular request, the provider may seek further information or documentation from the holder under regulation 4.35CA, consistent with the existing portability arrangements.</w:t>
      </w:r>
    </w:p>
    <w:p w14:paraId="6C61A4AB" w14:textId="77777777" w:rsidR="00474EC1" w:rsidRDefault="00474EC1" w:rsidP="0040291F"/>
    <w:p w14:paraId="78F7257C" w14:textId="77777777" w:rsidR="006B39E4" w:rsidRDefault="006B39E4" w:rsidP="006B39E4">
      <w:r>
        <w:t xml:space="preserve">The Commissioner may decline to give the request to the RSA holder’s provider if the request does not comply with the requirements of Regulation </w:t>
      </w:r>
      <w:r w:rsidR="00657EEF">
        <w:t>4</w:t>
      </w:r>
      <w:r>
        <w:t>AA.02</w:t>
      </w:r>
      <w:r w:rsidR="00657EEF">
        <w:t xml:space="preserve">; or it appears to the Commissioner that the way in which the fund is conducted is likely to adversely affect the values of the interests of the beneficiaries of that fund; </w:t>
      </w:r>
      <w:r>
        <w:t xml:space="preserve">or the provider cannot electronically receive the request.    </w:t>
      </w:r>
    </w:p>
    <w:p w14:paraId="3C65FF82" w14:textId="77777777" w:rsidR="006B39E4" w:rsidRDefault="006B39E4" w:rsidP="006B39E4">
      <w:bookmarkStart w:id="2" w:name="_GoBack"/>
      <w:bookmarkEnd w:id="2"/>
    </w:p>
    <w:p w14:paraId="3007E2A3" w14:textId="77777777" w:rsidR="006B39E4" w:rsidRDefault="006B39E4" w:rsidP="006B39E4">
      <w:r>
        <w:t xml:space="preserve">The request may not comply with the requirements of Regulation 4AA.02 if, for example, it does not contain the required information, such as the holder’s tax file number or sufficient details of the receiving fund.    </w:t>
      </w:r>
    </w:p>
    <w:p w14:paraId="398E5AD6" w14:textId="77777777" w:rsidR="00D12B10" w:rsidRDefault="00D12B10" w:rsidP="00D12B10"/>
    <w:p w14:paraId="253F927E" w14:textId="77777777" w:rsidR="00657EEF" w:rsidRDefault="00657EEF" w:rsidP="00D12B10">
      <w:r>
        <w:t>Conduct that would appear to be likely to adversely affect the values of the interests of beneficiaries of a fund would include the possible involvement of the fund in the illegal early release of superannuation benefits.</w:t>
      </w:r>
    </w:p>
    <w:p w14:paraId="12E3C1F2" w14:textId="77777777" w:rsidR="00657EEF" w:rsidRDefault="00657EEF" w:rsidP="00D12B10"/>
    <w:p w14:paraId="4694100B" w14:textId="77777777" w:rsidR="00D12B10" w:rsidRDefault="00D12B10" w:rsidP="00D12B10">
      <w:r>
        <w:t xml:space="preserve">If the request cannot be completed electronically, the holder may print the form and post it to their fund.   </w:t>
      </w:r>
    </w:p>
    <w:p w14:paraId="39385980" w14:textId="77777777" w:rsidR="0041315C" w:rsidRDefault="0041315C" w:rsidP="0041315C">
      <w:pPr>
        <w:pStyle w:val="Bullet"/>
        <w:numPr>
          <w:ilvl w:val="0"/>
          <w:numId w:val="0"/>
        </w:numPr>
        <w:ind w:left="567" w:hanging="567"/>
      </w:pPr>
    </w:p>
    <w:p w14:paraId="41CE65BB" w14:textId="77777777" w:rsidR="0041315C" w:rsidRPr="007C0BA5" w:rsidRDefault="0041315C" w:rsidP="0041315C">
      <w:pPr>
        <w:pStyle w:val="Bullet"/>
        <w:numPr>
          <w:ilvl w:val="0"/>
          <w:numId w:val="0"/>
        </w:numPr>
        <w:ind w:left="567" w:hanging="567"/>
        <w:rPr>
          <w:b/>
          <w:i/>
        </w:rPr>
      </w:pPr>
      <w:r w:rsidRPr="007C0BA5">
        <w:rPr>
          <w:b/>
          <w:i/>
        </w:rPr>
        <w:t xml:space="preserve">Commissioner gives request to </w:t>
      </w:r>
      <w:r>
        <w:rPr>
          <w:b/>
          <w:i/>
        </w:rPr>
        <w:t>RSA provider</w:t>
      </w:r>
    </w:p>
    <w:p w14:paraId="262195CB" w14:textId="77777777" w:rsidR="0041315C" w:rsidRDefault="0041315C" w:rsidP="0041315C">
      <w:pPr>
        <w:pStyle w:val="Bullet"/>
        <w:numPr>
          <w:ilvl w:val="0"/>
          <w:numId w:val="0"/>
        </w:numPr>
        <w:ind w:left="567" w:hanging="567"/>
      </w:pPr>
    </w:p>
    <w:p w14:paraId="717C64EF" w14:textId="77777777" w:rsidR="0041315C" w:rsidRDefault="0041315C" w:rsidP="0041315C">
      <w:r w:rsidRPr="003353F1">
        <w:t>Item 3 insert</w:t>
      </w:r>
      <w:r w:rsidR="00C46E65">
        <w:t>s</w:t>
      </w:r>
      <w:r w:rsidRPr="003353F1">
        <w:t xml:space="preserve"> </w:t>
      </w:r>
      <w:proofErr w:type="spellStart"/>
      <w:r w:rsidRPr="003353F1">
        <w:t>subregulation</w:t>
      </w:r>
      <w:proofErr w:type="spellEnd"/>
      <w:r w:rsidRPr="003353F1">
        <w:t xml:space="preserve"> </w:t>
      </w:r>
      <w:r>
        <w:t>4</w:t>
      </w:r>
      <w:r w:rsidRPr="003353F1">
        <w:t>.3</w:t>
      </w:r>
      <w:r>
        <w:t>5C</w:t>
      </w:r>
      <w:r w:rsidRPr="003353F1">
        <w:t>(4)</w:t>
      </w:r>
      <w:r>
        <w:t xml:space="preserve">, which provides that the Commissioner may give to the RSA provider a request made by the holder under the electronic portability request scheme.  </w:t>
      </w:r>
    </w:p>
    <w:p w14:paraId="4C391D02" w14:textId="77777777" w:rsidR="0041315C" w:rsidRDefault="0041315C" w:rsidP="0041315C"/>
    <w:p w14:paraId="461ABD0D" w14:textId="77777777" w:rsidR="0041315C" w:rsidRDefault="0041315C" w:rsidP="0041315C">
      <w:r>
        <w:t xml:space="preserve">This provision has the effect of including an electronic portability request, received by the provider from the Commissioner under Part 4AA, in the portability arrangements in Division 4.4A of the RSA Regulations.  </w:t>
      </w:r>
    </w:p>
    <w:p w14:paraId="0AD38813" w14:textId="77777777" w:rsidR="0041315C" w:rsidRDefault="0041315C" w:rsidP="0041315C"/>
    <w:p w14:paraId="7017E70A" w14:textId="77777777" w:rsidR="0041315C" w:rsidRDefault="0041315C" w:rsidP="0041315C">
      <w:r>
        <w:t xml:space="preserve">Upon receiving the request from the Commissioner, the RSA provider </w:t>
      </w:r>
      <w:r w:rsidR="00C46E65">
        <w:t xml:space="preserve">must </w:t>
      </w:r>
      <w:r>
        <w:t xml:space="preserve">roll over or transfer the holder’s withdrawal benefits in accordance with the request under the portability arrangements of Division 4.4A of the RSA Regulations.  </w:t>
      </w:r>
    </w:p>
    <w:p w14:paraId="600755EE" w14:textId="77777777" w:rsidR="0041315C" w:rsidRDefault="0041315C" w:rsidP="0041315C"/>
    <w:p w14:paraId="14786980" w14:textId="77777777" w:rsidR="0041315C" w:rsidRDefault="0041315C" w:rsidP="0041315C">
      <w:r>
        <w:t>The portability arrangements in Division 4.4A of the RSA Regulations continue to be administered by APRA.</w:t>
      </w:r>
    </w:p>
    <w:p w14:paraId="6A740566" w14:textId="77777777" w:rsidR="0041315C" w:rsidRDefault="0041315C" w:rsidP="0041315C"/>
    <w:p w14:paraId="00001936" w14:textId="77777777" w:rsidR="0041315C" w:rsidRPr="007C0BA5" w:rsidRDefault="0041315C" w:rsidP="0041315C">
      <w:pPr>
        <w:spacing w:after="240"/>
        <w:ind w:right="91"/>
        <w:rPr>
          <w:b/>
          <w:i/>
        </w:rPr>
      </w:pPr>
      <w:r w:rsidRPr="007C0BA5">
        <w:rPr>
          <w:b/>
          <w:i/>
        </w:rPr>
        <w:t>Existing portability arrangements</w:t>
      </w:r>
    </w:p>
    <w:p w14:paraId="1ED3E976" w14:textId="77777777" w:rsidR="0041315C" w:rsidRDefault="0041315C" w:rsidP="0041315C">
      <w:pPr>
        <w:spacing w:after="240"/>
        <w:ind w:right="91"/>
      </w:pPr>
      <w:r w:rsidRPr="00CD17EF">
        <w:rPr>
          <w:b/>
        </w:rPr>
        <w:t xml:space="preserve">Item </w:t>
      </w:r>
      <w:r>
        <w:rPr>
          <w:b/>
        </w:rPr>
        <w:t>3</w:t>
      </w:r>
      <w:r>
        <w:t xml:space="preserve"> re-arrange</w:t>
      </w:r>
      <w:r w:rsidR="00C46E65">
        <w:t>s</w:t>
      </w:r>
      <w:r>
        <w:t xml:space="preserve"> the provisions of former regulations 4.35C and 4.35D in Division 4.4A of the RSA Regulations to accommodate the regulations.  </w:t>
      </w:r>
    </w:p>
    <w:p w14:paraId="42B01A3A" w14:textId="77777777" w:rsidR="0041315C" w:rsidRDefault="0041315C" w:rsidP="0041315C">
      <w:pPr>
        <w:spacing w:after="120"/>
        <w:ind w:right="91"/>
      </w:pPr>
      <w:r>
        <w:t xml:space="preserve">The regulations </w:t>
      </w:r>
      <w:r w:rsidR="006B39E4">
        <w:t>are</w:t>
      </w:r>
      <w:r>
        <w:t xml:space="preserve"> arranged into a more logical sequence, grouping together the provisions relating to:</w:t>
      </w:r>
    </w:p>
    <w:p w14:paraId="78EAF9D6" w14:textId="77777777" w:rsidR="0041315C" w:rsidRDefault="0041315C" w:rsidP="0041315C">
      <w:pPr>
        <w:pStyle w:val="Bullet"/>
        <w:spacing w:after="120"/>
      </w:pPr>
      <w:r>
        <w:t>an RSA holder making a request to roll over or transfer a withdrawal benefit (</w:t>
      </w:r>
      <w:r w:rsidR="007F3A9E">
        <w:t>regulation 4</w:t>
      </w:r>
      <w:r>
        <w:t>.35C);</w:t>
      </w:r>
    </w:p>
    <w:p w14:paraId="697F6D9E" w14:textId="77777777" w:rsidR="0041315C" w:rsidRDefault="0041315C" w:rsidP="0041315C">
      <w:pPr>
        <w:pStyle w:val="Bullet"/>
        <w:spacing w:after="120"/>
      </w:pPr>
      <w:r>
        <w:t>an RSA provider requesting further information or documentation from the holder (</w:t>
      </w:r>
      <w:r w:rsidR="007F3A9E">
        <w:t>regulation</w:t>
      </w:r>
      <w:r>
        <w:t xml:space="preserve"> 4.35CA); and</w:t>
      </w:r>
    </w:p>
    <w:p w14:paraId="589D2F5F" w14:textId="77777777" w:rsidR="0041315C" w:rsidRDefault="0041315C" w:rsidP="0041315C">
      <w:pPr>
        <w:pStyle w:val="Bullet"/>
      </w:pPr>
      <w:r>
        <w:lastRenderedPageBreak/>
        <w:t>the RSA provider rolling over or transferring the withdrawal benefit in accordance with the holder’s request (</w:t>
      </w:r>
      <w:r w:rsidR="007F3A9E">
        <w:t>regulation</w:t>
      </w:r>
      <w:r>
        <w:t xml:space="preserve"> </w:t>
      </w:r>
      <w:r w:rsidR="00386192">
        <w:t>4.35D</w:t>
      </w:r>
      <w:r>
        <w:t>).</w:t>
      </w:r>
    </w:p>
    <w:p w14:paraId="212F3BB6" w14:textId="77777777" w:rsidR="0006468E" w:rsidRDefault="0006468E" w:rsidP="0006468E">
      <w:pPr>
        <w:pStyle w:val="Bullet"/>
        <w:numPr>
          <w:ilvl w:val="0"/>
          <w:numId w:val="0"/>
        </w:numPr>
        <w:ind w:left="567"/>
      </w:pPr>
    </w:p>
    <w:p w14:paraId="2C1273AF" w14:textId="77777777" w:rsidR="0006468E" w:rsidRDefault="0006468E" w:rsidP="0006468E">
      <w:r>
        <w:t>Item 3 also amend</w:t>
      </w:r>
      <w:r w:rsidR="00C46E65">
        <w:t>s</w:t>
      </w:r>
      <w:r>
        <w:t xml:space="preserve"> paragraph </w:t>
      </w:r>
      <w:r w:rsidR="0007572B">
        <w:t>4.35CA(2)(c)</w:t>
      </w:r>
      <w:r>
        <w:t xml:space="preserve"> to allow the RSA provider to request further information from the RSA holder that is reasonably required to process the holder’s request to roll over </w:t>
      </w:r>
      <w:r w:rsidR="00386192">
        <w:t xml:space="preserve">or </w:t>
      </w:r>
      <w:r>
        <w:t xml:space="preserve">transfer part of the holder’s withdrawal benefit.  </w:t>
      </w:r>
    </w:p>
    <w:p w14:paraId="5AECCDC0" w14:textId="77777777" w:rsidR="0041315C" w:rsidRDefault="0041315C" w:rsidP="0041315C">
      <w:r w:rsidRPr="00923FA4">
        <w:rPr>
          <w:b/>
        </w:rPr>
        <w:t xml:space="preserve">Items </w:t>
      </w:r>
      <w:r>
        <w:rPr>
          <w:b/>
        </w:rPr>
        <w:t>1</w:t>
      </w:r>
      <w:r w:rsidRPr="00923FA4">
        <w:rPr>
          <w:b/>
        </w:rPr>
        <w:t xml:space="preserve"> and </w:t>
      </w:r>
      <w:r>
        <w:rPr>
          <w:b/>
        </w:rPr>
        <w:t>2</w:t>
      </w:r>
      <w:r w:rsidRPr="00923FA4">
        <w:t xml:space="preserve"> substitute references to the regulations consequen</w:t>
      </w:r>
      <w:r>
        <w:t>t</w:t>
      </w:r>
      <w:r w:rsidRPr="00923FA4">
        <w:t>ial upon the amendments made by item 3.</w:t>
      </w:r>
    </w:p>
    <w:p w14:paraId="499E1C09" w14:textId="77777777" w:rsidR="0041315C" w:rsidRDefault="0041315C" w:rsidP="0041315C"/>
    <w:p w14:paraId="51A66494" w14:textId="77777777" w:rsidR="0041315C" w:rsidRDefault="0041315C" w:rsidP="0041315C">
      <w:pPr>
        <w:rPr>
          <w:b/>
        </w:rPr>
      </w:pPr>
      <w:r w:rsidRPr="002D3F84">
        <w:rPr>
          <w:b/>
        </w:rPr>
        <w:t>Minor amendments</w:t>
      </w:r>
    </w:p>
    <w:p w14:paraId="776D5D66" w14:textId="77777777" w:rsidR="0041315C" w:rsidRDefault="0041315C" w:rsidP="0041315C">
      <w:pPr>
        <w:rPr>
          <w:b/>
        </w:rPr>
      </w:pPr>
    </w:p>
    <w:p w14:paraId="39A517E1" w14:textId="77777777" w:rsidR="0041315C" w:rsidRPr="00AD6F2C" w:rsidRDefault="0041315C" w:rsidP="0041315C">
      <w:pPr>
        <w:rPr>
          <w:b/>
          <w:i/>
        </w:rPr>
      </w:pPr>
      <w:r w:rsidRPr="00AD6F2C">
        <w:rPr>
          <w:b/>
          <w:i/>
        </w:rPr>
        <w:t>Time frame for rollovers and transfers</w:t>
      </w:r>
    </w:p>
    <w:p w14:paraId="0D91D5F4" w14:textId="77777777" w:rsidR="0041315C" w:rsidRDefault="0041315C" w:rsidP="0041315C"/>
    <w:p w14:paraId="2EC9A27F" w14:textId="77777777" w:rsidR="0041315C" w:rsidRDefault="0041315C" w:rsidP="0041315C">
      <w:r w:rsidRPr="002F7634">
        <w:rPr>
          <w:b/>
        </w:rPr>
        <w:t>Item</w:t>
      </w:r>
      <w:r>
        <w:rPr>
          <w:b/>
        </w:rPr>
        <w:t>s</w:t>
      </w:r>
      <w:r w:rsidRPr="002F7634">
        <w:rPr>
          <w:b/>
        </w:rPr>
        <w:t xml:space="preserve"> 4</w:t>
      </w:r>
      <w:r>
        <w:rPr>
          <w:b/>
        </w:rPr>
        <w:t xml:space="preserve"> and 7 </w:t>
      </w:r>
      <w:r>
        <w:t xml:space="preserve">reduce the time in which an RSA provider is required to complete rollovers or transfers.  </w:t>
      </w:r>
    </w:p>
    <w:p w14:paraId="086BA61A" w14:textId="77777777" w:rsidR="0041315C" w:rsidRDefault="0041315C" w:rsidP="0041315C"/>
    <w:p w14:paraId="24CFDD42" w14:textId="77777777" w:rsidR="0041315C" w:rsidRDefault="0041315C" w:rsidP="0041315C">
      <w:pPr>
        <w:tabs>
          <w:tab w:val="left" w:pos="1701"/>
          <w:tab w:val="right" w:pos="9072"/>
        </w:tabs>
        <w:spacing w:after="240"/>
        <w:ind w:right="91"/>
      </w:pPr>
      <w:r>
        <w:t xml:space="preserve">When the portability arrangements were introduced in 2004, RSA providers were required to complete rollovers and transfers within 90 days of receiving a completed application.  From 1 July 2007, this time frame was shortened to 30 days.  </w:t>
      </w:r>
    </w:p>
    <w:p w14:paraId="5567EE17" w14:textId="77777777" w:rsidR="0041315C" w:rsidRDefault="0041315C" w:rsidP="0041315C">
      <w:pPr>
        <w:tabs>
          <w:tab w:val="left" w:pos="1701"/>
          <w:tab w:val="right" w:pos="9072"/>
        </w:tabs>
        <w:spacing w:after="240"/>
        <w:ind w:right="91"/>
      </w:pPr>
      <w:r>
        <w:t xml:space="preserve">When the 2007 changes were made, the spouse contributions-splitting provisions under Division 4.5 and the family law payment splitting provisions under Part 4A.4 of the RSA Regulations were not amended.  </w:t>
      </w:r>
    </w:p>
    <w:p w14:paraId="0F25BC47" w14:textId="77777777" w:rsidR="0041315C" w:rsidRDefault="0041315C" w:rsidP="0041315C">
      <w:pPr>
        <w:tabs>
          <w:tab w:val="left" w:pos="1701"/>
          <w:tab w:val="right" w:pos="9072"/>
        </w:tabs>
        <w:spacing w:after="240"/>
        <w:ind w:right="91"/>
      </w:pPr>
      <w:r>
        <w:t>The amendments reduce the time frame, in which RSA providers are required to roll over, transfer or allot an amount, from 90 days to 30 days.</w:t>
      </w:r>
    </w:p>
    <w:p w14:paraId="35B4B40E" w14:textId="77777777" w:rsidR="0041315C" w:rsidRDefault="0041315C" w:rsidP="0041315C">
      <w:pPr>
        <w:tabs>
          <w:tab w:val="left" w:pos="1701"/>
          <w:tab w:val="right" w:pos="9072"/>
        </w:tabs>
        <w:spacing w:after="240"/>
        <w:ind w:right="91"/>
      </w:pPr>
      <w:r>
        <w:t xml:space="preserve">These amendments provide consistency </w:t>
      </w:r>
      <w:r w:rsidR="00C46E65">
        <w:t xml:space="preserve">among </w:t>
      </w:r>
      <w:r>
        <w:t>the portability regulations, the spouse contribution-splitting arrangements and the payment splitting provisions.</w:t>
      </w:r>
    </w:p>
    <w:p w14:paraId="706C42C4" w14:textId="77777777" w:rsidR="0041315C" w:rsidRDefault="0041315C" w:rsidP="0041315C">
      <w:pPr>
        <w:spacing w:after="240"/>
        <w:ind w:right="91"/>
        <w:rPr>
          <w:b/>
        </w:rPr>
      </w:pPr>
      <w:r>
        <w:rPr>
          <w:b/>
        </w:rPr>
        <w:t>Application provisions</w:t>
      </w:r>
    </w:p>
    <w:p w14:paraId="044A5690" w14:textId="4D871F63" w:rsidR="0041315C" w:rsidRDefault="0041315C" w:rsidP="0041315C">
      <w:pPr>
        <w:spacing w:after="240"/>
        <w:ind w:right="91"/>
      </w:pPr>
      <w:r w:rsidRPr="00335299">
        <w:rPr>
          <w:b/>
        </w:rPr>
        <w:t>Item 6</w:t>
      </w:r>
      <w:r>
        <w:t xml:space="preserve"> provide</w:t>
      </w:r>
      <w:r w:rsidR="00C46E65">
        <w:t>s</w:t>
      </w:r>
      <w:r w:rsidR="00B13B81">
        <w:t xml:space="preserve"> for the application of the</w:t>
      </w:r>
      <w:r>
        <w:t xml:space="preserve"> regulations.</w:t>
      </w:r>
    </w:p>
    <w:p w14:paraId="32E78172" w14:textId="77777777" w:rsidR="0041315C" w:rsidRDefault="0041315C" w:rsidP="0041315C">
      <w:pPr>
        <w:spacing w:after="240"/>
        <w:ind w:right="91"/>
      </w:pPr>
      <w:r>
        <w:t>Amendments made by items 1, 2, 3 and 5 apply to an RSA holder’s request, to roll over or transfer their withdrawal benefits, made on or after the commencement of this regulation.</w:t>
      </w:r>
    </w:p>
    <w:p w14:paraId="765DAF8D" w14:textId="77777777" w:rsidR="0041315C" w:rsidRDefault="0041315C" w:rsidP="0041315C">
      <w:pPr>
        <w:spacing w:after="240"/>
        <w:ind w:right="91"/>
      </w:pPr>
      <w:r>
        <w:t xml:space="preserve">The amendment made by item 4 </w:t>
      </w:r>
      <w:r w:rsidR="00C46E65">
        <w:t xml:space="preserve">applies </w:t>
      </w:r>
      <w:r>
        <w:t>in relation to an application accepted by an RSA provider, under the spouse contribution-splitting provisions, on or after the commencement of this regulation.</w:t>
      </w:r>
    </w:p>
    <w:p w14:paraId="0324BCD2" w14:textId="77777777" w:rsidR="0041315C" w:rsidRDefault="0041315C" w:rsidP="0041315C">
      <w:pPr>
        <w:spacing w:after="240"/>
        <w:ind w:right="91"/>
      </w:pPr>
      <w:r>
        <w:t xml:space="preserve">The amendment made by item 7 </w:t>
      </w:r>
      <w:r w:rsidR="00C46E65">
        <w:t xml:space="preserve">applies </w:t>
      </w:r>
      <w:r>
        <w:t>in relation to an RSA interest that becomes subject to a payment split on or after the commencement of this regulation.</w:t>
      </w:r>
    </w:p>
    <w:p w14:paraId="336C7CDC" w14:textId="77777777" w:rsidR="0041315C" w:rsidRDefault="0041315C" w:rsidP="0041315C">
      <w:pPr>
        <w:tabs>
          <w:tab w:val="left" w:pos="1701"/>
          <w:tab w:val="right" w:pos="9072"/>
        </w:tabs>
        <w:spacing w:after="240"/>
        <w:ind w:right="91"/>
      </w:pPr>
    </w:p>
    <w:p w14:paraId="63FEE315" w14:textId="77777777" w:rsidR="00AA7315" w:rsidRDefault="00AA7315">
      <w:r>
        <w:br w:type="page"/>
      </w:r>
    </w:p>
    <w:p w14:paraId="445A8155" w14:textId="77777777" w:rsidR="00AA7315" w:rsidRPr="00AA7315" w:rsidRDefault="00AA7315" w:rsidP="00AA7315">
      <w:pPr>
        <w:spacing w:before="360" w:after="120"/>
        <w:jc w:val="center"/>
        <w:rPr>
          <w:szCs w:val="24"/>
        </w:rPr>
      </w:pPr>
      <w:r w:rsidRPr="00AA7315">
        <w:rPr>
          <w:b/>
          <w:bCs/>
          <w:sz w:val="28"/>
          <w:szCs w:val="28"/>
        </w:rPr>
        <w:lastRenderedPageBreak/>
        <w:t>Statement of Compatibility with Human Rights</w:t>
      </w:r>
    </w:p>
    <w:p w14:paraId="5F207883" w14:textId="77777777" w:rsidR="00AA7315" w:rsidRPr="00AA7315" w:rsidRDefault="00AA7315" w:rsidP="00AA7315">
      <w:pPr>
        <w:spacing w:before="120" w:after="120"/>
        <w:jc w:val="center"/>
        <w:rPr>
          <w:szCs w:val="24"/>
        </w:rPr>
      </w:pPr>
      <w:r w:rsidRPr="00AA7315">
        <w:rPr>
          <w:i/>
          <w:iCs/>
          <w:szCs w:val="24"/>
        </w:rPr>
        <w:t>Prepared in accordance with Part 3 of the Human Rights (Parliamentary Scrutiny) Act 2011</w:t>
      </w:r>
    </w:p>
    <w:p w14:paraId="7BBC233C" w14:textId="0393D3E8" w:rsidR="00AA7315" w:rsidRDefault="00AA7315" w:rsidP="00AA7315">
      <w:pPr>
        <w:spacing w:before="120" w:after="120"/>
        <w:jc w:val="center"/>
        <w:rPr>
          <w:b/>
          <w:bCs/>
          <w:szCs w:val="24"/>
        </w:rPr>
      </w:pPr>
      <w:r w:rsidRPr="00AA7315">
        <w:rPr>
          <w:b/>
          <w:bCs/>
          <w:szCs w:val="24"/>
        </w:rPr>
        <w:t xml:space="preserve">Superannuation Industry (Supervision) Amendment Regulation </w:t>
      </w:r>
      <w:r w:rsidR="002E0D27" w:rsidRPr="00AA7315">
        <w:rPr>
          <w:b/>
          <w:bCs/>
          <w:szCs w:val="24"/>
        </w:rPr>
        <w:t>201</w:t>
      </w:r>
      <w:r w:rsidR="002E0D27">
        <w:rPr>
          <w:b/>
          <w:bCs/>
          <w:szCs w:val="24"/>
        </w:rPr>
        <w:t>3</w:t>
      </w:r>
      <w:r w:rsidR="002E0D27" w:rsidRPr="00AA7315">
        <w:rPr>
          <w:b/>
          <w:bCs/>
          <w:szCs w:val="24"/>
        </w:rPr>
        <w:t xml:space="preserve"> </w:t>
      </w:r>
      <w:r w:rsidRPr="00AA7315">
        <w:rPr>
          <w:b/>
          <w:bCs/>
          <w:szCs w:val="24"/>
        </w:rPr>
        <w:t>(No.</w:t>
      </w:r>
      <w:r w:rsidR="00B13B81">
        <w:rPr>
          <w:b/>
          <w:bCs/>
          <w:szCs w:val="24"/>
        </w:rPr>
        <w:t xml:space="preserve"> 1</w:t>
      </w:r>
      <w:r w:rsidRPr="00AA7315">
        <w:rPr>
          <w:b/>
          <w:bCs/>
          <w:szCs w:val="24"/>
        </w:rPr>
        <w:t>)</w:t>
      </w:r>
    </w:p>
    <w:p w14:paraId="7BA0B957" w14:textId="2F667C2F" w:rsidR="00B157D9" w:rsidRPr="00AA7315" w:rsidRDefault="00B157D9" w:rsidP="00AA7315">
      <w:pPr>
        <w:spacing w:before="120" w:after="120"/>
        <w:jc w:val="center"/>
        <w:rPr>
          <w:szCs w:val="24"/>
        </w:rPr>
      </w:pPr>
      <w:r>
        <w:rPr>
          <w:b/>
          <w:bCs/>
          <w:szCs w:val="24"/>
        </w:rPr>
        <w:t xml:space="preserve">Retirement Savings Account Amendment Regulation </w:t>
      </w:r>
      <w:r w:rsidR="002E0D27">
        <w:rPr>
          <w:b/>
          <w:bCs/>
          <w:szCs w:val="24"/>
        </w:rPr>
        <w:t xml:space="preserve">2013 </w:t>
      </w:r>
      <w:r w:rsidR="00B13B81">
        <w:rPr>
          <w:b/>
          <w:bCs/>
          <w:szCs w:val="24"/>
        </w:rPr>
        <w:t>(No. 1</w:t>
      </w:r>
      <w:r>
        <w:rPr>
          <w:b/>
          <w:bCs/>
          <w:szCs w:val="24"/>
        </w:rPr>
        <w:t>)</w:t>
      </w:r>
    </w:p>
    <w:p w14:paraId="5FF34B3F" w14:textId="77777777" w:rsidR="00AA7315" w:rsidRPr="00AA7315" w:rsidRDefault="00AA7315" w:rsidP="00AA7315">
      <w:pPr>
        <w:spacing w:before="120" w:after="120"/>
        <w:rPr>
          <w:szCs w:val="24"/>
        </w:rPr>
      </w:pPr>
      <w:r w:rsidRPr="00AA7315">
        <w:rPr>
          <w:szCs w:val="24"/>
        </w:rPr>
        <w:t xml:space="preserve">This Legislative Instrument is compatible with the human rights and freedoms recognised or declared in the international instruments listed in section 3 of the </w:t>
      </w:r>
      <w:r w:rsidRPr="00AA7315">
        <w:rPr>
          <w:i/>
          <w:iCs/>
          <w:szCs w:val="24"/>
        </w:rPr>
        <w:t>Human Rights (Parliamentary Scrutiny) Act 2011</w:t>
      </w:r>
      <w:r w:rsidRPr="00AA7315">
        <w:rPr>
          <w:szCs w:val="24"/>
        </w:rPr>
        <w:t>.</w:t>
      </w:r>
    </w:p>
    <w:p w14:paraId="139A877B" w14:textId="77777777" w:rsidR="00AA7315" w:rsidRPr="00AA7315" w:rsidRDefault="00AA7315" w:rsidP="00AA7315">
      <w:pPr>
        <w:spacing w:before="120" w:after="120"/>
        <w:jc w:val="both"/>
        <w:rPr>
          <w:szCs w:val="24"/>
        </w:rPr>
      </w:pPr>
      <w:r w:rsidRPr="00AA7315">
        <w:rPr>
          <w:b/>
          <w:bCs/>
          <w:szCs w:val="24"/>
        </w:rPr>
        <w:t>Overview of the Legislative Instrument</w:t>
      </w:r>
    </w:p>
    <w:p w14:paraId="2A4C3A20" w14:textId="77777777" w:rsidR="00AA7315" w:rsidRDefault="00AA7315" w:rsidP="00AA7315">
      <w:pPr>
        <w:spacing w:before="100" w:beforeAutospacing="1" w:after="240"/>
        <w:rPr>
          <w:szCs w:val="24"/>
        </w:rPr>
      </w:pPr>
      <w:r w:rsidRPr="00AA7315">
        <w:rPr>
          <w:szCs w:val="24"/>
        </w:rPr>
        <w:t xml:space="preserve">The purpose of the Legislative Instrument is to </w:t>
      </w:r>
      <w:r w:rsidR="00182358">
        <w:t>prescribe the details of the electronic portability request scheme.  The scheme allow</w:t>
      </w:r>
      <w:r w:rsidR="00C46E65">
        <w:t>s</w:t>
      </w:r>
      <w:r w:rsidR="00182358">
        <w:t xml:space="preserve"> superannuation fund members and retirement savings account</w:t>
      </w:r>
      <w:r w:rsidR="006A5134">
        <w:t xml:space="preserve"> (RSA)</w:t>
      </w:r>
      <w:r w:rsidR="00182358">
        <w:t xml:space="preserve"> holders to electronically request the rollover or transfer of their benefits from their fund or RSA through the Australian Taxation Office.  </w:t>
      </w:r>
      <w:r w:rsidRPr="00AA7315">
        <w:rPr>
          <w:szCs w:val="24"/>
        </w:rPr>
        <w:t xml:space="preserve"> </w:t>
      </w:r>
    </w:p>
    <w:p w14:paraId="495E9931" w14:textId="77777777" w:rsidR="006A5134" w:rsidRDefault="006A5134" w:rsidP="00AA7315">
      <w:pPr>
        <w:spacing w:before="100" w:beforeAutospacing="1" w:after="240"/>
        <w:rPr>
          <w:szCs w:val="24"/>
        </w:rPr>
      </w:pPr>
      <w:r>
        <w:rPr>
          <w:szCs w:val="24"/>
        </w:rPr>
        <w:t>The scheme provides a streamlined electronic alternative to the current paper-based process, where a member or RSA holder applies in writing to their fund or provider to roll</w:t>
      </w:r>
      <w:r w:rsidR="00850FC6">
        <w:rPr>
          <w:szCs w:val="24"/>
        </w:rPr>
        <w:t xml:space="preserve"> </w:t>
      </w:r>
      <w:r>
        <w:rPr>
          <w:szCs w:val="24"/>
        </w:rPr>
        <w:t>over or transfer their benefits.</w:t>
      </w:r>
    </w:p>
    <w:p w14:paraId="4D27D626" w14:textId="77777777" w:rsidR="0061692B" w:rsidRPr="00AA7315" w:rsidRDefault="0061692B" w:rsidP="00AA7315">
      <w:pPr>
        <w:spacing w:before="100" w:beforeAutospacing="1" w:after="240"/>
        <w:rPr>
          <w:szCs w:val="24"/>
        </w:rPr>
      </w:pPr>
      <w:r>
        <w:t>It is not compulsory for members or RSA holders to electronically request the rollover or transfer of their benefits under the scheme.  Members and holders may continue to apply in writing to their fund or provider if they do not wish to use the scheme or their request cannot be completed electronically.</w:t>
      </w:r>
    </w:p>
    <w:p w14:paraId="0C4F587C" w14:textId="77777777" w:rsidR="00AA7315" w:rsidRPr="00AA7315" w:rsidRDefault="00AA7315" w:rsidP="00AA7315">
      <w:pPr>
        <w:spacing w:before="120" w:after="120"/>
        <w:rPr>
          <w:szCs w:val="24"/>
        </w:rPr>
      </w:pPr>
      <w:r w:rsidRPr="00AA7315">
        <w:rPr>
          <w:b/>
          <w:bCs/>
          <w:szCs w:val="24"/>
        </w:rPr>
        <w:t>Human rights implications</w:t>
      </w:r>
    </w:p>
    <w:p w14:paraId="5B023701" w14:textId="77777777" w:rsidR="00AA7315" w:rsidRPr="00AA7315" w:rsidRDefault="00AA7315" w:rsidP="00AA7315">
      <w:pPr>
        <w:spacing w:before="120" w:after="120"/>
        <w:rPr>
          <w:szCs w:val="24"/>
        </w:rPr>
      </w:pPr>
      <w:r w:rsidRPr="00AA7315">
        <w:rPr>
          <w:szCs w:val="24"/>
        </w:rPr>
        <w:t>This Legislative Instrument does not engage any of the applicable rights or freedoms.</w:t>
      </w:r>
    </w:p>
    <w:p w14:paraId="7F0516C6" w14:textId="77777777" w:rsidR="00AA7315" w:rsidRPr="00AA7315" w:rsidRDefault="00AA7315" w:rsidP="00AA7315">
      <w:pPr>
        <w:spacing w:before="120" w:after="120"/>
        <w:rPr>
          <w:szCs w:val="24"/>
        </w:rPr>
      </w:pPr>
      <w:r w:rsidRPr="00AA7315">
        <w:rPr>
          <w:b/>
          <w:bCs/>
          <w:szCs w:val="24"/>
        </w:rPr>
        <w:t>Conclusion</w:t>
      </w:r>
    </w:p>
    <w:p w14:paraId="01479BFA" w14:textId="77777777" w:rsidR="00AA7315" w:rsidRDefault="00AA7315" w:rsidP="00AA7315">
      <w:pPr>
        <w:spacing w:before="120" w:after="120"/>
        <w:rPr>
          <w:szCs w:val="24"/>
        </w:rPr>
      </w:pPr>
      <w:r w:rsidRPr="00AA7315">
        <w:rPr>
          <w:szCs w:val="24"/>
        </w:rPr>
        <w:t>This Legislative Instrument is compatible with human rights as it does not raise any human rights issues.</w:t>
      </w:r>
    </w:p>
    <w:p w14:paraId="33376478" w14:textId="77777777" w:rsidR="006B39E4" w:rsidRDefault="006B39E4" w:rsidP="00AA7315">
      <w:pPr>
        <w:spacing w:before="120" w:after="120"/>
        <w:rPr>
          <w:szCs w:val="24"/>
        </w:rPr>
      </w:pPr>
    </w:p>
    <w:p w14:paraId="6F160E3C" w14:textId="77777777" w:rsidR="00182358" w:rsidRPr="00AA7315" w:rsidRDefault="00182358" w:rsidP="00AA7315">
      <w:pPr>
        <w:spacing w:before="120" w:after="120"/>
        <w:rPr>
          <w:szCs w:val="24"/>
        </w:rPr>
      </w:pPr>
    </w:p>
    <w:p w14:paraId="3C2CF372" w14:textId="77777777" w:rsidR="00AA7315" w:rsidRPr="00AA7315" w:rsidRDefault="00AA7315" w:rsidP="00AA7315">
      <w:pPr>
        <w:spacing w:before="120" w:after="120"/>
        <w:jc w:val="center"/>
        <w:rPr>
          <w:szCs w:val="24"/>
        </w:rPr>
      </w:pPr>
      <w:r w:rsidRPr="00AA7315">
        <w:rPr>
          <w:b/>
          <w:bCs/>
          <w:szCs w:val="24"/>
        </w:rPr>
        <w:t xml:space="preserve">William Richard Shorten </w:t>
      </w:r>
    </w:p>
    <w:p w14:paraId="23841DD4" w14:textId="77777777" w:rsidR="00AA7315" w:rsidRPr="00AA7315" w:rsidRDefault="00AA7315" w:rsidP="00AA7315">
      <w:pPr>
        <w:spacing w:before="120" w:after="120"/>
        <w:jc w:val="center"/>
        <w:rPr>
          <w:szCs w:val="24"/>
        </w:rPr>
      </w:pPr>
      <w:r w:rsidRPr="00AA7315">
        <w:rPr>
          <w:b/>
          <w:bCs/>
          <w:szCs w:val="24"/>
        </w:rPr>
        <w:t>Minister for Financial Services and Superannuation</w:t>
      </w:r>
    </w:p>
    <w:p w14:paraId="1E791773" w14:textId="77777777" w:rsidR="0041315C" w:rsidRDefault="0041315C" w:rsidP="00544F08">
      <w:pPr>
        <w:tabs>
          <w:tab w:val="left" w:pos="1701"/>
          <w:tab w:val="right" w:pos="9072"/>
        </w:tabs>
        <w:spacing w:after="240"/>
        <w:ind w:right="91"/>
      </w:pPr>
    </w:p>
    <w:sectPr w:rsidR="0041315C">
      <w:headerReference w:type="default" r:id="rId11"/>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9723D" w14:textId="77777777" w:rsidR="00D64ADB" w:rsidRDefault="00D64ADB" w:rsidP="00F91232">
      <w:r>
        <w:separator/>
      </w:r>
    </w:p>
  </w:endnote>
  <w:endnote w:type="continuationSeparator" w:id="0">
    <w:p w14:paraId="07441937" w14:textId="77777777" w:rsidR="00D64ADB" w:rsidRDefault="00D64ADB" w:rsidP="00F9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54A8E" w14:textId="77777777" w:rsidR="00D64ADB" w:rsidRDefault="00D64ADB" w:rsidP="00F91232">
      <w:r>
        <w:separator/>
      </w:r>
    </w:p>
  </w:footnote>
  <w:footnote w:type="continuationSeparator" w:id="0">
    <w:p w14:paraId="60E67E78" w14:textId="77777777" w:rsidR="00D64ADB" w:rsidRDefault="00D64ADB" w:rsidP="00F91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802676"/>
      <w:docPartObj>
        <w:docPartGallery w:val="Page Numbers (Top of Page)"/>
        <w:docPartUnique/>
      </w:docPartObj>
    </w:sdtPr>
    <w:sdtEndPr>
      <w:rPr>
        <w:noProof/>
      </w:rPr>
    </w:sdtEndPr>
    <w:sdtContent>
      <w:p w14:paraId="2F91E67F" w14:textId="77777777" w:rsidR="00657EEF" w:rsidRDefault="00657EEF">
        <w:pPr>
          <w:pStyle w:val="Header"/>
          <w:jc w:val="center"/>
        </w:pPr>
        <w:r>
          <w:fldChar w:fldCharType="begin"/>
        </w:r>
        <w:r>
          <w:instrText xml:space="preserve"> PAGE   \* MERGEFORMAT </w:instrText>
        </w:r>
        <w:r>
          <w:fldChar w:fldCharType="separate"/>
        </w:r>
        <w:r w:rsidR="00B13B81">
          <w:rPr>
            <w:noProof/>
          </w:rPr>
          <w:t>2</w:t>
        </w:r>
        <w:r>
          <w:rPr>
            <w:noProof/>
          </w:rPr>
          <w:fldChar w:fldCharType="end"/>
        </w:r>
      </w:p>
    </w:sdtContent>
  </w:sdt>
  <w:p w14:paraId="0B446052" w14:textId="77777777" w:rsidR="00657EEF" w:rsidRDefault="00657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731D"/>
    <w:multiLevelType w:val="multilevel"/>
    <w:tmpl w:val="D9EA9C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C554A3D"/>
    <w:multiLevelType w:val="multilevel"/>
    <w:tmpl w:val="4302358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25170CB"/>
    <w:multiLevelType w:val="multilevel"/>
    <w:tmpl w:val="C79E6E2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CA"/>
    <w:rsid w:val="00003BD4"/>
    <w:rsid w:val="0001050B"/>
    <w:rsid w:val="00026C77"/>
    <w:rsid w:val="0006468E"/>
    <w:rsid w:val="00065DFA"/>
    <w:rsid w:val="0007572B"/>
    <w:rsid w:val="00081588"/>
    <w:rsid w:val="00096786"/>
    <w:rsid w:val="000C4607"/>
    <w:rsid w:val="000E5F05"/>
    <w:rsid w:val="0013116E"/>
    <w:rsid w:val="00142F96"/>
    <w:rsid w:val="001718E7"/>
    <w:rsid w:val="00174C6A"/>
    <w:rsid w:val="00182358"/>
    <w:rsid w:val="001836F5"/>
    <w:rsid w:val="001A2F66"/>
    <w:rsid w:val="001B0ECA"/>
    <w:rsid w:val="001B0EED"/>
    <w:rsid w:val="001D00E9"/>
    <w:rsid w:val="001F31D9"/>
    <w:rsid w:val="00204FB2"/>
    <w:rsid w:val="002154FD"/>
    <w:rsid w:val="00244D15"/>
    <w:rsid w:val="002469FC"/>
    <w:rsid w:val="00270D90"/>
    <w:rsid w:val="002829C4"/>
    <w:rsid w:val="002C456D"/>
    <w:rsid w:val="002D3F84"/>
    <w:rsid w:val="002E0D27"/>
    <w:rsid w:val="002E5926"/>
    <w:rsid w:val="002F7634"/>
    <w:rsid w:val="00335299"/>
    <w:rsid w:val="003353F1"/>
    <w:rsid w:val="003545BA"/>
    <w:rsid w:val="00386192"/>
    <w:rsid w:val="00395FB5"/>
    <w:rsid w:val="003E2A70"/>
    <w:rsid w:val="003E6B0E"/>
    <w:rsid w:val="003F1B97"/>
    <w:rsid w:val="003F38B6"/>
    <w:rsid w:val="003F4371"/>
    <w:rsid w:val="0040291F"/>
    <w:rsid w:val="0041315C"/>
    <w:rsid w:val="00413495"/>
    <w:rsid w:val="00430204"/>
    <w:rsid w:val="004340F9"/>
    <w:rsid w:val="0047093E"/>
    <w:rsid w:val="00474EC1"/>
    <w:rsid w:val="0049610B"/>
    <w:rsid w:val="00496C0C"/>
    <w:rsid w:val="004A651A"/>
    <w:rsid w:val="004D17E5"/>
    <w:rsid w:val="004D59A0"/>
    <w:rsid w:val="004E7426"/>
    <w:rsid w:val="00506223"/>
    <w:rsid w:val="005251B0"/>
    <w:rsid w:val="0053321F"/>
    <w:rsid w:val="0054252A"/>
    <w:rsid w:val="005430AC"/>
    <w:rsid w:val="00544F08"/>
    <w:rsid w:val="00556DCA"/>
    <w:rsid w:val="005A1765"/>
    <w:rsid w:val="005B254B"/>
    <w:rsid w:val="005B3BA1"/>
    <w:rsid w:val="005B4E59"/>
    <w:rsid w:val="005C315B"/>
    <w:rsid w:val="005D2FFD"/>
    <w:rsid w:val="005E0F3A"/>
    <w:rsid w:val="005E42CF"/>
    <w:rsid w:val="00600A2C"/>
    <w:rsid w:val="00605FEA"/>
    <w:rsid w:val="0061692B"/>
    <w:rsid w:val="00625D28"/>
    <w:rsid w:val="0063640F"/>
    <w:rsid w:val="00656F4A"/>
    <w:rsid w:val="00657EEF"/>
    <w:rsid w:val="00671740"/>
    <w:rsid w:val="006A36DF"/>
    <w:rsid w:val="006A5134"/>
    <w:rsid w:val="006B39E4"/>
    <w:rsid w:val="006C7B36"/>
    <w:rsid w:val="006F142C"/>
    <w:rsid w:val="0073358D"/>
    <w:rsid w:val="0075773A"/>
    <w:rsid w:val="007614B0"/>
    <w:rsid w:val="0077565A"/>
    <w:rsid w:val="00782C5C"/>
    <w:rsid w:val="007914C1"/>
    <w:rsid w:val="00795241"/>
    <w:rsid w:val="007B66FA"/>
    <w:rsid w:val="007B671F"/>
    <w:rsid w:val="007C0BA5"/>
    <w:rsid w:val="007D1979"/>
    <w:rsid w:val="007D4560"/>
    <w:rsid w:val="007F3A9E"/>
    <w:rsid w:val="008008DF"/>
    <w:rsid w:val="00802911"/>
    <w:rsid w:val="00823532"/>
    <w:rsid w:val="00830D69"/>
    <w:rsid w:val="00847F55"/>
    <w:rsid w:val="00850FC6"/>
    <w:rsid w:val="00852036"/>
    <w:rsid w:val="0085210D"/>
    <w:rsid w:val="0085773E"/>
    <w:rsid w:val="00860F8D"/>
    <w:rsid w:val="00873F20"/>
    <w:rsid w:val="0088039C"/>
    <w:rsid w:val="00882018"/>
    <w:rsid w:val="00885B1D"/>
    <w:rsid w:val="0089518B"/>
    <w:rsid w:val="00895997"/>
    <w:rsid w:val="008B0C37"/>
    <w:rsid w:val="008B236F"/>
    <w:rsid w:val="008B7FB3"/>
    <w:rsid w:val="008D2D33"/>
    <w:rsid w:val="008D47F1"/>
    <w:rsid w:val="008E4D3E"/>
    <w:rsid w:val="008F5121"/>
    <w:rsid w:val="00921BDC"/>
    <w:rsid w:val="00923FA4"/>
    <w:rsid w:val="00954C08"/>
    <w:rsid w:val="00973861"/>
    <w:rsid w:val="009A24E0"/>
    <w:rsid w:val="009B14A1"/>
    <w:rsid w:val="009B2D42"/>
    <w:rsid w:val="009E0228"/>
    <w:rsid w:val="009F7F3D"/>
    <w:rsid w:val="00A21C43"/>
    <w:rsid w:val="00A224B1"/>
    <w:rsid w:val="00A32B49"/>
    <w:rsid w:val="00A74ED6"/>
    <w:rsid w:val="00A85B81"/>
    <w:rsid w:val="00A93BA5"/>
    <w:rsid w:val="00AA6C71"/>
    <w:rsid w:val="00AA7315"/>
    <w:rsid w:val="00AD6F2C"/>
    <w:rsid w:val="00B13B81"/>
    <w:rsid w:val="00B157D9"/>
    <w:rsid w:val="00B3127C"/>
    <w:rsid w:val="00B77FAB"/>
    <w:rsid w:val="00B86460"/>
    <w:rsid w:val="00B86C99"/>
    <w:rsid w:val="00BB2B1D"/>
    <w:rsid w:val="00BB3A25"/>
    <w:rsid w:val="00BD1B1D"/>
    <w:rsid w:val="00BD7053"/>
    <w:rsid w:val="00BE603B"/>
    <w:rsid w:val="00BF29D0"/>
    <w:rsid w:val="00C222D0"/>
    <w:rsid w:val="00C347FC"/>
    <w:rsid w:val="00C4592E"/>
    <w:rsid w:val="00C46E65"/>
    <w:rsid w:val="00C5202A"/>
    <w:rsid w:val="00C7201C"/>
    <w:rsid w:val="00C93247"/>
    <w:rsid w:val="00C97400"/>
    <w:rsid w:val="00CA269C"/>
    <w:rsid w:val="00CC3B70"/>
    <w:rsid w:val="00CD17EF"/>
    <w:rsid w:val="00CF4FE6"/>
    <w:rsid w:val="00CF7A8F"/>
    <w:rsid w:val="00D12B10"/>
    <w:rsid w:val="00D13D14"/>
    <w:rsid w:val="00D25A3E"/>
    <w:rsid w:val="00D36D10"/>
    <w:rsid w:val="00D37B6E"/>
    <w:rsid w:val="00D45767"/>
    <w:rsid w:val="00D64ADB"/>
    <w:rsid w:val="00D67D15"/>
    <w:rsid w:val="00D87533"/>
    <w:rsid w:val="00D97130"/>
    <w:rsid w:val="00DB03B2"/>
    <w:rsid w:val="00DB3D47"/>
    <w:rsid w:val="00DB44F1"/>
    <w:rsid w:val="00DF2A5F"/>
    <w:rsid w:val="00E03366"/>
    <w:rsid w:val="00E054FA"/>
    <w:rsid w:val="00E12E16"/>
    <w:rsid w:val="00E17233"/>
    <w:rsid w:val="00E4067B"/>
    <w:rsid w:val="00E45E3F"/>
    <w:rsid w:val="00E57FC9"/>
    <w:rsid w:val="00E93019"/>
    <w:rsid w:val="00EA63F0"/>
    <w:rsid w:val="00EA66B2"/>
    <w:rsid w:val="00EB31B6"/>
    <w:rsid w:val="00EE6E9F"/>
    <w:rsid w:val="00F238CF"/>
    <w:rsid w:val="00F3565F"/>
    <w:rsid w:val="00F36E71"/>
    <w:rsid w:val="00F4031F"/>
    <w:rsid w:val="00F53B8D"/>
    <w:rsid w:val="00F80FA5"/>
    <w:rsid w:val="00F90D86"/>
    <w:rsid w:val="00F91232"/>
    <w:rsid w:val="00FA1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1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Bullet">
    <w:name w:val="Bullet"/>
    <w:basedOn w:val="Normal"/>
    <w:link w:val="BulletChar"/>
    <w:rsid w:val="009B14A1"/>
    <w:pPr>
      <w:numPr>
        <w:numId w:val="1"/>
      </w:numPr>
      <w:tabs>
        <w:tab w:val="left" w:pos="1701"/>
        <w:tab w:val="right" w:pos="9072"/>
      </w:tabs>
      <w:ind w:right="91"/>
    </w:pPr>
  </w:style>
  <w:style w:type="character" w:customStyle="1" w:styleId="BulletChar">
    <w:name w:val="Bullet Char"/>
    <w:basedOn w:val="DefaultParagraphFont"/>
    <w:link w:val="Bullet"/>
    <w:rsid w:val="009B14A1"/>
    <w:rPr>
      <w:sz w:val="24"/>
    </w:rPr>
  </w:style>
  <w:style w:type="paragraph" w:customStyle="1" w:styleId="Dash">
    <w:name w:val="Dash"/>
    <w:basedOn w:val="Normal"/>
    <w:link w:val="DashChar"/>
    <w:rsid w:val="009B14A1"/>
    <w:pPr>
      <w:numPr>
        <w:ilvl w:val="1"/>
        <w:numId w:val="1"/>
      </w:numPr>
      <w:tabs>
        <w:tab w:val="left" w:pos="1701"/>
        <w:tab w:val="right" w:pos="9072"/>
      </w:tabs>
      <w:ind w:right="91"/>
    </w:pPr>
  </w:style>
  <w:style w:type="character" w:customStyle="1" w:styleId="DashChar">
    <w:name w:val="Dash Char"/>
    <w:basedOn w:val="DefaultParagraphFont"/>
    <w:link w:val="Dash"/>
    <w:rsid w:val="009B14A1"/>
    <w:rPr>
      <w:sz w:val="24"/>
    </w:rPr>
  </w:style>
  <w:style w:type="paragraph" w:customStyle="1" w:styleId="DoubleDot">
    <w:name w:val="Double Dot"/>
    <w:basedOn w:val="Normal"/>
    <w:link w:val="DoubleDotChar"/>
    <w:rsid w:val="009B14A1"/>
    <w:pPr>
      <w:numPr>
        <w:ilvl w:val="2"/>
        <w:numId w:val="1"/>
      </w:numPr>
      <w:tabs>
        <w:tab w:val="right" w:pos="9072"/>
      </w:tabs>
      <w:ind w:right="91"/>
    </w:pPr>
  </w:style>
  <w:style w:type="character" w:customStyle="1" w:styleId="DoubleDotChar">
    <w:name w:val="Double Dot Char"/>
    <w:basedOn w:val="DefaultParagraphFont"/>
    <w:link w:val="DoubleDot"/>
    <w:rsid w:val="009B14A1"/>
    <w:rPr>
      <w:sz w:val="24"/>
    </w:rPr>
  </w:style>
  <w:style w:type="paragraph" w:styleId="BodyText2">
    <w:name w:val="Body Text 2"/>
    <w:basedOn w:val="Normal"/>
    <w:link w:val="BodyText2Char"/>
    <w:uiPriority w:val="99"/>
    <w:semiHidden/>
    <w:unhideWhenUsed/>
    <w:rsid w:val="009B14A1"/>
    <w:pPr>
      <w:spacing w:before="100" w:beforeAutospacing="1" w:after="100" w:afterAutospacing="1"/>
    </w:pPr>
    <w:rPr>
      <w:szCs w:val="24"/>
    </w:rPr>
  </w:style>
  <w:style w:type="character" w:customStyle="1" w:styleId="BodyText2Char">
    <w:name w:val="Body Text 2 Char"/>
    <w:basedOn w:val="DefaultParagraphFont"/>
    <w:link w:val="BodyText2"/>
    <w:uiPriority w:val="99"/>
    <w:semiHidden/>
    <w:rsid w:val="009B14A1"/>
    <w:rPr>
      <w:sz w:val="24"/>
      <w:szCs w:val="24"/>
    </w:rPr>
  </w:style>
  <w:style w:type="character" w:styleId="CommentReference">
    <w:name w:val="annotation reference"/>
    <w:basedOn w:val="DefaultParagraphFont"/>
    <w:uiPriority w:val="99"/>
    <w:semiHidden/>
    <w:unhideWhenUsed/>
    <w:rsid w:val="00DB03B2"/>
    <w:rPr>
      <w:sz w:val="16"/>
      <w:szCs w:val="16"/>
    </w:rPr>
  </w:style>
  <w:style w:type="paragraph" w:styleId="CommentText">
    <w:name w:val="annotation text"/>
    <w:basedOn w:val="Normal"/>
    <w:link w:val="CommentTextChar"/>
    <w:uiPriority w:val="99"/>
    <w:semiHidden/>
    <w:unhideWhenUsed/>
    <w:rsid w:val="00DB03B2"/>
    <w:rPr>
      <w:sz w:val="20"/>
    </w:rPr>
  </w:style>
  <w:style w:type="character" w:customStyle="1" w:styleId="CommentTextChar">
    <w:name w:val="Comment Text Char"/>
    <w:basedOn w:val="DefaultParagraphFont"/>
    <w:link w:val="CommentText"/>
    <w:uiPriority w:val="99"/>
    <w:semiHidden/>
    <w:rsid w:val="00DB03B2"/>
  </w:style>
  <w:style w:type="paragraph" w:styleId="CommentSubject">
    <w:name w:val="annotation subject"/>
    <w:basedOn w:val="CommentText"/>
    <w:next w:val="CommentText"/>
    <w:link w:val="CommentSubjectChar"/>
    <w:uiPriority w:val="99"/>
    <w:semiHidden/>
    <w:unhideWhenUsed/>
    <w:rsid w:val="00DB03B2"/>
    <w:rPr>
      <w:b/>
      <w:bCs/>
    </w:rPr>
  </w:style>
  <w:style w:type="character" w:customStyle="1" w:styleId="CommentSubjectChar">
    <w:name w:val="Comment Subject Char"/>
    <w:basedOn w:val="CommentTextChar"/>
    <w:link w:val="CommentSubject"/>
    <w:uiPriority w:val="99"/>
    <w:semiHidden/>
    <w:rsid w:val="00DB03B2"/>
    <w:rPr>
      <w:b/>
      <w:bCs/>
    </w:rPr>
  </w:style>
  <w:style w:type="paragraph" w:styleId="BalloonText">
    <w:name w:val="Balloon Text"/>
    <w:basedOn w:val="Normal"/>
    <w:link w:val="BalloonTextChar"/>
    <w:uiPriority w:val="99"/>
    <w:semiHidden/>
    <w:unhideWhenUsed/>
    <w:rsid w:val="00DB03B2"/>
    <w:rPr>
      <w:rFonts w:ascii="Tahoma" w:hAnsi="Tahoma" w:cs="Tahoma"/>
      <w:sz w:val="16"/>
      <w:szCs w:val="16"/>
    </w:rPr>
  </w:style>
  <w:style w:type="character" w:customStyle="1" w:styleId="BalloonTextChar">
    <w:name w:val="Balloon Text Char"/>
    <w:basedOn w:val="DefaultParagraphFont"/>
    <w:link w:val="BalloonText"/>
    <w:uiPriority w:val="99"/>
    <w:semiHidden/>
    <w:rsid w:val="00DB03B2"/>
    <w:rPr>
      <w:rFonts w:ascii="Tahoma" w:hAnsi="Tahoma" w:cs="Tahoma"/>
      <w:sz w:val="16"/>
      <w:szCs w:val="16"/>
    </w:rPr>
  </w:style>
  <w:style w:type="paragraph" w:styleId="Revision">
    <w:name w:val="Revision"/>
    <w:hidden/>
    <w:uiPriority w:val="99"/>
    <w:semiHidden/>
    <w:rsid w:val="00474EC1"/>
    <w:rPr>
      <w:sz w:val="24"/>
    </w:rPr>
  </w:style>
  <w:style w:type="paragraph" w:styleId="Header">
    <w:name w:val="header"/>
    <w:basedOn w:val="Normal"/>
    <w:link w:val="HeaderChar"/>
    <w:uiPriority w:val="99"/>
    <w:unhideWhenUsed/>
    <w:rsid w:val="00F91232"/>
    <w:pPr>
      <w:tabs>
        <w:tab w:val="center" w:pos="4513"/>
        <w:tab w:val="right" w:pos="9026"/>
      </w:tabs>
    </w:pPr>
  </w:style>
  <w:style w:type="character" w:customStyle="1" w:styleId="HeaderChar">
    <w:name w:val="Header Char"/>
    <w:basedOn w:val="DefaultParagraphFont"/>
    <w:link w:val="Header"/>
    <w:uiPriority w:val="99"/>
    <w:rsid w:val="00F91232"/>
    <w:rPr>
      <w:sz w:val="24"/>
    </w:rPr>
  </w:style>
  <w:style w:type="paragraph" w:styleId="Footer">
    <w:name w:val="footer"/>
    <w:basedOn w:val="Normal"/>
    <w:link w:val="FooterChar"/>
    <w:uiPriority w:val="99"/>
    <w:unhideWhenUsed/>
    <w:rsid w:val="00F91232"/>
    <w:pPr>
      <w:tabs>
        <w:tab w:val="center" w:pos="4513"/>
        <w:tab w:val="right" w:pos="9026"/>
      </w:tabs>
    </w:pPr>
  </w:style>
  <w:style w:type="character" w:customStyle="1" w:styleId="FooterChar">
    <w:name w:val="Footer Char"/>
    <w:basedOn w:val="DefaultParagraphFont"/>
    <w:link w:val="Footer"/>
    <w:uiPriority w:val="99"/>
    <w:rsid w:val="00F91232"/>
    <w:rPr>
      <w:sz w:val="24"/>
    </w:rPr>
  </w:style>
  <w:style w:type="character" w:styleId="Emphasis">
    <w:name w:val="Emphasis"/>
    <w:basedOn w:val="DefaultParagraphFont"/>
    <w:uiPriority w:val="20"/>
    <w:qFormat/>
    <w:rsid w:val="00B312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Bullet">
    <w:name w:val="Bullet"/>
    <w:basedOn w:val="Normal"/>
    <w:link w:val="BulletChar"/>
    <w:rsid w:val="009B14A1"/>
    <w:pPr>
      <w:numPr>
        <w:numId w:val="1"/>
      </w:numPr>
      <w:tabs>
        <w:tab w:val="left" w:pos="1701"/>
        <w:tab w:val="right" w:pos="9072"/>
      </w:tabs>
      <w:ind w:right="91"/>
    </w:pPr>
  </w:style>
  <w:style w:type="character" w:customStyle="1" w:styleId="BulletChar">
    <w:name w:val="Bullet Char"/>
    <w:basedOn w:val="DefaultParagraphFont"/>
    <w:link w:val="Bullet"/>
    <w:rsid w:val="009B14A1"/>
    <w:rPr>
      <w:sz w:val="24"/>
    </w:rPr>
  </w:style>
  <w:style w:type="paragraph" w:customStyle="1" w:styleId="Dash">
    <w:name w:val="Dash"/>
    <w:basedOn w:val="Normal"/>
    <w:link w:val="DashChar"/>
    <w:rsid w:val="009B14A1"/>
    <w:pPr>
      <w:numPr>
        <w:ilvl w:val="1"/>
        <w:numId w:val="1"/>
      </w:numPr>
      <w:tabs>
        <w:tab w:val="left" w:pos="1701"/>
        <w:tab w:val="right" w:pos="9072"/>
      </w:tabs>
      <w:ind w:right="91"/>
    </w:pPr>
  </w:style>
  <w:style w:type="character" w:customStyle="1" w:styleId="DashChar">
    <w:name w:val="Dash Char"/>
    <w:basedOn w:val="DefaultParagraphFont"/>
    <w:link w:val="Dash"/>
    <w:rsid w:val="009B14A1"/>
    <w:rPr>
      <w:sz w:val="24"/>
    </w:rPr>
  </w:style>
  <w:style w:type="paragraph" w:customStyle="1" w:styleId="DoubleDot">
    <w:name w:val="Double Dot"/>
    <w:basedOn w:val="Normal"/>
    <w:link w:val="DoubleDotChar"/>
    <w:rsid w:val="009B14A1"/>
    <w:pPr>
      <w:numPr>
        <w:ilvl w:val="2"/>
        <w:numId w:val="1"/>
      </w:numPr>
      <w:tabs>
        <w:tab w:val="right" w:pos="9072"/>
      </w:tabs>
      <w:ind w:right="91"/>
    </w:pPr>
  </w:style>
  <w:style w:type="character" w:customStyle="1" w:styleId="DoubleDotChar">
    <w:name w:val="Double Dot Char"/>
    <w:basedOn w:val="DefaultParagraphFont"/>
    <w:link w:val="DoubleDot"/>
    <w:rsid w:val="009B14A1"/>
    <w:rPr>
      <w:sz w:val="24"/>
    </w:rPr>
  </w:style>
  <w:style w:type="paragraph" w:styleId="BodyText2">
    <w:name w:val="Body Text 2"/>
    <w:basedOn w:val="Normal"/>
    <w:link w:val="BodyText2Char"/>
    <w:uiPriority w:val="99"/>
    <w:semiHidden/>
    <w:unhideWhenUsed/>
    <w:rsid w:val="009B14A1"/>
    <w:pPr>
      <w:spacing w:before="100" w:beforeAutospacing="1" w:after="100" w:afterAutospacing="1"/>
    </w:pPr>
    <w:rPr>
      <w:szCs w:val="24"/>
    </w:rPr>
  </w:style>
  <w:style w:type="character" w:customStyle="1" w:styleId="BodyText2Char">
    <w:name w:val="Body Text 2 Char"/>
    <w:basedOn w:val="DefaultParagraphFont"/>
    <w:link w:val="BodyText2"/>
    <w:uiPriority w:val="99"/>
    <w:semiHidden/>
    <w:rsid w:val="009B14A1"/>
    <w:rPr>
      <w:sz w:val="24"/>
      <w:szCs w:val="24"/>
    </w:rPr>
  </w:style>
  <w:style w:type="character" w:styleId="CommentReference">
    <w:name w:val="annotation reference"/>
    <w:basedOn w:val="DefaultParagraphFont"/>
    <w:uiPriority w:val="99"/>
    <w:semiHidden/>
    <w:unhideWhenUsed/>
    <w:rsid w:val="00DB03B2"/>
    <w:rPr>
      <w:sz w:val="16"/>
      <w:szCs w:val="16"/>
    </w:rPr>
  </w:style>
  <w:style w:type="paragraph" w:styleId="CommentText">
    <w:name w:val="annotation text"/>
    <w:basedOn w:val="Normal"/>
    <w:link w:val="CommentTextChar"/>
    <w:uiPriority w:val="99"/>
    <w:semiHidden/>
    <w:unhideWhenUsed/>
    <w:rsid w:val="00DB03B2"/>
    <w:rPr>
      <w:sz w:val="20"/>
    </w:rPr>
  </w:style>
  <w:style w:type="character" w:customStyle="1" w:styleId="CommentTextChar">
    <w:name w:val="Comment Text Char"/>
    <w:basedOn w:val="DefaultParagraphFont"/>
    <w:link w:val="CommentText"/>
    <w:uiPriority w:val="99"/>
    <w:semiHidden/>
    <w:rsid w:val="00DB03B2"/>
  </w:style>
  <w:style w:type="paragraph" w:styleId="CommentSubject">
    <w:name w:val="annotation subject"/>
    <w:basedOn w:val="CommentText"/>
    <w:next w:val="CommentText"/>
    <w:link w:val="CommentSubjectChar"/>
    <w:uiPriority w:val="99"/>
    <w:semiHidden/>
    <w:unhideWhenUsed/>
    <w:rsid w:val="00DB03B2"/>
    <w:rPr>
      <w:b/>
      <w:bCs/>
    </w:rPr>
  </w:style>
  <w:style w:type="character" w:customStyle="1" w:styleId="CommentSubjectChar">
    <w:name w:val="Comment Subject Char"/>
    <w:basedOn w:val="CommentTextChar"/>
    <w:link w:val="CommentSubject"/>
    <w:uiPriority w:val="99"/>
    <w:semiHidden/>
    <w:rsid w:val="00DB03B2"/>
    <w:rPr>
      <w:b/>
      <w:bCs/>
    </w:rPr>
  </w:style>
  <w:style w:type="paragraph" w:styleId="BalloonText">
    <w:name w:val="Balloon Text"/>
    <w:basedOn w:val="Normal"/>
    <w:link w:val="BalloonTextChar"/>
    <w:uiPriority w:val="99"/>
    <w:semiHidden/>
    <w:unhideWhenUsed/>
    <w:rsid w:val="00DB03B2"/>
    <w:rPr>
      <w:rFonts w:ascii="Tahoma" w:hAnsi="Tahoma" w:cs="Tahoma"/>
      <w:sz w:val="16"/>
      <w:szCs w:val="16"/>
    </w:rPr>
  </w:style>
  <w:style w:type="character" w:customStyle="1" w:styleId="BalloonTextChar">
    <w:name w:val="Balloon Text Char"/>
    <w:basedOn w:val="DefaultParagraphFont"/>
    <w:link w:val="BalloonText"/>
    <w:uiPriority w:val="99"/>
    <w:semiHidden/>
    <w:rsid w:val="00DB03B2"/>
    <w:rPr>
      <w:rFonts w:ascii="Tahoma" w:hAnsi="Tahoma" w:cs="Tahoma"/>
      <w:sz w:val="16"/>
      <w:szCs w:val="16"/>
    </w:rPr>
  </w:style>
  <w:style w:type="paragraph" w:styleId="Revision">
    <w:name w:val="Revision"/>
    <w:hidden/>
    <w:uiPriority w:val="99"/>
    <w:semiHidden/>
    <w:rsid w:val="00474EC1"/>
    <w:rPr>
      <w:sz w:val="24"/>
    </w:rPr>
  </w:style>
  <w:style w:type="paragraph" w:styleId="Header">
    <w:name w:val="header"/>
    <w:basedOn w:val="Normal"/>
    <w:link w:val="HeaderChar"/>
    <w:uiPriority w:val="99"/>
    <w:unhideWhenUsed/>
    <w:rsid w:val="00F91232"/>
    <w:pPr>
      <w:tabs>
        <w:tab w:val="center" w:pos="4513"/>
        <w:tab w:val="right" w:pos="9026"/>
      </w:tabs>
    </w:pPr>
  </w:style>
  <w:style w:type="character" w:customStyle="1" w:styleId="HeaderChar">
    <w:name w:val="Header Char"/>
    <w:basedOn w:val="DefaultParagraphFont"/>
    <w:link w:val="Header"/>
    <w:uiPriority w:val="99"/>
    <w:rsid w:val="00F91232"/>
    <w:rPr>
      <w:sz w:val="24"/>
    </w:rPr>
  </w:style>
  <w:style w:type="paragraph" w:styleId="Footer">
    <w:name w:val="footer"/>
    <w:basedOn w:val="Normal"/>
    <w:link w:val="FooterChar"/>
    <w:uiPriority w:val="99"/>
    <w:unhideWhenUsed/>
    <w:rsid w:val="00F91232"/>
    <w:pPr>
      <w:tabs>
        <w:tab w:val="center" w:pos="4513"/>
        <w:tab w:val="right" w:pos="9026"/>
      </w:tabs>
    </w:pPr>
  </w:style>
  <w:style w:type="character" w:customStyle="1" w:styleId="FooterChar">
    <w:name w:val="Footer Char"/>
    <w:basedOn w:val="DefaultParagraphFont"/>
    <w:link w:val="Footer"/>
    <w:uiPriority w:val="99"/>
    <w:rsid w:val="00F91232"/>
    <w:rPr>
      <w:sz w:val="24"/>
    </w:rPr>
  </w:style>
  <w:style w:type="character" w:styleId="Emphasis">
    <w:name w:val="Emphasis"/>
    <w:basedOn w:val="DefaultParagraphFont"/>
    <w:uiPriority w:val="20"/>
    <w:qFormat/>
    <w:rsid w:val="00B312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998">
      <w:bodyDiv w:val="1"/>
      <w:marLeft w:val="0"/>
      <w:marRight w:val="0"/>
      <w:marTop w:val="0"/>
      <w:marBottom w:val="0"/>
      <w:divBdr>
        <w:top w:val="none" w:sz="0" w:space="0" w:color="auto"/>
        <w:left w:val="none" w:sz="0" w:space="0" w:color="auto"/>
        <w:bottom w:val="none" w:sz="0" w:space="0" w:color="auto"/>
        <w:right w:val="none" w:sz="0" w:space="0" w:color="auto"/>
      </w:divBdr>
      <w:divsChild>
        <w:div w:id="644553226">
          <w:marLeft w:val="0"/>
          <w:marRight w:val="0"/>
          <w:marTop w:val="0"/>
          <w:marBottom w:val="0"/>
          <w:divBdr>
            <w:top w:val="none" w:sz="0" w:space="0" w:color="auto"/>
            <w:left w:val="none" w:sz="0" w:space="0" w:color="auto"/>
            <w:bottom w:val="none" w:sz="0" w:space="0" w:color="auto"/>
            <w:right w:val="none" w:sz="0" w:space="0" w:color="auto"/>
          </w:divBdr>
          <w:divsChild>
            <w:div w:id="536817732">
              <w:marLeft w:val="0"/>
              <w:marRight w:val="0"/>
              <w:marTop w:val="0"/>
              <w:marBottom w:val="0"/>
              <w:divBdr>
                <w:top w:val="none" w:sz="0" w:space="0" w:color="auto"/>
                <w:left w:val="none" w:sz="0" w:space="0" w:color="auto"/>
                <w:bottom w:val="none" w:sz="0" w:space="0" w:color="auto"/>
                <w:right w:val="none" w:sz="0" w:space="0" w:color="auto"/>
              </w:divBdr>
              <w:divsChild>
                <w:div w:id="1673531270">
                  <w:marLeft w:val="0"/>
                  <w:marRight w:val="0"/>
                  <w:marTop w:val="0"/>
                  <w:marBottom w:val="0"/>
                  <w:divBdr>
                    <w:top w:val="none" w:sz="0" w:space="0" w:color="auto"/>
                    <w:left w:val="none" w:sz="0" w:space="0" w:color="auto"/>
                    <w:bottom w:val="none" w:sz="0" w:space="0" w:color="auto"/>
                    <w:right w:val="none" w:sz="0" w:space="0" w:color="auto"/>
                  </w:divBdr>
                  <w:divsChild>
                    <w:div w:id="811335729">
                      <w:marLeft w:val="0"/>
                      <w:marRight w:val="0"/>
                      <w:marTop w:val="0"/>
                      <w:marBottom w:val="0"/>
                      <w:divBdr>
                        <w:top w:val="none" w:sz="0" w:space="0" w:color="auto"/>
                        <w:left w:val="none" w:sz="0" w:space="0" w:color="auto"/>
                        <w:bottom w:val="none" w:sz="0" w:space="0" w:color="auto"/>
                        <w:right w:val="none" w:sz="0" w:space="0" w:color="auto"/>
                      </w:divBdr>
                      <w:divsChild>
                        <w:div w:id="1081756085">
                          <w:marLeft w:val="0"/>
                          <w:marRight w:val="0"/>
                          <w:marTop w:val="0"/>
                          <w:marBottom w:val="0"/>
                          <w:divBdr>
                            <w:top w:val="single" w:sz="6" w:space="0" w:color="828282"/>
                            <w:left w:val="single" w:sz="6" w:space="0" w:color="828282"/>
                            <w:bottom w:val="single" w:sz="6" w:space="0" w:color="828282"/>
                            <w:right w:val="single" w:sz="6" w:space="0" w:color="828282"/>
                          </w:divBdr>
                          <w:divsChild>
                            <w:div w:id="992686375">
                              <w:marLeft w:val="0"/>
                              <w:marRight w:val="0"/>
                              <w:marTop w:val="0"/>
                              <w:marBottom w:val="0"/>
                              <w:divBdr>
                                <w:top w:val="none" w:sz="0" w:space="0" w:color="auto"/>
                                <w:left w:val="none" w:sz="0" w:space="0" w:color="auto"/>
                                <w:bottom w:val="none" w:sz="0" w:space="0" w:color="auto"/>
                                <w:right w:val="none" w:sz="0" w:space="0" w:color="auto"/>
                              </w:divBdr>
                              <w:divsChild>
                                <w:div w:id="792594808">
                                  <w:marLeft w:val="0"/>
                                  <w:marRight w:val="0"/>
                                  <w:marTop w:val="0"/>
                                  <w:marBottom w:val="0"/>
                                  <w:divBdr>
                                    <w:top w:val="none" w:sz="0" w:space="0" w:color="auto"/>
                                    <w:left w:val="none" w:sz="0" w:space="0" w:color="auto"/>
                                    <w:bottom w:val="none" w:sz="0" w:space="0" w:color="auto"/>
                                    <w:right w:val="none" w:sz="0" w:space="0" w:color="auto"/>
                                  </w:divBdr>
                                  <w:divsChild>
                                    <w:div w:id="1977366663">
                                      <w:marLeft w:val="0"/>
                                      <w:marRight w:val="0"/>
                                      <w:marTop w:val="0"/>
                                      <w:marBottom w:val="0"/>
                                      <w:divBdr>
                                        <w:top w:val="none" w:sz="0" w:space="0" w:color="auto"/>
                                        <w:left w:val="none" w:sz="0" w:space="0" w:color="auto"/>
                                        <w:bottom w:val="none" w:sz="0" w:space="0" w:color="auto"/>
                                        <w:right w:val="none" w:sz="0" w:space="0" w:color="auto"/>
                                      </w:divBdr>
                                      <w:divsChild>
                                        <w:div w:id="995449445">
                                          <w:marLeft w:val="0"/>
                                          <w:marRight w:val="0"/>
                                          <w:marTop w:val="0"/>
                                          <w:marBottom w:val="0"/>
                                          <w:divBdr>
                                            <w:top w:val="none" w:sz="0" w:space="0" w:color="auto"/>
                                            <w:left w:val="none" w:sz="0" w:space="0" w:color="auto"/>
                                            <w:bottom w:val="none" w:sz="0" w:space="0" w:color="auto"/>
                                            <w:right w:val="none" w:sz="0" w:space="0" w:color="auto"/>
                                          </w:divBdr>
                                          <w:divsChild>
                                            <w:div w:id="535854984">
                                              <w:marLeft w:val="0"/>
                                              <w:marRight w:val="0"/>
                                              <w:marTop w:val="0"/>
                                              <w:marBottom w:val="0"/>
                                              <w:divBdr>
                                                <w:top w:val="none" w:sz="0" w:space="0" w:color="auto"/>
                                                <w:left w:val="none" w:sz="0" w:space="0" w:color="auto"/>
                                                <w:bottom w:val="none" w:sz="0" w:space="0" w:color="auto"/>
                                                <w:right w:val="none" w:sz="0" w:space="0" w:color="auto"/>
                                              </w:divBdr>
                                              <w:divsChild>
                                                <w:div w:id="12810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55667">
      <w:bodyDiv w:val="1"/>
      <w:marLeft w:val="0"/>
      <w:marRight w:val="0"/>
      <w:marTop w:val="0"/>
      <w:marBottom w:val="0"/>
      <w:divBdr>
        <w:top w:val="none" w:sz="0" w:space="0" w:color="auto"/>
        <w:left w:val="none" w:sz="0" w:space="0" w:color="auto"/>
        <w:bottom w:val="none" w:sz="0" w:space="0" w:color="auto"/>
        <w:right w:val="none" w:sz="0" w:space="0" w:color="auto"/>
      </w:divBdr>
      <w:divsChild>
        <w:div w:id="905844387">
          <w:marLeft w:val="0"/>
          <w:marRight w:val="0"/>
          <w:marTop w:val="0"/>
          <w:marBottom w:val="0"/>
          <w:divBdr>
            <w:top w:val="none" w:sz="0" w:space="0" w:color="auto"/>
            <w:left w:val="none" w:sz="0" w:space="0" w:color="auto"/>
            <w:bottom w:val="none" w:sz="0" w:space="0" w:color="auto"/>
            <w:right w:val="none" w:sz="0" w:space="0" w:color="auto"/>
          </w:divBdr>
          <w:divsChild>
            <w:div w:id="314453917">
              <w:marLeft w:val="0"/>
              <w:marRight w:val="0"/>
              <w:marTop w:val="0"/>
              <w:marBottom w:val="0"/>
              <w:divBdr>
                <w:top w:val="none" w:sz="0" w:space="0" w:color="auto"/>
                <w:left w:val="none" w:sz="0" w:space="0" w:color="auto"/>
                <w:bottom w:val="none" w:sz="0" w:space="0" w:color="auto"/>
                <w:right w:val="none" w:sz="0" w:space="0" w:color="auto"/>
              </w:divBdr>
              <w:divsChild>
                <w:div w:id="1567767293">
                  <w:marLeft w:val="0"/>
                  <w:marRight w:val="0"/>
                  <w:marTop w:val="0"/>
                  <w:marBottom w:val="0"/>
                  <w:divBdr>
                    <w:top w:val="none" w:sz="0" w:space="0" w:color="auto"/>
                    <w:left w:val="none" w:sz="0" w:space="0" w:color="auto"/>
                    <w:bottom w:val="none" w:sz="0" w:space="0" w:color="auto"/>
                    <w:right w:val="none" w:sz="0" w:space="0" w:color="auto"/>
                  </w:divBdr>
                  <w:divsChild>
                    <w:div w:id="1534807028">
                      <w:marLeft w:val="0"/>
                      <w:marRight w:val="0"/>
                      <w:marTop w:val="0"/>
                      <w:marBottom w:val="0"/>
                      <w:divBdr>
                        <w:top w:val="none" w:sz="0" w:space="0" w:color="auto"/>
                        <w:left w:val="none" w:sz="0" w:space="0" w:color="auto"/>
                        <w:bottom w:val="none" w:sz="0" w:space="0" w:color="auto"/>
                        <w:right w:val="none" w:sz="0" w:space="0" w:color="auto"/>
                      </w:divBdr>
                      <w:divsChild>
                        <w:div w:id="1340620667">
                          <w:marLeft w:val="0"/>
                          <w:marRight w:val="0"/>
                          <w:marTop w:val="0"/>
                          <w:marBottom w:val="0"/>
                          <w:divBdr>
                            <w:top w:val="single" w:sz="6" w:space="0" w:color="828282"/>
                            <w:left w:val="single" w:sz="6" w:space="0" w:color="828282"/>
                            <w:bottom w:val="single" w:sz="6" w:space="0" w:color="828282"/>
                            <w:right w:val="single" w:sz="6" w:space="0" w:color="828282"/>
                          </w:divBdr>
                          <w:divsChild>
                            <w:div w:id="414400505">
                              <w:marLeft w:val="0"/>
                              <w:marRight w:val="0"/>
                              <w:marTop w:val="0"/>
                              <w:marBottom w:val="0"/>
                              <w:divBdr>
                                <w:top w:val="none" w:sz="0" w:space="0" w:color="auto"/>
                                <w:left w:val="none" w:sz="0" w:space="0" w:color="auto"/>
                                <w:bottom w:val="none" w:sz="0" w:space="0" w:color="auto"/>
                                <w:right w:val="none" w:sz="0" w:space="0" w:color="auto"/>
                              </w:divBdr>
                              <w:divsChild>
                                <w:div w:id="1083332872">
                                  <w:marLeft w:val="0"/>
                                  <w:marRight w:val="0"/>
                                  <w:marTop w:val="0"/>
                                  <w:marBottom w:val="0"/>
                                  <w:divBdr>
                                    <w:top w:val="none" w:sz="0" w:space="0" w:color="auto"/>
                                    <w:left w:val="none" w:sz="0" w:space="0" w:color="auto"/>
                                    <w:bottom w:val="none" w:sz="0" w:space="0" w:color="auto"/>
                                    <w:right w:val="none" w:sz="0" w:space="0" w:color="auto"/>
                                  </w:divBdr>
                                  <w:divsChild>
                                    <w:div w:id="903371537">
                                      <w:marLeft w:val="0"/>
                                      <w:marRight w:val="0"/>
                                      <w:marTop w:val="0"/>
                                      <w:marBottom w:val="0"/>
                                      <w:divBdr>
                                        <w:top w:val="none" w:sz="0" w:space="0" w:color="auto"/>
                                        <w:left w:val="none" w:sz="0" w:space="0" w:color="auto"/>
                                        <w:bottom w:val="none" w:sz="0" w:space="0" w:color="auto"/>
                                        <w:right w:val="none" w:sz="0" w:space="0" w:color="auto"/>
                                      </w:divBdr>
                                      <w:divsChild>
                                        <w:div w:id="2059476255">
                                          <w:marLeft w:val="0"/>
                                          <w:marRight w:val="0"/>
                                          <w:marTop w:val="0"/>
                                          <w:marBottom w:val="0"/>
                                          <w:divBdr>
                                            <w:top w:val="none" w:sz="0" w:space="0" w:color="auto"/>
                                            <w:left w:val="none" w:sz="0" w:space="0" w:color="auto"/>
                                            <w:bottom w:val="none" w:sz="0" w:space="0" w:color="auto"/>
                                            <w:right w:val="none" w:sz="0" w:space="0" w:color="auto"/>
                                          </w:divBdr>
                                          <w:divsChild>
                                            <w:div w:id="1465733542">
                                              <w:marLeft w:val="0"/>
                                              <w:marRight w:val="0"/>
                                              <w:marTop w:val="0"/>
                                              <w:marBottom w:val="0"/>
                                              <w:divBdr>
                                                <w:top w:val="none" w:sz="0" w:space="0" w:color="auto"/>
                                                <w:left w:val="none" w:sz="0" w:space="0" w:color="auto"/>
                                                <w:bottom w:val="none" w:sz="0" w:space="0" w:color="auto"/>
                                                <w:right w:val="none" w:sz="0" w:space="0" w:color="auto"/>
                                              </w:divBdr>
                                              <w:divsChild>
                                                <w:div w:id="11328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626417">
      <w:bodyDiv w:val="1"/>
      <w:marLeft w:val="0"/>
      <w:marRight w:val="0"/>
      <w:marTop w:val="0"/>
      <w:marBottom w:val="0"/>
      <w:divBdr>
        <w:top w:val="none" w:sz="0" w:space="0" w:color="auto"/>
        <w:left w:val="none" w:sz="0" w:space="0" w:color="auto"/>
        <w:bottom w:val="none" w:sz="0" w:space="0" w:color="auto"/>
        <w:right w:val="none" w:sz="0" w:space="0" w:color="auto"/>
      </w:divBdr>
      <w:divsChild>
        <w:div w:id="1115172060">
          <w:marLeft w:val="0"/>
          <w:marRight w:val="0"/>
          <w:marTop w:val="0"/>
          <w:marBottom w:val="0"/>
          <w:divBdr>
            <w:top w:val="none" w:sz="0" w:space="0" w:color="auto"/>
            <w:left w:val="none" w:sz="0" w:space="0" w:color="auto"/>
            <w:bottom w:val="none" w:sz="0" w:space="0" w:color="auto"/>
            <w:right w:val="none" w:sz="0" w:space="0" w:color="auto"/>
          </w:divBdr>
          <w:divsChild>
            <w:div w:id="969744124">
              <w:marLeft w:val="0"/>
              <w:marRight w:val="0"/>
              <w:marTop w:val="0"/>
              <w:marBottom w:val="0"/>
              <w:divBdr>
                <w:top w:val="none" w:sz="0" w:space="0" w:color="auto"/>
                <w:left w:val="none" w:sz="0" w:space="0" w:color="auto"/>
                <w:bottom w:val="none" w:sz="0" w:space="0" w:color="auto"/>
                <w:right w:val="none" w:sz="0" w:space="0" w:color="auto"/>
              </w:divBdr>
              <w:divsChild>
                <w:div w:id="5406313">
                  <w:marLeft w:val="0"/>
                  <w:marRight w:val="0"/>
                  <w:marTop w:val="0"/>
                  <w:marBottom w:val="0"/>
                  <w:divBdr>
                    <w:top w:val="none" w:sz="0" w:space="0" w:color="auto"/>
                    <w:left w:val="none" w:sz="0" w:space="0" w:color="auto"/>
                    <w:bottom w:val="none" w:sz="0" w:space="0" w:color="auto"/>
                    <w:right w:val="none" w:sz="0" w:space="0" w:color="auto"/>
                  </w:divBdr>
                  <w:divsChild>
                    <w:div w:id="1877815256">
                      <w:marLeft w:val="0"/>
                      <w:marRight w:val="0"/>
                      <w:marTop w:val="0"/>
                      <w:marBottom w:val="0"/>
                      <w:divBdr>
                        <w:top w:val="none" w:sz="0" w:space="0" w:color="auto"/>
                        <w:left w:val="none" w:sz="0" w:space="0" w:color="auto"/>
                        <w:bottom w:val="none" w:sz="0" w:space="0" w:color="auto"/>
                        <w:right w:val="none" w:sz="0" w:space="0" w:color="auto"/>
                      </w:divBdr>
                      <w:divsChild>
                        <w:div w:id="1841312184">
                          <w:marLeft w:val="0"/>
                          <w:marRight w:val="0"/>
                          <w:marTop w:val="0"/>
                          <w:marBottom w:val="0"/>
                          <w:divBdr>
                            <w:top w:val="single" w:sz="6" w:space="0" w:color="828282"/>
                            <w:left w:val="single" w:sz="6" w:space="0" w:color="828282"/>
                            <w:bottom w:val="single" w:sz="6" w:space="0" w:color="828282"/>
                            <w:right w:val="single" w:sz="6" w:space="0" w:color="828282"/>
                          </w:divBdr>
                          <w:divsChild>
                            <w:div w:id="1403216032">
                              <w:marLeft w:val="0"/>
                              <w:marRight w:val="0"/>
                              <w:marTop w:val="0"/>
                              <w:marBottom w:val="0"/>
                              <w:divBdr>
                                <w:top w:val="none" w:sz="0" w:space="0" w:color="auto"/>
                                <w:left w:val="none" w:sz="0" w:space="0" w:color="auto"/>
                                <w:bottom w:val="none" w:sz="0" w:space="0" w:color="auto"/>
                                <w:right w:val="none" w:sz="0" w:space="0" w:color="auto"/>
                              </w:divBdr>
                              <w:divsChild>
                                <w:div w:id="14230853">
                                  <w:marLeft w:val="0"/>
                                  <w:marRight w:val="0"/>
                                  <w:marTop w:val="0"/>
                                  <w:marBottom w:val="0"/>
                                  <w:divBdr>
                                    <w:top w:val="none" w:sz="0" w:space="0" w:color="auto"/>
                                    <w:left w:val="none" w:sz="0" w:space="0" w:color="auto"/>
                                    <w:bottom w:val="none" w:sz="0" w:space="0" w:color="auto"/>
                                    <w:right w:val="none" w:sz="0" w:space="0" w:color="auto"/>
                                  </w:divBdr>
                                  <w:divsChild>
                                    <w:div w:id="1554930445">
                                      <w:marLeft w:val="0"/>
                                      <w:marRight w:val="0"/>
                                      <w:marTop w:val="0"/>
                                      <w:marBottom w:val="0"/>
                                      <w:divBdr>
                                        <w:top w:val="none" w:sz="0" w:space="0" w:color="auto"/>
                                        <w:left w:val="none" w:sz="0" w:space="0" w:color="auto"/>
                                        <w:bottom w:val="none" w:sz="0" w:space="0" w:color="auto"/>
                                        <w:right w:val="none" w:sz="0" w:space="0" w:color="auto"/>
                                      </w:divBdr>
                                      <w:divsChild>
                                        <w:div w:id="1576282731">
                                          <w:marLeft w:val="0"/>
                                          <w:marRight w:val="0"/>
                                          <w:marTop w:val="0"/>
                                          <w:marBottom w:val="0"/>
                                          <w:divBdr>
                                            <w:top w:val="none" w:sz="0" w:space="0" w:color="auto"/>
                                            <w:left w:val="none" w:sz="0" w:space="0" w:color="auto"/>
                                            <w:bottom w:val="none" w:sz="0" w:space="0" w:color="auto"/>
                                            <w:right w:val="none" w:sz="0" w:space="0" w:color="auto"/>
                                          </w:divBdr>
                                          <w:divsChild>
                                            <w:div w:id="461966986">
                                              <w:marLeft w:val="0"/>
                                              <w:marRight w:val="0"/>
                                              <w:marTop w:val="0"/>
                                              <w:marBottom w:val="0"/>
                                              <w:divBdr>
                                                <w:top w:val="none" w:sz="0" w:space="0" w:color="auto"/>
                                                <w:left w:val="none" w:sz="0" w:space="0" w:color="auto"/>
                                                <w:bottom w:val="none" w:sz="0" w:space="0" w:color="auto"/>
                                                <w:right w:val="none" w:sz="0" w:space="0" w:color="auto"/>
                                              </w:divBdr>
                                              <w:divsChild>
                                                <w:div w:id="16470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326885">
      <w:bodyDiv w:val="1"/>
      <w:marLeft w:val="0"/>
      <w:marRight w:val="0"/>
      <w:marTop w:val="0"/>
      <w:marBottom w:val="0"/>
      <w:divBdr>
        <w:top w:val="none" w:sz="0" w:space="0" w:color="auto"/>
        <w:left w:val="none" w:sz="0" w:space="0" w:color="auto"/>
        <w:bottom w:val="none" w:sz="0" w:space="0" w:color="auto"/>
        <w:right w:val="none" w:sz="0" w:space="0" w:color="auto"/>
      </w:divBdr>
      <w:divsChild>
        <w:div w:id="137651555">
          <w:marLeft w:val="0"/>
          <w:marRight w:val="0"/>
          <w:marTop w:val="0"/>
          <w:marBottom w:val="0"/>
          <w:divBdr>
            <w:top w:val="none" w:sz="0" w:space="0" w:color="auto"/>
            <w:left w:val="none" w:sz="0" w:space="0" w:color="auto"/>
            <w:bottom w:val="none" w:sz="0" w:space="0" w:color="auto"/>
            <w:right w:val="none" w:sz="0" w:space="0" w:color="auto"/>
          </w:divBdr>
          <w:divsChild>
            <w:div w:id="891964541">
              <w:marLeft w:val="0"/>
              <w:marRight w:val="0"/>
              <w:marTop w:val="0"/>
              <w:marBottom w:val="0"/>
              <w:divBdr>
                <w:top w:val="none" w:sz="0" w:space="0" w:color="auto"/>
                <w:left w:val="none" w:sz="0" w:space="0" w:color="auto"/>
                <w:bottom w:val="none" w:sz="0" w:space="0" w:color="auto"/>
                <w:right w:val="none" w:sz="0" w:space="0" w:color="auto"/>
              </w:divBdr>
              <w:divsChild>
                <w:div w:id="1028026367">
                  <w:marLeft w:val="0"/>
                  <w:marRight w:val="0"/>
                  <w:marTop w:val="0"/>
                  <w:marBottom w:val="0"/>
                  <w:divBdr>
                    <w:top w:val="none" w:sz="0" w:space="0" w:color="auto"/>
                    <w:left w:val="none" w:sz="0" w:space="0" w:color="auto"/>
                    <w:bottom w:val="none" w:sz="0" w:space="0" w:color="auto"/>
                    <w:right w:val="none" w:sz="0" w:space="0" w:color="auto"/>
                  </w:divBdr>
                  <w:divsChild>
                    <w:div w:id="960920726">
                      <w:marLeft w:val="0"/>
                      <w:marRight w:val="0"/>
                      <w:marTop w:val="0"/>
                      <w:marBottom w:val="0"/>
                      <w:divBdr>
                        <w:top w:val="none" w:sz="0" w:space="0" w:color="auto"/>
                        <w:left w:val="none" w:sz="0" w:space="0" w:color="auto"/>
                        <w:bottom w:val="none" w:sz="0" w:space="0" w:color="auto"/>
                        <w:right w:val="none" w:sz="0" w:space="0" w:color="auto"/>
                      </w:divBdr>
                      <w:divsChild>
                        <w:div w:id="1540702541">
                          <w:marLeft w:val="0"/>
                          <w:marRight w:val="0"/>
                          <w:marTop w:val="0"/>
                          <w:marBottom w:val="0"/>
                          <w:divBdr>
                            <w:top w:val="single" w:sz="6" w:space="0" w:color="828282"/>
                            <w:left w:val="single" w:sz="6" w:space="0" w:color="828282"/>
                            <w:bottom w:val="single" w:sz="6" w:space="0" w:color="828282"/>
                            <w:right w:val="single" w:sz="6" w:space="0" w:color="828282"/>
                          </w:divBdr>
                          <w:divsChild>
                            <w:div w:id="1918319472">
                              <w:marLeft w:val="0"/>
                              <w:marRight w:val="0"/>
                              <w:marTop w:val="0"/>
                              <w:marBottom w:val="0"/>
                              <w:divBdr>
                                <w:top w:val="none" w:sz="0" w:space="0" w:color="auto"/>
                                <w:left w:val="none" w:sz="0" w:space="0" w:color="auto"/>
                                <w:bottom w:val="none" w:sz="0" w:space="0" w:color="auto"/>
                                <w:right w:val="none" w:sz="0" w:space="0" w:color="auto"/>
                              </w:divBdr>
                              <w:divsChild>
                                <w:div w:id="396633364">
                                  <w:marLeft w:val="0"/>
                                  <w:marRight w:val="0"/>
                                  <w:marTop w:val="0"/>
                                  <w:marBottom w:val="0"/>
                                  <w:divBdr>
                                    <w:top w:val="none" w:sz="0" w:space="0" w:color="auto"/>
                                    <w:left w:val="none" w:sz="0" w:space="0" w:color="auto"/>
                                    <w:bottom w:val="none" w:sz="0" w:space="0" w:color="auto"/>
                                    <w:right w:val="none" w:sz="0" w:space="0" w:color="auto"/>
                                  </w:divBdr>
                                  <w:divsChild>
                                    <w:div w:id="632295598">
                                      <w:marLeft w:val="0"/>
                                      <w:marRight w:val="0"/>
                                      <w:marTop w:val="0"/>
                                      <w:marBottom w:val="0"/>
                                      <w:divBdr>
                                        <w:top w:val="none" w:sz="0" w:space="0" w:color="auto"/>
                                        <w:left w:val="none" w:sz="0" w:space="0" w:color="auto"/>
                                        <w:bottom w:val="none" w:sz="0" w:space="0" w:color="auto"/>
                                        <w:right w:val="none" w:sz="0" w:space="0" w:color="auto"/>
                                      </w:divBdr>
                                      <w:divsChild>
                                        <w:div w:id="904878678">
                                          <w:marLeft w:val="0"/>
                                          <w:marRight w:val="0"/>
                                          <w:marTop w:val="0"/>
                                          <w:marBottom w:val="0"/>
                                          <w:divBdr>
                                            <w:top w:val="none" w:sz="0" w:space="0" w:color="auto"/>
                                            <w:left w:val="none" w:sz="0" w:space="0" w:color="auto"/>
                                            <w:bottom w:val="none" w:sz="0" w:space="0" w:color="auto"/>
                                            <w:right w:val="none" w:sz="0" w:space="0" w:color="auto"/>
                                          </w:divBdr>
                                          <w:divsChild>
                                            <w:div w:id="1598438579">
                                              <w:marLeft w:val="0"/>
                                              <w:marRight w:val="0"/>
                                              <w:marTop w:val="0"/>
                                              <w:marBottom w:val="0"/>
                                              <w:divBdr>
                                                <w:top w:val="none" w:sz="0" w:space="0" w:color="auto"/>
                                                <w:left w:val="none" w:sz="0" w:space="0" w:color="auto"/>
                                                <w:bottom w:val="none" w:sz="0" w:space="0" w:color="auto"/>
                                                <w:right w:val="none" w:sz="0" w:space="0" w:color="auto"/>
                                              </w:divBdr>
                                              <w:divsChild>
                                                <w:div w:id="4839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864741">
      <w:bodyDiv w:val="1"/>
      <w:marLeft w:val="0"/>
      <w:marRight w:val="0"/>
      <w:marTop w:val="0"/>
      <w:marBottom w:val="0"/>
      <w:divBdr>
        <w:top w:val="none" w:sz="0" w:space="0" w:color="auto"/>
        <w:left w:val="none" w:sz="0" w:space="0" w:color="auto"/>
        <w:bottom w:val="none" w:sz="0" w:space="0" w:color="auto"/>
        <w:right w:val="none" w:sz="0" w:space="0" w:color="auto"/>
      </w:divBdr>
    </w:div>
    <w:div w:id="898327166">
      <w:bodyDiv w:val="1"/>
      <w:marLeft w:val="0"/>
      <w:marRight w:val="0"/>
      <w:marTop w:val="0"/>
      <w:marBottom w:val="0"/>
      <w:divBdr>
        <w:top w:val="none" w:sz="0" w:space="0" w:color="auto"/>
        <w:left w:val="none" w:sz="0" w:space="0" w:color="auto"/>
        <w:bottom w:val="none" w:sz="0" w:space="0" w:color="auto"/>
        <w:right w:val="none" w:sz="0" w:space="0" w:color="auto"/>
      </w:divBdr>
      <w:divsChild>
        <w:div w:id="67654440">
          <w:marLeft w:val="0"/>
          <w:marRight w:val="0"/>
          <w:marTop w:val="0"/>
          <w:marBottom w:val="0"/>
          <w:divBdr>
            <w:top w:val="none" w:sz="0" w:space="0" w:color="auto"/>
            <w:left w:val="none" w:sz="0" w:space="0" w:color="auto"/>
            <w:bottom w:val="none" w:sz="0" w:space="0" w:color="auto"/>
            <w:right w:val="none" w:sz="0" w:space="0" w:color="auto"/>
          </w:divBdr>
          <w:divsChild>
            <w:div w:id="473453627">
              <w:marLeft w:val="0"/>
              <w:marRight w:val="0"/>
              <w:marTop w:val="0"/>
              <w:marBottom w:val="0"/>
              <w:divBdr>
                <w:top w:val="none" w:sz="0" w:space="0" w:color="auto"/>
                <w:left w:val="none" w:sz="0" w:space="0" w:color="auto"/>
                <w:bottom w:val="none" w:sz="0" w:space="0" w:color="auto"/>
                <w:right w:val="none" w:sz="0" w:space="0" w:color="auto"/>
              </w:divBdr>
              <w:divsChild>
                <w:div w:id="1417022799">
                  <w:marLeft w:val="0"/>
                  <w:marRight w:val="0"/>
                  <w:marTop w:val="0"/>
                  <w:marBottom w:val="0"/>
                  <w:divBdr>
                    <w:top w:val="none" w:sz="0" w:space="0" w:color="auto"/>
                    <w:left w:val="none" w:sz="0" w:space="0" w:color="auto"/>
                    <w:bottom w:val="none" w:sz="0" w:space="0" w:color="auto"/>
                    <w:right w:val="none" w:sz="0" w:space="0" w:color="auto"/>
                  </w:divBdr>
                  <w:divsChild>
                    <w:div w:id="1523469967">
                      <w:marLeft w:val="0"/>
                      <w:marRight w:val="0"/>
                      <w:marTop w:val="0"/>
                      <w:marBottom w:val="0"/>
                      <w:divBdr>
                        <w:top w:val="none" w:sz="0" w:space="0" w:color="auto"/>
                        <w:left w:val="none" w:sz="0" w:space="0" w:color="auto"/>
                        <w:bottom w:val="none" w:sz="0" w:space="0" w:color="auto"/>
                        <w:right w:val="none" w:sz="0" w:space="0" w:color="auto"/>
                      </w:divBdr>
                      <w:divsChild>
                        <w:div w:id="1076440873">
                          <w:marLeft w:val="0"/>
                          <w:marRight w:val="0"/>
                          <w:marTop w:val="0"/>
                          <w:marBottom w:val="0"/>
                          <w:divBdr>
                            <w:top w:val="single" w:sz="6" w:space="0" w:color="828282"/>
                            <w:left w:val="single" w:sz="6" w:space="0" w:color="828282"/>
                            <w:bottom w:val="single" w:sz="6" w:space="0" w:color="828282"/>
                            <w:right w:val="single" w:sz="6" w:space="0" w:color="828282"/>
                          </w:divBdr>
                          <w:divsChild>
                            <w:div w:id="1865709681">
                              <w:marLeft w:val="0"/>
                              <w:marRight w:val="0"/>
                              <w:marTop w:val="0"/>
                              <w:marBottom w:val="0"/>
                              <w:divBdr>
                                <w:top w:val="none" w:sz="0" w:space="0" w:color="auto"/>
                                <w:left w:val="none" w:sz="0" w:space="0" w:color="auto"/>
                                <w:bottom w:val="none" w:sz="0" w:space="0" w:color="auto"/>
                                <w:right w:val="none" w:sz="0" w:space="0" w:color="auto"/>
                              </w:divBdr>
                              <w:divsChild>
                                <w:div w:id="1623804933">
                                  <w:marLeft w:val="0"/>
                                  <w:marRight w:val="0"/>
                                  <w:marTop w:val="0"/>
                                  <w:marBottom w:val="0"/>
                                  <w:divBdr>
                                    <w:top w:val="none" w:sz="0" w:space="0" w:color="auto"/>
                                    <w:left w:val="none" w:sz="0" w:space="0" w:color="auto"/>
                                    <w:bottom w:val="none" w:sz="0" w:space="0" w:color="auto"/>
                                    <w:right w:val="none" w:sz="0" w:space="0" w:color="auto"/>
                                  </w:divBdr>
                                  <w:divsChild>
                                    <w:div w:id="1983269800">
                                      <w:marLeft w:val="0"/>
                                      <w:marRight w:val="0"/>
                                      <w:marTop w:val="0"/>
                                      <w:marBottom w:val="0"/>
                                      <w:divBdr>
                                        <w:top w:val="none" w:sz="0" w:space="0" w:color="auto"/>
                                        <w:left w:val="none" w:sz="0" w:space="0" w:color="auto"/>
                                        <w:bottom w:val="none" w:sz="0" w:space="0" w:color="auto"/>
                                        <w:right w:val="none" w:sz="0" w:space="0" w:color="auto"/>
                                      </w:divBdr>
                                      <w:divsChild>
                                        <w:div w:id="933050822">
                                          <w:marLeft w:val="0"/>
                                          <w:marRight w:val="0"/>
                                          <w:marTop w:val="0"/>
                                          <w:marBottom w:val="0"/>
                                          <w:divBdr>
                                            <w:top w:val="none" w:sz="0" w:space="0" w:color="auto"/>
                                            <w:left w:val="none" w:sz="0" w:space="0" w:color="auto"/>
                                            <w:bottom w:val="none" w:sz="0" w:space="0" w:color="auto"/>
                                            <w:right w:val="none" w:sz="0" w:space="0" w:color="auto"/>
                                          </w:divBdr>
                                          <w:divsChild>
                                            <w:div w:id="492186378">
                                              <w:marLeft w:val="0"/>
                                              <w:marRight w:val="0"/>
                                              <w:marTop w:val="0"/>
                                              <w:marBottom w:val="0"/>
                                              <w:divBdr>
                                                <w:top w:val="none" w:sz="0" w:space="0" w:color="auto"/>
                                                <w:left w:val="none" w:sz="0" w:space="0" w:color="auto"/>
                                                <w:bottom w:val="none" w:sz="0" w:space="0" w:color="auto"/>
                                                <w:right w:val="none" w:sz="0" w:space="0" w:color="auto"/>
                                              </w:divBdr>
                                              <w:divsChild>
                                                <w:div w:id="15962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8464311">
      <w:bodyDiv w:val="1"/>
      <w:marLeft w:val="0"/>
      <w:marRight w:val="0"/>
      <w:marTop w:val="0"/>
      <w:marBottom w:val="0"/>
      <w:divBdr>
        <w:top w:val="none" w:sz="0" w:space="0" w:color="auto"/>
        <w:left w:val="none" w:sz="0" w:space="0" w:color="auto"/>
        <w:bottom w:val="none" w:sz="0" w:space="0" w:color="auto"/>
        <w:right w:val="none" w:sz="0" w:space="0" w:color="auto"/>
      </w:divBdr>
    </w:div>
    <w:div w:id="1630739384">
      <w:bodyDiv w:val="1"/>
      <w:marLeft w:val="0"/>
      <w:marRight w:val="0"/>
      <w:marTop w:val="0"/>
      <w:marBottom w:val="0"/>
      <w:divBdr>
        <w:top w:val="none" w:sz="0" w:space="0" w:color="auto"/>
        <w:left w:val="none" w:sz="0" w:space="0" w:color="auto"/>
        <w:bottom w:val="none" w:sz="0" w:space="0" w:color="auto"/>
        <w:right w:val="none" w:sz="0" w:space="0" w:color="auto"/>
      </w:divBdr>
      <w:divsChild>
        <w:div w:id="134421752">
          <w:marLeft w:val="0"/>
          <w:marRight w:val="0"/>
          <w:marTop w:val="0"/>
          <w:marBottom w:val="0"/>
          <w:divBdr>
            <w:top w:val="none" w:sz="0" w:space="0" w:color="auto"/>
            <w:left w:val="none" w:sz="0" w:space="0" w:color="auto"/>
            <w:bottom w:val="none" w:sz="0" w:space="0" w:color="auto"/>
            <w:right w:val="none" w:sz="0" w:space="0" w:color="auto"/>
          </w:divBdr>
          <w:divsChild>
            <w:div w:id="2060587653">
              <w:marLeft w:val="0"/>
              <w:marRight w:val="0"/>
              <w:marTop w:val="0"/>
              <w:marBottom w:val="0"/>
              <w:divBdr>
                <w:top w:val="none" w:sz="0" w:space="0" w:color="auto"/>
                <w:left w:val="none" w:sz="0" w:space="0" w:color="auto"/>
                <w:bottom w:val="none" w:sz="0" w:space="0" w:color="auto"/>
                <w:right w:val="none" w:sz="0" w:space="0" w:color="auto"/>
              </w:divBdr>
              <w:divsChild>
                <w:div w:id="447045111">
                  <w:marLeft w:val="0"/>
                  <w:marRight w:val="0"/>
                  <w:marTop w:val="0"/>
                  <w:marBottom w:val="0"/>
                  <w:divBdr>
                    <w:top w:val="none" w:sz="0" w:space="0" w:color="auto"/>
                    <w:left w:val="none" w:sz="0" w:space="0" w:color="auto"/>
                    <w:bottom w:val="none" w:sz="0" w:space="0" w:color="auto"/>
                    <w:right w:val="none" w:sz="0" w:space="0" w:color="auto"/>
                  </w:divBdr>
                  <w:divsChild>
                    <w:div w:id="555122294">
                      <w:marLeft w:val="0"/>
                      <w:marRight w:val="0"/>
                      <w:marTop w:val="0"/>
                      <w:marBottom w:val="0"/>
                      <w:divBdr>
                        <w:top w:val="none" w:sz="0" w:space="0" w:color="auto"/>
                        <w:left w:val="none" w:sz="0" w:space="0" w:color="auto"/>
                        <w:bottom w:val="none" w:sz="0" w:space="0" w:color="auto"/>
                        <w:right w:val="none" w:sz="0" w:space="0" w:color="auto"/>
                      </w:divBdr>
                      <w:divsChild>
                        <w:div w:id="2025134700">
                          <w:marLeft w:val="0"/>
                          <w:marRight w:val="0"/>
                          <w:marTop w:val="0"/>
                          <w:marBottom w:val="0"/>
                          <w:divBdr>
                            <w:top w:val="single" w:sz="6" w:space="0" w:color="828282"/>
                            <w:left w:val="single" w:sz="6" w:space="0" w:color="828282"/>
                            <w:bottom w:val="single" w:sz="6" w:space="0" w:color="828282"/>
                            <w:right w:val="single" w:sz="6" w:space="0" w:color="828282"/>
                          </w:divBdr>
                          <w:divsChild>
                            <w:div w:id="973104028">
                              <w:marLeft w:val="0"/>
                              <w:marRight w:val="0"/>
                              <w:marTop w:val="0"/>
                              <w:marBottom w:val="0"/>
                              <w:divBdr>
                                <w:top w:val="none" w:sz="0" w:space="0" w:color="auto"/>
                                <w:left w:val="none" w:sz="0" w:space="0" w:color="auto"/>
                                <w:bottom w:val="none" w:sz="0" w:space="0" w:color="auto"/>
                                <w:right w:val="none" w:sz="0" w:space="0" w:color="auto"/>
                              </w:divBdr>
                              <w:divsChild>
                                <w:div w:id="344401681">
                                  <w:marLeft w:val="0"/>
                                  <w:marRight w:val="0"/>
                                  <w:marTop w:val="0"/>
                                  <w:marBottom w:val="0"/>
                                  <w:divBdr>
                                    <w:top w:val="none" w:sz="0" w:space="0" w:color="auto"/>
                                    <w:left w:val="none" w:sz="0" w:space="0" w:color="auto"/>
                                    <w:bottom w:val="none" w:sz="0" w:space="0" w:color="auto"/>
                                    <w:right w:val="none" w:sz="0" w:space="0" w:color="auto"/>
                                  </w:divBdr>
                                  <w:divsChild>
                                    <w:div w:id="177742063">
                                      <w:marLeft w:val="0"/>
                                      <w:marRight w:val="0"/>
                                      <w:marTop w:val="0"/>
                                      <w:marBottom w:val="0"/>
                                      <w:divBdr>
                                        <w:top w:val="none" w:sz="0" w:space="0" w:color="auto"/>
                                        <w:left w:val="none" w:sz="0" w:space="0" w:color="auto"/>
                                        <w:bottom w:val="none" w:sz="0" w:space="0" w:color="auto"/>
                                        <w:right w:val="none" w:sz="0" w:space="0" w:color="auto"/>
                                      </w:divBdr>
                                      <w:divsChild>
                                        <w:div w:id="1733578664">
                                          <w:marLeft w:val="0"/>
                                          <w:marRight w:val="0"/>
                                          <w:marTop w:val="0"/>
                                          <w:marBottom w:val="0"/>
                                          <w:divBdr>
                                            <w:top w:val="none" w:sz="0" w:space="0" w:color="auto"/>
                                            <w:left w:val="none" w:sz="0" w:space="0" w:color="auto"/>
                                            <w:bottom w:val="none" w:sz="0" w:space="0" w:color="auto"/>
                                            <w:right w:val="none" w:sz="0" w:space="0" w:color="auto"/>
                                          </w:divBdr>
                                          <w:divsChild>
                                            <w:div w:id="205604334">
                                              <w:marLeft w:val="0"/>
                                              <w:marRight w:val="0"/>
                                              <w:marTop w:val="0"/>
                                              <w:marBottom w:val="0"/>
                                              <w:divBdr>
                                                <w:top w:val="none" w:sz="0" w:space="0" w:color="auto"/>
                                                <w:left w:val="none" w:sz="0" w:space="0" w:color="auto"/>
                                                <w:bottom w:val="none" w:sz="0" w:space="0" w:color="auto"/>
                                                <w:right w:val="none" w:sz="0" w:space="0" w:color="auto"/>
                                              </w:divBdr>
                                              <w:divsChild>
                                                <w:div w:id="13880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432643">
      <w:bodyDiv w:val="1"/>
      <w:marLeft w:val="0"/>
      <w:marRight w:val="0"/>
      <w:marTop w:val="0"/>
      <w:marBottom w:val="0"/>
      <w:divBdr>
        <w:top w:val="none" w:sz="0" w:space="0" w:color="auto"/>
        <w:left w:val="none" w:sz="0" w:space="0" w:color="auto"/>
        <w:bottom w:val="none" w:sz="0" w:space="0" w:color="auto"/>
        <w:right w:val="none" w:sz="0" w:space="0" w:color="auto"/>
      </w:divBdr>
      <w:divsChild>
        <w:div w:id="1176460618">
          <w:marLeft w:val="0"/>
          <w:marRight w:val="0"/>
          <w:marTop w:val="0"/>
          <w:marBottom w:val="0"/>
          <w:divBdr>
            <w:top w:val="none" w:sz="0" w:space="0" w:color="auto"/>
            <w:left w:val="none" w:sz="0" w:space="0" w:color="auto"/>
            <w:bottom w:val="none" w:sz="0" w:space="0" w:color="auto"/>
            <w:right w:val="none" w:sz="0" w:space="0" w:color="auto"/>
          </w:divBdr>
          <w:divsChild>
            <w:div w:id="1803033367">
              <w:marLeft w:val="0"/>
              <w:marRight w:val="0"/>
              <w:marTop w:val="0"/>
              <w:marBottom w:val="0"/>
              <w:divBdr>
                <w:top w:val="none" w:sz="0" w:space="0" w:color="auto"/>
                <w:left w:val="none" w:sz="0" w:space="0" w:color="auto"/>
                <w:bottom w:val="none" w:sz="0" w:space="0" w:color="auto"/>
                <w:right w:val="none" w:sz="0" w:space="0" w:color="auto"/>
              </w:divBdr>
              <w:divsChild>
                <w:div w:id="114561875">
                  <w:marLeft w:val="0"/>
                  <w:marRight w:val="0"/>
                  <w:marTop w:val="0"/>
                  <w:marBottom w:val="0"/>
                  <w:divBdr>
                    <w:top w:val="none" w:sz="0" w:space="0" w:color="auto"/>
                    <w:left w:val="none" w:sz="0" w:space="0" w:color="auto"/>
                    <w:bottom w:val="none" w:sz="0" w:space="0" w:color="auto"/>
                    <w:right w:val="none" w:sz="0" w:space="0" w:color="auto"/>
                  </w:divBdr>
                  <w:divsChild>
                    <w:div w:id="1685789411">
                      <w:marLeft w:val="0"/>
                      <w:marRight w:val="0"/>
                      <w:marTop w:val="0"/>
                      <w:marBottom w:val="0"/>
                      <w:divBdr>
                        <w:top w:val="none" w:sz="0" w:space="0" w:color="auto"/>
                        <w:left w:val="none" w:sz="0" w:space="0" w:color="auto"/>
                        <w:bottom w:val="none" w:sz="0" w:space="0" w:color="auto"/>
                        <w:right w:val="none" w:sz="0" w:space="0" w:color="auto"/>
                      </w:divBdr>
                      <w:divsChild>
                        <w:div w:id="671840807">
                          <w:marLeft w:val="0"/>
                          <w:marRight w:val="0"/>
                          <w:marTop w:val="0"/>
                          <w:marBottom w:val="0"/>
                          <w:divBdr>
                            <w:top w:val="single" w:sz="6" w:space="0" w:color="828282"/>
                            <w:left w:val="single" w:sz="6" w:space="0" w:color="828282"/>
                            <w:bottom w:val="single" w:sz="6" w:space="0" w:color="828282"/>
                            <w:right w:val="single" w:sz="6" w:space="0" w:color="828282"/>
                          </w:divBdr>
                          <w:divsChild>
                            <w:div w:id="1679233703">
                              <w:marLeft w:val="0"/>
                              <w:marRight w:val="0"/>
                              <w:marTop w:val="0"/>
                              <w:marBottom w:val="0"/>
                              <w:divBdr>
                                <w:top w:val="none" w:sz="0" w:space="0" w:color="auto"/>
                                <w:left w:val="none" w:sz="0" w:space="0" w:color="auto"/>
                                <w:bottom w:val="none" w:sz="0" w:space="0" w:color="auto"/>
                                <w:right w:val="none" w:sz="0" w:space="0" w:color="auto"/>
                              </w:divBdr>
                              <w:divsChild>
                                <w:div w:id="392776031">
                                  <w:marLeft w:val="0"/>
                                  <w:marRight w:val="0"/>
                                  <w:marTop w:val="0"/>
                                  <w:marBottom w:val="0"/>
                                  <w:divBdr>
                                    <w:top w:val="none" w:sz="0" w:space="0" w:color="auto"/>
                                    <w:left w:val="none" w:sz="0" w:space="0" w:color="auto"/>
                                    <w:bottom w:val="none" w:sz="0" w:space="0" w:color="auto"/>
                                    <w:right w:val="none" w:sz="0" w:space="0" w:color="auto"/>
                                  </w:divBdr>
                                  <w:divsChild>
                                    <w:div w:id="1779565728">
                                      <w:marLeft w:val="0"/>
                                      <w:marRight w:val="0"/>
                                      <w:marTop w:val="0"/>
                                      <w:marBottom w:val="0"/>
                                      <w:divBdr>
                                        <w:top w:val="none" w:sz="0" w:space="0" w:color="auto"/>
                                        <w:left w:val="none" w:sz="0" w:space="0" w:color="auto"/>
                                        <w:bottom w:val="none" w:sz="0" w:space="0" w:color="auto"/>
                                        <w:right w:val="none" w:sz="0" w:space="0" w:color="auto"/>
                                      </w:divBdr>
                                      <w:divsChild>
                                        <w:div w:id="58679495">
                                          <w:marLeft w:val="0"/>
                                          <w:marRight w:val="0"/>
                                          <w:marTop w:val="0"/>
                                          <w:marBottom w:val="0"/>
                                          <w:divBdr>
                                            <w:top w:val="none" w:sz="0" w:space="0" w:color="auto"/>
                                            <w:left w:val="none" w:sz="0" w:space="0" w:color="auto"/>
                                            <w:bottom w:val="none" w:sz="0" w:space="0" w:color="auto"/>
                                            <w:right w:val="none" w:sz="0" w:space="0" w:color="auto"/>
                                          </w:divBdr>
                                          <w:divsChild>
                                            <w:div w:id="1823539517">
                                              <w:marLeft w:val="0"/>
                                              <w:marRight w:val="0"/>
                                              <w:marTop w:val="0"/>
                                              <w:marBottom w:val="0"/>
                                              <w:divBdr>
                                                <w:top w:val="none" w:sz="0" w:space="0" w:color="auto"/>
                                                <w:left w:val="none" w:sz="0" w:space="0" w:color="auto"/>
                                                <w:bottom w:val="none" w:sz="0" w:space="0" w:color="auto"/>
                                                <w:right w:val="none" w:sz="0" w:space="0" w:color="auto"/>
                                              </w:divBdr>
                                              <w:divsChild>
                                                <w:div w:id="18040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EA652-867D-4EAF-80C5-A7A9B8DCFEB1}">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31147E-723A-4FAE-A36B-BDE361A90B78}">
  <ds:schemaRefs>
    <ds:schemaRef ds:uri="http://schemas.microsoft.com/sharepoint/v3/contenttype/forms"/>
  </ds:schemaRefs>
</ds:datastoreItem>
</file>

<file path=customXml/itemProps3.xml><?xml version="1.0" encoding="utf-8"?>
<ds:datastoreItem xmlns:ds="http://schemas.openxmlformats.org/officeDocument/2006/customXml" ds:itemID="{A77DE66B-B71E-49AD-822D-7A54E5C61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XCo Explanatory Memorandum - General.dotx</Template>
  <TotalTime>0</TotalTime>
  <Pages>13</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27878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McGee, Frances</dc:creator>
  <cp:lastModifiedBy>Hilhorst, Matt</cp:lastModifiedBy>
  <cp:revision>2</cp:revision>
  <cp:lastPrinted>2012-11-27T23:21:00Z</cp:lastPrinted>
  <dcterms:created xsi:type="dcterms:W3CDTF">2013-02-12T02:08:00Z</dcterms:created>
  <dcterms:modified xsi:type="dcterms:W3CDTF">2013-02-12T02:08:00Z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0x010100E726210826AA43828690450C811EB923009CA11FFD1E014DF4B1FA162D0F61129800080350834F0B46469CE5D2ECAC346F75</vt:lpwstr>
  </property>
</Properties>
</file>