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B8" w:rsidRPr="002E3474" w:rsidRDefault="002661B8" w:rsidP="002661B8">
      <w:pPr>
        <w:rPr>
          <w:noProof/>
          <w:sz w:val="20"/>
          <w:lang w:eastAsia="en-AU"/>
        </w:rPr>
      </w:pPr>
      <w:r w:rsidRPr="00BD170F">
        <w:rPr>
          <w:noProof/>
          <w:lang w:eastAsia="en-GB" w:bidi="ar-SA"/>
        </w:rPr>
        <w:drawing>
          <wp:inline distT="0" distB="0" distL="0" distR="0" wp14:anchorId="50CDED64" wp14:editId="0718EE32">
            <wp:extent cx="2657475" cy="438150"/>
            <wp:effectExtent l="0" t="0" r="9525" b="0"/>
            <wp:docPr id="9"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661B8" w:rsidRPr="00F0153C" w:rsidRDefault="002661B8" w:rsidP="00F0153C">
      <w:pPr>
        <w:rPr>
          <w:sz w:val="20"/>
          <w:szCs w:val="20"/>
        </w:rPr>
      </w:pPr>
    </w:p>
    <w:p w:rsidR="002661B8" w:rsidRPr="00BD170F" w:rsidRDefault="002661B8" w:rsidP="002661B8">
      <w:pPr>
        <w:pBdr>
          <w:bottom w:val="single" w:sz="4" w:space="1" w:color="auto"/>
        </w:pBdr>
        <w:rPr>
          <w:b/>
          <w:sz w:val="20"/>
          <w:szCs w:val="20"/>
        </w:rPr>
      </w:pPr>
      <w:r w:rsidRPr="00BD170F">
        <w:rPr>
          <w:b/>
          <w:sz w:val="20"/>
          <w:szCs w:val="20"/>
        </w:rPr>
        <w:t>Food Standards (Proposal 1023 –</w:t>
      </w:r>
      <w:r w:rsidRPr="002E3474">
        <w:rPr>
          <w:sz w:val="20"/>
          <w:szCs w:val="20"/>
        </w:rPr>
        <w:t xml:space="preserve"> </w:t>
      </w:r>
      <w:r w:rsidRPr="00BD170F">
        <w:rPr>
          <w:b/>
          <w:sz w:val="20"/>
          <w:szCs w:val="20"/>
        </w:rPr>
        <w:t>Tutin, Tocopherols &amp; Food for Special Medical Purposes Standards Amendments) Variation</w:t>
      </w:r>
    </w:p>
    <w:p w:rsidR="002661B8" w:rsidRPr="00BD170F" w:rsidRDefault="002661B8" w:rsidP="002661B8">
      <w:pPr>
        <w:rPr>
          <w:sz w:val="20"/>
          <w:szCs w:val="20"/>
        </w:rPr>
      </w:pPr>
    </w:p>
    <w:p w:rsidR="002661B8" w:rsidRPr="002E3474" w:rsidRDefault="002661B8" w:rsidP="002661B8">
      <w:pPr>
        <w:rPr>
          <w:sz w:val="20"/>
          <w:szCs w:val="20"/>
        </w:rPr>
      </w:pPr>
      <w:r w:rsidRPr="002E3474">
        <w:rPr>
          <w:sz w:val="20"/>
          <w:szCs w:val="20"/>
        </w:rPr>
        <w:t xml:space="preserve">The Board of Food Standards Australia New Zealand gives notice of the making of this variation under section 92 of the </w:t>
      </w:r>
      <w:r w:rsidRPr="002E3474">
        <w:rPr>
          <w:i/>
          <w:sz w:val="20"/>
          <w:szCs w:val="20"/>
        </w:rPr>
        <w:t>Food Standards Australia New Zealand Act 1991</w:t>
      </w:r>
      <w:r w:rsidRPr="002E3474">
        <w:rPr>
          <w:sz w:val="20"/>
          <w:szCs w:val="20"/>
        </w:rPr>
        <w:t>. The variation commences on the date specified in clause 3 of this instrument.</w:t>
      </w:r>
    </w:p>
    <w:p w:rsidR="002661B8" w:rsidRPr="002E3474" w:rsidRDefault="002661B8" w:rsidP="002661B8">
      <w:pPr>
        <w:rPr>
          <w:sz w:val="20"/>
          <w:szCs w:val="20"/>
        </w:rPr>
      </w:pPr>
    </w:p>
    <w:p w:rsidR="002661B8" w:rsidRPr="002E3474" w:rsidRDefault="002661B8" w:rsidP="002661B8">
      <w:pPr>
        <w:rPr>
          <w:sz w:val="20"/>
          <w:szCs w:val="20"/>
        </w:rPr>
      </w:pPr>
      <w:r w:rsidRPr="002E3474">
        <w:rPr>
          <w:sz w:val="20"/>
          <w:szCs w:val="20"/>
        </w:rPr>
        <w:t xml:space="preserve">Dated </w:t>
      </w:r>
      <w:r w:rsidR="00351050">
        <w:rPr>
          <w:sz w:val="20"/>
          <w:szCs w:val="20"/>
        </w:rPr>
        <w:t>15 February 2013</w:t>
      </w:r>
      <w:r w:rsidRPr="002E3474">
        <w:rPr>
          <w:sz w:val="20"/>
          <w:szCs w:val="20"/>
        </w:rPr>
        <w:t xml:space="preserve"> </w:t>
      </w:r>
    </w:p>
    <w:p w:rsidR="002661B8" w:rsidRPr="002E3474" w:rsidRDefault="00F0153C" w:rsidP="002661B8">
      <w:pPr>
        <w:rPr>
          <w:sz w:val="20"/>
          <w:szCs w:val="20"/>
        </w:rPr>
      </w:pPr>
      <w:bookmarkStart w:id="0" w:name="_GoBack"/>
      <w:r w:rsidRPr="00C6266D">
        <w:rPr>
          <w:rFonts w:eastAsiaTheme="minorHAnsi" w:cstheme="minorBidi"/>
          <w:noProof/>
          <w:lang w:eastAsia="en-GB" w:bidi="ar-SA"/>
        </w:rPr>
        <w:drawing>
          <wp:inline distT="0" distB="0" distL="0" distR="0" wp14:anchorId="718C4037" wp14:editId="2C88805B">
            <wp:extent cx="1343025" cy="787400"/>
            <wp:effectExtent l="0" t="0" r="9525" b="0"/>
            <wp:docPr id="1" name="Picture 1"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bookmarkEnd w:id="0"/>
    </w:p>
    <w:p w:rsidR="002661B8" w:rsidRPr="002E3474" w:rsidRDefault="002661B8" w:rsidP="002661B8">
      <w:pPr>
        <w:rPr>
          <w:sz w:val="20"/>
          <w:szCs w:val="20"/>
        </w:rPr>
      </w:pPr>
      <w:r w:rsidRPr="002E3474">
        <w:rPr>
          <w:sz w:val="20"/>
          <w:szCs w:val="20"/>
        </w:rPr>
        <w:t>Standards Management Officer</w:t>
      </w:r>
    </w:p>
    <w:p w:rsidR="002661B8" w:rsidRPr="002E3474" w:rsidRDefault="002661B8" w:rsidP="002661B8">
      <w:pPr>
        <w:rPr>
          <w:sz w:val="20"/>
          <w:szCs w:val="20"/>
        </w:rPr>
      </w:pPr>
      <w:r w:rsidRPr="002E3474">
        <w:rPr>
          <w:sz w:val="20"/>
          <w:szCs w:val="20"/>
        </w:rPr>
        <w:t>Delegate of the Board of Food Standards Australia New Zealand</w:t>
      </w:r>
    </w:p>
    <w:p w:rsidR="002661B8" w:rsidRPr="002E3474" w:rsidRDefault="002661B8" w:rsidP="002661B8">
      <w:pPr>
        <w:rPr>
          <w:sz w:val="20"/>
          <w:szCs w:val="20"/>
        </w:rPr>
      </w:pPr>
    </w:p>
    <w:p w:rsidR="002661B8" w:rsidRPr="00BD170F" w:rsidRDefault="002661B8" w:rsidP="002661B8">
      <w:pPr>
        <w:widowControl/>
      </w:pPr>
      <w:r w:rsidRPr="00BD170F">
        <w:br w:type="page"/>
      </w:r>
    </w:p>
    <w:p w:rsidR="002661B8" w:rsidRPr="00BD170F" w:rsidRDefault="002661B8" w:rsidP="002661B8">
      <w:pPr>
        <w:pStyle w:val="Clauseheading"/>
        <w:rPr>
          <w:rFonts w:cs="Arial"/>
        </w:rPr>
      </w:pPr>
      <w:r w:rsidRPr="00BD170F">
        <w:rPr>
          <w:rFonts w:cs="Arial"/>
        </w:rPr>
        <w:lastRenderedPageBreak/>
        <w:t>1</w:t>
      </w:r>
      <w:r w:rsidRPr="00BD170F">
        <w:rPr>
          <w:rFonts w:cs="Arial"/>
        </w:rPr>
        <w:tab/>
        <w:t>Name</w:t>
      </w:r>
    </w:p>
    <w:p w:rsidR="002661B8" w:rsidRPr="00BD170F" w:rsidRDefault="002661B8" w:rsidP="002661B8">
      <w:pPr>
        <w:pStyle w:val="Clause"/>
        <w:rPr>
          <w:rFonts w:cs="Arial"/>
        </w:rPr>
      </w:pPr>
    </w:p>
    <w:p w:rsidR="002661B8" w:rsidRPr="00BD170F" w:rsidRDefault="002661B8" w:rsidP="002661B8">
      <w:pPr>
        <w:pStyle w:val="Clause"/>
        <w:rPr>
          <w:rFonts w:cs="Arial"/>
        </w:rPr>
      </w:pPr>
      <w:r w:rsidRPr="00BD170F">
        <w:rPr>
          <w:rFonts w:cs="Arial"/>
        </w:rPr>
        <w:t xml:space="preserve">This instrument is the </w:t>
      </w:r>
      <w:r w:rsidRPr="00BD170F">
        <w:rPr>
          <w:rFonts w:cs="Arial"/>
          <w:i/>
        </w:rPr>
        <w:t>Food Standards (Proposal 1023 – Tutin, Tocopherols &amp; Food for Special Medical Purposes Standards Amendments) Variation.</w:t>
      </w:r>
      <w:r w:rsidRPr="00BD170F">
        <w:rPr>
          <w:rFonts w:cs="Arial"/>
        </w:rPr>
        <w:t xml:space="preserve"> </w:t>
      </w:r>
    </w:p>
    <w:p w:rsidR="002661B8" w:rsidRPr="00BD170F" w:rsidRDefault="002661B8" w:rsidP="002661B8">
      <w:pPr>
        <w:pStyle w:val="Clause"/>
        <w:rPr>
          <w:rFonts w:cs="Arial"/>
        </w:rPr>
      </w:pPr>
    </w:p>
    <w:p w:rsidR="002661B8" w:rsidRPr="00BD170F" w:rsidRDefault="002661B8" w:rsidP="002661B8">
      <w:pPr>
        <w:pStyle w:val="Clauseheading"/>
        <w:rPr>
          <w:rFonts w:cs="Arial"/>
        </w:rPr>
      </w:pPr>
      <w:r w:rsidRPr="00BD170F">
        <w:rPr>
          <w:rFonts w:cs="Arial"/>
        </w:rPr>
        <w:t>2.</w:t>
      </w:r>
      <w:r w:rsidRPr="00BD170F">
        <w:rPr>
          <w:rFonts w:cs="Arial"/>
        </w:rPr>
        <w:tab/>
        <w:t xml:space="preserve">Variation to Standards in the </w:t>
      </w:r>
      <w:r w:rsidRPr="00BD170F">
        <w:rPr>
          <w:rFonts w:cs="Arial"/>
          <w:i/>
        </w:rPr>
        <w:t>Australia New Zealand Food Standards Code</w:t>
      </w:r>
    </w:p>
    <w:p w:rsidR="002661B8" w:rsidRPr="00BD170F" w:rsidRDefault="002661B8" w:rsidP="002661B8">
      <w:pPr>
        <w:pStyle w:val="Clause"/>
        <w:rPr>
          <w:rFonts w:cs="Arial"/>
        </w:rPr>
      </w:pPr>
    </w:p>
    <w:p w:rsidR="002661B8" w:rsidRPr="00BD170F" w:rsidRDefault="002661B8" w:rsidP="002661B8">
      <w:pPr>
        <w:pStyle w:val="Clause"/>
        <w:rPr>
          <w:rFonts w:cs="Arial"/>
        </w:rPr>
      </w:pPr>
      <w:r w:rsidRPr="00BD170F">
        <w:rPr>
          <w:rFonts w:cs="Arial"/>
        </w:rPr>
        <w:t xml:space="preserve">The Schedule varies the Standards in the </w:t>
      </w:r>
      <w:r w:rsidRPr="00BD170F">
        <w:rPr>
          <w:rFonts w:cs="Arial"/>
          <w:i/>
        </w:rPr>
        <w:t>Australia New Zealand Food Standards Code</w:t>
      </w:r>
      <w:r w:rsidRPr="00BD170F">
        <w:rPr>
          <w:rFonts w:cs="Arial"/>
        </w:rPr>
        <w:t>.</w:t>
      </w:r>
    </w:p>
    <w:p w:rsidR="002661B8" w:rsidRPr="00BD170F" w:rsidRDefault="002661B8" w:rsidP="002661B8">
      <w:pPr>
        <w:rPr>
          <w:rFonts w:cs="Arial"/>
          <w:b/>
          <w:sz w:val="20"/>
        </w:rPr>
      </w:pPr>
    </w:p>
    <w:p w:rsidR="002661B8" w:rsidRPr="00BD170F" w:rsidRDefault="002661B8" w:rsidP="002661B8">
      <w:pPr>
        <w:pStyle w:val="Clauseheading"/>
        <w:rPr>
          <w:rFonts w:cs="Arial"/>
        </w:rPr>
      </w:pPr>
      <w:r w:rsidRPr="00BD170F">
        <w:rPr>
          <w:rFonts w:cs="Arial"/>
        </w:rPr>
        <w:t>3.</w:t>
      </w:r>
      <w:r w:rsidRPr="00BD170F">
        <w:rPr>
          <w:rFonts w:cs="Arial"/>
        </w:rPr>
        <w:tab/>
        <w:t>Commencement</w:t>
      </w:r>
    </w:p>
    <w:p w:rsidR="002661B8" w:rsidRPr="00BD170F" w:rsidRDefault="002661B8" w:rsidP="002661B8">
      <w:pPr>
        <w:pStyle w:val="Clause"/>
        <w:rPr>
          <w:rFonts w:cs="Arial"/>
        </w:rPr>
      </w:pPr>
    </w:p>
    <w:p w:rsidR="00351050" w:rsidRPr="00351050" w:rsidRDefault="00351050" w:rsidP="00351050">
      <w:pPr>
        <w:tabs>
          <w:tab w:val="left" w:pos="851"/>
        </w:tabs>
        <w:rPr>
          <w:rFonts w:cs="Arial"/>
          <w:sz w:val="20"/>
          <w:szCs w:val="20"/>
          <w:lang w:bidi="ar-SA"/>
        </w:rPr>
      </w:pPr>
      <w:r w:rsidRPr="00351050">
        <w:rPr>
          <w:rFonts w:cs="Arial"/>
          <w:sz w:val="20"/>
          <w:szCs w:val="20"/>
          <w:lang w:bidi="ar-SA"/>
        </w:rPr>
        <w:t>The variations commence on</w:t>
      </w:r>
      <w:r w:rsidRPr="00351050">
        <w:rPr>
          <w:rFonts w:cs="Arial"/>
          <w:b/>
          <w:sz w:val="20"/>
          <w:szCs w:val="20"/>
          <w:lang w:bidi="ar-SA"/>
        </w:rPr>
        <w:t xml:space="preserve"> </w:t>
      </w:r>
      <w:r w:rsidRPr="00351050">
        <w:rPr>
          <w:rFonts w:cs="Arial"/>
          <w:sz w:val="20"/>
          <w:szCs w:val="20"/>
          <w:lang w:bidi="ar-SA"/>
        </w:rPr>
        <w:t>21 February 2013</w:t>
      </w:r>
      <w:r w:rsidRPr="00351050">
        <w:rPr>
          <w:rFonts w:cs="Arial"/>
          <w:b/>
          <w:i/>
          <w:sz w:val="20"/>
          <w:szCs w:val="20"/>
          <w:lang w:bidi="ar-SA"/>
        </w:rPr>
        <w:t xml:space="preserve"> </w:t>
      </w:r>
      <w:r w:rsidRPr="00351050">
        <w:rPr>
          <w:rFonts w:cs="Arial"/>
          <w:sz w:val="20"/>
          <w:szCs w:val="20"/>
          <w:lang w:bidi="ar-SA"/>
        </w:rPr>
        <w:t>except for Item 1.2 of the Schedule which commences on 21 February 201</w:t>
      </w:r>
      <w:r w:rsidR="003C120F">
        <w:rPr>
          <w:rFonts w:cs="Arial"/>
          <w:sz w:val="20"/>
          <w:szCs w:val="20"/>
          <w:lang w:bidi="ar-SA"/>
        </w:rPr>
        <w:t>5</w:t>
      </w:r>
      <w:r w:rsidRPr="00351050">
        <w:rPr>
          <w:rFonts w:cs="Arial"/>
          <w:sz w:val="20"/>
          <w:szCs w:val="20"/>
          <w:lang w:bidi="ar-SA"/>
        </w:rPr>
        <w:t>.</w:t>
      </w:r>
    </w:p>
    <w:p w:rsidR="002661B8" w:rsidRPr="00BD170F" w:rsidRDefault="002661B8" w:rsidP="002661B8">
      <w:pPr>
        <w:rPr>
          <w:rFonts w:cs="Arial"/>
          <w:sz w:val="20"/>
        </w:rPr>
      </w:pPr>
    </w:p>
    <w:p w:rsidR="002661B8" w:rsidRPr="00BD170F" w:rsidRDefault="002661B8" w:rsidP="002661B8">
      <w:pPr>
        <w:pStyle w:val="ScheduleHeading"/>
        <w:rPr>
          <w:rFonts w:cs="Arial"/>
        </w:rPr>
      </w:pPr>
      <w:r w:rsidRPr="00BD170F">
        <w:rPr>
          <w:rFonts w:cs="Arial"/>
        </w:rPr>
        <w:t xml:space="preserve">SCHEDULE </w:t>
      </w:r>
    </w:p>
    <w:p w:rsidR="002661B8" w:rsidRPr="00BD170F" w:rsidRDefault="002661B8" w:rsidP="002661B8"/>
    <w:p w:rsidR="002661B8" w:rsidRPr="00BD170F" w:rsidRDefault="002661B8" w:rsidP="002661B8">
      <w:pPr>
        <w:pStyle w:val="Clause"/>
        <w:rPr>
          <w:rFonts w:cs="Arial"/>
          <w:b/>
          <w:bCs/>
          <w:iCs/>
        </w:rPr>
      </w:pPr>
      <w:r w:rsidRPr="00F0153C">
        <w:rPr>
          <w:rFonts w:cs="Arial"/>
          <w:bCs/>
          <w:iCs/>
        </w:rPr>
        <w:t>[1]</w:t>
      </w:r>
      <w:r w:rsidRPr="00F0153C">
        <w:rPr>
          <w:rFonts w:cs="Arial"/>
          <w:bCs/>
          <w:iCs/>
        </w:rPr>
        <w:tab/>
        <w:t xml:space="preserve">Standard 1.2.4 </w:t>
      </w:r>
      <w:r w:rsidRPr="00BD170F">
        <w:rPr>
          <w:rFonts w:cs="Arial"/>
          <w:bCs/>
          <w:iCs/>
        </w:rPr>
        <w:t>is varied by</w:t>
      </w:r>
      <w:r w:rsidRPr="00BD170F">
        <w:rPr>
          <w:rFonts w:cs="Arial"/>
          <w:b/>
          <w:bCs/>
          <w:iCs/>
        </w:rPr>
        <w:t xml:space="preserve"> </w:t>
      </w:r>
    </w:p>
    <w:p w:rsidR="002661B8" w:rsidRPr="00BD170F" w:rsidRDefault="002661B8" w:rsidP="002661B8">
      <w:pPr>
        <w:pStyle w:val="Clause"/>
        <w:rPr>
          <w:rFonts w:cs="Arial"/>
          <w:b/>
          <w:bCs/>
          <w:iCs/>
        </w:rPr>
      </w:pPr>
    </w:p>
    <w:p w:rsidR="002661B8" w:rsidRPr="00BD170F" w:rsidRDefault="002661B8" w:rsidP="002661B8">
      <w:pPr>
        <w:pStyle w:val="Clause"/>
        <w:rPr>
          <w:rFonts w:cs="Arial"/>
        </w:rPr>
      </w:pPr>
      <w:r w:rsidRPr="00BD170F">
        <w:rPr>
          <w:rFonts w:cs="Arial"/>
        </w:rPr>
        <w:t>[1.1]</w:t>
      </w:r>
      <w:r w:rsidRPr="00BD170F">
        <w:rPr>
          <w:rFonts w:cs="Arial"/>
        </w:rPr>
        <w:tab/>
        <w:t>inserting into Part 2 of Schedule 2</w:t>
      </w:r>
    </w:p>
    <w:p w:rsidR="002661B8" w:rsidRPr="00BD170F" w:rsidRDefault="002661B8" w:rsidP="002661B8"/>
    <w:tbl>
      <w:tblPr>
        <w:tblW w:w="4111" w:type="dxa"/>
        <w:tblInd w:w="108" w:type="dxa"/>
        <w:tblLook w:val="0000" w:firstRow="0" w:lastRow="0" w:firstColumn="0" w:lastColumn="0" w:noHBand="0" w:noVBand="0"/>
      </w:tblPr>
      <w:tblGrid>
        <w:gridCol w:w="3402"/>
        <w:gridCol w:w="709"/>
      </w:tblGrid>
      <w:tr w:rsidR="002661B8" w:rsidRPr="00BD170F" w:rsidTr="009B698C">
        <w:tc>
          <w:tcPr>
            <w:tcW w:w="3402" w:type="dxa"/>
          </w:tcPr>
          <w:p w:rsidR="002661B8" w:rsidRPr="004A43B2" w:rsidRDefault="002661B8" w:rsidP="009B698C">
            <w:pPr>
              <w:pStyle w:val="Table2"/>
              <w:rPr>
                <w:lang w:bidi="ar-SA"/>
              </w:rPr>
            </w:pPr>
            <w:r w:rsidRPr="004A43B2">
              <w:t>“Tocopherols concentrate, mixed</w:t>
            </w:r>
          </w:p>
        </w:tc>
        <w:tc>
          <w:tcPr>
            <w:tcW w:w="709" w:type="dxa"/>
          </w:tcPr>
          <w:p w:rsidR="002661B8" w:rsidRPr="00255185" w:rsidRDefault="002661B8" w:rsidP="009B698C">
            <w:pPr>
              <w:pStyle w:val="Table2"/>
              <w:rPr>
                <w:lang w:bidi="ar-SA"/>
              </w:rPr>
            </w:pPr>
            <w:r w:rsidRPr="00BB249F">
              <w:t>306”</w:t>
            </w:r>
          </w:p>
        </w:tc>
      </w:tr>
    </w:tbl>
    <w:p w:rsidR="002661B8" w:rsidRPr="00BD170F" w:rsidRDefault="002661B8" w:rsidP="002661B8">
      <w:pPr>
        <w:pStyle w:val="Clause"/>
        <w:rPr>
          <w:rFonts w:cs="Arial"/>
        </w:rPr>
      </w:pPr>
    </w:p>
    <w:p w:rsidR="002661B8" w:rsidRPr="00BD170F" w:rsidRDefault="002661B8" w:rsidP="002661B8">
      <w:pPr>
        <w:pStyle w:val="Clause"/>
        <w:rPr>
          <w:rFonts w:cs="Arial"/>
        </w:rPr>
      </w:pPr>
      <w:r w:rsidRPr="00BD170F">
        <w:rPr>
          <w:rFonts w:cs="Arial"/>
        </w:rPr>
        <w:t>[1.2]</w:t>
      </w:r>
      <w:r w:rsidRPr="00BD170F">
        <w:rPr>
          <w:rFonts w:cs="Arial"/>
        </w:rPr>
        <w:tab/>
        <w:t>omitting from Part 2 of Schedule 2</w:t>
      </w:r>
    </w:p>
    <w:p w:rsidR="002661B8" w:rsidRPr="00BD170F" w:rsidRDefault="002661B8" w:rsidP="002661B8"/>
    <w:tbl>
      <w:tblPr>
        <w:tblW w:w="4111" w:type="dxa"/>
        <w:tblInd w:w="108" w:type="dxa"/>
        <w:tblLook w:val="0000" w:firstRow="0" w:lastRow="0" w:firstColumn="0" w:lastColumn="0" w:noHBand="0" w:noVBand="0"/>
      </w:tblPr>
      <w:tblGrid>
        <w:gridCol w:w="3402"/>
        <w:gridCol w:w="709"/>
      </w:tblGrid>
      <w:tr w:rsidR="002661B8" w:rsidRPr="00BD170F" w:rsidTr="009B698C">
        <w:tc>
          <w:tcPr>
            <w:tcW w:w="3402" w:type="dxa"/>
          </w:tcPr>
          <w:p w:rsidR="002661B8" w:rsidRPr="004A43B2" w:rsidRDefault="002661B8" w:rsidP="009B698C">
            <w:pPr>
              <w:pStyle w:val="Table2"/>
              <w:rPr>
                <w:lang w:bidi="ar-SA"/>
              </w:rPr>
            </w:pPr>
            <w:r w:rsidRPr="004A43B2">
              <w:t>“Tocopherols concentrate, mixed</w:t>
            </w:r>
          </w:p>
        </w:tc>
        <w:tc>
          <w:tcPr>
            <w:tcW w:w="709" w:type="dxa"/>
          </w:tcPr>
          <w:p w:rsidR="002661B8" w:rsidRPr="00255185" w:rsidRDefault="002661B8" w:rsidP="009B698C">
            <w:pPr>
              <w:pStyle w:val="Table2"/>
              <w:rPr>
                <w:color w:val="000000" w:themeColor="text1"/>
                <w:lang w:bidi="ar-SA"/>
              </w:rPr>
            </w:pPr>
            <w:r w:rsidRPr="00BB249F">
              <w:t>306”</w:t>
            </w:r>
          </w:p>
        </w:tc>
      </w:tr>
    </w:tbl>
    <w:p w:rsidR="002661B8" w:rsidRPr="00BD170F" w:rsidRDefault="002661B8" w:rsidP="002661B8">
      <w:pPr>
        <w:rPr>
          <w:rFonts w:cs="Arial"/>
          <w:sz w:val="20"/>
        </w:rPr>
      </w:pPr>
    </w:p>
    <w:p w:rsidR="002661B8" w:rsidRPr="00255185" w:rsidRDefault="002661B8" w:rsidP="002661B8">
      <w:pPr>
        <w:pStyle w:val="Subclause"/>
      </w:pPr>
      <w:r w:rsidRPr="004A43B2">
        <w:t>[1.3]</w:t>
      </w:r>
      <w:r w:rsidRPr="004A43B2">
        <w:tab/>
        <w:t>omitting “Tocopherols, concentrate mixed” (wherever occurring) and substituting “Tocopherols concentrate, mixed”</w:t>
      </w:r>
    </w:p>
    <w:p w:rsidR="002661B8" w:rsidRPr="00BD170F" w:rsidRDefault="002661B8" w:rsidP="002661B8">
      <w:pPr>
        <w:rPr>
          <w:rFonts w:cs="Arial"/>
          <w:sz w:val="20"/>
        </w:rPr>
      </w:pPr>
    </w:p>
    <w:p w:rsidR="002661B8" w:rsidRPr="00AB7C68" w:rsidRDefault="002661B8" w:rsidP="002661B8">
      <w:pPr>
        <w:pStyle w:val="Subclause"/>
      </w:pPr>
      <w:r w:rsidRPr="00AB7C68">
        <w:t>[1.4]</w:t>
      </w:r>
      <w:r w:rsidRPr="00AB7C68">
        <w:tab/>
        <w:t>inserting at the end of Part 1 of Schedule 2</w:t>
      </w:r>
    </w:p>
    <w:p w:rsidR="002661B8" w:rsidRPr="00AB7C68" w:rsidRDefault="002661B8" w:rsidP="002661B8">
      <w:pPr>
        <w:rPr>
          <w:rFonts w:cs="Arial"/>
          <w:sz w:val="20"/>
        </w:rPr>
      </w:pPr>
    </w:p>
    <w:p w:rsidR="002661B8" w:rsidRPr="00AB7C68" w:rsidRDefault="002661B8" w:rsidP="002661B8">
      <w:r w:rsidRPr="00AB7C68">
        <w:t>“</w:t>
      </w:r>
    </w:p>
    <w:p w:rsidR="002661B8" w:rsidRPr="00AB7C68" w:rsidRDefault="002661B8" w:rsidP="002661B8">
      <w:pPr>
        <w:pStyle w:val="EditorialNoteLine1"/>
      </w:pPr>
      <w:r w:rsidRPr="00AB7C68">
        <w:t>Editorial note:</w:t>
      </w:r>
    </w:p>
    <w:p w:rsidR="002661B8" w:rsidRPr="00AB7C68" w:rsidRDefault="002661B8" w:rsidP="002661B8">
      <w:pPr>
        <w:pStyle w:val="EditorialNotetext"/>
      </w:pPr>
    </w:p>
    <w:p w:rsidR="002661B8" w:rsidRPr="00BD170F" w:rsidRDefault="002661B8" w:rsidP="002661B8">
      <w:pPr>
        <w:pStyle w:val="EditorialNotetext"/>
      </w:pPr>
      <w:r w:rsidRPr="00AB7C68">
        <w:t>The permissions for food additive Tocopherols concentrate, mixed with INS Number 306 will be repealed 2 years after the date of gazettal of the Food Standards (Proposal P1021 – Code Maintenance X)</w:t>
      </w:r>
      <w:r w:rsidRPr="00AB7C68">
        <w:rPr>
          <w:b/>
        </w:rPr>
        <w:t xml:space="preserve"> </w:t>
      </w:r>
      <w:r w:rsidRPr="00AB7C68">
        <w:t>Variation</w:t>
      </w:r>
      <w:r w:rsidRPr="00BD170F">
        <w:t>.</w:t>
      </w:r>
    </w:p>
    <w:p w:rsidR="002661B8" w:rsidRPr="00BD170F" w:rsidRDefault="002661B8" w:rsidP="002661B8">
      <w:pPr>
        <w:jc w:val="right"/>
      </w:pPr>
      <w:r w:rsidRPr="00BD170F">
        <w:t>”</w:t>
      </w:r>
    </w:p>
    <w:p w:rsidR="002661B8" w:rsidRPr="004A43B2" w:rsidRDefault="002661B8" w:rsidP="002661B8">
      <w:pPr>
        <w:pStyle w:val="Subclause"/>
      </w:pPr>
      <w:r w:rsidRPr="004A43B2">
        <w:t>[1.5]</w:t>
      </w:r>
      <w:r w:rsidRPr="004A43B2">
        <w:tab/>
        <w:t>omitting from the end of Schedule 1</w:t>
      </w:r>
    </w:p>
    <w:p w:rsidR="002661B8" w:rsidRPr="00BD170F" w:rsidRDefault="002661B8" w:rsidP="002661B8">
      <w:pPr>
        <w:pStyle w:val="Clause"/>
        <w:rPr>
          <w:rFonts w:cs="Arial"/>
          <w:b/>
          <w:bCs/>
          <w:iCs/>
        </w:rPr>
      </w:pPr>
    </w:p>
    <w:p w:rsidR="002661B8" w:rsidRPr="00BD170F" w:rsidRDefault="002661B8" w:rsidP="002661B8">
      <w:r w:rsidRPr="00BD170F">
        <w:t>“</w:t>
      </w:r>
    </w:p>
    <w:p w:rsidR="002661B8" w:rsidRPr="00BD170F" w:rsidRDefault="002661B8" w:rsidP="002661B8">
      <w:pPr>
        <w:pStyle w:val="EditorialNoteLine1"/>
      </w:pPr>
      <w:r w:rsidRPr="00BD170F">
        <w:t>Editorial note:</w:t>
      </w:r>
    </w:p>
    <w:p w:rsidR="002661B8" w:rsidRPr="00BD170F" w:rsidRDefault="002661B8" w:rsidP="002661B8">
      <w:pPr>
        <w:pStyle w:val="EditorialNotetext"/>
      </w:pPr>
    </w:p>
    <w:p w:rsidR="002661B8" w:rsidRPr="00BD170F" w:rsidRDefault="002661B8" w:rsidP="002661B8">
      <w:pPr>
        <w:pStyle w:val="EditorialNotetext"/>
      </w:pPr>
      <w:r w:rsidRPr="00BD170F">
        <w:t xml:space="preserve">The permissions for food additive Tocopherols, concentrate mixed with INS Number 306 will be repealed </w:t>
      </w:r>
      <w:r w:rsidRPr="005A4509">
        <w:t>2 years</w:t>
      </w:r>
      <w:r w:rsidRPr="00BD170F">
        <w:t xml:space="preserve"> after the date of gazettal of the Food Standards (Proposal P1021 – Code Maintenance X)</w:t>
      </w:r>
      <w:r w:rsidRPr="00BD170F">
        <w:rPr>
          <w:b/>
        </w:rPr>
        <w:t xml:space="preserve"> </w:t>
      </w:r>
      <w:r w:rsidRPr="00BD170F">
        <w:t>Variation.</w:t>
      </w:r>
    </w:p>
    <w:p w:rsidR="002661B8" w:rsidRPr="00BD170F" w:rsidRDefault="002661B8" w:rsidP="002661B8">
      <w:pPr>
        <w:jc w:val="right"/>
      </w:pPr>
      <w:r w:rsidRPr="00BD170F">
        <w:t>”</w:t>
      </w:r>
    </w:p>
    <w:p w:rsidR="002661B8" w:rsidRPr="004A43B2" w:rsidRDefault="002661B8" w:rsidP="002661B8">
      <w:pPr>
        <w:pStyle w:val="Subclause"/>
      </w:pPr>
      <w:r w:rsidRPr="004A43B2">
        <w:t>[1.6]</w:t>
      </w:r>
      <w:r w:rsidRPr="004A43B2">
        <w:tab/>
        <w:t>inserting at the end of Part 2 of Schedule 2</w:t>
      </w:r>
    </w:p>
    <w:p w:rsidR="002661B8" w:rsidRPr="00BD170F" w:rsidRDefault="002661B8" w:rsidP="002661B8">
      <w:pPr>
        <w:rPr>
          <w:sz w:val="20"/>
        </w:rPr>
      </w:pPr>
    </w:p>
    <w:p w:rsidR="002661B8" w:rsidRPr="00BD170F" w:rsidRDefault="002661B8" w:rsidP="002661B8">
      <w:r w:rsidRPr="00BD170F">
        <w:t>“</w:t>
      </w:r>
    </w:p>
    <w:p w:rsidR="002661B8" w:rsidRPr="00BD170F" w:rsidRDefault="002661B8" w:rsidP="002661B8">
      <w:pPr>
        <w:pStyle w:val="EditorialNoteLine1"/>
      </w:pPr>
      <w:r w:rsidRPr="00BD170F">
        <w:t>Editorial note:</w:t>
      </w:r>
    </w:p>
    <w:p w:rsidR="002661B8" w:rsidRPr="00BD170F" w:rsidRDefault="002661B8" w:rsidP="002661B8">
      <w:pPr>
        <w:pStyle w:val="EditorialNotetext"/>
      </w:pPr>
    </w:p>
    <w:p w:rsidR="002661B8" w:rsidRPr="00BD170F" w:rsidRDefault="002661B8" w:rsidP="002661B8">
      <w:pPr>
        <w:pStyle w:val="EditorialNotetext"/>
      </w:pPr>
      <w:r w:rsidRPr="00BD170F">
        <w:t xml:space="preserve">The permissions for food additive Tocopherols concentrate, mixed with INS Number 306 will be repealed </w:t>
      </w:r>
      <w:r w:rsidRPr="005A4509">
        <w:t>2 years</w:t>
      </w:r>
      <w:r w:rsidRPr="00BD170F">
        <w:t xml:space="preserve"> after the date of gazettal of the Food Standards (Proposal P1021 – Code Maintenance X)</w:t>
      </w:r>
      <w:r w:rsidRPr="00BD170F">
        <w:rPr>
          <w:b/>
        </w:rPr>
        <w:t xml:space="preserve"> </w:t>
      </w:r>
      <w:r w:rsidRPr="00BD170F">
        <w:t>Variation.</w:t>
      </w:r>
    </w:p>
    <w:p w:rsidR="002661B8" w:rsidRPr="00BD170F" w:rsidRDefault="002661B8" w:rsidP="002661B8">
      <w:pPr>
        <w:jc w:val="right"/>
      </w:pPr>
      <w:r w:rsidRPr="00BD170F">
        <w:t>”</w:t>
      </w:r>
    </w:p>
    <w:p w:rsidR="002661B8" w:rsidRPr="00255185" w:rsidRDefault="002661B8" w:rsidP="002661B8">
      <w:pPr>
        <w:pStyle w:val="Clause"/>
        <w:rPr>
          <w:rFonts w:cs="Arial"/>
        </w:rPr>
      </w:pPr>
      <w:r w:rsidRPr="00F0153C">
        <w:rPr>
          <w:rFonts w:cs="Arial"/>
          <w:bCs/>
          <w:iCs/>
        </w:rPr>
        <w:t>[2]</w:t>
      </w:r>
      <w:r w:rsidRPr="00F0153C">
        <w:rPr>
          <w:rFonts w:cs="Arial"/>
          <w:bCs/>
          <w:iCs/>
        </w:rPr>
        <w:tab/>
        <w:t>Standard 1.3.1</w:t>
      </w:r>
      <w:r w:rsidRPr="00BD170F">
        <w:rPr>
          <w:rFonts w:cs="Arial"/>
          <w:b/>
          <w:bCs/>
          <w:iCs/>
        </w:rPr>
        <w:t xml:space="preserve"> </w:t>
      </w:r>
      <w:r w:rsidRPr="00BD170F">
        <w:rPr>
          <w:rFonts w:cs="Arial"/>
          <w:bCs/>
          <w:iCs/>
        </w:rPr>
        <w:t>is varied by</w:t>
      </w:r>
      <w:r w:rsidRPr="00BD170F">
        <w:rPr>
          <w:rFonts w:cs="Arial"/>
          <w:b/>
          <w:bCs/>
          <w:iCs/>
        </w:rPr>
        <w:t xml:space="preserve"> </w:t>
      </w:r>
      <w:r w:rsidRPr="004A43B2">
        <w:rPr>
          <w:rFonts w:cs="Arial"/>
        </w:rPr>
        <w:t>omitting “Tocopherols, concentrate mixed” (</w:t>
      </w:r>
      <w:r>
        <w:rPr>
          <w:rFonts w:cs="Arial"/>
        </w:rPr>
        <w:t>wherever</w:t>
      </w:r>
      <w:r w:rsidRPr="004A43B2">
        <w:rPr>
          <w:rFonts w:cs="Arial"/>
        </w:rPr>
        <w:t xml:space="preserve"> occurring) and substituting “Tocopherols concentrate, mixed”</w:t>
      </w:r>
    </w:p>
    <w:p w:rsidR="00F0153C" w:rsidRDefault="00F0153C" w:rsidP="00F0153C">
      <w:pPr>
        <w:pStyle w:val="Clause"/>
        <w:rPr>
          <w:rFonts w:cs="Arial"/>
          <w:b/>
          <w:bCs/>
          <w:iCs/>
        </w:rPr>
      </w:pPr>
      <w:r>
        <w:rPr>
          <w:rFonts w:cs="Arial"/>
          <w:b/>
          <w:bCs/>
          <w:iCs/>
        </w:rPr>
        <w:br w:type="page"/>
      </w:r>
    </w:p>
    <w:p w:rsidR="002661B8" w:rsidRPr="00BD170F" w:rsidRDefault="002661B8" w:rsidP="002661B8">
      <w:pPr>
        <w:pStyle w:val="Clause"/>
        <w:rPr>
          <w:rFonts w:cs="Arial"/>
        </w:rPr>
      </w:pPr>
      <w:r w:rsidRPr="00F0153C">
        <w:rPr>
          <w:rFonts w:cs="Arial"/>
          <w:bCs/>
          <w:iCs/>
        </w:rPr>
        <w:lastRenderedPageBreak/>
        <w:t>[3]</w:t>
      </w:r>
      <w:r w:rsidRPr="00F0153C">
        <w:rPr>
          <w:rFonts w:cs="Arial"/>
          <w:bCs/>
          <w:i/>
          <w:iCs/>
        </w:rPr>
        <w:tab/>
      </w:r>
      <w:r w:rsidRPr="00F0153C">
        <w:rPr>
          <w:rFonts w:cs="Arial"/>
          <w:bCs/>
          <w:iCs/>
        </w:rPr>
        <w:t>Standard 1.4.1</w:t>
      </w:r>
      <w:r w:rsidRPr="00BD170F">
        <w:rPr>
          <w:rFonts w:cs="Arial"/>
          <w:b/>
          <w:bCs/>
          <w:i/>
          <w:iCs/>
        </w:rPr>
        <w:t xml:space="preserve"> </w:t>
      </w:r>
      <w:r w:rsidRPr="00BD170F">
        <w:rPr>
          <w:rFonts w:cs="Arial"/>
        </w:rPr>
        <w:t xml:space="preserve">is varied by omitting from subclause 5(5) “31 March 2013” and substituting </w:t>
      </w:r>
      <w:r w:rsidRPr="00BD170F">
        <w:rPr>
          <w:rFonts w:cs="Arial"/>
          <w:i/>
        </w:rPr>
        <w:t>“</w:t>
      </w:r>
      <w:r w:rsidRPr="00BD170F">
        <w:rPr>
          <w:rFonts w:cs="Arial"/>
        </w:rPr>
        <w:t>31 March 2015</w:t>
      </w:r>
      <w:r w:rsidRPr="00BD170F">
        <w:rPr>
          <w:rFonts w:cs="Arial"/>
          <w:i/>
        </w:rPr>
        <w:t>”.</w:t>
      </w:r>
    </w:p>
    <w:p w:rsidR="002661B8" w:rsidRPr="00BD170F" w:rsidRDefault="002661B8" w:rsidP="002661B8">
      <w:pPr>
        <w:rPr>
          <w:rFonts w:cs="Arial"/>
          <w:sz w:val="20"/>
        </w:rPr>
      </w:pPr>
    </w:p>
    <w:p w:rsidR="002661B8" w:rsidRDefault="002661B8" w:rsidP="002661B8">
      <w:pPr>
        <w:pStyle w:val="Clause"/>
        <w:rPr>
          <w:rFonts w:cs="Arial"/>
        </w:rPr>
      </w:pPr>
      <w:r w:rsidRPr="00F0153C">
        <w:rPr>
          <w:rFonts w:cs="Arial"/>
        </w:rPr>
        <w:t>[4]</w:t>
      </w:r>
      <w:r w:rsidRPr="00F0153C">
        <w:rPr>
          <w:rFonts w:cs="Arial"/>
        </w:rPr>
        <w:tab/>
        <w:t>Standard 1.5.1</w:t>
      </w:r>
      <w:r w:rsidRPr="00BD170F">
        <w:rPr>
          <w:rFonts w:cs="Arial"/>
        </w:rPr>
        <w:t xml:space="preserve"> is varied by </w:t>
      </w:r>
    </w:p>
    <w:p w:rsidR="002661B8" w:rsidRDefault="002661B8" w:rsidP="002661B8">
      <w:pPr>
        <w:pStyle w:val="Clause"/>
        <w:rPr>
          <w:rFonts w:cs="Arial"/>
        </w:rPr>
      </w:pPr>
    </w:p>
    <w:p w:rsidR="002661B8" w:rsidRPr="00BD170F" w:rsidRDefault="002661B8" w:rsidP="002661B8">
      <w:pPr>
        <w:pStyle w:val="Clause"/>
        <w:rPr>
          <w:rFonts w:cs="Arial"/>
        </w:rPr>
      </w:pPr>
      <w:r>
        <w:rPr>
          <w:rFonts w:cs="Arial"/>
        </w:rPr>
        <w:t xml:space="preserve">[4.1] </w:t>
      </w:r>
      <w:r>
        <w:rPr>
          <w:rFonts w:cs="Arial"/>
        </w:rPr>
        <w:tab/>
      </w:r>
      <w:r w:rsidRPr="00BD170F">
        <w:rPr>
          <w:rFonts w:cs="Arial"/>
        </w:rPr>
        <w:t>inserting after clause 1</w:t>
      </w:r>
    </w:p>
    <w:p w:rsidR="002661B8" w:rsidRPr="00BD170F" w:rsidRDefault="002661B8" w:rsidP="002661B8">
      <w:pPr>
        <w:rPr>
          <w:rFonts w:cs="Arial"/>
          <w:b/>
          <w:bCs/>
          <w:sz w:val="20"/>
        </w:rPr>
      </w:pPr>
    </w:p>
    <w:p w:rsidR="002661B8" w:rsidRPr="004A43B2" w:rsidRDefault="002661B8" w:rsidP="002661B8">
      <w:pPr>
        <w:pStyle w:val="Clauseheading"/>
      </w:pPr>
      <w:r w:rsidRPr="004A43B2">
        <w:t xml:space="preserve">“2A </w:t>
      </w:r>
      <w:r w:rsidRPr="004A43B2">
        <w:tab/>
        <w:t>Foods for Special Medical Purposes</w:t>
      </w:r>
    </w:p>
    <w:p w:rsidR="002661B8" w:rsidRPr="00BD170F" w:rsidRDefault="002661B8" w:rsidP="002661B8">
      <w:pPr>
        <w:rPr>
          <w:rFonts w:cs="Arial"/>
          <w:bCs/>
          <w:sz w:val="20"/>
        </w:rPr>
      </w:pPr>
    </w:p>
    <w:p w:rsidR="002661B8" w:rsidRPr="00BD170F" w:rsidRDefault="002661B8" w:rsidP="002661B8">
      <w:pPr>
        <w:rPr>
          <w:rFonts w:cs="Arial"/>
          <w:bCs/>
          <w:sz w:val="20"/>
        </w:rPr>
      </w:pPr>
      <w:r w:rsidRPr="00BD170F">
        <w:rPr>
          <w:rFonts w:cs="Arial"/>
          <w:bCs/>
          <w:sz w:val="20"/>
        </w:rPr>
        <w:t xml:space="preserve">To avoid doubt, the presence of a food in a food for special medical purposes or the use of a food as a food for special medical purposes </w:t>
      </w:r>
      <w:r>
        <w:rPr>
          <w:rFonts w:cs="Arial"/>
          <w:bCs/>
          <w:sz w:val="20"/>
        </w:rPr>
        <w:t xml:space="preserve">does </w:t>
      </w:r>
      <w:r w:rsidRPr="00BD170F">
        <w:rPr>
          <w:rFonts w:cs="Arial"/>
          <w:bCs/>
          <w:sz w:val="20"/>
        </w:rPr>
        <w:t>not constitute a history of human consumption in Australia or New Zealand in relation to that food for the purposes of this Standard.</w:t>
      </w:r>
    </w:p>
    <w:p w:rsidR="002661B8" w:rsidRPr="00BD170F" w:rsidRDefault="002661B8" w:rsidP="002661B8">
      <w:pPr>
        <w:rPr>
          <w:rFonts w:cs="Arial"/>
          <w:bCs/>
          <w:sz w:val="20"/>
        </w:rPr>
      </w:pPr>
    </w:p>
    <w:p w:rsidR="002661B8" w:rsidRPr="00BD170F" w:rsidRDefault="002661B8" w:rsidP="002661B8">
      <w:pPr>
        <w:pStyle w:val="EditorialNoteLine1"/>
        <w:rPr>
          <w:rFonts w:cs="Arial"/>
        </w:rPr>
      </w:pPr>
      <w:r w:rsidRPr="00BD170F">
        <w:rPr>
          <w:rFonts w:cs="Arial"/>
        </w:rPr>
        <w:t xml:space="preserve">Editorial note: </w:t>
      </w:r>
    </w:p>
    <w:p w:rsidR="002661B8" w:rsidRPr="00BD170F" w:rsidRDefault="002661B8" w:rsidP="002661B8">
      <w:pPr>
        <w:pStyle w:val="EditorialNoteLine1"/>
        <w:rPr>
          <w:rFonts w:cs="Arial"/>
        </w:rPr>
      </w:pPr>
    </w:p>
    <w:p w:rsidR="002661B8" w:rsidRPr="00BD170F" w:rsidRDefault="002661B8" w:rsidP="002661B8">
      <w:pPr>
        <w:pStyle w:val="EditorialNotetext"/>
        <w:rPr>
          <w:rFonts w:cs="Arial"/>
        </w:rPr>
      </w:pPr>
      <w:r w:rsidRPr="00BD170F">
        <w:rPr>
          <w:rFonts w:cs="Arial"/>
        </w:rPr>
        <w:t>Standard 1.5.1 does not apply to foods for special medical purposes. See paragraph 3(1</w:t>
      </w:r>
      <w:proofErr w:type="gramStart"/>
      <w:r w:rsidRPr="00BD170F">
        <w:rPr>
          <w:rFonts w:cs="Arial"/>
        </w:rPr>
        <w:t>)(</w:t>
      </w:r>
      <w:proofErr w:type="gramEnd"/>
      <w:r w:rsidRPr="00BD170F">
        <w:rPr>
          <w:rFonts w:cs="Arial"/>
        </w:rPr>
        <w:t>b) of Standard 2.9.5.</w:t>
      </w:r>
    </w:p>
    <w:p w:rsidR="002661B8" w:rsidRPr="00BD170F" w:rsidRDefault="002661B8" w:rsidP="002661B8">
      <w:pPr>
        <w:pStyle w:val="Clause"/>
        <w:jc w:val="right"/>
      </w:pPr>
      <w:r w:rsidRPr="00BD170F">
        <w:rPr>
          <w:rFonts w:cs="Arial"/>
        </w:rPr>
        <w:t>”</w:t>
      </w:r>
    </w:p>
    <w:p w:rsidR="002661B8" w:rsidRDefault="002661B8" w:rsidP="002661B8">
      <w:pPr>
        <w:pStyle w:val="Clause"/>
        <w:rPr>
          <w:rFonts w:cs="Arial"/>
          <w:b/>
        </w:rPr>
      </w:pPr>
      <w:r w:rsidRPr="002C17B6">
        <w:rPr>
          <w:rFonts w:cs="Arial"/>
        </w:rPr>
        <w:t>[4.2]</w:t>
      </w:r>
      <w:r>
        <w:rPr>
          <w:rFonts w:cs="Arial"/>
          <w:b/>
        </w:rPr>
        <w:t xml:space="preserve"> </w:t>
      </w:r>
      <w:r>
        <w:t xml:space="preserve"> </w:t>
      </w:r>
      <w:r>
        <w:tab/>
        <w:t>updating the Table of Provisions to reflect these variations.</w:t>
      </w:r>
    </w:p>
    <w:p w:rsidR="002661B8" w:rsidRDefault="002661B8" w:rsidP="002661B8">
      <w:pPr>
        <w:pStyle w:val="Clause"/>
        <w:rPr>
          <w:rFonts w:cs="Arial"/>
          <w:b/>
        </w:rPr>
      </w:pPr>
      <w:r w:rsidRPr="00BD170F">
        <w:rPr>
          <w:rFonts w:cs="Arial"/>
          <w:b/>
        </w:rPr>
        <w:t xml:space="preserve"> </w:t>
      </w:r>
    </w:p>
    <w:p w:rsidR="002661B8" w:rsidRPr="00BD170F" w:rsidRDefault="002661B8" w:rsidP="002661B8">
      <w:pPr>
        <w:pStyle w:val="Clause"/>
        <w:rPr>
          <w:rFonts w:cs="Arial"/>
        </w:rPr>
      </w:pPr>
      <w:r w:rsidRPr="00F0153C">
        <w:rPr>
          <w:rFonts w:cs="Arial"/>
        </w:rPr>
        <w:t>[5]</w:t>
      </w:r>
      <w:r w:rsidRPr="00F0153C">
        <w:rPr>
          <w:rFonts w:cs="Arial"/>
        </w:rPr>
        <w:tab/>
        <w:t>Standard 2.9.5</w:t>
      </w:r>
      <w:r w:rsidRPr="00BD170F">
        <w:rPr>
          <w:rFonts w:cs="Arial"/>
          <w:b/>
        </w:rPr>
        <w:t xml:space="preserve"> </w:t>
      </w:r>
      <w:r w:rsidRPr="00BD170F">
        <w:rPr>
          <w:rFonts w:cs="Arial"/>
        </w:rPr>
        <w:t>is varied by</w:t>
      </w:r>
    </w:p>
    <w:p w:rsidR="002661B8" w:rsidRPr="00BD170F" w:rsidRDefault="002661B8" w:rsidP="002661B8">
      <w:pPr>
        <w:rPr>
          <w:rFonts w:cs="Arial"/>
          <w:sz w:val="20"/>
        </w:rPr>
      </w:pPr>
    </w:p>
    <w:p w:rsidR="002661B8" w:rsidRPr="004A43B2" w:rsidRDefault="002661B8" w:rsidP="002661B8">
      <w:pPr>
        <w:pStyle w:val="Subclause"/>
      </w:pPr>
      <w:r w:rsidRPr="004A43B2">
        <w:rPr>
          <w:rFonts w:cs="Arial"/>
        </w:rPr>
        <w:t>[5.1]</w:t>
      </w:r>
      <w:r w:rsidRPr="004A43B2">
        <w:t xml:space="preserve"> </w:t>
      </w:r>
      <w:r w:rsidRPr="004A43B2">
        <w:tab/>
        <w:t>inserting after clause 2</w:t>
      </w:r>
    </w:p>
    <w:p w:rsidR="002661B8" w:rsidRPr="00BD170F" w:rsidRDefault="002661B8" w:rsidP="002661B8">
      <w:pPr>
        <w:rPr>
          <w:sz w:val="20"/>
        </w:rPr>
      </w:pPr>
    </w:p>
    <w:p w:rsidR="002661B8" w:rsidRPr="00BD170F" w:rsidRDefault="002661B8" w:rsidP="002661B8">
      <w:pPr>
        <w:pStyle w:val="Clauseheading"/>
      </w:pPr>
      <w:r w:rsidRPr="004A43B2">
        <w:rPr>
          <w:rFonts w:cs="Arial"/>
          <w:bCs/>
        </w:rPr>
        <w:t xml:space="preserve">“2A </w:t>
      </w:r>
      <w:r w:rsidRPr="004A43B2">
        <w:rPr>
          <w:rFonts w:cs="Arial"/>
          <w:bCs/>
        </w:rPr>
        <w:tab/>
        <w:t>Deemed c</w:t>
      </w:r>
      <w:r w:rsidRPr="004A43B2">
        <w:t xml:space="preserve">ompliance with Standard for certain periods </w:t>
      </w:r>
    </w:p>
    <w:p w:rsidR="002661B8" w:rsidRPr="00BD170F" w:rsidRDefault="002661B8" w:rsidP="002661B8">
      <w:pPr>
        <w:rPr>
          <w:b/>
          <w:sz w:val="20"/>
        </w:rPr>
      </w:pPr>
    </w:p>
    <w:p w:rsidR="002661B8" w:rsidRPr="00BD170F" w:rsidRDefault="002661B8" w:rsidP="002661B8">
      <w:pPr>
        <w:pStyle w:val="Subclause"/>
      </w:pPr>
      <w:r w:rsidRPr="00BD170F">
        <w:t>(1)</w:t>
      </w:r>
      <w:r w:rsidRPr="00BD170F">
        <w:tab/>
        <w:t>This clause applies to a food for special medical purposes that does not comply with this Standard.</w:t>
      </w:r>
    </w:p>
    <w:p w:rsidR="002661B8" w:rsidRPr="00BD170F" w:rsidRDefault="002661B8" w:rsidP="002661B8">
      <w:pPr>
        <w:pStyle w:val="Subclause"/>
      </w:pPr>
    </w:p>
    <w:p w:rsidR="002661B8" w:rsidRPr="00BD170F" w:rsidRDefault="002661B8" w:rsidP="002661B8">
      <w:pPr>
        <w:pStyle w:val="Subclause"/>
      </w:pPr>
      <w:r w:rsidRPr="00BD170F">
        <w:t>(2)</w:t>
      </w:r>
      <w:r w:rsidRPr="00BD170F">
        <w:tab/>
        <w:t>If the food for special medical purposes is present in Australia or New Zealand on the date of commencement of this Standard, the food for special medical purposes is taken to comply with this Standard during the period that starts on that date of commencement and ends on 28 June 2014.</w:t>
      </w:r>
    </w:p>
    <w:p w:rsidR="002661B8" w:rsidRPr="00BD170F" w:rsidRDefault="002661B8" w:rsidP="002661B8">
      <w:pPr>
        <w:rPr>
          <w:sz w:val="20"/>
        </w:rPr>
      </w:pPr>
    </w:p>
    <w:p w:rsidR="002661B8" w:rsidRPr="00BD170F" w:rsidRDefault="002661B8" w:rsidP="002661B8">
      <w:pPr>
        <w:pStyle w:val="Subclause"/>
      </w:pPr>
      <w:r w:rsidRPr="00BD170F">
        <w:t>(3)</w:t>
      </w:r>
      <w:r w:rsidRPr="00BD170F">
        <w:tab/>
        <w:t>If the food for special medical purposes is imported into Australia or New Zealand on a date after the date of commencement of this Standard, the food for special medical purposes is taken to comply with this Standard during the period that starts immediately prior to importation and ends on 28 June 2014.</w:t>
      </w:r>
    </w:p>
    <w:p w:rsidR="002661B8" w:rsidRPr="00BD170F" w:rsidRDefault="002661B8" w:rsidP="002661B8">
      <w:pPr>
        <w:rPr>
          <w:sz w:val="20"/>
        </w:rPr>
      </w:pPr>
    </w:p>
    <w:p w:rsidR="002661B8" w:rsidRPr="00BD170F" w:rsidRDefault="002661B8" w:rsidP="002661B8">
      <w:pPr>
        <w:pStyle w:val="Subclause"/>
      </w:pPr>
      <w:r w:rsidRPr="00BD170F">
        <w:t>(4)</w:t>
      </w:r>
      <w:r w:rsidRPr="00BD170F">
        <w:tab/>
        <w:t>If the food for special medical purposes is produced in Australia or New Zealand on a date after the date of commencement of this Standard, the food for special medical purposes is taken to comply with this Standard during the period that starts on the date the food for special medical purposes was produced and ends on 28 June 2014.”</w:t>
      </w:r>
    </w:p>
    <w:p w:rsidR="002661B8" w:rsidRPr="00BD170F" w:rsidRDefault="002661B8" w:rsidP="002661B8"/>
    <w:p w:rsidR="002661B8" w:rsidRPr="004A43B2" w:rsidRDefault="002661B8" w:rsidP="002661B8">
      <w:pPr>
        <w:pStyle w:val="Subclause"/>
      </w:pPr>
      <w:r w:rsidRPr="004A43B2">
        <w:rPr>
          <w:rFonts w:cs="Arial"/>
        </w:rPr>
        <w:t>[5.</w:t>
      </w:r>
      <w:r>
        <w:rPr>
          <w:rFonts w:cs="Arial"/>
        </w:rPr>
        <w:t>2</w:t>
      </w:r>
      <w:r w:rsidRPr="004A43B2">
        <w:rPr>
          <w:rFonts w:cs="Arial"/>
        </w:rPr>
        <w:t>]</w:t>
      </w:r>
      <w:r w:rsidRPr="004A43B2">
        <w:t xml:space="preserve"> </w:t>
      </w:r>
      <w:r w:rsidRPr="004A43B2">
        <w:tab/>
        <w:t>inserting after subclause 3(2)</w:t>
      </w:r>
    </w:p>
    <w:p w:rsidR="002661B8" w:rsidRPr="00BD170F" w:rsidRDefault="002661B8" w:rsidP="002661B8">
      <w:pPr>
        <w:rPr>
          <w:sz w:val="20"/>
        </w:rPr>
      </w:pPr>
    </w:p>
    <w:p w:rsidR="002661B8" w:rsidRPr="002B3D7C" w:rsidRDefault="002661B8" w:rsidP="002661B8">
      <w:pPr>
        <w:rPr>
          <w:sz w:val="20"/>
        </w:rPr>
      </w:pPr>
      <w:r w:rsidRPr="002B3D7C">
        <w:rPr>
          <w:sz w:val="20"/>
        </w:rPr>
        <w:t>“(3)</w:t>
      </w:r>
      <w:r w:rsidRPr="002B3D7C">
        <w:rPr>
          <w:sz w:val="20"/>
        </w:rPr>
        <w:tab/>
        <w:t>Subclause 1(2) of Standard 1.1.1 does not apply in relation to a food for special medical purposes that did not comply with Standard 2.9.5 on the date that Standard 2.9.5 commenced.”</w:t>
      </w:r>
    </w:p>
    <w:p w:rsidR="002661B8" w:rsidRDefault="002661B8" w:rsidP="002661B8">
      <w:pPr>
        <w:pStyle w:val="Subclause"/>
        <w:rPr>
          <w:rFonts w:cs="Arial"/>
        </w:rPr>
      </w:pPr>
    </w:p>
    <w:p w:rsidR="002661B8" w:rsidRDefault="002661B8" w:rsidP="002661B8">
      <w:pPr>
        <w:pStyle w:val="Subclause"/>
      </w:pPr>
      <w:r w:rsidRPr="004A43B2">
        <w:rPr>
          <w:rFonts w:cs="Arial"/>
        </w:rPr>
        <w:t>[5.3]</w:t>
      </w:r>
      <w:r w:rsidRPr="004A43B2">
        <w:t xml:space="preserve"> </w:t>
      </w:r>
      <w:r w:rsidRPr="004A43B2">
        <w:tab/>
      </w:r>
      <w:r>
        <w:t>omitting from Column 2 of Schedule 1 for Amino acids “L-carnitine”</w:t>
      </w:r>
    </w:p>
    <w:p w:rsidR="002661B8" w:rsidRDefault="002661B8" w:rsidP="002661B8">
      <w:pPr>
        <w:pStyle w:val="Subclause"/>
      </w:pPr>
    </w:p>
    <w:p w:rsidR="002661B8" w:rsidRPr="004A43B2" w:rsidRDefault="002661B8" w:rsidP="002661B8">
      <w:pPr>
        <w:pStyle w:val="Subclause"/>
      </w:pPr>
      <w:r w:rsidRPr="004A43B2">
        <w:rPr>
          <w:rFonts w:cs="Arial"/>
        </w:rPr>
        <w:t>[5.</w:t>
      </w:r>
      <w:r>
        <w:rPr>
          <w:rFonts w:cs="Arial"/>
        </w:rPr>
        <w:t>4</w:t>
      </w:r>
      <w:r w:rsidRPr="004A43B2">
        <w:rPr>
          <w:rFonts w:cs="Arial"/>
        </w:rPr>
        <w:t>]</w:t>
      </w:r>
      <w:r w:rsidRPr="004A43B2">
        <w:t xml:space="preserve"> </w:t>
      </w:r>
      <w:r w:rsidRPr="004A43B2">
        <w:tab/>
      </w:r>
      <w:r>
        <w:t>omitting from Schedule 1</w:t>
      </w:r>
    </w:p>
    <w:p w:rsidR="002661B8" w:rsidRDefault="002661B8" w:rsidP="002661B8">
      <w:pPr>
        <w:rPr>
          <w:sz w:val="20"/>
        </w:rPr>
      </w:pPr>
      <w:r>
        <w:rPr>
          <w:sz w:val="20"/>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3"/>
      </w:tblGrid>
      <w:tr w:rsidR="002661B8" w:rsidRPr="00066865" w:rsidTr="009B698C">
        <w:trPr>
          <w:trHeight w:val="57"/>
        </w:trPr>
        <w:tc>
          <w:tcPr>
            <w:tcW w:w="4544" w:type="dxa"/>
            <w:vMerge w:val="restart"/>
            <w:shd w:val="clear" w:color="auto" w:fill="auto"/>
            <w:noWrap/>
            <w:hideMark/>
          </w:tcPr>
          <w:p w:rsidR="002661B8" w:rsidRPr="00066865" w:rsidRDefault="002661B8" w:rsidP="009B698C">
            <w:pPr>
              <w:pStyle w:val="Table2"/>
              <w:rPr>
                <w:lang w:val="en-AU" w:eastAsia="en-AU"/>
              </w:rPr>
            </w:pPr>
            <w:r w:rsidRPr="00066865">
              <w:rPr>
                <w:lang w:eastAsia="en-AU"/>
              </w:rPr>
              <w:t>Carnitine</w:t>
            </w: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L-carnitine hydrochloride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L-carnitine L-tartrate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val="en-AU" w:eastAsia="en-AU"/>
              </w:rPr>
              <w:t>Choline</w:t>
            </w:r>
          </w:p>
        </w:tc>
      </w:tr>
      <w:tr w:rsidR="002661B8" w:rsidRPr="00066865" w:rsidTr="009B698C">
        <w:trPr>
          <w:trHeight w:val="57"/>
        </w:trPr>
        <w:tc>
          <w:tcPr>
            <w:tcW w:w="4544" w:type="dxa"/>
            <w:vMerge w:val="restart"/>
            <w:shd w:val="clear" w:color="auto" w:fill="auto"/>
            <w:noWrap/>
            <w:hideMark/>
          </w:tcPr>
          <w:p w:rsidR="002661B8" w:rsidRPr="00066865" w:rsidRDefault="002661B8" w:rsidP="009B698C">
            <w:pPr>
              <w:pStyle w:val="Table2"/>
              <w:rPr>
                <w:lang w:val="en-AU" w:eastAsia="en-AU"/>
              </w:rPr>
            </w:pPr>
            <w:r w:rsidRPr="00066865">
              <w:rPr>
                <w:lang w:eastAsia="en-AU"/>
              </w:rPr>
              <w:t>Choline</w:t>
            </w: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bitartrate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chloride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citrate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hydrogen tartrate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val="en-AU" w:eastAsia="en-AU"/>
              </w:rPr>
              <w:t>Inositol</w:t>
            </w:r>
          </w:p>
        </w:tc>
      </w:tr>
      <w:tr w:rsidR="002661B8" w:rsidRPr="00066865" w:rsidTr="009B698C">
        <w:trPr>
          <w:trHeight w:val="57"/>
        </w:trPr>
        <w:tc>
          <w:tcPr>
            <w:tcW w:w="4544" w:type="dxa"/>
            <w:shd w:val="clear" w:color="auto" w:fill="auto"/>
            <w:noWrap/>
            <w:hideMark/>
          </w:tcPr>
          <w:p w:rsidR="002661B8" w:rsidRPr="00066865" w:rsidRDefault="002661B8" w:rsidP="009B698C">
            <w:pPr>
              <w:pStyle w:val="Table2"/>
              <w:rPr>
                <w:lang w:val="en-AU" w:eastAsia="en-AU"/>
              </w:rPr>
            </w:pPr>
            <w:r w:rsidRPr="00066865">
              <w:rPr>
                <w:lang w:eastAsia="en-AU"/>
              </w:rPr>
              <w:t>Inositol</w:t>
            </w:r>
          </w:p>
        </w:tc>
        <w:tc>
          <w:tcPr>
            <w:tcW w:w="4543" w:type="dxa"/>
            <w:shd w:val="clear" w:color="auto" w:fill="auto"/>
            <w:noWrap/>
            <w:hideMark/>
          </w:tcPr>
          <w:p w:rsidR="002661B8" w:rsidRPr="00066865" w:rsidRDefault="002661B8" w:rsidP="009B698C">
            <w:pPr>
              <w:pStyle w:val="Table2"/>
              <w:rPr>
                <w:lang w:val="en-AU" w:eastAsia="en-AU"/>
              </w:rPr>
            </w:pPr>
            <w:r w:rsidRPr="00066865">
              <w:rPr>
                <w:lang w:val="en-AU" w:eastAsia="en-AU"/>
              </w:rPr>
              <w:t>Adenosine 5</w:t>
            </w:r>
            <w:r w:rsidRPr="00E60611">
              <w:rPr>
                <w:rFonts w:cs="Arial"/>
                <w:lang w:eastAsia="en-GB"/>
              </w:rPr>
              <w:t>′</w:t>
            </w:r>
            <w:r w:rsidRPr="00066865">
              <w:rPr>
                <w:lang w:val="en-AU" w:eastAsia="en-AU"/>
              </w:rPr>
              <w:t>-monophosphate</w:t>
            </w:r>
          </w:p>
        </w:tc>
      </w:tr>
      <w:tr w:rsidR="002661B8" w:rsidRPr="00066865" w:rsidTr="009B698C">
        <w:trPr>
          <w:trHeight w:val="57"/>
        </w:trPr>
        <w:tc>
          <w:tcPr>
            <w:tcW w:w="4544" w:type="dxa"/>
            <w:vMerge w:val="restart"/>
            <w:shd w:val="clear" w:color="auto" w:fill="auto"/>
            <w:noWrap/>
            <w:hideMark/>
          </w:tcPr>
          <w:p w:rsidR="002661B8" w:rsidRPr="00066865" w:rsidRDefault="002661B8" w:rsidP="009B698C">
            <w:pPr>
              <w:pStyle w:val="Table2"/>
              <w:rPr>
                <w:lang w:val="en-AU" w:eastAsia="en-AU"/>
              </w:rPr>
            </w:pPr>
            <w:r w:rsidRPr="00066865">
              <w:rPr>
                <w:lang w:eastAsia="en-AU"/>
              </w:rPr>
              <w:lastRenderedPageBreak/>
              <w:t>Nucleotides</w:t>
            </w: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Adenosine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Cytidine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Cytidine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Guanosine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Guanosine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Inosine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Inosine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Uridine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Uridine 5</w:t>
            </w:r>
            <w:r w:rsidRPr="00E60611">
              <w:rPr>
                <w:rFonts w:cs="Arial"/>
                <w:lang w:eastAsia="en-GB"/>
              </w:rPr>
              <w:t>′</w:t>
            </w:r>
            <w:r w:rsidRPr="00066865">
              <w:rPr>
                <w:lang w:eastAsia="en-AU"/>
              </w:rPr>
              <w:t>-monophosphate sodium salt</w:t>
            </w:r>
          </w:p>
        </w:tc>
      </w:tr>
    </w:tbl>
    <w:p w:rsidR="002661B8" w:rsidRDefault="002661B8" w:rsidP="002661B8">
      <w:pPr>
        <w:jc w:val="right"/>
        <w:rPr>
          <w:sz w:val="20"/>
        </w:rPr>
      </w:pPr>
      <w:r>
        <w:rPr>
          <w:sz w:val="20"/>
        </w:rPr>
        <w:t>”</w:t>
      </w:r>
    </w:p>
    <w:p w:rsidR="002661B8" w:rsidRDefault="002661B8" w:rsidP="002661B8">
      <w:pPr>
        <w:rPr>
          <w:sz w:val="20"/>
        </w:rPr>
      </w:pPr>
      <w:proofErr w:type="gramStart"/>
      <w:r>
        <w:rPr>
          <w:sz w:val="20"/>
        </w:rPr>
        <w:t>and</w:t>
      </w:r>
      <w:proofErr w:type="gramEnd"/>
      <w:r>
        <w:rPr>
          <w:sz w:val="20"/>
        </w:rPr>
        <w:t xml:space="preserve"> substituting</w:t>
      </w:r>
    </w:p>
    <w:p w:rsidR="002661B8" w:rsidRDefault="002661B8" w:rsidP="002661B8">
      <w:pPr>
        <w:rPr>
          <w:sz w:val="20"/>
        </w:rPr>
      </w:pPr>
      <w:r>
        <w:rPr>
          <w:sz w:val="20"/>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3"/>
      </w:tblGrid>
      <w:tr w:rsidR="002661B8" w:rsidRPr="00066865" w:rsidTr="009B698C">
        <w:trPr>
          <w:trHeight w:val="57"/>
        </w:trPr>
        <w:tc>
          <w:tcPr>
            <w:tcW w:w="4544" w:type="dxa"/>
            <w:vMerge w:val="restart"/>
            <w:shd w:val="clear" w:color="auto" w:fill="auto"/>
            <w:noWrap/>
            <w:hideMark/>
          </w:tcPr>
          <w:p w:rsidR="002661B8" w:rsidRPr="00066865" w:rsidRDefault="002661B8" w:rsidP="009B698C">
            <w:pPr>
              <w:pStyle w:val="Table2"/>
              <w:rPr>
                <w:lang w:val="en-AU" w:eastAsia="en-AU"/>
              </w:rPr>
            </w:pPr>
            <w:r w:rsidRPr="00066865">
              <w:rPr>
                <w:lang w:eastAsia="en-AU"/>
              </w:rPr>
              <w:t>Carnitine</w:t>
            </w:r>
          </w:p>
        </w:tc>
        <w:tc>
          <w:tcPr>
            <w:tcW w:w="4543" w:type="dxa"/>
            <w:shd w:val="clear" w:color="auto" w:fill="auto"/>
            <w:noWrap/>
            <w:hideMark/>
          </w:tcPr>
          <w:p w:rsidR="002661B8" w:rsidRPr="00066865" w:rsidRDefault="002661B8" w:rsidP="009B698C">
            <w:pPr>
              <w:pStyle w:val="Table2"/>
              <w:rPr>
                <w:lang w:val="en-AU" w:eastAsia="en-AU"/>
              </w:rPr>
            </w:pPr>
            <w:r>
              <w:rPr>
                <w:lang w:val="en-AU" w:eastAsia="en-AU"/>
              </w:rPr>
              <w:t>L-carnitine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L-carnitine hydrochloride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L-carnitine L-tartrate</w:t>
            </w:r>
          </w:p>
        </w:tc>
      </w:tr>
      <w:tr w:rsidR="002661B8" w:rsidRPr="00066865" w:rsidTr="009B698C">
        <w:trPr>
          <w:trHeight w:val="57"/>
        </w:trPr>
        <w:tc>
          <w:tcPr>
            <w:tcW w:w="4544" w:type="dxa"/>
            <w:vMerge w:val="restart"/>
            <w:shd w:val="clear" w:color="auto" w:fill="auto"/>
            <w:noWrap/>
            <w:hideMark/>
          </w:tcPr>
          <w:p w:rsidR="002661B8" w:rsidRPr="00066865" w:rsidRDefault="002661B8" w:rsidP="009B698C">
            <w:pPr>
              <w:pStyle w:val="Table2"/>
              <w:rPr>
                <w:lang w:val="en-AU" w:eastAsia="en-AU"/>
              </w:rPr>
            </w:pPr>
            <w:r w:rsidRPr="00066865">
              <w:rPr>
                <w:lang w:eastAsia="en-AU"/>
              </w:rPr>
              <w:t>Choline</w:t>
            </w:r>
          </w:p>
        </w:tc>
        <w:tc>
          <w:tcPr>
            <w:tcW w:w="4543" w:type="dxa"/>
            <w:shd w:val="clear" w:color="auto" w:fill="auto"/>
            <w:noWrap/>
            <w:hideMark/>
          </w:tcPr>
          <w:p w:rsidR="002661B8" w:rsidRPr="00066865" w:rsidRDefault="002661B8" w:rsidP="009B698C">
            <w:pPr>
              <w:pStyle w:val="Table2"/>
              <w:rPr>
                <w:lang w:val="en-AU" w:eastAsia="en-AU"/>
              </w:rPr>
            </w:pPr>
            <w:r w:rsidRPr="00066865">
              <w:rPr>
                <w:lang w:val="en-AU" w:eastAsia="en-AU"/>
              </w:rPr>
              <w:t>Choline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bitartrate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chloride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citrate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Choline hydrogen tartrate</w:t>
            </w:r>
          </w:p>
        </w:tc>
      </w:tr>
      <w:tr w:rsidR="002661B8" w:rsidRPr="00066865" w:rsidTr="009B698C">
        <w:trPr>
          <w:trHeight w:val="57"/>
        </w:trPr>
        <w:tc>
          <w:tcPr>
            <w:tcW w:w="4544" w:type="dxa"/>
            <w:shd w:val="clear" w:color="auto" w:fill="auto"/>
            <w:noWrap/>
            <w:hideMark/>
          </w:tcPr>
          <w:p w:rsidR="002661B8" w:rsidRPr="00066865" w:rsidRDefault="002661B8" w:rsidP="009B698C">
            <w:pPr>
              <w:pStyle w:val="Table2"/>
              <w:rPr>
                <w:lang w:val="en-AU" w:eastAsia="en-AU"/>
              </w:rPr>
            </w:pPr>
            <w:r w:rsidRPr="00066865">
              <w:rPr>
                <w:lang w:eastAsia="en-AU"/>
              </w:rPr>
              <w:t>Inositol</w:t>
            </w:r>
          </w:p>
        </w:tc>
        <w:tc>
          <w:tcPr>
            <w:tcW w:w="4543" w:type="dxa"/>
            <w:shd w:val="clear" w:color="auto" w:fill="auto"/>
            <w:noWrap/>
            <w:hideMark/>
          </w:tcPr>
          <w:p w:rsidR="002661B8" w:rsidRPr="00066865" w:rsidRDefault="002661B8" w:rsidP="009B698C">
            <w:pPr>
              <w:pStyle w:val="Table2"/>
              <w:rPr>
                <w:lang w:val="en-AU" w:eastAsia="en-AU"/>
              </w:rPr>
            </w:pPr>
            <w:r w:rsidRPr="00066865">
              <w:rPr>
                <w:lang w:val="en-AU" w:eastAsia="en-AU"/>
              </w:rPr>
              <w:t>Inositol</w:t>
            </w:r>
          </w:p>
        </w:tc>
      </w:tr>
      <w:tr w:rsidR="002661B8" w:rsidRPr="00066865" w:rsidTr="009B698C">
        <w:trPr>
          <w:trHeight w:val="57"/>
        </w:trPr>
        <w:tc>
          <w:tcPr>
            <w:tcW w:w="4544" w:type="dxa"/>
            <w:vMerge w:val="restart"/>
            <w:shd w:val="clear" w:color="auto" w:fill="auto"/>
            <w:noWrap/>
            <w:hideMark/>
          </w:tcPr>
          <w:p w:rsidR="002661B8" w:rsidRPr="00066865" w:rsidRDefault="002661B8" w:rsidP="009B698C">
            <w:pPr>
              <w:pStyle w:val="Table2"/>
              <w:rPr>
                <w:lang w:val="en-AU" w:eastAsia="en-AU"/>
              </w:rPr>
            </w:pPr>
            <w:r w:rsidRPr="00066865">
              <w:rPr>
                <w:lang w:eastAsia="en-AU"/>
              </w:rPr>
              <w:t>Nucleotides</w:t>
            </w:r>
          </w:p>
        </w:tc>
        <w:tc>
          <w:tcPr>
            <w:tcW w:w="4543" w:type="dxa"/>
            <w:shd w:val="clear" w:color="auto" w:fill="auto"/>
            <w:noWrap/>
            <w:hideMark/>
          </w:tcPr>
          <w:p w:rsidR="002661B8" w:rsidRPr="00066865" w:rsidRDefault="002661B8" w:rsidP="009B698C">
            <w:pPr>
              <w:rPr>
                <w:lang w:val="en-AU" w:eastAsia="en-AU"/>
              </w:rPr>
            </w:pPr>
            <w:r w:rsidRPr="00EA3DA3">
              <w:rPr>
                <w:sz w:val="18"/>
                <w:szCs w:val="18"/>
                <w:lang w:val="en-AU" w:eastAsia="en-AU"/>
              </w:rPr>
              <w:t>Adenosine 5</w:t>
            </w:r>
            <w:r w:rsidRPr="002B3D7C">
              <w:rPr>
                <w:rFonts w:cs="Arial"/>
                <w:sz w:val="18"/>
                <w:szCs w:val="18"/>
                <w:lang w:eastAsia="en-GB"/>
              </w:rPr>
              <w:t>′</w:t>
            </w:r>
            <w:r w:rsidRPr="00EA3DA3">
              <w:rPr>
                <w:sz w:val="18"/>
                <w:szCs w:val="18"/>
                <w:lang w:val="en-AU" w:eastAsia="en-AU"/>
              </w:rPr>
              <w:t>-monophosphate</w:t>
            </w:r>
          </w:p>
        </w:tc>
      </w:tr>
      <w:tr w:rsidR="002661B8" w:rsidRPr="00066865" w:rsidTr="009B698C">
        <w:trPr>
          <w:trHeight w:val="57"/>
        </w:trPr>
        <w:tc>
          <w:tcPr>
            <w:tcW w:w="4544" w:type="dxa"/>
            <w:vMerge/>
            <w:shd w:val="clear" w:color="auto" w:fill="auto"/>
            <w:noWrap/>
          </w:tcPr>
          <w:p w:rsidR="002661B8" w:rsidRPr="00066865" w:rsidRDefault="002661B8" w:rsidP="009B698C">
            <w:pPr>
              <w:pStyle w:val="Table2"/>
              <w:rPr>
                <w:lang w:eastAsia="en-AU"/>
              </w:rPr>
            </w:pPr>
          </w:p>
        </w:tc>
        <w:tc>
          <w:tcPr>
            <w:tcW w:w="4543" w:type="dxa"/>
            <w:shd w:val="clear" w:color="auto" w:fill="auto"/>
            <w:noWrap/>
          </w:tcPr>
          <w:p w:rsidR="002661B8" w:rsidRPr="00066865" w:rsidRDefault="002661B8" w:rsidP="009B698C">
            <w:pPr>
              <w:pStyle w:val="Table2"/>
              <w:rPr>
                <w:lang w:eastAsia="en-AU"/>
              </w:rPr>
            </w:pPr>
            <w:r w:rsidRPr="00066865">
              <w:rPr>
                <w:lang w:eastAsia="en-AU"/>
              </w:rPr>
              <w:t>Adenosine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Cytidine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Cytidine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Guanosine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Guanosine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Inosine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Inosine 5</w:t>
            </w:r>
            <w:r w:rsidRPr="00E60611">
              <w:rPr>
                <w:rFonts w:cs="Arial"/>
                <w:lang w:eastAsia="en-GB"/>
              </w:rPr>
              <w:t>′</w:t>
            </w:r>
            <w:r w:rsidRPr="00066865">
              <w:rPr>
                <w:lang w:eastAsia="en-AU"/>
              </w:rPr>
              <w:t>-monophosphate sodium salt</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Uridine 5</w:t>
            </w:r>
            <w:r w:rsidRPr="00E60611">
              <w:rPr>
                <w:rFonts w:cs="Arial"/>
                <w:lang w:eastAsia="en-GB"/>
              </w:rPr>
              <w:t>′</w:t>
            </w:r>
            <w:r w:rsidRPr="00066865">
              <w:rPr>
                <w:lang w:eastAsia="en-AU"/>
              </w:rPr>
              <w:t>-monophosphate</w:t>
            </w:r>
          </w:p>
        </w:tc>
      </w:tr>
      <w:tr w:rsidR="002661B8" w:rsidRPr="00066865" w:rsidTr="009B698C">
        <w:trPr>
          <w:trHeight w:val="57"/>
        </w:trPr>
        <w:tc>
          <w:tcPr>
            <w:tcW w:w="4544" w:type="dxa"/>
            <w:vMerge/>
            <w:shd w:val="clear" w:color="auto" w:fill="auto"/>
            <w:noWrap/>
            <w:hideMark/>
          </w:tcPr>
          <w:p w:rsidR="002661B8" w:rsidRPr="00066865" w:rsidRDefault="002661B8" w:rsidP="009B698C">
            <w:pPr>
              <w:pStyle w:val="Table2"/>
              <w:rPr>
                <w:rFonts w:ascii="Calibri" w:hAnsi="Calibri" w:cs="Calibri"/>
                <w:sz w:val="22"/>
                <w:lang w:val="en-AU" w:eastAsia="en-AU"/>
              </w:rPr>
            </w:pPr>
          </w:p>
        </w:tc>
        <w:tc>
          <w:tcPr>
            <w:tcW w:w="4543" w:type="dxa"/>
            <w:shd w:val="clear" w:color="auto" w:fill="auto"/>
            <w:noWrap/>
            <w:hideMark/>
          </w:tcPr>
          <w:p w:rsidR="002661B8" w:rsidRPr="00066865" w:rsidRDefault="002661B8" w:rsidP="009B698C">
            <w:pPr>
              <w:pStyle w:val="Table2"/>
              <w:rPr>
                <w:lang w:val="en-AU" w:eastAsia="en-AU"/>
              </w:rPr>
            </w:pPr>
            <w:r w:rsidRPr="00066865">
              <w:rPr>
                <w:lang w:eastAsia="en-AU"/>
              </w:rPr>
              <w:t>Uridine 5</w:t>
            </w:r>
            <w:r w:rsidRPr="00E60611">
              <w:rPr>
                <w:rFonts w:cs="Arial"/>
                <w:lang w:eastAsia="en-GB"/>
              </w:rPr>
              <w:t>′</w:t>
            </w:r>
            <w:r w:rsidRPr="00066865">
              <w:rPr>
                <w:lang w:eastAsia="en-AU"/>
              </w:rPr>
              <w:t>-monophosphate sodium salt</w:t>
            </w:r>
          </w:p>
        </w:tc>
      </w:tr>
    </w:tbl>
    <w:p w:rsidR="002661B8" w:rsidRDefault="002661B8" w:rsidP="002661B8">
      <w:pPr>
        <w:jc w:val="right"/>
        <w:rPr>
          <w:sz w:val="20"/>
        </w:rPr>
      </w:pPr>
      <w:r>
        <w:rPr>
          <w:sz w:val="20"/>
        </w:rPr>
        <w:t>”</w:t>
      </w:r>
    </w:p>
    <w:p w:rsidR="002661B8" w:rsidRDefault="002661B8" w:rsidP="002661B8">
      <w:pPr>
        <w:rPr>
          <w:sz w:val="20"/>
        </w:rPr>
      </w:pPr>
    </w:p>
    <w:p w:rsidR="002661B8" w:rsidRPr="00BD170F" w:rsidRDefault="002661B8" w:rsidP="002661B8">
      <w:pPr>
        <w:tabs>
          <w:tab w:val="left" w:pos="851"/>
        </w:tabs>
        <w:rPr>
          <w:sz w:val="20"/>
        </w:rPr>
      </w:pPr>
      <w:r>
        <w:rPr>
          <w:sz w:val="20"/>
        </w:rPr>
        <w:t xml:space="preserve">[5.5] </w:t>
      </w:r>
      <w:r>
        <w:rPr>
          <w:sz w:val="20"/>
        </w:rPr>
        <w:tab/>
        <w:t>updating the Table of Provisions to reflect these variations.</w:t>
      </w:r>
    </w:p>
    <w:p w:rsidR="002661B8" w:rsidRPr="00BD170F" w:rsidRDefault="002661B8" w:rsidP="002661B8">
      <w:pPr>
        <w:rPr>
          <w:rFonts w:cs="Arial"/>
          <w:b/>
          <w:i/>
          <w:sz w:val="20"/>
        </w:rPr>
      </w:pPr>
    </w:p>
    <w:sectPr w:rsidR="002661B8" w:rsidRPr="00BD170F" w:rsidSect="00F0153C">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3C" w:rsidRDefault="00F0153C" w:rsidP="00F0153C">
      <w:r>
        <w:separator/>
      </w:r>
    </w:p>
  </w:endnote>
  <w:endnote w:type="continuationSeparator" w:id="0">
    <w:p w:rsidR="00F0153C" w:rsidRDefault="00F0153C" w:rsidP="00F0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842182"/>
      <w:docPartObj>
        <w:docPartGallery w:val="Page Numbers (Bottom of Page)"/>
        <w:docPartUnique/>
      </w:docPartObj>
    </w:sdtPr>
    <w:sdtEndPr>
      <w:rPr>
        <w:noProof/>
      </w:rPr>
    </w:sdtEndPr>
    <w:sdtContent>
      <w:p w:rsidR="00F0153C" w:rsidRDefault="00F0153C" w:rsidP="00F0153C">
        <w:pPr>
          <w:pStyle w:val="Footer"/>
          <w:jc w:val="center"/>
        </w:pPr>
        <w:r>
          <w:fldChar w:fldCharType="begin"/>
        </w:r>
        <w:r>
          <w:instrText xml:space="preserve"> PAGE   \* MERGEFORMAT </w:instrText>
        </w:r>
        <w:r>
          <w:fldChar w:fldCharType="separate"/>
        </w:r>
        <w:r w:rsidR="003C120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3C" w:rsidRDefault="00F0153C" w:rsidP="00F0153C">
      <w:r>
        <w:separator/>
      </w:r>
    </w:p>
  </w:footnote>
  <w:footnote w:type="continuationSeparator" w:id="0">
    <w:p w:rsidR="00F0153C" w:rsidRDefault="00F0153C" w:rsidP="00F01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B8"/>
    <w:rsid w:val="00041643"/>
    <w:rsid w:val="000901F6"/>
    <w:rsid w:val="001E696B"/>
    <w:rsid w:val="002661B8"/>
    <w:rsid w:val="00351050"/>
    <w:rsid w:val="003C120F"/>
    <w:rsid w:val="0054036E"/>
    <w:rsid w:val="008931F6"/>
    <w:rsid w:val="00A3387B"/>
    <w:rsid w:val="00F0153C"/>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2661B8"/>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qFormat/>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qFormat/>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link w:val="EditorialNoteLine1Char"/>
    <w:qFormat/>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link w:val="EditorialNotetextChar"/>
    <w:qFormat/>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link w:val="SubclauseChar"/>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customStyle="1" w:styleId="SubclauseChar">
    <w:name w:val="Subclause Char"/>
    <w:basedOn w:val="ClauseChar"/>
    <w:link w:val="Subclause"/>
    <w:rsid w:val="002661B8"/>
    <w:rPr>
      <w:rFonts w:eastAsia="Times New Roman" w:cs="Times New Roman"/>
      <w:sz w:val="20"/>
      <w:szCs w:val="20"/>
      <w:lang w:val="en-GB"/>
    </w:rPr>
  </w:style>
  <w:style w:type="character" w:customStyle="1" w:styleId="EditorialNoteLine1Char">
    <w:name w:val="Editorial Note Line 1 Char"/>
    <w:basedOn w:val="DefaultParagraphFont"/>
    <w:link w:val="EditorialNoteLine1"/>
    <w:rsid w:val="002661B8"/>
    <w:rPr>
      <w:rFonts w:eastAsia="Times New Roman" w:cs="Times New Roman"/>
      <w:b/>
      <w:sz w:val="20"/>
      <w:szCs w:val="20"/>
      <w:lang w:val="en-GB"/>
    </w:rPr>
  </w:style>
  <w:style w:type="character" w:customStyle="1" w:styleId="EditorialNotetextChar">
    <w:name w:val="Editorial Note text Char"/>
    <w:basedOn w:val="DefaultParagraphFont"/>
    <w:link w:val="EditorialNotetext"/>
    <w:rsid w:val="002661B8"/>
    <w:rPr>
      <w:rFonts w:eastAsia="Times New Roman" w:cs="Times New Roman"/>
      <w:sz w:val="20"/>
      <w:szCs w:val="20"/>
      <w:lang w:val="en-GB"/>
    </w:rPr>
  </w:style>
  <w:style w:type="paragraph" w:styleId="BalloonText">
    <w:name w:val="Balloon Text"/>
    <w:basedOn w:val="Normal"/>
    <w:link w:val="BalloonTextChar"/>
    <w:uiPriority w:val="99"/>
    <w:semiHidden/>
    <w:unhideWhenUsed/>
    <w:rsid w:val="002661B8"/>
    <w:rPr>
      <w:rFonts w:ascii="Tahoma" w:hAnsi="Tahoma" w:cs="Tahoma"/>
      <w:sz w:val="16"/>
      <w:szCs w:val="16"/>
    </w:rPr>
  </w:style>
  <w:style w:type="character" w:customStyle="1" w:styleId="BalloonTextChar">
    <w:name w:val="Balloon Text Char"/>
    <w:basedOn w:val="DefaultParagraphFont"/>
    <w:link w:val="BalloonText"/>
    <w:uiPriority w:val="99"/>
    <w:semiHidden/>
    <w:rsid w:val="002661B8"/>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2661B8"/>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qFormat/>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qFormat/>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link w:val="EditorialNoteLine1Char"/>
    <w:qFormat/>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link w:val="EditorialNotetextChar"/>
    <w:qFormat/>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link w:val="SubclauseChar"/>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customStyle="1" w:styleId="SubclauseChar">
    <w:name w:val="Subclause Char"/>
    <w:basedOn w:val="ClauseChar"/>
    <w:link w:val="Subclause"/>
    <w:rsid w:val="002661B8"/>
    <w:rPr>
      <w:rFonts w:eastAsia="Times New Roman" w:cs="Times New Roman"/>
      <w:sz w:val="20"/>
      <w:szCs w:val="20"/>
      <w:lang w:val="en-GB"/>
    </w:rPr>
  </w:style>
  <w:style w:type="character" w:customStyle="1" w:styleId="EditorialNoteLine1Char">
    <w:name w:val="Editorial Note Line 1 Char"/>
    <w:basedOn w:val="DefaultParagraphFont"/>
    <w:link w:val="EditorialNoteLine1"/>
    <w:rsid w:val="002661B8"/>
    <w:rPr>
      <w:rFonts w:eastAsia="Times New Roman" w:cs="Times New Roman"/>
      <w:b/>
      <w:sz w:val="20"/>
      <w:szCs w:val="20"/>
      <w:lang w:val="en-GB"/>
    </w:rPr>
  </w:style>
  <w:style w:type="character" w:customStyle="1" w:styleId="EditorialNotetextChar">
    <w:name w:val="Editorial Note text Char"/>
    <w:basedOn w:val="DefaultParagraphFont"/>
    <w:link w:val="EditorialNotetext"/>
    <w:rsid w:val="002661B8"/>
    <w:rPr>
      <w:rFonts w:eastAsia="Times New Roman" w:cs="Times New Roman"/>
      <w:sz w:val="20"/>
      <w:szCs w:val="20"/>
      <w:lang w:val="en-GB"/>
    </w:rPr>
  </w:style>
  <w:style w:type="paragraph" w:styleId="BalloonText">
    <w:name w:val="Balloon Text"/>
    <w:basedOn w:val="Normal"/>
    <w:link w:val="BalloonTextChar"/>
    <w:uiPriority w:val="99"/>
    <w:semiHidden/>
    <w:unhideWhenUsed/>
    <w:rsid w:val="002661B8"/>
    <w:rPr>
      <w:rFonts w:ascii="Tahoma" w:hAnsi="Tahoma" w:cs="Tahoma"/>
      <w:sz w:val="16"/>
      <w:szCs w:val="16"/>
    </w:rPr>
  </w:style>
  <w:style w:type="character" w:customStyle="1" w:styleId="BalloonTextChar">
    <w:name w:val="Balloon Text Char"/>
    <w:basedOn w:val="DefaultParagraphFont"/>
    <w:link w:val="BalloonText"/>
    <w:uiPriority w:val="99"/>
    <w:semiHidden/>
    <w:rsid w:val="002661B8"/>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cp:lastPrinted>2013-02-12T23:06:00Z</cp:lastPrinted>
  <dcterms:created xsi:type="dcterms:W3CDTF">2013-01-04T04:59:00Z</dcterms:created>
  <dcterms:modified xsi:type="dcterms:W3CDTF">2013-02-12T23:06:00Z</dcterms:modified>
</cp:coreProperties>
</file>