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BE" w:rsidRPr="008F2616" w:rsidRDefault="00FB56BE" w:rsidP="00FB56BE">
      <w:pPr>
        <w:rPr>
          <w:noProof/>
          <w:sz w:val="20"/>
          <w:lang w:val="en-AU" w:eastAsia="en-AU"/>
        </w:rPr>
      </w:pPr>
      <w:r w:rsidRPr="007942E1">
        <w:rPr>
          <w:noProof/>
          <w:sz w:val="20"/>
          <w:lang w:eastAsia="en-GB" w:bidi="ar-SA"/>
        </w:rPr>
        <w:drawing>
          <wp:inline distT="0" distB="0" distL="0" distR="0" wp14:anchorId="06B37E77" wp14:editId="2F074FC2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BE" w:rsidRPr="003F3EE7" w:rsidRDefault="00FB56BE" w:rsidP="00FB56BE">
      <w:pPr>
        <w:rPr>
          <w:sz w:val="20"/>
        </w:rPr>
      </w:pPr>
    </w:p>
    <w:p w:rsidR="00FB56BE" w:rsidRPr="008F2616" w:rsidRDefault="00FB56BE" w:rsidP="00FB56BE">
      <w:pPr>
        <w:pBdr>
          <w:bottom w:val="single" w:sz="4" w:space="1" w:color="auto"/>
        </w:pBdr>
        <w:rPr>
          <w:b/>
          <w:sz w:val="20"/>
        </w:rPr>
      </w:pPr>
      <w:r w:rsidRPr="008F2616">
        <w:rPr>
          <w:b/>
          <w:sz w:val="20"/>
        </w:rPr>
        <w:t xml:space="preserve">Food </w:t>
      </w:r>
      <w:r w:rsidRPr="00B45BE6">
        <w:rPr>
          <w:b/>
          <w:sz w:val="20"/>
        </w:rPr>
        <w:t>Standards (</w:t>
      </w:r>
      <w:r>
        <w:rPr>
          <w:b/>
          <w:sz w:val="20"/>
        </w:rPr>
        <w:t>Application A1043</w:t>
      </w:r>
      <w:r w:rsidRPr="00305662">
        <w:rPr>
          <w:b/>
          <w:sz w:val="20"/>
        </w:rPr>
        <w:t xml:space="preserve"> – World Health Organization Limits for Packaged Water</w:t>
      </w:r>
      <w:r w:rsidRPr="00B45BE6">
        <w:rPr>
          <w:b/>
          <w:sz w:val="20"/>
        </w:rPr>
        <w:t xml:space="preserve">) </w:t>
      </w:r>
      <w:r w:rsidRPr="008F2616">
        <w:rPr>
          <w:b/>
          <w:sz w:val="20"/>
        </w:rPr>
        <w:t>Variation</w:t>
      </w:r>
    </w:p>
    <w:p w:rsidR="00FB56BE" w:rsidRPr="008F2616" w:rsidRDefault="00FB56BE" w:rsidP="00FB56BE">
      <w:pPr>
        <w:rPr>
          <w:sz w:val="20"/>
        </w:rPr>
      </w:pPr>
    </w:p>
    <w:p w:rsidR="00FB56BE" w:rsidRPr="008F2616" w:rsidRDefault="00FB56BE" w:rsidP="00FB56BE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>
        <w:rPr>
          <w:sz w:val="20"/>
        </w:rPr>
        <w:t xml:space="preserve">. </w:t>
      </w:r>
      <w:r w:rsidRPr="008F2616">
        <w:rPr>
          <w:sz w:val="20"/>
        </w:rPr>
        <w:t>The</w:t>
      </w:r>
      <w:r>
        <w:rPr>
          <w:sz w:val="20"/>
        </w:rPr>
        <w:t xml:space="preserve"> variation </w:t>
      </w:r>
      <w:r w:rsidRPr="008F2616">
        <w:rPr>
          <w:sz w:val="20"/>
        </w:rPr>
        <w:t>commences on the date specified in clause 3.</w:t>
      </w:r>
    </w:p>
    <w:p w:rsidR="00FB56BE" w:rsidRPr="008F2616" w:rsidRDefault="00FB56BE" w:rsidP="00FB56BE">
      <w:pPr>
        <w:rPr>
          <w:sz w:val="20"/>
        </w:rPr>
      </w:pPr>
    </w:p>
    <w:p w:rsidR="006F6588" w:rsidRPr="006F6588" w:rsidRDefault="006F6588" w:rsidP="006F6588">
      <w:pPr>
        <w:rPr>
          <w:sz w:val="20"/>
        </w:rPr>
      </w:pPr>
      <w:r w:rsidRPr="006F6588">
        <w:rPr>
          <w:sz w:val="20"/>
        </w:rPr>
        <w:t>Dated 15 February 2013</w:t>
      </w:r>
    </w:p>
    <w:p w:rsidR="00FB56BE" w:rsidRPr="008F2616" w:rsidRDefault="003F3EE7" w:rsidP="00FB56BE">
      <w:pPr>
        <w:rPr>
          <w:sz w:val="20"/>
        </w:rPr>
      </w:pPr>
      <w:bookmarkStart w:id="0" w:name="_GoBack"/>
      <w:r w:rsidRPr="00161FA0">
        <w:rPr>
          <w:rFonts w:eastAsiaTheme="minorHAnsi" w:cstheme="minorBidi"/>
          <w:noProof/>
          <w:lang w:eastAsia="en-GB" w:bidi="ar-SA"/>
        </w:rPr>
        <w:drawing>
          <wp:inline distT="0" distB="0" distL="0" distR="0" wp14:anchorId="61CA9D16" wp14:editId="34F93414">
            <wp:extent cx="1343025" cy="787400"/>
            <wp:effectExtent l="0" t="0" r="9525" b="0"/>
            <wp:docPr id="1" name="Picture 1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B56BE" w:rsidRPr="008F2616" w:rsidRDefault="00FB56BE" w:rsidP="00FB56BE">
      <w:pPr>
        <w:rPr>
          <w:sz w:val="20"/>
        </w:rPr>
      </w:pPr>
      <w:r w:rsidRPr="008F2616">
        <w:rPr>
          <w:sz w:val="20"/>
        </w:rPr>
        <w:t>Standards Management Officer</w:t>
      </w:r>
    </w:p>
    <w:p w:rsidR="00FB56BE" w:rsidRPr="008F2616" w:rsidRDefault="00FB56BE" w:rsidP="00FB56BE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:rsidR="00FB56BE" w:rsidRPr="008F2616" w:rsidRDefault="00FB56BE" w:rsidP="00FB56BE">
      <w:pPr>
        <w:rPr>
          <w:sz w:val="20"/>
        </w:rPr>
      </w:pPr>
    </w:p>
    <w:p w:rsidR="00FB56BE" w:rsidRPr="006F5C90" w:rsidRDefault="00FB56BE" w:rsidP="00FB56BE">
      <w:pPr>
        <w:widowControl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FB56BE" w:rsidRDefault="00FB56BE" w:rsidP="00FB56BE">
      <w:pPr>
        <w:pStyle w:val="Clauseheading"/>
      </w:pPr>
      <w:r>
        <w:lastRenderedPageBreak/>
        <w:t>1</w:t>
      </w:r>
      <w:r>
        <w:tab/>
        <w:t>Name</w:t>
      </w:r>
    </w:p>
    <w:p w:rsidR="00FB56BE" w:rsidRDefault="00FB56BE" w:rsidP="00FB56BE">
      <w:pPr>
        <w:pStyle w:val="Clause"/>
      </w:pPr>
    </w:p>
    <w:p w:rsidR="00FB56BE" w:rsidRPr="00B45BE6" w:rsidRDefault="00FB56BE" w:rsidP="00FB56BE">
      <w:pPr>
        <w:pStyle w:val="Clause"/>
        <w:rPr>
          <w:i/>
        </w:rPr>
      </w:pPr>
      <w:r w:rsidRPr="00DB170D">
        <w:t xml:space="preserve">This instrument is the </w:t>
      </w:r>
      <w:r w:rsidRPr="00B45BE6">
        <w:rPr>
          <w:i/>
        </w:rPr>
        <w:t xml:space="preserve">Food Standards (Application A1043 – </w:t>
      </w:r>
      <w:r w:rsidRPr="00305662">
        <w:rPr>
          <w:i/>
        </w:rPr>
        <w:t>World Health Organization Limits for Packaged Water</w:t>
      </w:r>
      <w:r w:rsidRPr="00B45BE6">
        <w:rPr>
          <w:i/>
        </w:rPr>
        <w:t>) Variation.</w:t>
      </w:r>
    </w:p>
    <w:p w:rsidR="00FB56BE" w:rsidRPr="00DB170D" w:rsidRDefault="00FB56BE" w:rsidP="00FB56BE">
      <w:pPr>
        <w:pStyle w:val="Clause"/>
      </w:pPr>
    </w:p>
    <w:p w:rsidR="00FB56BE" w:rsidRDefault="00FB56BE" w:rsidP="00FB56BE">
      <w:pPr>
        <w:pStyle w:val="Clauseheading"/>
      </w:pPr>
      <w:r>
        <w:t>2</w:t>
      </w:r>
      <w:r>
        <w:tab/>
        <w:t xml:space="preserve">Variation to Standards in the </w:t>
      </w:r>
      <w:r w:rsidRPr="00FF1C11">
        <w:rPr>
          <w:i/>
        </w:rPr>
        <w:t>Australia New Zealand Food Standards Code</w:t>
      </w:r>
    </w:p>
    <w:p w:rsidR="00FB56BE" w:rsidRDefault="00FB56BE" w:rsidP="00FB56BE">
      <w:pPr>
        <w:pStyle w:val="Clause"/>
      </w:pPr>
    </w:p>
    <w:p w:rsidR="00FB56BE" w:rsidRDefault="00FB56BE" w:rsidP="00FB56BE">
      <w:pPr>
        <w:pStyle w:val="Clause"/>
      </w:pPr>
      <w:r>
        <w:t xml:space="preserve">The Schedule varies the Standards in the </w:t>
      </w:r>
      <w:r w:rsidRPr="00FF1C11">
        <w:rPr>
          <w:i/>
        </w:rPr>
        <w:t>Australia New Zealand Food Standards Code</w:t>
      </w:r>
      <w:r>
        <w:t>.</w:t>
      </w:r>
    </w:p>
    <w:p w:rsidR="00FB56BE" w:rsidRPr="00D56376" w:rsidRDefault="00FB56BE" w:rsidP="00FB56BE">
      <w:pPr>
        <w:rPr>
          <w:sz w:val="20"/>
        </w:rPr>
      </w:pPr>
    </w:p>
    <w:p w:rsidR="00FB56BE" w:rsidRDefault="00FB56BE" w:rsidP="00FB56BE">
      <w:pPr>
        <w:pStyle w:val="Clauseheading"/>
      </w:pPr>
      <w:r>
        <w:t>3</w:t>
      </w:r>
      <w:r>
        <w:tab/>
        <w:t>Commencement</w:t>
      </w:r>
    </w:p>
    <w:p w:rsidR="00FB56BE" w:rsidRDefault="00FB56BE" w:rsidP="00FB56BE">
      <w:pPr>
        <w:pStyle w:val="Clause"/>
      </w:pPr>
    </w:p>
    <w:p w:rsidR="006F6588" w:rsidRPr="006F6588" w:rsidRDefault="006F6588" w:rsidP="006F6588">
      <w:pPr>
        <w:rPr>
          <w:sz w:val="20"/>
          <w:szCs w:val="20"/>
          <w:lang w:bidi="ar-SA"/>
        </w:rPr>
      </w:pPr>
      <w:r w:rsidRPr="006F6588">
        <w:rPr>
          <w:sz w:val="20"/>
          <w:szCs w:val="20"/>
          <w:lang w:bidi="ar-SA"/>
        </w:rPr>
        <w:t>These variations commence on</w:t>
      </w:r>
      <w:r w:rsidRPr="006F6588">
        <w:rPr>
          <w:b/>
          <w:sz w:val="20"/>
          <w:szCs w:val="20"/>
          <w:lang w:bidi="ar-SA"/>
        </w:rPr>
        <w:t xml:space="preserve"> </w:t>
      </w:r>
      <w:r w:rsidR="00666237">
        <w:rPr>
          <w:sz w:val="20"/>
        </w:rPr>
        <w:t>21</w:t>
      </w:r>
      <w:r w:rsidRPr="006F6588">
        <w:rPr>
          <w:sz w:val="20"/>
        </w:rPr>
        <w:t xml:space="preserve"> February 2013</w:t>
      </w:r>
      <w:r w:rsidRPr="006F6588">
        <w:rPr>
          <w:sz w:val="20"/>
          <w:szCs w:val="20"/>
          <w:lang w:bidi="ar-SA"/>
        </w:rPr>
        <w:t xml:space="preserve">, other than variation [3.2] which commences on </w:t>
      </w:r>
      <w:r w:rsidR="00666237">
        <w:rPr>
          <w:sz w:val="20"/>
          <w:szCs w:val="20"/>
          <w:lang w:bidi="ar-SA"/>
        </w:rPr>
        <w:t>21</w:t>
      </w:r>
      <w:r w:rsidRPr="006F6588">
        <w:rPr>
          <w:sz w:val="20"/>
          <w:szCs w:val="20"/>
          <w:lang w:bidi="ar-SA"/>
        </w:rPr>
        <w:t xml:space="preserve"> February 2015.</w:t>
      </w:r>
    </w:p>
    <w:p w:rsidR="00FB56BE" w:rsidRPr="00B95608" w:rsidRDefault="00FB56BE" w:rsidP="00FB56BE">
      <w:pPr>
        <w:rPr>
          <w:sz w:val="20"/>
          <w:szCs w:val="20"/>
        </w:rPr>
      </w:pPr>
    </w:p>
    <w:p w:rsidR="00FB56BE" w:rsidRPr="00DE71C4" w:rsidRDefault="00FB56BE" w:rsidP="00FB56BE">
      <w:pPr>
        <w:pStyle w:val="ScheduleHeading"/>
      </w:pPr>
      <w:r w:rsidRPr="00DE71C4">
        <w:t>SCHEDULE</w:t>
      </w:r>
    </w:p>
    <w:p w:rsidR="00FB56BE" w:rsidRPr="00B95608" w:rsidRDefault="00FB56BE" w:rsidP="00FB56BE">
      <w:pPr>
        <w:rPr>
          <w:sz w:val="20"/>
          <w:szCs w:val="20"/>
        </w:rPr>
      </w:pPr>
    </w:p>
    <w:p w:rsidR="00FB56BE" w:rsidRPr="00567632" w:rsidRDefault="00FB56BE" w:rsidP="00FB56BE">
      <w:pPr>
        <w:pStyle w:val="Subclause"/>
      </w:pPr>
      <w:r w:rsidRPr="003F3EE7">
        <w:t>[1]</w:t>
      </w:r>
      <w:r w:rsidRPr="003F3EE7">
        <w:tab/>
        <w:t>Standard 1.3.3</w:t>
      </w:r>
      <w:r w:rsidRPr="00567632">
        <w:t xml:space="preserve"> is varied by omitting from the Table to clause 11 “0.03 </w:t>
      </w:r>
      <w:r>
        <w:t xml:space="preserve">(as styrene)” and substituting </w:t>
      </w:r>
      <w:r w:rsidRPr="00567632">
        <w:t>“0.02 (as styrene)”</w:t>
      </w:r>
    </w:p>
    <w:p w:rsidR="00FB56BE" w:rsidRPr="00567632" w:rsidRDefault="00FB56BE" w:rsidP="00FB56BE">
      <w:pPr>
        <w:pStyle w:val="Subclause"/>
      </w:pPr>
    </w:p>
    <w:p w:rsidR="00FB56BE" w:rsidRDefault="00FB56BE" w:rsidP="00FB56BE">
      <w:pPr>
        <w:pStyle w:val="Subclause"/>
      </w:pPr>
      <w:r w:rsidRPr="003F3EE7">
        <w:t>[2]</w:t>
      </w:r>
      <w:r w:rsidRPr="003F3EE7">
        <w:tab/>
        <w:t>Standard 1.4.1</w:t>
      </w:r>
      <w:r w:rsidRPr="00567632">
        <w:t xml:space="preserve"> is varied by omitting from the Table to clause 3 </w:t>
      </w:r>
    </w:p>
    <w:p w:rsidR="00FB56BE" w:rsidRDefault="00FB56BE" w:rsidP="00FB56BE">
      <w:pPr>
        <w:pStyle w:val="Subclause"/>
      </w:pPr>
      <w:r>
        <w:t>“</w:t>
      </w:r>
    </w:p>
    <w:tbl>
      <w:tblPr>
        <w:tblW w:w="9071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2835"/>
      </w:tblGrid>
      <w:tr w:rsidR="00FB56BE" w:rsidTr="00FF3788">
        <w:trPr>
          <w:cantSplit/>
          <w:jc w:val="center"/>
        </w:trPr>
        <w:tc>
          <w:tcPr>
            <w:tcW w:w="3118" w:type="dxa"/>
          </w:tcPr>
          <w:p w:rsidR="00FB56BE" w:rsidRPr="00737B67" w:rsidRDefault="00FB56BE" w:rsidP="00FF3788">
            <w:pPr>
              <w:pStyle w:val="Table2"/>
            </w:pPr>
            <w:r w:rsidRPr="00737B67">
              <w:t>Vinyl chloride</w:t>
            </w:r>
          </w:p>
        </w:tc>
        <w:tc>
          <w:tcPr>
            <w:tcW w:w="3118" w:type="dxa"/>
          </w:tcPr>
          <w:p w:rsidR="00FB56BE" w:rsidRDefault="00FB56BE" w:rsidP="00FF3788">
            <w:pPr>
              <w:pStyle w:val="Table2"/>
            </w:pPr>
            <w:r>
              <w:t>All food</w:t>
            </w:r>
          </w:p>
        </w:tc>
        <w:tc>
          <w:tcPr>
            <w:tcW w:w="2835" w:type="dxa"/>
          </w:tcPr>
          <w:p w:rsidR="00FB56BE" w:rsidRDefault="00FB56BE" w:rsidP="00FF3788">
            <w:pPr>
              <w:pStyle w:val="Table2"/>
              <w:jc w:val="center"/>
            </w:pPr>
            <w:r>
              <w:t>0.01</w:t>
            </w:r>
          </w:p>
        </w:tc>
      </w:tr>
    </w:tbl>
    <w:p w:rsidR="00FB56BE" w:rsidRDefault="00FB56BE" w:rsidP="00FB56BE">
      <w:pPr>
        <w:pStyle w:val="Subclause"/>
        <w:jc w:val="right"/>
      </w:pPr>
      <w:r>
        <w:t>”</w:t>
      </w:r>
    </w:p>
    <w:p w:rsidR="00FB56BE" w:rsidRDefault="00FB56BE" w:rsidP="00FB56BE">
      <w:pPr>
        <w:pStyle w:val="Subclause"/>
      </w:pPr>
      <w:proofErr w:type="gramStart"/>
      <w:r w:rsidRPr="00567632">
        <w:t>and</w:t>
      </w:r>
      <w:proofErr w:type="gramEnd"/>
      <w:r w:rsidRPr="00567632">
        <w:t xml:space="preserve"> substituting</w:t>
      </w:r>
    </w:p>
    <w:p w:rsidR="003F3EE7" w:rsidRDefault="003F3EE7" w:rsidP="00FB56BE">
      <w:pPr>
        <w:pStyle w:val="Subclause"/>
      </w:pPr>
    </w:p>
    <w:p w:rsidR="00FB56BE" w:rsidRDefault="00FB56BE" w:rsidP="00FB56BE">
      <w:pPr>
        <w:pStyle w:val="Subclause"/>
      </w:pPr>
      <w:r>
        <w:t>“</w:t>
      </w:r>
    </w:p>
    <w:tbl>
      <w:tblPr>
        <w:tblW w:w="9071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2835"/>
      </w:tblGrid>
      <w:tr w:rsidR="00FB56BE" w:rsidTr="00FF3788">
        <w:trPr>
          <w:cantSplit/>
          <w:jc w:val="center"/>
        </w:trPr>
        <w:tc>
          <w:tcPr>
            <w:tcW w:w="3118" w:type="dxa"/>
          </w:tcPr>
          <w:p w:rsidR="00FB56BE" w:rsidRPr="00737B67" w:rsidRDefault="00FB56BE" w:rsidP="00FF3788">
            <w:pPr>
              <w:pStyle w:val="Table2"/>
            </w:pPr>
            <w:r w:rsidRPr="00737B67">
              <w:t>Vinyl chloride</w:t>
            </w:r>
          </w:p>
        </w:tc>
        <w:tc>
          <w:tcPr>
            <w:tcW w:w="3118" w:type="dxa"/>
          </w:tcPr>
          <w:p w:rsidR="00FB56BE" w:rsidRDefault="00FB56BE" w:rsidP="00FF3788">
            <w:pPr>
              <w:pStyle w:val="Table2"/>
            </w:pPr>
            <w:r>
              <w:t>All food except packaged water</w:t>
            </w:r>
          </w:p>
        </w:tc>
        <w:tc>
          <w:tcPr>
            <w:tcW w:w="2835" w:type="dxa"/>
          </w:tcPr>
          <w:p w:rsidR="00FB56BE" w:rsidRDefault="00FB56BE" w:rsidP="00FF3788">
            <w:pPr>
              <w:pStyle w:val="Table2"/>
              <w:jc w:val="center"/>
            </w:pPr>
            <w:r>
              <w:t>0.01</w:t>
            </w:r>
          </w:p>
        </w:tc>
      </w:tr>
    </w:tbl>
    <w:p w:rsidR="00FB56BE" w:rsidRDefault="00FB56BE" w:rsidP="00FB56BE">
      <w:pPr>
        <w:pStyle w:val="Subclause"/>
        <w:jc w:val="right"/>
      </w:pPr>
      <w:r>
        <w:t>”</w:t>
      </w:r>
    </w:p>
    <w:p w:rsidR="00FB56BE" w:rsidRPr="00DE71C4" w:rsidRDefault="00FB56BE" w:rsidP="00FB56BE">
      <w:pPr>
        <w:pStyle w:val="Clause"/>
      </w:pPr>
      <w:r w:rsidRPr="003F3EE7">
        <w:rPr>
          <w:bCs/>
        </w:rPr>
        <w:t>[3]</w:t>
      </w:r>
      <w:r w:rsidRPr="003F3EE7">
        <w:rPr>
          <w:bCs/>
        </w:rPr>
        <w:tab/>
        <w:t>Standard 2.6.2</w:t>
      </w:r>
      <w:r w:rsidRPr="00DE71C4">
        <w:t xml:space="preserve"> is varied by</w:t>
      </w:r>
    </w:p>
    <w:p w:rsidR="00FB56BE" w:rsidRPr="00DE71C4" w:rsidRDefault="00FB56BE" w:rsidP="00FB56BE">
      <w:pPr>
        <w:pStyle w:val="Clause"/>
      </w:pPr>
    </w:p>
    <w:p w:rsidR="00FB56BE" w:rsidRPr="00DE71C4" w:rsidRDefault="00FB56BE" w:rsidP="00FB56BE">
      <w:pPr>
        <w:pStyle w:val="Clause"/>
      </w:pPr>
      <w:r w:rsidRPr="00DE71C4">
        <w:t>[3.1]</w:t>
      </w:r>
      <w:r w:rsidRPr="00DE71C4">
        <w:tab/>
        <w:t xml:space="preserve">inserting after clause 2 the following – </w:t>
      </w:r>
    </w:p>
    <w:p w:rsidR="00FB56BE" w:rsidRPr="00B95608" w:rsidRDefault="00FB56BE" w:rsidP="00FB56BE">
      <w:pPr>
        <w:rPr>
          <w:sz w:val="20"/>
          <w:szCs w:val="20"/>
        </w:rPr>
      </w:pPr>
    </w:p>
    <w:p w:rsidR="00FB56BE" w:rsidRPr="00DE71C4" w:rsidRDefault="00FB56BE" w:rsidP="00FB56BE">
      <w:pPr>
        <w:pStyle w:val="Clauseheading"/>
      </w:pPr>
      <w:r w:rsidRPr="00DE71C4">
        <w:rPr>
          <w:b w:val="0"/>
        </w:rPr>
        <w:t>“</w:t>
      </w:r>
      <w:r w:rsidRPr="00DE71C4">
        <w:t>2AA</w:t>
      </w:r>
      <w:r w:rsidRPr="00DE71C4">
        <w:tab/>
        <w:t xml:space="preserve">Limits for chemicals in packaged water </w:t>
      </w:r>
    </w:p>
    <w:p w:rsidR="00FB56BE" w:rsidRPr="00B95608" w:rsidRDefault="00FB56BE" w:rsidP="00FB56BE">
      <w:pPr>
        <w:rPr>
          <w:sz w:val="20"/>
          <w:szCs w:val="20"/>
        </w:rPr>
      </w:pPr>
    </w:p>
    <w:p w:rsidR="00FB56BE" w:rsidRPr="00DE71C4" w:rsidRDefault="00FB56BE" w:rsidP="00FB56BE">
      <w:pPr>
        <w:pStyle w:val="Subclause"/>
      </w:pPr>
      <w:r w:rsidRPr="00DE71C4">
        <w:t>(1)</w:t>
      </w:r>
      <w:r w:rsidRPr="00DE71C4">
        <w:tab/>
        <w:t>Water presented in packaged form may or may not contain added carbon dioxide.</w:t>
      </w:r>
    </w:p>
    <w:p w:rsidR="00FB56BE" w:rsidRPr="00DE71C4" w:rsidRDefault="00FB56BE" w:rsidP="00FB56BE">
      <w:pPr>
        <w:pStyle w:val="Subclause"/>
      </w:pPr>
    </w:p>
    <w:p w:rsidR="00FB56BE" w:rsidRDefault="00FB56BE" w:rsidP="00FB56BE">
      <w:pPr>
        <w:pStyle w:val="Subclause"/>
        <w:rPr>
          <w:iCs/>
        </w:rPr>
      </w:pPr>
      <w:r>
        <w:t>(2)</w:t>
      </w:r>
      <w:r>
        <w:tab/>
        <w:t xml:space="preserve">Water presented in packaged form must not contain a chemical listed in </w:t>
      </w:r>
      <w:r>
        <w:rPr>
          <w:i/>
          <w:iCs/>
        </w:rPr>
        <w:t>Table A3</w:t>
      </w:r>
      <w:r w:rsidRPr="0005174B">
        <w:rPr>
          <w:i/>
          <w:iCs/>
        </w:rPr>
        <w:t>.3 Guideline values for chemicals that are of health significance in drinking-water</w:t>
      </w:r>
      <w:r>
        <w:rPr>
          <w:i/>
          <w:iCs/>
        </w:rPr>
        <w:t xml:space="preserve"> </w:t>
      </w:r>
      <w:r w:rsidRPr="00C85FBC">
        <w:rPr>
          <w:iCs/>
        </w:rPr>
        <w:t xml:space="preserve">of </w:t>
      </w:r>
      <w:r>
        <w:rPr>
          <w:i/>
          <w:iCs/>
        </w:rPr>
        <w:t>Annex 3</w:t>
      </w:r>
      <w:r w:rsidRPr="0005174B">
        <w:rPr>
          <w:i/>
          <w:iCs/>
        </w:rPr>
        <w:t xml:space="preserve"> C</w:t>
      </w:r>
      <w:r>
        <w:rPr>
          <w:i/>
          <w:iCs/>
        </w:rPr>
        <w:t xml:space="preserve">hemical summary tables </w:t>
      </w:r>
      <w:r w:rsidRPr="0005174B">
        <w:t xml:space="preserve">in the </w:t>
      </w:r>
      <w:r w:rsidRPr="0005174B">
        <w:rPr>
          <w:i/>
          <w:iCs/>
        </w:rPr>
        <w:t xml:space="preserve">Guidelines for drinking-water quality, </w:t>
      </w:r>
      <w:r>
        <w:rPr>
          <w:i/>
          <w:iCs/>
        </w:rPr>
        <w:t>4</w:t>
      </w:r>
      <w:r w:rsidRPr="001C0B73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Pr="0005174B">
        <w:rPr>
          <w:i/>
          <w:iCs/>
        </w:rPr>
        <w:t>edition,</w:t>
      </w:r>
      <w:r>
        <w:rPr>
          <w:i/>
          <w:iCs/>
        </w:rPr>
        <w:t xml:space="preserve"> 2011,</w:t>
      </w:r>
      <w:r w:rsidRPr="0005174B">
        <w:rPr>
          <w:i/>
          <w:iCs/>
        </w:rPr>
        <w:t xml:space="preserve"> World H</w:t>
      </w:r>
      <w:r>
        <w:rPr>
          <w:i/>
          <w:iCs/>
        </w:rPr>
        <w:t>ealth Organization, Geneva,</w:t>
      </w:r>
      <w:r>
        <w:rPr>
          <w:iCs/>
        </w:rPr>
        <w:t xml:space="preserve"> at a level greater than the guideline value for the chemical specified in that Table.</w:t>
      </w:r>
    </w:p>
    <w:p w:rsidR="00FB56BE" w:rsidRDefault="00FB56BE" w:rsidP="00FB56BE">
      <w:pPr>
        <w:pStyle w:val="Subclause"/>
        <w:rPr>
          <w:iCs/>
        </w:rPr>
      </w:pPr>
    </w:p>
    <w:p w:rsidR="00FB56BE" w:rsidRPr="00C25135" w:rsidRDefault="00FB56BE" w:rsidP="00FB56BE">
      <w:pPr>
        <w:pStyle w:val="Subclause"/>
        <w:rPr>
          <w:i/>
          <w:iCs/>
        </w:rPr>
      </w:pPr>
      <w:r w:rsidRPr="00C25135">
        <w:t>(3)</w:t>
      </w:r>
      <w:r w:rsidRPr="00C25135">
        <w:tab/>
        <w:t>Subclause</w:t>
      </w:r>
      <w:r>
        <w:t xml:space="preserve"> (2) does not apply to fluoride</w:t>
      </w:r>
      <w:r w:rsidRPr="00C25135">
        <w:t>.</w:t>
      </w:r>
    </w:p>
    <w:p w:rsidR="00FB56BE" w:rsidRPr="00C25135" w:rsidRDefault="00FB56BE" w:rsidP="00FB56BE">
      <w:pPr>
        <w:rPr>
          <w:sz w:val="20"/>
        </w:rPr>
      </w:pPr>
    </w:p>
    <w:p w:rsidR="00FB56BE" w:rsidRPr="00F66E05" w:rsidRDefault="00FB56BE" w:rsidP="00FB56BE">
      <w:pPr>
        <w:pStyle w:val="Subclause"/>
      </w:pPr>
      <w:r w:rsidRPr="00F66E05">
        <w:t>(4)</w:t>
      </w:r>
      <w:r w:rsidRPr="00F66E05">
        <w:tab/>
        <w:t>Water presented in packaged form must not contain fluoride tha</w:t>
      </w:r>
      <w:r>
        <w:t>t is naturally-occurring in the</w:t>
      </w:r>
      <w:r w:rsidRPr="00F66E05">
        <w:t xml:space="preserve"> water </w:t>
      </w:r>
      <w:r>
        <w:t xml:space="preserve">at a level greater </w:t>
      </w:r>
      <w:r w:rsidRPr="0045442B">
        <w:t>than 1.0 mg/L</w:t>
      </w:r>
      <w:r w:rsidRPr="00F66E05">
        <w:t>.</w:t>
      </w:r>
    </w:p>
    <w:p w:rsidR="00FB56BE" w:rsidRPr="00F66E05" w:rsidRDefault="00FB56BE" w:rsidP="00FB56BE"/>
    <w:p w:rsidR="00FB56BE" w:rsidRPr="00F66E05" w:rsidRDefault="00FB56BE" w:rsidP="00FB56BE">
      <w:pPr>
        <w:pStyle w:val="EditorialNoteLine1"/>
        <w:pBdr>
          <w:right w:val="single" w:sz="6" w:space="2" w:color="auto"/>
        </w:pBdr>
      </w:pPr>
      <w:r w:rsidRPr="00F66E05">
        <w:t>Editorial note:</w:t>
      </w:r>
    </w:p>
    <w:p w:rsidR="00FB56BE" w:rsidRPr="00F66E05" w:rsidRDefault="00FB56BE" w:rsidP="00FB56BE">
      <w:pPr>
        <w:pStyle w:val="EditorialNotetext"/>
        <w:pBdr>
          <w:right w:val="single" w:sz="6" w:space="2" w:color="auto"/>
        </w:pBdr>
      </w:pPr>
    </w:p>
    <w:p w:rsidR="00FB56BE" w:rsidRPr="00F66E05" w:rsidRDefault="00FB56BE" w:rsidP="00FB56BE">
      <w:pPr>
        <w:pStyle w:val="EditorialNotetext"/>
        <w:pBdr>
          <w:right w:val="single" w:sz="6" w:space="2" w:color="auto"/>
        </w:pBdr>
      </w:pPr>
      <w:r w:rsidRPr="00F66E05">
        <w:t>Clause</w:t>
      </w:r>
      <w:r>
        <w:t xml:space="preserve"> 3</w:t>
      </w:r>
      <w:r w:rsidRPr="00F66E05">
        <w:t xml:space="preserve"> of Standard 1.</w:t>
      </w:r>
      <w:r>
        <w:t>4.1</w:t>
      </w:r>
      <w:r w:rsidRPr="00F66E05">
        <w:t xml:space="preserve"> sets </w:t>
      </w:r>
      <w:r>
        <w:t xml:space="preserve">a </w:t>
      </w:r>
      <w:r w:rsidRPr="00F66E05">
        <w:t xml:space="preserve">maximum </w:t>
      </w:r>
      <w:r>
        <w:t>level for Acrylonitrile of 0.02 mg/kg in all food.  Clause 4 of Standard 1.4.1 sets a maximum level for Pulegone of 250 mg/kg in beverages.</w:t>
      </w:r>
    </w:p>
    <w:p w:rsidR="00FB56BE" w:rsidRDefault="00FB56BE" w:rsidP="00FB56BE"/>
    <w:p w:rsidR="00FB56BE" w:rsidRPr="00567632" w:rsidRDefault="00FB56BE" w:rsidP="00FB56BE">
      <w:pPr>
        <w:pStyle w:val="Clauseheading"/>
      </w:pPr>
      <w:r w:rsidRPr="00567632">
        <w:t>2AB</w:t>
      </w:r>
      <w:r w:rsidRPr="00567632">
        <w:tab/>
        <w:t>Compliance with clause 2 or 2AA</w:t>
      </w:r>
    </w:p>
    <w:p w:rsidR="00FB56BE" w:rsidRDefault="00FB56BE" w:rsidP="00FB56BE">
      <w:pPr>
        <w:rPr>
          <w:sz w:val="20"/>
        </w:rPr>
      </w:pPr>
    </w:p>
    <w:p w:rsidR="00FB56BE" w:rsidRPr="00567632" w:rsidRDefault="00FB56BE" w:rsidP="00FB56BE">
      <w:pPr>
        <w:rPr>
          <w:sz w:val="20"/>
        </w:rPr>
      </w:pPr>
      <w:r w:rsidRPr="00567632">
        <w:rPr>
          <w:sz w:val="20"/>
        </w:rPr>
        <w:t>Water presented in packaged form must comply with clause 2 or 2AA, but not a combination of both.”</w:t>
      </w:r>
    </w:p>
    <w:p w:rsidR="00FB56BE" w:rsidRPr="00567632" w:rsidRDefault="00FB56BE" w:rsidP="00FB56BE">
      <w:pPr>
        <w:rPr>
          <w:sz w:val="20"/>
        </w:rPr>
      </w:pPr>
    </w:p>
    <w:p w:rsidR="00FB56BE" w:rsidRDefault="00FB56BE" w:rsidP="00FB56BE">
      <w:pPr>
        <w:pStyle w:val="Clause"/>
      </w:pPr>
      <w:r>
        <w:t>[3.2]</w:t>
      </w:r>
      <w:r>
        <w:tab/>
        <w:t>repealing clauses 2 and 2AB</w:t>
      </w:r>
    </w:p>
    <w:p w:rsidR="00FB56BE" w:rsidRPr="00AF5C9D" w:rsidRDefault="00FB56BE" w:rsidP="00FB56BE">
      <w:pPr>
        <w:pStyle w:val="Clause"/>
      </w:pPr>
    </w:p>
    <w:p w:rsidR="00041643" w:rsidRDefault="00FB56BE" w:rsidP="00FB56BE">
      <w:pPr>
        <w:pStyle w:val="Clause"/>
      </w:pPr>
      <w:r>
        <w:t>[3.3]</w:t>
      </w:r>
      <w:r>
        <w:tab/>
      </w:r>
      <w:r w:rsidRPr="00AF5C9D">
        <w:t>updating the Table of Provisions to reflect these variations</w:t>
      </w:r>
      <w:r>
        <w:t>.</w:t>
      </w:r>
    </w:p>
    <w:sectPr w:rsidR="00041643" w:rsidSect="003F3EE7"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E7" w:rsidRDefault="003F3EE7" w:rsidP="003F3EE7">
      <w:r>
        <w:separator/>
      </w:r>
    </w:p>
  </w:endnote>
  <w:endnote w:type="continuationSeparator" w:id="0">
    <w:p w:rsidR="003F3EE7" w:rsidRDefault="003F3EE7" w:rsidP="003F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844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EE7" w:rsidRDefault="003F3EE7" w:rsidP="003F3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2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E7" w:rsidRDefault="003F3EE7" w:rsidP="003F3EE7">
      <w:r>
        <w:separator/>
      </w:r>
    </w:p>
  </w:footnote>
  <w:footnote w:type="continuationSeparator" w:id="0">
    <w:p w:rsidR="003F3EE7" w:rsidRDefault="003F3EE7" w:rsidP="003F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BE"/>
    <w:rsid w:val="00041643"/>
    <w:rsid w:val="001E696B"/>
    <w:rsid w:val="003F3EE7"/>
    <w:rsid w:val="0054036E"/>
    <w:rsid w:val="00666237"/>
    <w:rsid w:val="006F6588"/>
    <w:rsid w:val="008931F6"/>
    <w:rsid w:val="00DA364F"/>
    <w:rsid w:val="00F76F95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B56BE"/>
    <w:pPr>
      <w:widowControl w:val="0"/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</w:pPr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F76F95"/>
    <w:pPr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link w:val="EditorialNotetextChar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widowControl/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link w:val="SubclauseChar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character" w:customStyle="1" w:styleId="SubclauseChar">
    <w:name w:val="Subclause Char"/>
    <w:basedOn w:val="ClauseChar"/>
    <w:link w:val="Subclause"/>
    <w:rsid w:val="00FB56BE"/>
    <w:rPr>
      <w:rFonts w:eastAsia="Times New Roman" w:cs="Times New Roman"/>
      <w:sz w:val="20"/>
      <w:szCs w:val="20"/>
      <w:lang w:val="en-GB"/>
    </w:rPr>
  </w:style>
  <w:style w:type="character" w:customStyle="1" w:styleId="EditorialNotetextChar">
    <w:name w:val="Editorial Note text Char"/>
    <w:basedOn w:val="DefaultParagraphFont"/>
    <w:link w:val="EditorialNotetext"/>
    <w:rsid w:val="00FB56BE"/>
    <w:rPr>
      <w:rFonts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BE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B56BE"/>
    <w:pPr>
      <w:widowControl w:val="0"/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</w:pPr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F76F95"/>
    <w:pPr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link w:val="EditorialNotetextChar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widowControl/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link w:val="SubclauseChar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character" w:customStyle="1" w:styleId="SubclauseChar">
    <w:name w:val="Subclause Char"/>
    <w:basedOn w:val="ClauseChar"/>
    <w:link w:val="Subclause"/>
    <w:rsid w:val="00FB56BE"/>
    <w:rPr>
      <w:rFonts w:eastAsia="Times New Roman" w:cs="Times New Roman"/>
      <w:sz w:val="20"/>
      <w:szCs w:val="20"/>
      <w:lang w:val="en-GB"/>
    </w:rPr>
  </w:style>
  <w:style w:type="character" w:customStyle="1" w:styleId="EditorialNotetextChar">
    <w:name w:val="Editorial Note text Char"/>
    <w:basedOn w:val="DefaultParagraphFont"/>
    <w:link w:val="EditorialNotetext"/>
    <w:rsid w:val="00FB56BE"/>
    <w:rPr>
      <w:rFonts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BE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2049</Characters>
  <Application>Microsoft Office Word</Application>
  <DocSecurity>0</DocSecurity>
  <Lines>17</Lines>
  <Paragraphs>4</Paragraphs>
  <ScaleCrop>false</ScaleCrop>
  <Company>Food Standards Australia New Zealand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5</cp:revision>
  <cp:lastPrinted>2013-02-12T00:35:00Z</cp:lastPrinted>
  <dcterms:created xsi:type="dcterms:W3CDTF">2013-01-04T04:52:00Z</dcterms:created>
  <dcterms:modified xsi:type="dcterms:W3CDTF">2013-02-12T00:35:00Z</dcterms:modified>
</cp:coreProperties>
</file>