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88" w:rsidRPr="00A417A0" w:rsidRDefault="00E27588" w:rsidP="00E27588">
      <w:pPr>
        <w:jc w:val="both"/>
        <w:rPr>
          <w:b/>
          <w:sz w:val="28"/>
        </w:rPr>
      </w:pPr>
      <w:r>
        <w:rPr>
          <w:noProof/>
          <w:lang w:eastAsia="en-AU"/>
        </w:rPr>
        <w:drawing>
          <wp:inline distT="0" distB="0" distL="0" distR="0">
            <wp:extent cx="1419225" cy="11049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E27588" w:rsidRPr="00A417A0" w:rsidRDefault="00E27588" w:rsidP="00E27588">
      <w:pPr>
        <w:jc w:val="both"/>
        <w:rPr>
          <w:b/>
          <w:sz w:val="28"/>
        </w:rPr>
      </w:pPr>
    </w:p>
    <w:p w:rsidR="00E27588" w:rsidRPr="00A417A0" w:rsidRDefault="00E27588" w:rsidP="00E27588">
      <w:pPr>
        <w:jc w:val="both"/>
        <w:rPr>
          <w:b/>
          <w:sz w:val="32"/>
        </w:rPr>
      </w:pPr>
      <w:r w:rsidRPr="00A417A0">
        <w:rPr>
          <w:b/>
          <w:sz w:val="32"/>
        </w:rPr>
        <w:t xml:space="preserve">Regulation Impact Statement </w:t>
      </w:r>
    </w:p>
    <w:p w:rsidR="00E27588" w:rsidRPr="00A417A0" w:rsidRDefault="00E27588" w:rsidP="00E27588">
      <w:pPr>
        <w:jc w:val="both"/>
        <w:rPr>
          <w:b/>
          <w:sz w:val="32"/>
        </w:rPr>
      </w:pPr>
    </w:p>
    <w:p w:rsidR="00E27588" w:rsidRPr="00A417A0" w:rsidRDefault="00E27588" w:rsidP="00E27588">
      <w:pPr>
        <w:jc w:val="both"/>
        <w:rPr>
          <w:b/>
          <w:sz w:val="32"/>
        </w:rPr>
      </w:pPr>
      <w:r w:rsidRPr="00A417A0">
        <w:rPr>
          <w:b/>
          <w:sz w:val="32"/>
        </w:rPr>
        <w:t>Life and General Insurance Capital Review</w:t>
      </w:r>
    </w:p>
    <w:p w:rsidR="00E27588" w:rsidRPr="00A417A0" w:rsidRDefault="00E27588" w:rsidP="00E27588">
      <w:pPr>
        <w:jc w:val="both"/>
        <w:rPr>
          <w:b/>
        </w:rPr>
      </w:pPr>
    </w:p>
    <w:p w:rsidR="00E27588" w:rsidRPr="00A417A0" w:rsidRDefault="00E27588" w:rsidP="00E27588">
      <w:pPr>
        <w:jc w:val="both"/>
      </w:pPr>
      <w:r w:rsidRPr="00A417A0">
        <w:t xml:space="preserve">(OBPR ID: </w:t>
      </w:r>
      <w:r w:rsidR="00EF132C">
        <w:t>13560</w:t>
      </w:r>
      <w:r w:rsidRPr="00A417A0">
        <w:t>)</w:t>
      </w:r>
    </w:p>
    <w:p w:rsidR="00E27588" w:rsidRPr="00A417A0" w:rsidRDefault="00E27588" w:rsidP="00E27588">
      <w:pPr>
        <w:jc w:val="both"/>
      </w:pPr>
    </w:p>
    <w:p w:rsidR="00E27588" w:rsidRPr="00A417A0" w:rsidRDefault="00E27588" w:rsidP="00E27588">
      <w:pPr>
        <w:jc w:val="both"/>
        <w:rPr>
          <w:b/>
        </w:rPr>
      </w:pPr>
    </w:p>
    <w:p w:rsidR="00E27588" w:rsidRPr="00A417A0" w:rsidRDefault="00E27588" w:rsidP="00E27588">
      <w:pPr>
        <w:jc w:val="both"/>
        <w:rPr>
          <w:b/>
        </w:rPr>
      </w:pPr>
    </w:p>
    <w:p w:rsidR="00E27588" w:rsidRPr="00A417A0" w:rsidRDefault="00E27588" w:rsidP="00E27588">
      <w:pPr>
        <w:jc w:val="both"/>
        <w:rPr>
          <w:b/>
          <w:sz w:val="28"/>
        </w:rPr>
      </w:pPr>
      <w:r w:rsidRPr="00A417A0">
        <w:rPr>
          <w:b/>
          <w:sz w:val="28"/>
        </w:rPr>
        <w:t>Introduction</w:t>
      </w:r>
    </w:p>
    <w:p w:rsidR="00E27588" w:rsidRPr="00A417A0" w:rsidRDefault="00E27588" w:rsidP="00E27588">
      <w:pPr>
        <w:jc w:val="both"/>
      </w:pPr>
    </w:p>
    <w:p w:rsidR="00E27588" w:rsidRPr="00A417A0" w:rsidRDefault="00E27588" w:rsidP="00E27588">
      <w:pPr>
        <w:jc w:val="both"/>
      </w:pPr>
      <w:r w:rsidRPr="00A417A0">
        <w:t>This Regulation Impact Statement (RIS) follows the previous related preliminary assessment OBPR ID:</w:t>
      </w:r>
      <w:r w:rsidR="0036327A">
        <w:t xml:space="preserve"> </w:t>
      </w:r>
      <w:r w:rsidR="00EF132C">
        <w:t>13560</w:t>
      </w:r>
      <w:r w:rsidRPr="00A417A0">
        <w:t xml:space="preserve"> on the Life and General Insurance Capital (LAGIC) </w:t>
      </w:r>
      <w:r w:rsidR="00543D0C">
        <w:t>r</w:t>
      </w:r>
      <w:r w:rsidRPr="00A417A0">
        <w:t xml:space="preserve">eview submitted on 8 January 2010. The preliminary assessment detailed APRA’s proposed changes to prudential standards relating to capital requirements applicable to general insurers and life insurers (generally referred to as insurers in this RIS unless otherwise indicated). </w:t>
      </w:r>
    </w:p>
    <w:p w:rsidR="00E27588" w:rsidRPr="00A417A0" w:rsidRDefault="00E27588" w:rsidP="00E27588">
      <w:pPr>
        <w:jc w:val="both"/>
      </w:pPr>
    </w:p>
    <w:p w:rsidR="00E27588" w:rsidRPr="00A417A0" w:rsidRDefault="00E27588" w:rsidP="00E27588">
      <w:pPr>
        <w:jc w:val="both"/>
      </w:pPr>
      <w:r w:rsidRPr="00A417A0">
        <w:t>The general insurance industry has 124 participants and total assets of $115.6 billion</w:t>
      </w:r>
      <w:r w:rsidR="009F59CE">
        <w:t>,</w:t>
      </w:r>
      <w:r w:rsidRPr="00A417A0">
        <w:t xml:space="preserve"> </w:t>
      </w:r>
      <w:r w:rsidR="009F59CE">
        <w:t>with</w:t>
      </w:r>
      <w:r w:rsidR="009F59CE" w:rsidRPr="00A417A0">
        <w:t xml:space="preserve"> </w:t>
      </w:r>
      <w:r w:rsidRPr="00A417A0">
        <w:t>direct insurers account</w:t>
      </w:r>
      <w:r w:rsidR="009F59CE">
        <w:t>ing</w:t>
      </w:r>
      <w:r w:rsidRPr="00A417A0">
        <w:t xml:space="preserve"> for $102.6 billion of total assets and reinsurers account</w:t>
      </w:r>
      <w:r w:rsidR="009F59CE">
        <w:t>ing</w:t>
      </w:r>
      <w:r w:rsidRPr="00A417A0">
        <w:t xml:space="preserve"> for the remaining $13.0 billion.</w:t>
      </w:r>
      <w:r w:rsidRPr="00A417A0">
        <w:rPr>
          <w:rStyle w:val="FootnoteReference"/>
        </w:rPr>
        <w:footnoteReference w:id="1"/>
      </w:r>
      <w:r w:rsidRPr="00A417A0">
        <w:t xml:space="preserve"> The life insurance industry consists of </w:t>
      </w:r>
      <w:r w:rsidR="00D73CC9">
        <w:t>29</w:t>
      </w:r>
      <w:r w:rsidR="00D73CC9" w:rsidRPr="00A417A0">
        <w:t xml:space="preserve"> </w:t>
      </w:r>
      <w:r w:rsidRPr="00A417A0">
        <w:t>life insur</w:t>
      </w:r>
      <w:r w:rsidR="003F35A7">
        <w:t>ers</w:t>
      </w:r>
      <w:r w:rsidRPr="00A417A0">
        <w:t xml:space="preserve"> and </w:t>
      </w:r>
      <w:r w:rsidR="00D73CC9" w:rsidRPr="00A417A0">
        <w:t>1</w:t>
      </w:r>
      <w:r w:rsidR="00D73CC9">
        <w:t>3</w:t>
      </w:r>
      <w:r w:rsidR="00D73CC9" w:rsidRPr="00A417A0">
        <w:t xml:space="preserve"> </w:t>
      </w:r>
      <w:r w:rsidRPr="00A417A0">
        <w:t xml:space="preserve">friendly societies. </w:t>
      </w:r>
      <w:r w:rsidR="00064C48" w:rsidRPr="00A417A0">
        <w:t xml:space="preserve">The total assets for the life insurance industry </w:t>
      </w:r>
      <w:r w:rsidR="00064C48">
        <w:t>are</w:t>
      </w:r>
      <w:r w:rsidR="00064C48" w:rsidRPr="00A417A0">
        <w:t xml:space="preserve"> $230.2 billion.</w:t>
      </w:r>
      <w:r w:rsidR="00064C48" w:rsidRPr="00A417A0">
        <w:rPr>
          <w:rStyle w:val="FootnoteReference"/>
        </w:rPr>
        <w:footnoteReference w:id="2"/>
      </w:r>
    </w:p>
    <w:p w:rsidR="00E27588" w:rsidRPr="00A417A0" w:rsidRDefault="00E27588" w:rsidP="00E27588">
      <w:pPr>
        <w:jc w:val="both"/>
      </w:pPr>
    </w:p>
    <w:p w:rsidR="00E27588" w:rsidRPr="00A417A0" w:rsidRDefault="00E27588" w:rsidP="00E27588">
      <w:pPr>
        <w:jc w:val="both"/>
      </w:pPr>
      <w:r w:rsidRPr="00A417A0">
        <w:t xml:space="preserve">APRA’s mandate is to ensure the safety and soundness of prudentially regulated financial institutions so that </w:t>
      </w:r>
      <w:r w:rsidR="00897DAB">
        <w:t xml:space="preserve">in all reasonable circumstances </w:t>
      </w:r>
      <w:r w:rsidRPr="00A417A0">
        <w:t xml:space="preserve">they can meet their financial promises to depositors, policyholders and beneficiaries within a stable, efficient and competitive financial system. APRA carries out this mandate through a multi-layered prudential framework that encompasses licensing and supervision of institutions. Under the </w:t>
      </w:r>
      <w:r w:rsidRPr="00A417A0">
        <w:rPr>
          <w:i/>
        </w:rPr>
        <w:t xml:space="preserve">Insurance Act1973 </w:t>
      </w:r>
      <w:r w:rsidRPr="00A417A0">
        <w:t xml:space="preserve">(Insurance Act) and </w:t>
      </w:r>
      <w:r w:rsidRPr="00A417A0">
        <w:rPr>
          <w:i/>
        </w:rPr>
        <w:t>Life Insurance Act 1995</w:t>
      </w:r>
      <w:r w:rsidRPr="00A417A0">
        <w:t xml:space="preserve"> (Life Act), APRA is empowered to issue binding prudential standards that set out specific requirements to which general insurers and life insurers must adhere. These standards are supported by prudential practice guides (PPGs) which clarify APRA’s expectations with regard to </w:t>
      </w:r>
      <w:r w:rsidR="009F59CE">
        <w:t xml:space="preserve">the </w:t>
      </w:r>
      <w:r w:rsidRPr="00A417A0">
        <w:t>prudential requirements.</w:t>
      </w:r>
    </w:p>
    <w:p w:rsidR="00E27588" w:rsidRPr="00A417A0" w:rsidRDefault="00E27588" w:rsidP="00E27588">
      <w:pPr>
        <w:jc w:val="both"/>
      </w:pPr>
    </w:p>
    <w:p w:rsidR="00E27588" w:rsidRPr="00A417A0" w:rsidRDefault="00E27588" w:rsidP="00E27588">
      <w:pPr>
        <w:keepNext/>
        <w:jc w:val="both"/>
      </w:pPr>
      <w:r w:rsidRPr="00A417A0">
        <w:lastRenderedPageBreak/>
        <w:t xml:space="preserve">APRA </w:t>
      </w:r>
      <w:r w:rsidR="004A1301">
        <w:t xml:space="preserve">periodically </w:t>
      </w:r>
      <w:r w:rsidRPr="00A417A0">
        <w:t xml:space="preserve">reviews and amends its prudential requirements </w:t>
      </w:r>
      <w:r w:rsidR="004A1301">
        <w:t>in consideration of</w:t>
      </w:r>
      <w:r w:rsidRPr="00A417A0">
        <w:t xml:space="preserve"> factors </w:t>
      </w:r>
      <w:r w:rsidR="00897DAB">
        <w:t>such as</w:t>
      </w:r>
      <w:r w:rsidRPr="00A417A0">
        <w:t>:</w:t>
      </w:r>
    </w:p>
    <w:p w:rsidR="00E27588" w:rsidRPr="00A417A0" w:rsidRDefault="00E27588" w:rsidP="00E27588">
      <w:pPr>
        <w:keepNext/>
        <w:jc w:val="both"/>
      </w:pPr>
    </w:p>
    <w:p w:rsidR="00E27588" w:rsidRPr="00A417A0" w:rsidRDefault="00E27588" w:rsidP="00E27588">
      <w:pPr>
        <w:pStyle w:val="ListParagraph"/>
        <w:keepNext/>
        <w:numPr>
          <w:ilvl w:val="0"/>
          <w:numId w:val="1"/>
        </w:numPr>
        <w:jc w:val="both"/>
      </w:pPr>
      <w:r w:rsidRPr="00A417A0">
        <w:t xml:space="preserve">international regulatory developments; </w:t>
      </w:r>
    </w:p>
    <w:p w:rsidR="00E27588" w:rsidRPr="00A417A0" w:rsidRDefault="00E27588" w:rsidP="00E27588">
      <w:pPr>
        <w:jc w:val="both"/>
      </w:pPr>
    </w:p>
    <w:p w:rsidR="00E27588" w:rsidRPr="00A417A0" w:rsidRDefault="004A1301" w:rsidP="00532E09">
      <w:pPr>
        <w:pStyle w:val="ListParagraph"/>
        <w:numPr>
          <w:ilvl w:val="0"/>
          <w:numId w:val="1"/>
        </w:numPr>
        <w:jc w:val="both"/>
      </w:pPr>
      <w:r>
        <w:t>market developments and changes in industry practice, including risk management</w:t>
      </w:r>
      <w:r w:rsidR="00D73CC9">
        <w:t xml:space="preserve"> practices</w:t>
      </w:r>
      <w:r w:rsidR="00E27588" w:rsidRPr="00A417A0">
        <w:t>;</w:t>
      </w:r>
      <w:r>
        <w:t xml:space="preserve"> and/or</w:t>
      </w:r>
    </w:p>
    <w:p w:rsidR="00E27588" w:rsidRPr="00A417A0" w:rsidRDefault="00E27588" w:rsidP="00E27588">
      <w:pPr>
        <w:pStyle w:val="ListParagraph"/>
        <w:jc w:val="both"/>
      </w:pPr>
    </w:p>
    <w:p w:rsidR="00E27588" w:rsidRPr="00A417A0" w:rsidRDefault="00E27588" w:rsidP="004A1301">
      <w:pPr>
        <w:pStyle w:val="ListParagraph"/>
        <w:numPr>
          <w:ilvl w:val="0"/>
          <w:numId w:val="1"/>
        </w:numPr>
        <w:jc w:val="both"/>
      </w:pPr>
      <w:r w:rsidRPr="00A417A0">
        <w:t>identified weaknesses in the current prudential framework</w:t>
      </w:r>
      <w:r w:rsidR="00BF3620">
        <w:t xml:space="preserve"> </w:t>
      </w:r>
      <w:r w:rsidR="004A1301">
        <w:t xml:space="preserve">particularly </w:t>
      </w:r>
      <w:r w:rsidR="00D73CC9">
        <w:t xml:space="preserve">following </w:t>
      </w:r>
      <w:r w:rsidRPr="00A417A0">
        <w:t xml:space="preserve">the impact of local and international </w:t>
      </w:r>
      <w:r w:rsidR="004A1301">
        <w:t>stresses</w:t>
      </w:r>
      <w:r w:rsidR="004A1301" w:rsidRPr="00A417A0">
        <w:t xml:space="preserve"> </w:t>
      </w:r>
      <w:r w:rsidRPr="00A417A0">
        <w:t>on the insurance industries.</w:t>
      </w:r>
    </w:p>
    <w:p w:rsidR="00E27588" w:rsidRPr="00A417A0" w:rsidRDefault="00E27588" w:rsidP="00E27588">
      <w:pPr>
        <w:pStyle w:val="ListParagraph"/>
        <w:jc w:val="both"/>
      </w:pPr>
    </w:p>
    <w:p w:rsidR="00E27588" w:rsidRPr="00A417A0" w:rsidRDefault="00E27588" w:rsidP="00E27588">
      <w:pPr>
        <w:jc w:val="both"/>
      </w:pPr>
      <w:r w:rsidRPr="00A417A0">
        <w:t>APRA has well-established prudential standards relating to the capital requirements for insurers. The prudential framework for general insurance was substantially overhauled in two stages, in 2002 and 2005. The experience in subsequent years warranted further assessment of the reforms. Amendments were made to the general insurance capital standards in 2008, with the expectation of further review at a future date as some type</w:t>
      </w:r>
      <w:r w:rsidR="004A1301">
        <w:t>s</w:t>
      </w:r>
      <w:r w:rsidRPr="00A417A0">
        <w:t xml:space="preserve"> of risks were not adequately catered for within the existing capital standards</w:t>
      </w:r>
      <w:r w:rsidR="0041125B">
        <w:t xml:space="preserve"> (in particular</w:t>
      </w:r>
      <w:r w:rsidR="00A66874">
        <w:t>,</w:t>
      </w:r>
      <w:r w:rsidRPr="00A417A0">
        <w:t xml:space="preserve"> asset/liability mismatch risk and certain concentration risks</w:t>
      </w:r>
      <w:r w:rsidR="0041125B">
        <w:t>)</w:t>
      </w:r>
      <w:r w:rsidRPr="00A417A0">
        <w:t>.</w:t>
      </w:r>
    </w:p>
    <w:p w:rsidR="00E27588" w:rsidRPr="00A417A0" w:rsidRDefault="00E27588" w:rsidP="00E27588">
      <w:pPr>
        <w:jc w:val="both"/>
      </w:pPr>
    </w:p>
    <w:p w:rsidR="00E27588" w:rsidRPr="00A417A0" w:rsidRDefault="00E27588" w:rsidP="00E27588">
      <w:pPr>
        <w:jc w:val="both"/>
      </w:pPr>
      <w:r w:rsidRPr="00A417A0">
        <w:t>For life insurance, the original versions of the current capital standards were introduced by the Life Insurance Actuarial Standards Board (LIASB) soon after the enactment of the Life Act</w:t>
      </w:r>
      <w:r w:rsidR="00897DAB">
        <w:t xml:space="preserve"> in 1995</w:t>
      </w:r>
      <w:r w:rsidRPr="00A417A0">
        <w:t xml:space="preserve">. The capital standards were revised by the LIASB a number of times, most recently in 2006. The legislative power to make capital standards for life insurers was transferred from the LIASB to APRA at the beginning of 2008. At the time, the LIASB was in the process of reviewing some parts of the capital standards. </w:t>
      </w:r>
    </w:p>
    <w:p w:rsidR="00E27588" w:rsidRPr="00A417A0" w:rsidRDefault="00E27588" w:rsidP="00E27588">
      <w:pPr>
        <w:jc w:val="both"/>
      </w:pPr>
    </w:p>
    <w:p w:rsidR="00E27588" w:rsidRPr="00A417A0" w:rsidRDefault="00E27588" w:rsidP="00E27588">
      <w:pPr>
        <w:jc w:val="both"/>
      </w:pPr>
      <w:r w:rsidRPr="00A417A0">
        <w:t xml:space="preserve">APRA began its review of the capital standards in late 2008 and announced the broad scope of the review in May 2009. </w:t>
      </w:r>
    </w:p>
    <w:p w:rsidR="00E27588" w:rsidRPr="00A417A0" w:rsidRDefault="00E27588" w:rsidP="00E27588">
      <w:pPr>
        <w:jc w:val="both"/>
      </w:pPr>
    </w:p>
    <w:p w:rsidR="00E27588" w:rsidRPr="00A417A0" w:rsidRDefault="00E27588" w:rsidP="00E27588">
      <w:pPr>
        <w:jc w:val="both"/>
      </w:pPr>
    </w:p>
    <w:p w:rsidR="00E27588" w:rsidRPr="00A417A0" w:rsidRDefault="00A66874" w:rsidP="00E27588">
      <w:pPr>
        <w:jc w:val="both"/>
        <w:rPr>
          <w:b/>
          <w:i/>
        </w:rPr>
      </w:pPr>
      <w:r>
        <w:rPr>
          <w:b/>
          <w:i/>
        </w:rPr>
        <w:t>C</w:t>
      </w:r>
      <w:r w:rsidR="00E27588" w:rsidRPr="00A417A0">
        <w:rPr>
          <w:b/>
          <w:i/>
        </w:rPr>
        <w:t>onsultation</w:t>
      </w:r>
    </w:p>
    <w:p w:rsidR="00E27588" w:rsidRPr="00A417A0" w:rsidRDefault="00E27588" w:rsidP="00E27588">
      <w:pPr>
        <w:spacing w:before="240" w:after="240"/>
        <w:jc w:val="both"/>
      </w:pPr>
      <w:r w:rsidRPr="00A417A0">
        <w:t>APRA has engaged in multiple rounds of consultation with industry. The consultation is ongoing and will continue through 2012; industry now</w:t>
      </w:r>
      <w:r w:rsidR="00897DAB">
        <w:t xml:space="preserve"> ha</w:t>
      </w:r>
      <w:r w:rsidR="00913061">
        <w:t>s</w:t>
      </w:r>
      <w:r w:rsidRPr="00A417A0">
        <w:t xml:space="preserve"> been consulted at least once in relation to all </w:t>
      </w:r>
      <w:r w:rsidR="004A1301">
        <w:t xml:space="preserve">of </w:t>
      </w:r>
      <w:r w:rsidRPr="00A417A0">
        <w:t xml:space="preserve">the key proposals. Through the consultation process and </w:t>
      </w:r>
      <w:r w:rsidR="0041125B">
        <w:t xml:space="preserve">quantitative </w:t>
      </w:r>
      <w:r w:rsidRPr="00A417A0">
        <w:t xml:space="preserve">impact studies, APRA has collected information on the costs and benefits of the proposals. APRA has also modified </w:t>
      </w:r>
      <w:r w:rsidR="004A1301">
        <w:t xml:space="preserve">the </w:t>
      </w:r>
      <w:r w:rsidRPr="00A417A0">
        <w:t xml:space="preserve">proposals as appropriate to take account of the feedback received through the consultation process. </w:t>
      </w:r>
    </w:p>
    <w:p w:rsidR="00E27588" w:rsidRPr="00A417A0" w:rsidRDefault="00E27588" w:rsidP="00E27588">
      <w:pPr>
        <w:jc w:val="both"/>
      </w:pPr>
    </w:p>
    <w:p w:rsidR="00E27588" w:rsidRPr="00A417A0" w:rsidRDefault="00E27588" w:rsidP="00E27588">
      <w:pPr>
        <w:jc w:val="both"/>
        <w:rPr>
          <w:b/>
          <w:sz w:val="28"/>
        </w:rPr>
      </w:pPr>
      <w:r w:rsidRPr="00A417A0">
        <w:rPr>
          <w:b/>
          <w:sz w:val="28"/>
        </w:rPr>
        <w:t>Problem</w:t>
      </w:r>
    </w:p>
    <w:p w:rsidR="00E27588" w:rsidRDefault="00E27588" w:rsidP="00E27588">
      <w:pPr>
        <w:jc w:val="both"/>
      </w:pPr>
    </w:p>
    <w:p w:rsidR="007C3D5A" w:rsidRDefault="00897DAB" w:rsidP="000F73BE">
      <w:pPr>
        <w:jc w:val="both"/>
      </w:pPr>
      <w:r>
        <w:t xml:space="preserve">APRA’s </w:t>
      </w:r>
      <w:r w:rsidR="000E68B8">
        <w:t xml:space="preserve">regulation of insurers involves </w:t>
      </w:r>
      <w:r w:rsidR="004A1301">
        <w:t>periodic</w:t>
      </w:r>
      <w:r w:rsidR="00CF3B3F">
        <w:t xml:space="preserve"> review of the </w:t>
      </w:r>
      <w:r>
        <w:t xml:space="preserve">adequacy of the </w:t>
      </w:r>
      <w:r w:rsidR="00CF3B3F">
        <w:t>ca</w:t>
      </w:r>
      <w:r w:rsidR="000E68B8">
        <w:t xml:space="preserve">pital requirements for insurers. </w:t>
      </w:r>
      <w:r>
        <w:t xml:space="preserve">Through this </w:t>
      </w:r>
      <w:r w:rsidR="004A1301">
        <w:t xml:space="preserve">regular review </w:t>
      </w:r>
      <w:r>
        <w:t>process</w:t>
      </w:r>
      <w:r w:rsidR="004A1301">
        <w:t>,</w:t>
      </w:r>
      <w:r w:rsidR="000E68B8">
        <w:t xml:space="preserve"> and </w:t>
      </w:r>
      <w:r w:rsidR="00CF3B3F">
        <w:t xml:space="preserve">in light of issues arising from recent natural disasters in Australia </w:t>
      </w:r>
      <w:r w:rsidR="004A1301">
        <w:t>and</w:t>
      </w:r>
      <w:r w:rsidR="00CF3B3F">
        <w:t xml:space="preserve"> the Global Financial Crisis</w:t>
      </w:r>
      <w:r w:rsidR="00F91CD0">
        <w:t xml:space="preserve"> (GFC)</w:t>
      </w:r>
      <w:r w:rsidR="00CF3B3F">
        <w:t xml:space="preserve">, </w:t>
      </w:r>
      <w:r w:rsidR="00EE21D4" w:rsidRPr="00A417A0" w:rsidDel="00BB7C56">
        <w:t>APRA has identified a range of areas in which the current capital framework</w:t>
      </w:r>
      <w:r w:rsidR="008C79EB">
        <w:t xml:space="preserve"> </w:t>
      </w:r>
      <w:r w:rsidR="00EF132C">
        <w:t xml:space="preserve">lacks </w:t>
      </w:r>
      <w:r>
        <w:t xml:space="preserve">adequate </w:t>
      </w:r>
      <w:r w:rsidR="004A1301">
        <w:t xml:space="preserve">risk sensitivity. </w:t>
      </w:r>
    </w:p>
    <w:p w:rsidR="007C3D5A" w:rsidRDefault="007C3D5A" w:rsidP="000F73BE">
      <w:pPr>
        <w:jc w:val="both"/>
      </w:pPr>
    </w:p>
    <w:p w:rsidR="00E827D9" w:rsidRDefault="00EE21D4" w:rsidP="000F73BE">
      <w:pPr>
        <w:jc w:val="both"/>
      </w:pPr>
      <w:r w:rsidDel="00BB7C56">
        <w:lastRenderedPageBreak/>
        <w:t xml:space="preserve">Recent experience with natural disasters in Australia </w:t>
      </w:r>
      <w:r w:rsidR="00913061" w:rsidDel="00BB7C56">
        <w:t>ha</w:t>
      </w:r>
      <w:r w:rsidR="00913061">
        <w:t>s</w:t>
      </w:r>
      <w:r w:rsidR="00913061" w:rsidDel="00BB7C56">
        <w:t xml:space="preserve"> </w:t>
      </w:r>
      <w:r w:rsidR="00C03631">
        <w:t xml:space="preserve">exposed gaps in </w:t>
      </w:r>
      <w:r w:rsidDel="00BB7C56">
        <w:t xml:space="preserve">the adequacy of the current </w:t>
      </w:r>
      <w:r w:rsidR="00F85CC7">
        <w:t xml:space="preserve">general insurance </w:t>
      </w:r>
      <w:r w:rsidDel="00BB7C56">
        <w:t xml:space="preserve">capital standards </w:t>
      </w:r>
      <w:r w:rsidR="00A66874">
        <w:t>to</w:t>
      </w:r>
      <w:r w:rsidDel="00BB7C56">
        <w:t xml:space="preserve"> deal with extreme events or multiple large losses in any one year</w:t>
      </w:r>
      <w:r w:rsidR="008C79EB">
        <w:t>.</w:t>
      </w:r>
      <w:r w:rsidR="00F91CD0" w:rsidRPr="00F91CD0">
        <w:t xml:space="preserve"> </w:t>
      </w:r>
    </w:p>
    <w:p w:rsidR="00E827D9" w:rsidRDefault="00E827D9" w:rsidP="000F73BE">
      <w:pPr>
        <w:jc w:val="both"/>
      </w:pPr>
    </w:p>
    <w:p w:rsidR="00071600" w:rsidRDefault="00F91CD0" w:rsidP="000F73BE">
      <w:pPr>
        <w:jc w:val="both"/>
      </w:pPr>
      <w:r>
        <w:t xml:space="preserve">The experience during the </w:t>
      </w:r>
      <w:r w:rsidR="00807E53">
        <w:t>GFC</w:t>
      </w:r>
      <w:r w:rsidRPr="00A417A0">
        <w:t>, particularly overseas, showed that certain types of capital instruments which were included in the capital base of banks and insurers did not behave as expected in times of stress.</w:t>
      </w:r>
      <w:r w:rsidR="00DC04D1">
        <w:t xml:space="preserve"> </w:t>
      </w:r>
      <w:r w:rsidR="004421F6">
        <w:t xml:space="preserve"> </w:t>
      </w:r>
      <w:r w:rsidR="00161EE8">
        <w:t xml:space="preserve">Results from APRA’s quantitative studies </w:t>
      </w:r>
      <w:r w:rsidR="0069623F">
        <w:t>on the impact on</w:t>
      </w:r>
      <w:r w:rsidR="00161EE8">
        <w:t xml:space="preserve"> industry </w:t>
      </w:r>
      <w:r w:rsidR="00664BFF">
        <w:t xml:space="preserve">highlight </w:t>
      </w:r>
      <w:r w:rsidR="0069623F">
        <w:t xml:space="preserve">the need for </w:t>
      </w:r>
      <w:r w:rsidR="00161EE8">
        <w:t>a more risk sensitive view of capital</w:t>
      </w:r>
      <w:r w:rsidR="007F2021">
        <w:t xml:space="preserve">, </w:t>
      </w:r>
      <w:r w:rsidR="00161EE8">
        <w:t>show</w:t>
      </w:r>
      <w:r w:rsidR="0069623F">
        <w:t>ing</w:t>
      </w:r>
      <w:r w:rsidR="00161EE8">
        <w:t xml:space="preserve"> that the current requirements may not be adequate</w:t>
      </w:r>
      <w:r w:rsidR="0069623F">
        <w:t xml:space="preserve"> in this regard</w:t>
      </w:r>
      <w:r w:rsidR="00161EE8">
        <w:t>.</w:t>
      </w:r>
      <w:r w:rsidR="00161EE8" w:rsidRPr="00161EE8">
        <w:t xml:space="preserve"> </w:t>
      </w:r>
      <w:r w:rsidR="00161EE8" w:rsidDel="00BB7C56">
        <w:t xml:space="preserve"> </w:t>
      </w:r>
    </w:p>
    <w:p w:rsidR="00071600" w:rsidRDefault="00071600" w:rsidP="000F73BE">
      <w:pPr>
        <w:jc w:val="both"/>
      </w:pPr>
    </w:p>
    <w:p w:rsidR="00F8051A" w:rsidRDefault="00EC01E3" w:rsidP="000F73BE">
      <w:pPr>
        <w:jc w:val="both"/>
      </w:pPr>
      <w:r>
        <w:t xml:space="preserve">Although there were no insurer failures in the Australian insurance industry during this period, the </w:t>
      </w:r>
      <w:r w:rsidR="0069623F">
        <w:t>above</w:t>
      </w:r>
      <w:r w:rsidR="00071600">
        <w:t xml:space="preserve"> points </w:t>
      </w:r>
      <w:r w:rsidR="0069623F">
        <w:t>indicate</w:t>
      </w:r>
      <w:r w:rsidR="00071600" w:rsidRPr="00A417A0">
        <w:t xml:space="preserve"> that the </w:t>
      </w:r>
      <w:r w:rsidR="00071600">
        <w:t>current capital framework may not adequately</w:t>
      </w:r>
      <w:r w:rsidR="00071600" w:rsidRPr="00A417A0">
        <w:t xml:space="preserve"> protect insurers </w:t>
      </w:r>
      <w:r w:rsidR="00071600">
        <w:t>in very s</w:t>
      </w:r>
      <w:r w:rsidR="00071600" w:rsidRPr="00A417A0">
        <w:t>tressed market conditions</w:t>
      </w:r>
      <w:r w:rsidR="00071600">
        <w:t xml:space="preserve"> and this may lead to a higher than targeted risk of insurer failure</w:t>
      </w:r>
      <w:r w:rsidR="00071600" w:rsidRPr="00A417A0" w:rsidDel="00BB7C56">
        <w:t>.</w:t>
      </w:r>
      <w:r w:rsidR="00071600" w:rsidRPr="00071600">
        <w:t xml:space="preserve"> </w:t>
      </w:r>
      <w:r w:rsidR="00071600">
        <w:t xml:space="preserve">APRA is seeking to improve the risk sensitivity of the capital requirements </w:t>
      </w:r>
      <w:r w:rsidR="00807E53">
        <w:t xml:space="preserve">for insurers </w:t>
      </w:r>
      <w:r w:rsidR="00071600">
        <w:t xml:space="preserve">by better matching </w:t>
      </w:r>
      <w:r w:rsidR="0069623F">
        <w:t xml:space="preserve">the </w:t>
      </w:r>
      <w:r w:rsidR="00071600">
        <w:t xml:space="preserve">risks </w:t>
      </w:r>
      <w:r w:rsidR="00CB7226">
        <w:t>to which</w:t>
      </w:r>
      <w:r w:rsidR="00071600">
        <w:t xml:space="preserve"> insurers</w:t>
      </w:r>
      <w:r w:rsidR="00CB7226">
        <w:t xml:space="preserve"> are exposed</w:t>
      </w:r>
      <w:r w:rsidR="00807E53">
        <w:t xml:space="preserve"> with</w:t>
      </w:r>
      <w:r w:rsidR="00071600">
        <w:t xml:space="preserve"> the</w:t>
      </w:r>
      <w:r w:rsidR="00071600" w:rsidRPr="00A417A0">
        <w:t xml:space="preserve"> level of required </w:t>
      </w:r>
      <w:r w:rsidR="00807E53" w:rsidRPr="00A417A0">
        <w:t>capital corresponding</w:t>
      </w:r>
      <w:r w:rsidR="00071600" w:rsidRPr="00A417A0">
        <w:t xml:space="preserve"> to a 99.5 per cent probability of sufficiency over a one-year period.</w:t>
      </w:r>
    </w:p>
    <w:p w:rsidR="00F8051A" w:rsidRDefault="00F8051A" w:rsidP="000F73BE">
      <w:pPr>
        <w:jc w:val="both"/>
      </w:pPr>
    </w:p>
    <w:p w:rsidR="00EC01E3" w:rsidRDefault="00EC01E3" w:rsidP="00EC01E3">
      <w:pPr>
        <w:jc w:val="both"/>
      </w:pPr>
      <w:r>
        <w:t xml:space="preserve">Other areas in the current capital standards that have been identified as requiring change include the need to explicitly take into account operational risk and more explicitly allow for the level of diversification between some risks.  </w:t>
      </w:r>
    </w:p>
    <w:p w:rsidR="00EC01E3" w:rsidRDefault="00EC01E3" w:rsidP="00EC01E3">
      <w:pPr>
        <w:jc w:val="both"/>
      </w:pPr>
    </w:p>
    <w:p w:rsidR="00071600" w:rsidRDefault="00F8051A" w:rsidP="00E27588">
      <w:pPr>
        <w:jc w:val="both"/>
      </w:pPr>
      <w:r>
        <w:t xml:space="preserve">Additional benefits </w:t>
      </w:r>
      <w:r w:rsidR="007C3D5A">
        <w:t xml:space="preserve">are expected to </w:t>
      </w:r>
      <w:r>
        <w:t xml:space="preserve">be realised through alignment of </w:t>
      </w:r>
      <w:r w:rsidR="0069623F">
        <w:t>the</w:t>
      </w:r>
      <w:r w:rsidR="00A66874">
        <w:t xml:space="preserve"> capital</w:t>
      </w:r>
      <w:r w:rsidR="0069623F">
        <w:t xml:space="preserve"> </w:t>
      </w:r>
      <w:r>
        <w:t xml:space="preserve">requirements for general and life insurers with </w:t>
      </w:r>
      <w:r w:rsidR="007231E1">
        <w:t>each other</w:t>
      </w:r>
      <w:r w:rsidR="0069623F">
        <w:t>,</w:t>
      </w:r>
      <w:r w:rsidR="007231E1">
        <w:t xml:space="preserve"> and where appropriate with </w:t>
      </w:r>
      <w:r>
        <w:t xml:space="preserve">those for ADIs, </w:t>
      </w:r>
      <w:r w:rsidR="007C3D5A">
        <w:t>due to</w:t>
      </w:r>
      <w:r>
        <w:t xml:space="preserve"> improved comparability between regulated industries</w:t>
      </w:r>
      <w:r w:rsidR="001176CA">
        <w:t xml:space="preserve"> and</w:t>
      </w:r>
      <w:r>
        <w:t xml:space="preserve"> simplified compliance</w:t>
      </w:r>
      <w:r w:rsidR="0069623F">
        <w:t xml:space="preserve"> by industry</w:t>
      </w:r>
      <w:r>
        <w:t>.</w:t>
      </w:r>
      <w:r w:rsidR="00BF089D">
        <w:t xml:space="preserve"> </w:t>
      </w:r>
    </w:p>
    <w:p w:rsidR="00071600" w:rsidRDefault="00071600" w:rsidP="00E27588">
      <w:pPr>
        <w:jc w:val="both"/>
      </w:pPr>
    </w:p>
    <w:p w:rsidR="00F71272" w:rsidRPr="00EE21D4" w:rsidRDefault="007C3D5A" w:rsidP="00E27588">
      <w:pPr>
        <w:jc w:val="both"/>
      </w:pPr>
      <w:r>
        <w:t xml:space="preserve">Industry </w:t>
      </w:r>
      <w:r w:rsidR="00E827D9">
        <w:t xml:space="preserve">is </w:t>
      </w:r>
      <w:r>
        <w:t xml:space="preserve">in </w:t>
      </w:r>
      <w:r w:rsidR="00BF3620">
        <w:t xml:space="preserve">a </w:t>
      </w:r>
      <w:r>
        <w:t xml:space="preserve">sound financial position and </w:t>
      </w:r>
      <w:r w:rsidR="0069623F">
        <w:t xml:space="preserve">APRA expects that the necessary </w:t>
      </w:r>
      <w:r>
        <w:t xml:space="preserve">adjustments </w:t>
      </w:r>
      <w:r w:rsidR="0069623F">
        <w:t xml:space="preserve">to meet the revised requirements </w:t>
      </w:r>
      <w:r>
        <w:t>can be accommodated through appropriate transition</w:t>
      </w:r>
      <w:r w:rsidR="00071600">
        <w:t xml:space="preserve"> arrangements</w:t>
      </w:r>
      <w:r>
        <w:t>.</w:t>
      </w:r>
    </w:p>
    <w:p w:rsidR="00EE21D4" w:rsidRDefault="00EE21D4" w:rsidP="00E27588">
      <w:pPr>
        <w:jc w:val="both"/>
        <w:rPr>
          <w:b/>
          <w:i/>
          <w:u w:val="single"/>
        </w:rPr>
      </w:pPr>
    </w:p>
    <w:p w:rsidR="004421F6" w:rsidRDefault="004421F6" w:rsidP="00E27588">
      <w:pPr>
        <w:jc w:val="both"/>
        <w:rPr>
          <w:b/>
          <w:i/>
          <w:u w:val="single"/>
        </w:rPr>
      </w:pPr>
    </w:p>
    <w:p w:rsidR="009F384B" w:rsidRDefault="000F73BE">
      <w:pPr>
        <w:keepNext/>
        <w:jc w:val="both"/>
        <w:rPr>
          <w:b/>
          <w:i/>
        </w:rPr>
      </w:pPr>
      <w:r w:rsidRPr="000F73BE">
        <w:rPr>
          <w:b/>
          <w:i/>
        </w:rPr>
        <w:t>Market failures</w:t>
      </w:r>
    </w:p>
    <w:p w:rsidR="009F384B" w:rsidRDefault="009F384B">
      <w:pPr>
        <w:keepNext/>
        <w:jc w:val="both"/>
        <w:rPr>
          <w:b/>
          <w:i/>
          <w:u w:val="single"/>
        </w:rPr>
      </w:pPr>
    </w:p>
    <w:p w:rsidR="009F384B" w:rsidRDefault="00E27588">
      <w:pPr>
        <w:keepNext/>
        <w:jc w:val="both"/>
      </w:pPr>
      <w:r w:rsidRPr="00A417A0">
        <w:t>APRA has statutory responsibility for prudentially regulating the general insurance and life insurance industries to protect the interests of the owners and prospective owners of insurance policies. APRA is required to exercise this responsibility in a manner consistent with the continued development of a viable, competitive and innovative insurance industry.</w:t>
      </w:r>
    </w:p>
    <w:p w:rsidR="00E27588" w:rsidRPr="00A417A0" w:rsidRDefault="00E27588" w:rsidP="00E27588">
      <w:pPr>
        <w:jc w:val="both"/>
      </w:pPr>
    </w:p>
    <w:p w:rsidR="007231E1" w:rsidRDefault="007231E1" w:rsidP="00A579ED">
      <w:pPr>
        <w:jc w:val="both"/>
      </w:pPr>
      <w:r>
        <w:t>The</w:t>
      </w:r>
      <w:r w:rsidR="00D65677">
        <w:t xml:space="preserve"> primary rationale for the </w:t>
      </w:r>
      <w:r w:rsidR="0005522F">
        <w:t>p</w:t>
      </w:r>
      <w:r w:rsidR="00E27588" w:rsidRPr="00A417A0">
        <w:t>rudential regulation of insurers is to address</w:t>
      </w:r>
      <w:r>
        <w:t xml:space="preserve"> the risk of insurer</w:t>
      </w:r>
      <w:r w:rsidR="00E27588" w:rsidRPr="00A417A0">
        <w:t xml:space="preserve"> failures.</w:t>
      </w:r>
      <w:r w:rsidR="00FA6D4E">
        <w:t xml:space="preserve"> </w:t>
      </w:r>
      <w:r w:rsidR="00D65677" w:rsidRPr="00A417A0">
        <w:t xml:space="preserve">A key tool to </w:t>
      </w:r>
      <w:r w:rsidR="00D65677">
        <w:t xml:space="preserve">minimise instances of </w:t>
      </w:r>
      <w:r>
        <w:t xml:space="preserve">such </w:t>
      </w:r>
      <w:r w:rsidR="00D65677" w:rsidRPr="00A417A0">
        <w:t>failures is a risk-based capital adequacy regime</w:t>
      </w:r>
      <w:r w:rsidR="00D65677">
        <w:t xml:space="preserve">, to ensure insurers maintain a minimum level of capital commensurate with the risk profile of their businesses. When these conditions are not met, insurers can </w:t>
      </w:r>
      <w:r w:rsidR="00DE2D0C">
        <w:t>take on</w:t>
      </w:r>
      <w:r w:rsidR="00D65677">
        <w:t xml:space="preserve"> risks that are </w:t>
      </w:r>
      <w:r w:rsidR="00BF089D">
        <w:t>not supported by adequate capital, thus</w:t>
      </w:r>
      <w:r>
        <w:t xml:space="preserve"> increasing</w:t>
      </w:r>
      <w:r w:rsidR="00D65677">
        <w:t xml:space="preserve"> the likelihood of failure </w:t>
      </w:r>
      <w:r w:rsidR="00BF089D">
        <w:t xml:space="preserve">of the insurer </w:t>
      </w:r>
      <w:r w:rsidR="00D65677">
        <w:t>beyond the levels acceptable to APRA</w:t>
      </w:r>
      <w:r w:rsidR="00DC58E9">
        <w:t xml:space="preserve"> and the general commu</w:t>
      </w:r>
      <w:r w:rsidR="000B640B">
        <w:t>n</w:t>
      </w:r>
      <w:r w:rsidR="00DC58E9">
        <w:t>ity</w:t>
      </w:r>
      <w:r w:rsidR="00D65677">
        <w:t>.</w:t>
      </w:r>
      <w:r w:rsidR="00E27588" w:rsidRPr="00A417A0">
        <w:t xml:space="preserve"> </w:t>
      </w:r>
    </w:p>
    <w:p w:rsidR="007231E1" w:rsidRDefault="007231E1" w:rsidP="00E27588">
      <w:pPr>
        <w:keepNext/>
        <w:jc w:val="both"/>
      </w:pPr>
    </w:p>
    <w:p w:rsidR="00E27588" w:rsidRPr="00A417A0" w:rsidRDefault="007231E1" w:rsidP="00E27588">
      <w:pPr>
        <w:keepNext/>
        <w:jc w:val="both"/>
      </w:pPr>
      <w:r>
        <w:t xml:space="preserve">The market alone cannot always be relied on to ensure adequate capital support for an insurer’s risks. </w:t>
      </w:r>
      <w:r w:rsidR="00D65677">
        <w:t xml:space="preserve">Examples of market failures </w:t>
      </w:r>
      <w:r w:rsidR="00E27588" w:rsidRPr="00A417A0">
        <w:t>include:</w:t>
      </w:r>
    </w:p>
    <w:p w:rsidR="00E27588" w:rsidRPr="00A417A0" w:rsidRDefault="00E27588" w:rsidP="00E27588">
      <w:pPr>
        <w:keepNext/>
        <w:jc w:val="both"/>
      </w:pPr>
    </w:p>
    <w:p w:rsidR="00E27588" w:rsidRPr="00A417A0" w:rsidRDefault="00E27588" w:rsidP="00E27588">
      <w:pPr>
        <w:pStyle w:val="ListParagraph"/>
        <w:keepNext/>
        <w:numPr>
          <w:ilvl w:val="0"/>
          <w:numId w:val="9"/>
        </w:numPr>
        <w:jc w:val="both"/>
      </w:pPr>
      <w:r w:rsidRPr="00A417A0">
        <w:rPr>
          <w:b/>
        </w:rPr>
        <w:t>Asymmetric information between insurers and policyholders</w:t>
      </w:r>
      <w:r w:rsidR="00C14FE5">
        <w:t xml:space="preserve"> - F</w:t>
      </w:r>
      <w:r w:rsidRPr="00A417A0">
        <w:t xml:space="preserve">inancial promises can be complex and long term. It is difficult for individual </w:t>
      </w:r>
      <w:r w:rsidRPr="00A417A0">
        <w:lastRenderedPageBreak/>
        <w:t>policyholders to assess the strength of a financial institution and its ability to meet its fi</w:t>
      </w:r>
      <w:r w:rsidR="00E27E1E">
        <w:t>nancial promises in the future.</w:t>
      </w:r>
      <w:r w:rsidRPr="00A417A0">
        <w:t xml:space="preserve"> The prudential regulator has the ability to gather relevant information to facilitate assessments</w:t>
      </w:r>
      <w:r w:rsidR="00C43E56">
        <w:t xml:space="preserve"> of financial strength</w:t>
      </w:r>
      <w:r w:rsidR="00E27E1E">
        <w:t>.</w:t>
      </w:r>
      <w:r w:rsidRPr="00A417A0">
        <w:t xml:space="preserve"> By licensing only </w:t>
      </w:r>
      <w:r>
        <w:t>entities</w:t>
      </w:r>
      <w:r w:rsidRPr="00A417A0">
        <w:t xml:space="preserve"> that meet relevant </w:t>
      </w:r>
      <w:r w:rsidR="00D65677">
        <w:t xml:space="preserve">capital </w:t>
      </w:r>
      <w:r w:rsidRPr="00A417A0">
        <w:t>standards, and supervising those institutions on an ongoing basis</w:t>
      </w:r>
      <w:r w:rsidR="00D65677">
        <w:t xml:space="preserve"> </w:t>
      </w:r>
      <w:r w:rsidR="00FB1E29">
        <w:t xml:space="preserve">to </w:t>
      </w:r>
      <w:r w:rsidR="00D65677">
        <w:t xml:space="preserve">ensure that the capital held </w:t>
      </w:r>
      <w:r w:rsidR="007F3DFF">
        <w:t>reflects</w:t>
      </w:r>
      <w:r w:rsidR="00D65677">
        <w:t xml:space="preserve"> the</w:t>
      </w:r>
      <w:r w:rsidR="0069623F">
        <w:t>ir</w:t>
      </w:r>
      <w:r w:rsidR="00D65677">
        <w:t xml:space="preserve"> risk profile</w:t>
      </w:r>
      <w:r w:rsidRPr="00A417A0">
        <w:t>,</w:t>
      </w:r>
      <w:r w:rsidR="00D65677">
        <w:t xml:space="preserve"> the </w:t>
      </w:r>
      <w:r w:rsidR="00B46892">
        <w:t>likelihood</w:t>
      </w:r>
      <w:r w:rsidR="00D65677">
        <w:t xml:space="preserve"> that promises to policy</w:t>
      </w:r>
      <w:r w:rsidR="00067208">
        <w:t>holders</w:t>
      </w:r>
      <w:r w:rsidR="00396A87">
        <w:t xml:space="preserve"> and beneficiaries</w:t>
      </w:r>
      <w:r w:rsidR="00D65677">
        <w:t xml:space="preserve"> will be kept and that their entitlements will be paid out</w:t>
      </w:r>
      <w:r w:rsidR="00B46892">
        <w:t xml:space="preserve"> can be reasonably expected to increase</w:t>
      </w:r>
      <w:r w:rsidR="00E27E1E">
        <w:t xml:space="preserve">. </w:t>
      </w:r>
      <w:r w:rsidRPr="00A417A0">
        <w:t xml:space="preserve">This </w:t>
      </w:r>
      <w:r w:rsidR="00D65677">
        <w:t>may also</w:t>
      </w:r>
      <w:r w:rsidR="00D65677" w:rsidRPr="00A417A0">
        <w:t xml:space="preserve"> </w:t>
      </w:r>
      <w:r w:rsidRPr="00A417A0">
        <w:t>lead to increased confidence in the insurance industry.</w:t>
      </w:r>
    </w:p>
    <w:p w:rsidR="00E27588" w:rsidRPr="00A417A0" w:rsidRDefault="00E27588" w:rsidP="00E27588">
      <w:pPr>
        <w:jc w:val="both"/>
      </w:pPr>
    </w:p>
    <w:p w:rsidR="00E27588" w:rsidRPr="00A417A0" w:rsidRDefault="00E27588" w:rsidP="00E27588">
      <w:pPr>
        <w:pStyle w:val="ListParagraph"/>
        <w:numPr>
          <w:ilvl w:val="0"/>
          <w:numId w:val="9"/>
        </w:numPr>
        <w:jc w:val="both"/>
      </w:pPr>
      <w:r w:rsidRPr="00A417A0">
        <w:rPr>
          <w:b/>
        </w:rPr>
        <w:t>Princip</w:t>
      </w:r>
      <w:r w:rsidR="007F3DFF">
        <w:rPr>
          <w:b/>
        </w:rPr>
        <w:t>a</w:t>
      </w:r>
      <w:r w:rsidRPr="00A417A0">
        <w:rPr>
          <w:b/>
        </w:rPr>
        <w:t>l/agent problems</w:t>
      </w:r>
      <w:r w:rsidR="00C14FE5">
        <w:t xml:space="preserve"> - I</w:t>
      </w:r>
      <w:r w:rsidRPr="00A417A0">
        <w:t xml:space="preserve">nsurers take </w:t>
      </w:r>
      <w:r>
        <w:t>premiums</w:t>
      </w:r>
      <w:r w:rsidRPr="00A417A0">
        <w:t xml:space="preserve"> from policyholders and capital </w:t>
      </w:r>
      <w:r>
        <w:t xml:space="preserve">from financial </w:t>
      </w:r>
      <w:r w:rsidRPr="00A417A0">
        <w:t>markets and manage those resources to m</w:t>
      </w:r>
      <w:r w:rsidR="00E27E1E">
        <w:t>eet various financial promises.</w:t>
      </w:r>
      <w:r w:rsidRPr="00A417A0">
        <w:t xml:space="preserve"> There are a range of risks that, if not appropriately managed, could lead to the insurer failing to meet its obligat</w:t>
      </w:r>
      <w:r w:rsidR="00E27E1E">
        <w:t>ions.</w:t>
      </w:r>
      <w:r w:rsidRPr="00A417A0">
        <w:t xml:space="preserve"> </w:t>
      </w:r>
      <w:r w:rsidR="003443D6">
        <w:t xml:space="preserve">For example, </w:t>
      </w:r>
      <w:r w:rsidR="00592DFE">
        <w:t>remuneration structures for the m</w:t>
      </w:r>
      <w:r w:rsidRPr="00A417A0">
        <w:t xml:space="preserve">anagement of </w:t>
      </w:r>
      <w:r w:rsidR="00296641">
        <w:t>an</w:t>
      </w:r>
      <w:r w:rsidR="00296641" w:rsidRPr="00A417A0">
        <w:t xml:space="preserve"> </w:t>
      </w:r>
      <w:r w:rsidRPr="00A417A0">
        <w:t xml:space="preserve">insurer can </w:t>
      </w:r>
      <w:r w:rsidR="00283E8C">
        <w:t xml:space="preserve">encourage </w:t>
      </w:r>
      <w:r w:rsidR="00592DFE">
        <w:t>management</w:t>
      </w:r>
      <w:r w:rsidRPr="00A417A0">
        <w:t xml:space="preserve"> to take undue risks with policyholder </w:t>
      </w:r>
      <w:r>
        <w:t>funds</w:t>
      </w:r>
      <w:r w:rsidR="00681D26">
        <w:t>.</w:t>
      </w:r>
      <w:r w:rsidRPr="00A417A0">
        <w:t xml:space="preserve"> </w:t>
      </w:r>
      <w:r w:rsidR="00681D26">
        <w:t>G</w:t>
      </w:r>
      <w:r w:rsidRPr="00A417A0">
        <w:t xml:space="preserve">ains </w:t>
      </w:r>
      <w:r w:rsidR="00592DFE">
        <w:t xml:space="preserve">can </w:t>
      </w:r>
      <w:r w:rsidRPr="00A417A0">
        <w:t xml:space="preserve">accrue to shareholders (and management through bonuses) whereas losses may ultimately be borne by </w:t>
      </w:r>
      <w:r w:rsidR="002A1B42">
        <w:t>policyholders</w:t>
      </w:r>
      <w:r w:rsidR="00396A87">
        <w:t xml:space="preserve"> and beneficiaries</w:t>
      </w:r>
      <w:r w:rsidRPr="00A417A0">
        <w:t>.</w:t>
      </w:r>
      <w:r w:rsidR="00E27E1E">
        <w:t xml:space="preserve"> </w:t>
      </w:r>
      <w:r w:rsidR="00B46892">
        <w:t>A</w:t>
      </w:r>
      <w:r w:rsidRPr="00A417A0">
        <w:t>ppropriate risk-based capital requirements</w:t>
      </w:r>
      <w:r w:rsidR="000B640B">
        <w:t xml:space="preserve"> </w:t>
      </w:r>
      <w:r w:rsidR="00B46892">
        <w:t>increase the likelihood</w:t>
      </w:r>
      <w:r w:rsidR="00296641">
        <w:t xml:space="preserve"> that promises</w:t>
      </w:r>
      <w:r w:rsidR="00B46892">
        <w:t xml:space="preserve"> to policyholders</w:t>
      </w:r>
      <w:r w:rsidR="00296641">
        <w:t xml:space="preserve"> </w:t>
      </w:r>
      <w:r w:rsidR="00396A87">
        <w:t xml:space="preserve">and beneficiaries </w:t>
      </w:r>
      <w:r w:rsidR="00296641">
        <w:t xml:space="preserve">can be met and </w:t>
      </w:r>
      <w:r w:rsidR="00B46892">
        <w:t xml:space="preserve">provide some </w:t>
      </w:r>
      <w:r w:rsidRPr="00A417A0">
        <w:t>protect</w:t>
      </w:r>
      <w:r w:rsidR="00B46892">
        <w:t>ion</w:t>
      </w:r>
      <w:r w:rsidR="007F3DFF">
        <w:t xml:space="preserve"> </w:t>
      </w:r>
      <w:r w:rsidR="003443D6">
        <w:t>where management may take undue risks with policyholder funds</w:t>
      </w:r>
      <w:r w:rsidR="00296641">
        <w:t xml:space="preserve">. Where the capital requirements are both adequate and risk sensitive, </w:t>
      </w:r>
      <w:r w:rsidR="007F3DFF">
        <w:t xml:space="preserve">sound </w:t>
      </w:r>
      <w:r w:rsidRPr="00A417A0">
        <w:t>risk management</w:t>
      </w:r>
      <w:r w:rsidR="00B46892">
        <w:t xml:space="preserve"> can also be </w:t>
      </w:r>
      <w:r w:rsidR="00283E8C">
        <w:t>encourage</w:t>
      </w:r>
      <w:r w:rsidR="00FB1E29">
        <w:t>d</w:t>
      </w:r>
      <w:r w:rsidR="00296641">
        <w:t xml:space="preserve">, </w:t>
      </w:r>
      <w:r w:rsidR="00B46892">
        <w:t>helping to reduce the potential for</w:t>
      </w:r>
      <w:r w:rsidR="00296641">
        <w:t xml:space="preserve"> insurers </w:t>
      </w:r>
      <w:r w:rsidR="00B46892">
        <w:t>to</w:t>
      </w:r>
      <w:r w:rsidR="00296641">
        <w:t xml:space="preserve"> </w:t>
      </w:r>
      <w:r w:rsidR="00B46892">
        <w:t>take</w:t>
      </w:r>
      <w:r w:rsidR="00296641">
        <w:t xml:space="preserve"> on </w:t>
      </w:r>
      <w:r w:rsidR="00B46892">
        <w:t xml:space="preserve">excessive exposure to </w:t>
      </w:r>
      <w:r w:rsidR="00296641">
        <w:t>risks th</w:t>
      </w:r>
      <w:r w:rsidR="005B4E66">
        <w:t>at are inadequately capitalised</w:t>
      </w:r>
      <w:r w:rsidR="00296641">
        <w:t xml:space="preserve">. </w:t>
      </w:r>
    </w:p>
    <w:p w:rsidR="00E27E1E" w:rsidRDefault="00E27E1E">
      <w:pPr>
        <w:ind w:left="720"/>
        <w:jc w:val="both"/>
      </w:pPr>
    </w:p>
    <w:p w:rsidR="00E27588" w:rsidRPr="00A417A0" w:rsidRDefault="00E27588" w:rsidP="00E27588">
      <w:pPr>
        <w:jc w:val="both"/>
      </w:pPr>
      <w:r w:rsidRPr="00A417A0">
        <w:t>APRA’s capital requirements for insurers form a key part of its assessment of the financial strength of the insurer and provide incentives for appropriate management of risks. It follows that appropriate design and calibration of the capital requirement</w:t>
      </w:r>
      <w:r w:rsidR="00D47ACA">
        <w:t>s</w:t>
      </w:r>
      <w:r w:rsidRPr="00A417A0">
        <w:t xml:space="preserve"> is essential to </w:t>
      </w:r>
      <w:r w:rsidR="00D47ACA">
        <w:t>their</w:t>
      </w:r>
      <w:r w:rsidR="00D47ACA" w:rsidRPr="00A417A0">
        <w:t xml:space="preserve"> </w:t>
      </w:r>
      <w:r w:rsidR="00E27E1E">
        <w:t>effectiveness.</w:t>
      </w:r>
      <w:r w:rsidRPr="00A417A0">
        <w:t xml:space="preserve"> The framework needs to be:</w:t>
      </w:r>
    </w:p>
    <w:p w:rsidR="00E27588" w:rsidRPr="00A417A0" w:rsidRDefault="00E27588" w:rsidP="00E27588">
      <w:pPr>
        <w:jc w:val="both"/>
      </w:pPr>
    </w:p>
    <w:p w:rsidR="00E27588" w:rsidRPr="00A417A0" w:rsidRDefault="00C635A2" w:rsidP="00E27588">
      <w:pPr>
        <w:pStyle w:val="ListParagraph"/>
        <w:numPr>
          <w:ilvl w:val="0"/>
          <w:numId w:val="10"/>
        </w:numPr>
        <w:ind w:left="567" w:hanging="567"/>
        <w:jc w:val="both"/>
      </w:pPr>
      <w:r>
        <w:t>c</w:t>
      </w:r>
      <w:r w:rsidR="00E27588" w:rsidRPr="00A417A0">
        <w:t xml:space="preserve">alibrated to a low overall risk of failure such that </w:t>
      </w:r>
      <w:r w:rsidR="00D47ACA">
        <w:t xml:space="preserve">the </w:t>
      </w:r>
      <w:r w:rsidR="00E27588" w:rsidRPr="00A417A0">
        <w:t xml:space="preserve">financial strength of the insurer is </w:t>
      </w:r>
      <w:r w:rsidR="00D47ACA">
        <w:t>sufficient</w:t>
      </w:r>
      <w:r w:rsidR="00E27588" w:rsidRPr="00A417A0">
        <w:t xml:space="preserve"> to withstand significant adverse conditions and </w:t>
      </w:r>
      <w:r w:rsidR="00807E53">
        <w:t xml:space="preserve">will </w:t>
      </w:r>
      <w:r w:rsidR="00E27588" w:rsidRPr="00A417A0">
        <w:t xml:space="preserve">continue </w:t>
      </w:r>
      <w:r w:rsidR="00E27E1E">
        <w:t>to meet its financial promises.</w:t>
      </w:r>
      <w:r w:rsidR="00E27588" w:rsidRPr="00A417A0">
        <w:t xml:space="preserve"> APRA has taken the view that a </w:t>
      </w:r>
      <w:r w:rsidR="00DA1EBF">
        <w:t>0.5</w:t>
      </w:r>
      <w:r>
        <w:t xml:space="preserve"> per cent</w:t>
      </w:r>
      <w:r w:rsidR="00E27588" w:rsidRPr="00A417A0">
        <w:t xml:space="preserve"> chance of failure </w:t>
      </w:r>
      <w:r w:rsidR="00DA1EBF">
        <w:t xml:space="preserve">over a one year period </w:t>
      </w:r>
      <w:r w:rsidR="00E27588" w:rsidRPr="00A417A0">
        <w:t xml:space="preserve">is </w:t>
      </w:r>
      <w:r w:rsidR="007F3DFF">
        <w:t xml:space="preserve">an </w:t>
      </w:r>
      <w:r w:rsidR="00E27588" w:rsidRPr="00A417A0">
        <w:t xml:space="preserve">appropriately </w:t>
      </w:r>
      <w:r w:rsidR="007F3DFF">
        <w:t>low risk of failure</w:t>
      </w:r>
      <w:r w:rsidR="00D47ACA">
        <w:t xml:space="preserve"> for insurers</w:t>
      </w:r>
      <w:r w:rsidR="00E27E1E">
        <w:t>.</w:t>
      </w:r>
      <w:r w:rsidR="00493AFA">
        <w:t xml:space="preserve"> This calibration is also consistent with international practice</w:t>
      </w:r>
      <w:r w:rsidR="00E27588" w:rsidRPr="00A417A0">
        <w:t>; and</w:t>
      </w:r>
    </w:p>
    <w:p w:rsidR="00E27588" w:rsidRPr="00A417A0" w:rsidRDefault="00E27588" w:rsidP="00E27588">
      <w:pPr>
        <w:pStyle w:val="ListParagraph"/>
        <w:ind w:left="567"/>
        <w:jc w:val="both"/>
      </w:pPr>
    </w:p>
    <w:p w:rsidR="00E27588" w:rsidRPr="00A417A0" w:rsidRDefault="00C635A2" w:rsidP="00E27588">
      <w:pPr>
        <w:pStyle w:val="ListParagraph"/>
        <w:numPr>
          <w:ilvl w:val="0"/>
          <w:numId w:val="10"/>
        </w:numPr>
        <w:ind w:left="567" w:hanging="567"/>
        <w:jc w:val="both"/>
      </w:pPr>
      <w:r>
        <w:t>r</w:t>
      </w:r>
      <w:r w:rsidR="00E27588" w:rsidRPr="00A417A0">
        <w:t xml:space="preserve">isk sensitive such that the capital requirement </w:t>
      </w:r>
      <w:r w:rsidR="00D47ACA">
        <w:t>adequately reflects</w:t>
      </w:r>
      <w:r w:rsidR="00E27588" w:rsidRPr="00A417A0">
        <w:t xml:space="preserve"> the risk</w:t>
      </w:r>
      <w:r w:rsidR="00D47ACA">
        <w:t>s undertaken by</w:t>
      </w:r>
      <w:r w:rsidR="00E27588" w:rsidRPr="00A417A0">
        <w:t xml:space="preserve"> </w:t>
      </w:r>
      <w:r w:rsidR="00E27E1E">
        <w:t>the insurer.</w:t>
      </w:r>
      <w:r w:rsidR="00E27588" w:rsidRPr="00A417A0">
        <w:t xml:space="preserve"> If the framework is not sufficiently risk sensitive then individual insurers may have a higher risk of failure than the overall calibrated level of </w:t>
      </w:r>
      <w:r w:rsidR="00493AFA">
        <w:t>0.5</w:t>
      </w:r>
      <w:r>
        <w:t xml:space="preserve"> per cent</w:t>
      </w:r>
      <w:r w:rsidR="00493AFA">
        <w:t xml:space="preserve"> chance of failure over a 1 year period</w:t>
      </w:r>
      <w:r w:rsidR="00E27E1E">
        <w:t xml:space="preserve">. </w:t>
      </w:r>
      <w:r w:rsidR="00E27588" w:rsidRPr="00A417A0">
        <w:t xml:space="preserve">Inadequate risk sensitivity can also </w:t>
      </w:r>
      <w:r w:rsidR="00791ED9">
        <w:t>encourage</w:t>
      </w:r>
      <w:r w:rsidR="00E27588" w:rsidRPr="00A417A0">
        <w:t xml:space="preserve"> inappropriate risk taking, where insurers disproportionately take on risks that attr</w:t>
      </w:r>
      <w:r w:rsidR="00E27E1E">
        <w:t>act inadequate capital charges.</w:t>
      </w:r>
      <w:r w:rsidR="00E27588" w:rsidRPr="00A417A0">
        <w:t xml:space="preserve"> This results in a weakening of insurers that </w:t>
      </w:r>
      <w:r w:rsidR="00D47ACA">
        <w:t>may</w:t>
      </w:r>
      <w:r w:rsidR="00D47ACA" w:rsidRPr="00A417A0">
        <w:t xml:space="preserve"> </w:t>
      </w:r>
      <w:r w:rsidR="00E27588" w:rsidRPr="00A417A0">
        <w:t>not</w:t>
      </w:r>
      <w:r w:rsidR="00D47ACA">
        <w:t xml:space="preserve"> be</w:t>
      </w:r>
      <w:r w:rsidR="00E27588" w:rsidRPr="00A417A0">
        <w:t xml:space="preserve"> apparent from examining their capital position.</w:t>
      </w:r>
    </w:p>
    <w:p w:rsidR="00E27588" w:rsidRPr="00A417A0" w:rsidRDefault="00E27588" w:rsidP="00E27588">
      <w:pPr>
        <w:jc w:val="both"/>
      </w:pPr>
    </w:p>
    <w:p w:rsidR="00E27588" w:rsidRPr="00A417A0" w:rsidRDefault="00E27588" w:rsidP="00E27588">
      <w:pPr>
        <w:jc w:val="both"/>
      </w:pPr>
    </w:p>
    <w:p w:rsidR="00E27E1E" w:rsidRDefault="003F1867" w:rsidP="00E27E1E">
      <w:pPr>
        <w:keepNext/>
        <w:jc w:val="both"/>
        <w:rPr>
          <w:b/>
          <w:i/>
        </w:rPr>
      </w:pPr>
      <w:r>
        <w:rPr>
          <w:b/>
          <w:i/>
        </w:rPr>
        <w:t>Issues</w:t>
      </w:r>
      <w:r w:rsidR="00B466EB" w:rsidRPr="00B466EB">
        <w:rPr>
          <w:b/>
          <w:i/>
        </w:rPr>
        <w:t xml:space="preserve"> identified </w:t>
      </w:r>
      <w:r>
        <w:rPr>
          <w:b/>
          <w:i/>
        </w:rPr>
        <w:t>with</w:t>
      </w:r>
      <w:r w:rsidR="00B466EB" w:rsidRPr="00B466EB">
        <w:rPr>
          <w:b/>
          <w:i/>
        </w:rPr>
        <w:t xml:space="preserve"> the current capital </w:t>
      </w:r>
      <w:r w:rsidR="00E27588" w:rsidRPr="00A417A0">
        <w:rPr>
          <w:b/>
          <w:i/>
        </w:rPr>
        <w:t>standards</w:t>
      </w:r>
    </w:p>
    <w:p w:rsidR="00E27E1E" w:rsidRDefault="00E27E1E" w:rsidP="00E27E1E">
      <w:pPr>
        <w:keepNext/>
        <w:jc w:val="both"/>
      </w:pPr>
    </w:p>
    <w:p w:rsidR="00E27E1E" w:rsidRDefault="004421F6" w:rsidP="00E27E1E">
      <w:pPr>
        <w:keepNext/>
        <w:jc w:val="both"/>
        <w:rPr>
          <w:i/>
        </w:rPr>
      </w:pPr>
      <w:r w:rsidRPr="00A417A0" w:rsidDel="00BB7C56">
        <w:t>APRA has identified a range of areas in which the current capital framework</w:t>
      </w:r>
      <w:r>
        <w:t xml:space="preserve"> lacks adequate risk sensitivity. Some issues relate to general insurers only </w:t>
      </w:r>
      <w:r w:rsidR="00CB7226">
        <w:t>and</w:t>
      </w:r>
      <w:r>
        <w:t xml:space="preserve"> some </w:t>
      </w:r>
      <w:r>
        <w:lastRenderedPageBreak/>
        <w:t xml:space="preserve">issues relate to life insurers only. </w:t>
      </w:r>
      <w:r w:rsidR="00CB7226">
        <w:t>Other</w:t>
      </w:r>
      <w:r>
        <w:t xml:space="preserve"> issues </w:t>
      </w:r>
      <w:r w:rsidR="00D87AF5">
        <w:t>apply</w:t>
      </w:r>
      <w:r>
        <w:t xml:space="preserve"> to both general and life insurers. </w:t>
      </w:r>
    </w:p>
    <w:p w:rsidR="00E27E1E" w:rsidRDefault="00E27E1E" w:rsidP="00E27E1E">
      <w:pPr>
        <w:keepNext/>
        <w:jc w:val="both"/>
        <w:rPr>
          <w:i/>
        </w:rPr>
      </w:pPr>
    </w:p>
    <w:p w:rsidR="00E27E1E" w:rsidRDefault="00EE21D4" w:rsidP="00E27E1E">
      <w:pPr>
        <w:keepNext/>
        <w:jc w:val="both"/>
        <w:rPr>
          <w:i/>
        </w:rPr>
      </w:pPr>
      <w:r>
        <w:rPr>
          <w:i/>
        </w:rPr>
        <w:t>General insurance issues</w:t>
      </w:r>
    </w:p>
    <w:p w:rsidR="00E27E1E" w:rsidRDefault="00E27E1E" w:rsidP="00E27E1E">
      <w:pPr>
        <w:keepNext/>
        <w:jc w:val="both"/>
        <w:rPr>
          <w:i/>
        </w:rPr>
      </w:pPr>
    </w:p>
    <w:p w:rsidR="001C7F8A" w:rsidRDefault="001C7F8A" w:rsidP="00E27E1E">
      <w:pPr>
        <w:keepNext/>
        <w:jc w:val="both"/>
      </w:pPr>
      <w:r>
        <w:t xml:space="preserve">A few key issues </w:t>
      </w:r>
      <w:r w:rsidR="00D87AF5">
        <w:t xml:space="preserve">with the current capital </w:t>
      </w:r>
      <w:r w:rsidR="00064C48">
        <w:t>framework</w:t>
      </w:r>
      <w:r>
        <w:t xml:space="preserve"> </w:t>
      </w:r>
      <w:r w:rsidR="00D87AF5">
        <w:t xml:space="preserve">for </w:t>
      </w:r>
      <w:r>
        <w:t>general insurers</w:t>
      </w:r>
      <w:r w:rsidR="00D87AF5">
        <w:t xml:space="preserve"> have been identified</w:t>
      </w:r>
      <w:r>
        <w:t xml:space="preserve">. A range of other enhancements </w:t>
      </w:r>
      <w:r w:rsidR="00D87AF5">
        <w:t xml:space="preserve">to the framework </w:t>
      </w:r>
      <w:r>
        <w:t xml:space="preserve">are </w:t>
      </w:r>
      <w:r w:rsidR="003F1867">
        <w:t>also proposed</w:t>
      </w:r>
      <w:r>
        <w:t xml:space="preserve">. </w:t>
      </w:r>
    </w:p>
    <w:p w:rsidR="001C7F8A" w:rsidRDefault="001C7F8A" w:rsidP="004421F6">
      <w:pPr>
        <w:jc w:val="both"/>
      </w:pPr>
    </w:p>
    <w:p w:rsidR="00E27E1E" w:rsidRDefault="00E27588">
      <w:pPr>
        <w:jc w:val="both"/>
      </w:pPr>
      <w:r w:rsidRPr="00A417A0">
        <w:t xml:space="preserve">The asset risk capital charge </w:t>
      </w:r>
      <w:r w:rsidR="003F1867">
        <w:t xml:space="preserve">for general insurers </w:t>
      </w:r>
      <w:r w:rsidRPr="00A417A0">
        <w:t xml:space="preserve">is currently determined using a factor-based method and can be made more risk sensitive by subjecting the balance sheet to a series of stress tests. Such an approach addresses </w:t>
      </w:r>
      <w:r w:rsidRPr="00EF02E7">
        <w:t xml:space="preserve">asset/liability mismatch risks which are not fully captured under the current </w:t>
      </w:r>
      <w:r w:rsidR="00D87AF5">
        <w:t>framework</w:t>
      </w:r>
      <w:r w:rsidR="001C7F8A">
        <w:t>.</w:t>
      </w:r>
      <w:r w:rsidRPr="00EF02E7">
        <w:t xml:space="preserve"> </w:t>
      </w:r>
      <w:r w:rsidR="001C7F8A">
        <w:t xml:space="preserve">The proposed approach </w:t>
      </w:r>
      <w:r w:rsidRPr="00EF02E7">
        <w:t xml:space="preserve">better responds to </w:t>
      </w:r>
      <w:r w:rsidR="001C7F8A">
        <w:t xml:space="preserve">changes in the asset risks to which an insurer may be exposed and hence ensures adequate capital is held for these risks. This in turn better addresses </w:t>
      </w:r>
      <w:r w:rsidRPr="00EF02E7">
        <w:t xml:space="preserve">the market failures </w:t>
      </w:r>
      <w:r w:rsidR="00D87AF5">
        <w:t xml:space="preserve">identified above </w:t>
      </w:r>
      <w:r w:rsidR="00C635A2">
        <w:t>that</w:t>
      </w:r>
      <w:r w:rsidR="001C7F8A">
        <w:t xml:space="preserve"> </w:t>
      </w:r>
      <w:r w:rsidRPr="00EF02E7">
        <w:t>the prudential framework is intended to address.</w:t>
      </w:r>
      <w:r w:rsidRPr="00A417A0">
        <w:t xml:space="preserve">  </w:t>
      </w:r>
    </w:p>
    <w:p w:rsidR="00E27588" w:rsidRPr="00A417A0" w:rsidRDefault="00E27588" w:rsidP="00E27588">
      <w:pPr>
        <w:jc w:val="both"/>
      </w:pPr>
    </w:p>
    <w:p w:rsidR="00E27588" w:rsidRPr="00A417A0" w:rsidRDefault="00E27588" w:rsidP="00E27588">
      <w:pPr>
        <w:jc w:val="both"/>
      </w:pPr>
      <w:r w:rsidRPr="00A417A0">
        <w:t xml:space="preserve">Recent experience with natural disasters in Australia has demonstrated that </w:t>
      </w:r>
      <w:r w:rsidR="001C7F8A">
        <w:t xml:space="preserve">the financial strength of </w:t>
      </w:r>
      <w:r w:rsidRPr="00A417A0">
        <w:t xml:space="preserve">insurers </w:t>
      </w:r>
      <w:r w:rsidR="001C7F8A">
        <w:t>may</w:t>
      </w:r>
      <w:r w:rsidR="00D87AF5">
        <w:t xml:space="preserve"> </w:t>
      </w:r>
      <w:r w:rsidR="001C7F8A">
        <w:t>be adversely impacted by</w:t>
      </w:r>
      <w:r w:rsidRPr="00A417A0">
        <w:t xml:space="preserve"> the occurrence of multiple large losses in any one year</w:t>
      </w:r>
      <w:r w:rsidR="00324CDC">
        <w:t xml:space="preserve">. </w:t>
      </w:r>
      <w:r w:rsidR="001C7F8A">
        <w:t>T</w:t>
      </w:r>
      <w:r w:rsidRPr="00A417A0">
        <w:t>he current capital require</w:t>
      </w:r>
      <w:r w:rsidR="001C7F8A">
        <w:t>ment</w:t>
      </w:r>
      <w:r w:rsidRPr="00A417A0">
        <w:t>s</w:t>
      </w:r>
      <w:r w:rsidR="001C7F8A">
        <w:t xml:space="preserve">, however, only address the </w:t>
      </w:r>
      <w:r w:rsidRPr="00A417A0">
        <w:t xml:space="preserve">capital </w:t>
      </w:r>
      <w:r w:rsidR="001C7F8A">
        <w:t xml:space="preserve">that needs </w:t>
      </w:r>
      <w:r w:rsidRPr="00A417A0">
        <w:t xml:space="preserve">to be held for one </w:t>
      </w:r>
      <w:r w:rsidR="00946EA4">
        <w:t>extremely large event</w:t>
      </w:r>
      <w:r w:rsidRPr="00A417A0">
        <w:t xml:space="preserve">. In order to ensure an appropriately low risk of failure, insurers need to </w:t>
      </w:r>
      <w:r>
        <w:t xml:space="preserve">consider </w:t>
      </w:r>
      <w:r w:rsidR="00D87AF5">
        <w:t xml:space="preserve">their </w:t>
      </w:r>
      <w:r>
        <w:t xml:space="preserve">exposure </w:t>
      </w:r>
      <w:r w:rsidR="00946EA4">
        <w:t xml:space="preserve">to multiple events </w:t>
      </w:r>
      <w:r>
        <w:t xml:space="preserve">and </w:t>
      </w:r>
      <w:r w:rsidRPr="00A417A0">
        <w:t>hold a</w:t>
      </w:r>
      <w:r>
        <w:t xml:space="preserve">n additional </w:t>
      </w:r>
      <w:r w:rsidRPr="00A417A0">
        <w:t xml:space="preserve">amount of capital </w:t>
      </w:r>
      <w:r>
        <w:t>and/</w:t>
      </w:r>
      <w:r w:rsidRPr="00A417A0">
        <w:t xml:space="preserve">or purchase additional reinsurance protection. </w:t>
      </w:r>
      <w:r w:rsidR="001C7F8A">
        <w:t xml:space="preserve">APRA’s proposals incorporate requirements </w:t>
      </w:r>
      <w:r w:rsidR="00360308">
        <w:t xml:space="preserve">to allow </w:t>
      </w:r>
      <w:r w:rsidR="001C7F8A">
        <w:t>for such multiple events</w:t>
      </w:r>
      <w:r w:rsidRPr="00A417A0">
        <w:t>.</w:t>
      </w:r>
    </w:p>
    <w:p w:rsidR="00E27588" w:rsidRPr="00A417A0" w:rsidRDefault="00E27588" w:rsidP="00E27588">
      <w:pPr>
        <w:jc w:val="both"/>
      </w:pPr>
    </w:p>
    <w:p w:rsidR="00EE21D4" w:rsidRDefault="004D3D0B" w:rsidP="00E27588">
      <w:pPr>
        <w:jc w:val="both"/>
      </w:pPr>
      <w:r>
        <w:t xml:space="preserve">There are a number of other areas </w:t>
      </w:r>
      <w:r w:rsidR="00D87AF5">
        <w:t xml:space="preserve">identified </w:t>
      </w:r>
      <w:r>
        <w:t xml:space="preserve">where refinements can be made </w:t>
      </w:r>
      <w:r w:rsidR="00D87AF5">
        <w:t>to enhance</w:t>
      </w:r>
      <w:r>
        <w:t xml:space="preserve"> the </w:t>
      </w:r>
      <w:r w:rsidR="00D87AF5">
        <w:t xml:space="preserve">effectiveness of the </w:t>
      </w:r>
      <w:r>
        <w:t xml:space="preserve">current capital framework for general insurers, for example, by addressing the double counting of capital held in investments in subsidiaries, associates and joint ventures. </w:t>
      </w:r>
    </w:p>
    <w:p w:rsidR="00C635A2" w:rsidRDefault="00C635A2" w:rsidP="00E27588">
      <w:pPr>
        <w:jc w:val="both"/>
      </w:pPr>
    </w:p>
    <w:p w:rsidR="009F384B" w:rsidRDefault="00EE21D4">
      <w:pPr>
        <w:keepNext/>
        <w:jc w:val="both"/>
        <w:rPr>
          <w:i/>
        </w:rPr>
      </w:pPr>
      <w:r>
        <w:rPr>
          <w:i/>
        </w:rPr>
        <w:t>Life insurance issues</w:t>
      </w:r>
    </w:p>
    <w:p w:rsidR="009F384B" w:rsidRDefault="009F384B">
      <w:pPr>
        <w:keepNext/>
        <w:jc w:val="both"/>
      </w:pPr>
    </w:p>
    <w:p w:rsidR="009F384B" w:rsidRDefault="00E27588">
      <w:pPr>
        <w:keepNext/>
        <w:jc w:val="both"/>
      </w:pPr>
      <w:r w:rsidRPr="00A417A0">
        <w:t xml:space="preserve">Life insurers currently have </w:t>
      </w:r>
      <w:r w:rsidR="00D87AF5">
        <w:t xml:space="preserve">to meet </w:t>
      </w:r>
      <w:r w:rsidRPr="00A417A0">
        <w:t xml:space="preserve">two capital requirements </w:t>
      </w:r>
      <w:r w:rsidR="00D87AF5">
        <w:t xml:space="preserve">- </w:t>
      </w:r>
      <w:r w:rsidRPr="00A417A0">
        <w:t>a solvency standard and a capital adequacy standard. The solvency standard</w:t>
      </w:r>
      <w:r w:rsidRPr="00A417A0">
        <w:rPr>
          <w:i/>
        </w:rPr>
        <w:t xml:space="preserve"> </w:t>
      </w:r>
      <w:r w:rsidRPr="00A417A0">
        <w:t>considers the various risks undertaken in a statutory fund in the context of a fund closed to new business. The capital adequacy standard considers a statutory fund that is open to new business. The two standards compare total assets to a stressed value for the liabilities</w:t>
      </w:r>
      <w:r w:rsidR="00D87AF5">
        <w:t>,</w:t>
      </w:r>
      <w:r w:rsidRPr="00A417A0">
        <w:t xml:space="preserve"> together with other reserves, at the statutory fund level. The general fund of the life insurer is subject to a single management capital requirement.</w:t>
      </w:r>
    </w:p>
    <w:p w:rsidR="00E27588" w:rsidRPr="00A417A0" w:rsidRDefault="00E27588" w:rsidP="00E27588">
      <w:pPr>
        <w:jc w:val="both"/>
      </w:pPr>
    </w:p>
    <w:p w:rsidR="00E27588" w:rsidRPr="00A417A0" w:rsidRDefault="00E27588" w:rsidP="00E27588">
      <w:pPr>
        <w:jc w:val="both"/>
      </w:pPr>
      <w:r w:rsidRPr="00A417A0">
        <w:t xml:space="preserve">The current capital requirements for life insurers </w:t>
      </w:r>
      <w:r w:rsidR="004D3D0B">
        <w:t>are structured very differently</w:t>
      </w:r>
      <w:r w:rsidRPr="00A417A0">
        <w:t xml:space="preserve"> to the </w:t>
      </w:r>
      <w:r w:rsidR="004D3D0B">
        <w:t>m</w:t>
      </w:r>
      <w:r w:rsidRPr="00A417A0">
        <w:t xml:space="preserve">inimum </w:t>
      </w:r>
      <w:r w:rsidR="004D3D0B">
        <w:t>c</w:t>
      </w:r>
      <w:r w:rsidRPr="00A417A0">
        <w:t xml:space="preserve">apital </w:t>
      </w:r>
      <w:r w:rsidR="004D3D0B">
        <w:t>r</w:t>
      </w:r>
      <w:r w:rsidRPr="00A417A0">
        <w:t xml:space="preserve">equirement </w:t>
      </w:r>
      <w:r w:rsidR="00026FCD">
        <w:t>for</w:t>
      </w:r>
      <w:r w:rsidRPr="00A417A0">
        <w:t xml:space="preserve"> general insur</w:t>
      </w:r>
      <w:r w:rsidR="00026FCD">
        <w:t>ers</w:t>
      </w:r>
      <w:r w:rsidRPr="00A417A0">
        <w:t xml:space="preserve"> </w:t>
      </w:r>
      <w:r w:rsidR="00026FCD">
        <w:t>and ADIs</w:t>
      </w:r>
      <w:r w:rsidR="006810E0">
        <w:t>.</w:t>
      </w:r>
      <w:r w:rsidR="00777C78">
        <w:rPr>
          <w:rStyle w:val="FootnoteReference"/>
        </w:rPr>
        <w:footnoteReference w:id="3"/>
      </w:r>
      <w:r w:rsidRPr="00A417A0">
        <w:t xml:space="preserve"> </w:t>
      </w:r>
      <w:r w:rsidR="006810E0">
        <w:t>T</w:t>
      </w:r>
      <w:r w:rsidRPr="00A417A0">
        <w:t xml:space="preserve">his makes comparisons between life </w:t>
      </w:r>
      <w:r w:rsidR="000C4354">
        <w:t>insurers</w:t>
      </w:r>
      <w:r w:rsidRPr="00A417A0">
        <w:t xml:space="preserve"> and other regulated institutions more difficult</w:t>
      </w:r>
      <w:r w:rsidR="000C4354">
        <w:t>,</w:t>
      </w:r>
      <w:r w:rsidRPr="00A417A0">
        <w:t xml:space="preserve"> and </w:t>
      </w:r>
      <w:r w:rsidR="00744F92">
        <w:t xml:space="preserve">also </w:t>
      </w:r>
      <w:r w:rsidRPr="00A417A0">
        <w:t xml:space="preserve">complicates the management and </w:t>
      </w:r>
      <w:r w:rsidRPr="00EF02E7">
        <w:t>supervision of conglomerate</w:t>
      </w:r>
      <w:r w:rsidRPr="00A417A0">
        <w:t xml:space="preserve"> groups that operate across multiple regulated industries.</w:t>
      </w:r>
      <w:r w:rsidR="00B46892">
        <w:t xml:space="preserve"> Such groups form a substantial proportion of the </w:t>
      </w:r>
      <w:r w:rsidR="00733740">
        <w:t>APRA-regulated part of the</w:t>
      </w:r>
      <w:r w:rsidR="00B46892">
        <w:t xml:space="preserve"> financial </w:t>
      </w:r>
      <w:r w:rsidR="000C4354">
        <w:t>sector</w:t>
      </w:r>
      <w:r w:rsidR="00B46892">
        <w:t>.</w:t>
      </w:r>
    </w:p>
    <w:p w:rsidR="00E27588" w:rsidRPr="00A417A0" w:rsidRDefault="00E27588" w:rsidP="00E27588">
      <w:pPr>
        <w:jc w:val="both"/>
      </w:pPr>
    </w:p>
    <w:p w:rsidR="00E27588" w:rsidRDefault="00E27588" w:rsidP="00E27588">
      <w:pPr>
        <w:jc w:val="both"/>
      </w:pPr>
      <w:r w:rsidRPr="00A417A0">
        <w:t xml:space="preserve">The life insurance regulatory framework </w:t>
      </w:r>
      <w:r w:rsidR="00026FCD">
        <w:t xml:space="preserve">also </w:t>
      </w:r>
      <w:r w:rsidRPr="00A417A0">
        <w:t xml:space="preserve">currently does not make allowance for losses from extreme events </w:t>
      </w:r>
      <w:r w:rsidR="00197735">
        <w:t>(</w:t>
      </w:r>
      <w:r w:rsidRPr="00A417A0">
        <w:t>such as a pandemic</w:t>
      </w:r>
      <w:r w:rsidR="00197735">
        <w:t>)</w:t>
      </w:r>
      <w:r w:rsidRPr="00A417A0">
        <w:t xml:space="preserve"> and assumptions about the future repricing of contracts in response to adverse insurance risk experience are </w:t>
      </w:r>
      <w:r w:rsidRPr="00A417A0">
        <w:lastRenderedPageBreak/>
        <w:t>not always appropriately s</w:t>
      </w:r>
      <w:r w:rsidR="006A2424">
        <w:t xml:space="preserve">et. </w:t>
      </w:r>
      <w:r w:rsidRPr="00A417A0">
        <w:t xml:space="preserve">APRA has undertaken industry-wide stress testing </w:t>
      </w:r>
      <w:r w:rsidR="00946EA4">
        <w:t>that</w:t>
      </w:r>
      <w:r w:rsidR="00946EA4" w:rsidRPr="00A417A0">
        <w:t xml:space="preserve"> </w:t>
      </w:r>
      <w:r w:rsidRPr="00A417A0">
        <w:t>required insurers to calculate the impact of a specified pandemic scen</w:t>
      </w:r>
      <w:r w:rsidR="006A2424">
        <w:t>ario on their capital position.</w:t>
      </w:r>
      <w:r w:rsidRPr="00A417A0">
        <w:t xml:space="preserve"> The results showed that certain types of life insurance business </w:t>
      </w:r>
      <w:r w:rsidR="00026FCD">
        <w:t>may be adversely impacted by</w:t>
      </w:r>
      <w:r w:rsidRPr="00A417A0">
        <w:t xml:space="preserve"> pandemic events in a way that is not captured in the current </w:t>
      </w:r>
      <w:r w:rsidR="007F08F2">
        <w:t xml:space="preserve">capital </w:t>
      </w:r>
      <w:r w:rsidR="00E27E1E">
        <w:t xml:space="preserve">requirements. </w:t>
      </w:r>
      <w:r w:rsidRPr="00A417A0">
        <w:t xml:space="preserve">This may result in the capital requirement calculated under the existing capital standards providing insufficient protection to withstand </w:t>
      </w:r>
      <w:r w:rsidR="00026FCD">
        <w:t xml:space="preserve">such </w:t>
      </w:r>
      <w:r w:rsidR="00E27E1E">
        <w:t xml:space="preserve">adverse scenarios. </w:t>
      </w:r>
      <w:r w:rsidR="00DD5618">
        <w:t>To address this</w:t>
      </w:r>
      <w:r w:rsidRPr="00A417A0">
        <w:t>, the LAGIC proposals require insurers to hold enough capital to withstand the greater of an APRA-defined pandemic scenario or another event to which the insurer has a concentration of insurance risk exposure.</w:t>
      </w:r>
    </w:p>
    <w:p w:rsidR="00EE21D4" w:rsidRDefault="00EE21D4" w:rsidP="00E27588">
      <w:pPr>
        <w:jc w:val="both"/>
      </w:pPr>
    </w:p>
    <w:p w:rsidR="00E27E1E" w:rsidRDefault="002A1B42">
      <w:pPr>
        <w:keepNext/>
        <w:jc w:val="both"/>
      </w:pPr>
      <w:r>
        <w:rPr>
          <w:i/>
        </w:rPr>
        <w:t>Both l</w:t>
      </w:r>
      <w:r w:rsidR="000F73BE" w:rsidRPr="000F73BE">
        <w:rPr>
          <w:i/>
        </w:rPr>
        <w:t>ife</w:t>
      </w:r>
      <w:r>
        <w:rPr>
          <w:i/>
        </w:rPr>
        <w:t xml:space="preserve"> insurance</w:t>
      </w:r>
      <w:r w:rsidR="000F73BE" w:rsidRPr="000F73BE">
        <w:rPr>
          <w:i/>
        </w:rPr>
        <w:t xml:space="preserve"> and general insurance issues</w:t>
      </w:r>
    </w:p>
    <w:p w:rsidR="00E27E1E" w:rsidRDefault="00E27E1E">
      <w:pPr>
        <w:keepNext/>
        <w:jc w:val="both"/>
      </w:pPr>
    </w:p>
    <w:p w:rsidR="00044FF0" w:rsidRDefault="00E27588" w:rsidP="00E27588">
      <w:pPr>
        <w:jc w:val="both"/>
      </w:pPr>
      <w:r w:rsidRPr="00A417A0">
        <w:t xml:space="preserve">The current standards for both general insurers and life insurers do not include any explicit </w:t>
      </w:r>
      <w:r w:rsidR="00026FCD">
        <w:t>capital requirements</w:t>
      </w:r>
      <w:r w:rsidR="00026FCD" w:rsidRPr="00A417A0">
        <w:t xml:space="preserve"> </w:t>
      </w:r>
      <w:r w:rsidR="00681D26">
        <w:t>to address</w:t>
      </w:r>
      <w:r w:rsidR="00681D26" w:rsidRPr="00A417A0">
        <w:t xml:space="preserve"> </w:t>
      </w:r>
      <w:r w:rsidRPr="00A417A0">
        <w:t>operational risk. International and Australian experience has shown the potential for operational risk exposures to result in severe and unexpected losses. In the Australian life insurance industry, some insurers have experienced operational risk events in t</w:t>
      </w:r>
      <w:r w:rsidR="00E27E1E">
        <w:t>he form of unit pricing errors.</w:t>
      </w:r>
      <w:r w:rsidRPr="00A417A0">
        <w:t xml:space="preserve"> These errors require substan</w:t>
      </w:r>
      <w:r w:rsidR="00E27E1E">
        <w:t>tial time and money to correct.</w:t>
      </w:r>
      <w:r w:rsidRPr="00A417A0">
        <w:t xml:space="preserve"> There is also evidence that operational risk is continuing to increase in its size and complexity due to factors such as the increasing reliance on advanced technology, legacy and IT system issues, outsourcing</w:t>
      </w:r>
      <w:r w:rsidR="00026FCD">
        <w:t>,</w:t>
      </w:r>
      <w:r w:rsidR="00026FCD" w:rsidRPr="00A417A0">
        <w:t xml:space="preserve"> </w:t>
      </w:r>
      <w:r w:rsidRPr="00A417A0">
        <w:t xml:space="preserve">agency distribution channels and merger and acquisition activity. </w:t>
      </w:r>
    </w:p>
    <w:p w:rsidR="00044FF0" w:rsidRDefault="00044FF0" w:rsidP="00E27588">
      <w:pPr>
        <w:jc w:val="both"/>
      </w:pPr>
    </w:p>
    <w:p w:rsidR="003D5050" w:rsidRDefault="006810E0" w:rsidP="00E27588">
      <w:pPr>
        <w:jc w:val="both"/>
      </w:pPr>
      <w:r>
        <w:t>O</w:t>
      </w:r>
      <w:r w:rsidR="00B62159">
        <w:t xml:space="preserve">perational risk may pose a significant risk for insurers in the future, and </w:t>
      </w:r>
      <w:r w:rsidR="00026FCD">
        <w:t>it is felt appropriate that this risk is addressed through capital requirements that reflect an insurer’s operational risk profile</w:t>
      </w:r>
      <w:r w:rsidR="00B62159">
        <w:t xml:space="preserve">. </w:t>
      </w:r>
      <w:r w:rsidR="00E27588" w:rsidRPr="00A417A0">
        <w:t xml:space="preserve">An explicit capital charge for operational risk </w:t>
      </w:r>
      <w:r w:rsidR="00026FCD">
        <w:t xml:space="preserve">also </w:t>
      </w:r>
      <w:r w:rsidR="00E27588" w:rsidRPr="00A417A0">
        <w:t xml:space="preserve">has the potential to increase Board and management focus on operational risk and drive increased sophistication </w:t>
      </w:r>
      <w:r w:rsidR="00B62159">
        <w:t xml:space="preserve">in </w:t>
      </w:r>
      <w:r w:rsidR="00E27588" w:rsidRPr="00A417A0">
        <w:t xml:space="preserve">its </w:t>
      </w:r>
      <w:r w:rsidR="00E27588">
        <w:t xml:space="preserve">measurement and </w:t>
      </w:r>
      <w:r w:rsidR="00E27588" w:rsidRPr="00A417A0">
        <w:t xml:space="preserve">management. An explicit operational risk </w:t>
      </w:r>
      <w:r w:rsidR="00026FCD">
        <w:t xml:space="preserve">capital </w:t>
      </w:r>
      <w:r w:rsidR="00E27588" w:rsidRPr="00A417A0">
        <w:t xml:space="preserve">charge also enhances alignment </w:t>
      </w:r>
      <w:r w:rsidR="00026FCD">
        <w:t xml:space="preserve">of the capital requirements for insurers </w:t>
      </w:r>
      <w:r w:rsidR="00E27588" w:rsidRPr="00A417A0">
        <w:t xml:space="preserve">with </w:t>
      </w:r>
      <w:r w:rsidR="00026FCD">
        <w:t xml:space="preserve">those of </w:t>
      </w:r>
      <w:r w:rsidR="00E27588" w:rsidRPr="00A417A0">
        <w:t xml:space="preserve">the ADI industry and international practice.  </w:t>
      </w:r>
    </w:p>
    <w:p w:rsidR="00444B45" w:rsidRPr="00A417A0" w:rsidRDefault="00444B45" w:rsidP="00E27588">
      <w:pPr>
        <w:jc w:val="both"/>
      </w:pPr>
    </w:p>
    <w:p w:rsidR="00E27588" w:rsidRPr="00A417A0" w:rsidRDefault="00E27588" w:rsidP="00E27588">
      <w:pPr>
        <w:jc w:val="both"/>
      </w:pPr>
      <w:r w:rsidRPr="00A417A0">
        <w:t>Under the current prudential standards for insurers, allowance for diversification</w:t>
      </w:r>
      <w:r w:rsidR="00026FCD">
        <w:t xml:space="preserve"> between key risks</w:t>
      </w:r>
      <w:r w:rsidRPr="00A417A0">
        <w:t xml:space="preserve"> is implicit. </w:t>
      </w:r>
      <w:r>
        <w:t>T</w:t>
      </w:r>
      <w:r w:rsidRPr="00A417A0">
        <w:t>he components of required capital for asset and insurance risk are added together with no allowance for diversification between these risks or recognition of the level of independence between asset and liability risks. There is</w:t>
      </w:r>
      <w:r>
        <w:t>,</w:t>
      </w:r>
      <w:r w:rsidRPr="00A417A0">
        <w:t xml:space="preserve"> however, some implicit recognition of diversification in the calibration of the components of the capital charges. This implicit approach to the recognition of diversification between risks leads to required capital that is either too high for insurers with significant exposures to both asset and insurance risks, or too low for insurers with a significant exposure to only one of these types of risks.  </w:t>
      </w:r>
      <w:r w:rsidR="006810E0">
        <w:t>I</w:t>
      </w:r>
      <w:r w:rsidRPr="00A417A0">
        <w:t xml:space="preserve">ncluding an explicit allowance for diversification </w:t>
      </w:r>
      <w:r w:rsidR="00734708">
        <w:t>between key risks</w:t>
      </w:r>
      <w:r w:rsidRPr="00A417A0">
        <w:t xml:space="preserve"> improve</w:t>
      </w:r>
      <w:r w:rsidR="00734708">
        <w:t>s</w:t>
      </w:r>
      <w:r w:rsidRPr="00A417A0">
        <w:t xml:space="preserve"> the risk sensitivity </w:t>
      </w:r>
      <w:r w:rsidR="00F37C41">
        <w:t xml:space="preserve">(and hence effectiveness) </w:t>
      </w:r>
      <w:r w:rsidRPr="00A417A0">
        <w:t xml:space="preserve">of the </w:t>
      </w:r>
      <w:r w:rsidR="00734708">
        <w:t xml:space="preserve">capital </w:t>
      </w:r>
      <w:r w:rsidRPr="00A417A0">
        <w:t xml:space="preserve">requirements. </w:t>
      </w:r>
    </w:p>
    <w:p w:rsidR="00E27588" w:rsidRPr="00A417A0" w:rsidRDefault="00E27588" w:rsidP="00E27588">
      <w:pPr>
        <w:jc w:val="both"/>
      </w:pPr>
    </w:p>
    <w:p w:rsidR="00E27588" w:rsidRPr="00A417A0" w:rsidRDefault="00E27588" w:rsidP="00E27588">
      <w:pPr>
        <w:jc w:val="both"/>
      </w:pPr>
    </w:p>
    <w:p w:rsidR="009F384B" w:rsidRDefault="00E27588">
      <w:pPr>
        <w:keepNext/>
        <w:jc w:val="both"/>
        <w:rPr>
          <w:b/>
          <w:i/>
        </w:rPr>
      </w:pPr>
      <w:r w:rsidRPr="00A417A0">
        <w:rPr>
          <w:b/>
          <w:i/>
        </w:rPr>
        <w:t xml:space="preserve">Impact of the global financial crisis </w:t>
      </w:r>
    </w:p>
    <w:p w:rsidR="009F384B" w:rsidRDefault="009F384B">
      <w:pPr>
        <w:keepNext/>
        <w:ind w:firstLine="720"/>
        <w:jc w:val="both"/>
        <w:rPr>
          <w:b/>
        </w:rPr>
      </w:pPr>
    </w:p>
    <w:p w:rsidR="009F384B" w:rsidRDefault="00E27588">
      <w:pPr>
        <w:keepNext/>
        <w:jc w:val="both"/>
      </w:pPr>
      <w:r w:rsidRPr="00A417A0">
        <w:t xml:space="preserve">The </w:t>
      </w:r>
      <w:r w:rsidR="006810E0">
        <w:t>GFC</w:t>
      </w:r>
      <w:r w:rsidRPr="00A417A0">
        <w:t xml:space="preserve"> resulted in substantial financial losses and instability in a number of countries. This global instability had an immediate spill over effect on the Australian economy, by freezing the wholesale funding markets due to liquidity issues and credit risk uncertainty and through substantial decreases in asset prices in a range of financial markets. </w:t>
      </w:r>
    </w:p>
    <w:p w:rsidR="00E27588" w:rsidRPr="00A417A0" w:rsidRDefault="00E27588" w:rsidP="00E27588">
      <w:pPr>
        <w:jc w:val="both"/>
      </w:pPr>
    </w:p>
    <w:p w:rsidR="00734708" w:rsidRDefault="00E27588" w:rsidP="00734708">
      <w:pPr>
        <w:jc w:val="both"/>
      </w:pPr>
      <w:r w:rsidRPr="00A417A0">
        <w:lastRenderedPageBreak/>
        <w:t xml:space="preserve">The financial crisis had a </w:t>
      </w:r>
      <w:r w:rsidR="00471364">
        <w:t>material</w:t>
      </w:r>
      <w:r w:rsidRPr="00A417A0">
        <w:t xml:space="preserve"> impact on </w:t>
      </w:r>
      <w:r w:rsidR="00471364">
        <w:t xml:space="preserve">some segments of </w:t>
      </w:r>
      <w:r w:rsidRPr="00A417A0">
        <w:t>the insurance industry</w:t>
      </w:r>
      <w:r w:rsidR="00471364">
        <w:t>,</w:t>
      </w:r>
      <w:r w:rsidR="00777C78">
        <w:t xml:space="preserve"> particularly life insurers,</w:t>
      </w:r>
      <w:r w:rsidRPr="00A417A0">
        <w:t xml:space="preserve"> primarily due to the impact of significant deterioration in </w:t>
      </w:r>
      <w:r w:rsidR="00C72824">
        <w:t xml:space="preserve">the </w:t>
      </w:r>
      <w:r w:rsidRPr="00A417A0">
        <w:t xml:space="preserve">global and domestic financial markets on </w:t>
      </w:r>
      <w:r w:rsidR="00734708">
        <w:t xml:space="preserve">the </w:t>
      </w:r>
      <w:r w:rsidRPr="00A417A0">
        <w:t>investment portfolios</w:t>
      </w:r>
      <w:r w:rsidR="00734708">
        <w:t xml:space="preserve"> of insurers</w:t>
      </w:r>
      <w:r w:rsidRPr="00A417A0">
        <w:t>.</w:t>
      </w:r>
      <w:r w:rsidR="00777C78" w:rsidRPr="00A417A0">
        <w:rPr>
          <w:rStyle w:val="FootnoteReference"/>
        </w:rPr>
        <w:footnoteReference w:id="4"/>
      </w:r>
      <w:r w:rsidRPr="00A417A0">
        <w:t xml:space="preserve"> </w:t>
      </w:r>
      <w:r w:rsidR="00C73118">
        <w:t xml:space="preserve">Although there were no </w:t>
      </w:r>
      <w:r w:rsidR="00734708">
        <w:t>insurer</w:t>
      </w:r>
      <w:r w:rsidR="00C73118">
        <w:t xml:space="preserve"> failures in the Australian insurance industry during this time, t</w:t>
      </w:r>
      <w:r w:rsidRPr="00A417A0">
        <w:t>his experience revealed that</w:t>
      </w:r>
      <w:r w:rsidR="00745D41" w:rsidRPr="00745D41">
        <w:t xml:space="preserve"> </w:t>
      </w:r>
      <w:r w:rsidR="00745D41">
        <w:t>the 1 in 200 level loss event is more severe than assumed in the current framework, meaning that</w:t>
      </w:r>
      <w:r w:rsidRPr="00A417A0">
        <w:t xml:space="preserve"> </w:t>
      </w:r>
      <w:r w:rsidR="00C73118">
        <w:t xml:space="preserve">there are risks which are </w:t>
      </w:r>
      <w:r w:rsidR="00B46892">
        <w:t xml:space="preserve">not fully </w:t>
      </w:r>
      <w:r w:rsidR="00C73118">
        <w:t xml:space="preserve">addressed by the current </w:t>
      </w:r>
      <w:r w:rsidR="00044A36">
        <w:t xml:space="preserve">capital </w:t>
      </w:r>
      <w:r w:rsidR="00C73118">
        <w:t xml:space="preserve">framework. For example, </w:t>
      </w:r>
      <w:r w:rsidRPr="00A417A0">
        <w:t xml:space="preserve">the existing risk charges for certain credit and market risks </w:t>
      </w:r>
      <w:r w:rsidR="00734708">
        <w:t xml:space="preserve">did not </w:t>
      </w:r>
      <w:r w:rsidR="00044A36">
        <w:t xml:space="preserve">reflect the level of </w:t>
      </w:r>
      <w:r w:rsidR="00734708">
        <w:t>capital</w:t>
      </w:r>
      <w:r w:rsidR="00744F92">
        <w:t xml:space="preserve"> </w:t>
      </w:r>
      <w:r w:rsidR="00044A36">
        <w:t>required (at</w:t>
      </w:r>
      <w:r w:rsidR="00734708">
        <w:t xml:space="preserve"> the target sufficiency level</w:t>
      </w:r>
      <w:r w:rsidR="00044A36">
        <w:t>)</w:t>
      </w:r>
      <w:r w:rsidR="00734708">
        <w:t xml:space="preserve"> for the stressed conditions experienced</w:t>
      </w:r>
      <w:r w:rsidRPr="00A417A0">
        <w:t xml:space="preserve">.  In particular, credit spreads were much more volatile than had been assumed in calibrating the current </w:t>
      </w:r>
      <w:r w:rsidR="00956748">
        <w:t>capital framework</w:t>
      </w:r>
      <w:r w:rsidRPr="00A417A0">
        <w:t xml:space="preserve">. </w:t>
      </w:r>
      <w:r w:rsidR="006D75C5">
        <w:t>The c</w:t>
      </w:r>
      <w:r w:rsidR="00044A36">
        <w:t>apital</w:t>
      </w:r>
      <w:r w:rsidR="006D75C5">
        <w:t xml:space="preserve"> required for</w:t>
      </w:r>
      <w:r w:rsidR="00044A36">
        <w:t xml:space="preserve"> </w:t>
      </w:r>
      <w:r w:rsidR="006D75C5">
        <w:t>s</w:t>
      </w:r>
      <w:r w:rsidRPr="00A417A0">
        <w:t xml:space="preserve">tructured products </w:t>
      </w:r>
      <w:r w:rsidR="006D75C5">
        <w:t>under</w:t>
      </w:r>
      <w:r w:rsidRPr="00A417A0">
        <w:t xml:space="preserve"> the current framework</w:t>
      </w:r>
      <w:r w:rsidR="006D75C5">
        <w:t xml:space="preserve"> was also inadequate</w:t>
      </w:r>
      <w:r w:rsidR="00956748">
        <w:t xml:space="preserve">, </w:t>
      </w:r>
      <w:r w:rsidR="006D75C5">
        <w:t>as</w:t>
      </w:r>
      <w:r w:rsidRPr="00A417A0">
        <w:t xml:space="preserve"> credit spread movements were substantially greater than for equivalently rated corporate and government bonds</w:t>
      </w:r>
      <w:r w:rsidR="006D75C5">
        <w:t xml:space="preserve"> and this was not reflected </w:t>
      </w:r>
      <w:r w:rsidR="006D75C5" w:rsidRPr="00A417A0">
        <w:t xml:space="preserve">in </w:t>
      </w:r>
      <w:r w:rsidR="006D75C5">
        <w:t xml:space="preserve">the </w:t>
      </w:r>
      <w:r w:rsidR="006D75C5" w:rsidRPr="00A417A0">
        <w:t>calibrati</w:t>
      </w:r>
      <w:r w:rsidR="006D75C5">
        <w:t>o</w:t>
      </w:r>
      <w:r w:rsidR="006D75C5" w:rsidRPr="00A417A0">
        <w:t>n</w:t>
      </w:r>
      <w:r w:rsidR="006D75C5">
        <w:t xml:space="preserve"> of</w:t>
      </w:r>
      <w:r w:rsidR="006D75C5" w:rsidRPr="00A417A0">
        <w:t xml:space="preserve"> the current </w:t>
      </w:r>
      <w:r w:rsidR="006D75C5">
        <w:t>capital framework</w:t>
      </w:r>
      <w:r w:rsidRPr="00A417A0">
        <w:t xml:space="preserve">.    </w:t>
      </w:r>
    </w:p>
    <w:p w:rsidR="00734708" w:rsidRDefault="00734708" w:rsidP="00E27588">
      <w:pPr>
        <w:jc w:val="both"/>
      </w:pPr>
    </w:p>
    <w:p w:rsidR="009F384B" w:rsidRDefault="00E27588">
      <w:pPr>
        <w:keepNext/>
        <w:jc w:val="both"/>
      </w:pPr>
      <w:r w:rsidRPr="00A417A0">
        <w:t>APRA undertook analysis to determine appropriate stress assumptions for credit risk.  The following graph shows the extreme volatility in credit spreads during the GFC event.</w:t>
      </w:r>
    </w:p>
    <w:p w:rsidR="009F384B" w:rsidRDefault="009F384B">
      <w:pPr>
        <w:keepNext/>
        <w:jc w:val="both"/>
      </w:pPr>
    </w:p>
    <w:p w:rsidR="009F384B" w:rsidRDefault="00E27588">
      <w:pPr>
        <w:keepNext/>
        <w:jc w:val="both"/>
      </w:pPr>
      <w:r>
        <w:rPr>
          <w:noProof/>
          <w:lang w:eastAsia="en-AU"/>
        </w:rPr>
        <w:drawing>
          <wp:inline distT="0" distB="0" distL="0" distR="0">
            <wp:extent cx="3810000" cy="34194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810000" cy="3419475"/>
                    </a:xfrm>
                    <a:prstGeom prst="rect">
                      <a:avLst/>
                    </a:prstGeom>
                    <a:noFill/>
                    <a:ln w="9525">
                      <a:noFill/>
                      <a:miter lim="800000"/>
                      <a:headEnd/>
                      <a:tailEnd/>
                    </a:ln>
                  </pic:spPr>
                </pic:pic>
              </a:graphicData>
            </a:graphic>
          </wp:inline>
        </w:drawing>
      </w:r>
    </w:p>
    <w:p w:rsidR="00E27588" w:rsidRPr="00A417A0" w:rsidRDefault="00E27588" w:rsidP="00E27588">
      <w:pPr>
        <w:jc w:val="both"/>
      </w:pPr>
    </w:p>
    <w:p w:rsidR="00E27588" w:rsidRPr="00A417A0" w:rsidRDefault="00E27588" w:rsidP="00E27588">
      <w:pPr>
        <w:jc w:val="both"/>
      </w:pPr>
    </w:p>
    <w:p w:rsidR="00E27588" w:rsidRDefault="005B5F18" w:rsidP="00E27588">
      <w:pPr>
        <w:jc w:val="both"/>
      </w:pPr>
      <w:r w:rsidRPr="00A417A0">
        <w:t xml:space="preserve">These weaknesses </w:t>
      </w:r>
      <w:r>
        <w:t>revealed in</w:t>
      </w:r>
      <w:r w:rsidR="0027754E">
        <w:t xml:space="preserve"> the current framework are such</w:t>
      </w:r>
      <w:r w:rsidRPr="00A417A0">
        <w:t xml:space="preserve"> that the existing risk charges d</w:t>
      </w:r>
      <w:r>
        <w:t>o</w:t>
      </w:r>
      <w:r w:rsidRPr="00A417A0">
        <w:t xml:space="preserve"> not adequately address the market failure problems identified above</w:t>
      </w:r>
      <w:r>
        <w:t xml:space="preserve"> and, if not altered, would mean that the fu</w:t>
      </w:r>
      <w:r w:rsidR="009B7F25">
        <w:t>ture risk of insurer failure will be at</w:t>
      </w:r>
      <w:r>
        <w:t xml:space="preserve"> higher than acceptable levels. The LAGIC proposals seek to address these issues by improving the risk sensitivity of the capital requirements as an enhanced risk management measure</w:t>
      </w:r>
      <w:r w:rsidRPr="00A417A0">
        <w:t>.</w:t>
      </w:r>
    </w:p>
    <w:p w:rsidR="005B5F18" w:rsidRPr="00A417A0" w:rsidRDefault="005B5F18" w:rsidP="00E27588">
      <w:pPr>
        <w:jc w:val="both"/>
      </w:pPr>
    </w:p>
    <w:p w:rsidR="00E27588" w:rsidRPr="00A417A0" w:rsidRDefault="00E27588" w:rsidP="00E27588">
      <w:pPr>
        <w:jc w:val="both"/>
      </w:pPr>
      <w:r w:rsidRPr="00A417A0">
        <w:lastRenderedPageBreak/>
        <w:t>The following table illustrates the inadequacy of the existing stress assumptions for life insurers, by comparing them to the assumptions calculated by APRA taking into accou</w:t>
      </w:r>
      <w:r w:rsidR="00E27E1E">
        <w:t>nt the impact of the GFC.</w:t>
      </w:r>
      <w:r w:rsidRPr="00A417A0">
        <w:t xml:space="preserve"> The analysis shows that the credit spread shocks need to be substantially greater for all ratings grades to meet the targeted 99.5</w:t>
      </w:r>
      <w:r w:rsidR="0071385B">
        <w:t xml:space="preserve"> per cent</w:t>
      </w:r>
      <w:r w:rsidR="00E27E1E">
        <w:t xml:space="preserve"> probability of sufficiency.</w:t>
      </w:r>
      <w:r w:rsidRPr="00A417A0">
        <w:t xml:space="preserve"> The effect is greater still for securitised and re-securitised assets.  </w:t>
      </w:r>
    </w:p>
    <w:p w:rsidR="00E27588" w:rsidRPr="00A417A0" w:rsidRDefault="00E27588" w:rsidP="00E27588">
      <w:pPr>
        <w:jc w:val="both"/>
      </w:pPr>
    </w:p>
    <w:p w:rsidR="00E27588" w:rsidRPr="00A417A0" w:rsidRDefault="00E27588" w:rsidP="00E27588">
      <w:pPr>
        <w:jc w:val="both"/>
      </w:pPr>
      <w:r>
        <w:rPr>
          <w:noProof/>
          <w:lang w:eastAsia="en-AU"/>
        </w:rPr>
        <w:drawing>
          <wp:inline distT="0" distB="0" distL="0" distR="0">
            <wp:extent cx="5267325" cy="14573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67325" cy="1457325"/>
                    </a:xfrm>
                    <a:prstGeom prst="rect">
                      <a:avLst/>
                    </a:prstGeom>
                    <a:noFill/>
                    <a:ln w="9525">
                      <a:noFill/>
                      <a:miter lim="800000"/>
                      <a:headEnd/>
                      <a:tailEnd/>
                    </a:ln>
                  </pic:spPr>
                </pic:pic>
              </a:graphicData>
            </a:graphic>
          </wp:inline>
        </w:drawing>
      </w:r>
    </w:p>
    <w:p w:rsidR="00E27588" w:rsidRDefault="00E27588" w:rsidP="00E27588">
      <w:pPr>
        <w:jc w:val="both"/>
      </w:pPr>
    </w:p>
    <w:p w:rsidR="00F25B6E" w:rsidRDefault="00DA1EBF" w:rsidP="00E27588">
      <w:pPr>
        <w:jc w:val="both"/>
      </w:pPr>
      <w:r>
        <w:t>The credit stresses for general insurers under the current framework are not directly comparable to the revised factors. They are substantially less risk sensitive and are not duration dependent.</w:t>
      </w:r>
    </w:p>
    <w:p w:rsidR="00B47FB0" w:rsidRDefault="00B47FB0" w:rsidP="00E27588">
      <w:pPr>
        <w:jc w:val="both"/>
      </w:pPr>
    </w:p>
    <w:p w:rsidR="00B47FB0" w:rsidRPr="00A417A0" w:rsidDel="00F25B6E" w:rsidRDefault="00745D41" w:rsidP="00E27588">
      <w:pPr>
        <w:jc w:val="both"/>
      </w:pPr>
      <w:r>
        <w:t>For general insurers, t</w:t>
      </w:r>
      <w:r w:rsidR="0027754E">
        <w:t>he volatile investment conditions experienced during the GFC revealed that t</w:t>
      </w:r>
      <w:r w:rsidR="00B47FB0">
        <w:t xml:space="preserve">he asset risk framework was </w:t>
      </w:r>
      <w:r w:rsidR="0027754E">
        <w:t>inadequate</w:t>
      </w:r>
      <w:r>
        <w:t xml:space="preserve">. For example, </w:t>
      </w:r>
      <w:r w:rsidR="0027754E">
        <w:t>t</w:t>
      </w:r>
      <w:r w:rsidR="00B47FB0">
        <w:t xml:space="preserve">he current framework </w:t>
      </w:r>
      <w:r w:rsidR="0027754E">
        <w:t>does</w:t>
      </w:r>
      <w:r w:rsidR="00B47FB0">
        <w:t xml:space="preserve"> not adequately allow for mismatch between the duration of assets and liabilities</w:t>
      </w:r>
      <w:r>
        <w:t xml:space="preserve"> </w:t>
      </w:r>
      <w:r w:rsidR="0027754E">
        <w:t>and the outstanding term of the assets</w:t>
      </w:r>
      <w:r>
        <w:t xml:space="preserve"> are not considered</w:t>
      </w:r>
      <w:r w:rsidR="0027754E">
        <w:t>.</w:t>
      </w:r>
      <w:r>
        <w:t xml:space="preserve"> Moreover, the current investment capital factors are fixed and inflation and currency mismatch risks are not considered.</w:t>
      </w:r>
    </w:p>
    <w:p w:rsidR="00E27E1E" w:rsidRDefault="00E27E1E">
      <w:pPr>
        <w:keepNext/>
        <w:jc w:val="both"/>
        <w:rPr>
          <w:b/>
          <w:i/>
        </w:rPr>
      </w:pPr>
    </w:p>
    <w:p w:rsidR="009F384B" w:rsidRDefault="009F384B">
      <w:pPr>
        <w:keepNext/>
        <w:jc w:val="both"/>
        <w:rPr>
          <w:b/>
          <w:i/>
        </w:rPr>
      </w:pPr>
    </w:p>
    <w:p w:rsidR="00E27588" w:rsidRPr="00A417A0" w:rsidRDefault="00E27588" w:rsidP="00E27588">
      <w:pPr>
        <w:keepNext/>
        <w:jc w:val="both"/>
        <w:rPr>
          <w:b/>
          <w:i/>
        </w:rPr>
      </w:pPr>
      <w:r w:rsidRPr="00A417A0">
        <w:rPr>
          <w:b/>
          <w:i/>
        </w:rPr>
        <w:t>Quality of capital and Basel III</w:t>
      </w:r>
    </w:p>
    <w:p w:rsidR="00E27588" w:rsidRPr="00A417A0" w:rsidRDefault="00E27588" w:rsidP="00E27588">
      <w:pPr>
        <w:keepNext/>
        <w:jc w:val="both"/>
      </w:pPr>
      <w:r w:rsidRPr="00A417A0">
        <w:rPr>
          <w:b/>
        </w:rPr>
        <w:tab/>
      </w:r>
    </w:p>
    <w:p w:rsidR="00E27588" w:rsidRPr="00A417A0" w:rsidRDefault="00E27588" w:rsidP="00E27588">
      <w:pPr>
        <w:keepNext/>
        <w:jc w:val="both"/>
      </w:pPr>
      <w:r w:rsidRPr="00A417A0">
        <w:t xml:space="preserve">The GFC experience, particularly overseas, showed that certain types of capital instruments which were included in the capital base of </w:t>
      </w:r>
      <w:r w:rsidR="004C6D38">
        <w:t>ADIs</w:t>
      </w:r>
      <w:r w:rsidR="004C6D38" w:rsidRPr="00A417A0">
        <w:t xml:space="preserve"> </w:t>
      </w:r>
      <w:r w:rsidRPr="00A417A0">
        <w:t xml:space="preserve">and insurers did not behave </w:t>
      </w:r>
      <w:r w:rsidR="00E27E1E">
        <w:t>as expected in times of stress.</w:t>
      </w:r>
      <w:r w:rsidRPr="00A417A0">
        <w:t xml:space="preserve"> Capital is intended to absorb losses and allow a</w:t>
      </w:r>
      <w:r w:rsidR="00E75D47">
        <w:t>n institution to remain viable.</w:t>
      </w:r>
      <w:r w:rsidRPr="00A417A0">
        <w:t xml:space="preserve"> Capital requirements based on the Basel </w:t>
      </w:r>
      <w:r>
        <w:t xml:space="preserve">II </w:t>
      </w:r>
      <w:r w:rsidRPr="00A417A0">
        <w:t>framework</w:t>
      </w:r>
      <w:r w:rsidR="00C635A2">
        <w:rPr>
          <w:rStyle w:val="FootnoteReference"/>
        </w:rPr>
        <w:footnoteReference w:id="5"/>
      </w:r>
      <w:r w:rsidRPr="00A417A0">
        <w:t xml:space="preserve"> </w:t>
      </w:r>
      <w:r w:rsidR="004C6D38">
        <w:t xml:space="preserve">for ADIs </w:t>
      </w:r>
      <w:r w:rsidRPr="00A417A0">
        <w:t xml:space="preserve">allowed institutions to meet substantial proportions of their capital requirements using lower quality capital instruments such as various forms of preference </w:t>
      </w:r>
      <w:r w:rsidR="00E75D47">
        <w:t>equity and subordinated debt.</w:t>
      </w:r>
      <w:r w:rsidRPr="00A417A0">
        <w:t xml:space="preserve"> Under stress, some of these instruments did not absorb losses as expected and the level of protection afforded by a given level of capital was lower than it appeared before the crisis.  </w:t>
      </w:r>
    </w:p>
    <w:p w:rsidR="00E27588" w:rsidRPr="00A417A0" w:rsidRDefault="00E27588" w:rsidP="00E27588">
      <w:pPr>
        <w:jc w:val="both"/>
      </w:pPr>
    </w:p>
    <w:p w:rsidR="00E27588" w:rsidRPr="00A417A0" w:rsidRDefault="00E27588" w:rsidP="00E27588">
      <w:pPr>
        <w:jc w:val="both"/>
      </w:pPr>
      <w:r w:rsidRPr="00A417A0">
        <w:t>Basel III</w:t>
      </w:r>
      <w:r w:rsidRPr="00A417A0">
        <w:rPr>
          <w:rStyle w:val="FootnoteReference"/>
        </w:rPr>
        <w:footnoteReference w:id="6"/>
      </w:r>
      <w:r w:rsidRPr="00A417A0">
        <w:t xml:space="preserve"> addresses these concerns in two key ways – by requiring substantially greater proportions of </w:t>
      </w:r>
      <w:r w:rsidR="004C6D38">
        <w:t>minimum</w:t>
      </w:r>
      <w:r w:rsidR="004C6D38" w:rsidRPr="00A417A0">
        <w:t xml:space="preserve"> </w:t>
      </w:r>
      <w:r w:rsidRPr="00A417A0">
        <w:t>capital requirement</w:t>
      </w:r>
      <w:r w:rsidR="004C6D38">
        <w:t>s</w:t>
      </w:r>
      <w:r w:rsidRPr="00A417A0">
        <w:t xml:space="preserve"> to be met using the highest quality of capital </w:t>
      </w:r>
      <w:r w:rsidR="00956748">
        <w:t>(</w:t>
      </w:r>
      <w:r w:rsidRPr="00A417A0">
        <w:t>common equity</w:t>
      </w:r>
      <w:r w:rsidR="00956748">
        <w:t>)</w:t>
      </w:r>
      <w:r w:rsidRPr="00A417A0">
        <w:t xml:space="preserve">, and by requiring that lower quality instruments </w:t>
      </w:r>
      <w:r w:rsidRPr="00A417A0">
        <w:lastRenderedPageBreak/>
        <w:t xml:space="preserve">explicitly include the ability to convert into ordinary equity or be written off in a time of stress.  </w:t>
      </w:r>
    </w:p>
    <w:p w:rsidR="00E27588" w:rsidRPr="00A417A0" w:rsidRDefault="00E27588" w:rsidP="00E27588">
      <w:pPr>
        <w:jc w:val="both"/>
      </w:pPr>
    </w:p>
    <w:p w:rsidR="00E27588" w:rsidRPr="00A417A0" w:rsidRDefault="00E27588" w:rsidP="00E27588">
      <w:pPr>
        <w:jc w:val="both"/>
      </w:pPr>
      <w:r w:rsidRPr="00A417A0">
        <w:t xml:space="preserve">APRA’s capital standards for authorised deposit-taking institutions (ADIs) follow closely those set by the Basel Committee for Banking Supervision (BCBS).   The recent Basel III capital </w:t>
      </w:r>
      <w:r w:rsidR="004C6D38">
        <w:t>framework is</w:t>
      </w:r>
      <w:r w:rsidRPr="00A417A0">
        <w:t xml:space="preserve"> being implemented within APRA’s regulatory framework for ADIs. APRA’s existing general insurance framework for quality of capital is aligned with the current ADI framework</w:t>
      </w:r>
      <w:r w:rsidR="004C6D38">
        <w:t xml:space="preserve">, as it is felt appropriate to maintain the </w:t>
      </w:r>
      <w:r w:rsidR="001C112D">
        <w:t xml:space="preserve">broadly </w:t>
      </w:r>
      <w:r w:rsidR="004C6D38">
        <w:t xml:space="preserve">same quality of capital </w:t>
      </w:r>
      <w:r w:rsidR="00C635A2">
        <w:t xml:space="preserve">requirements </w:t>
      </w:r>
      <w:r w:rsidR="004C6D38">
        <w:t xml:space="preserve">for insurers as </w:t>
      </w:r>
      <w:r w:rsidR="00C635A2">
        <w:t xml:space="preserve">for </w:t>
      </w:r>
      <w:r w:rsidR="004C6D38">
        <w:t>ADIs. T</w:t>
      </w:r>
      <w:r w:rsidRPr="00A417A0">
        <w:t xml:space="preserve">he </w:t>
      </w:r>
      <w:r w:rsidR="00097F37">
        <w:t xml:space="preserve">current </w:t>
      </w:r>
      <w:r w:rsidRPr="00A417A0">
        <w:t xml:space="preserve">capital requirements for general insurers </w:t>
      </w:r>
      <w:r w:rsidR="00097F37">
        <w:t>may</w:t>
      </w:r>
      <w:r w:rsidR="00744F92">
        <w:t xml:space="preserve"> therefore</w:t>
      </w:r>
      <w:r w:rsidR="00097F37">
        <w:t xml:space="preserve"> be subject</w:t>
      </w:r>
      <w:r w:rsidRPr="00A417A0">
        <w:t xml:space="preserve"> to the weaknesses described above.  </w:t>
      </w:r>
      <w:r w:rsidR="00097F37">
        <w:t>Although these risks have not been realised in the Australian insurance industry, there is the potential that they could occur in the future</w:t>
      </w:r>
      <w:r w:rsidR="004C6D38">
        <w:t xml:space="preserve">, hence the proposal to continue to align </w:t>
      </w:r>
      <w:r w:rsidR="001C112D">
        <w:t xml:space="preserve">the quality of capital requirements </w:t>
      </w:r>
      <w:r w:rsidR="004C6D38">
        <w:t xml:space="preserve">with </w:t>
      </w:r>
      <w:r w:rsidR="001C112D">
        <w:t xml:space="preserve">those for </w:t>
      </w:r>
      <w:r w:rsidR="004C6D38">
        <w:t>ADIs</w:t>
      </w:r>
      <w:r w:rsidR="00097F37">
        <w:t>.</w:t>
      </w:r>
      <w:r w:rsidR="00077929">
        <w:t xml:space="preserve">  </w:t>
      </w:r>
      <w:r w:rsidR="001C112D">
        <w:t>F</w:t>
      </w:r>
      <w:r w:rsidR="00077929">
        <w:t xml:space="preserve">or similar reasons, APRA is taking the opportunity to align the quality of capital </w:t>
      </w:r>
      <w:r w:rsidR="001C112D">
        <w:t xml:space="preserve">requirements </w:t>
      </w:r>
      <w:r w:rsidR="00077929">
        <w:t>for life insurers with th</w:t>
      </w:r>
      <w:r w:rsidR="0052270F">
        <w:t>ose</w:t>
      </w:r>
      <w:r w:rsidR="00077929">
        <w:t xml:space="preserve"> for general insurers.</w:t>
      </w:r>
    </w:p>
    <w:p w:rsidR="00F25B6E" w:rsidRPr="00A417A0" w:rsidRDefault="00F25B6E" w:rsidP="00E27588">
      <w:pPr>
        <w:jc w:val="both"/>
      </w:pPr>
    </w:p>
    <w:p w:rsidR="00E27588" w:rsidRPr="00A417A0" w:rsidRDefault="00E27588" w:rsidP="00E27588">
      <w:pPr>
        <w:jc w:val="both"/>
      </w:pPr>
    </w:p>
    <w:p w:rsidR="00E27E1E" w:rsidRDefault="00E27588">
      <w:pPr>
        <w:keepNext/>
        <w:jc w:val="both"/>
        <w:rPr>
          <w:b/>
          <w:i/>
        </w:rPr>
      </w:pPr>
      <w:r w:rsidRPr="00A417A0">
        <w:rPr>
          <w:b/>
          <w:i/>
        </w:rPr>
        <w:t xml:space="preserve">Alignment </w:t>
      </w:r>
      <w:r w:rsidR="00237054">
        <w:rPr>
          <w:b/>
          <w:i/>
        </w:rPr>
        <w:t xml:space="preserve">of requirements across </w:t>
      </w:r>
      <w:r w:rsidRPr="00A417A0">
        <w:rPr>
          <w:b/>
          <w:i/>
        </w:rPr>
        <w:t>industries and internationally</w:t>
      </w:r>
    </w:p>
    <w:p w:rsidR="00E27E1E" w:rsidRDefault="00E27E1E">
      <w:pPr>
        <w:keepNext/>
        <w:jc w:val="both"/>
      </w:pPr>
    </w:p>
    <w:p w:rsidR="00106723" w:rsidRDefault="00A847C0" w:rsidP="00E75D47">
      <w:pPr>
        <w:keepNext/>
        <w:jc w:val="both"/>
      </w:pPr>
      <w:r>
        <w:t xml:space="preserve">There is an increasing trend for prudentially regulated financial institutions to operate as part of a wider corporate group across more than one industry. Such groups account for a substantial proportion of </w:t>
      </w:r>
      <w:r w:rsidR="00E77707">
        <w:t>insurers within Australia</w:t>
      </w:r>
      <w:r>
        <w:t xml:space="preserve">.  For example, the major </w:t>
      </w:r>
      <w:r w:rsidR="00237054">
        <w:t xml:space="preserve">Australian </w:t>
      </w:r>
      <w:r>
        <w:t xml:space="preserve">banks own life </w:t>
      </w:r>
      <w:r w:rsidR="003F35A7">
        <w:t>insurers</w:t>
      </w:r>
      <w:r>
        <w:t xml:space="preserve"> that represent almost 50</w:t>
      </w:r>
      <w:r w:rsidR="0071385B">
        <w:t xml:space="preserve"> per cent</w:t>
      </w:r>
      <w:r>
        <w:t xml:space="preserve"> of the life insurance industry by assets. </w:t>
      </w:r>
      <w:r w:rsidRPr="00A417A0">
        <w:t xml:space="preserve">Alignment </w:t>
      </w:r>
      <w:r w:rsidR="00744F92">
        <w:t>can</w:t>
      </w:r>
      <w:r w:rsidRPr="00A417A0">
        <w:t xml:space="preserve"> reduce opportunities for </w:t>
      </w:r>
      <w:r w:rsidRPr="00C209E7">
        <w:t>regulatory arbitrag</w:t>
      </w:r>
      <w:r>
        <w:t>e; this is</w:t>
      </w:r>
      <w:r w:rsidRPr="00C209E7">
        <w:t xml:space="preserve"> an issue for </w:t>
      </w:r>
      <w:r>
        <w:t>cross industry</w:t>
      </w:r>
      <w:r w:rsidRPr="00C209E7">
        <w:t xml:space="preserve"> groups</w:t>
      </w:r>
      <w:r>
        <w:t xml:space="preserve"> who have the ability to adjust legal structures and have access to licences across multiple industries</w:t>
      </w:r>
      <w:r w:rsidRPr="00A417A0">
        <w:t xml:space="preserve">.  </w:t>
      </w:r>
      <w:r>
        <w:t xml:space="preserve">Cross industry groups can make decisions regarding which legal entity owns an asset and also which legal entity underwrites certain types of risks in such a way as to minimise the capital requirement, if regulatory arbitrage is available. </w:t>
      </w:r>
      <w:r w:rsidRPr="00A417A0">
        <w:t xml:space="preserve">Regulatory arbitrage can </w:t>
      </w:r>
      <w:r>
        <w:t xml:space="preserve">therefore </w:t>
      </w:r>
      <w:r w:rsidRPr="00A417A0">
        <w:t>result in reductions in required capital due to changes in ownership or structure, without any corresponding reduction in the actual risk exposure of the institution.</w:t>
      </w:r>
      <w:r>
        <w:t xml:space="preserve"> Such reductions have no economic substance as they do not reflect any change in economic risk.</w:t>
      </w:r>
      <w:r w:rsidRPr="00A417A0">
        <w:t xml:space="preserve">  </w:t>
      </w:r>
      <w:r w:rsidR="00077929">
        <w:t>This</w:t>
      </w:r>
      <w:r w:rsidRPr="00A417A0">
        <w:t xml:space="preserve"> can therefore result in a misleading presentation of the capital strength of a given insurer</w:t>
      </w:r>
      <w:r>
        <w:t xml:space="preserve"> and cause a mismatch between the capital requirement of an insurer and that insurer’s risk profile, reducing the risk sensitivity of the capital framework. </w:t>
      </w:r>
    </w:p>
    <w:p w:rsidR="00106723" w:rsidRDefault="00106723" w:rsidP="00E27588">
      <w:pPr>
        <w:jc w:val="both"/>
      </w:pPr>
    </w:p>
    <w:p w:rsidR="00A847C0" w:rsidRDefault="00A847C0" w:rsidP="00E27588">
      <w:pPr>
        <w:jc w:val="both"/>
      </w:pPr>
      <w:r>
        <w:t xml:space="preserve">To address this, APRA proposes to improve the risk sensitivity of the capital requirement through aligning the capital requirements for </w:t>
      </w:r>
      <w:r w:rsidRPr="00A417A0">
        <w:t>general insurers</w:t>
      </w:r>
      <w:r w:rsidR="00744F92">
        <w:t xml:space="preserve"> and</w:t>
      </w:r>
      <w:r w:rsidRPr="00A417A0">
        <w:t xml:space="preserve"> life </w:t>
      </w:r>
      <w:r w:rsidR="003F35A7">
        <w:t>insurers</w:t>
      </w:r>
      <w:r w:rsidR="00744F92">
        <w:t>,</w:t>
      </w:r>
      <w:r w:rsidRPr="00A417A0">
        <w:t xml:space="preserve"> and also alignment with ADIs where appropriate</w:t>
      </w:r>
      <w:r>
        <w:t xml:space="preserve">. This </w:t>
      </w:r>
      <w:r w:rsidR="00106723">
        <w:t xml:space="preserve">better </w:t>
      </w:r>
      <w:r>
        <w:t xml:space="preserve">matches capital with risk, rather than allowing required capital to be affected by changes in ownership or structure where there is no real change in economic value. </w:t>
      </w:r>
    </w:p>
    <w:p w:rsidR="00E27588" w:rsidRPr="00A417A0" w:rsidRDefault="00E27588" w:rsidP="00E27588">
      <w:pPr>
        <w:jc w:val="both"/>
      </w:pPr>
    </w:p>
    <w:p w:rsidR="00E27588" w:rsidRPr="00A417A0" w:rsidRDefault="00E27588" w:rsidP="00E27588">
      <w:pPr>
        <w:jc w:val="both"/>
      </w:pPr>
      <w:r w:rsidRPr="00A417A0">
        <w:t>Where possible, it is important that equivalent risks are treated in a similar way between entities through the alignment of capital standards</w:t>
      </w:r>
      <w:r w:rsidRPr="00F97FCB">
        <w:t>. For groups whose activities extend across two or more APRA-regulated industries, this can</w:t>
      </w:r>
      <w:r w:rsidRPr="00A417A0">
        <w:t xml:space="preserve"> facilitate a simplified risk management process, easier comparisons between groups and as a result, more effective supervision.  For example, the structure of the capital standards for life insurers, particularly the dual reporting requirements for solvency and capital adequacy, is out of line with both the banking and general insurance industries in Australia. Hence, there is a case for exploring both simplification and harmonisation of capital standards for general insurers and life </w:t>
      </w:r>
      <w:r w:rsidRPr="00A417A0">
        <w:lastRenderedPageBreak/>
        <w:t>insurers and</w:t>
      </w:r>
      <w:r w:rsidR="00106723">
        <w:t>,</w:t>
      </w:r>
      <w:r w:rsidRPr="00A417A0">
        <w:t xml:space="preserve"> where appropriate, to align capital standards for insurers with those for ADIs.  </w:t>
      </w:r>
    </w:p>
    <w:p w:rsidR="00E27588" w:rsidRPr="00A417A0" w:rsidRDefault="00E27588" w:rsidP="00E27588">
      <w:pPr>
        <w:jc w:val="both"/>
      </w:pPr>
    </w:p>
    <w:p w:rsidR="0046407E" w:rsidRDefault="006810E0" w:rsidP="00E27588">
      <w:pPr>
        <w:jc w:val="both"/>
      </w:pPr>
      <w:r>
        <w:t xml:space="preserve">In undertaking the LAGIC review </w:t>
      </w:r>
      <w:r w:rsidR="00E27588" w:rsidRPr="00A417A0">
        <w:t xml:space="preserve">APRA has </w:t>
      </w:r>
      <w:r>
        <w:t xml:space="preserve">focused on </w:t>
      </w:r>
      <w:r w:rsidR="00E27588" w:rsidRPr="00A417A0">
        <w:t xml:space="preserve">alignment between requirements for general insurers and life </w:t>
      </w:r>
      <w:r w:rsidR="003F35A7">
        <w:t>insurers</w:t>
      </w:r>
      <w:r w:rsidR="00E27588" w:rsidRPr="00A417A0">
        <w:t xml:space="preserve">.  Alignment with ADIs has been undertaken as appropriate.  Given differences in industry risks and structure, alignment with the ADI industry has primarily focussed on the requirements relating to the capital base (and particularly the quality of capital instruments able to be included in the capital base) and </w:t>
      </w:r>
      <w:r w:rsidR="00A847C0">
        <w:t xml:space="preserve">on </w:t>
      </w:r>
      <w:r w:rsidR="00E27588" w:rsidRPr="00A417A0">
        <w:t>capital management requirements</w:t>
      </w:r>
      <w:r w:rsidR="00A847C0">
        <w:t>,</w:t>
      </w:r>
      <w:r w:rsidR="00E27588" w:rsidRPr="00A417A0">
        <w:t xml:space="preserve"> rather than on the requirements for calculating the </w:t>
      </w:r>
      <w:r w:rsidR="000D7518">
        <w:t>minimum required amount of capital</w:t>
      </w:r>
      <w:r w:rsidR="00E27588" w:rsidRPr="00A417A0">
        <w:t xml:space="preserve">.  </w:t>
      </w:r>
      <w:r w:rsidR="0046407E">
        <w:t xml:space="preserve">For example, APRA did not adopt the </w:t>
      </w:r>
      <w:r w:rsidR="000D7518">
        <w:t>ADI</w:t>
      </w:r>
      <w:r w:rsidR="0046407E">
        <w:t xml:space="preserve"> requirements for </w:t>
      </w:r>
      <w:r w:rsidR="000D7518">
        <w:t xml:space="preserve">a </w:t>
      </w:r>
      <w:r w:rsidR="0046407E">
        <w:t xml:space="preserve">Capital Conservation Buffer as </w:t>
      </w:r>
      <w:r w:rsidR="0061115F">
        <w:t>this was</w:t>
      </w:r>
      <w:r w:rsidR="0046407E">
        <w:t xml:space="preserve"> not seen as appropriate for the Australian insurance industry. </w:t>
      </w:r>
      <w:r w:rsidR="00C0090D">
        <w:t>The consideration of the build-up of adequate capital above the minimum that can be used to absorb losses during period</w:t>
      </w:r>
      <w:r w:rsidR="00237054">
        <w:t>s</w:t>
      </w:r>
      <w:r w:rsidR="00C0090D">
        <w:t xml:space="preserve"> of financial and economic stress would be factors that APRA expects insurers to consider when establishing appropriate capital targets.</w:t>
      </w:r>
      <w:r w:rsidR="0046407E">
        <w:t xml:space="preserve"> </w:t>
      </w:r>
    </w:p>
    <w:p w:rsidR="00E27588" w:rsidRPr="00A417A0" w:rsidRDefault="00E27588" w:rsidP="00E27588">
      <w:pPr>
        <w:jc w:val="both"/>
      </w:pPr>
    </w:p>
    <w:p w:rsidR="00E27588" w:rsidRPr="00A417A0" w:rsidRDefault="00E27588" w:rsidP="00E27588">
      <w:pPr>
        <w:jc w:val="both"/>
      </w:pPr>
      <w:r w:rsidRPr="00A417A0">
        <w:t xml:space="preserve">APRA is cognisant of developments in insurance regulation internationally.  </w:t>
      </w:r>
      <w:r w:rsidR="009B3ECC">
        <w:t xml:space="preserve">APRA has looked at a range of international </w:t>
      </w:r>
      <w:r w:rsidR="00106723">
        <w:t xml:space="preserve">capital </w:t>
      </w:r>
      <w:r w:rsidR="009B3ECC">
        <w:t xml:space="preserve">frameworks in order to inform </w:t>
      </w:r>
      <w:r w:rsidR="001104D2">
        <w:t>its</w:t>
      </w:r>
      <w:r w:rsidR="009B3ECC">
        <w:t xml:space="preserve"> considerations and ensure broad comparative outcomes, for example, by looking at alternative approaches and levels of calibration</w:t>
      </w:r>
      <w:r w:rsidR="0034609F">
        <w:t xml:space="preserve"> of capital requirements for insurers</w:t>
      </w:r>
      <w:r w:rsidR="009B3ECC">
        <w:t xml:space="preserve">. </w:t>
      </w:r>
      <w:r w:rsidRPr="00A417A0">
        <w:t xml:space="preserve">One </w:t>
      </w:r>
      <w:r w:rsidR="00106723">
        <w:t xml:space="preserve">such </w:t>
      </w:r>
      <w:r w:rsidRPr="00A417A0">
        <w:t xml:space="preserve">relevant </w:t>
      </w:r>
      <w:r w:rsidR="00106723">
        <w:t xml:space="preserve">international </w:t>
      </w:r>
      <w:r w:rsidRPr="00A417A0">
        <w:t xml:space="preserve">development </w:t>
      </w:r>
      <w:r w:rsidR="00106723">
        <w:t xml:space="preserve">that has been considered </w:t>
      </w:r>
      <w:r w:rsidRPr="00A417A0">
        <w:t>is the Solvency II framework in Europe.</w:t>
      </w:r>
      <w:r w:rsidR="009B3ECC">
        <w:rPr>
          <w:rStyle w:val="FootnoteReference"/>
        </w:rPr>
        <w:footnoteReference w:id="7"/>
      </w:r>
      <w:r w:rsidRPr="00A417A0">
        <w:t xml:space="preserve"> While it is not appropriate to completely align with Solvency II, APRA ha</w:t>
      </w:r>
      <w:r w:rsidR="00F019B0">
        <w:t>d</w:t>
      </w:r>
      <w:r w:rsidRPr="00A417A0">
        <w:t xml:space="preserve"> regard to </w:t>
      </w:r>
      <w:r w:rsidR="00F019B0">
        <w:t xml:space="preserve">it </w:t>
      </w:r>
      <w:r w:rsidR="00106723">
        <w:t xml:space="preserve">in </w:t>
      </w:r>
      <w:r w:rsidRPr="00A417A0">
        <w:t>develop</w:t>
      </w:r>
      <w:r w:rsidR="00106723">
        <w:t xml:space="preserve">ing the LAGIC </w:t>
      </w:r>
      <w:r w:rsidR="00064C48">
        <w:t>proposals</w:t>
      </w:r>
      <w:r w:rsidR="001E7D5A">
        <w:t>.</w:t>
      </w:r>
      <w:r w:rsidRPr="00A417A0">
        <w:t xml:space="preserve"> Improved harmonisation and comparability with regulatory regimes in other jurisdictions outside Australia has benefits for companies that operate overseas, subsidiary companies or branches of foreign companies and for local insurers competing with foreign-owned insurers.  </w:t>
      </w:r>
    </w:p>
    <w:p w:rsidR="00E27588" w:rsidRPr="00A417A0" w:rsidRDefault="00E27588" w:rsidP="00E27588">
      <w:pPr>
        <w:jc w:val="both"/>
      </w:pPr>
    </w:p>
    <w:p w:rsidR="00E27588" w:rsidRPr="00A417A0" w:rsidRDefault="00E27588" w:rsidP="00E27588">
      <w:pPr>
        <w:jc w:val="both"/>
      </w:pPr>
    </w:p>
    <w:p w:rsidR="00E27588" w:rsidRPr="00A417A0" w:rsidRDefault="00E27588" w:rsidP="00E27588">
      <w:pPr>
        <w:jc w:val="both"/>
        <w:rPr>
          <w:b/>
          <w:sz w:val="28"/>
        </w:rPr>
      </w:pPr>
      <w:r w:rsidRPr="00A417A0">
        <w:rPr>
          <w:b/>
          <w:sz w:val="28"/>
        </w:rPr>
        <w:t>Objectives of the LAGIC review</w:t>
      </w:r>
      <w:r w:rsidR="007452C0">
        <w:rPr>
          <w:b/>
          <w:sz w:val="28"/>
        </w:rPr>
        <w:t xml:space="preserve">  </w:t>
      </w:r>
    </w:p>
    <w:p w:rsidR="00E27588" w:rsidRPr="00A417A0" w:rsidRDefault="00E27588" w:rsidP="00E27588">
      <w:pPr>
        <w:jc w:val="both"/>
      </w:pPr>
    </w:p>
    <w:p w:rsidR="00E27588" w:rsidRPr="00A417A0" w:rsidRDefault="00E27588" w:rsidP="00E27588">
      <w:pPr>
        <w:jc w:val="both"/>
      </w:pPr>
      <w:r w:rsidRPr="00A417A0">
        <w:t>APRA’s stated supervisory approach is to be ‘forward-looking, primarily risk-based, consultative, consistent and in line with international best practice’.</w:t>
      </w:r>
      <w:r w:rsidR="009B3ECC">
        <w:rPr>
          <w:rStyle w:val="FootnoteReference"/>
        </w:rPr>
        <w:footnoteReference w:id="8"/>
      </w:r>
      <w:r w:rsidRPr="00A417A0">
        <w:t xml:space="preserve"> </w:t>
      </w:r>
    </w:p>
    <w:p w:rsidR="009C06FB" w:rsidRDefault="009C06FB" w:rsidP="004E4699">
      <w:pPr>
        <w:jc w:val="both"/>
      </w:pPr>
    </w:p>
    <w:p w:rsidR="00E27588" w:rsidRPr="00A417A0" w:rsidRDefault="00E27588" w:rsidP="00532E09">
      <w:pPr>
        <w:jc w:val="both"/>
      </w:pPr>
      <w:r w:rsidRPr="00A417A0">
        <w:t>In undertaking the LAGIC review, APRA’s objectives are to</w:t>
      </w:r>
      <w:r w:rsidR="00532E09">
        <w:t>:</w:t>
      </w:r>
    </w:p>
    <w:p w:rsidR="009F384B" w:rsidRDefault="009F384B">
      <w:pPr>
        <w:pStyle w:val="ListParagraph"/>
        <w:ind w:left="567"/>
        <w:jc w:val="both"/>
      </w:pPr>
    </w:p>
    <w:p w:rsidR="00E27588" w:rsidRPr="00A417A0" w:rsidRDefault="00E27588" w:rsidP="00E27588">
      <w:pPr>
        <w:pStyle w:val="ListParagraph"/>
        <w:numPr>
          <w:ilvl w:val="0"/>
          <w:numId w:val="7"/>
        </w:numPr>
        <w:jc w:val="both"/>
      </w:pPr>
      <w:r w:rsidRPr="00A417A0">
        <w:t>improve the risk sensitivity and appropriateness of the capital standards for insurers</w:t>
      </w:r>
      <w:r w:rsidR="000D7518">
        <w:t xml:space="preserve"> to address risks in the insurance industry (</w:t>
      </w:r>
      <w:r w:rsidR="00F019B0">
        <w:t xml:space="preserve">and in the process address </w:t>
      </w:r>
      <w:r w:rsidR="00360885">
        <w:t xml:space="preserve">the </w:t>
      </w:r>
      <w:r w:rsidR="00436D77">
        <w:t xml:space="preserve">observed </w:t>
      </w:r>
      <w:r w:rsidR="00F019B0">
        <w:t xml:space="preserve">emerging risks such as those </w:t>
      </w:r>
      <w:r w:rsidR="000D7518">
        <w:t>discussed above, which, although they have not been fully realised as yet, have the potential to increase the risk of insurer failure beyond acceptable levels</w:t>
      </w:r>
      <w:r w:rsidR="00F019B0">
        <w:t>)</w:t>
      </w:r>
      <w:r w:rsidRPr="00A417A0">
        <w:t>; and</w:t>
      </w:r>
    </w:p>
    <w:p w:rsidR="00E27588" w:rsidRPr="00A417A0" w:rsidRDefault="00E27588" w:rsidP="00E27588">
      <w:pPr>
        <w:jc w:val="both"/>
      </w:pPr>
    </w:p>
    <w:p w:rsidR="00E27588" w:rsidRPr="00A417A0" w:rsidRDefault="00E27588" w:rsidP="00E27588">
      <w:pPr>
        <w:pStyle w:val="ListParagraph"/>
        <w:numPr>
          <w:ilvl w:val="0"/>
          <w:numId w:val="7"/>
        </w:numPr>
        <w:jc w:val="both"/>
      </w:pPr>
      <w:r w:rsidRPr="00A417A0">
        <w:t>where appropriate, improve the alignment of the capital standards across industries and internationally</w:t>
      </w:r>
      <w:r w:rsidR="001104D2">
        <w:t>.</w:t>
      </w:r>
    </w:p>
    <w:p w:rsidR="00E27588" w:rsidRPr="00A417A0" w:rsidRDefault="00E27588" w:rsidP="009B3ECC">
      <w:pPr>
        <w:pStyle w:val="ListParagraph"/>
        <w:jc w:val="both"/>
      </w:pPr>
    </w:p>
    <w:p w:rsidR="00E27588" w:rsidRPr="00A417A0" w:rsidRDefault="009C06FB" w:rsidP="00E27588">
      <w:pPr>
        <w:jc w:val="both"/>
      </w:pPr>
      <w:r>
        <w:t xml:space="preserve">Overall, APRA’s objective is </w:t>
      </w:r>
      <w:r w:rsidR="00E27588" w:rsidRPr="00A417A0">
        <w:t xml:space="preserve">to better address the </w:t>
      </w:r>
      <w:r w:rsidR="00F019B0">
        <w:t xml:space="preserve">potential </w:t>
      </w:r>
      <w:r w:rsidR="00E27588" w:rsidRPr="00A417A0">
        <w:t>market failures that the prudential capital regime for insurers is designed to address.</w:t>
      </w:r>
      <w:r w:rsidR="00E27588" w:rsidRPr="00A417A0">
        <w:tab/>
      </w:r>
    </w:p>
    <w:p w:rsidR="00E27588" w:rsidRPr="00A417A0" w:rsidRDefault="00E27588" w:rsidP="00E27588">
      <w:pPr>
        <w:jc w:val="both"/>
      </w:pPr>
    </w:p>
    <w:p w:rsidR="00E27588" w:rsidRPr="00A417A0" w:rsidRDefault="00E27588" w:rsidP="00E27588">
      <w:pPr>
        <w:jc w:val="both"/>
      </w:pPr>
    </w:p>
    <w:p w:rsidR="00E27588" w:rsidRPr="00A417A0" w:rsidRDefault="00E27588" w:rsidP="00E27588">
      <w:pPr>
        <w:keepNext/>
        <w:jc w:val="both"/>
        <w:rPr>
          <w:b/>
          <w:sz w:val="28"/>
        </w:rPr>
      </w:pPr>
      <w:r w:rsidRPr="00A417A0">
        <w:rPr>
          <w:b/>
          <w:sz w:val="28"/>
        </w:rPr>
        <w:t>Summary of LAGIC proposals</w:t>
      </w:r>
    </w:p>
    <w:p w:rsidR="00E27588" w:rsidRPr="00A417A0" w:rsidRDefault="00E27588" w:rsidP="00E27588">
      <w:pPr>
        <w:keepNext/>
        <w:jc w:val="both"/>
      </w:pPr>
    </w:p>
    <w:p w:rsidR="00E27588" w:rsidRPr="00A417A0" w:rsidRDefault="00E27588" w:rsidP="00E27588">
      <w:pPr>
        <w:keepNext/>
        <w:jc w:val="both"/>
      </w:pPr>
      <w:r w:rsidRPr="00A417A0">
        <w:t>An insurer needs to have sufficient capital to absorb unexpected shocks that may arise and continue to be able to meet its obligations to policyholders</w:t>
      </w:r>
      <w:r w:rsidR="00396A87">
        <w:t xml:space="preserve"> and beneficiaries</w:t>
      </w:r>
      <w:r w:rsidRPr="00A417A0">
        <w:t xml:space="preserve">. This facilitates the stability and </w:t>
      </w:r>
      <w:r w:rsidR="00106723">
        <w:t xml:space="preserve">ongoing </w:t>
      </w:r>
      <w:r w:rsidRPr="00A417A0">
        <w:t>viability of the insurance market</w:t>
      </w:r>
      <w:r w:rsidR="00106723">
        <w:t>,</w:t>
      </w:r>
      <w:r w:rsidRPr="00A417A0">
        <w:t xml:space="preserve"> which will maintain consumer confidence in the ability of insurers to honour their claims. </w:t>
      </w:r>
    </w:p>
    <w:p w:rsidR="00E27588" w:rsidRPr="00A417A0" w:rsidRDefault="00E27588" w:rsidP="00E27588">
      <w:pPr>
        <w:jc w:val="both"/>
      </w:pPr>
    </w:p>
    <w:p w:rsidR="00E27588" w:rsidRPr="00A417A0" w:rsidRDefault="00E27588" w:rsidP="00E27588">
      <w:pPr>
        <w:jc w:val="both"/>
      </w:pPr>
      <w:r w:rsidRPr="00A417A0">
        <w:t xml:space="preserve">The implementation of APRA’s proposals will impact a range of prudential standards across insurance industries and involve a combination of new standards and amendments to existing standards. </w:t>
      </w:r>
    </w:p>
    <w:p w:rsidR="00E27588" w:rsidRPr="00A417A0" w:rsidRDefault="00E27588" w:rsidP="00E27588">
      <w:pPr>
        <w:jc w:val="both"/>
      </w:pPr>
    </w:p>
    <w:p w:rsidR="00E27588" w:rsidRPr="00A417A0" w:rsidRDefault="00E27588" w:rsidP="00E27588">
      <w:pPr>
        <w:jc w:val="both"/>
        <w:rPr>
          <w:b/>
          <w:i/>
        </w:rPr>
      </w:pPr>
      <w:r w:rsidRPr="00A417A0">
        <w:rPr>
          <w:b/>
          <w:i/>
        </w:rPr>
        <w:t>Alignment</w:t>
      </w:r>
    </w:p>
    <w:p w:rsidR="00E27588" w:rsidRPr="00A417A0" w:rsidRDefault="00E27588" w:rsidP="00E27588">
      <w:pPr>
        <w:jc w:val="both"/>
      </w:pPr>
    </w:p>
    <w:p w:rsidR="00E27588" w:rsidRPr="00A417A0" w:rsidRDefault="00E27588" w:rsidP="00E27588">
      <w:pPr>
        <w:jc w:val="both"/>
      </w:pPr>
      <w:r w:rsidRPr="00A417A0">
        <w:t xml:space="preserve">APRA proposes to introduce a common framework for required capital and eligible capital across general insurers and life insurers. For general insurers, the proposed required capital broadly corresponds to the existing </w:t>
      </w:r>
      <w:r w:rsidR="00D21F39">
        <w:t>m</w:t>
      </w:r>
      <w:r w:rsidRPr="00A417A0">
        <w:t xml:space="preserve">inimum </w:t>
      </w:r>
      <w:r w:rsidR="00D21F39">
        <w:t>c</w:t>
      </w:r>
      <w:r w:rsidRPr="00A417A0">
        <w:t xml:space="preserve">apital </w:t>
      </w:r>
      <w:r w:rsidR="00D21F39">
        <w:t>r</w:t>
      </w:r>
      <w:r w:rsidRPr="00A417A0">
        <w:t xml:space="preserve">equirement (MCR). For life insurers, the two existing requirements for solvency and capital adequacy would be replaced with a single measure of required capital. This measure </w:t>
      </w:r>
      <w:r w:rsidR="00106723">
        <w:t xml:space="preserve">of required capital </w:t>
      </w:r>
      <w:r w:rsidRPr="00A417A0">
        <w:t>would be compared with the capital base</w:t>
      </w:r>
      <w:r w:rsidR="00106723">
        <w:t>,</w:t>
      </w:r>
      <w:r w:rsidRPr="00A417A0">
        <w:t xml:space="preserve"> in contrast to the current solvency and capital adequacy requirements that are compared with total assets. </w:t>
      </w:r>
    </w:p>
    <w:p w:rsidR="00E27588" w:rsidRPr="00A417A0" w:rsidRDefault="00E27588" w:rsidP="00E27588">
      <w:pPr>
        <w:jc w:val="both"/>
      </w:pPr>
    </w:p>
    <w:p w:rsidR="00E27588" w:rsidRPr="00A417A0" w:rsidRDefault="00E27588" w:rsidP="00E27588">
      <w:pPr>
        <w:jc w:val="both"/>
      </w:pPr>
      <w:r w:rsidRPr="00A417A0">
        <w:t>The LAGIC proposals provide a clearer view of the financial position of insurers through a direct comparison of the amount of eligible capital with required capital. The level of required capital for insurers under the proposals is intended to correspond to a 99.5 per cent probability of sufficiency over a one-year period</w:t>
      </w:r>
      <w:r w:rsidR="005101C3">
        <w:t>, that is, a 0.5 per cent probability of insurer failure over a one-year period</w:t>
      </w:r>
      <w:r w:rsidRPr="00A417A0">
        <w:t>.</w:t>
      </w:r>
    </w:p>
    <w:p w:rsidR="00E27588" w:rsidRPr="00A417A0" w:rsidRDefault="00E27588" w:rsidP="00E27588">
      <w:pPr>
        <w:jc w:val="both"/>
      </w:pPr>
    </w:p>
    <w:p w:rsidR="00E27588" w:rsidRPr="00A417A0" w:rsidRDefault="00E27588" w:rsidP="00E27588">
      <w:pPr>
        <w:jc w:val="both"/>
        <w:rPr>
          <w:b/>
          <w:i/>
        </w:rPr>
      </w:pPr>
      <w:r w:rsidRPr="00A417A0">
        <w:rPr>
          <w:b/>
          <w:i/>
        </w:rPr>
        <w:t xml:space="preserve">Capital base  </w:t>
      </w:r>
    </w:p>
    <w:p w:rsidR="00E27588" w:rsidRPr="00A417A0" w:rsidRDefault="00E27588" w:rsidP="00E27588">
      <w:pPr>
        <w:jc w:val="both"/>
        <w:rPr>
          <w:i/>
        </w:rPr>
      </w:pPr>
    </w:p>
    <w:p w:rsidR="00E27588" w:rsidRPr="00A417A0" w:rsidRDefault="00E27588" w:rsidP="00E27588">
      <w:pPr>
        <w:jc w:val="both"/>
      </w:pPr>
      <w:r w:rsidRPr="00A417A0">
        <w:t xml:space="preserve">APRA </w:t>
      </w:r>
      <w:r w:rsidR="009074E7">
        <w:t xml:space="preserve">proposes </w:t>
      </w:r>
      <w:r>
        <w:t xml:space="preserve">to </w:t>
      </w:r>
      <w:r w:rsidRPr="00A417A0">
        <w:t>require that insurers hold a capital base which is freely available to absorb losses and rank</w:t>
      </w:r>
      <w:r w:rsidR="001104D2">
        <w:t>s</w:t>
      </w:r>
      <w:r w:rsidRPr="00A417A0">
        <w:t xml:space="preserve"> behind the claims of policyholders and other creditors in the event of winding up. APRA intends to use consistent definitions of capital for general insurers, life insurers and ADIs. The capital base </w:t>
      </w:r>
      <w:r>
        <w:t xml:space="preserve">would </w:t>
      </w:r>
      <w:r w:rsidRPr="00A417A0">
        <w:t>consist of the sum of the following components, net of regulatory adjustments:</w:t>
      </w:r>
    </w:p>
    <w:p w:rsidR="00E27588" w:rsidRPr="00A417A0" w:rsidRDefault="00E27588" w:rsidP="00E27588">
      <w:pPr>
        <w:jc w:val="both"/>
      </w:pPr>
    </w:p>
    <w:p w:rsidR="00E27588" w:rsidRPr="00A417A0" w:rsidRDefault="00E27588" w:rsidP="00E27588">
      <w:pPr>
        <w:pStyle w:val="ListParagraph"/>
        <w:numPr>
          <w:ilvl w:val="0"/>
          <w:numId w:val="2"/>
        </w:numPr>
        <w:jc w:val="both"/>
      </w:pPr>
      <w:r w:rsidRPr="00A417A0">
        <w:t>Tier 1 capital, comprising of:</w:t>
      </w:r>
    </w:p>
    <w:p w:rsidR="00E27588" w:rsidRPr="00A417A0" w:rsidRDefault="00E27588" w:rsidP="00E27588">
      <w:pPr>
        <w:pStyle w:val="ListParagraph"/>
        <w:jc w:val="both"/>
      </w:pPr>
    </w:p>
    <w:p w:rsidR="00E27588" w:rsidRPr="00A417A0" w:rsidRDefault="00E27588" w:rsidP="00E27588">
      <w:pPr>
        <w:pStyle w:val="ListParagraph"/>
        <w:numPr>
          <w:ilvl w:val="1"/>
          <w:numId w:val="2"/>
        </w:numPr>
        <w:jc w:val="both"/>
      </w:pPr>
      <w:r w:rsidRPr="00A417A0">
        <w:t xml:space="preserve">Common Equity Tier 1 (CET1); </w:t>
      </w:r>
    </w:p>
    <w:p w:rsidR="00E27588" w:rsidRPr="00A417A0" w:rsidRDefault="00E27588" w:rsidP="00E27588">
      <w:pPr>
        <w:pStyle w:val="ListParagraph"/>
        <w:ind w:left="1440"/>
        <w:jc w:val="both"/>
      </w:pPr>
    </w:p>
    <w:p w:rsidR="00E27588" w:rsidRPr="00A417A0" w:rsidRDefault="00E27588" w:rsidP="00E27588">
      <w:pPr>
        <w:pStyle w:val="ListParagraph"/>
        <w:numPr>
          <w:ilvl w:val="1"/>
          <w:numId w:val="2"/>
        </w:numPr>
        <w:jc w:val="both"/>
      </w:pPr>
      <w:r w:rsidRPr="00A417A0">
        <w:t>Additional Tier 1; and</w:t>
      </w:r>
    </w:p>
    <w:p w:rsidR="00E27588" w:rsidRPr="00A417A0" w:rsidRDefault="00E27588" w:rsidP="00E27588">
      <w:pPr>
        <w:jc w:val="both"/>
      </w:pPr>
    </w:p>
    <w:p w:rsidR="00E27588" w:rsidRPr="00A417A0" w:rsidRDefault="00E27588" w:rsidP="00E27588">
      <w:pPr>
        <w:pStyle w:val="ListParagraph"/>
        <w:numPr>
          <w:ilvl w:val="0"/>
          <w:numId w:val="2"/>
        </w:numPr>
        <w:jc w:val="both"/>
      </w:pPr>
      <w:r w:rsidRPr="00A417A0">
        <w:t>Tier 2 capital.</w:t>
      </w:r>
    </w:p>
    <w:p w:rsidR="00E27588" w:rsidRPr="00A417A0" w:rsidRDefault="00E27588" w:rsidP="00E27588">
      <w:pPr>
        <w:jc w:val="both"/>
      </w:pPr>
    </w:p>
    <w:p w:rsidR="00E27588" w:rsidRPr="00A417A0" w:rsidRDefault="00E27588" w:rsidP="00E27588">
      <w:pPr>
        <w:jc w:val="both"/>
      </w:pPr>
      <w:r w:rsidRPr="00A417A0">
        <w:t>CET1 is recognised as the highest quality component of capital, subordinated to all other elements of funding, absorbs losses as and when they occur, has full flexibility of dividend payments and has no maturity date. Additional Tier 1 capital includes instruments that must be able to absorb losses on a going-concern basis. Tier 2 capital consist of the other components of capital such as subordinated debt that fall short of the quality of Tier 1 capital but nonetheless contribute to the overall strength of an entity as a going-concern.</w:t>
      </w:r>
    </w:p>
    <w:p w:rsidR="00E27588" w:rsidRPr="00A417A0" w:rsidRDefault="00E27588" w:rsidP="00E27588">
      <w:pPr>
        <w:jc w:val="both"/>
      </w:pPr>
    </w:p>
    <w:p w:rsidR="00E27588" w:rsidRPr="00A417A0" w:rsidRDefault="00E27588" w:rsidP="00E27588">
      <w:pPr>
        <w:jc w:val="both"/>
      </w:pPr>
      <w:r w:rsidRPr="00A417A0">
        <w:lastRenderedPageBreak/>
        <w:t xml:space="preserve">Insurers at all times must satisfy minimum requirements for the composition of their capital bases and ensure that the capital base exceeds the </w:t>
      </w:r>
      <w:r w:rsidR="007452C0" w:rsidRPr="00A417A0">
        <w:t>P</w:t>
      </w:r>
      <w:r w:rsidR="007452C0">
        <w:t>rudential</w:t>
      </w:r>
      <w:r w:rsidR="007452C0" w:rsidRPr="00A417A0">
        <w:t xml:space="preserve"> </w:t>
      </w:r>
      <w:r w:rsidRPr="00A417A0">
        <w:t>Capital Requirement (PCR).</w:t>
      </w:r>
    </w:p>
    <w:p w:rsidR="00E27588" w:rsidRPr="00A417A0" w:rsidRDefault="00E27588" w:rsidP="00E27588">
      <w:pPr>
        <w:jc w:val="both"/>
      </w:pPr>
    </w:p>
    <w:p w:rsidR="00E27588" w:rsidRPr="00A417A0" w:rsidRDefault="00E27588" w:rsidP="00E27588">
      <w:pPr>
        <w:jc w:val="both"/>
      </w:pPr>
      <w:r w:rsidRPr="00A417A0">
        <w:t xml:space="preserve">For life insurers, it is proposed that the minimum requirements for CET1, Tier 1 and capital base apply at </w:t>
      </w:r>
      <w:r w:rsidR="003F35A7">
        <w:t>the insurer</w:t>
      </w:r>
      <w:r w:rsidRPr="00A417A0">
        <w:t xml:space="preserve"> level</w:t>
      </w:r>
      <w:r w:rsidR="00E26237">
        <w:t xml:space="preserve"> as well as at statutory fund level</w:t>
      </w:r>
      <w:r w:rsidRPr="00A417A0">
        <w:t xml:space="preserve">. The PCR of the </w:t>
      </w:r>
      <w:r w:rsidR="003F35A7">
        <w:t>life insurer</w:t>
      </w:r>
      <w:r w:rsidRPr="00A417A0">
        <w:t xml:space="preserve"> will be the sum of the PCRs for the general fund and the statutory funds, subject to a minimum prescribed capital amount of $10 million. Each statutory fund and the general fund must also have </w:t>
      </w:r>
      <w:r w:rsidR="00C02262">
        <w:t xml:space="preserve">a </w:t>
      </w:r>
      <w:r w:rsidRPr="00A417A0">
        <w:t>capital base in excess of the PCR for the fund and meet requirements for the composition of that capital base.</w:t>
      </w:r>
    </w:p>
    <w:p w:rsidR="00E27588" w:rsidRPr="00A417A0" w:rsidRDefault="00E27588" w:rsidP="00E27588">
      <w:pPr>
        <w:jc w:val="both"/>
      </w:pPr>
    </w:p>
    <w:p w:rsidR="00E27588" w:rsidRPr="00A417A0" w:rsidRDefault="00E27588" w:rsidP="00E27588">
      <w:pPr>
        <w:jc w:val="both"/>
        <w:rPr>
          <w:i/>
        </w:rPr>
      </w:pPr>
      <w:r w:rsidRPr="00A417A0">
        <w:rPr>
          <w:i/>
        </w:rPr>
        <w:t>Regulatory adjustments</w:t>
      </w:r>
    </w:p>
    <w:p w:rsidR="00E27588" w:rsidRPr="00A417A0" w:rsidRDefault="00E27588" w:rsidP="00E27588">
      <w:pPr>
        <w:jc w:val="both"/>
        <w:rPr>
          <w:i/>
        </w:rPr>
      </w:pPr>
    </w:p>
    <w:p w:rsidR="00E27588" w:rsidRPr="00A417A0" w:rsidRDefault="00E27588" w:rsidP="00E27588">
      <w:pPr>
        <w:jc w:val="both"/>
      </w:pPr>
      <w:r w:rsidRPr="00A417A0">
        <w:t>The existing capital standards for general insurers allow a general insurer to include the regulatory capital o</w:t>
      </w:r>
      <w:r w:rsidR="00E26237">
        <w:t>f</w:t>
      </w:r>
      <w:r w:rsidRPr="00A417A0">
        <w:t xml:space="preserve"> a subsidiary, associates and joint venture as admissible in the determination of its capital base, in contrast with </w:t>
      </w:r>
      <w:r w:rsidR="00E26237">
        <w:t>those for</w:t>
      </w:r>
      <w:r w:rsidR="00E26237" w:rsidRPr="00A417A0">
        <w:t xml:space="preserve"> </w:t>
      </w:r>
      <w:r w:rsidRPr="00A417A0">
        <w:t>life insurer</w:t>
      </w:r>
      <w:r w:rsidR="00E26237">
        <w:t>s</w:t>
      </w:r>
      <w:r w:rsidRPr="00A417A0">
        <w:t xml:space="preserve"> which do not. </w:t>
      </w:r>
      <w:r w:rsidR="001104D2">
        <w:t>T</w:t>
      </w:r>
      <w:r w:rsidRPr="00A417A0">
        <w:t>his amount</w:t>
      </w:r>
      <w:r w:rsidR="001104D2">
        <w:t>, however,</w:t>
      </w:r>
      <w:r w:rsidRPr="00A417A0">
        <w:t xml:space="preserve"> would not necessarily be accessible by the parent insurer to meet its policyholder obligations. </w:t>
      </w:r>
      <w:r w:rsidR="00E26237">
        <w:t xml:space="preserve">Therefore, </w:t>
      </w:r>
      <w:r w:rsidRPr="00A417A0">
        <w:t xml:space="preserve">APRA proposes that these amounts be treated as inadmissible and be deducted from the capital base </w:t>
      </w:r>
      <w:r>
        <w:t>of</w:t>
      </w:r>
      <w:r w:rsidRPr="00A417A0">
        <w:t xml:space="preserve"> insurers.</w:t>
      </w:r>
    </w:p>
    <w:p w:rsidR="00E27588" w:rsidRPr="00A417A0" w:rsidRDefault="00E27588" w:rsidP="00E27588">
      <w:pPr>
        <w:jc w:val="both"/>
      </w:pPr>
    </w:p>
    <w:p w:rsidR="00A828B4" w:rsidRDefault="00E27588" w:rsidP="00E27588">
      <w:pPr>
        <w:jc w:val="both"/>
      </w:pPr>
      <w:r w:rsidRPr="00A417A0">
        <w:t xml:space="preserve">In addition, a series of regulatory adjustments are proposed to remove </w:t>
      </w:r>
      <w:r w:rsidR="001104D2">
        <w:t>certain</w:t>
      </w:r>
      <w:r w:rsidR="001104D2" w:rsidRPr="00A417A0">
        <w:t xml:space="preserve"> </w:t>
      </w:r>
      <w:r w:rsidRPr="00A417A0">
        <w:t>CET1 assets which, although they appear on the balance sheet for accounting purposes, may not have any value in a stressed situation such as a wind</w:t>
      </w:r>
      <w:r w:rsidR="001104D2">
        <w:t>-</w:t>
      </w:r>
      <w:r w:rsidRPr="00A417A0">
        <w:t xml:space="preserve">up.  As the capital framework is focussed on protecting policyholders </w:t>
      </w:r>
      <w:r w:rsidR="00396A87">
        <w:t xml:space="preserve">and beneficiaries </w:t>
      </w:r>
      <w:r w:rsidRPr="00A417A0">
        <w:t>in a time of stress, and these assets may not be available to protect policyholders</w:t>
      </w:r>
      <w:r w:rsidR="00396A87">
        <w:t xml:space="preserve"> and beneficiaries</w:t>
      </w:r>
      <w:r w:rsidRPr="00A417A0">
        <w:t xml:space="preserve"> at that time, it is appropriate that they be removed from the capital base.</w:t>
      </w:r>
      <w:r w:rsidR="00A828B4">
        <w:t xml:space="preserve"> For general insurers, APRA proposes to amend the regulatory adjustments under the current capital framework which are applied to Tier 1 capital</w:t>
      </w:r>
      <w:r w:rsidR="006D3FDD">
        <w:t>. These amended regulatory adjustments</w:t>
      </w:r>
      <w:r w:rsidR="00A828B4">
        <w:t xml:space="preserve"> will be applied to CET1 under LAGIC. </w:t>
      </w:r>
    </w:p>
    <w:p w:rsidR="00E27588" w:rsidRPr="00A417A0" w:rsidRDefault="00E27588" w:rsidP="00E27588">
      <w:pPr>
        <w:jc w:val="both"/>
      </w:pPr>
    </w:p>
    <w:p w:rsidR="00E27588" w:rsidRPr="00A417A0" w:rsidRDefault="00E27588" w:rsidP="00E27588">
      <w:pPr>
        <w:jc w:val="both"/>
        <w:rPr>
          <w:b/>
          <w:i/>
        </w:rPr>
      </w:pPr>
      <w:r w:rsidRPr="00A417A0">
        <w:rPr>
          <w:b/>
          <w:i/>
        </w:rPr>
        <w:t xml:space="preserve">Prescribed </w:t>
      </w:r>
      <w:r w:rsidR="00E35592">
        <w:rPr>
          <w:b/>
          <w:i/>
        </w:rPr>
        <w:t>c</w:t>
      </w:r>
      <w:r w:rsidRPr="00A417A0">
        <w:rPr>
          <w:b/>
          <w:i/>
        </w:rPr>
        <w:t xml:space="preserve">apital </w:t>
      </w:r>
      <w:r w:rsidR="00E35592">
        <w:rPr>
          <w:b/>
          <w:i/>
        </w:rPr>
        <w:t>a</w:t>
      </w:r>
      <w:r w:rsidRPr="00A417A0">
        <w:rPr>
          <w:b/>
          <w:i/>
        </w:rPr>
        <w:t xml:space="preserve">mount </w:t>
      </w:r>
    </w:p>
    <w:p w:rsidR="00E27588" w:rsidRPr="00A417A0" w:rsidRDefault="00E27588" w:rsidP="00E27588">
      <w:pPr>
        <w:jc w:val="both"/>
        <w:rPr>
          <w:i/>
        </w:rPr>
      </w:pPr>
    </w:p>
    <w:p w:rsidR="00E27588" w:rsidRPr="00A417A0" w:rsidRDefault="00E27588" w:rsidP="00E27588">
      <w:pPr>
        <w:jc w:val="both"/>
      </w:pPr>
      <w:r w:rsidRPr="00A417A0">
        <w:t xml:space="preserve">The minimum level of capital an insurer would be required to hold at all times would be the </w:t>
      </w:r>
      <w:r w:rsidR="00E35592">
        <w:t>p</w:t>
      </w:r>
      <w:r w:rsidRPr="00A417A0">
        <w:t xml:space="preserve">rescribed </w:t>
      </w:r>
      <w:r w:rsidR="00E35592">
        <w:t>c</w:t>
      </w:r>
      <w:r w:rsidRPr="00A417A0">
        <w:t xml:space="preserve">apital </w:t>
      </w:r>
      <w:r w:rsidR="00E35592">
        <w:t>a</w:t>
      </w:r>
      <w:r w:rsidRPr="00A417A0">
        <w:t xml:space="preserve">mount plus any supervisory adjustment </w:t>
      </w:r>
      <w:r w:rsidR="008747F8">
        <w:t xml:space="preserve">determined </w:t>
      </w:r>
      <w:r w:rsidRPr="00A417A0">
        <w:t xml:space="preserve">by APRA. This total required capital amount is the </w:t>
      </w:r>
      <w:r w:rsidR="007452C0">
        <w:t>PCR</w:t>
      </w:r>
      <w:r w:rsidR="001104D2">
        <w:t>.</w:t>
      </w:r>
      <w:r w:rsidRPr="00A417A0">
        <w:t xml:space="preserve"> Falling below </w:t>
      </w:r>
      <w:r w:rsidR="008747F8">
        <w:t>the PCR is</w:t>
      </w:r>
      <w:r w:rsidRPr="00A417A0">
        <w:t xml:space="preserve"> a trigger for </w:t>
      </w:r>
      <w:r w:rsidR="00E26237">
        <w:t xml:space="preserve">intense </w:t>
      </w:r>
      <w:r w:rsidRPr="00A417A0">
        <w:t xml:space="preserve">supervisory </w:t>
      </w:r>
      <w:r w:rsidR="008747F8">
        <w:t>intervention</w:t>
      </w:r>
      <w:r w:rsidRPr="00A417A0">
        <w:t xml:space="preserve">.  Insurers are therefore expected to set appropriate target </w:t>
      </w:r>
      <w:r w:rsidR="001E7D5A">
        <w:t xml:space="preserve">capital </w:t>
      </w:r>
      <w:r w:rsidRPr="00A417A0">
        <w:t xml:space="preserve">levels in </w:t>
      </w:r>
      <w:r w:rsidR="001E7D5A">
        <w:t>excess</w:t>
      </w:r>
      <w:r w:rsidR="001E7D5A" w:rsidRPr="00A417A0">
        <w:t xml:space="preserve"> </w:t>
      </w:r>
      <w:r w:rsidRPr="00A417A0">
        <w:t>of the PCR such that they are unlikely to fall below their PCR.</w:t>
      </w:r>
    </w:p>
    <w:p w:rsidR="00E27588" w:rsidRPr="00A417A0" w:rsidRDefault="00E27588" w:rsidP="00E27588">
      <w:pPr>
        <w:jc w:val="both"/>
      </w:pPr>
    </w:p>
    <w:p w:rsidR="00E27588" w:rsidRPr="00A417A0" w:rsidRDefault="00E27588" w:rsidP="00E27588">
      <w:pPr>
        <w:jc w:val="both"/>
      </w:pPr>
      <w:r w:rsidRPr="00A417A0">
        <w:t xml:space="preserve">The </w:t>
      </w:r>
      <w:r w:rsidR="00E35592">
        <w:t>prescribed capital amount</w:t>
      </w:r>
      <w:r w:rsidR="00E35592" w:rsidRPr="00A417A0">
        <w:t xml:space="preserve"> </w:t>
      </w:r>
      <w:r w:rsidRPr="00A417A0">
        <w:t xml:space="preserve">can be calculated </w:t>
      </w:r>
      <w:r w:rsidR="001104D2">
        <w:t>by</w:t>
      </w:r>
      <w:r w:rsidR="001104D2" w:rsidRPr="00A417A0">
        <w:t xml:space="preserve"> </w:t>
      </w:r>
      <w:r w:rsidRPr="00A417A0">
        <w:t xml:space="preserve">APRA’s standard </w:t>
      </w:r>
      <w:r w:rsidR="00E26237">
        <w:t>method</w:t>
      </w:r>
      <w:r w:rsidR="00E26237" w:rsidRPr="00A417A0">
        <w:t xml:space="preserve"> </w:t>
      </w:r>
      <w:r w:rsidRPr="00A417A0">
        <w:t>or the insurer’s internal model</w:t>
      </w:r>
      <w:r w:rsidR="001104D2">
        <w:t xml:space="preserve"> (which must be approved by APRA)</w:t>
      </w:r>
      <w:r w:rsidRPr="00A417A0">
        <w:t xml:space="preserve">. For insurers using the standard method, the </w:t>
      </w:r>
      <w:r w:rsidR="00E35592">
        <w:t>prescribed capital amount</w:t>
      </w:r>
      <w:r w:rsidRPr="00A417A0">
        <w:t xml:space="preserve"> is determined as: </w:t>
      </w:r>
    </w:p>
    <w:p w:rsidR="00E27588" w:rsidRPr="00A417A0" w:rsidRDefault="00E27588" w:rsidP="00E27588">
      <w:pPr>
        <w:jc w:val="both"/>
      </w:pPr>
    </w:p>
    <w:p w:rsidR="00E27588" w:rsidRPr="00A417A0" w:rsidRDefault="001104D2" w:rsidP="00E27588">
      <w:pPr>
        <w:pStyle w:val="ListParagraph"/>
        <w:numPr>
          <w:ilvl w:val="0"/>
          <w:numId w:val="2"/>
        </w:numPr>
        <w:spacing w:line="360" w:lineRule="auto"/>
        <w:jc w:val="both"/>
      </w:pPr>
      <w:r>
        <w:t>t</w:t>
      </w:r>
      <w:r w:rsidR="00E27588" w:rsidRPr="00A417A0">
        <w:t>he insurance risk charge; plus</w:t>
      </w:r>
    </w:p>
    <w:p w:rsidR="00E27588" w:rsidRPr="00A417A0" w:rsidRDefault="001104D2" w:rsidP="00E27588">
      <w:pPr>
        <w:pStyle w:val="ListParagraph"/>
        <w:numPr>
          <w:ilvl w:val="0"/>
          <w:numId w:val="2"/>
        </w:numPr>
        <w:spacing w:line="360" w:lineRule="auto"/>
        <w:jc w:val="both"/>
      </w:pPr>
      <w:r>
        <w:t>t</w:t>
      </w:r>
      <w:r w:rsidR="00E27588" w:rsidRPr="00A417A0">
        <w:t>he insurance concentration risk charge for general insurers; plus</w:t>
      </w:r>
    </w:p>
    <w:p w:rsidR="00E27588" w:rsidRPr="00A417A0" w:rsidRDefault="001104D2" w:rsidP="00E27588">
      <w:pPr>
        <w:pStyle w:val="ListParagraph"/>
        <w:numPr>
          <w:ilvl w:val="0"/>
          <w:numId w:val="2"/>
        </w:numPr>
        <w:spacing w:line="360" w:lineRule="auto"/>
        <w:jc w:val="both"/>
      </w:pPr>
      <w:r>
        <w:t>t</w:t>
      </w:r>
      <w:r w:rsidR="00E27588" w:rsidRPr="00A417A0">
        <w:t>he asset risk charge; plus</w:t>
      </w:r>
    </w:p>
    <w:p w:rsidR="00E27588" w:rsidRPr="00A417A0" w:rsidRDefault="001104D2" w:rsidP="00E27588">
      <w:pPr>
        <w:pStyle w:val="ListParagraph"/>
        <w:numPr>
          <w:ilvl w:val="0"/>
          <w:numId w:val="2"/>
        </w:numPr>
        <w:spacing w:line="360" w:lineRule="auto"/>
        <w:jc w:val="both"/>
      </w:pPr>
      <w:r>
        <w:t>t</w:t>
      </w:r>
      <w:r w:rsidR="00E27588" w:rsidRPr="00A417A0">
        <w:t>he asset concentration risk charge; plus</w:t>
      </w:r>
    </w:p>
    <w:p w:rsidR="00E27588" w:rsidRPr="00A417A0" w:rsidRDefault="001104D2" w:rsidP="00E27588">
      <w:pPr>
        <w:pStyle w:val="ListParagraph"/>
        <w:numPr>
          <w:ilvl w:val="0"/>
          <w:numId w:val="2"/>
        </w:numPr>
        <w:spacing w:line="360" w:lineRule="auto"/>
        <w:jc w:val="both"/>
      </w:pPr>
      <w:r>
        <w:t>t</w:t>
      </w:r>
      <w:r w:rsidR="00E27588" w:rsidRPr="00A417A0">
        <w:t>he operational risk charge; less</w:t>
      </w:r>
    </w:p>
    <w:p w:rsidR="00E27588" w:rsidRPr="00A417A0" w:rsidRDefault="001104D2" w:rsidP="00E27588">
      <w:pPr>
        <w:pStyle w:val="ListParagraph"/>
        <w:numPr>
          <w:ilvl w:val="0"/>
          <w:numId w:val="2"/>
        </w:numPr>
        <w:spacing w:line="360" w:lineRule="auto"/>
        <w:jc w:val="both"/>
      </w:pPr>
      <w:r>
        <w:t>a</w:t>
      </w:r>
      <w:r w:rsidR="00E27588" w:rsidRPr="00A417A0">
        <w:t>n aggregation benefit (</w:t>
      </w:r>
      <w:r w:rsidR="008747F8">
        <w:t xml:space="preserve">to allow for </w:t>
      </w:r>
      <w:r w:rsidR="00E27588" w:rsidRPr="00A417A0">
        <w:t>diversification benefits</w:t>
      </w:r>
      <w:r w:rsidR="008747F8">
        <w:t>, if any</w:t>
      </w:r>
      <w:r w:rsidR="00E27588" w:rsidRPr="00A417A0">
        <w:t>); plus</w:t>
      </w:r>
    </w:p>
    <w:p w:rsidR="00E27588" w:rsidRPr="00A417A0" w:rsidRDefault="001104D2" w:rsidP="00E27588">
      <w:pPr>
        <w:pStyle w:val="ListParagraph"/>
        <w:numPr>
          <w:ilvl w:val="0"/>
          <w:numId w:val="2"/>
        </w:numPr>
        <w:spacing w:line="360" w:lineRule="auto"/>
        <w:jc w:val="both"/>
      </w:pPr>
      <w:r>
        <w:lastRenderedPageBreak/>
        <w:t>a</w:t>
      </w:r>
      <w:r w:rsidR="00E27588" w:rsidRPr="00A417A0">
        <w:t xml:space="preserve">ny adjustment for tax benefits and management actions </w:t>
      </w:r>
      <w:r w:rsidR="0089798B">
        <w:t xml:space="preserve">(called the combined stress scenario adjustment) </w:t>
      </w:r>
      <w:r w:rsidR="00E27588" w:rsidRPr="00A417A0">
        <w:t>for life insurers.</w:t>
      </w:r>
    </w:p>
    <w:p w:rsidR="00E27588" w:rsidRPr="00A417A0" w:rsidRDefault="00E27588" w:rsidP="00E27588">
      <w:pPr>
        <w:jc w:val="both"/>
      </w:pPr>
    </w:p>
    <w:p w:rsidR="00E27588" w:rsidRPr="00A417A0" w:rsidRDefault="00E27588" w:rsidP="00E27588">
      <w:pPr>
        <w:keepNext/>
        <w:jc w:val="both"/>
        <w:rPr>
          <w:i/>
        </w:rPr>
      </w:pPr>
      <w:r w:rsidRPr="00A417A0">
        <w:rPr>
          <w:i/>
        </w:rPr>
        <w:t>Insurance risk charge</w:t>
      </w:r>
    </w:p>
    <w:p w:rsidR="00E27588" w:rsidRPr="00A417A0" w:rsidRDefault="00E27588" w:rsidP="00E27588">
      <w:pPr>
        <w:keepNext/>
        <w:jc w:val="both"/>
      </w:pPr>
    </w:p>
    <w:p w:rsidR="00E27588" w:rsidRPr="00A417A0" w:rsidRDefault="001E7D5A" w:rsidP="00E27588">
      <w:pPr>
        <w:keepNext/>
        <w:jc w:val="both"/>
      </w:pPr>
      <w:r>
        <w:t>This is the amount of capital to be held against insurance risk. I</w:t>
      </w:r>
      <w:r w:rsidR="00E27588" w:rsidRPr="00A417A0">
        <w:t>nsurance risk is the risk that insurance liabilities as reported to APRA will prove to be understated. For general insurers, this relates to the uncertain future outcomes of claims that have already occurred (the outstanding claims risk) and the uncertain cost of claims yet to occur for which the general insurer is on risk (the premiums liability risk). For life insurers, this relates to the risk of adverse impacts due to movements in future mortality, morbidity, longevity, servicing expenses, lapses and other insurance risks such as option take-up rates.</w:t>
      </w:r>
    </w:p>
    <w:p w:rsidR="00E27588" w:rsidRPr="00A417A0" w:rsidRDefault="00E27588" w:rsidP="00E27588">
      <w:pPr>
        <w:jc w:val="both"/>
      </w:pPr>
    </w:p>
    <w:p w:rsidR="00E27588" w:rsidRPr="00A417A0" w:rsidRDefault="00E27588" w:rsidP="00E27588">
      <w:pPr>
        <w:jc w:val="both"/>
        <w:rPr>
          <w:i/>
        </w:rPr>
      </w:pPr>
      <w:r w:rsidRPr="00A417A0">
        <w:rPr>
          <w:i/>
        </w:rPr>
        <w:t>Insurance concentration risk charge</w:t>
      </w:r>
    </w:p>
    <w:p w:rsidR="00E27588" w:rsidRPr="00A417A0" w:rsidRDefault="00E27588" w:rsidP="00E27588">
      <w:pPr>
        <w:jc w:val="both"/>
      </w:pPr>
    </w:p>
    <w:p w:rsidR="00E27588" w:rsidRDefault="001E7D5A" w:rsidP="00E27588">
      <w:pPr>
        <w:jc w:val="both"/>
      </w:pPr>
      <w:r>
        <w:t>This is the amount of capital to be held against the concentration of insurance risk for general insurers.</w:t>
      </w:r>
      <w:r w:rsidRPr="00A417A0">
        <w:t xml:space="preserve"> </w:t>
      </w:r>
      <w:r>
        <w:t xml:space="preserve">Insurance concentration risk </w:t>
      </w:r>
      <w:r w:rsidR="003B2EE3">
        <w:t>reflects</w:t>
      </w:r>
      <w:r>
        <w:t xml:space="preserve"> </w:t>
      </w:r>
      <w:r w:rsidR="00E27588" w:rsidRPr="00A417A0">
        <w:t xml:space="preserve">the possibility of catastrophic losses as a result of </w:t>
      </w:r>
      <w:r w:rsidR="003B2EE3">
        <w:t xml:space="preserve">exposure to </w:t>
      </w:r>
      <w:r w:rsidR="00E27588" w:rsidRPr="00A417A0">
        <w:t xml:space="preserve">natural </w:t>
      </w:r>
      <w:r w:rsidR="003B2EE3">
        <w:t>perils</w:t>
      </w:r>
      <w:r w:rsidR="00E27588" w:rsidRPr="00A417A0">
        <w:t xml:space="preserve"> or </w:t>
      </w:r>
      <w:r w:rsidR="003B2EE3">
        <w:t>exposure to an</w:t>
      </w:r>
      <w:r w:rsidR="00E27588" w:rsidRPr="00A417A0">
        <w:t xml:space="preserve"> accumulation of losses arising from </w:t>
      </w:r>
      <w:r w:rsidR="003B2EE3">
        <w:t>another</w:t>
      </w:r>
      <w:r w:rsidR="00E27588" w:rsidRPr="00A417A0">
        <w:t xml:space="preserve"> common dependent source. </w:t>
      </w:r>
    </w:p>
    <w:p w:rsidR="00DD409D" w:rsidRPr="00A417A0" w:rsidRDefault="00DD409D" w:rsidP="00E27588">
      <w:pPr>
        <w:jc w:val="both"/>
      </w:pPr>
    </w:p>
    <w:p w:rsidR="00E27588" w:rsidRPr="00A417A0" w:rsidRDefault="0086142A" w:rsidP="00E27588">
      <w:pPr>
        <w:jc w:val="both"/>
        <w:rPr>
          <w:rFonts w:eastAsia="Times New Roman"/>
        </w:rPr>
      </w:pPr>
      <w:r>
        <w:t xml:space="preserve">In determining the insurance concentration risk capital charge, </w:t>
      </w:r>
      <w:r w:rsidR="00B466EB" w:rsidRPr="00B466EB">
        <w:rPr>
          <w:color w:val="000000"/>
        </w:rPr>
        <w:t xml:space="preserve">APRA proposes </w:t>
      </w:r>
      <w:r w:rsidR="00D104DF" w:rsidRPr="00E039C7">
        <w:rPr>
          <w:rFonts w:cs="Today SB"/>
          <w:color w:val="000000"/>
        </w:rPr>
        <w:t xml:space="preserve">an approach </w:t>
      </w:r>
      <w:r w:rsidR="00D104DF">
        <w:rPr>
          <w:rFonts w:cs="Today SB"/>
          <w:color w:val="000000"/>
        </w:rPr>
        <w:t xml:space="preserve">based on </w:t>
      </w:r>
      <w:r w:rsidR="00D104DF" w:rsidRPr="00E039C7">
        <w:rPr>
          <w:rFonts w:cs="Today SB"/>
          <w:color w:val="000000"/>
        </w:rPr>
        <w:t xml:space="preserve">the greater of the </w:t>
      </w:r>
      <w:r w:rsidR="00B466EB" w:rsidRPr="00B466EB">
        <w:rPr>
          <w:color w:val="000000"/>
        </w:rPr>
        <w:t xml:space="preserve">vertical requirement </w:t>
      </w:r>
      <w:r w:rsidR="00D104DF" w:rsidRPr="00E039C7">
        <w:rPr>
          <w:rFonts w:cs="Today SB"/>
          <w:color w:val="000000"/>
        </w:rPr>
        <w:t>for exposures to natural perils</w:t>
      </w:r>
      <w:r w:rsidR="00D104DF">
        <w:rPr>
          <w:rFonts w:cs="Today SB"/>
          <w:color w:val="000000"/>
        </w:rPr>
        <w:t xml:space="preserve"> (NP VR)</w:t>
      </w:r>
      <w:r w:rsidR="00D104DF" w:rsidRPr="00E039C7">
        <w:rPr>
          <w:rFonts w:cs="Today SB"/>
          <w:color w:val="000000"/>
        </w:rPr>
        <w:t xml:space="preserve">, the </w:t>
      </w:r>
      <w:r w:rsidR="00B466EB" w:rsidRPr="00B466EB">
        <w:rPr>
          <w:color w:val="000000"/>
        </w:rPr>
        <w:t xml:space="preserve">horizontal requirement for </w:t>
      </w:r>
      <w:r w:rsidR="00D104DF" w:rsidRPr="00E039C7">
        <w:rPr>
          <w:rFonts w:cs="Today SB"/>
          <w:color w:val="000000"/>
        </w:rPr>
        <w:t>exposures to natural perils</w:t>
      </w:r>
      <w:r w:rsidR="00D104DF">
        <w:rPr>
          <w:rFonts w:cs="Today SB"/>
          <w:color w:val="000000"/>
        </w:rPr>
        <w:t xml:space="preserve"> (NP HR)</w:t>
      </w:r>
      <w:r>
        <w:rPr>
          <w:rFonts w:cs="Today SB"/>
          <w:color w:val="000000"/>
        </w:rPr>
        <w:t xml:space="preserve"> and</w:t>
      </w:r>
      <w:r w:rsidR="00D104DF" w:rsidRPr="00E039C7">
        <w:rPr>
          <w:rFonts w:cs="Today SB"/>
          <w:color w:val="000000"/>
        </w:rPr>
        <w:t xml:space="preserve"> the</w:t>
      </w:r>
      <w:r w:rsidR="00DF3941" w:rsidRPr="00DF3941">
        <w:rPr>
          <w:color w:val="000000"/>
        </w:rPr>
        <w:t xml:space="preserve"> vertical </w:t>
      </w:r>
      <w:r w:rsidR="00D104DF" w:rsidRPr="00E039C7">
        <w:rPr>
          <w:rFonts w:cs="Today SB"/>
          <w:color w:val="000000"/>
        </w:rPr>
        <w:t xml:space="preserve">requirements for exposures to </w:t>
      </w:r>
      <w:r w:rsidR="007362B0">
        <w:rPr>
          <w:rFonts w:cs="Today SB"/>
          <w:color w:val="000000"/>
        </w:rPr>
        <w:t>non-natural peril accumulations (‘</w:t>
      </w:r>
      <w:r w:rsidR="00D104DF" w:rsidRPr="00E039C7">
        <w:rPr>
          <w:rFonts w:cs="Today SB"/>
          <w:color w:val="000000"/>
        </w:rPr>
        <w:t>other accumulations</w:t>
      </w:r>
      <w:r w:rsidR="007362B0">
        <w:rPr>
          <w:rFonts w:cs="Today SB"/>
          <w:color w:val="000000"/>
        </w:rPr>
        <w:t>’)</w:t>
      </w:r>
      <w:r w:rsidR="00D104DF" w:rsidRPr="00E039C7">
        <w:rPr>
          <w:rFonts w:cs="Today SB"/>
          <w:color w:val="000000"/>
        </w:rPr>
        <w:t>.</w:t>
      </w:r>
      <w:r w:rsidR="00D104DF">
        <w:rPr>
          <w:rFonts w:cs="Today SB"/>
          <w:color w:val="000000"/>
        </w:rPr>
        <w:t xml:space="preserve"> </w:t>
      </w:r>
      <w:r w:rsidR="00E27588" w:rsidRPr="00A417A0">
        <w:rPr>
          <w:lang w:val="en-GB"/>
        </w:rPr>
        <w:t xml:space="preserve">The </w:t>
      </w:r>
      <w:r>
        <w:rPr>
          <w:lang w:val="en-GB"/>
        </w:rPr>
        <w:t>NP VR</w:t>
      </w:r>
      <w:r w:rsidR="00E27588" w:rsidRPr="00A417A0">
        <w:rPr>
          <w:lang w:val="en-GB"/>
        </w:rPr>
        <w:t xml:space="preserve"> is very similar to the existing </w:t>
      </w:r>
      <w:r w:rsidR="00FF427E">
        <w:rPr>
          <w:lang w:val="en-GB"/>
        </w:rPr>
        <w:t>m</w:t>
      </w:r>
      <w:r w:rsidR="001E7D5A">
        <w:rPr>
          <w:lang w:val="en-GB"/>
        </w:rPr>
        <w:t>inimum</w:t>
      </w:r>
      <w:r w:rsidR="001E7D5A" w:rsidRPr="00A417A0">
        <w:rPr>
          <w:lang w:val="en-GB"/>
        </w:rPr>
        <w:t xml:space="preserve"> </w:t>
      </w:r>
      <w:r w:rsidR="00FF427E">
        <w:rPr>
          <w:lang w:val="en-GB"/>
        </w:rPr>
        <w:t>e</w:t>
      </w:r>
      <w:r w:rsidR="00E27588" w:rsidRPr="00A417A0">
        <w:rPr>
          <w:lang w:val="en-GB"/>
        </w:rPr>
        <w:t xml:space="preserve">vent </w:t>
      </w:r>
      <w:r w:rsidR="00FF427E">
        <w:rPr>
          <w:lang w:val="en-GB"/>
        </w:rPr>
        <w:t>r</w:t>
      </w:r>
      <w:r w:rsidR="00E27588" w:rsidRPr="00A417A0">
        <w:rPr>
          <w:lang w:val="en-GB"/>
        </w:rPr>
        <w:t>etention (MER)</w:t>
      </w:r>
      <w:r w:rsidR="00E27588" w:rsidRPr="00A417A0">
        <w:rPr>
          <w:rStyle w:val="FootnoteReference"/>
          <w:lang w:val="en-GB"/>
        </w:rPr>
        <w:footnoteReference w:id="9"/>
      </w:r>
      <w:r w:rsidR="00E27588" w:rsidRPr="00A417A0">
        <w:rPr>
          <w:lang w:val="en-GB"/>
        </w:rPr>
        <w:t xml:space="preserve"> requirement, and</w:t>
      </w:r>
      <w:r w:rsidR="00E27588" w:rsidRPr="00A417A0">
        <w:rPr>
          <w:rFonts w:eastAsia="Times New Roman"/>
        </w:rPr>
        <w:t xml:space="preserve"> is the net cost to the insurer of a 1 in 200 year single event loss</w:t>
      </w:r>
      <w:r w:rsidR="00442F6F">
        <w:rPr>
          <w:rFonts w:eastAsia="Times New Roman"/>
        </w:rPr>
        <w:t xml:space="preserve">. Under LAGIC, the </w:t>
      </w:r>
      <w:r>
        <w:rPr>
          <w:rFonts w:eastAsia="Times New Roman"/>
        </w:rPr>
        <w:t>NP VR</w:t>
      </w:r>
      <w:r w:rsidR="00442F6F">
        <w:rPr>
          <w:rFonts w:eastAsia="Times New Roman"/>
        </w:rPr>
        <w:t xml:space="preserve"> will be calculated</w:t>
      </w:r>
      <w:r w:rsidR="00650B1B">
        <w:rPr>
          <w:rFonts w:eastAsia="Times New Roman"/>
        </w:rPr>
        <w:t xml:space="preserve"> at a whole of portfolio level</w:t>
      </w:r>
      <w:r w:rsidR="00E27588" w:rsidRPr="00A417A0">
        <w:rPr>
          <w:rFonts w:eastAsia="Times New Roman"/>
        </w:rPr>
        <w:t xml:space="preserve">, allowing for reinsurance cover and the cost of reinstating that cover. However, the </w:t>
      </w:r>
      <w:r>
        <w:rPr>
          <w:rFonts w:eastAsia="Times New Roman"/>
        </w:rPr>
        <w:t xml:space="preserve">NP VR </w:t>
      </w:r>
      <w:r w:rsidR="00E27588" w:rsidRPr="00A417A0">
        <w:rPr>
          <w:rFonts w:eastAsia="Times New Roman"/>
        </w:rPr>
        <w:t xml:space="preserve">does not consider </w:t>
      </w:r>
      <w:r w:rsidR="001E7D5A">
        <w:rPr>
          <w:rFonts w:eastAsia="Times New Roman"/>
        </w:rPr>
        <w:t xml:space="preserve">the risk </w:t>
      </w:r>
      <w:r w:rsidR="00E27588" w:rsidRPr="00A417A0">
        <w:rPr>
          <w:rFonts w:eastAsia="Times New Roman"/>
        </w:rPr>
        <w:t xml:space="preserve">that an insurer’s capital position can be adversely affected over a year by the occurrence of a succession of smaller sized loss events, including the cost of purchasing additional reinstatements of </w:t>
      </w:r>
      <w:r w:rsidR="001E7D5A">
        <w:rPr>
          <w:rFonts w:eastAsia="Times New Roman"/>
        </w:rPr>
        <w:t>re</w:t>
      </w:r>
      <w:r w:rsidR="00E27588" w:rsidRPr="00A417A0">
        <w:rPr>
          <w:rFonts w:eastAsia="Times New Roman"/>
        </w:rPr>
        <w:t xml:space="preserve">insurance cover. The </w:t>
      </w:r>
      <w:r>
        <w:rPr>
          <w:rFonts w:eastAsia="Times New Roman"/>
        </w:rPr>
        <w:t>NP HR</w:t>
      </w:r>
      <w:r w:rsidR="00E27588" w:rsidRPr="00A417A0">
        <w:rPr>
          <w:rFonts w:eastAsia="Times New Roman"/>
        </w:rPr>
        <w:t xml:space="preserve"> is intended to address this weakness. </w:t>
      </w:r>
    </w:p>
    <w:p w:rsidR="00E27588" w:rsidRPr="00A417A0" w:rsidRDefault="00E27588" w:rsidP="00E27588">
      <w:pPr>
        <w:jc w:val="both"/>
        <w:rPr>
          <w:rFonts w:eastAsia="Times New Roman"/>
        </w:rPr>
      </w:pPr>
    </w:p>
    <w:p w:rsidR="00E27588" w:rsidRPr="00A417A0" w:rsidRDefault="00E27588" w:rsidP="00E27588">
      <w:pPr>
        <w:jc w:val="both"/>
      </w:pPr>
      <w:r>
        <w:rPr>
          <w:rFonts w:eastAsia="Times New Roman"/>
        </w:rPr>
        <w:t>T</w:t>
      </w:r>
      <w:r w:rsidRPr="00A417A0">
        <w:rPr>
          <w:rFonts w:eastAsia="Times New Roman"/>
        </w:rPr>
        <w:t xml:space="preserve">he </w:t>
      </w:r>
      <w:r w:rsidR="0086142A">
        <w:rPr>
          <w:rFonts w:eastAsia="Times New Roman"/>
        </w:rPr>
        <w:t>NP HR</w:t>
      </w:r>
      <w:r w:rsidRPr="00A417A0">
        <w:rPr>
          <w:rFonts w:eastAsia="Times New Roman"/>
        </w:rPr>
        <w:t xml:space="preserve"> considers the expected net loss from the occurrence of several smaller-size events in a given year on a whole of portfolio basis. Each scenario considered in the horizontal requirement represents a combination of events of given frequency and size which are intended to represent a 1 in 200 loss scenario over one year. T</w:t>
      </w:r>
      <w:r w:rsidRPr="00A417A0">
        <w:t>he costs of reinstatements of the appropriate layers of any catastrophe program are also included. In addition, APRA propose</w:t>
      </w:r>
      <w:r>
        <w:t>s</w:t>
      </w:r>
      <w:r w:rsidRPr="00A417A0">
        <w:t xml:space="preserve"> to maintain the requirement for a general insurer to allow for </w:t>
      </w:r>
      <w:r w:rsidR="0089798B">
        <w:t xml:space="preserve">the cost of </w:t>
      </w:r>
      <w:r w:rsidRPr="00A417A0">
        <w:t xml:space="preserve">one full reinstatement of its catastrophe program in the </w:t>
      </w:r>
      <w:r w:rsidR="0086142A">
        <w:t>NP VR</w:t>
      </w:r>
      <w:r w:rsidRPr="00A417A0">
        <w:t>.</w:t>
      </w:r>
    </w:p>
    <w:p w:rsidR="00E27588" w:rsidRDefault="00E27588" w:rsidP="00E27588">
      <w:pPr>
        <w:jc w:val="both"/>
      </w:pPr>
    </w:p>
    <w:p w:rsidR="0086142A" w:rsidRDefault="0086142A" w:rsidP="00E27588">
      <w:pPr>
        <w:jc w:val="both"/>
      </w:pPr>
      <w:r>
        <w:t xml:space="preserve">APRA also proposes to use a whole-of-portfolio principle in relation to </w:t>
      </w:r>
      <w:r w:rsidR="007362B0">
        <w:t>other accumulations</w:t>
      </w:r>
      <w:r>
        <w:t xml:space="preserve"> whilst recognising the structure of those exposures</w:t>
      </w:r>
      <w:r w:rsidR="000B1CD6">
        <w:t>.</w:t>
      </w:r>
    </w:p>
    <w:p w:rsidR="0086142A" w:rsidRPr="00A417A0" w:rsidRDefault="0086142A" w:rsidP="00E27588">
      <w:pPr>
        <w:jc w:val="both"/>
      </w:pPr>
    </w:p>
    <w:p w:rsidR="00E27588" w:rsidRPr="00A417A0" w:rsidRDefault="00E27588" w:rsidP="00E27588">
      <w:pPr>
        <w:jc w:val="both"/>
      </w:pPr>
      <w:r w:rsidRPr="00A417A0">
        <w:t xml:space="preserve">For life insurers, the current standards do not adequately allow for extreme events (e.g. the impact of pandemics, natural catastrophes and terrorist attacks). APRA does not propose to include a separate insurance concentration risk capital charge </w:t>
      </w:r>
      <w:r w:rsidRPr="00A417A0">
        <w:lastRenderedPageBreak/>
        <w:t xml:space="preserve">for life insurers. Instead, allowance for losses arising from extreme events </w:t>
      </w:r>
      <w:r w:rsidR="0046407E">
        <w:t>is</w:t>
      </w:r>
      <w:r w:rsidR="0046407E" w:rsidRPr="00A417A0">
        <w:t xml:space="preserve"> </w:t>
      </w:r>
      <w:r w:rsidRPr="00A417A0">
        <w:t xml:space="preserve">included in the insurance risk charge.  </w:t>
      </w:r>
    </w:p>
    <w:p w:rsidR="00E27588" w:rsidRPr="00A417A0" w:rsidRDefault="00E27588" w:rsidP="00E27588">
      <w:pPr>
        <w:jc w:val="both"/>
      </w:pPr>
    </w:p>
    <w:p w:rsidR="00E27588" w:rsidRPr="00A417A0" w:rsidRDefault="00E27588" w:rsidP="00E27588">
      <w:pPr>
        <w:keepNext/>
        <w:jc w:val="both"/>
        <w:rPr>
          <w:i/>
        </w:rPr>
      </w:pPr>
      <w:r w:rsidRPr="00A417A0">
        <w:rPr>
          <w:i/>
        </w:rPr>
        <w:t>Asset risk charge</w:t>
      </w:r>
    </w:p>
    <w:p w:rsidR="00E27588" w:rsidRPr="00A417A0" w:rsidRDefault="00E27588" w:rsidP="00E27588">
      <w:pPr>
        <w:keepNext/>
        <w:jc w:val="both"/>
      </w:pPr>
    </w:p>
    <w:p w:rsidR="00E27588" w:rsidRPr="00A417A0" w:rsidRDefault="001E7D5A" w:rsidP="00E27588">
      <w:pPr>
        <w:keepNext/>
        <w:jc w:val="both"/>
      </w:pPr>
      <w:r>
        <w:t>This is the amount of capital to be held against asset risk.</w:t>
      </w:r>
      <w:r w:rsidRPr="00A417A0">
        <w:t xml:space="preserve"> </w:t>
      </w:r>
      <w:r w:rsidR="00E27588" w:rsidRPr="00A417A0">
        <w:t xml:space="preserve">Asset risk is the risk of adverse movements in the value of on-balance sheet and off-balance sheet </w:t>
      </w:r>
      <w:r>
        <w:t xml:space="preserve">asset </w:t>
      </w:r>
      <w:r w:rsidR="00E27588" w:rsidRPr="00A417A0">
        <w:t>exposures. It arises from the impact of market and credit risks</w:t>
      </w:r>
      <w:r w:rsidR="00FF427E">
        <w:t>,</w:t>
      </w:r>
      <w:r w:rsidR="00E27588" w:rsidRPr="00A417A0">
        <w:t xml:space="preserve"> investments and other assets</w:t>
      </w:r>
      <w:r w:rsidR="009C7853">
        <w:t>,</w:t>
      </w:r>
      <w:r w:rsidR="00E27588" w:rsidRPr="00A417A0">
        <w:t xml:space="preserve"> including reinsurance assets. The asset risk charge is designed to encourage insurers to adopt an investment policy that has regard to the term and nature of their liabilities and the creditworthiness of investment and reinsurance counterparties. </w:t>
      </w:r>
    </w:p>
    <w:p w:rsidR="00E27588" w:rsidRPr="00A417A0" w:rsidRDefault="00E27588" w:rsidP="00E27588">
      <w:pPr>
        <w:jc w:val="both"/>
      </w:pPr>
    </w:p>
    <w:p w:rsidR="00E27588" w:rsidRPr="00A417A0" w:rsidRDefault="00E27588" w:rsidP="00E27588">
      <w:pPr>
        <w:jc w:val="both"/>
      </w:pPr>
      <w:r w:rsidRPr="00A417A0">
        <w:t xml:space="preserve">For general insurers, instead of using the previous factor-based method, the asset risk charge </w:t>
      </w:r>
      <w:r w:rsidR="001E7D5A">
        <w:t>will</w:t>
      </w:r>
      <w:r w:rsidR="001E7D5A" w:rsidRPr="00A417A0">
        <w:t xml:space="preserve"> </w:t>
      </w:r>
      <w:r w:rsidRPr="00A417A0">
        <w:t>be calculated in a more risk-sensitive manner by subjecting the balance sheet to a series of stress tests according to parameters specified by APRA. These include tests for mismatches between assets and liabilities by duration for both interest rates and inflation.</w:t>
      </w:r>
    </w:p>
    <w:p w:rsidR="00E27588" w:rsidRPr="00A417A0" w:rsidRDefault="00E27588" w:rsidP="00E27588">
      <w:pPr>
        <w:jc w:val="both"/>
      </w:pPr>
    </w:p>
    <w:p w:rsidR="00E27588" w:rsidRPr="00A417A0" w:rsidRDefault="00E27588" w:rsidP="00E27588">
      <w:pPr>
        <w:jc w:val="both"/>
      </w:pPr>
      <w:r w:rsidRPr="00A417A0">
        <w:t xml:space="preserve">For life insurers, the method used for recognising diversification between different types of asset risks </w:t>
      </w:r>
      <w:r w:rsidR="001E7D5A">
        <w:t>will</w:t>
      </w:r>
      <w:r w:rsidR="001E7D5A" w:rsidRPr="00A417A0">
        <w:t xml:space="preserve"> </w:t>
      </w:r>
      <w:r w:rsidRPr="00A417A0">
        <w:t xml:space="preserve">be improved and stress tests for inflation and volatility </w:t>
      </w:r>
      <w:r w:rsidR="001E7D5A">
        <w:t>will</w:t>
      </w:r>
      <w:r w:rsidR="001E7D5A" w:rsidRPr="00A417A0">
        <w:t xml:space="preserve"> </w:t>
      </w:r>
      <w:r w:rsidRPr="00A417A0">
        <w:t xml:space="preserve">be added to the asset risk charge. All assets would be included in the calculation of the asset risk charge, not just those required to meet the liabilities of the statutory fund. </w:t>
      </w:r>
    </w:p>
    <w:p w:rsidR="00E27588" w:rsidRPr="00A417A0" w:rsidRDefault="00E27588" w:rsidP="00E27588">
      <w:pPr>
        <w:jc w:val="both"/>
      </w:pPr>
    </w:p>
    <w:p w:rsidR="00E27588" w:rsidRPr="00A417A0" w:rsidRDefault="00E27588" w:rsidP="00E27588">
      <w:pPr>
        <w:jc w:val="both"/>
      </w:pPr>
      <w:r w:rsidRPr="00A417A0">
        <w:t>The stress tests in the asset risk charge relate to:</w:t>
      </w:r>
    </w:p>
    <w:p w:rsidR="00E27588" w:rsidRPr="00A417A0" w:rsidRDefault="00E27588" w:rsidP="00E27588">
      <w:pPr>
        <w:jc w:val="both"/>
      </w:pPr>
    </w:p>
    <w:p w:rsidR="00E27E1E" w:rsidRDefault="00FF427E">
      <w:pPr>
        <w:pStyle w:val="ListParagraph"/>
        <w:numPr>
          <w:ilvl w:val="0"/>
          <w:numId w:val="2"/>
        </w:numPr>
        <w:spacing w:after="240"/>
        <w:jc w:val="both"/>
      </w:pPr>
      <w:r>
        <w:t>r</w:t>
      </w:r>
      <w:r w:rsidR="00E27588" w:rsidRPr="00A417A0">
        <w:t>eal interest rates;</w:t>
      </w:r>
    </w:p>
    <w:p w:rsidR="00E27E1E" w:rsidRDefault="00FF427E">
      <w:pPr>
        <w:pStyle w:val="ListParagraph"/>
        <w:numPr>
          <w:ilvl w:val="0"/>
          <w:numId w:val="2"/>
        </w:numPr>
        <w:spacing w:after="240"/>
        <w:jc w:val="both"/>
      </w:pPr>
      <w:r>
        <w:t>e</w:t>
      </w:r>
      <w:r w:rsidR="00E27588" w:rsidRPr="00A417A0">
        <w:t>xpected inflation rates;</w:t>
      </w:r>
    </w:p>
    <w:p w:rsidR="00E27E1E" w:rsidRDefault="00FF427E">
      <w:pPr>
        <w:pStyle w:val="ListParagraph"/>
        <w:numPr>
          <w:ilvl w:val="0"/>
          <w:numId w:val="2"/>
        </w:numPr>
        <w:spacing w:after="240"/>
        <w:jc w:val="both"/>
      </w:pPr>
      <w:r>
        <w:t>c</w:t>
      </w:r>
      <w:r w:rsidR="00E27588" w:rsidRPr="00A417A0">
        <w:t>urrency risks;</w:t>
      </w:r>
    </w:p>
    <w:p w:rsidR="00E27E1E" w:rsidRDefault="00FF427E">
      <w:pPr>
        <w:pStyle w:val="ListParagraph"/>
        <w:numPr>
          <w:ilvl w:val="0"/>
          <w:numId w:val="2"/>
        </w:numPr>
        <w:spacing w:after="240"/>
        <w:jc w:val="both"/>
      </w:pPr>
      <w:r>
        <w:t>e</w:t>
      </w:r>
      <w:r w:rsidR="00E27588" w:rsidRPr="00A417A0">
        <w:t>quity risks, including equity volatility;</w:t>
      </w:r>
    </w:p>
    <w:p w:rsidR="00E27E1E" w:rsidRDefault="00FF427E">
      <w:pPr>
        <w:pStyle w:val="ListParagraph"/>
        <w:numPr>
          <w:ilvl w:val="0"/>
          <w:numId w:val="2"/>
        </w:numPr>
        <w:spacing w:after="240"/>
        <w:jc w:val="both"/>
      </w:pPr>
      <w:r>
        <w:t>p</w:t>
      </w:r>
      <w:r w:rsidR="00E27588" w:rsidRPr="00A417A0">
        <w:t>roperty risks;</w:t>
      </w:r>
    </w:p>
    <w:p w:rsidR="00E27E1E" w:rsidRDefault="00FF427E">
      <w:pPr>
        <w:pStyle w:val="ListParagraph"/>
        <w:numPr>
          <w:ilvl w:val="0"/>
          <w:numId w:val="2"/>
        </w:numPr>
        <w:spacing w:after="240"/>
        <w:jc w:val="both"/>
      </w:pPr>
      <w:r>
        <w:t>c</w:t>
      </w:r>
      <w:r w:rsidR="00E27588" w:rsidRPr="00A417A0">
        <w:t xml:space="preserve">redit spreads; and </w:t>
      </w:r>
    </w:p>
    <w:p w:rsidR="00E27588" w:rsidRPr="00A417A0" w:rsidRDefault="00FF427E" w:rsidP="00106747">
      <w:pPr>
        <w:pStyle w:val="ListParagraph"/>
        <w:numPr>
          <w:ilvl w:val="0"/>
          <w:numId w:val="2"/>
        </w:numPr>
        <w:jc w:val="both"/>
      </w:pPr>
      <w:r>
        <w:t>d</w:t>
      </w:r>
      <w:r w:rsidR="00E27588" w:rsidRPr="00A417A0">
        <w:t>efault risks.</w:t>
      </w:r>
    </w:p>
    <w:p w:rsidR="00E27588" w:rsidRPr="00A417A0" w:rsidRDefault="00E27588" w:rsidP="00106747">
      <w:pPr>
        <w:jc w:val="both"/>
      </w:pPr>
    </w:p>
    <w:p w:rsidR="00E27E1E" w:rsidRDefault="00106747">
      <w:pPr>
        <w:keepNext/>
        <w:jc w:val="both"/>
        <w:rPr>
          <w:i/>
        </w:rPr>
      </w:pPr>
      <w:r>
        <w:rPr>
          <w:i/>
        </w:rPr>
        <w:br/>
      </w:r>
      <w:r w:rsidR="00E27588" w:rsidRPr="00A417A0">
        <w:rPr>
          <w:i/>
        </w:rPr>
        <w:t>Asset concentration risk charge</w:t>
      </w:r>
    </w:p>
    <w:p w:rsidR="00E27E1E" w:rsidRDefault="00E27E1E">
      <w:pPr>
        <w:keepNext/>
        <w:jc w:val="both"/>
        <w:rPr>
          <w:u w:val="single"/>
        </w:rPr>
      </w:pPr>
    </w:p>
    <w:p w:rsidR="00E27E1E" w:rsidRDefault="001E7D5A">
      <w:pPr>
        <w:keepNext/>
        <w:jc w:val="both"/>
      </w:pPr>
      <w:r>
        <w:t>This is the amount of capital to be held against the concentration of asset</w:t>
      </w:r>
      <w:r w:rsidR="0089798B">
        <w:t>s</w:t>
      </w:r>
      <w:r>
        <w:t xml:space="preserve">. </w:t>
      </w:r>
      <w:r w:rsidR="00E27588" w:rsidRPr="00A417A0">
        <w:t>Asset concentration risk results from investment concentrations in individual assets or large exposures to individual counterparties or groups of related counterparties. The risk charge requires a capital amount to be held where exposures exceed prescribed limits.  This is expected to drive appropriate risk management practices as insurers structure their investment approaches to avoid the risk charge.</w:t>
      </w:r>
    </w:p>
    <w:p w:rsidR="00E27588" w:rsidRPr="00A417A0" w:rsidRDefault="00E27588" w:rsidP="00E27588">
      <w:pPr>
        <w:jc w:val="both"/>
      </w:pPr>
    </w:p>
    <w:p w:rsidR="00E27588" w:rsidRPr="00A417A0" w:rsidRDefault="00E27588" w:rsidP="00E27588">
      <w:pPr>
        <w:jc w:val="both"/>
      </w:pPr>
      <w:r w:rsidRPr="00A417A0">
        <w:t xml:space="preserve">Additionally, for life insurers, the asset concentration limits that apply to the retrocessions of specialist reinsurers to their overseas parents would be reduced and specialist reinsurers would be redefined to be the statutory funds of registered </w:t>
      </w:r>
      <w:r w:rsidRPr="00A417A0">
        <w:lastRenderedPageBreak/>
        <w:t xml:space="preserve">life </w:t>
      </w:r>
      <w:r w:rsidR="003F35A7">
        <w:t>insurers</w:t>
      </w:r>
      <w:r w:rsidRPr="00A417A0">
        <w:t xml:space="preserve"> whose policy liabilities consist exclusively of inwards reinsurance from third parties.</w:t>
      </w:r>
    </w:p>
    <w:p w:rsidR="00E27588" w:rsidRPr="00A417A0" w:rsidRDefault="00E27588" w:rsidP="00E27588">
      <w:pPr>
        <w:jc w:val="both"/>
      </w:pPr>
    </w:p>
    <w:p w:rsidR="00E27588" w:rsidRPr="00A417A0" w:rsidRDefault="00E27588" w:rsidP="00E27588">
      <w:pPr>
        <w:jc w:val="both"/>
        <w:rPr>
          <w:i/>
        </w:rPr>
      </w:pPr>
      <w:r w:rsidRPr="00A417A0">
        <w:rPr>
          <w:i/>
        </w:rPr>
        <w:t>Operational risk charge</w:t>
      </w:r>
    </w:p>
    <w:p w:rsidR="00E27588" w:rsidRPr="00A417A0" w:rsidRDefault="00E27588" w:rsidP="00E27588">
      <w:pPr>
        <w:jc w:val="both"/>
      </w:pPr>
    </w:p>
    <w:p w:rsidR="00E27588" w:rsidRPr="00A417A0" w:rsidRDefault="00E27588" w:rsidP="00E27588">
      <w:pPr>
        <w:jc w:val="both"/>
      </w:pPr>
      <w:r w:rsidRPr="00A417A0">
        <w:t xml:space="preserve">Operational risk is the risk of loss resulting from inadequate or failed internal processes, people </w:t>
      </w:r>
      <w:r w:rsidR="001E7D5A">
        <w:t>or</w:t>
      </w:r>
      <w:r w:rsidR="001E7D5A" w:rsidRPr="00A417A0">
        <w:t xml:space="preserve"> </w:t>
      </w:r>
      <w:r w:rsidRPr="00A417A0">
        <w:t>systems</w:t>
      </w:r>
      <w:r w:rsidR="001E7D5A">
        <w:t>,</w:t>
      </w:r>
      <w:r w:rsidRPr="00A417A0">
        <w:t xml:space="preserve"> or from external events. Operational risk is a key risk for insurers and APRA </w:t>
      </w:r>
      <w:r w:rsidR="0089798B">
        <w:t>is of the view</w:t>
      </w:r>
      <w:r w:rsidR="0089798B" w:rsidRPr="00A417A0">
        <w:t xml:space="preserve"> </w:t>
      </w:r>
      <w:r w:rsidRPr="00A417A0">
        <w:t xml:space="preserve">that it is appropriate to </w:t>
      </w:r>
      <w:r w:rsidR="00173001">
        <w:t xml:space="preserve">explicitly </w:t>
      </w:r>
      <w:r w:rsidRPr="00A417A0">
        <w:t>address this risk in its capital standards</w:t>
      </w:r>
      <w:r w:rsidR="00173001">
        <w:t xml:space="preserve"> through</w:t>
      </w:r>
      <w:r w:rsidRPr="00A417A0">
        <w:t xml:space="preserve"> introduc</w:t>
      </w:r>
      <w:r w:rsidR="00173001">
        <w:t>ing</w:t>
      </w:r>
      <w:r w:rsidRPr="00A417A0">
        <w:t xml:space="preserve"> an explicit capital requirement for operational risk.</w:t>
      </w:r>
    </w:p>
    <w:p w:rsidR="00E27588" w:rsidRPr="00A417A0" w:rsidRDefault="00E27588" w:rsidP="00E27588">
      <w:pPr>
        <w:jc w:val="both"/>
      </w:pPr>
    </w:p>
    <w:p w:rsidR="00E27588" w:rsidRPr="00A417A0" w:rsidRDefault="00E27588" w:rsidP="00E27588">
      <w:pPr>
        <w:jc w:val="both"/>
      </w:pPr>
      <w:r w:rsidRPr="00A417A0">
        <w:t>The proposed operational risk charge would have two components; a ‘base component’ related to the scale of the insurer’s operations</w:t>
      </w:r>
      <w:r w:rsidR="00173001">
        <w:t>,</w:t>
      </w:r>
      <w:r w:rsidRPr="00A417A0">
        <w:t xml:space="preserve"> and thus exposure to operational risk, and a component based on risk attributes specific to the insurer. </w:t>
      </w:r>
    </w:p>
    <w:p w:rsidR="00E27588" w:rsidRPr="00A417A0" w:rsidRDefault="00E27588" w:rsidP="00E27588">
      <w:pPr>
        <w:jc w:val="both"/>
      </w:pPr>
    </w:p>
    <w:p w:rsidR="00E27588" w:rsidRPr="00A417A0" w:rsidRDefault="00E27588" w:rsidP="00E27588">
      <w:pPr>
        <w:jc w:val="both"/>
      </w:pPr>
      <w:r w:rsidRPr="00A417A0">
        <w:t>To the extent that an insurer has a higher operational risk profile or an inadequate approach to operational risk management, APRA would increase the insurer’s PCR by making a supervisory adjustment. This is intended to provide incentives for insurers to improve their operational risk management.</w:t>
      </w:r>
    </w:p>
    <w:p w:rsidR="00E27588" w:rsidRPr="00A417A0" w:rsidRDefault="00E27588" w:rsidP="00E27588">
      <w:pPr>
        <w:jc w:val="both"/>
      </w:pPr>
    </w:p>
    <w:p w:rsidR="009F384B" w:rsidRDefault="00E27588">
      <w:pPr>
        <w:keepNext/>
        <w:jc w:val="both"/>
        <w:rPr>
          <w:i/>
        </w:rPr>
      </w:pPr>
      <w:r w:rsidRPr="00A417A0">
        <w:rPr>
          <w:i/>
        </w:rPr>
        <w:t>Aggregation benefit</w:t>
      </w:r>
    </w:p>
    <w:p w:rsidR="009F384B" w:rsidRDefault="009F384B">
      <w:pPr>
        <w:keepNext/>
        <w:jc w:val="both"/>
      </w:pPr>
    </w:p>
    <w:p w:rsidR="009F384B" w:rsidRDefault="00E27588">
      <w:pPr>
        <w:keepNext/>
        <w:jc w:val="both"/>
      </w:pPr>
      <w:r w:rsidRPr="00A417A0">
        <w:t xml:space="preserve">Under the proposed capital standards, APRA </w:t>
      </w:r>
      <w:r w:rsidR="001E7D5A">
        <w:t>will</w:t>
      </w:r>
      <w:r w:rsidR="001E7D5A" w:rsidRPr="00A417A0">
        <w:t xml:space="preserve"> </w:t>
      </w:r>
      <w:r w:rsidRPr="00A417A0">
        <w:t xml:space="preserve">make the recognition of diversification within and between risk types more explicit. </w:t>
      </w:r>
    </w:p>
    <w:p w:rsidR="00E27588" w:rsidRPr="00A417A0" w:rsidRDefault="00E27588" w:rsidP="00E27588">
      <w:pPr>
        <w:jc w:val="both"/>
      </w:pPr>
    </w:p>
    <w:p w:rsidR="00E27588" w:rsidRPr="00A417A0" w:rsidRDefault="00E27588" w:rsidP="00E27588">
      <w:pPr>
        <w:jc w:val="both"/>
      </w:pPr>
      <w:r w:rsidRPr="00A417A0">
        <w:t xml:space="preserve">APRA proposes to make an explicit allowance for diversification between asset and insurance risks, so that required capital better reflects the level of independence between asset risks and insurance risks. </w:t>
      </w:r>
    </w:p>
    <w:p w:rsidR="00E27588" w:rsidRPr="00A417A0" w:rsidRDefault="00E27588" w:rsidP="00E27588">
      <w:pPr>
        <w:jc w:val="both"/>
      </w:pPr>
    </w:p>
    <w:p w:rsidR="00E27588" w:rsidRPr="00A417A0" w:rsidRDefault="00E27588" w:rsidP="00E27588">
      <w:pPr>
        <w:jc w:val="both"/>
      </w:pPr>
      <w:r w:rsidRPr="00A417A0">
        <w:t>For life insurers, the calculation of the aggregation benefit would be undertaken separately for each statutory fund. There is also explicit allowance for insurance risk diversification in the determination of the insurance risk charge and for diversification between asset risks in the asset risk charge.</w:t>
      </w:r>
    </w:p>
    <w:p w:rsidR="00E27588" w:rsidRPr="00A417A0" w:rsidRDefault="00E27588" w:rsidP="00E27588">
      <w:pPr>
        <w:jc w:val="both"/>
      </w:pPr>
    </w:p>
    <w:p w:rsidR="00E27588" w:rsidRPr="00A417A0" w:rsidRDefault="00E27588" w:rsidP="00E27588">
      <w:pPr>
        <w:jc w:val="both"/>
        <w:rPr>
          <w:i/>
        </w:rPr>
      </w:pPr>
      <w:r w:rsidRPr="00A417A0">
        <w:rPr>
          <w:i/>
        </w:rPr>
        <w:t>Risk-free discount rate</w:t>
      </w:r>
    </w:p>
    <w:p w:rsidR="00E27588" w:rsidRPr="00A417A0" w:rsidRDefault="00E27588" w:rsidP="00E27588">
      <w:pPr>
        <w:jc w:val="both"/>
      </w:pPr>
    </w:p>
    <w:p w:rsidR="00E27588" w:rsidRPr="00A417A0" w:rsidRDefault="00E27588" w:rsidP="00E27588">
      <w:pPr>
        <w:jc w:val="both"/>
      </w:pPr>
      <w:r w:rsidRPr="00A417A0">
        <w:t>APRA is proposing to apply the same definition for risk-free discount rates for general and life insurers. APRA is of the view that the risk-free discount rates appropriate for valuing liabilities should reflect the rates that can be earned on assets that:</w:t>
      </w:r>
    </w:p>
    <w:p w:rsidR="00E27588" w:rsidRPr="00A417A0" w:rsidRDefault="00E27588" w:rsidP="00E27588">
      <w:pPr>
        <w:jc w:val="both"/>
      </w:pPr>
    </w:p>
    <w:p w:rsidR="00E27588" w:rsidRPr="00A417A0" w:rsidRDefault="00E27588" w:rsidP="00E27588">
      <w:pPr>
        <w:pStyle w:val="ListParagraph"/>
        <w:numPr>
          <w:ilvl w:val="0"/>
          <w:numId w:val="2"/>
        </w:numPr>
        <w:spacing w:line="360" w:lineRule="auto"/>
        <w:jc w:val="both"/>
      </w:pPr>
      <w:r w:rsidRPr="00A417A0">
        <w:t xml:space="preserve">have no credit risk; </w:t>
      </w:r>
    </w:p>
    <w:p w:rsidR="00E27588" w:rsidRPr="00A417A0" w:rsidRDefault="00E27588" w:rsidP="00E27588">
      <w:pPr>
        <w:pStyle w:val="ListParagraph"/>
        <w:numPr>
          <w:ilvl w:val="0"/>
          <w:numId w:val="2"/>
        </w:numPr>
        <w:spacing w:line="360" w:lineRule="auto"/>
        <w:jc w:val="both"/>
      </w:pPr>
      <w:r w:rsidRPr="00A417A0">
        <w:t xml:space="preserve">are readily realisable or liquid, even in times of stress; and </w:t>
      </w:r>
    </w:p>
    <w:p w:rsidR="00E27588" w:rsidRPr="00A417A0" w:rsidRDefault="00E27588" w:rsidP="00E27588">
      <w:pPr>
        <w:pStyle w:val="ListParagraph"/>
        <w:numPr>
          <w:ilvl w:val="0"/>
          <w:numId w:val="2"/>
        </w:numPr>
        <w:spacing w:line="360" w:lineRule="auto"/>
        <w:jc w:val="both"/>
      </w:pPr>
      <w:r w:rsidRPr="00A417A0">
        <w:t xml:space="preserve">match the term and currency of the future liability cash flows. </w:t>
      </w:r>
    </w:p>
    <w:p w:rsidR="00E27588" w:rsidRPr="00A417A0" w:rsidRDefault="00E27588" w:rsidP="00E27588">
      <w:pPr>
        <w:jc w:val="both"/>
      </w:pPr>
    </w:p>
    <w:p w:rsidR="00E27588" w:rsidRPr="00A417A0" w:rsidRDefault="00E27588" w:rsidP="00E27588">
      <w:pPr>
        <w:jc w:val="both"/>
      </w:pPr>
      <w:r w:rsidRPr="00A417A0">
        <w:t>For Australian-denominated liabilities, APRA regards the zero coupon spot yield curve of the Commonwealth Government Securities (CGS) as the best proxy for risk</w:t>
      </w:r>
      <w:r w:rsidR="0089798B">
        <w:t>-</w:t>
      </w:r>
      <w:r w:rsidRPr="00A417A0">
        <w:t>free rates. For foreign denominated liabilities, risk-free rates should be determined with reference to yields from national government bonds in the same currency as the liabilities</w:t>
      </w:r>
      <w:r w:rsidR="007452C0">
        <w:t xml:space="preserve"> and rated AAA</w:t>
      </w:r>
      <w:r w:rsidR="000B578C">
        <w:t>. The risk</w:t>
      </w:r>
      <w:r w:rsidR="0089798B">
        <w:t>-</w:t>
      </w:r>
      <w:r w:rsidR="000B578C">
        <w:t xml:space="preserve">free rates may be determined with reference to other instruments, adjusted for credit risk and liquidity, if it can </w:t>
      </w:r>
      <w:r w:rsidR="000B578C">
        <w:lastRenderedPageBreak/>
        <w:t>be demonstrated that there is insufficient supply of highly rated foreign national government bonds in the relevant currency</w:t>
      </w:r>
      <w:r w:rsidRPr="00A417A0">
        <w:t xml:space="preserve">. </w:t>
      </w:r>
    </w:p>
    <w:p w:rsidR="00E27588" w:rsidRPr="00A417A0" w:rsidRDefault="00E27588" w:rsidP="00E27588">
      <w:pPr>
        <w:jc w:val="both"/>
      </w:pPr>
    </w:p>
    <w:p w:rsidR="00E27588" w:rsidRPr="00A417A0" w:rsidRDefault="00E27588" w:rsidP="00E27588">
      <w:pPr>
        <w:jc w:val="both"/>
      </w:pPr>
      <w:r w:rsidRPr="00A417A0">
        <w:t xml:space="preserve">For life </w:t>
      </w:r>
      <w:r w:rsidR="003F35A7">
        <w:t>insurers</w:t>
      </w:r>
      <w:r w:rsidRPr="00A417A0">
        <w:t>, this approach to selecting the risk</w:t>
      </w:r>
      <w:r w:rsidR="0089798B">
        <w:t>-</w:t>
      </w:r>
      <w:r w:rsidRPr="00A417A0">
        <w:t>free discount rate is more restrictive tha</w:t>
      </w:r>
      <w:r w:rsidR="00173001">
        <w:t>n</w:t>
      </w:r>
      <w:r w:rsidRPr="00A417A0">
        <w:t xml:space="preserve"> the current capital adequacy requirement which allows life </w:t>
      </w:r>
      <w:r w:rsidR="003F35A7">
        <w:t>insurers</w:t>
      </w:r>
      <w:r w:rsidRPr="00A417A0">
        <w:t xml:space="preserve"> to use a higher risk</w:t>
      </w:r>
      <w:r w:rsidR="0089798B">
        <w:t>-</w:t>
      </w:r>
      <w:r w:rsidRPr="00A417A0">
        <w:t xml:space="preserve">free discount rate, up to a limit of the mid swap rate.  </w:t>
      </w:r>
      <w:r w:rsidR="00CE5EA5">
        <w:t>APRA proposes to allow an</w:t>
      </w:r>
      <w:r w:rsidR="00CE5EA5" w:rsidRPr="00F90E63">
        <w:rPr>
          <w:rFonts w:cs="TodaySB-Light"/>
        </w:rPr>
        <w:t xml:space="preserve"> illiquidity</w:t>
      </w:r>
      <w:r w:rsidR="00CE5EA5">
        <w:rPr>
          <w:rFonts w:cs="TodaySB-Light"/>
        </w:rPr>
        <w:t xml:space="preserve"> </w:t>
      </w:r>
      <w:r w:rsidR="00CE5EA5" w:rsidRPr="00F90E63">
        <w:rPr>
          <w:rFonts w:cs="TodaySB-Light"/>
        </w:rPr>
        <w:t xml:space="preserve">premium </w:t>
      </w:r>
      <w:r w:rsidR="00CE5EA5">
        <w:rPr>
          <w:rFonts w:cs="TodaySB-Light"/>
        </w:rPr>
        <w:t xml:space="preserve">to </w:t>
      </w:r>
      <w:r w:rsidR="00CE5EA5" w:rsidRPr="00F90E63">
        <w:rPr>
          <w:rFonts w:cs="TodaySB-Light"/>
        </w:rPr>
        <w:t xml:space="preserve">be added to the risk-free </w:t>
      </w:r>
      <w:r w:rsidR="00CE5EA5">
        <w:rPr>
          <w:rFonts w:cs="TodaySB-Light"/>
        </w:rPr>
        <w:t xml:space="preserve">discount </w:t>
      </w:r>
      <w:r w:rsidR="00CE5EA5" w:rsidRPr="00F90E63">
        <w:rPr>
          <w:rFonts w:cs="TodaySB-Light"/>
        </w:rPr>
        <w:t>rate</w:t>
      </w:r>
      <w:r w:rsidR="00CE5EA5">
        <w:rPr>
          <w:rFonts w:cs="TodaySB-Light"/>
        </w:rPr>
        <w:t xml:space="preserve"> when calculating certain types of illiquid life insurance liabilities. These include liabilities for</w:t>
      </w:r>
      <w:r w:rsidR="00CE5EA5" w:rsidRPr="00F90E63">
        <w:rPr>
          <w:rFonts w:cs="TodaySB-Light"/>
        </w:rPr>
        <w:t xml:space="preserve"> </w:t>
      </w:r>
      <w:r w:rsidR="00CE5EA5">
        <w:rPr>
          <w:rFonts w:cs="TodaySB-Light"/>
        </w:rPr>
        <w:t>certain annuities</w:t>
      </w:r>
      <w:r w:rsidR="00CE5EA5" w:rsidRPr="00F90E63">
        <w:rPr>
          <w:rFonts w:cs="TodaySB-Light"/>
        </w:rPr>
        <w:t>, fixed</w:t>
      </w:r>
      <w:r w:rsidR="00CE5EA5">
        <w:rPr>
          <w:rFonts w:cs="TodaySB-Light"/>
        </w:rPr>
        <w:t xml:space="preserve"> </w:t>
      </w:r>
      <w:r w:rsidR="00CE5EA5" w:rsidRPr="00F90E63">
        <w:rPr>
          <w:rFonts w:cs="TodaySB-Light"/>
        </w:rPr>
        <w:t>term/rate products and funeral bonds</w:t>
      </w:r>
      <w:r w:rsidR="00CE5EA5">
        <w:t xml:space="preserve">. </w:t>
      </w:r>
      <w:r w:rsidR="007452C0">
        <w:t xml:space="preserve"> This recognises that, where a life </w:t>
      </w:r>
      <w:r w:rsidR="003F35A7">
        <w:t>insurer</w:t>
      </w:r>
      <w:r w:rsidR="007452C0">
        <w:t xml:space="preserve"> has </w:t>
      </w:r>
      <w:r w:rsidR="00E26237">
        <w:t>assumed</w:t>
      </w:r>
      <w:r w:rsidR="007452C0">
        <w:t xml:space="preserve"> an illiquid liability, it can back that liability with risk-free but </w:t>
      </w:r>
      <w:r w:rsidR="00E26237">
        <w:t xml:space="preserve">not completely </w:t>
      </w:r>
      <w:r w:rsidR="007452C0">
        <w:t xml:space="preserve">liquid assets and earn the illiquidity premium. </w:t>
      </w:r>
    </w:p>
    <w:p w:rsidR="00E27588" w:rsidRPr="00A417A0" w:rsidRDefault="00E27588" w:rsidP="00E27588">
      <w:pPr>
        <w:jc w:val="both"/>
      </w:pPr>
      <w:r w:rsidRPr="00A417A0">
        <w:t xml:space="preserve"> </w:t>
      </w:r>
    </w:p>
    <w:p w:rsidR="00E27588" w:rsidRPr="00A417A0" w:rsidRDefault="00E27588" w:rsidP="00E27588">
      <w:pPr>
        <w:jc w:val="both"/>
      </w:pPr>
    </w:p>
    <w:p w:rsidR="00E27588" w:rsidRPr="00A417A0" w:rsidRDefault="00E27588" w:rsidP="00E27588">
      <w:pPr>
        <w:keepNext/>
        <w:jc w:val="both"/>
        <w:rPr>
          <w:b/>
          <w:i/>
        </w:rPr>
      </w:pPr>
      <w:r w:rsidRPr="00A417A0">
        <w:rPr>
          <w:b/>
          <w:i/>
        </w:rPr>
        <w:t>Prudential Capital Requirement (PCR)</w:t>
      </w:r>
    </w:p>
    <w:p w:rsidR="00E27588" w:rsidRPr="00A417A0" w:rsidRDefault="00E27588" w:rsidP="00E27588">
      <w:pPr>
        <w:keepNext/>
        <w:jc w:val="both"/>
        <w:rPr>
          <w:u w:val="single"/>
        </w:rPr>
      </w:pPr>
    </w:p>
    <w:p w:rsidR="00E27588" w:rsidRPr="00A417A0" w:rsidRDefault="00E27588" w:rsidP="00E27588">
      <w:pPr>
        <w:keepNext/>
        <w:jc w:val="both"/>
      </w:pPr>
      <w:r w:rsidRPr="00A417A0">
        <w:t xml:space="preserve">The PCR is the </w:t>
      </w:r>
      <w:r w:rsidR="00E35592">
        <w:t>prescribed capital amount</w:t>
      </w:r>
      <w:r w:rsidRPr="00A417A0">
        <w:t xml:space="preserve"> plus any additional capital required </w:t>
      </w:r>
      <w:r w:rsidR="0089798B">
        <w:t xml:space="preserve">to be held </w:t>
      </w:r>
      <w:r w:rsidRPr="00A417A0">
        <w:t xml:space="preserve">according to a supervisory adjustment required by APRA.  It is the minimum required amount of capital </w:t>
      </w:r>
      <w:r w:rsidR="00D64E29">
        <w:t>held by</w:t>
      </w:r>
      <w:r w:rsidR="00D64E29" w:rsidRPr="00A417A0">
        <w:t xml:space="preserve"> </w:t>
      </w:r>
      <w:r w:rsidRPr="00A417A0">
        <w:t>insurers.</w:t>
      </w:r>
    </w:p>
    <w:p w:rsidR="00E27588" w:rsidRPr="00A417A0" w:rsidRDefault="00E27588" w:rsidP="00E27588">
      <w:pPr>
        <w:jc w:val="both"/>
      </w:pPr>
    </w:p>
    <w:p w:rsidR="00E27588" w:rsidRPr="00A417A0" w:rsidRDefault="00E27588" w:rsidP="00A579ED">
      <w:pPr>
        <w:keepNext/>
        <w:jc w:val="both"/>
      </w:pPr>
      <w:r w:rsidRPr="00A417A0">
        <w:t>APRA is proposing the introduction of a three pillar supervisory approach for general insurers and life insurers similar to that in place for ADIs and consistent with the three pillar approach proposed for Basel III and Solvency II. These pillars would comprise of:</w:t>
      </w:r>
    </w:p>
    <w:p w:rsidR="00E27588" w:rsidRPr="00A417A0" w:rsidRDefault="00E27588" w:rsidP="00A579ED">
      <w:pPr>
        <w:keepNext/>
        <w:jc w:val="both"/>
      </w:pPr>
    </w:p>
    <w:p w:rsidR="00E27588" w:rsidRDefault="00E27588" w:rsidP="00A579ED">
      <w:pPr>
        <w:pStyle w:val="ListParagraph"/>
        <w:keepNext/>
        <w:numPr>
          <w:ilvl w:val="0"/>
          <w:numId w:val="2"/>
        </w:numPr>
        <w:jc w:val="both"/>
      </w:pPr>
      <w:r w:rsidRPr="00A417A0">
        <w:t>Pillar 1: quantitative requirements in relation to required capital and the capital base as described above;</w:t>
      </w:r>
    </w:p>
    <w:p w:rsidR="00543D0C" w:rsidRDefault="00543D0C">
      <w:pPr>
        <w:pStyle w:val="ListParagraph"/>
        <w:jc w:val="both"/>
      </w:pPr>
    </w:p>
    <w:p w:rsidR="00E27588" w:rsidRDefault="00E27588" w:rsidP="00E27588">
      <w:pPr>
        <w:pStyle w:val="ListParagraph"/>
        <w:numPr>
          <w:ilvl w:val="0"/>
          <w:numId w:val="2"/>
        </w:numPr>
        <w:jc w:val="both"/>
      </w:pPr>
      <w:r w:rsidRPr="00A417A0">
        <w:t xml:space="preserve">Pillar 2: the supervisory review process, which includes </w:t>
      </w:r>
      <w:r w:rsidR="0089798B">
        <w:t xml:space="preserve">APRA’s assessment of </w:t>
      </w:r>
      <w:r w:rsidRPr="00A417A0">
        <w:t xml:space="preserve">the risk management and capital management </w:t>
      </w:r>
      <w:r w:rsidR="0089798B">
        <w:t xml:space="preserve">practices of an insurer </w:t>
      </w:r>
      <w:r w:rsidRPr="00A417A0">
        <w:t>and may include a supervisory adjustment to capital; and</w:t>
      </w:r>
    </w:p>
    <w:p w:rsidR="00543D0C" w:rsidRDefault="00543D0C">
      <w:pPr>
        <w:jc w:val="both"/>
      </w:pPr>
    </w:p>
    <w:p w:rsidR="00E27588" w:rsidRPr="00A417A0" w:rsidRDefault="00E27588" w:rsidP="00E27588">
      <w:pPr>
        <w:pStyle w:val="ListParagraph"/>
        <w:numPr>
          <w:ilvl w:val="0"/>
          <w:numId w:val="2"/>
        </w:numPr>
        <w:jc w:val="both"/>
      </w:pPr>
      <w:r w:rsidRPr="00A417A0">
        <w:t xml:space="preserve">Pillar 3: disclosure requirements </w:t>
      </w:r>
      <w:r w:rsidR="001E7D5A">
        <w:t>de</w:t>
      </w:r>
      <w:r w:rsidRPr="00A417A0">
        <w:t xml:space="preserve">signed to encourage market discipline. </w:t>
      </w:r>
    </w:p>
    <w:p w:rsidR="00E27588" w:rsidRPr="00A417A0" w:rsidRDefault="00E27588" w:rsidP="00E27588">
      <w:pPr>
        <w:jc w:val="both"/>
      </w:pPr>
    </w:p>
    <w:p w:rsidR="00E27588" w:rsidRPr="00A417A0" w:rsidRDefault="00E27588" w:rsidP="00E27588">
      <w:pPr>
        <w:jc w:val="both"/>
      </w:pPr>
    </w:p>
    <w:p w:rsidR="00E27588" w:rsidRPr="00A417A0" w:rsidRDefault="00E27588" w:rsidP="00E27588">
      <w:pPr>
        <w:jc w:val="both"/>
        <w:rPr>
          <w:b/>
          <w:i/>
        </w:rPr>
      </w:pPr>
      <w:r w:rsidRPr="00A417A0">
        <w:rPr>
          <w:b/>
          <w:i/>
        </w:rPr>
        <w:t>Supervisory adjustment</w:t>
      </w:r>
    </w:p>
    <w:p w:rsidR="00E27588" w:rsidRPr="00A417A0" w:rsidRDefault="00E27588" w:rsidP="00E27588">
      <w:pPr>
        <w:jc w:val="both"/>
        <w:rPr>
          <w:u w:val="single"/>
        </w:rPr>
      </w:pPr>
    </w:p>
    <w:p w:rsidR="00E27588" w:rsidRPr="00A417A0" w:rsidRDefault="00E27588" w:rsidP="00E27588">
      <w:pPr>
        <w:jc w:val="both"/>
      </w:pPr>
      <w:r w:rsidRPr="00A417A0">
        <w:t xml:space="preserve">APRA will have the power to adjust any aspect of the </w:t>
      </w:r>
      <w:r w:rsidR="00E35592">
        <w:t>prescribed capital amount</w:t>
      </w:r>
      <w:r w:rsidRPr="00A417A0">
        <w:t xml:space="preserve"> calculation where, in its view, application of the method outlined in the prudential standard does not produce an appropriate outcome in the particular circumstances of an insurer. Such an adjustment could result in an increase or decrease in the prescribed capital amount.</w:t>
      </w:r>
    </w:p>
    <w:p w:rsidR="00E27588" w:rsidRPr="00A417A0" w:rsidRDefault="00E27588" w:rsidP="00E27588">
      <w:pPr>
        <w:jc w:val="both"/>
      </w:pPr>
    </w:p>
    <w:p w:rsidR="00E27588" w:rsidRPr="00A417A0" w:rsidRDefault="00E27588" w:rsidP="00E27588">
      <w:pPr>
        <w:jc w:val="both"/>
      </w:pPr>
      <w:r w:rsidRPr="00A417A0">
        <w:t xml:space="preserve">In addition, APRA will have the ability to specify an additional amount of capital to be held over the calculated prescribed capital amount.  This adjustment could be used, </w:t>
      </w:r>
      <w:r w:rsidR="004D30F5">
        <w:t>for</w:t>
      </w:r>
      <w:r w:rsidR="004D30F5" w:rsidRPr="00A417A0">
        <w:t xml:space="preserve"> </w:t>
      </w:r>
      <w:r w:rsidRPr="00A417A0">
        <w:t xml:space="preserve">example, to address strategic risks, reputational risks, </w:t>
      </w:r>
      <w:r w:rsidR="001E7D5A">
        <w:t xml:space="preserve">unusual </w:t>
      </w:r>
      <w:r w:rsidRPr="00A417A0">
        <w:t xml:space="preserve">operational risks, or it may be used to reflect qualitative assessments related to poor corporate governance or risk management systems. </w:t>
      </w:r>
    </w:p>
    <w:p w:rsidR="00E27588" w:rsidRPr="00A417A0" w:rsidRDefault="00E27588" w:rsidP="00E27588">
      <w:pPr>
        <w:jc w:val="both"/>
      </w:pPr>
    </w:p>
    <w:p w:rsidR="00E27588" w:rsidRPr="00A417A0" w:rsidRDefault="00E27588" w:rsidP="00E27588">
      <w:pPr>
        <w:jc w:val="both"/>
      </w:pPr>
      <w:r w:rsidRPr="00A417A0">
        <w:t>A decision to impose a supervisory adjustment will be based on information available to APRA from the full range of APRA’s supervision activities</w:t>
      </w:r>
      <w:r w:rsidR="00B651C2">
        <w:t xml:space="preserve"> and will only be applied after discussion with the insurer</w:t>
      </w:r>
      <w:r w:rsidRPr="00A417A0">
        <w:t>.</w:t>
      </w:r>
      <w:r w:rsidR="007B0B04">
        <w:t xml:space="preserve"> The adjustment would not be publicly disclosed. </w:t>
      </w:r>
    </w:p>
    <w:p w:rsidR="00E27588" w:rsidRPr="00A417A0" w:rsidRDefault="00E27588" w:rsidP="00E27588">
      <w:pPr>
        <w:jc w:val="both"/>
      </w:pPr>
    </w:p>
    <w:p w:rsidR="00E27588" w:rsidRPr="00A417A0" w:rsidRDefault="00E27588" w:rsidP="00E27588">
      <w:pPr>
        <w:jc w:val="both"/>
      </w:pPr>
    </w:p>
    <w:p w:rsidR="00B466EB" w:rsidRDefault="00E27588" w:rsidP="00B466EB">
      <w:pPr>
        <w:keepNext/>
        <w:jc w:val="both"/>
        <w:rPr>
          <w:i/>
        </w:rPr>
      </w:pPr>
      <w:r w:rsidRPr="00A417A0">
        <w:rPr>
          <w:i/>
        </w:rPr>
        <w:t xml:space="preserve">Internal </w:t>
      </w:r>
      <w:r w:rsidR="004D30F5">
        <w:rPr>
          <w:i/>
        </w:rPr>
        <w:t>C</w:t>
      </w:r>
      <w:r w:rsidRPr="00A417A0">
        <w:rPr>
          <w:i/>
        </w:rPr>
        <w:t xml:space="preserve">apital </w:t>
      </w:r>
      <w:r w:rsidR="004D30F5">
        <w:rPr>
          <w:i/>
        </w:rPr>
        <w:t>A</w:t>
      </w:r>
      <w:r w:rsidRPr="00A417A0">
        <w:rPr>
          <w:i/>
        </w:rPr>
        <w:t xml:space="preserve">dequacy </w:t>
      </w:r>
      <w:r w:rsidR="004D30F5">
        <w:rPr>
          <w:i/>
        </w:rPr>
        <w:t>A</w:t>
      </w:r>
      <w:r w:rsidRPr="00A417A0">
        <w:rPr>
          <w:i/>
        </w:rPr>
        <w:t xml:space="preserve">ssessment </w:t>
      </w:r>
      <w:r w:rsidR="004D30F5">
        <w:rPr>
          <w:i/>
        </w:rPr>
        <w:t>P</w:t>
      </w:r>
      <w:r w:rsidRPr="00A417A0">
        <w:rPr>
          <w:i/>
        </w:rPr>
        <w:t>rocess (ICAAP)</w:t>
      </w:r>
    </w:p>
    <w:p w:rsidR="00B466EB" w:rsidRDefault="00B466EB" w:rsidP="00B466EB">
      <w:pPr>
        <w:keepNext/>
        <w:jc w:val="both"/>
      </w:pPr>
    </w:p>
    <w:p w:rsidR="00E27588" w:rsidRPr="00A417A0" w:rsidRDefault="00E27588" w:rsidP="00E27588">
      <w:pPr>
        <w:jc w:val="both"/>
      </w:pPr>
      <w:r w:rsidRPr="00A417A0">
        <w:t xml:space="preserve">APRA proposes to strengthen the capital management practices of insurers as part of the Pillar 2 supervisory process. The proposals require an insurer to develop and maintain a rigorous and well-documented </w:t>
      </w:r>
      <w:r w:rsidR="004D30F5">
        <w:t>Internal Capital Adequacy Assessment Process (</w:t>
      </w:r>
      <w:r w:rsidRPr="00A417A0">
        <w:t>ICAAP</w:t>
      </w:r>
      <w:r w:rsidR="004D30F5">
        <w:t>)</w:t>
      </w:r>
      <w:r w:rsidRPr="00A417A0">
        <w:t xml:space="preserve">, which should be appropriate to the nature, scope and complexity of the insurer’s activities and be consistent with prudential requirements. </w:t>
      </w:r>
    </w:p>
    <w:p w:rsidR="00E27588" w:rsidRPr="00A417A0" w:rsidRDefault="00E27588" w:rsidP="00E27588">
      <w:pPr>
        <w:jc w:val="both"/>
      </w:pPr>
    </w:p>
    <w:p w:rsidR="00E27588" w:rsidRPr="00A417A0" w:rsidRDefault="00E27588" w:rsidP="00E27588">
      <w:pPr>
        <w:jc w:val="both"/>
      </w:pPr>
      <w:r w:rsidRPr="00A417A0">
        <w:t>APRA does not propose to mandate any particular format for insurer ICAAPs. However, in line with sound business practice, APRA’s proposals would require an insurer:</w:t>
      </w:r>
    </w:p>
    <w:p w:rsidR="00E27588" w:rsidRPr="00A417A0" w:rsidRDefault="00E27588" w:rsidP="00E27588">
      <w:pPr>
        <w:jc w:val="both"/>
      </w:pPr>
    </w:p>
    <w:p w:rsidR="00E27588" w:rsidRDefault="00E27588" w:rsidP="00E27588">
      <w:pPr>
        <w:pStyle w:val="ListParagraph"/>
        <w:numPr>
          <w:ilvl w:val="0"/>
          <w:numId w:val="2"/>
        </w:numPr>
        <w:jc w:val="both"/>
      </w:pPr>
      <w:r w:rsidRPr="00A417A0">
        <w:t>to maintain at all times a level and quality of capital commensurate with the level and extent of risks to which the insurer is exposed from its activities;</w:t>
      </w:r>
    </w:p>
    <w:p w:rsidR="00543D0C" w:rsidRDefault="00543D0C">
      <w:pPr>
        <w:pStyle w:val="ListParagraph"/>
        <w:jc w:val="both"/>
      </w:pPr>
    </w:p>
    <w:p w:rsidR="00E27588" w:rsidRDefault="00E27588" w:rsidP="00E27588">
      <w:pPr>
        <w:pStyle w:val="ListParagraph"/>
        <w:numPr>
          <w:ilvl w:val="0"/>
          <w:numId w:val="2"/>
        </w:numPr>
        <w:jc w:val="both"/>
      </w:pPr>
      <w:r w:rsidRPr="00A417A0">
        <w:t>to have adequate systems and procedures for identifying, measuring, monitoring and managing the risks arising from its activities on a continuous bases, and for assessing the capital needed in relation to those risks;</w:t>
      </w:r>
    </w:p>
    <w:p w:rsidR="00543D0C" w:rsidRDefault="00543D0C">
      <w:pPr>
        <w:jc w:val="both"/>
      </w:pPr>
    </w:p>
    <w:p w:rsidR="00E27588" w:rsidRDefault="00E27588" w:rsidP="00E27588">
      <w:pPr>
        <w:pStyle w:val="ListParagraph"/>
        <w:numPr>
          <w:ilvl w:val="0"/>
          <w:numId w:val="2"/>
        </w:numPr>
        <w:jc w:val="both"/>
      </w:pPr>
      <w:r w:rsidRPr="00A417A0">
        <w:t>to document how it determines its target capital level for supporting the degree of risks associated with its current activities and its overall business plans;</w:t>
      </w:r>
    </w:p>
    <w:p w:rsidR="00543D0C" w:rsidRDefault="00543D0C">
      <w:pPr>
        <w:pStyle w:val="ListParagraph"/>
        <w:jc w:val="both"/>
      </w:pPr>
    </w:p>
    <w:p w:rsidR="00E27588" w:rsidRDefault="00E27588" w:rsidP="00E27588">
      <w:pPr>
        <w:pStyle w:val="ListParagraph"/>
        <w:numPr>
          <w:ilvl w:val="0"/>
          <w:numId w:val="2"/>
        </w:numPr>
        <w:jc w:val="both"/>
      </w:pPr>
      <w:r w:rsidRPr="00A417A0">
        <w:t>to document its strategy for maintaining appropriate capital resources over time, including how the required level of capital is to be met, the means available for sourcing additional capital where needed and the procedures for monitoring compliance with APRA’s minimum capital requirements; and</w:t>
      </w:r>
    </w:p>
    <w:p w:rsidR="00543D0C" w:rsidRDefault="00543D0C">
      <w:pPr>
        <w:jc w:val="both"/>
      </w:pPr>
    </w:p>
    <w:p w:rsidR="00E27588" w:rsidRPr="00A417A0" w:rsidRDefault="00E27588" w:rsidP="00E27588">
      <w:pPr>
        <w:pStyle w:val="ListParagraph"/>
        <w:numPr>
          <w:ilvl w:val="0"/>
          <w:numId w:val="2"/>
        </w:numPr>
        <w:jc w:val="both"/>
      </w:pPr>
      <w:r w:rsidRPr="00A417A0">
        <w:t xml:space="preserve">to ensure that its ICAAP is subject to effective and comprehensive review. The frequency and scope of the review would need to be appropriate to the insurer having regard to the size, business mix and complexity of the insurer’s operations and the nature and extent of any change to its business profile and risk appetite. </w:t>
      </w:r>
    </w:p>
    <w:p w:rsidR="00E27588" w:rsidRPr="00A417A0" w:rsidRDefault="00E27588" w:rsidP="00E27588">
      <w:pPr>
        <w:jc w:val="both"/>
      </w:pPr>
    </w:p>
    <w:p w:rsidR="00E27588" w:rsidRPr="00A417A0" w:rsidRDefault="00E27588" w:rsidP="00E27588">
      <w:pPr>
        <w:jc w:val="both"/>
      </w:pPr>
      <w:r w:rsidRPr="00A417A0">
        <w:t>APRA proposes that each insurer submit to APRA on an annual basis an ICAAP report that addresses the points outlined above and includes capital projections for at least a three-year period.</w:t>
      </w:r>
    </w:p>
    <w:p w:rsidR="00E27588" w:rsidRDefault="00E27588" w:rsidP="00E27588">
      <w:pPr>
        <w:jc w:val="both"/>
      </w:pPr>
    </w:p>
    <w:p w:rsidR="00CD777D" w:rsidRPr="00A417A0" w:rsidRDefault="00CD777D" w:rsidP="00E27588">
      <w:pPr>
        <w:jc w:val="both"/>
      </w:pPr>
    </w:p>
    <w:p w:rsidR="009F384B" w:rsidRDefault="00B466EB">
      <w:pPr>
        <w:keepNext/>
        <w:jc w:val="both"/>
        <w:rPr>
          <w:b/>
          <w:i/>
        </w:rPr>
      </w:pPr>
      <w:r w:rsidRPr="00B466EB">
        <w:rPr>
          <w:b/>
          <w:i/>
        </w:rPr>
        <w:t xml:space="preserve">Disclosure requirements </w:t>
      </w:r>
    </w:p>
    <w:p w:rsidR="009F384B" w:rsidRDefault="009F384B">
      <w:pPr>
        <w:keepNext/>
        <w:jc w:val="both"/>
      </w:pPr>
    </w:p>
    <w:p w:rsidR="009F384B" w:rsidRDefault="00E27588">
      <w:pPr>
        <w:keepNext/>
        <w:jc w:val="both"/>
      </w:pPr>
      <w:r w:rsidRPr="00A417A0">
        <w:t xml:space="preserve">Pillar 3 of APRA’s supervisory approach aims to ensure disclosure by insurers that would assist market observers to assess the capital adequacy of insurers. APRA proposes that insurers give market observers ready access to some basic information on their capital adequacy on a regular basis. </w:t>
      </w:r>
    </w:p>
    <w:p w:rsidR="00E27588" w:rsidRPr="00A417A0" w:rsidRDefault="00E27588" w:rsidP="00E27588">
      <w:pPr>
        <w:jc w:val="both"/>
      </w:pPr>
    </w:p>
    <w:p w:rsidR="00E27588" w:rsidRPr="00A417A0" w:rsidRDefault="00E27588" w:rsidP="00E27588">
      <w:pPr>
        <w:jc w:val="both"/>
      </w:pPr>
      <w:r w:rsidRPr="00A417A0">
        <w:t xml:space="preserve">The proposed disclosure requirements for Pillar 1 </w:t>
      </w:r>
      <w:r w:rsidR="001E7D5A">
        <w:t>will</w:t>
      </w:r>
      <w:r w:rsidR="001E7D5A" w:rsidRPr="00A417A0">
        <w:t xml:space="preserve"> </w:t>
      </w:r>
      <w:r w:rsidRPr="00A417A0">
        <w:t xml:space="preserve">be essentially the same as the current disclosure requirements for general insurers. In summary, insurers </w:t>
      </w:r>
      <w:r w:rsidR="001E7D5A">
        <w:t>will</w:t>
      </w:r>
      <w:r w:rsidR="001E7D5A" w:rsidRPr="00A417A0">
        <w:t xml:space="preserve"> </w:t>
      </w:r>
      <w:r w:rsidRPr="00A417A0">
        <w:t>be required to disclose annually:</w:t>
      </w:r>
    </w:p>
    <w:p w:rsidR="00E27588" w:rsidRPr="00A417A0" w:rsidRDefault="00E27588" w:rsidP="00E27588">
      <w:pPr>
        <w:jc w:val="both"/>
      </w:pPr>
    </w:p>
    <w:p w:rsidR="00E27588" w:rsidRPr="00A417A0" w:rsidRDefault="00CD777D" w:rsidP="00E27588">
      <w:pPr>
        <w:pStyle w:val="ListParagraph"/>
        <w:numPr>
          <w:ilvl w:val="0"/>
          <w:numId w:val="2"/>
        </w:numPr>
        <w:jc w:val="both"/>
      </w:pPr>
      <w:r>
        <w:t>t</w:t>
      </w:r>
      <w:r w:rsidR="00E27588" w:rsidRPr="00A417A0">
        <w:t>he individual components of the insurer’s Pillar 1 prescribed capital amount;</w:t>
      </w:r>
    </w:p>
    <w:p w:rsidR="00E27588" w:rsidRPr="00A417A0" w:rsidRDefault="00E27588" w:rsidP="00E27588">
      <w:pPr>
        <w:ind w:left="360"/>
        <w:jc w:val="both"/>
      </w:pPr>
    </w:p>
    <w:p w:rsidR="00E27588" w:rsidRPr="00A417A0" w:rsidRDefault="00CD777D" w:rsidP="00E27588">
      <w:pPr>
        <w:pStyle w:val="ListParagraph"/>
        <w:numPr>
          <w:ilvl w:val="0"/>
          <w:numId w:val="2"/>
        </w:numPr>
        <w:jc w:val="both"/>
      </w:pPr>
      <w:r>
        <w:t>t</w:t>
      </w:r>
      <w:r w:rsidR="00E27588" w:rsidRPr="00A417A0">
        <w:t>he insurer’s total Pillar 1 or prescribed capital amount; and</w:t>
      </w:r>
    </w:p>
    <w:p w:rsidR="00E27588" w:rsidRPr="00A417A0" w:rsidRDefault="00E27588" w:rsidP="00E27588">
      <w:pPr>
        <w:jc w:val="both"/>
      </w:pPr>
    </w:p>
    <w:p w:rsidR="00E27588" w:rsidRPr="00A417A0" w:rsidRDefault="00CD777D" w:rsidP="00E27588">
      <w:pPr>
        <w:pStyle w:val="ListParagraph"/>
        <w:numPr>
          <w:ilvl w:val="0"/>
          <w:numId w:val="2"/>
        </w:numPr>
        <w:jc w:val="both"/>
      </w:pPr>
      <w:r>
        <w:t>t</w:t>
      </w:r>
      <w:r w:rsidR="00E27588" w:rsidRPr="00A417A0">
        <w:t xml:space="preserve">he individual components of the insurer’s capital base. </w:t>
      </w:r>
    </w:p>
    <w:p w:rsidR="00E27588" w:rsidRPr="00A417A0" w:rsidRDefault="00E27588" w:rsidP="00E27588">
      <w:pPr>
        <w:jc w:val="both"/>
        <w:rPr>
          <w:b/>
          <w:sz w:val="28"/>
        </w:rPr>
      </w:pPr>
    </w:p>
    <w:p w:rsidR="00E27E1E" w:rsidRDefault="00E27588">
      <w:pPr>
        <w:keepNext/>
        <w:jc w:val="both"/>
        <w:rPr>
          <w:i/>
        </w:rPr>
      </w:pPr>
      <w:r w:rsidRPr="00A417A0">
        <w:rPr>
          <w:i/>
        </w:rPr>
        <w:t>Regulatory reporting requirements</w:t>
      </w:r>
    </w:p>
    <w:p w:rsidR="00E27E1E" w:rsidRDefault="00E27E1E">
      <w:pPr>
        <w:keepNext/>
        <w:jc w:val="both"/>
        <w:rPr>
          <w:i/>
        </w:rPr>
      </w:pPr>
    </w:p>
    <w:p w:rsidR="00E27588" w:rsidRPr="00A417A0" w:rsidRDefault="00E27588" w:rsidP="00E27588">
      <w:pPr>
        <w:jc w:val="both"/>
      </w:pPr>
      <w:r w:rsidRPr="00A417A0">
        <w:t>APRA’s current capital framework is supported by a set of statistical returns completed by insurers on a quarterly and annual basis.  These returns allow APRA supervisors to assess the financial position of insurers and their compliance with regulatory capital requirements.  The data is also used by APRA to conduct industry-wide analysis and by other government agencies for various purposes.  APRA publishes a range of data in its regular publications.</w:t>
      </w:r>
    </w:p>
    <w:p w:rsidR="00E27588" w:rsidRPr="00A417A0" w:rsidRDefault="00E27588" w:rsidP="00E27588">
      <w:pPr>
        <w:jc w:val="both"/>
      </w:pPr>
    </w:p>
    <w:p w:rsidR="00E27588" w:rsidRPr="00396A87" w:rsidRDefault="00E27588" w:rsidP="00E27588">
      <w:pPr>
        <w:jc w:val="both"/>
      </w:pPr>
      <w:r w:rsidRPr="00A417A0">
        <w:t xml:space="preserve">In order to support the revised capital framework under LAGIC, APRA intends to update the reporting framework to align with the LAGIC </w:t>
      </w:r>
      <w:r w:rsidR="00173001">
        <w:t>requirements</w:t>
      </w:r>
      <w:r w:rsidRPr="00A417A0">
        <w:t xml:space="preserve">. </w:t>
      </w:r>
    </w:p>
    <w:p w:rsidR="00106747" w:rsidRDefault="00106747" w:rsidP="00106747">
      <w:pPr>
        <w:jc w:val="both"/>
        <w:rPr>
          <w:b/>
          <w:i/>
        </w:rPr>
      </w:pPr>
    </w:p>
    <w:p w:rsidR="00E27E1E" w:rsidRDefault="00E27E1E" w:rsidP="00106747">
      <w:pPr>
        <w:jc w:val="both"/>
        <w:rPr>
          <w:b/>
          <w:i/>
        </w:rPr>
      </w:pPr>
    </w:p>
    <w:p w:rsidR="00106747" w:rsidRDefault="00106747" w:rsidP="00543D0C">
      <w:pPr>
        <w:keepNext/>
        <w:jc w:val="both"/>
        <w:rPr>
          <w:b/>
          <w:i/>
        </w:rPr>
      </w:pPr>
      <w:r>
        <w:rPr>
          <w:b/>
          <w:i/>
        </w:rPr>
        <w:t xml:space="preserve">Transition arrangements </w:t>
      </w:r>
    </w:p>
    <w:p w:rsidR="00106747" w:rsidRDefault="00106747" w:rsidP="00543D0C">
      <w:pPr>
        <w:keepNext/>
        <w:jc w:val="both"/>
        <w:rPr>
          <w:i/>
        </w:rPr>
      </w:pPr>
    </w:p>
    <w:p w:rsidR="00106747" w:rsidRDefault="00106747" w:rsidP="00543D0C">
      <w:pPr>
        <w:keepNext/>
        <w:jc w:val="both"/>
      </w:pPr>
      <w:r>
        <w:t xml:space="preserve">APRA recognises that the implementation of more risk-sensitive capital standards will have a material impact on the capital position of some insurers. If insurers are unable to implement changes to their current operations or arrangements before 1 January 2013, APRA </w:t>
      </w:r>
      <w:r w:rsidR="007452C0">
        <w:t xml:space="preserve">has indicated to insurers that it </w:t>
      </w:r>
      <w:r>
        <w:t xml:space="preserve">will consider </w:t>
      </w:r>
      <w:r w:rsidR="00C804E4">
        <w:t>appropriate</w:t>
      </w:r>
      <w:r>
        <w:t xml:space="preserve"> transitional arrangements. </w:t>
      </w:r>
      <w:r w:rsidR="007452C0">
        <w:t xml:space="preserve">In some cases, such as in relation to certain existing capital instruments and the horizontal requirement for insurers, APRA has provided industry-wide transition arrangements.  </w:t>
      </w:r>
      <w:r>
        <w:t xml:space="preserve">Insurers will be </w:t>
      </w:r>
      <w:r w:rsidR="00C804E4">
        <w:t>required</w:t>
      </w:r>
      <w:r>
        <w:t xml:space="preserve"> to submit requests for transitional arrangements</w:t>
      </w:r>
      <w:r w:rsidR="007452C0">
        <w:t xml:space="preserve"> to APRA</w:t>
      </w:r>
      <w:r>
        <w:t xml:space="preserve"> </w:t>
      </w:r>
      <w:r w:rsidR="00C804E4">
        <w:t>by</w:t>
      </w:r>
      <w:r>
        <w:t xml:space="preserve"> 30 September 2012</w:t>
      </w:r>
      <w:r w:rsidR="00C804E4">
        <w:t>. This is to enable transition arrangements to be considered and determined by APRA ahead of the 1 January 2013 effective date of the revised capital framework</w:t>
      </w:r>
      <w:r>
        <w:t>.</w:t>
      </w:r>
    </w:p>
    <w:p w:rsidR="00CE5EA5" w:rsidRDefault="00CE5EA5" w:rsidP="00106747">
      <w:pPr>
        <w:jc w:val="both"/>
      </w:pPr>
    </w:p>
    <w:p w:rsidR="00CE5EA5" w:rsidRDefault="00CE5EA5" w:rsidP="00106747">
      <w:pPr>
        <w:jc w:val="both"/>
      </w:pPr>
    </w:p>
    <w:p w:rsidR="00E27588" w:rsidRPr="00A417A0" w:rsidRDefault="00E27588" w:rsidP="001D1F47">
      <w:pPr>
        <w:keepNext/>
        <w:jc w:val="both"/>
        <w:rPr>
          <w:b/>
          <w:sz w:val="28"/>
        </w:rPr>
      </w:pPr>
      <w:r w:rsidRPr="00A417A0">
        <w:rPr>
          <w:b/>
          <w:sz w:val="28"/>
        </w:rPr>
        <w:t>Regulatory Options</w:t>
      </w:r>
    </w:p>
    <w:p w:rsidR="00E27588" w:rsidRPr="00A417A0" w:rsidRDefault="00E27588" w:rsidP="001D1F47">
      <w:pPr>
        <w:keepNext/>
        <w:jc w:val="both"/>
        <w:rPr>
          <w:b/>
          <w:sz w:val="28"/>
        </w:rPr>
      </w:pPr>
    </w:p>
    <w:p w:rsidR="00E27588" w:rsidRPr="00A417A0" w:rsidRDefault="00E27588" w:rsidP="001D1F47">
      <w:pPr>
        <w:keepNext/>
        <w:jc w:val="both"/>
        <w:rPr>
          <w:b/>
          <w:i/>
        </w:rPr>
      </w:pPr>
      <w:r w:rsidRPr="00A417A0">
        <w:rPr>
          <w:b/>
          <w:i/>
        </w:rPr>
        <w:t>Option 1: Implement the LAGIC proposals</w:t>
      </w:r>
    </w:p>
    <w:p w:rsidR="009F384B" w:rsidRDefault="00E27588">
      <w:pPr>
        <w:keepNext/>
        <w:jc w:val="both"/>
      </w:pPr>
      <w:r w:rsidRPr="00A417A0">
        <w:t>Under this option, APRA would adopt the LAGIC proposals.</w:t>
      </w:r>
    </w:p>
    <w:p w:rsidR="009F384B" w:rsidRDefault="009F384B">
      <w:pPr>
        <w:keepNext/>
        <w:jc w:val="both"/>
        <w:rPr>
          <w:b/>
          <w:i/>
        </w:rPr>
      </w:pPr>
    </w:p>
    <w:p w:rsidR="009F384B" w:rsidRDefault="00E27588">
      <w:pPr>
        <w:keepNext/>
        <w:jc w:val="both"/>
        <w:rPr>
          <w:b/>
          <w:i/>
        </w:rPr>
      </w:pPr>
      <w:r w:rsidRPr="00A417A0">
        <w:rPr>
          <w:b/>
          <w:i/>
        </w:rPr>
        <w:t>Option 2: Maintain existing framework</w:t>
      </w:r>
    </w:p>
    <w:p w:rsidR="009F384B" w:rsidRDefault="009F384B">
      <w:pPr>
        <w:keepNext/>
        <w:jc w:val="both"/>
        <w:rPr>
          <w:b/>
        </w:rPr>
      </w:pPr>
    </w:p>
    <w:p w:rsidR="009F384B" w:rsidRDefault="00E27588">
      <w:pPr>
        <w:keepNext/>
        <w:jc w:val="both"/>
      </w:pPr>
      <w:r w:rsidRPr="00A417A0">
        <w:t>Under this option, APRA would not make any changes to the existing standards.</w:t>
      </w:r>
    </w:p>
    <w:p w:rsidR="009F384B" w:rsidRDefault="009F384B">
      <w:pPr>
        <w:keepNext/>
        <w:jc w:val="both"/>
        <w:rPr>
          <w:b/>
          <w:i/>
        </w:rPr>
      </w:pPr>
    </w:p>
    <w:p w:rsidR="009F384B" w:rsidRDefault="009F384B">
      <w:pPr>
        <w:pStyle w:val="ListParagraph"/>
        <w:keepNext/>
        <w:ind w:left="0"/>
        <w:jc w:val="both"/>
      </w:pPr>
    </w:p>
    <w:p w:rsidR="00E27588" w:rsidRPr="00A417A0" w:rsidRDefault="00E27588" w:rsidP="001D1F47">
      <w:pPr>
        <w:pStyle w:val="ListParagraph"/>
        <w:keepNext/>
        <w:ind w:left="0"/>
        <w:jc w:val="both"/>
        <w:rPr>
          <w:b/>
          <w:sz w:val="28"/>
        </w:rPr>
      </w:pPr>
      <w:r w:rsidRPr="00A417A0">
        <w:rPr>
          <w:b/>
          <w:sz w:val="28"/>
        </w:rPr>
        <w:t>Impact Analysis (Costs and Benefits)</w:t>
      </w:r>
    </w:p>
    <w:p w:rsidR="00E27588" w:rsidRPr="00A417A0" w:rsidRDefault="00E27588" w:rsidP="001D1F47">
      <w:pPr>
        <w:keepNext/>
        <w:jc w:val="both"/>
        <w:rPr>
          <w:b/>
          <w:i/>
        </w:rPr>
      </w:pPr>
    </w:p>
    <w:p w:rsidR="00E27588" w:rsidRPr="00A417A0" w:rsidRDefault="00E27588" w:rsidP="001D1F47">
      <w:pPr>
        <w:keepNext/>
        <w:jc w:val="both"/>
        <w:rPr>
          <w:b/>
          <w:i/>
        </w:rPr>
      </w:pPr>
      <w:r w:rsidRPr="00A417A0">
        <w:rPr>
          <w:b/>
          <w:i/>
        </w:rPr>
        <w:t xml:space="preserve">Option 1: Implement the LAGIC </w:t>
      </w:r>
      <w:r w:rsidR="008E0246">
        <w:rPr>
          <w:b/>
          <w:i/>
        </w:rPr>
        <w:t>proposals</w:t>
      </w:r>
    </w:p>
    <w:p w:rsidR="00F15D8B" w:rsidRDefault="00F15D8B">
      <w:pPr>
        <w:keepNext/>
        <w:jc w:val="both"/>
        <w:rPr>
          <w:b/>
          <w:i/>
        </w:rPr>
      </w:pPr>
    </w:p>
    <w:p w:rsidR="00F15D8B" w:rsidRDefault="00E27588">
      <w:pPr>
        <w:keepNext/>
        <w:jc w:val="both"/>
        <w:rPr>
          <w:b/>
          <w:i/>
        </w:rPr>
      </w:pPr>
      <w:r w:rsidRPr="00A417A0">
        <w:rPr>
          <w:b/>
          <w:i/>
        </w:rPr>
        <w:t xml:space="preserve">Benefits </w:t>
      </w:r>
    </w:p>
    <w:p w:rsidR="00F15D8B" w:rsidRDefault="00F15D8B">
      <w:pPr>
        <w:keepNext/>
        <w:jc w:val="both"/>
      </w:pPr>
    </w:p>
    <w:p w:rsidR="00F15D8B" w:rsidRDefault="00E27588">
      <w:pPr>
        <w:keepNext/>
        <w:jc w:val="both"/>
      </w:pPr>
      <w:r w:rsidRPr="00A417A0">
        <w:t>The LAGIC review seeks</w:t>
      </w:r>
      <w:r w:rsidR="00483175">
        <w:t xml:space="preserve"> to enhance the risk sensitivity of </w:t>
      </w:r>
      <w:r w:rsidR="00FE36DA">
        <w:t xml:space="preserve">the </w:t>
      </w:r>
      <w:r w:rsidR="00483175">
        <w:t xml:space="preserve">capital </w:t>
      </w:r>
      <w:r w:rsidR="00FE36DA">
        <w:t>framework</w:t>
      </w:r>
      <w:r w:rsidR="00483175">
        <w:t xml:space="preserve"> for insurers</w:t>
      </w:r>
      <w:r w:rsidR="00AF531B">
        <w:t>, to</w:t>
      </w:r>
      <w:r w:rsidRPr="00A417A0">
        <w:t xml:space="preserve"> align capital standards for general insurers and life insurers, and where appropriate, to align capital standards for insurers with those of ADIs. </w:t>
      </w:r>
      <w:r w:rsidR="00980243">
        <w:t>APRA anticipates that t</w:t>
      </w:r>
      <w:r w:rsidRPr="00A417A0">
        <w:t xml:space="preserve">he benefits of this </w:t>
      </w:r>
      <w:r w:rsidR="008E0246">
        <w:t xml:space="preserve">review </w:t>
      </w:r>
      <w:r w:rsidR="00980243">
        <w:t xml:space="preserve">are likely to </w:t>
      </w:r>
      <w:r w:rsidRPr="00A417A0">
        <w:t>include:</w:t>
      </w:r>
    </w:p>
    <w:p w:rsidR="00E27E1E" w:rsidRDefault="00E27E1E">
      <w:pPr>
        <w:ind w:left="993" w:hanging="567"/>
        <w:jc w:val="both"/>
      </w:pPr>
    </w:p>
    <w:p w:rsidR="00E27E1E" w:rsidRDefault="00E27588">
      <w:pPr>
        <w:pStyle w:val="ListParagraph"/>
        <w:numPr>
          <w:ilvl w:val="0"/>
          <w:numId w:val="2"/>
        </w:numPr>
        <w:jc w:val="both"/>
      </w:pPr>
      <w:r w:rsidRPr="00A417A0">
        <w:lastRenderedPageBreak/>
        <w:t xml:space="preserve">enhanced risk sensitivity by better alignment between capital requirements and risk exposures </w:t>
      </w:r>
      <w:r w:rsidR="00EA0027">
        <w:t>for insurers</w:t>
      </w:r>
      <w:r w:rsidRPr="00A417A0">
        <w:t>;</w:t>
      </w:r>
    </w:p>
    <w:p w:rsidR="0089798B" w:rsidRPr="00A417A0" w:rsidRDefault="0089798B" w:rsidP="0089798B">
      <w:pPr>
        <w:pStyle w:val="ListParagraph"/>
        <w:jc w:val="both"/>
      </w:pPr>
    </w:p>
    <w:p w:rsidR="00E27E1E" w:rsidRDefault="00E27588">
      <w:pPr>
        <w:pStyle w:val="ListParagraph"/>
        <w:numPr>
          <w:ilvl w:val="0"/>
          <w:numId w:val="2"/>
        </w:numPr>
        <w:jc w:val="both"/>
      </w:pPr>
      <w:r w:rsidRPr="00A417A0">
        <w:t>easier comparison and understanding of regulated entities operating in different industries;</w:t>
      </w:r>
    </w:p>
    <w:p w:rsidR="00510D78" w:rsidRDefault="00510D78" w:rsidP="00510D78">
      <w:pPr>
        <w:pStyle w:val="ListParagraph"/>
        <w:jc w:val="both"/>
      </w:pPr>
    </w:p>
    <w:p w:rsidR="00E27E1E" w:rsidRDefault="00E27588">
      <w:pPr>
        <w:pStyle w:val="ListParagraph"/>
        <w:numPr>
          <w:ilvl w:val="0"/>
          <w:numId w:val="2"/>
        </w:numPr>
        <w:jc w:val="both"/>
      </w:pPr>
      <w:r w:rsidRPr="00A417A0">
        <w:t>simplified risk management for groups whose activities extend across two or more APRA-regulated industries; and</w:t>
      </w:r>
    </w:p>
    <w:p w:rsidR="00E27E1E" w:rsidRDefault="00E27E1E">
      <w:pPr>
        <w:pStyle w:val="ListParagraph"/>
        <w:ind w:left="993" w:hanging="567"/>
        <w:jc w:val="both"/>
      </w:pPr>
    </w:p>
    <w:p w:rsidR="00E27588" w:rsidRPr="00A417A0" w:rsidRDefault="00E27588" w:rsidP="00E27588">
      <w:pPr>
        <w:pStyle w:val="ListParagraph"/>
        <w:numPr>
          <w:ilvl w:val="0"/>
          <w:numId w:val="5"/>
        </w:numPr>
        <w:jc w:val="both"/>
      </w:pPr>
      <w:r w:rsidRPr="00A417A0">
        <w:t xml:space="preserve">more effective supervision by APRA </w:t>
      </w:r>
      <w:r w:rsidRPr="00634220">
        <w:t>of conglomerate groups</w:t>
      </w:r>
      <w:r w:rsidRPr="00A417A0">
        <w:t xml:space="preserve"> whose activities extend across more than one APRA-regulated industry. </w:t>
      </w:r>
    </w:p>
    <w:p w:rsidR="00E27588" w:rsidRPr="00A417A0" w:rsidRDefault="00E27588" w:rsidP="00E27588">
      <w:pPr>
        <w:jc w:val="both"/>
      </w:pPr>
    </w:p>
    <w:p w:rsidR="00E27588" w:rsidRPr="00A417A0" w:rsidRDefault="00E27588" w:rsidP="00E27588">
      <w:pPr>
        <w:jc w:val="both"/>
      </w:pPr>
      <w:r w:rsidRPr="00A417A0">
        <w:t xml:space="preserve">The LAGIC review closely follows the three pillar approach adopted </w:t>
      </w:r>
      <w:r>
        <w:t xml:space="preserve">under Basel II and </w:t>
      </w:r>
      <w:r w:rsidRPr="00A417A0">
        <w:t>Solvency II</w:t>
      </w:r>
      <w:r w:rsidR="00EA0027">
        <w:t>,</w:t>
      </w:r>
      <w:r>
        <w:t xml:space="preserve"> as well as </w:t>
      </w:r>
      <w:r w:rsidR="00EA0027">
        <w:t xml:space="preserve">the </w:t>
      </w:r>
      <w:r w:rsidRPr="00A417A0">
        <w:t xml:space="preserve">changes </w:t>
      </w:r>
      <w:r w:rsidR="00EA0027">
        <w:t xml:space="preserve">being </w:t>
      </w:r>
      <w:r w:rsidRPr="00A417A0">
        <w:t xml:space="preserve">adopted </w:t>
      </w:r>
      <w:r w:rsidR="00EA0027">
        <w:t>under</w:t>
      </w:r>
      <w:r w:rsidRPr="00A417A0">
        <w:t xml:space="preserve"> Basel III. </w:t>
      </w:r>
      <w:r w:rsidR="00EA0027">
        <w:t>A</w:t>
      </w:r>
      <w:r w:rsidRPr="00A417A0">
        <w:t>ligning Australian practice with international developments</w:t>
      </w:r>
      <w:r w:rsidR="00EA0027">
        <w:t>,</w:t>
      </w:r>
      <w:r w:rsidRPr="00A417A0">
        <w:t xml:space="preserve"> where appropriate, promotes a regulatory regime that is consistent with international best practice.</w:t>
      </w:r>
    </w:p>
    <w:p w:rsidR="00E27588" w:rsidRPr="00A417A0" w:rsidRDefault="00E27588" w:rsidP="00E27588">
      <w:pPr>
        <w:jc w:val="both"/>
      </w:pPr>
    </w:p>
    <w:p w:rsidR="00E27588" w:rsidRPr="00A417A0" w:rsidRDefault="00E27588" w:rsidP="00E27588">
      <w:pPr>
        <w:jc w:val="both"/>
      </w:pPr>
      <w:r w:rsidRPr="00A417A0">
        <w:t xml:space="preserve">By adjusting regulatory capital to be more closely aligned with risk profiles, </w:t>
      </w:r>
      <w:r w:rsidR="00634220">
        <w:t xml:space="preserve">the </w:t>
      </w:r>
      <w:r w:rsidRPr="00A417A0">
        <w:t>LAGIC</w:t>
      </w:r>
      <w:r w:rsidR="00980243">
        <w:t xml:space="preserve"> proposal</w:t>
      </w:r>
      <w:r w:rsidR="0089798B">
        <w:t>s</w:t>
      </w:r>
      <w:r w:rsidR="00634220">
        <w:t xml:space="preserve"> </w:t>
      </w:r>
      <w:r w:rsidR="0089798B">
        <w:t>are</w:t>
      </w:r>
      <w:r w:rsidR="00634220">
        <w:t xml:space="preserve"> likely to</w:t>
      </w:r>
      <w:r w:rsidRPr="00A417A0">
        <w:t xml:space="preserve"> </w:t>
      </w:r>
      <w:r w:rsidR="00EA0027">
        <w:t xml:space="preserve">encourage </w:t>
      </w:r>
      <w:r w:rsidR="001176CA">
        <w:t>more</w:t>
      </w:r>
      <w:r w:rsidRPr="00A417A0">
        <w:t xml:space="preserve"> effective risk management by insurers </w:t>
      </w:r>
      <w:r w:rsidR="00634220">
        <w:t xml:space="preserve">as it makes the </w:t>
      </w:r>
      <w:r w:rsidR="00FE36DA">
        <w:t xml:space="preserve">underlying </w:t>
      </w:r>
      <w:r w:rsidR="00634220">
        <w:t xml:space="preserve">economic cost of underwriting the risk </w:t>
      </w:r>
      <w:r w:rsidR="00EA0027">
        <w:t xml:space="preserve">more </w:t>
      </w:r>
      <w:r w:rsidR="00634220">
        <w:t>apparent to the insurer. A</w:t>
      </w:r>
      <w:r w:rsidRPr="00A417A0">
        <w:t xml:space="preserve">s a result, </w:t>
      </w:r>
      <w:r w:rsidR="00980243">
        <w:t>APRA anticipates that</w:t>
      </w:r>
      <w:r w:rsidR="00634220">
        <w:t xml:space="preserve"> </w:t>
      </w:r>
      <w:r w:rsidRPr="00A417A0">
        <w:t xml:space="preserve">better </w:t>
      </w:r>
      <w:r w:rsidR="00FE36DA">
        <w:t>risk and capital management</w:t>
      </w:r>
      <w:r w:rsidR="00FE36DA" w:rsidRPr="00A417A0">
        <w:t xml:space="preserve"> </w:t>
      </w:r>
      <w:r w:rsidRPr="00A417A0">
        <w:t>practices</w:t>
      </w:r>
      <w:r w:rsidR="00634220">
        <w:t xml:space="preserve"> </w:t>
      </w:r>
      <w:r w:rsidR="00EA0027">
        <w:t>will</w:t>
      </w:r>
      <w:r w:rsidR="00634220">
        <w:t xml:space="preserve"> be promoted within the </w:t>
      </w:r>
      <w:r w:rsidR="00EA0027">
        <w:t xml:space="preserve">insurance </w:t>
      </w:r>
      <w:r w:rsidR="00634220">
        <w:t>industry</w:t>
      </w:r>
      <w:r w:rsidRPr="00A417A0">
        <w:t xml:space="preserve">. Institutions with a relatively higher risk profile </w:t>
      </w:r>
      <w:r w:rsidR="00980243">
        <w:t>are likely to</w:t>
      </w:r>
      <w:r w:rsidR="00980243" w:rsidRPr="00A417A0">
        <w:t xml:space="preserve"> </w:t>
      </w:r>
      <w:r w:rsidR="00EA0027">
        <w:t>seek</w:t>
      </w:r>
      <w:r w:rsidRPr="00A417A0">
        <w:t xml:space="preserve"> to </w:t>
      </w:r>
      <w:r w:rsidR="00EA0027">
        <w:t xml:space="preserve">reduce </w:t>
      </w:r>
      <w:r w:rsidR="00872E66">
        <w:t xml:space="preserve">the </w:t>
      </w:r>
      <w:r w:rsidR="00872E66" w:rsidRPr="00A417A0">
        <w:t>capital</w:t>
      </w:r>
      <w:r w:rsidRPr="00A417A0">
        <w:t xml:space="preserve"> </w:t>
      </w:r>
      <w:r w:rsidR="00313101">
        <w:t xml:space="preserve">they need to hold </w:t>
      </w:r>
      <w:r w:rsidRPr="00A417A0">
        <w:t>by changing their financi</w:t>
      </w:r>
      <w:r w:rsidR="001E7D5A">
        <w:t>al</w:t>
      </w:r>
      <w:r w:rsidRPr="00A417A0">
        <w:t xml:space="preserve"> structure, business practices, reinsurance and internal capital targets to decrease their level of risk and, consequently, their risk charges. Institutions with a relatively lower risk profile </w:t>
      </w:r>
      <w:r w:rsidR="00980243">
        <w:t>are likely to</w:t>
      </w:r>
      <w:r w:rsidR="00980243" w:rsidRPr="00A417A0">
        <w:t xml:space="preserve"> </w:t>
      </w:r>
      <w:r w:rsidRPr="00A417A0">
        <w:t xml:space="preserve">benefit by being required to hold a lower level of capital after the implementation of the LAGIC </w:t>
      </w:r>
      <w:r w:rsidR="0089798B">
        <w:t>proposals</w:t>
      </w:r>
      <w:r w:rsidRPr="00A417A0">
        <w:t xml:space="preserve">. </w:t>
      </w:r>
    </w:p>
    <w:p w:rsidR="00E27588" w:rsidRPr="00A417A0" w:rsidRDefault="00E27588" w:rsidP="00E27588">
      <w:pPr>
        <w:jc w:val="both"/>
      </w:pPr>
    </w:p>
    <w:p w:rsidR="00E27588" w:rsidRPr="00A417A0" w:rsidRDefault="00E27588" w:rsidP="00E27588">
      <w:pPr>
        <w:jc w:val="both"/>
      </w:pPr>
      <w:r w:rsidRPr="00A417A0">
        <w:t>The increased risk sensitivity of capital standards and associated improvement in business pract</w:t>
      </w:r>
      <w:r w:rsidR="00537CAB">
        <w:t xml:space="preserve">ices will benefit insurers, </w:t>
      </w:r>
      <w:r w:rsidRPr="00A417A0">
        <w:t>policyholders</w:t>
      </w:r>
      <w:r w:rsidR="00537CAB">
        <w:t xml:space="preserve"> and beneficiaries</w:t>
      </w:r>
      <w:r w:rsidRPr="00A417A0">
        <w:t xml:space="preserve">. The changes will mean a lower risk of failure by insurers, even in the face of extreme adverse events. Overall, </w:t>
      </w:r>
      <w:r w:rsidR="00980243">
        <w:t>APRA anticipates that the LAGIC proposal</w:t>
      </w:r>
      <w:r w:rsidR="00FD5D3B">
        <w:t>s</w:t>
      </w:r>
      <w:r w:rsidRPr="00A417A0">
        <w:t xml:space="preserve"> will produce a stronger and more resilient insurance industry, ensuring better protection for policyholders</w:t>
      </w:r>
      <w:r w:rsidR="00396A87" w:rsidRPr="00396A87">
        <w:t xml:space="preserve"> </w:t>
      </w:r>
      <w:r w:rsidR="00396A87" w:rsidRPr="006E1BE8">
        <w:t>with clear consequent benefits to insurance beneficiaries</w:t>
      </w:r>
      <w:r w:rsidRPr="00A417A0">
        <w:t>. This is consistent with APRA’s mandate</w:t>
      </w:r>
      <w:r w:rsidR="001E7D5A">
        <w:t>.</w:t>
      </w:r>
      <w:r w:rsidRPr="00A417A0">
        <w:t xml:space="preserve"> </w:t>
      </w:r>
    </w:p>
    <w:p w:rsidR="00E27588" w:rsidRPr="00A417A0" w:rsidRDefault="00E27588" w:rsidP="00E27588">
      <w:pPr>
        <w:jc w:val="both"/>
      </w:pPr>
    </w:p>
    <w:p w:rsidR="00E27588" w:rsidRPr="00A417A0" w:rsidRDefault="00E27588" w:rsidP="00E27588">
      <w:pPr>
        <w:jc w:val="both"/>
      </w:pPr>
      <w:r w:rsidRPr="00A417A0">
        <w:t>Increases in the quality of capital instruments allowed to support the prudential capital requirements will increase the protection afforded to policyholders</w:t>
      </w:r>
      <w:r w:rsidR="00396A87">
        <w:t xml:space="preserve"> and beneficiaries</w:t>
      </w:r>
      <w:r w:rsidRPr="00A417A0">
        <w:t xml:space="preserve"> and achieve better alignment across regulated industries.  </w:t>
      </w:r>
    </w:p>
    <w:p w:rsidR="00E27588" w:rsidRPr="00A417A0" w:rsidRDefault="00E27588" w:rsidP="00E27588">
      <w:pPr>
        <w:jc w:val="both"/>
        <w:rPr>
          <w:b/>
          <w:i/>
        </w:rPr>
      </w:pPr>
    </w:p>
    <w:p w:rsidR="00E27588" w:rsidRPr="00A417A0" w:rsidRDefault="00E27588" w:rsidP="00E27588">
      <w:pPr>
        <w:jc w:val="both"/>
        <w:rPr>
          <w:b/>
          <w:i/>
        </w:rPr>
      </w:pPr>
    </w:p>
    <w:p w:rsidR="00E27588" w:rsidRPr="00A417A0" w:rsidRDefault="00E27588" w:rsidP="00396A87">
      <w:pPr>
        <w:keepNext/>
        <w:jc w:val="both"/>
        <w:rPr>
          <w:b/>
          <w:i/>
        </w:rPr>
      </w:pPr>
      <w:r w:rsidRPr="00A417A0">
        <w:rPr>
          <w:b/>
          <w:i/>
        </w:rPr>
        <w:lastRenderedPageBreak/>
        <w:t xml:space="preserve">Costs </w:t>
      </w:r>
    </w:p>
    <w:p w:rsidR="00E27588" w:rsidRPr="00A417A0" w:rsidRDefault="00E27588" w:rsidP="00396A87">
      <w:pPr>
        <w:keepNext/>
        <w:jc w:val="both"/>
      </w:pPr>
    </w:p>
    <w:p w:rsidR="00E27588" w:rsidRPr="00A417A0" w:rsidRDefault="00E27588" w:rsidP="00396A87">
      <w:pPr>
        <w:keepNext/>
        <w:jc w:val="both"/>
      </w:pPr>
      <w:r w:rsidRPr="00A417A0">
        <w:t xml:space="preserve">The potential costs of the LAGIC review will manifest in two stages; costs incurred during the implementation stage and ongoing costs. </w:t>
      </w:r>
    </w:p>
    <w:p w:rsidR="00E27E1E" w:rsidRDefault="00E27E1E">
      <w:pPr>
        <w:keepNext/>
        <w:jc w:val="both"/>
      </w:pPr>
    </w:p>
    <w:p w:rsidR="00E27E1E" w:rsidRDefault="00B466EB">
      <w:pPr>
        <w:keepNext/>
        <w:jc w:val="both"/>
        <w:rPr>
          <w:i/>
        </w:rPr>
      </w:pPr>
      <w:r w:rsidRPr="00B466EB">
        <w:rPr>
          <w:i/>
        </w:rPr>
        <w:t>Implementation costs</w:t>
      </w:r>
    </w:p>
    <w:p w:rsidR="00E27E1E" w:rsidRDefault="00E27E1E">
      <w:pPr>
        <w:keepNext/>
        <w:jc w:val="both"/>
      </w:pPr>
    </w:p>
    <w:p w:rsidR="00E27E1E" w:rsidRDefault="00E27588">
      <w:pPr>
        <w:keepNext/>
        <w:jc w:val="both"/>
      </w:pPr>
      <w:r w:rsidRPr="00A417A0">
        <w:t xml:space="preserve">Insurers will need to meet initial compliance costs of implementing the LAGIC standards, to modify their systems and processes to measure, monitor and report their capital adequacy position. Initially, substantial management attention will be needed to adopt the changes and time will be needed to develop internal policies as well as enhance </w:t>
      </w:r>
      <w:r w:rsidR="001E7D5A">
        <w:t>insurers’</w:t>
      </w:r>
      <w:r w:rsidR="001E7D5A" w:rsidRPr="00A417A0">
        <w:t xml:space="preserve"> </w:t>
      </w:r>
      <w:r w:rsidRPr="00A417A0">
        <w:t xml:space="preserve">internal capital management processes. </w:t>
      </w:r>
    </w:p>
    <w:p w:rsidR="00E27588" w:rsidRPr="00A417A0" w:rsidRDefault="00E27588" w:rsidP="00E27588">
      <w:pPr>
        <w:jc w:val="both"/>
      </w:pPr>
    </w:p>
    <w:p w:rsidR="00E27588" w:rsidRPr="00A417A0" w:rsidRDefault="00E27588" w:rsidP="00E27588">
      <w:pPr>
        <w:jc w:val="both"/>
      </w:pPr>
      <w:r w:rsidRPr="00A417A0">
        <w:t xml:space="preserve">Some of the proposals (e.g. the requirement for an </w:t>
      </w:r>
      <w:r w:rsidR="00313D2D">
        <w:t>ICAAP</w:t>
      </w:r>
      <w:r w:rsidRPr="00A417A0">
        <w:t xml:space="preserve">) </w:t>
      </w:r>
      <w:r w:rsidR="004B2319">
        <w:t>largely</w:t>
      </w:r>
      <w:r w:rsidR="007C37AB">
        <w:t xml:space="preserve"> </w:t>
      </w:r>
      <w:r w:rsidRPr="00A417A0">
        <w:t>formalise existing processes and so should not lead to substantial new costs</w:t>
      </w:r>
      <w:r>
        <w:t xml:space="preserve"> given</w:t>
      </w:r>
      <w:r w:rsidRPr="00A417A0">
        <w:t xml:space="preserve"> insurers should already be undertaking these processes.  </w:t>
      </w:r>
    </w:p>
    <w:p w:rsidR="00E27588" w:rsidRPr="00A417A0" w:rsidRDefault="00E27588" w:rsidP="00E27588">
      <w:pPr>
        <w:jc w:val="both"/>
      </w:pPr>
    </w:p>
    <w:p w:rsidR="00E27588" w:rsidRPr="00A417A0" w:rsidRDefault="00E27588" w:rsidP="00E27588">
      <w:pPr>
        <w:jc w:val="both"/>
      </w:pPr>
      <w:r w:rsidRPr="00A417A0">
        <w:t xml:space="preserve">Insurers may also incur initial costs for </w:t>
      </w:r>
      <w:r w:rsidR="00FE36DA">
        <w:t xml:space="preserve">changing </w:t>
      </w:r>
      <w:r w:rsidR="00A6658B">
        <w:t>capital</w:t>
      </w:r>
      <w:r w:rsidR="00FE36DA">
        <w:t xml:space="preserve"> </w:t>
      </w:r>
      <w:r w:rsidR="00A6658B">
        <w:t>structures and investment strategies</w:t>
      </w:r>
      <w:r w:rsidRPr="00A417A0">
        <w:t xml:space="preserve"> to </w:t>
      </w:r>
      <w:r w:rsidR="00313101">
        <w:t>meet any additional</w:t>
      </w:r>
      <w:r w:rsidRPr="00A417A0">
        <w:t xml:space="preserve"> required capital </w:t>
      </w:r>
      <w:r w:rsidR="00313101">
        <w:t xml:space="preserve">they will need </w:t>
      </w:r>
      <w:r w:rsidRPr="00A417A0">
        <w:t>to h</w:t>
      </w:r>
      <w:r w:rsidR="00313101">
        <w:t>o</w:t>
      </w:r>
      <w:r w:rsidRPr="00A417A0">
        <w:t>ld. For general insurance</w:t>
      </w:r>
      <w:r w:rsidR="00785FB7">
        <w:t xml:space="preserve"> in particular</w:t>
      </w:r>
      <w:r w:rsidRPr="00A417A0">
        <w:t>, reinsurance structures may need to change.</w:t>
      </w:r>
    </w:p>
    <w:p w:rsidR="00E27588" w:rsidRPr="00A417A0" w:rsidRDefault="00E27588" w:rsidP="00E27588">
      <w:pPr>
        <w:jc w:val="both"/>
      </w:pPr>
    </w:p>
    <w:p w:rsidR="00E27588" w:rsidRPr="00A417A0" w:rsidRDefault="00E27588" w:rsidP="00E27588">
      <w:pPr>
        <w:jc w:val="both"/>
      </w:pPr>
      <w:r w:rsidRPr="00A417A0">
        <w:t xml:space="preserve">Insurers will incur costs in modifying systems and processes for regulatory reporting to comply with the revised reporting framework.  APRA </w:t>
      </w:r>
      <w:r w:rsidR="00313101">
        <w:t xml:space="preserve">will be consulting on these reporting requirements in June to September 2012 and </w:t>
      </w:r>
      <w:r w:rsidRPr="00A417A0">
        <w:t xml:space="preserve">will </w:t>
      </w:r>
      <w:r w:rsidR="00313101">
        <w:t>seek information</w:t>
      </w:r>
      <w:r w:rsidRPr="00A417A0">
        <w:t xml:space="preserve"> on these costs </w:t>
      </w:r>
      <w:r w:rsidR="00313101">
        <w:t xml:space="preserve">from insurers </w:t>
      </w:r>
      <w:r w:rsidRPr="00A417A0">
        <w:t xml:space="preserve">as part </w:t>
      </w:r>
      <w:r w:rsidR="003454A2">
        <w:t xml:space="preserve">of </w:t>
      </w:r>
      <w:r w:rsidR="00313101">
        <w:t>this</w:t>
      </w:r>
      <w:r w:rsidRPr="00A417A0">
        <w:t xml:space="preserve"> consultation process.</w:t>
      </w:r>
    </w:p>
    <w:p w:rsidR="00E27588" w:rsidRPr="00A417A0" w:rsidRDefault="00E27588" w:rsidP="00E27588">
      <w:pPr>
        <w:jc w:val="both"/>
      </w:pPr>
    </w:p>
    <w:p w:rsidR="00E27588" w:rsidRDefault="00E27588" w:rsidP="00E27588">
      <w:pPr>
        <w:jc w:val="both"/>
      </w:pPr>
      <w:r w:rsidRPr="00A417A0">
        <w:t xml:space="preserve">APRA has established internal processes to assess and approve requests for transition arrangements by insurers, where it can be demonstrated that transition is appropriate.  Transition arrangements can take the form of increased time to comply with particular requirements.  Appropriate transition arrangements can be expected to </w:t>
      </w:r>
      <w:r w:rsidR="00106747">
        <w:t>defer capital charges and may defer some implemen</w:t>
      </w:r>
      <w:r w:rsidR="004A432D">
        <w:t xml:space="preserve">tation costs. </w:t>
      </w:r>
    </w:p>
    <w:p w:rsidR="0052690E" w:rsidRDefault="0052690E" w:rsidP="00E27588">
      <w:pPr>
        <w:jc w:val="both"/>
      </w:pPr>
    </w:p>
    <w:p w:rsidR="0052690E" w:rsidRPr="00A417A0" w:rsidRDefault="0052690E" w:rsidP="00E27588">
      <w:pPr>
        <w:jc w:val="both"/>
      </w:pPr>
      <w:r>
        <w:t xml:space="preserve">In certain instances, such as with regard to existing capital instruments and the horizontal requirement for general insurers, APRA has allowed industry-wide transition arrangements to </w:t>
      </w:r>
      <w:r w:rsidR="004A432D">
        <w:t xml:space="preserve">defer </w:t>
      </w:r>
      <w:r>
        <w:t xml:space="preserve">the cost impacts of LAGIC implementation.  In other cases, the impacts are entity-specific and will be considered by APRA on a case-by-case basis.  </w:t>
      </w:r>
    </w:p>
    <w:p w:rsidR="00E27588" w:rsidRPr="00A417A0" w:rsidRDefault="00E27588" w:rsidP="00E27588">
      <w:pPr>
        <w:jc w:val="both"/>
      </w:pPr>
    </w:p>
    <w:p w:rsidR="004F1CF3" w:rsidRDefault="00592C07" w:rsidP="00E27588">
      <w:pPr>
        <w:jc w:val="both"/>
      </w:pPr>
      <w:r>
        <w:t xml:space="preserve">Costs to insurers under this option can be broadly grouped into non-capital and capital related costs. Capital related costs have been assessed in detail through APRA’s QIS process (discussed below). In relation to non-capital costs, </w:t>
      </w:r>
      <w:r w:rsidR="00E27588" w:rsidRPr="00A417A0">
        <w:t>APRA requests data as part of the consultation process, including requesting that insurers use the Business Cos</w:t>
      </w:r>
      <w:r w:rsidR="00A579ED">
        <w:t>t Calculator to estimate costs.</w:t>
      </w:r>
      <w:r w:rsidR="00E27588" w:rsidRPr="00A417A0">
        <w:t xml:space="preserve"> No insurers </w:t>
      </w:r>
      <w:r>
        <w:t>used the Business Cost Calculator to provide an estimate of non-capital costs</w:t>
      </w:r>
      <w:r w:rsidRPr="00A417A0">
        <w:t xml:space="preserve"> </w:t>
      </w:r>
      <w:r w:rsidR="00E27588" w:rsidRPr="00A417A0">
        <w:t>in response to APRA’s request.  Accordingly, it is difficult to assess the non-capital costs associated with imp</w:t>
      </w:r>
      <w:r w:rsidR="00A579ED">
        <w:t>lementing LAGIC.</w:t>
      </w:r>
      <w:r w:rsidR="00E27588" w:rsidRPr="00A417A0">
        <w:t xml:space="preserve"> For example, APRA does not have reliable data from the industry on the </w:t>
      </w:r>
      <w:r>
        <w:t xml:space="preserve">compliance </w:t>
      </w:r>
      <w:r w:rsidR="00E27588" w:rsidRPr="00A417A0">
        <w:t>costs involved in changing proces</w:t>
      </w:r>
      <w:r w:rsidR="00A579ED">
        <w:t>ses and reporting arrangements.</w:t>
      </w:r>
      <w:r w:rsidR="00E27588" w:rsidRPr="00A417A0">
        <w:t xml:space="preserve"> </w:t>
      </w:r>
    </w:p>
    <w:p w:rsidR="004F1CF3" w:rsidRDefault="004F1CF3" w:rsidP="00E27588">
      <w:pPr>
        <w:jc w:val="both"/>
      </w:pPr>
    </w:p>
    <w:p w:rsidR="00E27588" w:rsidRPr="00A417A0" w:rsidRDefault="0046407E" w:rsidP="00E27588">
      <w:pPr>
        <w:jc w:val="both"/>
      </w:pPr>
      <w:r>
        <w:t xml:space="preserve">For insurers, </w:t>
      </w:r>
      <w:r w:rsidR="004F1CF3">
        <w:t xml:space="preserve">APRA has assessed that </w:t>
      </w:r>
      <w:r>
        <w:t>the ongoing cost of any potential increased capital requirement</w:t>
      </w:r>
      <w:r w:rsidR="00853C93">
        <w:t xml:space="preserve"> is significantly </w:t>
      </w:r>
      <w:r w:rsidR="00740000">
        <w:t>greater</w:t>
      </w:r>
      <w:r w:rsidR="00853C93">
        <w:t xml:space="preserve"> than </w:t>
      </w:r>
      <w:r w:rsidR="00740000">
        <w:t>any</w:t>
      </w:r>
      <w:r w:rsidR="00853C93">
        <w:t xml:space="preserve"> non-capital costs</w:t>
      </w:r>
      <w:r>
        <w:t xml:space="preserve">. </w:t>
      </w:r>
      <w:r w:rsidR="004F1CF3">
        <w:t xml:space="preserve">This assessment is supported by the lack of industry feedback regarding non-capital costs compared to substantial feedback regarding capital costs and is also consistent with APRA’s understanding of the industry.  </w:t>
      </w:r>
      <w:r w:rsidR="00592C07">
        <w:t xml:space="preserve">APRA </w:t>
      </w:r>
      <w:r w:rsidR="0081313C">
        <w:t>considers</w:t>
      </w:r>
      <w:r w:rsidR="00592C07">
        <w:t xml:space="preserve"> that reliable </w:t>
      </w:r>
      <w:r w:rsidR="00592C07">
        <w:lastRenderedPageBreak/>
        <w:t xml:space="preserve">data is available through the QIS process to assess the capital-related costs.  As these capital costs are the </w:t>
      </w:r>
      <w:r w:rsidR="00853C93">
        <w:t>most significant</w:t>
      </w:r>
      <w:r w:rsidR="00592C07">
        <w:t xml:space="preserve"> potential costs to industry, APRA is confident that it has sufficient data to assess the overall impact of the LAGIC proposals on industry</w:t>
      </w:r>
      <w:r w:rsidR="00D54E49">
        <w:t xml:space="preserve"> (and has made this assessment in the section below)</w:t>
      </w:r>
      <w:r w:rsidR="00592C07">
        <w:t xml:space="preserve">.  </w:t>
      </w:r>
      <w:r>
        <w:t xml:space="preserve"> </w:t>
      </w:r>
    </w:p>
    <w:p w:rsidR="00A6658B" w:rsidRPr="00A417A0" w:rsidRDefault="00A6658B" w:rsidP="00A6658B">
      <w:pPr>
        <w:jc w:val="both"/>
      </w:pPr>
    </w:p>
    <w:p w:rsidR="00A6658B" w:rsidRPr="00A417A0" w:rsidRDefault="00A6658B" w:rsidP="00A6658B">
      <w:pPr>
        <w:jc w:val="both"/>
      </w:pPr>
      <w:r w:rsidRPr="00A417A0">
        <w:t>APRA will incur costs in reviewing and changing prudential standards and practice guides. These costs are primarily one-off costs associated with the development and implementation of the revised requirements</w:t>
      </w:r>
      <w:r>
        <w:t>. O</w:t>
      </w:r>
      <w:r w:rsidRPr="00A417A0">
        <w:t xml:space="preserve">ngoing costs </w:t>
      </w:r>
      <w:r>
        <w:t xml:space="preserve">to APRA </w:t>
      </w:r>
      <w:r w:rsidRPr="00A417A0">
        <w:t xml:space="preserve">are expected to be similar under each </w:t>
      </w:r>
      <w:r>
        <w:t>option</w:t>
      </w:r>
      <w:r w:rsidRPr="00A417A0">
        <w:t>.</w:t>
      </w:r>
    </w:p>
    <w:p w:rsidR="00E27588" w:rsidRPr="00A417A0" w:rsidRDefault="00E27588" w:rsidP="00E27588">
      <w:pPr>
        <w:jc w:val="both"/>
      </w:pPr>
    </w:p>
    <w:p w:rsidR="00E27588" w:rsidRPr="00313D2D" w:rsidRDefault="00B466EB" w:rsidP="00E27588">
      <w:pPr>
        <w:jc w:val="both"/>
        <w:rPr>
          <w:i/>
        </w:rPr>
      </w:pPr>
      <w:r w:rsidRPr="00B466EB">
        <w:rPr>
          <w:i/>
        </w:rPr>
        <w:t>Ongoing costs</w:t>
      </w:r>
    </w:p>
    <w:p w:rsidR="00E27588" w:rsidRPr="00A417A0" w:rsidRDefault="00E27588" w:rsidP="00E27588">
      <w:pPr>
        <w:jc w:val="both"/>
      </w:pPr>
    </w:p>
    <w:p w:rsidR="00A408B5" w:rsidRDefault="00E27588" w:rsidP="00E27588">
      <w:pPr>
        <w:jc w:val="both"/>
      </w:pPr>
      <w:r w:rsidRPr="00A417A0">
        <w:t xml:space="preserve">Ongoing costs associated with the LAGIC proposals include, for insurers with a comparatively high risk profile, the costs associated with a requirement to hold a higher amount of capital than under the current capital standards. </w:t>
      </w:r>
    </w:p>
    <w:p w:rsidR="00E27588" w:rsidRPr="00A417A0" w:rsidRDefault="00E27588" w:rsidP="00E27588">
      <w:pPr>
        <w:jc w:val="both"/>
      </w:pPr>
    </w:p>
    <w:p w:rsidR="00E27588" w:rsidRDefault="00E27588" w:rsidP="00E27588">
      <w:pPr>
        <w:jc w:val="both"/>
      </w:pPr>
      <w:r w:rsidRPr="00A417A0">
        <w:t>Ongoing costs incurred by insurers</w:t>
      </w:r>
      <w:r w:rsidR="00785FB7">
        <w:t>, including the cost of any additional capital needed (or savings from reduced capital),</w:t>
      </w:r>
      <w:r w:rsidRPr="00A417A0">
        <w:t xml:space="preserve"> w</w:t>
      </w:r>
      <w:r w:rsidR="004B2319">
        <w:t>ould be expected to</w:t>
      </w:r>
      <w:r w:rsidRPr="00A417A0">
        <w:t xml:space="preserve"> lead to a trade-off between potential increases in premiums which could be passed onto policyholders, or reduced returns on capital for shareholders.  APRA anticipates that there will be a combination of both these effects.</w:t>
      </w:r>
      <w:r w:rsidR="008826F3">
        <w:t xml:space="preserve"> It is not possible to produce an estimate of changes in premiums that may occur under LAGIC.  There are a range of other factors simultaneously impacting premiums which cannot be disentangled from the impact of changes in capital requirements.</w:t>
      </w:r>
      <w:r w:rsidRPr="00A417A0">
        <w:t xml:space="preserve">  </w:t>
      </w:r>
      <w:r w:rsidR="00FD5D3B">
        <w:t xml:space="preserve">Having said this, </w:t>
      </w:r>
      <w:r w:rsidRPr="00A417A0">
        <w:t>APRA anticipate</w:t>
      </w:r>
      <w:r w:rsidR="00FD5D3B">
        <w:t>s that a material</w:t>
      </w:r>
      <w:r w:rsidRPr="00A417A0">
        <w:t xml:space="preserve"> increase in premiums </w:t>
      </w:r>
      <w:r w:rsidR="00FD5D3B">
        <w:t>is not</w:t>
      </w:r>
      <w:r w:rsidR="00FD5D3B" w:rsidRPr="00A417A0">
        <w:t xml:space="preserve"> </w:t>
      </w:r>
      <w:r w:rsidRPr="00A417A0">
        <w:t xml:space="preserve">warranted </w:t>
      </w:r>
      <w:r w:rsidR="00FD5D3B">
        <w:t xml:space="preserve">as a result of the </w:t>
      </w:r>
      <w:r w:rsidR="00F94485">
        <w:t xml:space="preserve">LAGIC </w:t>
      </w:r>
      <w:r w:rsidR="00FD5D3B">
        <w:t>changes.</w:t>
      </w:r>
    </w:p>
    <w:p w:rsidR="006F433E" w:rsidRDefault="006F433E" w:rsidP="00E27588">
      <w:pPr>
        <w:jc w:val="both"/>
      </w:pPr>
    </w:p>
    <w:p w:rsidR="006F433E" w:rsidRPr="00A417A0" w:rsidRDefault="006F433E" w:rsidP="00E27588">
      <w:pPr>
        <w:jc w:val="both"/>
      </w:pPr>
      <w:r>
        <w:t xml:space="preserve">In relation to </w:t>
      </w:r>
      <w:r w:rsidR="007C219E">
        <w:t>policy</w:t>
      </w:r>
      <w:r>
        <w:t>holders</w:t>
      </w:r>
      <w:r w:rsidR="008F2327">
        <w:t xml:space="preserve"> of insurers with a higher risk profile</w:t>
      </w:r>
      <w:r>
        <w:t xml:space="preserve">, </w:t>
      </w:r>
      <w:r w:rsidR="008F2327">
        <w:t>the</w:t>
      </w:r>
      <w:r w:rsidR="007C37AB">
        <w:t xml:space="preserve"> </w:t>
      </w:r>
      <w:r w:rsidR="008F2327">
        <w:t>costs associated with holding higher levels of capital may have a flow on effect where premiums are increased</w:t>
      </w:r>
      <w:r w:rsidR="00700B80">
        <w:t>, holding all else constant</w:t>
      </w:r>
      <w:r w:rsidR="008F2327">
        <w:t>. The oppos</w:t>
      </w:r>
      <w:r w:rsidR="007C219E">
        <w:t>ite w</w:t>
      </w:r>
      <w:r w:rsidR="004B2319">
        <w:t>ould be expected to</w:t>
      </w:r>
      <w:r w:rsidR="007C219E">
        <w:t xml:space="preserve"> be the case for policy</w:t>
      </w:r>
      <w:r w:rsidR="008F2327">
        <w:t>holders of insurers with a lower risk profile</w:t>
      </w:r>
      <w:r w:rsidR="00396A87">
        <w:t xml:space="preserve"> </w:t>
      </w:r>
      <w:r w:rsidR="00396A87" w:rsidRPr="006E1BE8">
        <w:t>or</w:t>
      </w:r>
      <w:r w:rsidR="00396A87">
        <w:t xml:space="preserve"> with stronger risk management/</w:t>
      </w:r>
      <w:r w:rsidR="00396A87" w:rsidRPr="006E1BE8">
        <w:t>mitigants</w:t>
      </w:r>
      <w:r w:rsidR="008F2327">
        <w:t xml:space="preserve">, as the insurer will be required to hold less capital and the associated lower costs </w:t>
      </w:r>
      <w:r w:rsidR="004B2319">
        <w:t xml:space="preserve">would </w:t>
      </w:r>
      <w:r w:rsidR="008F2327">
        <w:t>have a flow on effect where premiums are decreased</w:t>
      </w:r>
      <w:r w:rsidR="007C219E">
        <w:t>, holding all else constant</w:t>
      </w:r>
      <w:r w:rsidR="008F2327">
        <w:t xml:space="preserve">. </w:t>
      </w:r>
      <w:r w:rsidR="00461164">
        <w:t xml:space="preserve">Any </w:t>
      </w:r>
      <w:r w:rsidR="007C219E">
        <w:t>increase in premiums for policy</w:t>
      </w:r>
      <w:r w:rsidR="00461164">
        <w:t xml:space="preserve">holders with higher risk insurers must be balanced against the benefits to policyholders </w:t>
      </w:r>
      <w:r w:rsidR="00396A87">
        <w:t xml:space="preserve">and beneficiaries </w:t>
      </w:r>
      <w:r w:rsidR="00461164">
        <w:t xml:space="preserve">of the insurer’s reduced </w:t>
      </w:r>
      <w:r w:rsidR="002A62FD">
        <w:t xml:space="preserve">likelihood </w:t>
      </w:r>
      <w:r w:rsidR="00461164">
        <w:t xml:space="preserve">of failure </w:t>
      </w:r>
      <w:r w:rsidR="002A62FD">
        <w:t>through</w:t>
      </w:r>
      <w:r w:rsidR="00461164">
        <w:t xml:space="preserve"> the improve</w:t>
      </w:r>
      <w:r w:rsidR="00F94485">
        <w:t>d</w:t>
      </w:r>
      <w:r w:rsidR="00461164">
        <w:t xml:space="preserve"> risk sensitivity of its capital requirement</w:t>
      </w:r>
      <w:r w:rsidR="00F94485">
        <w:t>s</w:t>
      </w:r>
      <w:r w:rsidR="00461164">
        <w:t xml:space="preserve">. </w:t>
      </w:r>
      <w:r w:rsidR="004B2319">
        <w:t xml:space="preserve"> </w:t>
      </w:r>
    </w:p>
    <w:p w:rsidR="00E27588" w:rsidRPr="00A417A0" w:rsidRDefault="00E27588" w:rsidP="00E27588">
      <w:pPr>
        <w:jc w:val="both"/>
      </w:pPr>
    </w:p>
    <w:p w:rsidR="00E27588" w:rsidRPr="00A417A0" w:rsidRDefault="00E27588" w:rsidP="00E27588">
      <w:pPr>
        <w:jc w:val="both"/>
        <w:rPr>
          <w:i/>
        </w:rPr>
      </w:pPr>
      <w:r w:rsidRPr="00A417A0">
        <w:rPr>
          <w:i/>
        </w:rPr>
        <w:t>Quantitative impact studies</w:t>
      </w:r>
    </w:p>
    <w:p w:rsidR="00E27588" w:rsidRPr="00A417A0" w:rsidRDefault="00E27588" w:rsidP="00E27588">
      <w:pPr>
        <w:jc w:val="both"/>
      </w:pPr>
    </w:p>
    <w:p w:rsidR="00E27588" w:rsidRPr="00A417A0" w:rsidRDefault="00E27588" w:rsidP="00E27588">
      <w:pPr>
        <w:jc w:val="both"/>
      </w:pPr>
      <w:r w:rsidRPr="00A417A0">
        <w:t xml:space="preserve">APRA undertook two </w:t>
      </w:r>
      <w:r w:rsidR="001E0899">
        <w:t>q</w:t>
      </w:r>
      <w:r w:rsidRPr="00A417A0">
        <w:t xml:space="preserve">uantitative </w:t>
      </w:r>
      <w:r w:rsidR="001E0899">
        <w:t>i</w:t>
      </w:r>
      <w:r w:rsidRPr="00A417A0">
        <w:t xml:space="preserve">mpact </w:t>
      </w:r>
      <w:r w:rsidR="001E0899">
        <w:t>s</w:t>
      </w:r>
      <w:r w:rsidRPr="00A417A0">
        <w:t xml:space="preserve">tudies to assess the impact of its proposals on required capital and capital base for insurers.  APRA used the results of this process to adjust the requirements to ensure appropriate calibration of the risk charges.  </w:t>
      </w:r>
    </w:p>
    <w:p w:rsidR="00E27588" w:rsidRPr="00A417A0" w:rsidRDefault="00E27588" w:rsidP="00E27588">
      <w:pPr>
        <w:jc w:val="both"/>
      </w:pPr>
    </w:p>
    <w:p w:rsidR="00E27588" w:rsidRPr="00A417A0" w:rsidRDefault="00E27588" w:rsidP="00E27588">
      <w:pPr>
        <w:jc w:val="both"/>
      </w:pPr>
      <w:r w:rsidRPr="00A417A0">
        <w:t xml:space="preserve">The second </w:t>
      </w:r>
      <w:r w:rsidR="001E0899">
        <w:t>quantitative impact study</w:t>
      </w:r>
      <w:r w:rsidR="001E0899" w:rsidRPr="00A417A0">
        <w:t xml:space="preserve"> </w:t>
      </w:r>
      <w:r w:rsidRPr="00A417A0">
        <w:t xml:space="preserve">(QIS2) enabled APRA to assess the impact of its proposals based on an assessment of the risk charges under the proposals at a past reporting date. The risk charges reported in QIS2 therefore relate to the position of insurers at that date, based on their business and capital management strategies developed under the existing capital standards.  APRA expects that insurers are likely to review their business and capital management strategies in light of the proposed changes to the capital standards and to address any material increase in capital requirements where practical and appropriate to do so. Accordingly, APRA took into account reasonable behavioural changes likely to be </w:t>
      </w:r>
      <w:r w:rsidRPr="00A417A0">
        <w:lastRenderedPageBreak/>
        <w:t xml:space="preserve">made by the insurers in undertaking detailed analysis of the QIS2 results and their impact on the industry and individual insurers.  </w:t>
      </w:r>
      <w:r w:rsidR="00CF6983">
        <w:t>Note that the changes to the proposals following QIS2 are expected to have a further impact on the overall results.  In most cases, these changes are expected to reduce the capital required relative to QIS2</w:t>
      </w:r>
      <w:r w:rsidRPr="00A417A0">
        <w:t>.</w:t>
      </w:r>
    </w:p>
    <w:p w:rsidR="00E27588" w:rsidRPr="00A417A0" w:rsidRDefault="00E27588" w:rsidP="00E27588">
      <w:pPr>
        <w:jc w:val="both"/>
      </w:pPr>
    </w:p>
    <w:p w:rsidR="00E27588" w:rsidRPr="00C817AF" w:rsidRDefault="00B466EB" w:rsidP="00E27588">
      <w:pPr>
        <w:ind w:firstLine="720"/>
        <w:jc w:val="both"/>
        <w:rPr>
          <w:u w:val="single"/>
        </w:rPr>
      </w:pPr>
      <w:r w:rsidRPr="00B466EB">
        <w:rPr>
          <w:u w:val="single"/>
        </w:rPr>
        <w:t>General insurers</w:t>
      </w:r>
    </w:p>
    <w:p w:rsidR="00E27588" w:rsidRPr="00A417A0" w:rsidRDefault="00E27588" w:rsidP="00E27588">
      <w:pPr>
        <w:jc w:val="both"/>
      </w:pPr>
    </w:p>
    <w:p w:rsidR="00C22B94" w:rsidRDefault="00E27588" w:rsidP="009C2901">
      <w:pPr>
        <w:jc w:val="both"/>
      </w:pPr>
      <w:r w:rsidRPr="00A417A0">
        <w:t xml:space="preserve">For general insurers, </w:t>
      </w:r>
      <w:r w:rsidR="004B2319">
        <w:t>QIS2 showed a wide variation in impact on individual insurers</w:t>
      </w:r>
      <w:r w:rsidR="00A46B48">
        <w:t xml:space="preserve">, </w:t>
      </w:r>
      <w:r w:rsidR="00A46B48" w:rsidRPr="00A417A0">
        <w:t>reflecting the enhanced risk sensitivity of APRA’s proposed capital requirements</w:t>
      </w:r>
      <w:r w:rsidR="004B2319">
        <w:t xml:space="preserve">.  At an industry-wide level, </w:t>
      </w:r>
      <w:r w:rsidRPr="00A417A0">
        <w:t xml:space="preserve">QIS2 indicated that APRA’s proposals to revise the capital standards will reduce the overall level of solvency coverage of the general insurance industry. </w:t>
      </w:r>
      <w:r w:rsidR="00EF02E7">
        <w:t xml:space="preserve">QIS2 </w:t>
      </w:r>
      <w:r w:rsidR="004B2319">
        <w:t>showed</w:t>
      </w:r>
      <w:r w:rsidR="00EF02E7">
        <w:t xml:space="preserve"> that </w:t>
      </w:r>
      <w:r w:rsidR="004B2319">
        <w:t xml:space="preserve">the </w:t>
      </w:r>
      <w:r w:rsidR="00EF02E7">
        <w:t>general insur</w:t>
      </w:r>
      <w:r w:rsidR="004B2319">
        <w:t>ance industry</w:t>
      </w:r>
      <w:r w:rsidR="00EF02E7">
        <w:t xml:space="preserve"> </w:t>
      </w:r>
      <w:r w:rsidR="004B2319">
        <w:t>would see</w:t>
      </w:r>
      <w:r w:rsidR="00EF02E7">
        <w:t xml:space="preserve"> a</w:t>
      </w:r>
      <w:r w:rsidR="00EF02E7" w:rsidRPr="00AB3C52">
        <w:t>n overall increa</w:t>
      </w:r>
      <w:r w:rsidR="00EF02E7">
        <w:t xml:space="preserve">se in capital requirements of </w:t>
      </w:r>
      <w:r w:rsidR="00FD5D3B">
        <w:t xml:space="preserve">less than </w:t>
      </w:r>
      <w:r w:rsidR="009259F7">
        <w:t>15</w:t>
      </w:r>
      <w:r w:rsidR="009B05BE">
        <w:t xml:space="preserve"> per cent</w:t>
      </w:r>
      <w:r w:rsidR="00EF02E7">
        <w:t xml:space="preserve">. </w:t>
      </w:r>
      <w:r w:rsidR="00700B80">
        <w:t xml:space="preserve">However, APRA estimates that the overall increase in capital </w:t>
      </w:r>
      <w:r w:rsidR="00FD5D3B">
        <w:t xml:space="preserve">required </w:t>
      </w:r>
      <w:r w:rsidR="00700B80">
        <w:t xml:space="preserve">will likely be </w:t>
      </w:r>
      <w:r w:rsidR="00FD5D3B">
        <w:t>less than 5</w:t>
      </w:r>
      <w:r w:rsidR="009B05BE">
        <w:t xml:space="preserve"> per cent</w:t>
      </w:r>
      <w:r w:rsidR="001A6267">
        <w:t>, and the solvency coverage would decline by 8 per cent (from 1.8 times to 1.65 times the PCR),</w:t>
      </w:r>
      <w:r w:rsidR="00EF02E7">
        <w:t xml:space="preserve"> after taking into account </w:t>
      </w:r>
      <w:r w:rsidR="004B2319">
        <w:t xml:space="preserve">readily achievable </w:t>
      </w:r>
      <w:r w:rsidR="00EF02E7">
        <w:t xml:space="preserve">behavioural changes by general insurers to </w:t>
      </w:r>
      <w:r w:rsidR="004B2319">
        <w:t>mitigate the impact of the changes</w:t>
      </w:r>
      <w:r w:rsidR="00700B80">
        <w:t>.</w:t>
      </w:r>
      <w:r w:rsidR="00EF02E7">
        <w:t xml:space="preserve"> </w:t>
      </w:r>
      <w:r w:rsidR="00F51379" w:rsidRPr="00A417A0">
        <w:t>General insurers may opt to address risks using reinsurance</w:t>
      </w:r>
      <w:r w:rsidR="00F51379">
        <w:t xml:space="preserve"> rather than additional capital. S</w:t>
      </w:r>
      <w:r w:rsidR="00F51379" w:rsidRPr="00A417A0">
        <w:t>uch insurers may face higher reinsurance costs</w:t>
      </w:r>
      <w:r w:rsidR="00F51379">
        <w:t>, however,</w:t>
      </w:r>
      <w:r w:rsidR="00C22B94">
        <w:t xml:space="preserve"> </w:t>
      </w:r>
      <w:r w:rsidR="00F51379">
        <w:t>u</w:t>
      </w:r>
      <w:r w:rsidR="00C22B94">
        <w:t xml:space="preserve">se of reinsurance can be less costly than servicing the additional capital that would be otherwise required. </w:t>
      </w:r>
      <w:r w:rsidR="00F51379">
        <w:t>In particular, the introduction of the horizontal requirement</w:t>
      </w:r>
      <w:r w:rsidR="00F51379">
        <w:rPr>
          <w:rStyle w:val="FootnoteReference"/>
        </w:rPr>
        <w:footnoteReference w:id="10"/>
      </w:r>
      <w:r w:rsidR="00F51379">
        <w:t xml:space="preserve"> in the </w:t>
      </w:r>
      <w:r w:rsidR="00D03396">
        <w:t>i</w:t>
      </w:r>
      <w:r w:rsidR="00F51379">
        <w:t xml:space="preserve">nsurance </w:t>
      </w:r>
      <w:r w:rsidR="00D03396">
        <w:t>c</w:t>
      </w:r>
      <w:r w:rsidR="00F51379">
        <w:t xml:space="preserve">oncentration </w:t>
      </w:r>
      <w:r w:rsidR="00D03396">
        <w:t>r</w:t>
      </w:r>
      <w:r w:rsidR="00F51379">
        <w:t xml:space="preserve">isk </w:t>
      </w:r>
      <w:r w:rsidR="00D03396">
        <w:t>c</w:t>
      </w:r>
      <w:r w:rsidR="00F51379">
        <w:t xml:space="preserve">harge, </w:t>
      </w:r>
      <w:r w:rsidR="00F51379">
        <w:rPr>
          <w:rFonts w:eastAsia="Times New Roman" w:cstheme="minorBidi"/>
        </w:rPr>
        <w:t>calculated at the reporting date on or prior to the date of change in the reinsurance program</w:t>
      </w:r>
      <w:r w:rsidR="00F51379">
        <w:t xml:space="preserve">, may lead firms to adopt a strategy to increase reinsurance protection. </w:t>
      </w:r>
      <w:r w:rsidR="00C22B94">
        <w:t xml:space="preserve"> APRA anticipates that each insurer would make a decision regarding use of capital or reinsurance on a commercial basis.</w:t>
      </w:r>
      <w:r w:rsidR="00177B2D">
        <w:t xml:space="preserve"> C</w:t>
      </w:r>
      <w:r w:rsidR="00F51379" w:rsidRPr="00A417A0">
        <w:t>onditions in the reinsurance mark</w:t>
      </w:r>
      <w:r w:rsidR="00F51379">
        <w:t>et will also play a major role.</w:t>
      </w:r>
    </w:p>
    <w:p w:rsidR="00C22B94" w:rsidRDefault="00C22B94" w:rsidP="009C2901">
      <w:pPr>
        <w:jc w:val="both"/>
      </w:pPr>
    </w:p>
    <w:p w:rsidR="00D5668F" w:rsidRDefault="00E27588" w:rsidP="009C2901">
      <w:pPr>
        <w:jc w:val="both"/>
      </w:pPr>
      <w:r w:rsidRPr="00A417A0">
        <w:t xml:space="preserve">The increase in the PCR indicated in the QIS2 results for general insurers primarily reflects an increase in the asset concentration risk charge and the introduction of an operational risk charge. There were also small increases in the asset risk charge and insurance concentration risk charge relative to the current requirements. The increases in the risk charges were partially offset by the aggregation benefit. The capital base reported by some insurers reduced, primarily due to the proposed deductions relating to the regulatory capital of investments in subsidiaries, joint ventures and associates. </w:t>
      </w:r>
    </w:p>
    <w:p w:rsidR="009C2901" w:rsidRPr="00563598" w:rsidRDefault="009C2901" w:rsidP="009C2901">
      <w:pPr>
        <w:jc w:val="both"/>
      </w:pPr>
    </w:p>
    <w:p w:rsidR="00E27588" w:rsidRPr="00A417A0" w:rsidRDefault="00E27588" w:rsidP="00E27588">
      <w:pPr>
        <w:jc w:val="both"/>
      </w:pPr>
      <w:r w:rsidRPr="00A417A0">
        <w:t xml:space="preserve">APRA has estimated the impact of the refinements proposed following QIS2 on the capital position of individual general insurers and the overall industry. </w:t>
      </w:r>
      <w:r w:rsidR="001A6267">
        <w:t>APRA’s expectation is that the current proposals will marginally improve the solvency coverage of insurers relative to the position indicated in QIS2.</w:t>
      </w:r>
      <w:r w:rsidR="00936CDA">
        <w:t xml:space="preserve"> APRA estimates that a small number of general insurers will have capital instruments that no longer qualify in the relevant category of capital. These general insurers will have access to transition arrangements that will assist in reducing the impact on their solvency coverage. </w:t>
      </w:r>
    </w:p>
    <w:p w:rsidR="00E27588" w:rsidRPr="00A417A0" w:rsidRDefault="00E27588" w:rsidP="00E27588">
      <w:pPr>
        <w:jc w:val="both"/>
      </w:pPr>
    </w:p>
    <w:p w:rsidR="00E27E1E" w:rsidRDefault="00B466EB">
      <w:pPr>
        <w:keepNext/>
        <w:ind w:firstLine="720"/>
        <w:jc w:val="both"/>
        <w:rPr>
          <w:u w:val="single"/>
        </w:rPr>
      </w:pPr>
      <w:r w:rsidRPr="00B466EB">
        <w:rPr>
          <w:u w:val="single"/>
        </w:rPr>
        <w:lastRenderedPageBreak/>
        <w:t xml:space="preserve">Life </w:t>
      </w:r>
      <w:r w:rsidR="004B4980" w:rsidRPr="004B4980">
        <w:rPr>
          <w:u w:val="single"/>
        </w:rPr>
        <w:t>insur</w:t>
      </w:r>
      <w:r w:rsidR="00543D0C">
        <w:rPr>
          <w:u w:val="single"/>
        </w:rPr>
        <w:t>ers</w:t>
      </w:r>
    </w:p>
    <w:p w:rsidR="00E27E1E" w:rsidRDefault="00E27E1E">
      <w:pPr>
        <w:keepNext/>
        <w:jc w:val="both"/>
      </w:pPr>
    </w:p>
    <w:p w:rsidR="00E27E1E" w:rsidRDefault="00E27588">
      <w:pPr>
        <w:keepNext/>
        <w:jc w:val="both"/>
      </w:pPr>
      <w:r w:rsidRPr="00A417A0">
        <w:t>For life insurance investment-linked statutory funds, the total required capital for the funds that participated in QIS2 was not materially different from the capital required under the existing capital standards.</w:t>
      </w:r>
    </w:p>
    <w:p w:rsidR="00E27588" w:rsidRPr="00A417A0" w:rsidRDefault="00E27588" w:rsidP="00E27588">
      <w:pPr>
        <w:jc w:val="both"/>
      </w:pPr>
    </w:p>
    <w:p w:rsidR="00E27588" w:rsidRPr="00A417A0" w:rsidRDefault="00785FB7" w:rsidP="00E27588">
      <w:pPr>
        <w:jc w:val="both"/>
      </w:pPr>
      <w:r>
        <w:t>For non-investment linked business, t</w:t>
      </w:r>
      <w:r w:rsidR="00E27588" w:rsidRPr="00A417A0">
        <w:t>he results for QIS2 varied widely between funds</w:t>
      </w:r>
      <w:r w:rsidR="00DC7061">
        <w:t xml:space="preserve">, </w:t>
      </w:r>
      <w:r w:rsidR="0081313C" w:rsidRPr="00A417A0">
        <w:t>reflecting the enhanced risk sensitivity of the capital requirements under LAGIC</w:t>
      </w:r>
      <w:r w:rsidR="0081313C">
        <w:t xml:space="preserve">. There was </w:t>
      </w:r>
      <w:r w:rsidR="00DC7061">
        <w:t>a significant increase in average required capital</w:t>
      </w:r>
      <w:r w:rsidR="00E27588" w:rsidRPr="00A417A0">
        <w:t>. 14 of the 40 non-investment-linked statutory funds reported lower required capital than under the existing capital standards.</w:t>
      </w:r>
    </w:p>
    <w:p w:rsidR="00E27588" w:rsidRDefault="00E27588" w:rsidP="00532E09">
      <w:pPr>
        <w:jc w:val="both"/>
      </w:pPr>
    </w:p>
    <w:p w:rsidR="0081313C" w:rsidRPr="00532E09" w:rsidRDefault="00D26F43" w:rsidP="00532E09">
      <w:pPr>
        <w:jc w:val="both"/>
        <w:rPr>
          <w:rFonts w:cs="Today SB"/>
          <w:color w:val="000000"/>
        </w:rPr>
      </w:pPr>
      <w:r>
        <w:rPr>
          <w:rFonts w:cs="Today SB"/>
          <w:color w:val="000000"/>
        </w:rPr>
        <w:t>One of the reasons for the increase is that u</w:t>
      </w:r>
      <w:r w:rsidR="00C22B94">
        <w:rPr>
          <w:rFonts w:cs="Today SB"/>
          <w:color w:val="000000"/>
        </w:rPr>
        <w:t>nder LAGIC,</w:t>
      </w:r>
      <w:r w:rsidR="00C22B94">
        <w:rPr>
          <w:color w:val="000000" w:themeColor="text1"/>
        </w:rPr>
        <w:t xml:space="preserve"> </w:t>
      </w:r>
      <w:r w:rsidR="00C22B94">
        <w:rPr>
          <w:rFonts w:cs="Today SB"/>
          <w:color w:val="000000"/>
        </w:rPr>
        <w:t xml:space="preserve">consistent with the current approach for general insurers, the asset risk stresses will be applied to a life insurer’s </w:t>
      </w:r>
      <w:r w:rsidR="001C5987">
        <w:rPr>
          <w:rFonts w:cs="Today SB"/>
          <w:color w:val="000000"/>
        </w:rPr>
        <w:t xml:space="preserve">total </w:t>
      </w:r>
      <w:r w:rsidR="00C22B94">
        <w:rPr>
          <w:rFonts w:cs="Today SB"/>
          <w:color w:val="000000"/>
        </w:rPr>
        <w:t xml:space="preserve">assets, including surplus </w:t>
      </w:r>
      <w:r w:rsidR="001C5987">
        <w:rPr>
          <w:rFonts w:cs="Today SB"/>
          <w:color w:val="000000"/>
        </w:rPr>
        <w:t>assets</w:t>
      </w:r>
      <w:r w:rsidR="00C22B94">
        <w:rPr>
          <w:rFonts w:cs="Today SB"/>
          <w:color w:val="000000"/>
        </w:rPr>
        <w:t xml:space="preserve"> above th</w:t>
      </w:r>
      <w:r w:rsidR="001C5987">
        <w:rPr>
          <w:rFonts w:cs="Today SB"/>
          <w:color w:val="000000"/>
        </w:rPr>
        <w:t>e level</w:t>
      </w:r>
      <w:r w:rsidR="00C22B94">
        <w:rPr>
          <w:rFonts w:cs="Today SB"/>
          <w:color w:val="000000"/>
        </w:rPr>
        <w:t xml:space="preserve"> needed to meet the PCR.  Surplus assets over and above the PCR are important to overall policyholder security. Where surplus assets are invested in risky assets, APRA </w:t>
      </w:r>
      <w:r>
        <w:rPr>
          <w:rFonts w:cs="Today SB"/>
          <w:color w:val="000000"/>
        </w:rPr>
        <w:t xml:space="preserve">therefore </w:t>
      </w:r>
      <w:r w:rsidR="00C22B94">
        <w:rPr>
          <w:rFonts w:cs="Today SB"/>
          <w:color w:val="000000"/>
        </w:rPr>
        <w:t>considers it appropriate that the additional risk is captured in the PCR. Further, because the minimum quality of capital is based on the PCR, the additional risk will be supported by capital of appropriate quality.</w:t>
      </w:r>
      <w:r w:rsidR="00EA108D" w:rsidRPr="00EA108D">
        <w:rPr>
          <w:rFonts w:cs="Today SB"/>
          <w:color w:val="000000"/>
        </w:rPr>
        <w:t xml:space="preserve"> </w:t>
      </w:r>
      <w:r>
        <w:rPr>
          <w:rFonts w:cs="Today SB"/>
          <w:color w:val="000000"/>
        </w:rPr>
        <w:t>APRA expects that insurers will take into account the asset risk charge on surplus assets when setting their target capital level.</w:t>
      </w:r>
    </w:p>
    <w:p w:rsidR="00C22B94" w:rsidRPr="00A417A0" w:rsidRDefault="00C22B94" w:rsidP="00E27588">
      <w:pPr>
        <w:jc w:val="both"/>
      </w:pPr>
    </w:p>
    <w:p w:rsidR="00E27588" w:rsidRDefault="00E27588" w:rsidP="00E27588">
      <w:pPr>
        <w:jc w:val="both"/>
      </w:pPr>
      <w:r w:rsidRPr="00A417A0">
        <w:t xml:space="preserve">The QIS2 results indicated that further refinements to APRA’s proposals were needed and </w:t>
      </w:r>
      <w:r w:rsidR="001C5987">
        <w:t xml:space="preserve">these refinements </w:t>
      </w:r>
      <w:r w:rsidRPr="00A417A0">
        <w:t xml:space="preserve">have been included in the current proposals.  APRA assesses that most of the proposed refinements will </w:t>
      </w:r>
      <w:r w:rsidR="00785FB7">
        <w:t xml:space="preserve">reduce the capital requirements </w:t>
      </w:r>
      <w:r w:rsidRPr="00A417A0">
        <w:t>of funds relative to their position in QIS2.</w:t>
      </w:r>
    </w:p>
    <w:p w:rsidR="00DC7061" w:rsidRDefault="00DC7061" w:rsidP="00E27588">
      <w:pPr>
        <w:jc w:val="both"/>
      </w:pPr>
    </w:p>
    <w:p w:rsidR="00DC7061" w:rsidRPr="00532E09" w:rsidRDefault="00A04C6C" w:rsidP="00DC7061">
      <w:pPr>
        <w:jc w:val="both"/>
        <w:rPr>
          <w:rFonts w:cs="Today SB"/>
          <w:color w:val="000000"/>
        </w:rPr>
      </w:pPr>
      <w:r>
        <w:t>Direct comparisons between the existing and proposed capital requirements are difficult.  Nonetheless,</w:t>
      </w:r>
      <w:r w:rsidR="00DC7061" w:rsidRPr="00A417A0">
        <w:t xml:space="preserve"> the </w:t>
      </w:r>
      <w:r w:rsidR="0081313C">
        <w:t xml:space="preserve">estimated increase in </w:t>
      </w:r>
      <w:r w:rsidR="00DC7061" w:rsidRPr="00A417A0">
        <w:t xml:space="preserve">total required capital for the non-investment-linked statutory funds that participated in QIS2 </w:t>
      </w:r>
      <w:r w:rsidR="003D4D88">
        <w:t>is</w:t>
      </w:r>
      <w:r w:rsidR="0081313C">
        <w:t xml:space="preserve"> about</w:t>
      </w:r>
      <w:r w:rsidR="00DC7061">
        <w:t xml:space="preserve"> </w:t>
      </w:r>
      <w:r>
        <w:t>15</w:t>
      </w:r>
      <w:r w:rsidR="00DC7061">
        <w:t xml:space="preserve"> per cent and the coverage ratio reduced from 169 per cent to </w:t>
      </w:r>
      <w:r>
        <w:t>148</w:t>
      </w:r>
      <w:r w:rsidR="00DC7061">
        <w:t xml:space="preserve"> per cent.</w:t>
      </w:r>
      <w:r w:rsidR="0081313C">
        <w:t xml:space="preserve"> The impact was much lower for the majority of insurers</w:t>
      </w:r>
      <w:r w:rsidR="00613E16">
        <w:t>, and</w:t>
      </w:r>
      <w:r w:rsidR="00613E16">
        <w:rPr>
          <w:rFonts w:cs="Today SB"/>
          <w:color w:val="000000"/>
        </w:rPr>
        <w:t xml:space="preserve"> transitional arrangements and c</w:t>
      </w:r>
      <w:r w:rsidR="00DC7061">
        <w:rPr>
          <w:rFonts w:cs="Today SB"/>
          <w:color w:val="000000"/>
        </w:rPr>
        <w:t xml:space="preserve">apital management actions by insurers are likely to mitigate the overall impact.  </w:t>
      </w:r>
    </w:p>
    <w:p w:rsidR="00E27588" w:rsidRPr="00A417A0" w:rsidRDefault="00E27588" w:rsidP="00E27588">
      <w:pPr>
        <w:jc w:val="both"/>
      </w:pPr>
    </w:p>
    <w:p w:rsidR="00E27588" w:rsidRPr="00A417A0" w:rsidRDefault="00E27588" w:rsidP="00E27588">
      <w:pPr>
        <w:jc w:val="both"/>
      </w:pPr>
      <w:r w:rsidRPr="00A417A0">
        <w:t xml:space="preserve">The required capital for the general funds </w:t>
      </w:r>
      <w:r w:rsidR="00227198">
        <w:t xml:space="preserve">of life insurers </w:t>
      </w:r>
      <w:r w:rsidRPr="00A417A0">
        <w:t xml:space="preserve">that participated in QIS2 was higher than the required capital under the existing capital standards for many of the funds. The main reason </w:t>
      </w:r>
      <w:r w:rsidR="00785FB7">
        <w:t xml:space="preserve">for this </w:t>
      </w:r>
      <w:r w:rsidRPr="00A417A0">
        <w:t>was the application of the asset risk charge to all assets (including surplus assets) of the fund. Some general funds were also affected by the asset concentration risk charge. This charge is not applied to general funds under the existing capital standards. APRA’s revised approach following QIS2 mitigates some of this impact.</w:t>
      </w:r>
      <w:r w:rsidR="00227198">
        <w:t xml:space="preserve"> Once again, insurers may mitigate this impact through appropriate management actions.</w:t>
      </w:r>
    </w:p>
    <w:p w:rsidR="00C22B94" w:rsidRPr="00A417A0" w:rsidRDefault="00C22B94" w:rsidP="00E27588">
      <w:pPr>
        <w:jc w:val="both"/>
      </w:pPr>
    </w:p>
    <w:p w:rsidR="00E27588" w:rsidRPr="00A417A0" w:rsidRDefault="00E27588" w:rsidP="00E27588">
      <w:pPr>
        <w:jc w:val="both"/>
        <w:rPr>
          <w:i/>
        </w:rPr>
      </w:pPr>
      <w:r w:rsidRPr="00A417A0">
        <w:rPr>
          <w:i/>
        </w:rPr>
        <w:t>Reporting requirements</w:t>
      </w:r>
    </w:p>
    <w:p w:rsidR="00E27588" w:rsidRPr="00A417A0" w:rsidRDefault="00E27588" w:rsidP="00E27588">
      <w:pPr>
        <w:jc w:val="both"/>
      </w:pPr>
    </w:p>
    <w:p w:rsidR="00E27588" w:rsidRPr="00A417A0" w:rsidRDefault="00E27588" w:rsidP="00E27588">
      <w:pPr>
        <w:jc w:val="both"/>
      </w:pPr>
      <w:r w:rsidRPr="00A417A0">
        <w:t xml:space="preserve">Insurers also face an ongoing reporting </w:t>
      </w:r>
      <w:r w:rsidR="00064C48" w:rsidRPr="00A417A0">
        <w:t>burden</w:t>
      </w:r>
      <w:r w:rsidR="004D7153">
        <w:t>.</w:t>
      </w:r>
      <w:r w:rsidRPr="00A417A0">
        <w:t xml:space="preserve"> </w:t>
      </w:r>
      <w:r w:rsidR="004D7153">
        <w:t>H</w:t>
      </w:r>
      <w:r w:rsidRPr="00A417A0">
        <w:t xml:space="preserve">owever, this cost would be expected to be similar under both options once past the implementation stage.  Insurers have existing systems for producing data to report to APRA.  Once these systems have been appropriately adapted, they will be used to produce the revised statistical returns. </w:t>
      </w:r>
    </w:p>
    <w:p w:rsidR="00E27588" w:rsidRPr="00A417A0" w:rsidRDefault="00E27588" w:rsidP="00E27588">
      <w:pPr>
        <w:jc w:val="both"/>
      </w:pPr>
    </w:p>
    <w:p w:rsidR="00E27588" w:rsidRPr="00A417A0" w:rsidRDefault="00E27588" w:rsidP="00E27588">
      <w:pPr>
        <w:jc w:val="both"/>
        <w:rPr>
          <w:b/>
          <w:i/>
        </w:rPr>
      </w:pPr>
    </w:p>
    <w:p w:rsidR="00E27E1E" w:rsidRDefault="00E27588" w:rsidP="00E27E1E">
      <w:pPr>
        <w:keepNext/>
        <w:jc w:val="both"/>
        <w:rPr>
          <w:b/>
          <w:i/>
        </w:rPr>
      </w:pPr>
      <w:r w:rsidRPr="00A417A0">
        <w:rPr>
          <w:b/>
          <w:i/>
        </w:rPr>
        <w:lastRenderedPageBreak/>
        <w:t>Option 2: Maintaining the status quo</w:t>
      </w:r>
    </w:p>
    <w:p w:rsidR="00E27E1E" w:rsidRDefault="00E27E1E" w:rsidP="00E27E1E">
      <w:pPr>
        <w:keepNext/>
        <w:jc w:val="both"/>
        <w:rPr>
          <w:i/>
        </w:rPr>
      </w:pPr>
    </w:p>
    <w:p w:rsidR="00E27E1E" w:rsidRDefault="00E27588" w:rsidP="00E27E1E">
      <w:pPr>
        <w:keepNext/>
        <w:jc w:val="both"/>
        <w:rPr>
          <w:b/>
          <w:i/>
        </w:rPr>
      </w:pPr>
      <w:r w:rsidRPr="00A417A0">
        <w:rPr>
          <w:b/>
          <w:i/>
        </w:rPr>
        <w:t xml:space="preserve">Benefits </w:t>
      </w:r>
    </w:p>
    <w:p w:rsidR="00E27E1E" w:rsidRDefault="00E27E1E" w:rsidP="00E27E1E">
      <w:pPr>
        <w:keepNext/>
        <w:jc w:val="both"/>
      </w:pPr>
    </w:p>
    <w:p w:rsidR="00E27E1E" w:rsidRDefault="00E27588" w:rsidP="00E27E1E">
      <w:pPr>
        <w:keepNext/>
        <w:jc w:val="both"/>
      </w:pPr>
      <w:r w:rsidRPr="00A417A0">
        <w:t xml:space="preserve">The benefits in maintaining APRA’s existing framework is that the costs incurred in implementing the LAGIC review are avoided.  </w:t>
      </w:r>
    </w:p>
    <w:p w:rsidR="00E27588" w:rsidRPr="00A417A0" w:rsidRDefault="00E27588" w:rsidP="00E27E1E">
      <w:pPr>
        <w:keepNext/>
        <w:jc w:val="both"/>
      </w:pPr>
    </w:p>
    <w:p w:rsidR="00E27588" w:rsidRPr="00A417A0" w:rsidRDefault="00E27588" w:rsidP="00E27E1E">
      <w:pPr>
        <w:keepNext/>
        <w:jc w:val="both"/>
      </w:pPr>
      <w:r w:rsidRPr="00A417A0">
        <w:rPr>
          <w:b/>
          <w:i/>
        </w:rPr>
        <w:t xml:space="preserve">Costs </w:t>
      </w:r>
    </w:p>
    <w:p w:rsidR="00E27588" w:rsidRPr="00A417A0" w:rsidRDefault="00E27588" w:rsidP="00E27E1E">
      <w:pPr>
        <w:keepNext/>
        <w:jc w:val="both"/>
      </w:pPr>
    </w:p>
    <w:p w:rsidR="00E27588" w:rsidRPr="00A417A0" w:rsidRDefault="00E27588" w:rsidP="00E27E1E">
      <w:pPr>
        <w:keepNext/>
        <w:jc w:val="both"/>
      </w:pPr>
      <w:r w:rsidRPr="00A417A0">
        <w:t xml:space="preserve">Making no change </w:t>
      </w:r>
      <w:r w:rsidR="005D3790">
        <w:t>to</w:t>
      </w:r>
      <w:r w:rsidR="005D3790" w:rsidRPr="00A417A0">
        <w:t xml:space="preserve"> </w:t>
      </w:r>
      <w:r w:rsidRPr="00A417A0">
        <w:t xml:space="preserve">the existing regulatory framework leaves </w:t>
      </w:r>
      <w:r w:rsidR="005D3790">
        <w:t xml:space="preserve">insurers open to </w:t>
      </w:r>
      <w:r w:rsidRPr="00A417A0">
        <w:t xml:space="preserve">risks which were revealed in the </w:t>
      </w:r>
      <w:r w:rsidR="004D7153">
        <w:t>GFC</w:t>
      </w:r>
      <w:r w:rsidRPr="00A417A0">
        <w:t xml:space="preserve"> and other risks identified by APRA that will not be </w:t>
      </w:r>
      <w:r w:rsidR="00785FB7">
        <w:t xml:space="preserve">adequately </w:t>
      </w:r>
      <w:r w:rsidRPr="00A417A0">
        <w:t>addressed. These risks have been discussed above.  As such, the current regulatory regime offers policyholders</w:t>
      </w:r>
      <w:r w:rsidR="00396A87">
        <w:t xml:space="preserve"> and beneficiaries</w:t>
      </w:r>
      <w:r w:rsidRPr="00A417A0">
        <w:t xml:space="preserve"> a lower level of protection than perceived.  </w:t>
      </w:r>
    </w:p>
    <w:p w:rsidR="00E27588" w:rsidRPr="00A417A0" w:rsidRDefault="00E27588" w:rsidP="00E27588">
      <w:pPr>
        <w:jc w:val="both"/>
      </w:pPr>
    </w:p>
    <w:p w:rsidR="00E27588" w:rsidRPr="00A417A0" w:rsidRDefault="00E27588" w:rsidP="00E27588">
      <w:pPr>
        <w:jc w:val="both"/>
      </w:pPr>
      <w:r w:rsidRPr="00A417A0">
        <w:t xml:space="preserve">The costs in maintaining this option are considered long term and latent as they are not immediately evident. Leaving these risks unaddressed increases the likelihood of poor practices occurring in </w:t>
      </w:r>
      <w:r w:rsidR="00310F0C">
        <w:t>the industry</w:t>
      </w:r>
      <w:r w:rsidRPr="00A417A0">
        <w:t xml:space="preserve"> and in extreme cases, could lead to institutional failure.  </w:t>
      </w:r>
      <w:r w:rsidR="0046407E">
        <w:t xml:space="preserve">The potentially very high costs of failure of a financial institution have been seen overseas through the GFC.  Costs to society through </w:t>
      </w:r>
      <w:r w:rsidR="00442EDE">
        <w:t xml:space="preserve">the </w:t>
      </w:r>
      <w:r w:rsidR="0046407E">
        <w:t xml:space="preserve">burden </w:t>
      </w:r>
      <w:r w:rsidR="00442EDE">
        <w:t xml:space="preserve">imposed </w:t>
      </w:r>
      <w:r w:rsidR="0046407E">
        <w:t xml:space="preserve">on taxpayers, lost GDP and increased unemployment are potentially significant.  </w:t>
      </w:r>
      <w:r w:rsidRPr="00A417A0">
        <w:t>The current framework does not address the identified market failures as robustly as the proposed LAGIC approach.</w:t>
      </w:r>
    </w:p>
    <w:p w:rsidR="00E27588" w:rsidRPr="00A417A0" w:rsidRDefault="00E27588" w:rsidP="00E27588">
      <w:pPr>
        <w:jc w:val="both"/>
      </w:pPr>
    </w:p>
    <w:p w:rsidR="00E27588" w:rsidRPr="00A417A0" w:rsidRDefault="00E27588" w:rsidP="00E27588">
      <w:pPr>
        <w:jc w:val="both"/>
      </w:pPr>
      <w:r w:rsidRPr="00A417A0">
        <w:t>Internationally active insurers would also suffer from a perception that the regulatory regime is less robust when measured against global expectations and standards. This could affect the reputation of Australian insur</w:t>
      </w:r>
      <w:r w:rsidR="00310F0C">
        <w:t>ers</w:t>
      </w:r>
      <w:r w:rsidRPr="00A417A0">
        <w:t xml:space="preserve"> and could affect the competitiveness of Australian insurers operating branches overseas. </w:t>
      </w:r>
    </w:p>
    <w:p w:rsidR="00E27588" w:rsidRPr="00A417A0" w:rsidRDefault="00E27588" w:rsidP="00E27588">
      <w:pPr>
        <w:jc w:val="both"/>
        <w:rPr>
          <w:b/>
          <w:i/>
        </w:rPr>
      </w:pPr>
    </w:p>
    <w:p w:rsidR="00E27588" w:rsidRPr="00A417A0" w:rsidRDefault="00E27588" w:rsidP="00E27588">
      <w:pPr>
        <w:jc w:val="both"/>
      </w:pPr>
    </w:p>
    <w:p w:rsidR="00E27588" w:rsidRPr="00A417A0" w:rsidRDefault="00E27588" w:rsidP="00E27588">
      <w:pPr>
        <w:keepNext/>
        <w:jc w:val="both"/>
        <w:rPr>
          <w:b/>
          <w:sz w:val="28"/>
        </w:rPr>
      </w:pPr>
      <w:r w:rsidRPr="00A417A0">
        <w:rPr>
          <w:b/>
          <w:sz w:val="28"/>
        </w:rPr>
        <w:t>Consultation</w:t>
      </w:r>
    </w:p>
    <w:p w:rsidR="00E27588" w:rsidRPr="00A417A0" w:rsidRDefault="00E27588" w:rsidP="00E27588">
      <w:pPr>
        <w:keepNext/>
        <w:jc w:val="both"/>
        <w:rPr>
          <w:b/>
          <w:sz w:val="28"/>
        </w:rPr>
      </w:pPr>
    </w:p>
    <w:p w:rsidR="00E27588" w:rsidRPr="00A417A0" w:rsidRDefault="00E27588" w:rsidP="00E27588">
      <w:pPr>
        <w:keepNext/>
        <w:jc w:val="both"/>
      </w:pPr>
      <w:r w:rsidRPr="00A417A0">
        <w:t>A summary table of APRA’s consultation actions, both to date and intended, is listed below.</w:t>
      </w:r>
    </w:p>
    <w:p w:rsidR="00E27588" w:rsidRPr="00A417A0" w:rsidRDefault="00E27588" w:rsidP="00E27588">
      <w:pPr>
        <w:keepN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E27588" w:rsidRPr="00A417A0">
        <w:tc>
          <w:tcPr>
            <w:tcW w:w="4261" w:type="dxa"/>
            <w:shd w:val="clear" w:color="auto" w:fill="A6A6A6"/>
            <w:vAlign w:val="center"/>
          </w:tcPr>
          <w:p w:rsidR="00E27588" w:rsidRPr="00A417A0" w:rsidRDefault="00E27588" w:rsidP="003D5050">
            <w:pPr>
              <w:jc w:val="center"/>
              <w:rPr>
                <w:b/>
              </w:rPr>
            </w:pPr>
            <w:r w:rsidRPr="00A417A0">
              <w:rPr>
                <w:b/>
              </w:rPr>
              <w:t>Date</w:t>
            </w:r>
          </w:p>
        </w:tc>
        <w:tc>
          <w:tcPr>
            <w:tcW w:w="4261" w:type="dxa"/>
            <w:shd w:val="clear" w:color="auto" w:fill="A6A6A6"/>
            <w:vAlign w:val="center"/>
          </w:tcPr>
          <w:p w:rsidR="00E27588" w:rsidRPr="00A417A0" w:rsidRDefault="00E27588" w:rsidP="003D5050">
            <w:pPr>
              <w:jc w:val="center"/>
              <w:rPr>
                <w:b/>
              </w:rPr>
            </w:pPr>
            <w:r w:rsidRPr="00A417A0">
              <w:rPr>
                <w:b/>
              </w:rPr>
              <w:t>Consultation</w:t>
            </w:r>
          </w:p>
        </w:tc>
      </w:tr>
      <w:tr w:rsidR="00E27588" w:rsidRPr="00A417A0">
        <w:tc>
          <w:tcPr>
            <w:tcW w:w="4261" w:type="dxa"/>
            <w:vAlign w:val="center"/>
          </w:tcPr>
          <w:p w:rsidR="00E27588" w:rsidRPr="00A417A0" w:rsidRDefault="00E27588" w:rsidP="003D5050">
            <w:pPr>
              <w:jc w:val="both"/>
            </w:pPr>
            <w:r w:rsidRPr="00A417A0">
              <w:t>13 May 2010</w:t>
            </w:r>
          </w:p>
        </w:tc>
        <w:tc>
          <w:tcPr>
            <w:tcW w:w="4261" w:type="dxa"/>
            <w:vAlign w:val="center"/>
          </w:tcPr>
          <w:p w:rsidR="00E27588" w:rsidRPr="00A417A0" w:rsidRDefault="00E27588" w:rsidP="003D5050">
            <w:pPr>
              <w:spacing w:before="240" w:after="240"/>
              <w:jc w:val="both"/>
            </w:pPr>
            <w:r w:rsidRPr="00A417A0">
              <w:t>APRA issued a discussion paper outlining its proposals to review its capital standards for general and life insurers.</w:t>
            </w:r>
          </w:p>
        </w:tc>
      </w:tr>
      <w:tr w:rsidR="00E27588" w:rsidRPr="00A417A0">
        <w:tc>
          <w:tcPr>
            <w:tcW w:w="4261" w:type="dxa"/>
            <w:vAlign w:val="center"/>
          </w:tcPr>
          <w:p w:rsidR="00E27588" w:rsidRPr="00A417A0" w:rsidRDefault="00E27588" w:rsidP="003D5050">
            <w:pPr>
              <w:spacing w:before="240" w:after="240"/>
              <w:jc w:val="both"/>
            </w:pPr>
            <w:r w:rsidRPr="00A417A0">
              <w:t>12 July 2010</w:t>
            </w:r>
          </w:p>
        </w:tc>
        <w:tc>
          <w:tcPr>
            <w:tcW w:w="4261" w:type="dxa"/>
            <w:vAlign w:val="center"/>
          </w:tcPr>
          <w:p w:rsidR="00E27588" w:rsidRPr="00A417A0" w:rsidRDefault="00E27588" w:rsidP="003D5050">
            <w:pPr>
              <w:spacing w:before="240" w:after="240"/>
              <w:jc w:val="both"/>
            </w:pPr>
            <w:r w:rsidRPr="00A417A0">
              <w:t xml:space="preserve">APRA released technical papers providing further details on: </w:t>
            </w:r>
          </w:p>
          <w:p w:rsidR="00E27588" w:rsidRPr="00A417A0" w:rsidRDefault="00E27588" w:rsidP="003D5050">
            <w:pPr>
              <w:pStyle w:val="ListParagraph"/>
              <w:numPr>
                <w:ilvl w:val="0"/>
                <w:numId w:val="1"/>
              </w:numPr>
              <w:spacing w:before="240" w:after="240"/>
              <w:jc w:val="both"/>
            </w:pPr>
            <w:r w:rsidRPr="00A417A0">
              <w:t xml:space="preserve">the asset risk charge; and </w:t>
            </w:r>
          </w:p>
          <w:p w:rsidR="00E27588" w:rsidRPr="00A417A0" w:rsidRDefault="00E27588" w:rsidP="003D5050">
            <w:pPr>
              <w:pStyle w:val="ListParagraph"/>
              <w:numPr>
                <w:ilvl w:val="0"/>
                <w:numId w:val="1"/>
              </w:numPr>
              <w:spacing w:before="240" w:after="240"/>
              <w:jc w:val="both"/>
            </w:pPr>
            <w:r w:rsidRPr="00A417A0">
              <w:t>the capital base and insurance risk charge for life insurers.</w:t>
            </w:r>
          </w:p>
        </w:tc>
      </w:tr>
      <w:tr w:rsidR="00E27588" w:rsidRPr="00A417A0">
        <w:tc>
          <w:tcPr>
            <w:tcW w:w="4261" w:type="dxa"/>
            <w:vAlign w:val="center"/>
          </w:tcPr>
          <w:p w:rsidR="00E27588" w:rsidRPr="00A417A0" w:rsidRDefault="00E27588" w:rsidP="003D5050">
            <w:pPr>
              <w:spacing w:before="240" w:after="240"/>
              <w:jc w:val="both"/>
            </w:pPr>
            <w:r w:rsidRPr="00A417A0">
              <w:t>13 September 2010</w:t>
            </w:r>
          </w:p>
        </w:tc>
        <w:tc>
          <w:tcPr>
            <w:tcW w:w="4261" w:type="dxa"/>
            <w:vAlign w:val="center"/>
          </w:tcPr>
          <w:p w:rsidR="00E27588" w:rsidRPr="00A417A0" w:rsidRDefault="00E27588" w:rsidP="003D5050">
            <w:pPr>
              <w:spacing w:before="240" w:after="240"/>
              <w:jc w:val="both"/>
            </w:pPr>
            <w:r w:rsidRPr="00A417A0">
              <w:t xml:space="preserve">APRA released a technical paper providing further details on the issue of the insurance concentration risk charge </w:t>
            </w:r>
            <w:r w:rsidRPr="00A417A0">
              <w:lastRenderedPageBreak/>
              <w:t xml:space="preserve">for general insurers. </w:t>
            </w:r>
          </w:p>
        </w:tc>
      </w:tr>
      <w:tr w:rsidR="00E27588" w:rsidRPr="00A417A0">
        <w:tc>
          <w:tcPr>
            <w:tcW w:w="4261" w:type="dxa"/>
            <w:vAlign w:val="center"/>
          </w:tcPr>
          <w:p w:rsidR="00E27588" w:rsidRPr="00A417A0" w:rsidRDefault="00E27588" w:rsidP="003D5050">
            <w:pPr>
              <w:spacing w:before="240" w:after="240"/>
              <w:jc w:val="both"/>
            </w:pPr>
            <w:r w:rsidRPr="00A417A0">
              <w:lastRenderedPageBreak/>
              <w:t>Late 2010</w:t>
            </w:r>
          </w:p>
        </w:tc>
        <w:tc>
          <w:tcPr>
            <w:tcW w:w="4261" w:type="dxa"/>
            <w:vAlign w:val="center"/>
          </w:tcPr>
          <w:p w:rsidR="00E27588" w:rsidRPr="00A417A0" w:rsidRDefault="00E27588" w:rsidP="003D5050">
            <w:pPr>
              <w:spacing w:before="240" w:after="240"/>
              <w:jc w:val="both"/>
            </w:pPr>
            <w:r w:rsidRPr="00A417A0">
              <w:t xml:space="preserve">APRA invited insurers to participate in the first </w:t>
            </w:r>
            <w:r w:rsidR="00EC047C">
              <w:t>q</w:t>
            </w:r>
            <w:r w:rsidRPr="00A417A0">
              <w:t xml:space="preserve">uantitative </w:t>
            </w:r>
            <w:r w:rsidR="00EC047C">
              <w:t>i</w:t>
            </w:r>
            <w:r w:rsidRPr="00A417A0">
              <w:t xml:space="preserve">mpact </w:t>
            </w:r>
            <w:r w:rsidR="00EC047C">
              <w:t>s</w:t>
            </w:r>
            <w:r w:rsidRPr="00A417A0">
              <w:t>tudy (QIS1).</w:t>
            </w:r>
          </w:p>
        </w:tc>
      </w:tr>
      <w:tr w:rsidR="00E27588" w:rsidRPr="00A417A0">
        <w:tc>
          <w:tcPr>
            <w:tcW w:w="4261" w:type="dxa"/>
            <w:vAlign w:val="center"/>
          </w:tcPr>
          <w:p w:rsidR="00E27588" w:rsidRPr="00A417A0" w:rsidRDefault="00E27588" w:rsidP="003D5050">
            <w:pPr>
              <w:spacing w:before="240" w:after="240"/>
              <w:jc w:val="both"/>
            </w:pPr>
            <w:r w:rsidRPr="00A417A0">
              <w:t>31 March 2011</w:t>
            </w:r>
          </w:p>
        </w:tc>
        <w:tc>
          <w:tcPr>
            <w:tcW w:w="4261" w:type="dxa"/>
            <w:vAlign w:val="center"/>
          </w:tcPr>
          <w:p w:rsidR="00E27588" w:rsidRPr="00A417A0" w:rsidRDefault="00E27588" w:rsidP="003D5050">
            <w:pPr>
              <w:spacing w:before="240" w:after="240"/>
              <w:jc w:val="both"/>
            </w:pPr>
            <w:r w:rsidRPr="00A417A0">
              <w:t>APRA issued a response paper outlining the main issues raised in submissions and arising from assessment of the QIS results. It detailed refinements to the proposals in a number of areas to address some of the issues raised in submissions and clarified other aspects of APRA’s proposals.</w:t>
            </w:r>
          </w:p>
        </w:tc>
      </w:tr>
      <w:tr w:rsidR="00E27588" w:rsidRPr="00A417A0">
        <w:tc>
          <w:tcPr>
            <w:tcW w:w="4261" w:type="dxa"/>
            <w:vAlign w:val="center"/>
          </w:tcPr>
          <w:p w:rsidR="00E27588" w:rsidRPr="00A417A0" w:rsidRDefault="00E27588" w:rsidP="003D5050">
            <w:pPr>
              <w:spacing w:before="240" w:after="240"/>
              <w:jc w:val="both"/>
            </w:pPr>
            <w:r w:rsidRPr="00A417A0">
              <w:t>April 2011</w:t>
            </w:r>
          </w:p>
        </w:tc>
        <w:tc>
          <w:tcPr>
            <w:tcW w:w="4261" w:type="dxa"/>
            <w:vAlign w:val="center"/>
          </w:tcPr>
          <w:p w:rsidR="00E27588" w:rsidRPr="00A417A0" w:rsidRDefault="00E27588" w:rsidP="003D5050">
            <w:pPr>
              <w:spacing w:before="240" w:after="240"/>
              <w:jc w:val="both"/>
            </w:pPr>
            <w:r w:rsidRPr="00A417A0">
              <w:t>APRA invited insurers to participate in a second quantitative impact study (QIS2).</w:t>
            </w:r>
          </w:p>
        </w:tc>
      </w:tr>
      <w:tr w:rsidR="00E27588" w:rsidRPr="00A417A0">
        <w:tc>
          <w:tcPr>
            <w:tcW w:w="4261" w:type="dxa"/>
            <w:vAlign w:val="center"/>
          </w:tcPr>
          <w:p w:rsidR="00E27588" w:rsidRPr="00A417A0" w:rsidRDefault="00E27588" w:rsidP="003D5050">
            <w:pPr>
              <w:spacing w:before="240" w:after="240"/>
              <w:jc w:val="both"/>
            </w:pPr>
            <w:r w:rsidRPr="00A417A0">
              <w:t>9 December 2011</w:t>
            </w:r>
          </w:p>
        </w:tc>
        <w:tc>
          <w:tcPr>
            <w:tcW w:w="4261" w:type="dxa"/>
            <w:vAlign w:val="center"/>
          </w:tcPr>
          <w:p w:rsidR="00E27588" w:rsidRPr="00A417A0" w:rsidRDefault="00E27588" w:rsidP="003D5050">
            <w:pPr>
              <w:spacing w:before="240" w:after="240"/>
              <w:jc w:val="both"/>
            </w:pPr>
            <w:r w:rsidRPr="00A417A0">
              <w:t>APRA released a response paper summarising the issues raised in submissions on the March 2011 response paper and arising from assessment of the QIS2 results.</w:t>
            </w:r>
            <w:r w:rsidR="00DA4D91">
              <w:t xml:space="preserve"> Draft prudential standards reflecting the policy position were also released.</w:t>
            </w:r>
          </w:p>
        </w:tc>
      </w:tr>
      <w:tr w:rsidR="00E27588" w:rsidRPr="00A417A0">
        <w:tc>
          <w:tcPr>
            <w:tcW w:w="4261" w:type="dxa"/>
            <w:vAlign w:val="center"/>
          </w:tcPr>
          <w:p w:rsidR="00E27588" w:rsidRPr="00A417A0" w:rsidRDefault="00E27588" w:rsidP="003D5050">
            <w:pPr>
              <w:spacing w:before="240" w:after="240"/>
              <w:jc w:val="both"/>
            </w:pPr>
            <w:r w:rsidRPr="00A417A0">
              <w:t>March 2012</w:t>
            </w:r>
          </w:p>
        </w:tc>
        <w:tc>
          <w:tcPr>
            <w:tcW w:w="4261" w:type="dxa"/>
            <w:vAlign w:val="center"/>
          </w:tcPr>
          <w:p w:rsidR="00E27588" w:rsidRPr="00A417A0" w:rsidRDefault="00E27588" w:rsidP="00573BEA">
            <w:pPr>
              <w:spacing w:before="240" w:after="240"/>
              <w:jc w:val="both"/>
            </w:pPr>
            <w:r w:rsidRPr="00A417A0">
              <w:t xml:space="preserve">APRA </w:t>
            </w:r>
            <w:r w:rsidR="00573BEA">
              <w:t>released</w:t>
            </w:r>
            <w:r w:rsidRPr="00A417A0">
              <w:t xml:space="preserve"> detailed proposals relating to the illiquidity premium for life </w:t>
            </w:r>
            <w:r w:rsidR="003F35A7">
              <w:t>insurers</w:t>
            </w:r>
            <w:r w:rsidRPr="00A417A0">
              <w:t>.</w:t>
            </w:r>
          </w:p>
        </w:tc>
      </w:tr>
      <w:tr w:rsidR="00E27588" w:rsidRPr="00A417A0">
        <w:tc>
          <w:tcPr>
            <w:tcW w:w="4261" w:type="dxa"/>
            <w:vAlign w:val="center"/>
          </w:tcPr>
          <w:p w:rsidR="00E27588" w:rsidRPr="00A417A0" w:rsidRDefault="00E27588" w:rsidP="003D5050">
            <w:pPr>
              <w:spacing w:before="240" w:after="240"/>
              <w:jc w:val="both"/>
            </w:pPr>
            <w:r w:rsidRPr="00A417A0">
              <w:t>May 2012</w:t>
            </w:r>
          </w:p>
        </w:tc>
        <w:tc>
          <w:tcPr>
            <w:tcW w:w="4261" w:type="dxa"/>
            <w:vAlign w:val="center"/>
          </w:tcPr>
          <w:p w:rsidR="00E27588" w:rsidRPr="00A417A0" w:rsidRDefault="00E27588" w:rsidP="00A04BD4">
            <w:pPr>
              <w:spacing w:before="240" w:after="240"/>
              <w:jc w:val="both"/>
            </w:pPr>
            <w:r w:rsidRPr="00A417A0">
              <w:t xml:space="preserve">APRA intends to release </w:t>
            </w:r>
            <w:r w:rsidR="00A04BD4">
              <w:t xml:space="preserve">prudential standards that implement the </w:t>
            </w:r>
            <w:r w:rsidR="00573BEA">
              <w:t xml:space="preserve">proposals on the composition of the capital base and </w:t>
            </w:r>
            <w:r w:rsidRPr="00A417A0">
              <w:t xml:space="preserve">changes to other prudential standards which are consequential </w:t>
            </w:r>
            <w:r w:rsidR="00A04BD4">
              <w:t>to</w:t>
            </w:r>
            <w:r w:rsidR="00A04BD4" w:rsidRPr="00A417A0">
              <w:t xml:space="preserve"> </w:t>
            </w:r>
            <w:r w:rsidRPr="00A417A0">
              <w:t xml:space="preserve">the LAGIC changes. </w:t>
            </w:r>
          </w:p>
        </w:tc>
      </w:tr>
      <w:tr w:rsidR="00E27588" w:rsidRPr="00A417A0">
        <w:tc>
          <w:tcPr>
            <w:tcW w:w="4261" w:type="dxa"/>
            <w:vAlign w:val="center"/>
          </w:tcPr>
          <w:p w:rsidR="00E27588" w:rsidRPr="00A417A0" w:rsidRDefault="00E27588" w:rsidP="003D5050">
            <w:pPr>
              <w:spacing w:before="240" w:after="240"/>
              <w:jc w:val="both"/>
            </w:pPr>
            <w:r w:rsidRPr="00A417A0">
              <w:t>June 2012</w:t>
            </w:r>
          </w:p>
        </w:tc>
        <w:tc>
          <w:tcPr>
            <w:tcW w:w="4261" w:type="dxa"/>
            <w:vAlign w:val="center"/>
          </w:tcPr>
          <w:p w:rsidR="00E27588" w:rsidRPr="00A417A0" w:rsidRDefault="00E27588" w:rsidP="003D5050">
            <w:pPr>
              <w:spacing w:before="240" w:after="240"/>
              <w:jc w:val="both"/>
            </w:pPr>
            <w:r w:rsidRPr="00A417A0">
              <w:t xml:space="preserve">APRA intends to release initial proposals for implementing APRA’s </w:t>
            </w:r>
            <w:r w:rsidR="00573BEA">
              <w:t>proposed changes in the capital framework into the reporting framework.</w:t>
            </w:r>
          </w:p>
        </w:tc>
      </w:tr>
      <w:tr w:rsidR="00573BEA" w:rsidRPr="00A417A0">
        <w:tc>
          <w:tcPr>
            <w:tcW w:w="4261" w:type="dxa"/>
            <w:vAlign w:val="center"/>
          </w:tcPr>
          <w:p w:rsidR="00573BEA" w:rsidRPr="00A417A0" w:rsidRDefault="00573BEA" w:rsidP="003D5050">
            <w:pPr>
              <w:spacing w:before="240" w:after="240"/>
              <w:jc w:val="both"/>
            </w:pPr>
            <w:r>
              <w:t>September 2012</w:t>
            </w:r>
          </w:p>
        </w:tc>
        <w:tc>
          <w:tcPr>
            <w:tcW w:w="4261" w:type="dxa"/>
            <w:vAlign w:val="center"/>
          </w:tcPr>
          <w:p w:rsidR="00573BEA" w:rsidRPr="00A417A0" w:rsidRDefault="00573BEA" w:rsidP="003D5050">
            <w:pPr>
              <w:spacing w:before="240" w:after="240"/>
              <w:jc w:val="both"/>
            </w:pPr>
            <w:r>
              <w:t>APRA intends to release draft prudential practice guides giving additional guidance on the LAGIC requirements.</w:t>
            </w:r>
          </w:p>
        </w:tc>
      </w:tr>
    </w:tbl>
    <w:p w:rsidR="00E27588" w:rsidRDefault="00E27588" w:rsidP="00E27588">
      <w:pPr>
        <w:jc w:val="both"/>
      </w:pPr>
    </w:p>
    <w:p w:rsidR="00785FB7" w:rsidRDefault="00785FB7" w:rsidP="00E27588">
      <w:pPr>
        <w:jc w:val="both"/>
      </w:pPr>
    </w:p>
    <w:p w:rsidR="00785FB7" w:rsidRPr="00A417A0" w:rsidRDefault="00785FB7" w:rsidP="00E27588">
      <w:pPr>
        <w:jc w:val="both"/>
      </w:pPr>
      <w:r>
        <w:t>APRA has also met with a number of insurers and other stakeholders to discuss its proposals and the feedback provided in submissions. In addition, APRA has also held workshops with various stakeholders to discuss implementation issues.</w:t>
      </w:r>
    </w:p>
    <w:p w:rsidR="00F318C4" w:rsidRDefault="00F318C4" w:rsidP="00F318C4">
      <w:pPr>
        <w:jc w:val="both"/>
      </w:pPr>
    </w:p>
    <w:p w:rsidR="00785FB7" w:rsidRDefault="00785FB7" w:rsidP="00F318C4">
      <w:pPr>
        <w:jc w:val="both"/>
      </w:pPr>
    </w:p>
    <w:p w:rsidR="00F318C4" w:rsidRDefault="00F318C4" w:rsidP="00F318C4">
      <w:pPr>
        <w:jc w:val="both"/>
        <w:rPr>
          <w:b/>
          <w:sz w:val="28"/>
        </w:rPr>
      </w:pPr>
      <w:r>
        <w:rPr>
          <w:b/>
          <w:sz w:val="28"/>
        </w:rPr>
        <w:t>Submissions received</w:t>
      </w:r>
    </w:p>
    <w:p w:rsidR="00F318C4" w:rsidRDefault="00F318C4" w:rsidP="00F318C4">
      <w:pPr>
        <w:jc w:val="both"/>
      </w:pPr>
    </w:p>
    <w:p w:rsidR="00F318C4" w:rsidRDefault="00FD5D3B" w:rsidP="00F318C4">
      <w:pPr>
        <w:jc w:val="both"/>
      </w:pPr>
      <w:r>
        <w:t xml:space="preserve">During the two years of consultation on the LAGIC proposals, APRA has received </w:t>
      </w:r>
      <w:r w:rsidR="00FF4DD6">
        <w:t>approximately</w:t>
      </w:r>
      <w:r>
        <w:t xml:space="preserve"> 120 submissions and more than 100 insurers participated in both QIS1 and QIS2. </w:t>
      </w:r>
    </w:p>
    <w:p w:rsidR="00F318C4" w:rsidRDefault="00F318C4" w:rsidP="00F318C4">
      <w:pPr>
        <w:jc w:val="both"/>
      </w:pPr>
    </w:p>
    <w:p w:rsidR="00F318C4" w:rsidRDefault="00F318C4" w:rsidP="00F318C4">
      <w:pPr>
        <w:jc w:val="both"/>
      </w:pPr>
      <w:r>
        <w:t xml:space="preserve">Submissions have consistently indicated a broad level of support for APRA’s aims in undertaking the review of improving the risk sensitivity of the </w:t>
      </w:r>
      <w:r w:rsidR="00FF4DD6">
        <w:t xml:space="preserve">capital </w:t>
      </w:r>
      <w:r>
        <w:t xml:space="preserve">standards and achieving better alignment across APRA-regulated industries.  It </w:t>
      </w:r>
      <w:r w:rsidR="003453B2">
        <w:t>should</w:t>
      </w:r>
      <w:r>
        <w:t xml:space="preserve"> be noted that APRA has already addressed a number of areas of concern through ongoing consultation and </w:t>
      </w:r>
      <w:r w:rsidR="0034609F">
        <w:t>enhanced</w:t>
      </w:r>
      <w:r>
        <w:t xml:space="preserve"> amendments to its proposals. </w:t>
      </w:r>
      <w:r w:rsidR="008E251A">
        <w:t xml:space="preserve">This RIS does not comment on those areas of feedback which have been addressed through changes to the proposals, focusing instead on areas in which industry continues to </w:t>
      </w:r>
      <w:r w:rsidR="00785FB7">
        <w:t xml:space="preserve">have concerns </w:t>
      </w:r>
      <w:r w:rsidR="008E251A">
        <w:t>with the LAGIC proposals.</w:t>
      </w:r>
      <w:r>
        <w:t xml:space="preserve"> </w:t>
      </w:r>
      <w:r w:rsidR="008E251A">
        <w:t xml:space="preserve"> </w:t>
      </w:r>
      <w:r>
        <w:t>A number of key areas of feedback are discussed below.</w:t>
      </w:r>
    </w:p>
    <w:p w:rsidR="00F318C4" w:rsidRDefault="00F318C4" w:rsidP="00F318C4">
      <w:pPr>
        <w:jc w:val="both"/>
      </w:pPr>
    </w:p>
    <w:p w:rsidR="00F318C4" w:rsidRDefault="00F318C4" w:rsidP="00F318C4">
      <w:pPr>
        <w:jc w:val="both"/>
      </w:pPr>
    </w:p>
    <w:p w:rsidR="00F318C4" w:rsidRPr="008966A3" w:rsidRDefault="00F318C4" w:rsidP="00970E17">
      <w:pPr>
        <w:keepNext/>
        <w:jc w:val="both"/>
        <w:rPr>
          <w:b/>
          <w:i/>
        </w:rPr>
      </w:pPr>
      <w:r w:rsidRPr="008966A3">
        <w:rPr>
          <w:b/>
          <w:i/>
        </w:rPr>
        <w:t>Issues affecting both general and life insurers</w:t>
      </w:r>
    </w:p>
    <w:p w:rsidR="00F318C4" w:rsidRDefault="00F318C4" w:rsidP="00970E17">
      <w:pPr>
        <w:keepNext/>
        <w:jc w:val="both"/>
        <w:rPr>
          <w:i/>
        </w:rPr>
      </w:pPr>
    </w:p>
    <w:p w:rsidR="00F318C4" w:rsidRDefault="00F318C4" w:rsidP="00970E17">
      <w:pPr>
        <w:keepNext/>
        <w:jc w:val="both"/>
        <w:rPr>
          <w:i/>
        </w:rPr>
      </w:pPr>
      <w:r>
        <w:rPr>
          <w:i/>
        </w:rPr>
        <w:t>International comparisons</w:t>
      </w:r>
    </w:p>
    <w:p w:rsidR="00F318C4" w:rsidRDefault="00F318C4" w:rsidP="00970E17">
      <w:pPr>
        <w:keepNext/>
        <w:jc w:val="both"/>
      </w:pPr>
    </w:p>
    <w:p w:rsidR="00F318C4" w:rsidRPr="006D0332" w:rsidRDefault="00F318C4" w:rsidP="00970E17">
      <w:pPr>
        <w:keepNext/>
        <w:jc w:val="both"/>
      </w:pPr>
      <w:r>
        <w:t>Some submissions argued that</w:t>
      </w:r>
      <w:r w:rsidR="00A04BD4">
        <w:t>,</w:t>
      </w:r>
      <w:r>
        <w:t xml:space="preserve"> with the implementation of LAGIC, Australia will be amongst the first countries to apply </w:t>
      </w:r>
      <w:r w:rsidR="008E251A">
        <w:t xml:space="preserve">the </w:t>
      </w:r>
      <w:r>
        <w:t>Basel III</w:t>
      </w:r>
      <w:r w:rsidR="008E251A">
        <w:t xml:space="preserve"> approach to </w:t>
      </w:r>
      <w:r w:rsidR="00785FB7">
        <w:t xml:space="preserve">composition of capital to </w:t>
      </w:r>
      <w:r w:rsidR="008E251A">
        <w:t>insurers</w:t>
      </w:r>
      <w:r w:rsidR="001F1D7F">
        <w:t>. This ‘front-of-</w:t>
      </w:r>
      <w:r>
        <w:t xml:space="preserve">pack’ approach to regulatory reforms in the insurance industry </w:t>
      </w:r>
      <w:r w:rsidR="001F1D7F">
        <w:t xml:space="preserve">may </w:t>
      </w:r>
      <w:r>
        <w:t xml:space="preserve">create a competitive disadvantage for Australian domiciled insurers, who </w:t>
      </w:r>
      <w:r w:rsidR="001F1D7F">
        <w:t>may</w:t>
      </w:r>
      <w:r>
        <w:t xml:space="preserve"> face higher costs </w:t>
      </w:r>
      <w:r w:rsidR="00FF4DD6">
        <w:t>of</w:t>
      </w:r>
      <w:r>
        <w:t xml:space="preserve"> reinsurance and higher costs of raising capital. APRA maintains that its supervisory approach operates under the mandate to be consistent and in line with international best practice.</w:t>
      </w:r>
      <w:r>
        <w:rPr>
          <w:rStyle w:val="FootnoteReference"/>
        </w:rPr>
        <w:footnoteReference w:id="11"/>
      </w:r>
      <w:r>
        <w:t xml:space="preserve"> In light of the risks raised during the </w:t>
      </w:r>
      <w:r w:rsidR="00FF4DD6">
        <w:t>GFC</w:t>
      </w:r>
      <w:r>
        <w:t>, APRA contends that the benefits of increasing the risk sensitivity of the capital standards and improving alignm</w:t>
      </w:r>
      <w:r w:rsidR="003A519E">
        <w:t>ent between industries outweigh</w:t>
      </w:r>
      <w:r>
        <w:t xml:space="preserve"> </w:t>
      </w:r>
      <w:r w:rsidR="008E251A">
        <w:t>the</w:t>
      </w:r>
      <w:r w:rsidR="007C37AB">
        <w:t xml:space="preserve"> </w:t>
      </w:r>
      <w:r>
        <w:t xml:space="preserve">potential costs of the LAGIC reforms. </w:t>
      </w:r>
    </w:p>
    <w:p w:rsidR="00F318C4" w:rsidRDefault="00F318C4" w:rsidP="00F318C4">
      <w:pPr>
        <w:jc w:val="both"/>
        <w:rPr>
          <w:u w:val="single"/>
        </w:rPr>
      </w:pPr>
    </w:p>
    <w:p w:rsidR="00E27E1E" w:rsidRDefault="00F318C4">
      <w:pPr>
        <w:keepNext/>
        <w:jc w:val="both"/>
        <w:rPr>
          <w:i/>
        </w:rPr>
      </w:pPr>
      <w:r w:rsidRPr="00900D27">
        <w:rPr>
          <w:i/>
        </w:rPr>
        <w:t>Calculation and quality of capital</w:t>
      </w:r>
    </w:p>
    <w:p w:rsidR="00E27E1E" w:rsidRDefault="00E27E1E">
      <w:pPr>
        <w:keepNext/>
        <w:jc w:val="both"/>
      </w:pPr>
    </w:p>
    <w:p w:rsidR="00E27E1E" w:rsidRDefault="00F318C4">
      <w:pPr>
        <w:keepNext/>
        <w:jc w:val="both"/>
      </w:pPr>
      <w:r>
        <w:t xml:space="preserve">Submissions commented that the limits on composition of capital backing the </w:t>
      </w:r>
      <w:r w:rsidR="00084357">
        <w:t xml:space="preserve">PCR </w:t>
      </w:r>
      <w:r>
        <w:t xml:space="preserve">are unduly penal, and out of line with those proposed to apply to ADIs under Basel III. </w:t>
      </w:r>
      <w:r w:rsidR="008E251A">
        <w:t xml:space="preserve">APRA has responded to these </w:t>
      </w:r>
      <w:r w:rsidR="001F1D7F">
        <w:t>submissions</w:t>
      </w:r>
      <w:r w:rsidR="008E251A">
        <w:t xml:space="preserve"> by increasing the </w:t>
      </w:r>
      <w:r w:rsidR="00310F0C">
        <w:t>limits</w:t>
      </w:r>
      <w:r w:rsidR="008E251A">
        <w:t xml:space="preserve"> for </w:t>
      </w:r>
      <w:r w:rsidR="001F1D7F">
        <w:t xml:space="preserve">Additional Tier 1 </w:t>
      </w:r>
      <w:r w:rsidR="008E251A">
        <w:t xml:space="preserve">capital to support the PCR.  </w:t>
      </w:r>
      <w:r w:rsidR="001F1D7F">
        <w:t xml:space="preserve">Whilst these limits are not directly aligned to the Basel III equivalents (due to the difference of approach on </w:t>
      </w:r>
      <w:r w:rsidR="00310F0C">
        <w:t xml:space="preserve">inclusion of </w:t>
      </w:r>
      <w:r w:rsidR="001F1D7F">
        <w:t>a capital conservation buffer), APRA is satisfied that the limits provide an appropriate comparison whilst increasing the quality of capital held by insurers.</w:t>
      </w:r>
      <w:r w:rsidR="008E251A">
        <w:t xml:space="preserve">  </w:t>
      </w:r>
    </w:p>
    <w:p w:rsidR="00F318C4" w:rsidRDefault="00F318C4" w:rsidP="00F318C4">
      <w:pPr>
        <w:jc w:val="both"/>
      </w:pPr>
    </w:p>
    <w:p w:rsidR="00F318C4" w:rsidRDefault="00F318C4" w:rsidP="00970E17">
      <w:pPr>
        <w:keepNext/>
        <w:jc w:val="both"/>
        <w:rPr>
          <w:i/>
        </w:rPr>
      </w:pPr>
      <w:r w:rsidRPr="009D42C8">
        <w:rPr>
          <w:i/>
        </w:rPr>
        <w:t>Operational risk</w:t>
      </w:r>
    </w:p>
    <w:p w:rsidR="00F318C4" w:rsidRDefault="00F318C4" w:rsidP="00970E17">
      <w:pPr>
        <w:keepNext/>
        <w:jc w:val="both"/>
      </w:pPr>
    </w:p>
    <w:p w:rsidR="00F318C4" w:rsidRDefault="00F318C4" w:rsidP="00970E17">
      <w:pPr>
        <w:keepNext/>
        <w:jc w:val="both"/>
      </w:pPr>
      <w:r>
        <w:t xml:space="preserve">The formula used to determine the operational risk charge was seen to be insufficiently sensitive to the quality of management and internal risk controls, so </w:t>
      </w:r>
      <w:r>
        <w:lastRenderedPageBreak/>
        <w:t>that improvements in operational risk management would not be reflected in a lower operational risk charge. Submissions argued that the operational risk charge should be replaced with</w:t>
      </w:r>
      <w:r w:rsidR="0002668F">
        <w:t xml:space="preserve"> a more risk sensitive measure</w:t>
      </w:r>
      <w:r w:rsidR="00387875">
        <w:t>.</w:t>
      </w:r>
      <w:r>
        <w:t xml:space="preserve">  </w:t>
      </w:r>
    </w:p>
    <w:p w:rsidR="00F318C4" w:rsidRDefault="00F318C4" w:rsidP="00F318C4">
      <w:pPr>
        <w:jc w:val="both"/>
        <w:rPr>
          <w:rFonts w:cs="Today SB"/>
        </w:rPr>
      </w:pPr>
    </w:p>
    <w:p w:rsidR="00F318C4" w:rsidRPr="007E0223" w:rsidRDefault="00F318C4" w:rsidP="00F318C4">
      <w:pPr>
        <w:jc w:val="both"/>
        <w:rPr>
          <w:rFonts w:cs="Today SB"/>
        </w:rPr>
      </w:pPr>
      <w:r w:rsidRPr="00FA60C3">
        <w:rPr>
          <w:rFonts w:cs="Today SB"/>
        </w:rPr>
        <w:t xml:space="preserve">APRA </w:t>
      </w:r>
      <w:r w:rsidR="00785FB7">
        <w:rPr>
          <w:rFonts w:cs="Today SB"/>
        </w:rPr>
        <w:t>accepts that the operation</w:t>
      </w:r>
      <w:r w:rsidR="00EC0A9C">
        <w:rPr>
          <w:rFonts w:cs="Today SB"/>
        </w:rPr>
        <w:t>al</w:t>
      </w:r>
      <w:r w:rsidR="00785FB7">
        <w:rPr>
          <w:rFonts w:cs="Today SB"/>
        </w:rPr>
        <w:t xml:space="preserve"> risk charge as proposed is not as risk-sensitive as would be desired, but no better alternative has been proposed by industry.  A</w:t>
      </w:r>
      <w:r w:rsidR="004B1448">
        <w:rPr>
          <w:rFonts w:cs="Today SB"/>
        </w:rPr>
        <w:t>PRA</w:t>
      </w:r>
      <w:r w:rsidR="00785FB7">
        <w:rPr>
          <w:rFonts w:cs="Today SB"/>
        </w:rPr>
        <w:t xml:space="preserve"> expects that an improved approach will evolve over time when industry has more experience</w:t>
      </w:r>
      <w:r w:rsidR="00310F0C">
        <w:rPr>
          <w:rFonts w:cs="Today SB"/>
        </w:rPr>
        <w:t xml:space="preserve"> with the measurement of operational risk capital</w:t>
      </w:r>
      <w:r w:rsidR="00785FB7">
        <w:rPr>
          <w:rFonts w:cs="Today SB"/>
        </w:rPr>
        <w:t xml:space="preserve">. APRA </w:t>
      </w:r>
      <w:r w:rsidRPr="00FA60C3">
        <w:rPr>
          <w:rFonts w:cs="Today SB"/>
        </w:rPr>
        <w:t xml:space="preserve">does not support a subjective approach for the calculation of </w:t>
      </w:r>
      <w:r w:rsidR="007E0223">
        <w:rPr>
          <w:rFonts w:cs="Today SB"/>
        </w:rPr>
        <w:t xml:space="preserve">the </w:t>
      </w:r>
      <w:r w:rsidRPr="00FA60C3">
        <w:rPr>
          <w:rFonts w:cs="Today SB"/>
        </w:rPr>
        <w:t>operational risk charge at this stage</w:t>
      </w:r>
      <w:r w:rsidR="00387875">
        <w:rPr>
          <w:rFonts w:cs="Today SB"/>
        </w:rPr>
        <w:t xml:space="preserve"> or the </w:t>
      </w:r>
      <w:r>
        <w:t xml:space="preserve">use </w:t>
      </w:r>
      <w:r w:rsidR="00387875">
        <w:t xml:space="preserve">of </w:t>
      </w:r>
      <w:r>
        <w:t xml:space="preserve">partial internal models to determine specific risk charges. </w:t>
      </w:r>
      <w:r>
        <w:rPr>
          <w:rFonts w:cs="Today SB"/>
        </w:rPr>
        <w:t>If</w:t>
      </w:r>
      <w:r w:rsidRPr="00FA60C3">
        <w:rPr>
          <w:rFonts w:cs="Today SB"/>
        </w:rPr>
        <w:t xml:space="preserve"> </w:t>
      </w:r>
      <w:r w:rsidR="00310F0C">
        <w:rPr>
          <w:rFonts w:cs="Today SB"/>
        </w:rPr>
        <w:t>inappropriate</w:t>
      </w:r>
      <w:r w:rsidRPr="00FA60C3">
        <w:rPr>
          <w:rFonts w:cs="Today SB"/>
        </w:rPr>
        <w:t xml:space="preserve"> results</w:t>
      </w:r>
      <w:r>
        <w:rPr>
          <w:rFonts w:cs="Today SB"/>
        </w:rPr>
        <w:t xml:space="preserve"> are produced</w:t>
      </w:r>
      <w:r w:rsidR="007E0223">
        <w:rPr>
          <w:rFonts w:cs="Today SB"/>
        </w:rPr>
        <w:t xml:space="preserve"> through the formula</w:t>
      </w:r>
      <w:r w:rsidRPr="00FA60C3">
        <w:rPr>
          <w:rFonts w:cs="Today SB"/>
        </w:rPr>
        <w:t xml:space="preserve">, APRA has powers within the capital standards to vary </w:t>
      </w:r>
      <w:r w:rsidR="007E0223">
        <w:rPr>
          <w:rFonts w:cs="Today SB"/>
        </w:rPr>
        <w:t>the result</w:t>
      </w:r>
      <w:r>
        <w:rPr>
          <w:rFonts w:cs="Today SB"/>
        </w:rPr>
        <w:t xml:space="preserve"> in exceptional circumstances. </w:t>
      </w:r>
      <w:r w:rsidRPr="00FA60C3">
        <w:rPr>
          <w:rFonts w:cs="Today SB"/>
        </w:rPr>
        <w:t>APRA will review and re</w:t>
      </w:r>
      <w:r w:rsidR="00E801F1">
        <w:rPr>
          <w:rFonts w:cs="Today SB"/>
        </w:rPr>
        <w:t>vise</w:t>
      </w:r>
      <w:r w:rsidRPr="00FA60C3">
        <w:rPr>
          <w:rFonts w:cs="Today SB"/>
        </w:rPr>
        <w:t xml:space="preserve"> th</w:t>
      </w:r>
      <w:r w:rsidR="00E801F1">
        <w:rPr>
          <w:rFonts w:cs="Today SB"/>
        </w:rPr>
        <w:t>e</w:t>
      </w:r>
      <w:r w:rsidRPr="00FA60C3">
        <w:rPr>
          <w:rFonts w:cs="Today SB"/>
        </w:rPr>
        <w:t xml:space="preserve"> formula in future if necessary.</w:t>
      </w:r>
    </w:p>
    <w:p w:rsidR="00F318C4" w:rsidRDefault="00F318C4" w:rsidP="00F318C4">
      <w:pPr>
        <w:jc w:val="both"/>
      </w:pPr>
    </w:p>
    <w:p w:rsidR="00CF6983" w:rsidRDefault="00CF6983" w:rsidP="00F318C4">
      <w:pPr>
        <w:jc w:val="both"/>
        <w:rPr>
          <w:i/>
        </w:rPr>
      </w:pPr>
      <w:r>
        <w:rPr>
          <w:i/>
        </w:rPr>
        <w:t>Calibration of the asset risk charges</w:t>
      </w:r>
    </w:p>
    <w:p w:rsidR="00CF6983" w:rsidRDefault="00CF6983" w:rsidP="00F318C4">
      <w:pPr>
        <w:jc w:val="both"/>
        <w:rPr>
          <w:i/>
        </w:rPr>
      </w:pPr>
    </w:p>
    <w:p w:rsidR="00CF6983" w:rsidRPr="00CF6983" w:rsidRDefault="00CF6983" w:rsidP="00F318C4">
      <w:pPr>
        <w:jc w:val="both"/>
      </w:pPr>
      <w:r>
        <w:t>Some submissions argue that the shocks assumed for the purposes of the asset risk charge are too high to represent the 99.5</w:t>
      </w:r>
      <w:r w:rsidR="00A04BD4">
        <w:t xml:space="preserve"> per cent</w:t>
      </w:r>
      <w:r>
        <w:t xml:space="preserve"> confidence level intended under LAGIC.  APRA does not agree with these arguments.  Detailed analysis undertaken by APRA, taking into account the impact of the GFC, shows that the assumptions used are not out of alignment with the </w:t>
      </w:r>
      <w:r w:rsidR="00310F0C">
        <w:t xml:space="preserve">target </w:t>
      </w:r>
      <w:r>
        <w:t>99.5</w:t>
      </w:r>
      <w:r w:rsidR="00A04BD4">
        <w:t xml:space="preserve"> per cent</w:t>
      </w:r>
      <w:r>
        <w:t xml:space="preserve"> confidence level.</w:t>
      </w:r>
    </w:p>
    <w:p w:rsidR="00131D24" w:rsidRDefault="00131D24" w:rsidP="00F318C4">
      <w:pPr>
        <w:jc w:val="both"/>
      </w:pPr>
    </w:p>
    <w:p w:rsidR="00E27E1E" w:rsidRDefault="00510D78">
      <w:pPr>
        <w:keepNext/>
        <w:jc w:val="both"/>
        <w:rPr>
          <w:i/>
        </w:rPr>
      </w:pPr>
      <w:r w:rsidRPr="00510D78">
        <w:rPr>
          <w:i/>
        </w:rPr>
        <w:t>Transitional arrangements</w:t>
      </w:r>
      <w:r w:rsidR="00B466EB" w:rsidRPr="00B466EB">
        <w:rPr>
          <w:i/>
        </w:rPr>
        <w:t xml:space="preserve"> </w:t>
      </w:r>
    </w:p>
    <w:p w:rsidR="00E27E1E" w:rsidRDefault="00E27E1E">
      <w:pPr>
        <w:keepNext/>
        <w:jc w:val="both"/>
      </w:pPr>
    </w:p>
    <w:p w:rsidR="006A0F2F" w:rsidRDefault="00F318C4" w:rsidP="00F8236C">
      <w:pPr>
        <w:keepNext/>
        <w:jc w:val="both"/>
      </w:pPr>
      <w:r>
        <w:t>Industry has raised some concern that decision</w:t>
      </w:r>
      <w:r w:rsidR="006A0F2F">
        <w:t>s</w:t>
      </w:r>
      <w:r>
        <w:t xml:space="preserve"> on transitional arrangements </w:t>
      </w:r>
      <w:r w:rsidR="006A0F2F">
        <w:t>will</w:t>
      </w:r>
      <w:r>
        <w:t xml:space="preserve"> be </w:t>
      </w:r>
      <w:r w:rsidR="006A0F2F">
        <w:t xml:space="preserve">made </w:t>
      </w:r>
      <w:r>
        <w:t>too close to the end of the year</w:t>
      </w:r>
      <w:r w:rsidR="006A0F2F">
        <w:t>,</w:t>
      </w:r>
      <w:r>
        <w:t xml:space="preserve"> creat</w:t>
      </w:r>
      <w:r w:rsidR="006A0F2F">
        <w:t>ing</w:t>
      </w:r>
      <w:r>
        <w:t xml:space="preserve"> </w:t>
      </w:r>
      <w:r w:rsidR="006A0F2F">
        <w:t xml:space="preserve">undue </w:t>
      </w:r>
      <w:r>
        <w:t>uncertainty for insurer</w:t>
      </w:r>
      <w:r w:rsidR="006A0F2F">
        <w:t>s regarding the requirements that will</w:t>
      </w:r>
      <w:r>
        <w:t xml:space="preserve"> </w:t>
      </w:r>
      <w:r w:rsidR="006A0F2F">
        <w:t>apply</w:t>
      </w:r>
      <w:r>
        <w:t xml:space="preserve"> </w:t>
      </w:r>
      <w:r w:rsidR="006A0F2F">
        <w:t xml:space="preserve">from </w:t>
      </w:r>
      <w:r>
        <w:t>the effective date</w:t>
      </w:r>
      <w:r w:rsidR="006A0F2F">
        <w:t xml:space="preserve"> of 1 January 2013</w:t>
      </w:r>
      <w:r>
        <w:t xml:space="preserve">. APRA has emphasised in public speaking engagements and response papers that APRA is open to </w:t>
      </w:r>
      <w:r w:rsidR="006A0F2F">
        <w:t xml:space="preserve">considering </w:t>
      </w:r>
      <w:r>
        <w:t xml:space="preserve">appropriate transition arrangements </w:t>
      </w:r>
      <w:r w:rsidR="006A0F2F">
        <w:t>where required,</w:t>
      </w:r>
      <w:r>
        <w:t xml:space="preserve"> and that insurers can and should approach APRA </w:t>
      </w:r>
      <w:r w:rsidR="006A0F2F">
        <w:t>as soon as possible to discuss</w:t>
      </w:r>
      <w:r>
        <w:t xml:space="preserve"> transition arrangements. APRA has indicated that the latest insurers can apply is 30 September</w:t>
      </w:r>
      <w:r w:rsidR="00FA52D4">
        <w:t xml:space="preserve"> but that </w:t>
      </w:r>
      <w:r w:rsidR="00C41DBD">
        <w:t>discussions can and should</w:t>
      </w:r>
      <w:r w:rsidR="00AC15F2">
        <w:t xml:space="preserve"> commence well ah</w:t>
      </w:r>
      <w:r w:rsidR="00FA52D4">
        <w:t xml:space="preserve">ead of that time.  </w:t>
      </w:r>
    </w:p>
    <w:p w:rsidR="006A0F2F" w:rsidRDefault="006A0F2F" w:rsidP="00F318C4">
      <w:pPr>
        <w:jc w:val="both"/>
      </w:pPr>
    </w:p>
    <w:p w:rsidR="00F318C4" w:rsidRDefault="00AC15F2" w:rsidP="00F318C4">
      <w:pPr>
        <w:jc w:val="both"/>
      </w:pPr>
      <w:r>
        <w:t xml:space="preserve">While some submissions argued that it would be appropriate to defer the overall effective date of the LAGIC regime, </w:t>
      </w:r>
      <w:r w:rsidR="00FA52D4">
        <w:t>APRA does not consider that there is a case to defer the ove</w:t>
      </w:r>
      <w:r>
        <w:t xml:space="preserve">rall effective date </w:t>
      </w:r>
      <w:r w:rsidR="00FA52D4">
        <w:t>given the availability of transitional arrangements</w:t>
      </w:r>
      <w:r w:rsidR="00F318C4">
        <w:t>.</w:t>
      </w:r>
      <w:r w:rsidR="00C41DBD">
        <w:t xml:space="preserve">  The broad LAGIC proposals</w:t>
      </w:r>
      <w:r w:rsidR="0013722D">
        <w:t>, including the implementation timeline,</w:t>
      </w:r>
      <w:r w:rsidR="00C41DBD">
        <w:t xml:space="preserve"> have been well known to industry for a substantial period of time.</w:t>
      </w:r>
    </w:p>
    <w:p w:rsidR="00FA52D4" w:rsidRDefault="00FA52D4" w:rsidP="00FA52D4">
      <w:pPr>
        <w:jc w:val="both"/>
        <w:rPr>
          <w:i/>
          <w:u w:val="single"/>
        </w:rPr>
      </w:pPr>
    </w:p>
    <w:p w:rsidR="00FA52D4" w:rsidRPr="00123420" w:rsidRDefault="00B466EB" w:rsidP="00FA52D4">
      <w:pPr>
        <w:jc w:val="both"/>
        <w:rPr>
          <w:i/>
        </w:rPr>
      </w:pPr>
      <w:r w:rsidRPr="00B466EB">
        <w:rPr>
          <w:i/>
        </w:rPr>
        <w:t>Supervisory adjustments</w:t>
      </w:r>
    </w:p>
    <w:p w:rsidR="00FA52D4" w:rsidRDefault="00FA52D4" w:rsidP="00FA52D4">
      <w:pPr>
        <w:pStyle w:val="ListParagraph"/>
        <w:ind w:left="360"/>
        <w:jc w:val="both"/>
      </w:pPr>
    </w:p>
    <w:p w:rsidR="00FA52D4" w:rsidRDefault="00FA52D4" w:rsidP="00FA52D4">
      <w:pPr>
        <w:pStyle w:val="ListParagraph"/>
        <w:ind w:left="0"/>
        <w:jc w:val="both"/>
      </w:pPr>
      <w:r w:rsidRPr="00E52676">
        <w:t xml:space="preserve">Submissions </w:t>
      </w:r>
      <w:r>
        <w:t>continue</w:t>
      </w:r>
      <w:r w:rsidR="00B666C2">
        <w:t>d</w:t>
      </w:r>
      <w:r>
        <w:t xml:space="preserve"> to seek</w:t>
      </w:r>
      <w:r w:rsidRPr="00E52676">
        <w:t xml:space="preserve"> additional guidance on the circumstances in which a </w:t>
      </w:r>
      <w:r w:rsidR="009C4433">
        <w:t xml:space="preserve">Pillar 2 </w:t>
      </w:r>
      <w:r w:rsidRPr="00E52676">
        <w:t>supervisory adjustment may be applied by APRA.</w:t>
      </w:r>
      <w:r>
        <w:t xml:space="preserve"> APRA has provided significant clarification in response papers and insurers will receive further guidance through final prudential standards </w:t>
      </w:r>
      <w:r w:rsidR="00B666C2">
        <w:t xml:space="preserve">and prudential practice guides. APRA notes that the power to apply a supervisory adjustment </w:t>
      </w:r>
      <w:r w:rsidR="00862E40">
        <w:t>is</w:t>
      </w:r>
      <w:r>
        <w:t xml:space="preserve"> one tool in a broader supervisory toolkit for addressing prudential concerns.</w:t>
      </w:r>
    </w:p>
    <w:p w:rsidR="00F318C4" w:rsidRDefault="00F318C4" w:rsidP="00F318C4">
      <w:pPr>
        <w:jc w:val="both"/>
      </w:pPr>
    </w:p>
    <w:p w:rsidR="00F318C4" w:rsidRPr="00123420" w:rsidRDefault="00B466EB" w:rsidP="00BB56E3">
      <w:pPr>
        <w:keepNext/>
        <w:jc w:val="both"/>
        <w:rPr>
          <w:b/>
          <w:i/>
        </w:rPr>
      </w:pPr>
      <w:r w:rsidRPr="00B466EB">
        <w:rPr>
          <w:b/>
          <w:i/>
        </w:rPr>
        <w:lastRenderedPageBreak/>
        <w:t>General insurance specific issues</w:t>
      </w:r>
    </w:p>
    <w:p w:rsidR="00F318C4" w:rsidRDefault="00F318C4" w:rsidP="00BB56E3">
      <w:pPr>
        <w:keepNext/>
        <w:jc w:val="both"/>
        <w:rPr>
          <w:i/>
        </w:rPr>
      </w:pPr>
    </w:p>
    <w:p w:rsidR="00CD2E9C" w:rsidRDefault="00CD2E9C" w:rsidP="00CD2E9C">
      <w:pPr>
        <w:keepNext/>
        <w:jc w:val="both"/>
        <w:rPr>
          <w:i/>
        </w:rPr>
      </w:pPr>
      <w:r>
        <w:rPr>
          <w:i/>
        </w:rPr>
        <w:t>Timing requirements</w:t>
      </w:r>
    </w:p>
    <w:p w:rsidR="00CD2E9C" w:rsidRDefault="00CD2E9C" w:rsidP="00CD2E9C">
      <w:pPr>
        <w:keepNext/>
        <w:jc w:val="both"/>
      </w:pPr>
    </w:p>
    <w:p w:rsidR="00CD2E9C" w:rsidRPr="005041EE" w:rsidRDefault="00CD2E9C" w:rsidP="00CD2E9C">
      <w:pPr>
        <w:keepNext/>
        <w:jc w:val="both"/>
        <w:rPr>
          <w:rFonts w:eastAsia="Times New Roman" w:cstheme="minorBidi"/>
        </w:rPr>
      </w:pPr>
      <w:r>
        <w:rPr>
          <w:rFonts w:eastAsia="Times New Roman" w:cstheme="minorBidi"/>
        </w:rPr>
        <w:t>Submissions requested an industry wide transition period for the horizontal requirement of the insurance concentration risk charge for general insurers. It was argued that insurers needed additional time to determine and implement an appropriate strategy. In response, APRA has deferred the effective date of the horizontal requirement until 1 January 2014. This will allow general insurers to develop their understanding of the operation of the horizontal requirement and finalise and implement any strategies for managing the horizontal requirement.</w:t>
      </w:r>
    </w:p>
    <w:p w:rsidR="00CD2E9C" w:rsidRDefault="00CD2E9C" w:rsidP="00CD2E9C">
      <w:pPr>
        <w:jc w:val="both"/>
        <w:rPr>
          <w:i/>
        </w:rPr>
      </w:pPr>
    </w:p>
    <w:p w:rsidR="00CD2E9C" w:rsidRPr="00C153B7" w:rsidRDefault="00CD2E9C" w:rsidP="00CD2E9C">
      <w:pPr>
        <w:jc w:val="both"/>
        <w:rPr>
          <w:rFonts w:cs="Today SB"/>
          <w:color w:val="000000"/>
        </w:rPr>
      </w:pPr>
      <w:r>
        <w:t xml:space="preserve">Submissions were opposed to APRA’s proposal to bring forward the due date of the Financial Condition Report (FCR) and the Insurance Liability Valuation Report (ILVR), arguing that this may place a strain on key actuarial resources, could reduce the quality and usefulness of the documents and make it difficult to present the results to the Board prior to the deadline. </w:t>
      </w:r>
      <w:r>
        <w:rPr>
          <w:rFonts w:cs="Today SB"/>
          <w:color w:val="000000"/>
        </w:rPr>
        <w:t xml:space="preserve">APRA has considered the submissions by industry and held discussions with other stakeholders to ascertain the extent to which the three month deadline is not feasible due to actuarial and Board availability. APRA is of the view that insurers will be able to adjust their processes to meet the three month timeframe. Providing both of these reports to the Board and to APRA within a three month deadline will increase their usefulness because they will be considered closer to the financial year end. </w:t>
      </w:r>
      <w:r w:rsidRPr="00BF053F">
        <w:rPr>
          <w:rFonts w:cs="Today SB"/>
          <w:color w:val="000000"/>
        </w:rPr>
        <w:t xml:space="preserve">In order to give insurers time to adapt their processes, </w:t>
      </w:r>
      <w:r>
        <w:rPr>
          <w:rFonts w:cs="Today SB"/>
          <w:color w:val="000000"/>
        </w:rPr>
        <w:t xml:space="preserve">APRA has provided an industry-wide </w:t>
      </w:r>
      <w:r w:rsidRPr="00BF053F">
        <w:rPr>
          <w:rFonts w:cs="Today SB"/>
          <w:color w:val="000000"/>
        </w:rPr>
        <w:t>transition</w:t>
      </w:r>
      <w:r>
        <w:rPr>
          <w:rFonts w:cs="Today SB"/>
          <w:color w:val="000000"/>
        </w:rPr>
        <w:t xml:space="preserve">. APRA has also allowed flexibility on the timing of the ICAAP reporting requirements which will also help alleviate concerns about workload. The three month deadline will need to be met for the first ILVR and FCR for balance dates from 30 June 2014 onwards. </w:t>
      </w:r>
    </w:p>
    <w:p w:rsidR="00CD2E9C" w:rsidRDefault="00CD2E9C" w:rsidP="00BB56E3">
      <w:pPr>
        <w:keepNext/>
        <w:jc w:val="both"/>
      </w:pPr>
    </w:p>
    <w:p w:rsidR="00CD2E9C" w:rsidRPr="00CD2E9C" w:rsidRDefault="00CD2E9C" w:rsidP="00BB56E3">
      <w:pPr>
        <w:keepNext/>
        <w:jc w:val="both"/>
        <w:rPr>
          <w:i/>
        </w:rPr>
      </w:pPr>
      <w:r>
        <w:rPr>
          <w:i/>
        </w:rPr>
        <w:t>Clarifications</w:t>
      </w:r>
    </w:p>
    <w:p w:rsidR="00CD2E9C" w:rsidRDefault="00CD2E9C" w:rsidP="00BB56E3">
      <w:pPr>
        <w:keepNext/>
        <w:jc w:val="both"/>
      </w:pPr>
    </w:p>
    <w:p w:rsidR="00F318C4" w:rsidRDefault="00F318C4" w:rsidP="00BB56E3">
      <w:pPr>
        <w:keepNext/>
        <w:jc w:val="both"/>
        <w:rPr>
          <w:rFonts w:eastAsia="Times New Roman"/>
        </w:rPr>
      </w:pPr>
      <w:r>
        <w:t xml:space="preserve">Further clarification was requested on the rationale for the approach and calibration of the horizontal requirement </w:t>
      </w:r>
      <w:r w:rsidR="00B631FC">
        <w:t>for the insurance concentration risk charge</w:t>
      </w:r>
      <w:r>
        <w:t xml:space="preserve">. </w:t>
      </w:r>
      <w:r w:rsidRPr="00387231">
        <w:rPr>
          <w:rFonts w:eastAsia="Times New Roman"/>
        </w:rPr>
        <w:t>In light of industry feedback on t</w:t>
      </w:r>
      <w:r>
        <w:rPr>
          <w:rFonts w:eastAsia="Times New Roman"/>
        </w:rPr>
        <w:t>he calibration levels, APRA undertook</w:t>
      </w:r>
      <w:r w:rsidRPr="00387231">
        <w:rPr>
          <w:rFonts w:eastAsia="Times New Roman"/>
        </w:rPr>
        <w:t xml:space="preserve"> further analysis internally</w:t>
      </w:r>
      <w:r w:rsidR="00B631FC">
        <w:rPr>
          <w:rFonts w:eastAsia="Times New Roman"/>
        </w:rPr>
        <w:t>,</w:t>
      </w:r>
      <w:r w:rsidRPr="00387231">
        <w:rPr>
          <w:rFonts w:eastAsia="Times New Roman"/>
        </w:rPr>
        <w:t xml:space="preserve"> </w:t>
      </w:r>
      <w:r w:rsidR="00B631FC">
        <w:rPr>
          <w:rFonts w:eastAsia="Times New Roman"/>
        </w:rPr>
        <w:t>with results suggesting</w:t>
      </w:r>
      <w:r w:rsidRPr="00387231">
        <w:rPr>
          <w:rFonts w:eastAsia="Times New Roman"/>
        </w:rPr>
        <w:t xml:space="preserve"> that the calibrations were reasonable overall. Therefore, APRA has retained the proposed calibration of the horizontal requirement scenarios and has more clearly defined the loss threshold to be used for the calculation of the expected claims offset.</w:t>
      </w:r>
    </w:p>
    <w:p w:rsidR="00F318C4" w:rsidRDefault="00F318C4" w:rsidP="00F318C4">
      <w:pPr>
        <w:jc w:val="both"/>
      </w:pPr>
    </w:p>
    <w:p w:rsidR="00F318C4" w:rsidRPr="00123420" w:rsidRDefault="00B466EB" w:rsidP="00F318C4">
      <w:pPr>
        <w:jc w:val="both"/>
        <w:rPr>
          <w:b/>
          <w:i/>
        </w:rPr>
      </w:pPr>
      <w:r w:rsidRPr="00B466EB">
        <w:rPr>
          <w:b/>
          <w:i/>
        </w:rPr>
        <w:t>Life insurance specific issues</w:t>
      </w:r>
    </w:p>
    <w:p w:rsidR="00F318C4" w:rsidRDefault="00F318C4" w:rsidP="00F318C4">
      <w:pPr>
        <w:jc w:val="both"/>
      </w:pPr>
    </w:p>
    <w:p w:rsidR="00123420" w:rsidRDefault="00123420" w:rsidP="00F318C4">
      <w:pPr>
        <w:jc w:val="both"/>
        <w:rPr>
          <w:i/>
        </w:rPr>
      </w:pPr>
      <w:r>
        <w:rPr>
          <w:i/>
        </w:rPr>
        <w:t>$10 million minimum</w:t>
      </w:r>
    </w:p>
    <w:p w:rsidR="00123420" w:rsidRPr="00123420" w:rsidRDefault="00123420" w:rsidP="00F318C4">
      <w:pPr>
        <w:jc w:val="both"/>
        <w:rPr>
          <w:i/>
        </w:rPr>
      </w:pPr>
    </w:p>
    <w:p w:rsidR="00F318C4" w:rsidRDefault="00F318C4" w:rsidP="00F318C4">
      <w:pPr>
        <w:jc w:val="both"/>
      </w:pPr>
      <w:r>
        <w:t xml:space="preserve">There are ongoing concerns from the friendly society industry about the application of the $10 million minimum to the prescribed capital amount for friendly societies.  It </w:t>
      </w:r>
      <w:r w:rsidR="00FA52D4">
        <w:t>is</w:t>
      </w:r>
      <w:r>
        <w:t xml:space="preserve"> not APRA’s intention that existing friendly societies would need to raise capital or reduce distributions to members to meet the $10 million minimum</w:t>
      </w:r>
      <w:r w:rsidR="007F1BA1">
        <w:t>.</w:t>
      </w:r>
      <w:r w:rsidR="00FA52D4">
        <w:t xml:space="preserve"> APRA will use its discretion under the prudential standards to apply appropriate transition </w:t>
      </w:r>
      <w:r w:rsidR="007F1BA1">
        <w:t>arrangements (</w:t>
      </w:r>
      <w:r w:rsidR="00FA52D4">
        <w:t xml:space="preserve">or grandfathering </w:t>
      </w:r>
      <w:r w:rsidR="007F1BA1">
        <w:t xml:space="preserve">in some cases) </w:t>
      </w:r>
      <w:r w:rsidR="00FA52D4">
        <w:t>to ensure that the requirement operates as intended</w:t>
      </w:r>
      <w:r>
        <w:t xml:space="preserve">. Exemptions and modifications will be assessed on a case-by-case basis as part of </w:t>
      </w:r>
      <w:r w:rsidR="007F1BA1">
        <w:t>determining</w:t>
      </w:r>
      <w:r>
        <w:t xml:space="preserve"> specific transition arrangements.  </w:t>
      </w:r>
    </w:p>
    <w:p w:rsidR="00FA52D4" w:rsidRDefault="00FA52D4" w:rsidP="00F318C4">
      <w:pPr>
        <w:jc w:val="both"/>
      </w:pPr>
    </w:p>
    <w:p w:rsidR="00E27E1E" w:rsidRDefault="00FA52D4">
      <w:pPr>
        <w:keepNext/>
        <w:jc w:val="both"/>
        <w:rPr>
          <w:i/>
        </w:rPr>
      </w:pPr>
      <w:r w:rsidRPr="00FB2F2B">
        <w:rPr>
          <w:i/>
        </w:rPr>
        <w:lastRenderedPageBreak/>
        <w:t>Deferred acquisition costs</w:t>
      </w:r>
    </w:p>
    <w:p w:rsidR="00E27E1E" w:rsidRDefault="00E27E1E">
      <w:pPr>
        <w:keepNext/>
        <w:jc w:val="both"/>
        <w:rPr>
          <w:i/>
        </w:rPr>
      </w:pPr>
    </w:p>
    <w:p w:rsidR="007F2021" w:rsidRDefault="00FA52D4">
      <w:pPr>
        <w:jc w:val="both"/>
      </w:pPr>
      <w:r w:rsidRPr="008E6C10">
        <w:t>Submission</w:t>
      </w:r>
      <w:r>
        <w:t xml:space="preserve">s argued that deferred acquisition costs (DAC) </w:t>
      </w:r>
      <w:r w:rsidR="0013722D">
        <w:t xml:space="preserve">and future profit margins have value to a life </w:t>
      </w:r>
      <w:r w:rsidR="003F35A7">
        <w:t>insurer</w:t>
      </w:r>
      <w:r w:rsidR="0013722D">
        <w:t>, even in severely stressed circumstances</w:t>
      </w:r>
      <w:r w:rsidR="007F1BA1">
        <w:t>,</w:t>
      </w:r>
      <w:r w:rsidR="0013722D">
        <w:t xml:space="preserve"> and should be given more value than </w:t>
      </w:r>
      <w:r w:rsidR="00650F97">
        <w:t xml:space="preserve">the </w:t>
      </w:r>
      <w:r w:rsidR="0013722D">
        <w:t xml:space="preserve">intangible assets of a life </w:t>
      </w:r>
      <w:r w:rsidR="003F35A7">
        <w:t>insurer</w:t>
      </w:r>
      <w:r w:rsidR="0013722D">
        <w:t xml:space="preserve">. APRA acknowledges that the DAC of a life </w:t>
      </w:r>
      <w:r w:rsidR="003F35A7">
        <w:t>insurer</w:t>
      </w:r>
      <w:r w:rsidR="0013722D">
        <w:t xml:space="preserve"> may have </w:t>
      </w:r>
      <w:r w:rsidR="00123420">
        <w:t xml:space="preserve">some </w:t>
      </w:r>
      <w:r w:rsidR="0013722D">
        <w:t xml:space="preserve">value </w:t>
      </w:r>
      <w:r w:rsidR="00123420">
        <w:t>under certain sever</w:t>
      </w:r>
      <w:r w:rsidR="007F1BA1">
        <w:t>e</w:t>
      </w:r>
      <w:r w:rsidR="00123420">
        <w:t xml:space="preserve"> stress situations</w:t>
      </w:r>
      <w:r w:rsidR="007F1BA1">
        <w:t>,</w:t>
      </w:r>
      <w:r w:rsidR="00123420">
        <w:t xml:space="preserve"> such as </w:t>
      </w:r>
      <w:r w:rsidR="0013722D">
        <w:t xml:space="preserve">if a stressed life </w:t>
      </w:r>
      <w:r w:rsidR="003F35A7">
        <w:t>insurer</w:t>
      </w:r>
      <w:r w:rsidR="0013722D">
        <w:t xml:space="preserve"> is recapitalised or the policies are transferred to another insurer. </w:t>
      </w:r>
      <w:r w:rsidR="00123420">
        <w:t>As a result,</w:t>
      </w:r>
      <w:r w:rsidR="0013722D">
        <w:t xml:space="preserve"> APRA proposed in its December 2011 </w:t>
      </w:r>
      <w:r w:rsidR="00123420">
        <w:t>R</w:t>
      </w:r>
      <w:r w:rsidR="0013722D">
        <w:t xml:space="preserve">esponse </w:t>
      </w:r>
      <w:r w:rsidR="00123420">
        <w:t>P</w:t>
      </w:r>
      <w:r w:rsidR="0013722D">
        <w:t xml:space="preserve">aper to allow some of the value of the DAC to be included, by allowing one year of DAC and profit margins to be explicitly allowed as an offset in the </w:t>
      </w:r>
      <w:r w:rsidR="00650F97">
        <w:t>i</w:t>
      </w:r>
      <w:r w:rsidR="0013722D">
        <w:t xml:space="preserve">nsurance </w:t>
      </w:r>
      <w:r w:rsidR="00650F97">
        <w:t>r</w:t>
      </w:r>
      <w:r w:rsidR="0013722D">
        <w:t xml:space="preserve">isk </w:t>
      </w:r>
      <w:r w:rsidR="00650F97">
        <w:t>c</w:t>
      </w:r>
      <w:r w:rsidR="0013722D">
        <w:t xml:space="preserve">harge, subject to the </w:t>
      </w:r>
      <w:r w:rsidR="00650F97">
        <w:t>i</w:t>
      </w:r>
      <w:r w:rsidR="0013722D">
        <w:t xml:space="preserve">nsurance </w:t>
      </w:r>
      <w:r w:rsidR="00650F97">
        <w:t>r</w:t>
      </w:r>
      <w:r w:rsidR="0013722D">
        <w:t xml:space="preserve">isk </w:t>
      </w:r>
      <w:r w:rsidR="00650F97">
        <w:t>c</w:t>
      </w:r>
      <w:r w:rsidR="0013722D">
        <w:t xml:space="preserve">harge not being negative. In addition, the methodology under LAGIC allows for </w:t>
      </w:r>
      <w:r w:rsidR="00C464C8">
        <w:t xml:space="preserve">some </w:t>
      </w:r>
      <w:r w:rsidR="0013722D">
        <w:t>additional implicit value to be attri</w:t>
      </w:r>
      <w:r w:rsidR="00C464C8">
        <w:t xml:space="preserve">buted to DAC and profit margins in the calculation of the capital base and the </w:t>
      </w:r>
      <w:r w:rsidR="00650F97">
        <w:t>i</w:t>
      </w:r>
      <w:r w:rsidR="00C464C8">
        <w:t xml:space="preserve">nsurance </w:t>
      </w:r>
      <w:r w:rsidR="00650F97">
        <w:t>r</w:t>
      </w:r>
      <w:r w:rsidR="00C464C8">
        <w:t xml:space="preserve">isk </w:t>
      </w:r>
      <w:r w:rsidR="00650F97">
        <w:t>c</w:t>
      </w:r>
      <w:r w:rsidR="00C464C8">
        <w:t xml:space="preserve">harge, and where a new life </w:t>
      </w:r>
      <w:r w:rsidR="003F35A7">
        <w:t>insurer</w:t>
      </w:r>
      <w:r w:rsidR="00C464C8">
        <w:t xml:space="preserve"> may be reliant on the recovery of existing DAC to fund the DAC in new business, in the absence </w:t>
      </w:r>
      <w:r w:rsidR="00862E40">
        <w:t>o</w:t>
      </w:r>
      <w:r w:rsidR="00C464C8">
        <w:t>f significant surplus assets.</w:t>
      </w:r>
    </w:p>
    <w:p w:rsidR="0013722D" w:rsidRDefault="0013722D" w:rsidP="0013722D">
      <w:pPr>
        <w:jc w:val="both"/>
      </w:pPr>
    </w:p>
    <w:p w:rsidR="0013722D" w:rsidRDefault="0013722D" w:rsidP="0013722D">
      <w:pPr>
        <w:jc w:val="both"/>
      </w:pPr>
      <w:r>
        <w:t xml:space="preserve">As a result, APRA does not consider it appropriate to make any additional changes to the treatment of DAC and future profit margins for a life </w:t>
      </w:r>
      <w:r w:rsidR="003F35A7">
        <w:t>insurer</w:t>
      </w:r>
      <w:r>
        <w:t>.</w:t>
      </w:r>
    </w:p>
    <w:p w:rsidR="00F318C4" w:rsidRDefault="00F318C4" w:rsidP="00E27588">
      <w:pPr>
        <w:jc w:val="both"/>
        <w:rPr>
          <w:b/>
          <w:sz w:val="28"/>
        </w:rPr>
      </w:pPr>
    </w:p>
    <w:p w:rsidR="00F318C4" w:rsidRDefault="00F318C4" w:rsidP="00E27588">
      <w:pPr>
        <w:jc w:val="both"/>
        <w:rPr>
          <w:b/>
          <w:sz w:val="28"/>
        </w:rPr>
      </w:pPr>
    </w:p>
    <w:p w:rsidR="009F384B" w:rsidRDefault="00E27588">
      <w:pPr>
        <w:keepNext/>
        <w:jc w:val="both"/>
        <w:rPr>
          <w:b/>
          <w:sz w:val="28"/>
        </w:rPr>
      </w:pPr>
      <w:r w:rsidRPr="00A417A0">
        <w:rPr>
          <w:b/>
          <w:sz w:val="28"/>
        </w:rPr>
        <w:t>Conclusion and recommended option</w:t>
      </w:r>
    </w:p>
    <w:p w:rsidR="009F384B" w:rsidRDefault="009F384B">
      <w:pPr>
        <w:keepNext/>
        <w:jc w:val="both"/>
      </w:pPr>
    </w:p>
    <w:p w:rsidR="004F1CF3" w:rsidRDefault="00E8018F">
      <w:pPr>
        <w:keepNext/>
        <w:jc w:val="both"/>
      </w:pPr>
      <w:r>
        <w:t>APRA has identified certain weaknesses</w:t>
      </w:r>
      <w:r w:rsidR="007F1BA1">
        <w:t xml:space="preserve"> in,</w:t>
      </w:r>
      <w:r>
        <w:t xml:space="preserve"> and risks </w:t>
      </w:r>
      <w:r w:rsidR="007F1BA1">
        <w:t>that are not adequately</w:t>
      </w:r>
      <w:r w:rsidR="00766E7F">
        <w:t xml:space="preserve"> addressed by</w:t>
      </w:r>
      <w:r w:rsidR="007F1BA1">
        <w:t>,</w:t>
      </w:r>
      <w:r>
        <w:t xml:space="preserve"> the current capital standards for insurers</w:t>
      </w:r>
      <w:r w:rsidR="007F1BA1">
        <w:t>, both through</w:t>
      </w:r>
      <w:r>
        <w:t xml:space="preserve"> </w:t>
      </w:r>
      <w:r w:rsidR="00766E7F">
        <w:t>APRA’s</w:t>
      </w:r>
      <w:r>
        <w:t xml:space="preserve"> regular review </w:t>
      </w:r>
      <w:r w:rsidR="00766E7F">
        <w:t xml:space="preserve">of capital standards </w:t>
      </w:r>
      <w:r>
        <w:t xml:space="preserve">and in light of issues arising from recent natural disasters in Australia as well as the </w:t>
      </w:r>
      <w:r w:rsidR="00650F97">
        <w:t>GFC</w:t>
      </w:r>
      <w:r>
        <w:t>. To address th</w:t>
      </w:r>
      <w:r w:rsidR="007F1BA1">
        <w:t>ese</w:t>
      </w:r>
      <w:r w:rsidRPr="00A417A0">
        <w:t xml:space="preserve">, the LAGIC proposals </w:t>
      </w:r>
      <w:r w:rsidR="007F1BA1">
        <w:t>refine the capital framework</w:t>
      </w:r>
      <w:r w:rsidR="00B53151" w:rsidRPr="00B53151">
        <w:t xml:space="preserve"> </w:t>
      </w:r>
      <w:r w:rsidR="00B53151">
        <w:t>by improving the risk sensitivity of the current capital requirements, matching capital to the risks undertaken by insurers as an enhanced risk management measure.</w:t>
      </w:r>
      <w:r w:rsidR="007F1BA1">
        <w:t xml:space="preserve"> </w:t>
      </w:r>
      <w:r w:rsidR="00B53151">
        <w:t xml:space="preserve">The framework </w:t>
      </w:r>
      <w:r w:rsidR="007F1BA1">
        <w:t xml:space="preserve">will </w:t>
      </w:r>
      <w:r w:rsidRPr="00A417A0">
        <w:t xml:space="preserve">require insurers to hold enough capital to </w:t>
      </w:r>
      <w:r w:rsidR="007F1BA1">
        <w:t>meet the</w:t>
      </w:r>
      <w:r w:rsidRPr="00A417A0">
        <w:t xml:space="preserve"> target level of </w:t>
      </w:r>
      <w:r w:rsidR="007F1BA1">
        <w:t xml:space="preserve">sufficiency </w:t>
      </w:r>
      <w:r w:rsidR="00084357">
        <w:t>of 99.5 per cent</w:t>
      </w:r>
      <w:r w:rsidR="007F1BA1">
        <w:t xml:space="preserve"> over a one year period</w:t>
      </w:r>
      <w:r>
        <w:t>.</w:t>
      </w:r>
      <w:r w:rsidRPr="00E8018F">
        <w:t xml:space="preserve"> </w:t>
      </w:r>
      <w:r w:rsidR="00BA04C0">
        <w:t>In determining an insurer’s capital base, the</w:t>
      </w:r>
      <w:r w:rsidR="00BA04C0" w:rsidRPr="00A417A0">
        <w:t xml:space="preserve"> definitions of capital </w:t>
      </w:r>
      <w:r w:rsidR="00BA04C0">
        <w:t xml:space="preserve">will be </w:t>
      </w:r>
      <w:r w:rsidR="005361C0">
        <w:t xml:space="preserve">broadly </w:t>
      </w:r>
      <w:r w:rsidR="00BA04C0">
        <w:t>aligned with the ADI framework. This will strengthen the current capital requirements for insurers, requiring that capital must be</w:t>
      </w:r>
      <w:r w:rsidR="00BA04C0" w:rsidRPr="00A417A0">
        <w:t xml:space="preserve"> freely available to absorb losses and rank behind the claims of policyholders</w:t>
      </w:r>
      <w:r w:rsidR="00396A87">
        <w:t>, beneficiaries</w:t>
      </w:r>
      <w:r w:rsidR="00BA04C0" w:rsidRPr="00A417A0">
        <w:t xml:space="preserve"> and other creditors in the event of winding up</w:t>
      </w:r>
      <w:r w:rsidR="00BA04C0">
        <w:t>.</w:t>
      </w:r>
      <w:r w:rsidR="002D1651">
        <w:t xml:space="preserve"> </w:t>
      </w:r>
      <w:r w:rsidR="00E27588" w:rsidRPr="00A417A0">
        <w:t xml:space="preserve">APRA recommends that Option 1, the implementation of LAGIC, strikes the best balance between the interests of all </w:t>
      </w:r>
      <w:r w:rsidR="002E24CD">
        <w:t>stakeholders</w:t>
      </w:r>
      <w:r w:rsidR="002E24CD" w:rsidRPr="00A417A0">
        <w:t xml:space="preserve"> </w:t>
      </w:r>
      <w:r w:rsidR="00E27588" w:rsidRPr="00A417A0">
        <w:t xml:space="preserve">concerned.  </w:t>
      </w:r>
      <w:r w:rsidR="00A2274D" w:rsidRPr="00A417A0">
        <w:t>APRA</w:t>
      </w:r>
      <w:r w:rsidR="00A2274D">
        <w:t xml:space="preserve">’s view is </w:t>
      </w:r>
      <w:r w:rsidR="00A2274D" w:rsidRPr="00A417A0">
        <w:t>that the</w:t>
      </w:r>
      <w:r w:rsidR="00A2274D">
        <w:t xml:space="preserve"> revised capital requirements</w:t>
      </w:r>
      <w:r w:rsidR="00A2274D" w:rsidRPr="00A417A0">
        <w:t xml:space="preserve"> are appropriately calibrated</w:t>
      </w:r>
      <w:r w:rsidR="00A2274D">
        <w:t>.  S</w:t>
      </w:r>
      <w:r w:rsidR="004F1CF3">
        <w:t xml:space="preserve">ome insurers will </w:t>
      </w:r>
      <w:r w:rsidR="00A2274D">
        <w:t>have</w:t>
      </w:r>
      <w:r w:rsidR="004F1CF3">
        <w:t xml:space="preserve"> increased capital requirements, </w:t>
      </w:r>
      <w:r w:rsidR="00A2274D">
        <w:t xml:space="preserve">however </w:t>
      </w:r>
      <w:r w:rsidR="004F1CF3">
        <w:t>a</w:t>
      </w:r>
      <w:r w:rsidR="00E27588" w:rsidRPr="00A417A0">
        <w:t xml:space="preserve">ny increases in </w:t>
      </w:r>
      <w:r w:rsidR="007F1BA1">
        <w:t xml:space="preserve">required </w:t>
      </w:r>
      <w:r w:rsidR="00E27588" w:rsidRPr="00A417A0">
        <w:t xml:space="preserve">capital </w:t>
      </w:r>
      <w:r w:rsidR="007F1BA1">
        <w:t>will be</w:t>
      </w:r>
      <w:r w:rsidR="00E27588" w:rsidRPr="00A417A0">
        <w:t xml:space="preserve"> </w:t>
      </w:r>
      <w:r w:rsidR="007F1BA1">
        <w:t xml:space="preserve">better </w:t>
      </w:r>
      <w:r w:rsidR="00E27588" w:rsidRPr="00A417A0">
        <w:t>linked to the risk</w:t>
      </w:r>
      <w:r w:rsidR="007F1BA1">
        <w:t>s</w:t>
      </w:r>
      <w:r w:rsidR="00E27588" w:rsidRPr="00A417A0">
        <w:t xml:space="preserve"> </w:t>
      </w:r>
      <w:r w:rsidR="007F1BA1">
        <w:t>undertaken by</w:t>
      </w:r>
      <w:r w:rsidR="00E27588" w:rsidRPr="00A417A0">
        <w:t xml:space="preserve"> each insurer</w:t>
      </w:r>
      <w:r w:rsidR="00A2274D">
        <w:t>.</w:t>
      </w:r>
      <w:r w:rsidR="00E27588" w:rsidRPr="00A417A0">
        <w:t xml:space="preserve">   </w:t>
      </w:r>
      <w:r w:rsidR="004F1CF3">
        <w:t xml:space="preserve">APRA has analysed extensive data on the capital costs </w:t>
      </w:r>
      <w:r w:rsidR="00A2274D">
        <w:t xml:space="preserve">to insurers </w:t>
      </w:r>
      <w:r w:rsidR="004F1CF3">
        <w:t xml:space="preserve">through the QIS process and industry submissions.  It is not possible to quantify in dollar terms the non-capital costs </w:t>
      </w:r>
      <w:r w:rsidR="00A2274D">
        <w:t xml:space="preserve">due to very limited data provided by insurers on these costs. </w:t>
      </w:r>
      <w:r w:rsidR="004F1CF3">
        <w:t xml:space="preserve"> APRA has assessed through consultation and its knowledge of the industry that the capital costs are significantly greater than the non-capital costs.  </w:t>
      </w:r>
    </w:p>
    <w:p w:rsidR="004F1CF3" w:rsidRDefault="004F1CF3">
      <w:pPr>
        <w:keepNext/>
        <w:jc w:val="both"/>
      </w:pPr>
    </w:p>
    <w:p w:rsidR="009F384B" w:rsidRDefault="004F1CF3">
      <w:pPr>
        <w:keepNext/>
        <w:jc w:val="both"/>
      </w:pPr>
      <w:r>
        <w:t>While the net benefit cannot be quantified in dollar terms</w:t>
      </w:r>
      <w:r w:rsidR="000433DF">
        <w:t>, in part</w:t>
      </w:r>
      <w:r>
        <w:t xml:space="preserve"> </w:t>
      </w:r>
      <w:r w:rsidR="00A2274D">
        <w:t>due to the lack of data on non-capital costs</w:t>
      </w:r>
      <w:r>
        <w:t>, i</w:t>
      </w:r>
      <w:r w:rsidR="00FA52D4">
        <w:t xml:space="preserve">n APRA’s assessment, the benefits of reduced risk of insurer failure </w:t>
      </w:r>
      <w:r w:rsidR="00F63C19">
        <w:t xml:space="preserve">will, in all likelihood, </w:t>
      </w:r>
      <w:r w:rsidR="00FA52D4">
        <w:t xml:space="preserve">compensate for the increased costs for some insurers. </w:t>
      </w:r>
      <w:r w:rsidR="00E27588" w:rsidRPr="00A417A0">
        <w:t xml:space="preserve">  </w:t>
      </w:r>
    </w:p>
    <w:p w:rsidR="00E27588" w:rsidRPr="00A417A0" w:rsidRDefault="00E27588" w:rsidP="00E27588">
      <w:pPr>
        <w:jc w:val="both"/>
      </w:pPr>
    </w:p>
    <w:p w:rsidR="00E27588" w:rsidRPr="00A417A0" w:rsidRDefault="00E27588" w:rsidP="00E27588">
      <w:pPr>
        <w:jc w:val="both"/>
      </w:pPr>
      <w:r w:rsidRPr="00A417A0">
        <w:t xml:space="preserve">APRA supports Option 1. </w:t>
      </w:r>
    </w:p>
    <w:p w:rsidR="00E27588" w:rsidRPr="00A417A0" w:rsidRDefault="00E27588" w:rsidP="00E27588">
      <w:pPr>
        <w:jc w:val="both"/>
      </w:pPr>
    </w:p>
    <w:p w:rsidR="00E27588" w:rsidRPr="00A417A0" w:rsidRDefault="00E27588" w:rsidP="00E27588">
      <w:pPr>
        <w:jc w:val="both"/>
      </w:pPr>
    </w:p>
    <w:p w:rsidR="00E27588" w:rsidRPr="00A417A0" w:rsidRDefault="00E27588" w:rsidP="00E27588">
      <w:pPr>
        <w:keepNext/>
        <w:jc w:val="both"/>
        <w:rPr>
          <w:b/>
          <w:sz w:val="28"/>
        </w:rPr>
      </w:pPr>
      <w:r w:rsidRPr="00A417A0">
        <w:rPr>
          <w:b/>
          <w:sz w:val="28"/>
        </w:rPr>
        <w:t xml:space="preserve">Implementation </w:t>
      </w:r>
    </w:p>
    <w:p w:rsidR="00E27588" w:rsidRPr="00A417A0" w:rsidRDefault="00E27588" w:rsidP="00E27588">
      <w:pPr>
        <w:keepNext/>
        <w:jc w:val="both"/>
      </w:pPr>
    </w:p>
    <w:p w:rsidR="00E27588" w:rsidRPr="00A417A0" w:rsidRDefault="00E27588" w:rsidP="00E27588">
      <w:pPr>
        <w:jc w:val="both"/>
      </w:pPr>
      <w:r w:rsidRPr="00A417A0">
        <w:t>APRA intends to release the final prudential standards in advance of their effective date to assist industry in meeting the new requirements</w:t>
      </w:r>
      <w:r w:rsidR="007F1BA1">
        <w:t>. T</w:t>
      </w:r>
      <w:r w:rsidRPr="00A417A0">
        <w:t>he majority of the substantive LAGIC prudential standards will be released in May 201</w:t>
      </w:r>
      <w:r w:rsidR="00412215">
        <w:t>2</w:t>
      </w:r>
      <w:r w:rsidRPr="00A417A0">
        <w:t xml:space="preserve">. The remaining final prudential standards (including prudential standards containing requirements for the composition of the capital base and other prudential standards with changes consequential to the LAGIC changes) are intended to be released </w:t>
      </w:r>
      <w:r w:rsidR="00123420">
        <w:t>by</w:t>
      </w:r>
      <w:r w:rsidRPr="00A417A0">
        <w:t xml:space="preserve"> </w:t>
      </w:r>
      <w:r w:rsidR="00123420">
        <w:t xml:space="preserve">October </w:t>
      </w:r>
      <w:r w:rsidRPr="00A417A0">
        <w:t>2012</w:t>
      </w:r>
      <w:r w:rsidR="00B53151">
        <w:t>. T</w:t>
      </w:r>
      <w:r w:rsidRPr="00A417A0">
        <w:t xml:space="preserve">he </w:t>
      </w:r>
      <w:r w:rsidR="00B53151">
        <w:t>revised</w:t>
      </w:r>
      <w:r w:rsidRPr="00A417A0">
        <w:t xml:space="preserve"> standards will be effective from 1 January 2013. The following table gives an outline of release dates.</w:t>
      </w:r>
    </w:p>
    <w:p w:rsidR="00E27588" w:rsidRPr="00A417A0" w:rsidRDefault="00E27588" w:rsidP="00E27588">
      <w:pPr>
        <w:keepNext/>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2235"/>
        <w:gridCol w:w="6237"/>
      </w:tblGrid>
      <w:tr w:rsidR="00E27588" w:rsidRPr="00A417A0">
        <w:trPr>
          <w:trHeight w:val="429"/>
        </w:trPr>
        <w:tc>
          <w:tcPr>
            <w:tcW w:w="2235" w:type="dxa"/>
            <w:shd w:val="clear" w:color="auto" w:fill="A6A6A6" w:themeFill="background1" w:themeFillShade="A6"/>
            <w:vAlign w:val="center"/>
          </w:tcPr>
          <w:p w:rsidR="00E27588" w:rsidRPr="00A417A0" w:rsidRDefault="00E27588" w:rsidP="003D5050">
            <w:pPr>
              <w:keepNext/>
              <w:jc w:val="center"/>
              <w:rPr>
                <w:b/>
              </w:rPr>
            </w:pPr>
            <w:r w:rsidRPr="00A417A0">
              <w:rPr>
                <w:b/>
              </w:rPr>
              <w:t>Date</w:t>
            </w:r>
          </w:p>
        </w:tc>
        <w:tc>
          <w:tcPr>
            <w:tcW w:w="6237" w:type="dxa"/>
            <w:shd w:val="clear" w:color="auto" w:fill="A6A6A6" w:themeFill="background1" w:themeFillShade="A6"/>
            <w:vAlign w:val="center"/>
          </w:tcPr>
          <w:p w:rsidR="00E27588" w:rsidRPr="00A417A0" w:rsidRDefault="00E27588" w:rsidP="003D5050">
            <w:pPr>
              <w:keepNext/>
              <w:jc w:val="center"/>
              <w:rPr>
                <w:b/>
              </w:rPr>
            </w:pPr>
            <w:r w:rsidRPr="00A417A0">
              <w:rPr>
                <w:b/>
              </w:rPr>
              <w:t>Releases and consultations due</w:t>
            </w:r>
          </w:p>
        </w:tc>
      </w:tr>
      <w:tr w:rsidR="00E27588" w:rsidRPr="00B94A5E">
        <w:trPr>
          <w:trHeight w:val="616"/>
        </w:trPr>
        <w:tc>
          <w:tcPr>
            <w:tcW w:w="2235" w:type="dxa"/>
          </w:tcPr>
          <w:p w:rsidR="00E27588" w:rsidRPr="00B94A5E" w:rsidRDefault="00E27588" w:rsidP="003D5050">
            <w:pPr>
              <w:jc w:val="both"/>
            </w:pPr>
            <w:r w:rsidRPr="00B94A5E">
              <w:t>May 2012</w:t>
            </w:r>
          </w:p>
        </w:tc>
        <w:tc>
          <w:tcPr>
            <w:tcW w:w="6237" w:type="dxa"/>
          </w:tcPr>
          <w:p w:rsidR="00E27588" w:rsidRDefault="00E27588" w:rsidP="00573BEA">
            <w:pPr>
              <w:jc w:val="both"/>
              <w:rPr>
                <w:rFonts w:cs="Tahoma"/>
              </w:rPr>
            </w:pPr>
            <w:r w:rsidRPr="00B94A5E">
              <w:t xml:space="preserve">Release of final versions of </w:t>
            </w:r>
            <w:r w:rsidR="00495730">
              <w:t>some</w:t>
            </w:r>
            <w:r>
              <w:t xml:space="preserve"> prudential standards</w:t>
            </w:r>
            <w:r w:rsidR="00495730">
              <w:t xml:space="preserve">, </w:t>
            </w:r>
            <w:r w:rsidR="00495730" w:rsidRPr="00683972">
              <w:rPr>
                <w:rFonts w:cs="Today SB"/>
              </w:rPr>
              <w:t xml:space="preserve">draft standards on </w:t>
            </w:r>
            <w:r w:rsidR="00495730">
              <w:rPr>
                <w:rFonts w:cs="Today SB"/>
              </w:rPr>
              <w:t>m</w:t>
            </w:r>
            <w:r w:rsidR="00495730" w:rsidRPr="00683972">
              <w:rPr>
                <w:rFonts w:cs="Today SB"/>
              </w:rPr>
              <w:t xml:space="preserve">easurement of </w:t>
            </w:r>
            <w:r w:rsidR="00495730">
              <w:rPr>
                <w:rFonts w:cs="Today SB"/>
              </w:rPr>
              <w:t>c</w:t>
            </w:r>
            <w:r w:rsidR="00495730" w:rsidRPr="00683972">
              <w:rPr>
                <w:rFonts w:cs="Today SB"/>
              </w:rPr>
              <w:t>apital</w:t>
            </w:r>
            <w:r w:rsidR="00495730">
              <w:rPr>
                <w:rFonts w:cs="Today SB"/>
              </w:rPr>
              <w:t xml:space="preserve"> and </w:t>
            </w:r>
            <w:r w:rsidR="00495730" w:rsidRPr="00EA7934">
              <w:rPr>
                <w:rFonts w:cs="Today SB"/>
              </w:rPr>
              <w:t>draft versions of other prudential standards with changes that are consequential to the LAGIC changes.</w:t>
            </w:r>
          </w:p>
          <w:p w:rsidR="00E27588" w:rsidRPr="00B94A5E" w:rsidRDefault="00E27588" w:rsidP="00495730">
            <w:pPr>
              <w:tabs>
                <w:tab w:val="left" w:pos="317"/>
              </w:tabs>
              <w:jc w:val="both"/>
            </w:pPr>
          </w:p>
        </w:tc>
      </w:tr>
      <w:tr w:rsidR="00E27588" w:rsidRPr="00A417A0">
        <w:trPr>
          <w:trHeight w:val="299"/>
        </w:trPr>
        <w:tc>
          <w:tcPr>
            <w:tcW w:w="2235" w:type="dxa"/>
            <w:vAlign w:val="center"/>
          </w:tcPr>
          <w:p w:rsidR="00123420" w:rsidRDefault="00E27588" w:rsidP="00123420">
            <w:pPr>
              <w:jc w:val="both"/>
            </w:pPr>
            <w:r w:rsidRPr="00A417A0">
              <w:t xml:space="preserve">September </w:t>
            </w:r>
            <w:r w:rsidR="00123420">
              <w:t>–</w:t>
            </w:r>
          </w:p>
          <w:p w:rsidR="007F2021" w:rsidRDefault="00123420">
            <w:pPr>
              <w:jc w:val="both"/>
            </w:pPr>
            <w:r>
              <w:t xml:space="preserve">October </w:t>
            </w:r>
            <w:r w:rsidR="00E27588" w:rsidRPr="00A417A0">
              <w:t>2012</w:t>
            </w:r>
          </w:p>
        </w:tc>
        <w:tc>
          <w:tcPr>
            <w:tcW w:w="6237" w:type="dxa"/>
            <w:vAlign w:val="center"/>
          </w:tcPr>
          <w:p w:rsidR="00E27588" w:rsidRPr="00A417A0" w:rsidRDefault="00E27588" w:rsidP="003D5050">
            <w:pPr>
              <w:jc w:val="both"/>
            </w:pPr>
            <w:r w:rsidRPr="00A417A0">
              <w:t>Release of remaining final prudential standards</w:t>
            </w:r>
            <w:r w:rsidR="00573BEA">
              <w:t xml:space="preserve"> (covering composition of the capital base, the illiquidity premium and LAGIC-consequential changes to other prudential standards).</w:t>
            </w:r>
          </w:p>
          <w:p w:rsidR="00E27588" w:rsidRPr="00A417A0" w:rsidRDefault="00E27588" w:rsidP="003D5050">
            <w:pPr>
              <w:jc w:val="both"/>
            </w:pPr>
          </w:p>
        </w:tc>
      </w:tr>
      <w:tr w:rsidR="00E27588" w:rsidRPr="00A417A0">
        <w:trPr>
          <w:trHeight w:val="113"/>
        </w:trPr>
        <w:tc>
          <w:tcPr>
            <w:tcW w:w="2235" w:type="dxa"/>
            <w:vAlign w:val="center"/>
          </w:tcPr>
          <w:p w:rsidR="00E27588" w:rsidRPr="00A417A0" w:rsidRDefault="00E27588" w:rsidP="003D5050">
            <w:pPr>
              <w:jc w:val="both"/>
            </w:pPr>
            <w:r w:rsidRPr="00A417A0">
              <w:t>October 2012</w:t>
            </w:r>
          </w:p>
        </w:tc>
        <w:tc>
          <w:tcPr>
            <w:tcW w:w="6237" w:type="dxa"/>
            <w:vAlign w:val="center"/>
          </w:tcPr>
          <w:p w:rsidR="00E27588" w:rsidRPr="00A417A0" w:rsidRDefault="00E27588" w:rsidP="003D5050">
            <w:pPr>
              <w:jc w:val="both"/>
            </w:pPr>
            <w:r w:rsidRPr="00A417A0">
              <w:t>Release of final reporting standards</w:t>
            </w:r>
          </w:p>
        </w:tc>
      </w:tr>
      <w:tr w:rsidR="00E27588" w:rsidRPr="00A417A0">
        <w:trPr>
          <w:trHeight w:val="113"/>
        </w:trPr>
        <w:tc>
          <w:tcPr>
            <w:tcW w:w="2235" w:type="dxa"/>
            <w:vAlign w:val="center"/>
          </w:tcPr>
          <w:p w:rsidR="00E27588" w:rsidRPr="00A417A0" w:rsidRDefault="00E27588" w:rsidP="003D5050">
            <w:pPr>
              <w:jc w:val="both"/>
            </w:pPr>
            <w:r w:rsidRPr="00A417A0">
              <w:t>1 January 2013</w:t>
            </w:r>
          </w:p>
        </w:tc>
        <w:tc>
          <w:tcPr>
            <w:tcW w:w="6237" w:type="dxa"/>
            <w:vAlign w:val="center"/>
          </w:tcPr>
          <w:p w:rsidR="00E27588" w:rsidRPr="00A417A0" w:rsidRDefault="00E27588" w:rsidP="003D5050">
            <w:pPr>
              <w:jc w:val="both"/>
            </w:pPr>
            <w:r w:rsidRPr="00A417A0">
              <w:t>New standards effective</w:t>
            </w:r>
          </w:p>
        </w:tc>
      </w:tr>
      <w:tr w:rsidR="00573BEA" w:rsidRPr="00A417A0">
        <w:trPr>
          <w:trHeight w:val="113"/>
        </w:trPr>
        <w:tc>
          <w:tcPr>
            <w:tcW w:w="2235" w:type="dxa"/>
            <w:vAlign w:val="center"/>
          </w:tcPr>
          <w:p w:rsidR="00573BEA" w:rsidRPr="00A417A0" w:rsidRDefault="00573BEA" w:rsidP="003D5050">
            <w:pPr>
              <w:jc w:val="both"/>
            </w:pPr>
            <w:r>
              <w:t>1</w:t>
            </w:r>
            <w:r w:rsidRPr="00573BEA">
              <w:rPr>
                <w:vertAlign w:val="superscript"/>
              </w:rPr>
              <w:t>st</w:t>
            </w:r>
            <w:r>
              <w:t xml:space="preserve"> quarter 2013</w:t>
            </w:r>
          </w:p>
        </w:tc>
        <w:tc>
          <w:tcPr>
            <w:tcW w:w="6237" w:type="dxa"/>
            <w:vAlign w:val="center"/>
          </w:tcPr>
          <w:p w:rsidR="00573BEA" w:rsidRPr="00A417A0" w:rsidRDefault="00573BEA" w:rsidP="003D5050">
            <w:pPr>
              <w:jc w:val="both"/>
            </w:pPr>
            <w:r>
              <w:t>Release of final prudential practice guides</w:t>
            </w:r>
          </w:p>
        </w:tc>
      </w:tr>
      <w:tr w:rsidR="0052690E" w:rsidRPr="00A417A0">
        <w:trPr>
          <w:trHeight w:val="113"/>
        </w:trPr>
        <w:tc>
          <w:tcPr>
            <w:tcW w:w="2235" w:type="dxa"/>
          </w:tcPr>
          <w:p w:rsidR="0052690E" w:rsidRDefault="0052690E" w:rsidP="003D5050">
            <w:pPr>
              <w:jc w:val="both"/>
            </w:pPr>
            <w:r>
              <w:t>1 January 2014</w:t>
            </w:r>
          </w:p>
        </w:tc>
        <w:tc>
          <w:tcPr>
            <w:tcW w:w="6237" w:type="dxa"/>
          </w:tcPr>
          <w:p w:rsidR="0052690E" w:rsidRDefault="0052690E" w:rsidP="003D5050">
            <w:pPr>
              <w:jc w:val="both"/>
            </w:pPr>
            <w:r>
              <w:t>Effective date for the horizontal requirement for general insurers and Level 2 insurance groups</w:t>
            </w:r>
          </w:p>
        </w:tc>
      </w:tr>
    </w:tbl>
    <w:p w:rsidR="00E27588" w:rsidRPr="00A417A0" w:rsidRDefault="00E27588" w:rsidP="00E27588">
      <w:pPr>
        <w:jc w:val="both"/>
      </w:pPr>
      <w:r w:rsidRPr="00A417A0">
        <w:rPr>
          <w:vanish/>
        </w:rPr>
        <w:cr/>
        <w:t xml:space="preserve">ovidesciationised for the Relay for Life - North </w:t>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r w:rsidRPr="00A417A0">
        <w:rPr>
          <w:vanish/>
        </w:rPr>
        <w:pgNum/>
      </w:r>
    </w:p>
    <w:p w:rsidR="00E27588" w:rsidRPr="00A417A0" w:rsidRDefault="00E27588" w:rsidP="00E27588">
      <w:pPr>
        <w:jc w:val="both"/>
      </w:pPr>
      <w:r w:rsidRPr="00A417A0">
        <w:t xml:space="preserve">If insurers are unable to implement changes to their current operations or arrangements to mitigate these impacts before 1 January 2013, APRA will consider transitional arrangements on a case-by-case basis.  In addition, APRA has the ability to modify particular provisions if they result in inappropriate outcomes </w:t>
      </w:r>
      <w:r w:rsidR="00D535B6">
        <w:t>for</w:t>
      </w:r>
      <w:r w:rsidRPr="00A417A0">
        <w:t xml:space="preserve"> a particular insurer.</w:t>
      </w:r>
    </w:p>
    <w:p w:rsidR="00E27588" w:rsidRPr="00A417A0" w:rsidRDefault="00E27588" w:rsidP="00E27588">
      <w:pPr>
        <w:jc w:val="both"/>
      </w:pPr>
    </w:p>
    <w:p w:rsidR="00E27588" w:rsidRPr="00A417A0" w:rsidRDefault="00E27588" w:rsidP="00E27588">
      <w:pPr>
        <w:jc w:val="both"/>
      </w:pPr>
      <w:r w:rsidRPr="00A417A0">
        <w:t>The prudential standards will be reviewed as necessary to ensure they continue to reflect good practice and remain relevant and effective, for both APRA’s prudential supervision purposes and for regulated institutions.</w:t>
      </w:r>
    </w:p>
    <w:p w:rsidR="00E27588" w:rsidRPr="00A417A0" w:rsidRDefault="00E27588" w:rsidP="00E27588">
      <w:pPr>
        <w:jc w:val="both"/>
      </w:pPr>
    </w:p>
    <w:sectPr w:rsidR="00E27588" w:rsidRPr="00A417A0" w:rsidSect="003D5032">
      <w:headerReference w:type="default" r:id="rId18"/>
      <w:footerReference w:type="default" r:id="rId19"/>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F6" w:rsidRDefault="00670FF6" w:rsidP="00E27588">
      <w:r>
        <w:separator/>
      </w:r>
    </w:p>
  </w:endnote>
  <w:endnote w:type="continuationSeparator" w:id="0">
    <w:p w:rsidR="00670FF6" w:rsidRDefault="00670FF6" w:rsidP="00E275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altName w:val="Verdana"/>
    <w:panose1 w:val="020B0604030504040204"/>
    <w:charset w:val="00"/>
    <w:family w:val="swiss"/>
    <w:pitch w:val="variable"/>
    <w:sig w:usb0="61002A87" w:usb1="80000000" w:usb2="00000008" w:usb3="00000000" w:csb0="000101FF" w:csb1="00000000"/>
  </w:font>
  <w:font w:name="Today SB">
    <w:altName w:val="Today SB"/>
    <w:panose1 w:val="00000000000000000000"/>
    <w:charset w:val="00"/>
    <w:family w:val="swiss"/>
    <w:notTrueType/>
    <w:pitch w:val="default"/>
    <w:sig w:usb0="00000003" w:usb1="00000000" w:usb2="00000000" w:usb3="00000000" w:csb0="00000001" w:csb1="00000000"/>
  </w:font>
  <w:font w:name="TodaySB-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F6" w:rsidRDefault="006631DD">
    <w:pPr>
      <w:pStyle w:val="Footer"/>
      <w:jc w:val="right"/>
    </w:pPr>
    <w:fldSimple w:instr=" PAGE   \* MERGEFORMAT ">
      <w:r w:rsidR="00C15759">
        <w:rPr>
          <w:noProof/>
        </w:rPr>
        <w:t>1</w:t>
      </w:r>
    </w:fldSimple>
  </w:p>
  <w:p w:rsidR="00670FF6" w:rsidRDefault="00670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F6" w:rsidRDefault="00670FF6" w:rsidP="00E27588">
      <w:r>
        <w:separator/>
      </w:r>
    </w:p>
  </w:footnote>
  <w:footnote w:type="continuationSeparator" w:id="0">
    <w:p w:rsidR="00670FF6" w:rsidRDefault="00670FF6" w:rsidP="00E27588">
      <w:r>
        <w:continuationSeparator/>
      </w:r>
    </w:p>
  </w:footnote>
  <w:footnote w:id="1">
    <w:p w:rsidR="00670FF6" w:rsidRDefault="00670FF6" w:rsidP="009F384B">
      <w:pPr>
        <w:pStyle w:val="FootnoteText"/>
      </w:pPr>
      <w:r>
        <w:rPr>
          <w:rStyle w:val="FootnoteReference"/>
        </w:rPr>
        <w:footnoteRef/>
      </w:r>
      <w:r>
        <w:t xml:space="preserve"> Statistics are current as at 31 December 2011. See: </w:t>
      </w:r>
      <w:r w:rsidRPr="00034D4C">
        <w:t>http://apra.gov.au/GI/Publications/Documents/GI%20Quarterly%20Performance%2020111231.pdf</w:t>
      </w:r>
    </w:p>
  </w:footnote>
  <w:footnote w:id="2">
    <w:p w:rsidR="00670FF6" w:rsidRDefault="00670FF6" w:rsidP="009F384B">
      <w:pPr>
        <w:pStyle w:val="FootnoteText"/>
      </w:pPr>
      <w:r>
        <w:rPr>
          <w:rStyle w:val="FootnoteReference"/>
        </w:rPr>
        <w:footnoteRef/>
      </w:r>
      <w:r>
        <w:t xml:space="preserve"> Statistics are current as at 31 December 2011. See: </w:t>
      </w:r>
      <w:r w:rsidRPr="00C214FD">
        <w:t>http://apra.gov.au/lifs/Publications/Documents/LI%20Quarterly%20Performance%2020111231.pdf</w:t>
      </w:r>
    </w:p>
  </w:footnote>
  <w:footnote w:id="3">
    <w:p w:rsidR="00670FF6" w:rsidRDefault="00670FF6" w:rsidP="00C725F3">
      <w:pPr>
        <w:pStyle w:val="FootnoteText"/>
        <w:jc w:val="both"/>
      </w:pPr>
      <w:r>
        <w:rPr>
          <w:rStyle w:val="FootnoteReference"/>
        </w:rPr>
        <w:footnoteRef/>
      </w:r>
      <w:r>
        <w:t xml:space="preserve"> Under the current capital framework, a general insurer must maintain a capital base in excess of its minimum capital requirement at all times.</w:t>
      </w:r>
    </w:p>
  </w:footnote>
  <w:footnote w:id="4">
    <w:p w:rsidR="00670FF6" w:rsidRDefault="00670FF6" w:rsidP="00C725F3">
      <w:pPr>
        <w:pStyle w:val="FootnoteText"/>
        <w:jc w:val="both"/>
      </w:pPr>
      <w:r>
        <w:rPr>
          <w:rStyle w:val="FootnoteReference"/>
        </w:rPr>
        <w:footnoteRef/>
      </w:r>
      <w:r>
        <w:t xml:space="preserve"> The global financial crisis saw a sharp decline in equity markets. In Australia, the All Ordinaries Index fell by 55% to a low of 3112 in March 2009.  Credit spreads also showed substantial volatility (discussed further below). </w:t>
      </w:r>
    </w:p>
  </w:footnote>
  <w:footnote w:id="5">
    <w:p w:rsidR="00670FF6" w:rsidRDefault="00670FF6" w:rsidP="00C725F3">
      <w:pPr>
        <w:pStyle w:val="FootnoteText"/>
        <w:jc w:val="both"/>
      </w:pPr>
      <w:r>
        <w:rPr>
          <w:rStyle w:val="FootnoteReference"/>
        </w:rPr>
        <w:footnoteRef/>
      </w:r>
      <w:r>
        <w:t xml:space="preserve"> APRA’s capital standards for ADIs follow closely with those set by the Basel Committee for Banking Supervision (BCBS) and implement the following international capital accords: the 1988 Basel Capital Accord (Basel I) and the 2004 </w:t>
      </w:r>
      <w:r>
        <w:rPr>
          <w:i/>
        </w:rPr>
        <w:t>International Convergence of Capital Measurement and Capital Standards</w:t>
      </w:r>
      <w:r>
        <w:t xml:space="preserve"> (Basel II). The 2010 </w:t>
      </w:r>
      <w:r>
        <w:rPr>
          <w:i/>
        </w:rPr>
        <w:t xml:space="preserve">International regulatory framework for banks </w:t>
      </w:r>
      <w:r>
        <w:t>(Basel III) are currently being implemented within APRA’s regulatory framework for ADIs.</w:t>
      </w:r>
    </w:p>
  </w:footnote>
  <w:footnote w:id="6">
    <w:p w:rsidR="00670FF6" w:rsidRDefault="00670FF6" w:rsidP="00C725F3">
      <w:pPr>
        <w:pStyle w:val="FootnoteText"/>
        <w:jc w:val="both"/>
      </w:pPr>
      <w:r>
        <w:rPr>
          <w:rStyle w:val="FootnoteReference"/>
        </w:rPr>
        <w:footnoteRef/>
      </w:r>
      <w:r>
        <w:t xml:space="preserve"> Bank for International Settlements 2010, </w:t>
      </w:r>
      <w:r>
        <w:rPr>
          <w:i/>
        </w:rPr>
        <w:t xml:space="preserve">International regulatory framework for banks </w:t>
      </w:r>
      <w:r>
        <w:t>(Basel III), Bank for International Settlements, Basel, viewed 10 April 2012, &lt;</w:t>
      </w:r>
      <w:r w:rsidRPr="00296026">
        <w:t>http://www.bis.org/bcbs/basel3.htm</w:t>
      </w:r>
      <w:r>
        <w:t>&gt;.</w:t>
      </w:r>
    </w:p>
  </w:footnote>
  <w:footnote w:id="7">
    <w:p w:rsidR="00670FF6" w:rsidRDefault="00670FF6" w:rsidP="00C725F3">
      <w:pPr>
        <w:pStyle w:val="FootnoteText"/>
        <w:jc w:val="both"/>
      </w:pPr>
      <w:r>
        <w:rPr>
          <w:rStyle w:val="FootnoteReference"/>
        </w:rPr>
        <w:footnoteRef/>
      </w:r>
      <w:r>
        <w:t xml:space="preserve"> ‘Amended Proposal for a Directive of the European Parliament and of the Council on the taking-up and pursuit of the business of Insurance and Reinsurance (Solvency II)’ Brussels, 26.2.2008 (COD) 2007/0143</w:t>
      </w:r>
    </w:p>
  </w:footnote>
  <w:footnote w:id="8">
    <w:p w:rsidR="00670FF6" w:rsidRDefault="00670FF6" w:rsidP="00C725F3">
      <w:pPr>
        <w:pStyle w:val="FootnoteText"/>
        <w:jc w:val="both"/>
      </w:pPr>
      <w:r>
        <w:rPr>
          <w:rStyle w:val="FootnoteReference"/>
        </w:rPr>
        <w:footnoteRef/>
      </w:r>
      <w:r>
        <w:t xml:space="preserve"> See: </w:t>
      </w:r>
      <w:r w:rsidRPr="009B3ECC">
        <w:t>http://www.apra.gov.au/AboutAPRA/Pages/default.aspx</w:t>
      </w:r>
    </w:p>
  </w:footnote>
  <w:footnote w:id="9">
    <w:p w:rsidR="00670FF6" w:rsidRDefault="00670FF6" w:rsidP="00C725F3">
      <w:pPr>
        <w:pStyle w:val="FootnoteText"/>
        <w:jc w:val="both"/>
      </w:pPr>
      <w:r>
        <w:rPr>
          <w:rStyle w:val="FootnoteReference"/>
        </w:rPr>
        <w:footnoteRef/>
      </w:r>
      <w:r>
        <w:t xml:space="preserve"> </w:t>
      </w:r>
      <w:r w:rsidRPr="0094598E">
        <w:t xml:space="preserve">The </w:t>
      </w:r>
      <w:r>
        <w:t>minimum</w:t>
      </w:r>
      <w:r w:rsidRPr="0094598E">
        <w:t xml:space="preserve"> event retention (MER) is the largest loss to which an insurer</w:t>
      </w:r>
      <w:r>
        <w:t xml:space="preserve"> </w:t>
      </w:r>
      <w:r w:rsidRPr="0094598E">
        <w:t>will be exposed due to a concentration of risk exposures (such that the</w:t>
      </w:r>
      <w:r>
        <w:t xml:space="preserve"> </w:t>
      </w:r>
      <w:r w:rsidRPr="0094598E">
        <w:t>probability of a loss exceeding that amount is within a specified probability)</w:t>
      </w:r>
      <w:r>
        <w:t xml:space="preserve"> </w:t>
      </w:r>
      <w:r w:rsidRPr="0094598E">
        <w:t>after netting out any potential reinsurance assets.</w:t>
      </w:r>
    </w:p>
  </w:footnote>
  <w:footnote w:id="10">
    <w:p w:rsidR="00670FF6" w:rsidRDefault="00670FF6" w:rsidP="00C725F3">
      <w:pPr>
        <w:pStyle w:val="FootnoteText"/>
        <w:jc w:val="both"/>
      </w:pPr>
      <w:r>
        <w:rPr>
          <w:rStyle w:val="FootnoteReference"/>
        </w:rPr>
        <w:footnoteRef/>
      </w:r>
      <w:r>
        <w:t xml:space="preserve"> The horizontal requirement considers the expected net loss from the occurrence of several smaller-size events in a given year on a whole-of-portfolio basis.</w:t>
      </w:r>
    </w:p>
  </w:footnote>
  <w:footnote w:id="11">
    <w:p w:rsidR="00670FF6" w:rsidRDefault="00670FF6" w:rsidP="00C725F3">
      <w:pPr>
        <w:pStyle w:val="FootnoteText"/>
        <w:jc w:val="both"/>
      </w:pPr>
      <w:r>
        <w:rPr>
          <w:rStyle w:val="FootnoteReference"/>
        </w:rPr>
        <w:footnoteRef/>
      </w:r>
      <w:r>
        <w:t xml:space="preserve"> See: </w:t>
      </w:r>
      <w:r w:rsidRPr="00177D17">
        <w:t>http://www.apra.gov.au/AboutAPRA/Pages/default.aspx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F6" w:rsidRDefault="00670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C4E"/>
    <w:multiLevelType w:val="hybridMultilevel"/>
    <w:tmpl w:val="E4284FA4"/>
    <w:lvl w:ilvl="0" w:tplc="0C090001">
      <w:start w:val="1"/>
      <w:numFmt w:val="bullet"/>
      <w:lvlText w:val=""/>
      <w:lvlJc w:val="left"/>
      <w:pPr>
        <w:ind w:left="720" w:hanging="360"/>
      </w:pPr>
      <w:rPr>
        <w:rFonts w:ascii="Symbol" w:hAnsi="Symbol" w:hint="default"/>
      </w:rPr>
    </w:lvl>
    <w:lvl w:ilvl="1" w:tplc="B3ECEC76">
      <w:numFmt w:val="bullet"/>
      <w:lvlText w:val="-"/>
      <w:lvlJc w:val="left"/>
      <w:pPr>
        <w:ind w:left="1440" w:hanging="360"/>
      </w:pPr>
      <w:rPr>
        <w:rFonts w:ascii="Trebuchet MS" w:eastAsiaTheme="minorHAnsi" w:hAnsi="Trebuchet M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4A3886"/>
    <w:multiLevelType w:val="hybridMultilevel"/>
    <w:tmpl w:val="72CEBB3C"/>
    <w:lvl w:ilvl="0" w:tplc="C0DE8F1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A44630"/>
    <w:multiLevelType w:val="hybridMultilevel"/>
    <w:tmpl w:val="C78AA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154F52"/>
    <w:multiLevelType w:val="hybridMultilevel"/>
    <w:tmpl w:val="6C768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016CC4"/>
    <w:multiLevelType w:val="hybridMultilevel"/>
    <w:tmpl w:val="F5682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1714C2"/>
    <w:multiLevelType w:val="hybridMultilevel"/>
    <w:tmpl w:val="2160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005697"/>
    <w:multiLevelType w:val="hybridMultilevel"/>
    <w:tmpl w:val="6336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442AC2"/>
    <w:multiLevelType w:val="hybridMultilevel"/>
    <w:tmpl w:val="9B5A4468"/>
    <w:lvl w:ilvl="0" w:tplc="3FC24A6C">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14A4324"/>
    <w:multiLevelType w:val="hybridMultilevel"/>
    <w:tmpl w:val="FAF0734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C7270C"/>
    <w:multiLevelType w:val="hybridMultilevel"/>
    <w:tmpl w:val="07661C80"/>
    <w:lvl w:ilvl="0" w:tplc="E34C62C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AF23C0"/>
    <w:multiLevelType w:val="hybridMultilevel"/>
    <w:tmpl w:val="DEA609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51659CE"/>
    <w:multiLevelType w:val="hybridMultilevel"/>
    <w:tmpl w:val="FCC00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937619"/>
    <w:multiLevelType w:val="hybridMultilevel"/>
    <w:tmpl w:val="D762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AD00633"/>
    <w:multiLevelType w:val="hybridMultilevel"/>
    <w:tmpl w:val="0B10E7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B992367"/>
    <w:multiLevelType w:val="hybridMultilevel"/>
    <w:tmpl w:val="13D2A6E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2"/>
  </w:num>
  <w:num w:numId="5">
    <w:abstractNumId w:val="1"/>
  </w:num>
  <w:num w:numId="6">
    <w:abstractNumId w:val="0"/>
  </w:num>
  <w:num w:numId="7">
    <w:abstractNumId w:val="11"/>
  </w:num>
  <w:num w:numId="8">
    <w:abstractNumId w:val="4"/>
  </w:num>
  <w:num w:numId="9">
    <w:abstractNumId w:val="3"/>
  </w:num>
  <w:num w:numId="10">
    <w:abstractNumId w:val="5"/>
  </w:num>
  <w:num w:numId="11">
    <w:abstractNumId w:val="14"/>
  </w:num>
  <w:num w:numId="12">
    <w:abstractNumId w:val="8"/>
  </w:num>
  <w:num w:numId="13">
    <w:abstractNumId w:val="6"/>
  </w:num>
  <w:num w:numId="14">
    <w:abstractNumId w:val="1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7588"/>
    <w:rsid w:val="0000265B"/>
    <w:rsid w:val="00002DFB"/>
    <w:rsid w:val="0002668F"/>
    <w:rsid w:val="00026FCD"/>
    <w:rsid w:val="00035D2B"/>
    <w:rsid w:val="000433DF"/>
    <w:rsid w:val="00044A36"/>
    <w:rsid w:val="00044FF0"/>
    <w:rsid w:val="00051075"/>
    <w:rsid w:val="0005522F"/>
    <w:rsid w:val="00064C48"/>
    <w:rsid w:val="00065338"/>
    <w:rsid w:val="00067208"/>
    <w:rsid w:val="000678A2"/>
    <w:rsid w:val="00071600"/>
    <w:rsid w:val="00077367"/>
    <w:rsid w:val="00077929"/>
    <w:rsid w:val="00084357"/>
    <w:rsid w:val="00085505"/>
    <w:rsid w:val="000858D7"/>
    <w:rsid w:val="00087CEF"/>
    <w:rsid w:val="000914DA"/>
    <w:rsid w:val="00091EE8"/>
    <w:rsid w:val="00097F37"/>
    <w:rsid w:val="000A52BC"/>
    <w:rsid w:val="000B157B"/>
    <w:rsid w:val="000B1CD6"/>
    <w:rsid w:val="000B578C"/>
    <w:rsid w:val="000B640B"/>
    <w:rsid w:val="000B7485"/>
    <w:rsid w:val="000C4354"/>
    <w:rsid w:val="000C4C69"/>
    <w:rsid w:val="000D7518"/>
    <w:rsid w:val="000E0E38"/>
    <w:rsid w:val="000E68B8"/>
    <w:rsid w:val="000F205E"/>
    <w:rsid w:val="000F55E0"/>
    <w:rsid w:val="000F58D5"/>
    <w:rsid w:val="000F73BE"/>
    <w:rsid w:val="000F77E6"/>
    <w:rsid w:val="001026D1"/>
    <w:rsid w:val="00106723"/>
    <w:rsid w:val="00106747"/>
    <w:rsid w:val="001073B1"/>
    <w:rsid w:val="001104D2"/>
    <w:rsid w:val="0011266F"/>
    <w:rsid w:val="001176CA"/>
    <w:rsid w:val="00123420"/>
    <w:rsid w:val="00125767"/>
    <w:rsid w:val="00131D24"/>
    <w:rsid w:val="0013722D"/>
    <w:rsid w:val="0015081C"/>
    <w:rsid w:val="001545CF"/>
    <w:rsid w:val="00160006"/>
    <w:rsid w:val="00161EE8"/>
    <w:rsid w:val="00173001"/>
    <w:rsid w:val="00177B2D"/>
    <w:rsid w:val="001815B6"/>
    <w:rsid w:val="00182FA1"/>
    <w:rsid w:val="001871C8"/>
    <w:rsid w:val="00193B74"/>
    <w:rsid w:val="00197735"/>
    <w:rsid w:val="001A6267"/>
    <w:rsid w:val="001B5A77"/>
    <w:rsid w:val="001C112D"/>
    <w:rsid w:val="001C42EC"/>
    <w:rsid w:val="001C5987"/>
    <w:rsid w:val="001C5BA5"/>
    <w:rsid w:val="001C7F8A"/>
    <w:rsid w:val="001D1F47"/>
    <w:rsid w:val="001D6B4A"/>
    <w:rsid w:val="001E0899"/>
    <w:rsid w:val="001E1D74"/>
    <w:rsid w:val="001E7D5A"/>
    <w:rsid w:val="001F1D7F"/>
    <w:rsid w:val="00203F73"/>
    <w:rsid w:val="00211271"/>
    <w:rsid w:val="0021195D"/>
    <w:rsid w:val="00214968"/>
    <w:rsid w:val="00227198"/>
    <w:rsid w:val="00237054"/>
    <w:rsid w:val="002705B1"/>
    <w:rsid w:val="0027152B"/>
    <w:rsid w:val="0027548A"/>
    <w:rsid w:val="002754A3"/>
    <w:rsid w:val="00276CC1"/>
    <w:rsid w:val="0027754E"/>
    <w:rsid w:val="00283E8C"/>
    <w:rsid w:val="0028757B"/>
    <w:rsid w:val="00296641"/>
    <w:rsid w:val="002A1B42"/>
    <w:rsid w:val="002A62FD"/>
    <w:rsid w:val="002B53F4"/>
    <w:rsid w:val="002C7091"/>
    <w:rsid w:val="002D1651"/>
    <w:rsid w:val="002D3FD3"/>
    <w:rsid w:val="002E24CD"/>
    <w:rsid w:val="002E26FA"/>
    <w:rsid w:val="002E4C7C"/>
    <w:rsid w:val="002F02D1"/>
    <w:rsid w:val="002F289B"/>
    <w:rsid w:val="00310F0C"/>
    <w:rsid w:val="00313101"/>
    <w:rsid w:val="00313D2D"/>
    <w:rsid w:val="00322D57"/>
    <w:rsid w:val="00324CDC"/>
    <w:rsid w:val="00326647"/>
    <w:rsid w:val="00333FBA"/>
    <w:rsid w:val="003443D6"/>
    <w:rsid w:val="003453B2"/>
    <w:rsid w:val="003454A2"/>
    <w:rsid w:val="0034609F"/>
    <w:rsid w:val="00351DA0"/>
    <w:rsid w:val="00360308"/>
    <w:rsid w:val="00360885"/>
    <w:rsid w:val="00363187"/>
    <w:rsid w:val="0036327A"/>
    <w:rsid w:val="00367509"/>
    <w:rsid w:val="003727E2"/>
    <w:rsid w:val="00387875"/>
    <w:rsid w:val="00396A87"/>
    <w:rsid w:val="00397F24"/>
    <w:rsid w:val="003A20EA"/>
    <w:rsid w:val="003A461A"/>
    <w:rsid w:val="003A519E"/>
    <w:rsid w:val="003A641E"/>
    <w:rsid w:val="003B2E94"/>
    <w:rsid w:val="003B2EE3"/>
    <w:rsid w:val="003D3A75"/>
    <w:rsid w:val="003D4255"/>
    <w:rsid w:val="003D4698"/>
    <w:rsid w:val="003D4D88"/>
    <w:rsid w:val="003D5032"/>
    <w:rsid w:val="003D5050"/>
    <w:rsid w:val="003E1411"/>
    <w:rsid w:val="003E2B9F"/>
    <w:rsid w:val="003E7A3F"/>
    <w:rsid w:val="003F1867"/>
    <w:rsid w:val="003F35A7"/>
    <w:rsid w:val="0040476B"/>
    <w:rsid w:val="0041125B"/>
    <w:rsid w:val="00412215"/>
    <w:rsid w:val="00423CEC"/>
    <w:rsid w:val="00430F2D"/>
    <w:rsid w:val="004325A7"/>
    <w:rsid w:val="004329EC"/>
    <w:rsid w:val="00436D77"/>
    <w:rsid w:val="004421F6"/>
    <w:rsid w:val="00442EDE"/>
    <w:rsid w:val="00442F6F"/>
    <w:rsid w:val="0044351C"/>
    <w:rsid w:val="00444B45"/>
    <w:rsid w:val="00461164"/>
    <w:rsid w:val="0046407E"/>
    <w:rsid w:val="00464DBF"/>
    <w:rsid w:val="00471364"/>
    <w:rsid w:val="00483175"/>
    <w:rsid w:val="004845BD"/>
    <w:rsid w:val="004928CA"/>
    <w:rsid w:val="00493AFA"/>
    <w:rsid w:val="00494058"/>
    <w:rsid w:val="00495414"/>
    <w:rsid w:val="00495730"/>
    <w:rsid w:val="004957A7"/>
    <w:rsid w:val="004A1301"/>
    <w:rsid w:val="004A432D"/>
    <w:rsid w:val="004B1448"/>
    <w:rsid w:val="004B2319"/>
    <w:rsid w:val="004B4980"/>
    <w:rsid w:val="004C0050"/>
    <w:rsid w:val="004C3D07"/>
    <w:rsid w:val="004C6D38"/>
    <w:rsid w:val="004D30F5"/>
    <w:rsid w:val="004D3D0B"/>
    <w:rsid w:val="004D4B89"/>
    <w:rsid w:val="004D6C59"/>
    <w:rsid w:val="004D7153"/>
    <w:rsid w:val="004E3BCA"/>
    <w:rsid w:val="004E4699"/>
    <w:rsid w:val="004F1CF3"/>
    <w:rsid w:val="00502CC5"/>
    <w:rsid w:val="005041EE"/>
    <w:rsid w:val="005101C3"/>
    <w:rsid w:val="00510D78"/>
    <w:rsid w:val="005128E2"/>
    <w:rsid w:val="0052075D"/>
    <w:rsid w:val="0052270F"/>
    <w:rsid w:val="0052690E"/>
    <w:rsid w:val="00527BD6"/>
    <w:rsid w:val="00532E09"/>
    <w:rsid w:val="005361C0"/>
    <w:rsid w:val="00537CAB"/>
    <w:rsid w:val="00540D53"/>
    <w:rsid w:val="00543D0C"/>
    <w:rsid w:val="0054440B"/>
    <w:rsid w:val="005530DD"/>
    <w:rsid w:val="0056581E"/>
    <w:rsid w:val="0057257D"/>
    <w:rsid w:val="00573BEA"/>
    <w:rsid w:val="00574E67"/>
    <w:rsid w:val="00586396"/>
    <w:rsid w:val="00592C07"/>
    <w:rsid w:val="00592DFE"/>
    <w:rsid w:val="005944A2"/>
    <w:rsid w:val="00596F70"/>
    <w:rsid w:val="005A48DE"/>
    <w:rsid w:val="005B305D"/>
    <w:rsid w:val="005B4E66"/>
    <w:rsid w:val="005B5F18"/>
    <w:rsid w:val="005C4137"/>
    <w:rsid w:val="005D3790"/>
    <w:rsid w:val="005E5910"/>
    <w:rsid w:val="005F540D"/>
    <w:rsid w:val="005F5F66"/>
    <w:rsid w:val="005F6848"/>
    <w:rsid w:val="00602445"/>
    <w:rsid w:val="00602832"/>
    <w:rsid w:val="0061115F"/>
    <w:rsid w:val="00613E16"/>
    <w:rsid w:val="006211F3"/>
    <w:rsid w:val="00622480"/>
    <w:rsid w:val="00623968"/>
    <w:rsid w:val="00626D90"/>
    <w:rsid w:val="00634220"/>
    <w:rsid w:val="00647D58"/>
    <w:rsid w:val="00650B1B"/>
    <w:rsid w:val="00650F97"/>
    <w:rsid w:val="00654955"/>
    <w:rsid w:val="006631DD"/>
    <w:rsid w:val="00664BFF"/>
    <w:rsid w:val="00665038"/>
    <w:rsid w:val="0066560F"/>
    <w:rsid w:val="00667AEC"/>
    <w:rsid w:val="00670FF6"/>
    <w:rsid w:val="00676BB4"/>
    <w:rsid w:val="006810E0"/>
    <w:rsid w:val="00681D26"/>
    <w:rsid w:val="00684F73"/>
    <w:rsid w:val="00695657"/>
    <w:rsid w:val="00695E29"/>
    <w:rsid w:val="0069623F"/>
    <w:rsid w:val="006976F4"/>
    <w:rsid w:val="006A0F2F"/>
    <w:rsid w:val="006A20C9"/>
    <w:rsid w:val="006A228E"/>
    <w:rsid w:val="006A2356"/>
    <w:rsid w:val="006A2424"/>
    <w:rsid w:val="006C4284"/>
    <w:rsid w:val="006D3FDD"/>
    <w:rsid w:val="006D6266"/>
    <w:rsid w:val="006D7044"/>
    <w:rsid w:val="006D75C5"/>
    <w:rsid w:val="006F4161"/>
    <w:rsid w:val="006F433E"/>
    <w:rsid w:val="00700B80"/>
    <w:rsid w:val="007031F4"/>
    <w:rsid w:val="0071385B"/>
    <w:rsid w:val="007231E1"/>
    <w:rsid w:val="00733740"/>
    <w:rsid w:val="00734708"/>
    <w:rsid w:val="00734ED5"/>
    <w:rsid w:val="007362B0"/>
    <w:rsid w:val="00740000"/>
    <w:rsid w:val="00744F92"/>
    <w:rsid w:val="007452C0"/>
    <w:rsid w:val="00745D41"/>
    <w:rsid w:val="00766E7F"/>
    <w:rsid w:val="007771A2"/>
    <w:rsid w:val="00777221"/>
    <w:rsid w:val="00777C78"/>
    <w:rsid w:val="00785B02"/>
    <w:rsid w:val="00785FB7"/>
    <w:rsid w:val="00791ED9"/>
    <w:rsid w:val="007924AD"/>
    <w:rsid w:val="00796653"/>
    <w:rsid w:val="007B0B04"/>
    <w:rsid w:val="007C219E"/>
    <w:rsid w:val="007C37AB"/>
    <w:rsid w:val="007C3D5A"/>
    <w:rsid w:val="007E0223"/>
    <w:rsid w:val="007E6415"/>
    <w:rsid w:val="007F08F2"/>
    <w:rsid w:val="007F123C"/>
    <w:rsid w:val="007F1BA1"/>
    <w:rsid w:val="007F2021"/>
    <w:rsid w:val="007F3DFF"/>
    <w:rsid w:val="007F536E"/>
    <w:rsid w:val="007F6B17"/>
    <w:rsid w:val="00800E67"/>
    <w:rsid w:val="00800ECF"/>
    <w:rsid w:val="00807E53"/>
    <w:rsid w:val="00811C4B"/>
    <w:rsid w:val="0081313C"/>
    <w:rsid w:val="008131C8"/>
    <w:rsid w:val="00841F7D"/>
    <w:rsid w:val="00853C93"/>
    <w:rsid w:val="00854213"/>
    <w:rsid w:val="0086142A"/>
    <w:rsid w:val="008621BA"/>
    <w:rsid w:val="00862E40"/>
    <w:rsid w:val="00872E66"/>
    <w:rsid w:val="008747F8"/>
    <w:rsid w:val="008826F3"/>
    <w:rsid w:val="008832DA"/>
    <w:rsid w:val="00884B5C"/>
    <w:rsid w:val="008871D1"/>
    <w:rsid w:val="00891F49"/>
    <w:rsid w:val="0089798B"/>
    <w:rsid w:val="00897DAB"/>
    <w:rsid w:val="008B1E8E"/>
    <w:rsid w:val="008C79EB"/>
    <w:rsid w:val="008D2E28"/>
    <w:rsid w:val="008D3A5A"/>
    <w:rsid w:val="008E0246"/>
    <w:rsid w:val="008E1CBB"/>
    <w:rsid w:val="008E251A"/>
    <w:rsid w:val="008F2327"/>
    <w:rsid w:val="009074E7"/>
    <w:rsid w:val="00913061"/>
    <w:rsid w:val="009136AD"/>
    <w:rsid w:val="00913FEB"/>
    <w:rsid w:val="00914EA5"/>
    <w:rsid w:val="009259F7"/>
    <w:rsid w:val="009272A3"/>
    <w:rsid w:val="00927D60"/>
    <w:rsid w:val="009334AD"/>
    <w:rsid w:val="00936CDA"/>
    <w:rsid w:val="00937736"/>
    <w:rsid w:val="009422D3"/>
    <w:rsid w:val="00946EA4"/>
    <w:rsid w:val="00956748"/>
    <w:rsid w:val="00957B3D"/>
    <w:rsid w:val="00961EAB"/>
    <w:rsid w:val="00964ED0"/>
    <w:rsid w:val="00967774"/>
    <w:rsid w:val="00970E17"/>
    <w:rsid w:val="009717E6"/>
    <w:rsid w:val="00973FD3"/>
    <w:rsid w:val="00980243"/>
    <w:rsid w:val="009964F3"/>
    <w:rsid w:val="009A4172"/>
    <w:rsid w:val="009B05BE"/>
    <w:rsid w:val="009B3ECC"/>
    <w:rsid w:val="009B7F25"/>
    <w:rsid w:val="009C06FB"/>
    <w:rsid w:val="009C06FE"/>
    <w:rsid w:val="009C2901"/>
    <w:rsid w:val="009C4433"/>
    <w:rsid w:val="009C5368"/>
    <w:rsid w:val="009C7853"/>
    <w:rsid w:val="009D7EE8"/>
    <w:rsid w:val="009E6BF5"/>
    <w:rsid w:val="009F25DA"/>
    <w:rsid w:val="009F384B"/>
    <w:rsid w:val="009F5383"/>
    <w:rsid w:val="009F59CE"/>
    <w:rsid w:val="00A04BD4"/>
    <w:rsid w:val="00A04C6C"/>
    <w:rsid w:val="00A0639B"/>
    <w:rsid w:val="00A07021"/>
    <w:rsid w:val="00A2274D"/>
    <w:rsid w:val="00A241B3"/>
    <w:rsid w:val="00A364F3"/>
    <w:rsid w:val="00A408B5"/>
    <w:rsid w:val="00A4305E"/>
    <w:rsid w:val="00A43BD4"/>
    <w:rsid w:val="00A43D84"/>
    <w:rsid w:val="00A46B48"/>
    <w:rsid w:val="00A51DA2"/>
    <w:rsid w:val="00A53020"/>
    <w:rsid w:val="00A56DD6"/>
    <w:rsid w:val="00A579ED"/>
    <w:rsid w:val="00A62108"/>
    <w:rsid w:val="00A63A2B"/>
    <w:rsid w:val="00A6658B"/>
    <w:rsid w:val="00A66874"/>
    <w:rsid w:val="00A74266"/>
    <w:rsid w:val="00A82318"/>
    <w:rsid w:val="00A828B4"/>
    <w:rsid w:val="00A847C0"/>
    <w:rsid w:val="00A853DA"/>
    <w:rsid w:val="00A87977"/>
    <w:rsid w:val="00A953AB"/>
    <w:rsid w:val="00AA2A91"/>
    <w:rsid w:val="00AB2DA5"/>
    <w:rsid w:val="00AC15F2"/>
    <w:rsid w:val="00AC2517"/>
    <w:rsid w:val="00AC6013"/>
    <w:rsid w:val="00AD54F0"/>
    <w:rsid w:val="00AF1A6B"/>
    <w:rsid w:val="00AF531B"/>
    <w:rsid w:val="00B00CA3"/>
    <w:rsid w:val="00B04B20"/>
    <w:rsid w:val="00B13DD8"/>
    <w:rsid w:val="00B14A1F"/>
    <w:rsid w:val="00B21830"/>
    <w:rsid w:val="00B221E6"/>
    <w:rsid w:val="00B24153"/>
    <w:rsid w:val="00B2641C"/>
    <w:rsid w:val="00B466EB"/>
    <w:rsid w:val="00B46892"/>
    <w:rsid w:val="00B47FB0"/>
    <w:rsid w:val="00B53151"/>
    <w:rsid w:val="00B62159"/>
    <w:rsid w:val="00B631FC"/>
    <w:rsid w:val="00B651C2"/>
    <w:rsid w:val="00B666C2"/>
    <w:rsid w:val="00B8073A"/>
    <w:rsid w:val="00B81AF9"/>
    <w:rsid w:val="00B83E44"/>
    <w:rsid w:val="00B83F43"/>
    <w:rsid w:val="00B862B3"/>
    <w:rsid w:val="00B913C9"/>
    <w:rsid w:val="00B93BA5"/>
    <w:rsid w:val="00B974A4"/>
    <w:rsid w:val="00BA04C0"/>
    <w:rsid w:val="00BA0F26"/>
    <w:rsid w:val="00BA523A"/>
    <w:rsid w:val="00BB142A"/>
    <w:rsid w:val="00BB56E3"/>
    <w:rsid w:val="00BB7C56"/>
    <w:rsid w:val="00BC169E"/>
    <w:rsid w:val="00BC1E1A"/>
    <w:rsid w:val="00BC6907"/>
    <w:rsid w:val="00BD2BF7"/>
    <w:rsid w:val="00BE2C93"/>
    <w:rsid w:val="00BF058D"/>
    <w:rsid w:val="00BF089D"/>
    <w:rsid w:val="00BF1307"/>
    <w:rsid w:val="00BF167A"/>
    <w:rsid w:val="00BF3620"/>
    <w:rsid w:val="00C0090D"/>
    <w:rsid w:val="00C01525"/>
    <w:rsid w:val="00C02262"/>
    <w:rsid w:val="00C0244E"/>
    <w:rsid w:val="00C03631"/>
    <w:rsid w:val="00C10242"/>
    <w:rsid w:val="00C14FE5"/>
    <w:rsid w:val="00C153B7"/>
    <w:rsid w:val="00C15759"/>
    <w:rsid w:val="00C205B4"/>
    <w:rsid w:val="00C209E7"/>
    <w:rsid w:val="00C22B94"/>
    <w:rsid w:val="00C249E1"/>
    <w:rsid w:val="00C302FA"/>
    <w:rsid w:val="00C31F2A"/>
    <w:rsid w:val="00C3409D"/>
    <w:rsid w:val="00C3524A"/>
    <w:rsid w:val="00C41DBD"/>
    <w:rsid w:val="00C42253"/>
    <w:rsid w:val="00C43E56"/>
    <w:rsid w:val="00C464C8"/>
    <w:rsid w:val="00C47B10"/>
    <w:rsid w:val="00C635A2"/>
    <w:rsid w:val="00C725F3"/>
    <w:rsid w:val="00C72824"/>
    <w:rsid w:val="00C73118"/>
    <w:rsid w:val="00C804E4"/>
    <w:rsid w:val="00C817AF"/>
    <w:rsid w:val="00C84961"/>
    <w:rsid w:val="00C862EC"/>
    <w:rsid w:val="00C972B0"/>
    <w:rsid w:val="00C97BB7"/>
    <w:rsid w:val="00CA6CB3"/>
    <w:rsid w:val="00CB039F"/>
    <w:rsid w:val="00CB7226"/>
    <w:rsid w:val="00CD18C8"/>
    <w:rsid w:val="00CD2E9C"/>
    <w:rsid w:val="00CD777D"/>
    <w:rsid w:val="00CE124E"/>
    <w:rsid w:val="00CE5EA5"/>
    <w:rsid w:val="00CE7556"/>
    <w:rsid w:val="00CF080A"/>
    <w:rsid w:val="00CF3B3F"/>
    <w:rsid w:val="00CF57C0"/>
    <w:rsid w:val="00CF6983"/>
    <w:rsid w:val="00CF6FA2"/>
    <w:rsid w:val="00D02102"/>
    <w:rsid w:val="00D03396"/>
    <w:rsid w:val="00D104DF"/>
    <w:rsid w:val="00D12A01"/>
    <w:rsid w:val="00D12C6C"/>
    <w:rsid w:val="00D1654A"/>
    <w:rsid w:val="00D21F39"/>
    <w:rsid w:val="00D221F7"/>
    <w:rsid w:val="00D26F43"/>
    <w:rsid w:val="00D33585"/>
    <w:rsid w:val="00D37792"/>
    <w:rsid w:val="00D37824"/>
    <w:rsid w:val="00D4733C"/>
    <w:rsid w:val="00D47ACA"/>
    <w:rsid w:val="00D535B6"/>
    <w:rsid w:val="00D54E49"/>
    <w:rsid w:val="00D5668F"/>
    <w:rsid w:val="00D64906"/>
    <w:rsid w:val="00D64E29"/>
    <w:rsid w:val="00D65677"/>
    <w:rsid w:val="00D73CC9"/>
    <w:rsid w:val="00D87AF5"/>
    <w:rsid w:val="00D96B45"/>
    <w:rsid w:val="00DA1EBF"/>
    <w:rsid w:val="00DA25B2"/>
    <w:rsid w:val="00DA4D91"/>
    <w:rsid w:val="00DC04D1"/>
    <w:rsid w:val="00DC2C69"/>
    <w:rsid w:val="00DC3533"/>
    <w:rsid w:val="00DC58E9"/>
    <w:rsid w:val="00DC7061"/>
    <w:rsid w:val="00DD409D"/>
    <w:rsid w:val="00DD5618"/>
    <w:rsid w:val="00DE104D"/>
    <w:rsid w:val="00DE28A4"/>
    <w:rsid w:val="00DE2D0C"/>
    <w:rsid w:val="00DF10AE"/>
    <w:rsid w:val="00DF3941"/>
    <w:rsid w:val="00E037C0"/>
    <w:rsid w:val="00E04566"/>
    <w:rsid w:val="00E04742"/>
    <w:rsid w:val="00E07232"/>
    <w:rsid w:val="00E15497"/>
    <w:rsid w:val="00E201A8"/>
    <w:rsid w:val="00E24AD9"/>
    <w:rsid w:val="00E26237"/>
    <w:rsid w:val="00E27588"/>
    <w:rsid w:val="00E27E1E"/>
    <w:rsid w:val="00E35592"/>
    <w:rsid w:val="00E368A8"/>
    <w:rsid w:val="00E52DD3"/>
    <w:rsid w:val="00E567E3"/>
    <w:rsid w:val="00E651D9"/>
    <w:rsid w:val="00E66CBE"/>
    <w:rsid w:val="00E71D2D"/>
    <w:rsid w:val="00E7276E"/>
    <w:rsid w:val="00E75D47"/>
    <w:rsid w:val="00E77707"/>
    <w:rsid w:val="00E7797B"/>
    <w:rsid w:val="00E8018F"/>
    <w:rsid w:val="00E801F1"/>
    <w:rsid w:val="00E827D9"/>
    <w:rsid w:val="00E83E79"/>
    <w:rsid w:val="00E90C89"/>
    <w:rsid w:val="00E97DB6"/>
    <w:rsid w:val="00EA0027"/>
    <w:rsid w:val="00EA108D"/>
    <w:rsid w:val="00EB5398"/>
    <w:rsid w:val="00EC01E3"/>
    <w:rsid w:val="00EC047C"/>
    <w:rsid w:val="00EC0A9C"/>
    <w:rsid w:val="00EC4D85"/>
    <w:rsid w:val="00EC5653"/>
    <w:rsid w:val="00ED6D05"/>
    <w:rsid w:val="00EE054D"/>
    <w:rsid w:val="00EE21D4"/>
    <w:rsid w:val="00EE52E0"/>
    <w:rsid w:val="00EE6806"/>
    <w:rsid w:val="00EE78B0"/>
    <w:rsid w:val="00EF02E7"/>
    <w:rsid w:val="00EF132C"/>
    <w:rsid w:val="00EF2C6F"/>
    <w:rsid w:val="00EF38E6"/>
    <w:rsid w:val="00F019B0"/>
    <w:rsid w:val="00F12083"/>
    <w:rsid w:val="00F12137"/>
    <w:rsid w:val="00F14DE7"/>
    <w:rsid w:val="00F15D8B"/>
    <w:rsid w:val="00F2117D"/>
    <w:rsid w:val="00F22B1A"/>
    <w:rsid w:val="00F25B6E"/>
    <w:rsid w:val="00F25E66"/>
    <w:rsid w:val="00F26945"/>
    <w:rsid w:val="00F306D5"/>
    <w:rsid w:val="00F318C4"/>
    <w:rsid w:val="00F37C41"/>
    <w:rsid w:val="00F42400"/>
    <w:rsid w:val="00F44E81"/>
    <w:rsid w:val="00F50F9A"/>
    <w:rsid w:val="00F51379"/>
    <w:rsid w:val="00F61647"/>
    <w:rsid w:val="00F63C19"/>
    <w:rsid w:val="00F66A99"/>
    <w:rsid w:val="00F673DC"/>
    <w:rsid w:val="00F676F5"/>
    <w:rsid w:val="00F70A2E"/>
    <w:rsid w:val="00F71272"/>
    <w:rsid w:val="00F713A5"/>
    <w:rsid w:val="00F7706D"/>
    <w:rsid w:val="00F8051A"/>
    <w:rsid w:val="00F8236C"/>
    <w:rsid w:val="00F85CC7"/>
    <w:rsid w:val="00F91CD0"/>
    <w:rsid w:val="00F94485"/>
    <w:rsid w:val="00F97FCB"/>
    <w:rsid w:val="00FA52D4"/>
    <w:rsid w:val="00FA5345"/>
    <w:rsid w:val="00FA6D4E"/>
    <w:rsid w:val="00FB1E29"/>
    <w:rsid w:val="00FB3C1F"/>
    <w:rsid w:val="00FB41B7"/>
    <w:rsid w:val="00FB7085"/>
    <w:rsid w:val="00FC2F43"/>
    <w:rsid w:val="00FD1183"/>
    <w:rsid w:val="00FD5D3B"/>
    <w:rsid w:val="00FD747B"/>
    <w:rsid w:val="00FE36DA"/>
    <w:rsid w:val="00FF427E"/>
    <w:rsid w:val="00FF4DD6"/>
    <w:rsid w:val="00FF7BC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88"/>
    <w:pPr>
      <w:spacing w:after="0" w:line="240" w:lineRule="auto"/>
    </w:pPr>
    <w:rPr>
      <w:rFonts w:ascii="Trebuchet MS" w:eastAsia="Calibri" w:hAnsi="Trebuchet MS" w:cs="Times New Roman"/>
    </w:rPr>
  </w:style>
  <w:style w:type="paragraph" w:styleId="Heading1">
    <w:name w:val="heading 1"/>
    <w:basedOn w:val="Normal"/>
    <w:next w:val="Normal"/>
    <w:link w:val="Heading1Char"/>
    <w:uiPriority w:val="5"/>
    <w:qFormat/>
    <w:rsid w:val="009C5368"/>
    <w:pPr>
      <w:keepNext/>
      <w:keepLines/>
      <w:outlineLvl w:val="0"/>
    </w:pPr>
    <w:rPr>
      <w:rFonts w:eastAsiaTheme="majorEastAsia" w:cstheme="majorBidi"/>
      <w:b/>
      <w:bCs/>
      <w:color w:val="000000" w:themeColor="text1"/>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heme="majorEastAsia" w:cstheme="majorBidi"/>
      <w:b/>
      <w:bCs/>
      <w:color w:val="000000" w:themeColor="text1"/>
    </w:rPr>
  </w:style>
  <w:style w:type="paragraph" w:styleId="Heading3">
    <w:name w:val="heading 3"/>
    <w:basedOn w:val="Normal"/>
    <w:next w:val="Normal"/>
    <w:link w:val="Heading3Char"/>
    <w:uiPriority w:val="7"/>
    <w:unhideWhenUsed/>
    <w:qFormat/>
    <w:rsid w:val="00F7706D"/>
    <w:pPr>
      <w:keepNext/>
      <w:keepLines/>
      <w:outlineLvl w:val="2"/>
    </w:pPr>
    <w:rPr>
      <w:rFonts w:eastAsiaTheme="majorEastAsia" w:cstheme="majorBidi"/>
      <w:bCs/>
      <w:i/>
      <w:color w:val="000000" w:themeColor="text1"/>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heme="majorEastAsia" w:cstheme="majorBidi"/>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heme="majorEastAsia" w:hAnsi="Trebuchet MS" w:cstheme="majorBidi"/>
      <w:b/>
      <w:bCs/>
      <w:color w:val="000000" w:themeColor="text1"/>
      <w:sz w:val="26"/>
      <w:szCs w:val="26"/>
    </w:rPr>
  </w:style>
  <w:style w:type="character" w:customStyle="1" w:styleId="Heading2Char">
    <w:name w:val="Heading 2 Char"/>
    <w:basedOn w:val="DefaultParagraphFont"/>
    <w:link w:val="Heading2"/>
    <w:uiPriority w:val="6"/>
    <w:rsid w:val="00F7706D"/>
    <w:rPr>
      <w:rFonts w:ascii="Trebuchet MS" w:eastAsiaTheme="majorEastAsia" w:hAnsi="Trebuchet MS" w:cstheme="majorBidi"/>
      <w:b/>
      <w:bCs/>
      <w:color w:val="000000" w:themeColor="text1"/>
    </w:rPr>
  </w:style>
  <w:style w:type="character" w:customStyle="1" w:styleId="Heading3Char">
    <w:name w:val="Heading 3 Char"/>
    <w:basedOn w:val="DefaultParagraphFont"/>
    <w:link w:val="Heading3"/>
    <w:uiPriority w:val="7"/>
    <w:rsid w:val="00F7706D"/>
    <w:rPr>
      <w:rFonts w:ascii="Trebuchet MS" w:eastAsiaTheme="majorEastAsia" w:hAnsi="Trebuchet MS" w:cstheme="majorBidi"/>
      <w:bCs/>
      <w:i/>
      <w:color w:val="000000" w:themeColor="text1"/>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heme="majorEastAsia" w:hAnsi="Trebuchet MS" w:cstheme="majorBidi"/>
      <w:iCs/>
      <w:color w:val="0C2577"/>
      <w:sz w:val="9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7031F4"/>
    <w:rPr>
      <w:rFonts w:eastAsiaTheme="majorEastAsia" w:cstheme="majorBidi"/>
      <w:sz w:val="20"/>
      <w:szCs w:val="20"/>
    </w:rPr>
  </w:style>
  <w:style w:type="paragraph" w:styleId="ListParagraph">
    <w:name w:val="List Paragraph"/>
    <w:basedOn w:val="Normal"/>
    <w:uiPriority w:val="34"/>
    <w:qFormat/>
    <w:rsid w:val="00E27588"/>
    <w:pPr>
      <w:ind w:left="720"/>
    </w:pPr>
  </w:style>
  <w:style w:type="paragraph" w:styleId="FootnoteText">
    <w:name w:val="footnote text"/>
    <w:basedOn w:val="Normal"/>
    <w:link w:val="FootnoteTextChar"/>
    <w:uiPriority w:val="99"/>
    <w:semiHidden/>
    <w:unhideWhenUsed/>
    <w:rsid w:val="00E27588"/>
    <w:rPr>
      <w:sz w:val="20"/>
      <w:szCs w:val="20"/>
    </w:rPr>
  </w:style>
  <w:style w:type="character" w:customStyle="1" w:styleId="FootnoteTextChar">
    <w:name w:val="Footnote Text Char"/>
    <w:basedOn w:val="DefaultParagraphFont"/>
    <w:link w:val="FootnoteText"/>
    <w:uiPriority w:val="99"/>
    <w:semiHidden/>
    <w:rsid w:val="00E27588"/>
    <w:rPr>
      <w:rFonts w:ascii="Trebuchet MS" w:eastAsia="Calibri" w:hAnsi="Trebuchet MS" w:cs="Times New Roman"/>
      <w:sz w:val="20"/>
      <w:szCs w:val="20"/>
    </w:rPr>
  </w:style>
  <w:style w:type="character" w:styleId="FootnoteReference">
    <w:name w:val="footnote reference"/>
    <w:basedOn w:val="DefaultParagraphFont"/>
    <w:uiPriority w:val="99"/>
    <w:semiHidden/>
    <w:unhideWhenUsed/>
    <w:rsid w:val="00E27588"/>
    <w:rPr>
      <w:vertAlign w:val="superscript"/>
    </w:rPr>
  </w:style>
  <w:style w:type="character" w:styleId="Hyperlink">
    <w:name w:val="Hyperlink"/>
    <w:basedOn w:val="DefaultParagraphFont"/>
    <w:uiPriority w:val="99"/>
    <w:unhideWhenUsed/>
    <w:rsid w:val="00E27588"/>
    <w:rPr>
      <w:color w:val="0000FF" w:themeColor="hyperlink"/>
      <w:u w:val="single"/>
    </w:rPr>
  </w:style>
  <w:style w:type="character" w:customStyle="1" w:styleId="HeaderChar">
    <w:name w:val="Header Char"/>
    <w:basedOn w:val="DefaultParagraphFont"/>
    <w:link w:val="Header"/>
    <w:uiPriority w:val="99"/>
    <w:semiHidden/>
    <w:rsid w:val="00E27588"/>
    <w:rPr>
      <w:rFonts w:ascii="Trebuchet MS" w:eastAsia="Calibri" w:hAnsi="Trebuchet MS" w:cs="Times New Roman"/>
    </w:rPr>
  </w:style>
  <w:style w:type="paragraph" w:styleId="Header">
    <w:name w:val="header"/>
    <w:basedOn w:val="Normal"/>
    <w:link w:val="HeaderChar"/>
    <w:uiPriority w:val="99"/>
    <w:semiHidden/>
    <w:unhideWhenUsed/>
    <w:rsid w:val="00E27588"/>
    <w:pPr>
      <w:tabs>
        <w:tab w:val="center" w:pos="4513"/>
        <w:tab w:val="right" w:pos="9026"/>
      </w:tabs>
    </w:pPr>
  </w:style>
  <w:style w:type="paragraph" w:styleId="Footer">
    <w:name w:val="footer"/>
    <w:basedOn w:val="Normal"/>
    <w:link w:val="FooterChar"/>
    <w:uiPriority w:val="99"/>
    <w:unhideWhenUsed/>
    <w:rsid w:val="00E27588"/>
    <w:pPr>
      <w:tabs>
        <w:tab w:val="center" w:pos="4513"/>
        <w:tab w:val="right" w:pos="9026"/>
      </w:tabs>
    </w:pPr>
  </w:style>
  <w:style w:type="character" w:customStyle="1" w:styleId="FooterChar">
    <w:name w:val="Footer Char"/>
    <w:basedOn w:val="DefaultParagraphFont"/>
    <w:link w:val="Footer"/>
    <w:uiPriority w:val="99"/>
    <w:rsid w:val="00E27588"/>
    <w:rPr>
      <w:rFonts w:ascii="Trebuchet MS" w:eastAsia="Calibri" w:hAnsi="Trebuchet MS" w:cs="Times New Roman"/>
    </w:rPr>
  </w:style>
  <w:style w:type="character" w:styleId="CommentReference">
    <w:name w:val="annotation reference"/>
    <w:basedOn w:val="DefaultParagraphFont"/>
    <w:uiPriority w:val="99"/>
    <w:semiHidden/>
    <w:unhideWhenUsed/>
    <w:rsid w:val="00E27588"/>
    <w:rPr>
      <w:sz w:val="16"/>
      <w:szCs w:val="16"/>
    </w:rPr>
  </w:style>
  <w:style w:type="paragraph" w:styleId="CommentText">
    <w:name w:val="annotation text"/>
    <w:basedOn w:val="Normal"/>
    <w:link w:val="CommentTextChar"/>
    <w:uiPriority w:val="99"/>
    <w:unhideWhenUsed/>
    <w:rsid w:val="00E27588"/>
    <w:rPr>
      <w:sz w:val="20"/>
      <w:szCs w:val="20"/>
    </w:rPr>
  </w:style>
  <w:style w:type="character" w:customStyle="1" w:styleId="CommentTextChar">
    <w:name w:val="Comment Text Char"/>
    <w:basedOn w:val="DefaultParagraphFont"/>
    <w:link w:val="CommentText"/>
    <w:uiPriority w:val="99"/>
    <w:rsid w:val="00E27588"/>
    <w:rPr>
      <w:rFonts w:ascii="Trebuchet MS" w:eastAsia="Calibri" w:hAnsi="Trebuchet MS" w:cs="Times New Roman"/>
      <w:sz w:val="20"/>
      <w:szCs w:val="20"/>
    </w:rPr>
  </w:style>
  <w:style w:type="character" w:customStyle="1" w:styleId="CommentSubjectChar">
    <w:name w:val="Comment Subject Char"/>
    <w:basedOn w:val="CommentTextChar"/>
    <w:link w:val="CommentSubject"/>
    <w:uiPriority w:val="99"/>
    <w:semiHidden/>
    <w:rsid w:val="00E27588"/>
    <w:rPr>
      <w:b/>
      <w:bCs/>
    </w:rPr>
  </w:style>
  <w:style w:type="paragraph" w:styleId="CommentSubject">
    <w:name w:val="annotation subject"/>
    <w:basedOn w:val="CommentText"/>
    <w:next w:val="CommentText"/>
    <w:link w:val="CommentSubjectChar"/>
    <w:uiPriority w:val="99"/>
    <w:semiHidden/>
    <w:unhideWhenUsed/>
    <w:rsid w:val="00E27588"/>
    <w:rPr>
      <w:b/>
      <w:bCs/>
    </w:rPr>
  </w:style>
  <w:style w:type="paragraph" w:customStyle="1" w:styleId="Pa9">
    <w:name w:val="Pa9"/>
    <w:basedOn w:val="Normal"/>
    <w:next w:val="Normal"/>
    <w:uiPriority w:val="99"/>
    <w:rsid w:val="00E27588"/>
    <w:pPr>
      <w:autoSpaceDE w:val="0"/>
      <w:autoSpaceDN w:val="0"/>
      <w:adjustRightInd w:val="0"/>
      <w:spacing w:line="401" w:lineRule="atLeast"/>
    </w:pPr>
    <w:rPr>
      <w:rFonts w:ascii="Today SB" w:hAnsi="Today SB"/>
      <w:sz w:val="24"/>
      <w:szCs w:val="24"/>
      <w:lang w:eastAsia="en-AU"/>
    </w:rPr>
  </w:style>
  <w:style w:type="paragraph" w:customStyle="1" w:styleId="Pa7">
    <w:name w:val="Pa7"/>
    <w:basedOn w:val="Normal"/>
    <w:next w:val="Normal"/>
    <w:uiPriority w:val="99"/>
    <w:rsid w:val="00E27588"/>
    <w:pPr>
      <w:autoSpaceDE w:val="0"/>
      <w:autoSpaceDN w:val="0"/>
      <w:adjustRightInd w:val="0"/>
      <w:spacing w:line="221" w:lineRule="atLeast"/>
    </w:pPr>
    <w:rPr>
      <w:rFonts w:ascii="Today SB" w:hAnsi="Today SB"/>
      <w:sz w:val="24"/>
      <w:szCs w:val="24"/>
      <w:lang w:eastAsia="en-AU"/>
    </w:rPr>
  </w:style>
  <w:style w:type="paragraph" w:customStyle="1" w:styleId="Default">
    <w:name w:val="Default"/>
    <w:rsid w:val="00E27588"/>
    <w:pPr>
      <w:autoSpaceDE w:val="0"/>
      <w:autoSpaceDN w:val="0"/>
      <w:adjustRightInd w:val="0"/>
      <w:spacing w:after="0" w:line="240" w:lineRule="auto"/>
    </w:pPr>
    <w:rPr>
      <w:rFonts w:ascii="Today SB" w:eastAsia="Calibri" w:hAnsi="Today SB" w:cs="Today SB"/>
      <w:color w:val="000000"/>
      <w:sz w:val="24"/>
      <w:szCs w:val="24"/>
      <w:lang w:eastAsia="en-AU"/>
    </w:rPr>
  </w:style>
  <w:style w:type="paragraph" w:customStyle="1" w:styleId="Pa15">
    <w:name w:val="Pa15"/>
    <w:basedOn w:val="Default"/>
    <w:next w:val="Default"/>
    <w:uiPriority w:val="99"/>
    <w:rsid w:val="00E27588"/>
    <w:pPr>
      <w:spacing w:line="231" w:lineRule="atLeast"/>
    </w:pPr>
    <w:rPr>
      <w:rFonts w:cs="Times New Roman"/>
      <w:color w:val="auto"/>
    </w:rPr>
  </w:style>
  <w:style w:type="paragraph" w:styleId="Revision">
    <w:name w:val="Revision"/>
    <w:hidden/>
    <w:uiPriority w:val="99"/>
    <w:semiHidden/>
    <w:rsid w:val="00602832"/>
    <w:pPr>
      <w:spacing w:after="0" w:line="240" w:lineRule="auto"/>
    </w:pPr>
    <w:rPr>
      <w:rFonts w:ascii="Trebuchet MS" w:eastAsia="Calibri" w:hAnsi="Trebuchet MS" w:cs="Times New Roman"/>
    </w:rPr>
  </w:style>
</w:styles>
</file>

<file path=word/webSettings.xml><?xml version="1.0" encoding="utf-8"?>
<w:webSettings xmlns:r="http://schemas.openxmlformats.org/officeDocument/2006/relationships" xmlns:w="http://schemas.openxmlformats.org/wordprocessingml/2006/main">
  <w:divs>
    <w:div w:id="2601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6AA7-25ED-46CF-B08C-1336CE73AC9B}">
  <ds:schemaRefs>
    <ds:schemaRef ds:uri="http://schemas.openxmlformats.org/officeDocument/2006/bibliography"/>
  </ds:schemaRefs>
</ds:datastoreItem>
</file>

<file path=customXml/itemProps2.xml><?xml version="1.0" encoding="utf-8"?>
<ds:datastoreItem xmlns:ds="http://schemas.openxmlformats.org/officeDocument/2006/customXml" ds:itemID="{F2740C06-4010-4A95-9007-65428ED7EE24}">
  <ds:schemaRefs>
    <ds:schemaRef ds:uri="http://schemas.openxmlformats.org/officeDocument/2006/bibliography"/>
  </ds:schemaRefs>
</ds:datastoreItem>
</file>

<file path=customXml/itemProps3.xml><?xml version="1.0" encoding="utf-8"?>
<ds:datastoreItem xmlns:ds="http://schemas.openxmlformats.org/officeDocument/2006/customXml" ds:itemID="{483C2CA8-AED4-4599-B136-3DBC67610B35}">
  <ds:schemaRefs>
    <ds:schemaRef ds:uri="http://schemas.openxmlformats.org/officeDocument/2006/bibliography"/>
  </ds:schemaRefs>
</ds:datastoreItem>
</file>

<file path=customXml/itemProps4.xml><?xml version="1.0" encoding="utf-8"?>
<ds:datastoreItem xmlns:ds="http://schemas.openxmlformats.org/officeDocument/2006/customXml" ds:itemID="{504A3884-2CFE-466E-910B-556952549D55}">
  <ds:schemaRefs>
    <ds:schemaRef ds:uri="http://schemas.openxmlformats.org/officeDocument/2006/bibliography"/>
  </ds:schemaRefs>
</ds:datastoreItem>
</file>

<file path=customXml/itemProps5.xml><?xml version="1.0" encoding="utf-8"?>
<ds:datastoreItem xmlns:ds="http://schemas.openxmlformats.org/officeDocument/2006/customXml" ds:itemID="{32CC9E5B-B187-48E1-A090-6290372150AF}">
  <ds:schemaRefs>
    <ds:schemaRef ds:uri="http://schemas.openxmlformats.org/officeDocument/2006/bibliography"/>
  </ds:schemaRefs>
</ds:datastoreItem>
</file>

<file path=customXml/itemProps6.xml><?xml version="1.0" encoding="utf-8"?>
<ds:datastoreItem xmlns:ds="http://schemas.openxmlformats.org/officeDocument/2006/customXml" ds:itemID="{08E82DA8-365B-4B29-AB0E-51C29193FD06}">
  <ds:schemaRefs>
    <ds:schemaRef ds:uri="http://schemas.openxmlformats.org/officeDocument/2006/bibliography"/>
  </ds:schemaRefs>
</ds:datastoreItem>
</file>

<file path=customXml/itemProps7.xml><?xml version="1.0" encoding="utf-8"?>
<ds:datastoreItem xmlns:ds="http://schemas.openxmlformats.org/officeDocument/2006/customXml" ds:itemID="{F2FDAD11-8F42-401B-9FA4-C8C252FD79C1}">
  <ds:schemaRefs>
    <ds:schemaRef ds:uri="http://schemas.openxmlformats.org/officeDocument/2006/bibliography"/>
  </ds:schemaRefs>
</ds:datastoreItem>
</file>

<file path=customXml/itemProps8.xml><?xml version="1.0" encoding="utf-8"?>
<ds:datastoreItem xmlns:ds="http://schemas.openxmlformats.org/officeDocument/2006/customXml" ds:itemID="{CE9EE527-4498-4963-9691-C9B82FD3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12117</Words>
  <Characters>69072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81027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Pu</dc:creator>
  <cp:lastModifiedBy>Kate Bible</cp:lastModifiedBy>
  <cp:revision>2</cp:revision>
  <cp:lastPrinted>2012-05-23T02:44:00Z</cp:lastPrinted>
  <dcterms:created xsi:type="dcterms:W3CDTF">2012-12-24T02:39:00Z</dcterms:created>
  <dcterms:modified xsi:type="dcterms:W3CDTF">2012-12-24T02:39:00Z</dcterms:modified>
</cp:coreProperties>
</file>