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00" w:rsidRDefault="00797500">
      <w:pPr>
        <w:jc w:val="center"/>
        <w:rPr>
          <w:b/>
          <w:u w:val="single"/>
        </w:rPr>
      </w:pPr>
    </w:p>
    <w:p w:rsidR="00797500" w:rsidRDefault="00797500">
      <w:pPr>
        <w:jc w:val="center"/>
        <w:rPr>
          <w:b/>
          <w:u w:val="single"/>
        </w:rPr>
      </w:pPr>
    </w:p>
    <w:p w:rsidR="00116DB6" w:rsidRPr="00A2181D" w:rsidRDefault="00A2181D">
      <w:pPr>
        <w:jc w:val="center"/>
        <w:rPr>
          <w:b/>
          <w:u w:val="single"/>
        </w:rPr>
      </w:pPr>
      <w:r w:rsidRPr="00A2181D">
        <w:rPr>
          <w:b/>
          <w:u w:val="single"/>
        </w:rPr>
        <w:t xml:space="preserve">EXPLANATORY </w:t>
      </w:r>
      <w:r w:rsidR="00797500">
        <w:rPr>
          <w:b/>
          <w:u w:val="single"/>
        </w:rPr>
        <w:t>STATEMENT</w:t>
      </w:r>
    </w:p>
    <w:p w:rsidR="007E7E48" w:rsidRDefault="007E7E48" w:rsidP="00457E4A">
      <w:pPr>
        <w:rPr>
          <w:b/>
        </w:rPr>
      </w:pPr>
    </w:p>
    <w:p w:rsidR="00A2181D" w:rsidRDefault="00660062" w:rsidP="00660062">
      <w:pPr>
        <w:jc w:val="center"/>
        <w:rPr>
          <w:u w:val="single"/>
        </w:rPr>
      </w:pPr>
      <w:r w:rsidRPr="004B0AE7">
        <w:rPr>
          <w:rFonts w:ascii="Times New Roman" w:hAnsi="Times New Roman"/>
          <w:i/>
          <w:szCs w:val="24"/>
        </w:rPr>
        <w:t>Therapeutic Goods Act 1989</w:t>
      </w:r>
    </w:p>
    <w:p w:rsidR="00660062" w:rsidRDefault="00660062" w:rsidP="00457E4A">
      <w:pPr>
        <w:rPr>
          <w:u w:val="single"/>
        </w:rPr>
      </w:pPr>
    </w:p>
    <w:p w:rsidR="00B16CCB" w:rsidRPr="00660062" w:rsidRDefault="00B16CCB" w:rsidP="00B16CCB">
      <w:pPr>
        <w:jc w:val="center"/>
        <w:rPr>
          <w:b/>
          <w:sz w:val="20"/>
        </w:rPr>
      </w:pPr>
      <w:r w:rsidRPr="00660062">
        <w:rPr>
          <w:b/>
        </w:rPr>
        <w:t xml:space="preserve">Therapeutic Goods Information </w:t>
      </w:r>
      <w:r w:rsidR="001A3537">
        <w:rPr>
          <w:b/>
        </w:rPr>
        <w:t>(</w:t>
      </w:r>
      <w:r w:rsidR="001D1F60">
        <w:rPr>
          <w:b/>
        </w:rPr>
        <w:t>System for Australian Recall Actions</w:t>
      </w:r>
      <w:r w:rsidR="00A25BB0">
        <w:rPr>
          <w:b/>
        </w:rPr>
        <w:t xml:space="preserve">) </w:t>
      </w:r>
      <w:r w:rsidRPr="00660062">
        <w:rPr>
          <w:b/>
        </w:rPr>
        <w:t xml:space="preserve">Specification </w:t>
      </w:r>
      <w:r w:rsidR="00F13532" w:rsidRPr="00660062">
        <w:rPr>
          <w:b/>
        </w:rPr>
        <w:t>20</w:t>
      </w:r>
      <w:r w:rsidR="00F13532">
        <w:rPr>
          <w:b/>
        </w:rPr>
        <w:t>13</w:t>
      </w:r>
    </w:p>
    <w:p w:rsidR="00A2181D" w:rsidRDefault="00A2181D">
      <w:pPr>
        <w:jc w:val="center"/>
        <w:rPr>
          <w:b/>
        </w:rPr>
      </w:pPr>
    </w:p>
    <w:p w:rsidR="00270F5B" w:rsidRDefault="00270F5B" w:rsidP="00270F5B">
      <w:pPr>
        <w:autoSpaceDE w:val="0"/>
        <w:autoSpaceDN w:val="0"/>
        <w:adjustRightInd w:val="0"/>
        <w:rPr>
          <w:rFonts w:ascii="Times New Roman" w:hAnsi="Times New Roman"/>
          <w:szCs w:val="24"/>
        </w:rPr>
      </w:pPr>
      <w:r>
        <w:rPr>
          <w:rFonts w:ascii="Times New Roman" w:hAnsi="Times New Roman"/>
          <w:szCs w:val="24"/>
        </w:rPr>
        <w:t xml:space="preserve">The </w:t>
      </w:r>
      <w:r w:rsidR="00660062" w:rsidRPr="004B0AE7">
        <w:rPr>
          <w:rFonts w:ascii="Times New Roman" w:hAnsi="Times New Roman"/>
          <w:i/>
          <w:szCs w:val="24"/>
        </w:rPr>
        <w:t>Therapeutic Goods Act 1989</w:t>
      </w:r>
      <w:r w:rsidR="00660062">
        <w:rPr>
          <w:rFonts w:ascii="Times New Roman" w:hAnsi="Times New Roman"/>
          <w:szCs w:val="24"/>
        </w:rPr>
        <w:t xml:space="preserve"> (the Act)</w:t>
      </w:r>
      <w:r>
        <w:rPr>
          <w:rFonts w:ascii="Times New Roman" w:hAnsi="Times New Roman"/>
          <w:szCs w:val="24"/>
        </w:rPr>
        <w:t xml:space="preserve"> provides for the establishment and maintenance of a national system of controls for the quality, safety, efficacy and timely availability of therapeutic goods that are used in or exported from Australia.  The Therapeutic Goods Administration (the TGA)</w:t>
      </w:r>
      <w:r w:rsidR="001D1F60">
        <w:rPr>
          <w:rFonts w:ascii="Times New Roman" w:hAnsi="Times New Roman"/>
          <w:szCs w:val="24"/>
        </w:rPr>
        <w:t xml:space="preserve">, which is a </w:t>
      </w:r>
      <w:r w:rsidR="00313294">
        <w:rPr>
          <w:rFonts w:ascii="Times New Roman" w:hAnsi="Times New Roman"/>
          <w:szCs w:val="24"/>
        </w:rPr>
        <w:t>d</w:t>
      </w:r>
      <w:r w:rsidR="001D1F60">
        <w:rPr>
          <w:rFonts w:ascii="Times New Roman" w:hAnsi="Times New Roman"/>
          <w:szCs w:val="24"/>
        </w:rPr>
        <w:t>ivision of the Department of Health and Ageing,</w:t>
      </w:r>
      <w:r>
        <w:rPr>
          <w:rFonts w:ascii="Times New Roman" w:hAnsi="Times New Roman"/>
          <w:szCs w:val="24"/>
        </w:rPr>
        <w:t xml:space="preserve"> is responsible for administering the Act.</w:t>
      </w:r>
    </w:p>
    <w:p w:rsidR="00270F5B" w:rsidRDefault="00270F5B" w:rsidP="00270F5B">
      <w:pPr>
        <w:autoSpaceDE w:val="0"/>
        <w:autoSpaceDN w:val="0"/>
        <w:adjustRightInd w:val="0"/>
        <w:rPr>
          <w:rFonts w:ascii="Times New Roman" w:hAnsi="Times New Roman"/>
          <w:szCs w:val="24"/>
        </w:rPr>
      </w:pPr>
    </w:p>
    <w:p w:rsidR="00270F5B" w:rsidRDefault="00270F5B" w:rsidP="00270F5B">
      <w:pPr>
        <w:autoSpaceDE w:val="0"/>
        <w:autoSpaceDN w:val="0"/>
        <w:adjustRightInd w:val="0"/>
        <w:rPr>
          <w:rFonts w:ascii="Times New Roman" w:hAnsi="Times New Roman"/>
          <w:szCs w:val="24"/>
        </w:rPr>
      </w:pPr>
      <w:r>
        <w:rPr>
          <w:rFonts w:ascii="Times New Roman" w:hAnsi="Times New Roman"/>
          <w:szCs w:val="24"/>
        </w:rPr>
        <w:t>Section 61 of the Act lists a number of persons or organisations</w:t>
      </w:r>
      <w:r w:rsidR="00313294">
        <w:rPr>
          <w:rFonts w:ascii="Times New Roman" w:hAnsi="Times New Roman"/>
          <w:szCs w:val="24"/>
        </w:rPr>
        <w:t>,</w:t>
      </w:r>
      <w:r>
        <w:rPr>
          <w:rFonts w:ascii="Times New Roman" w:hAnsi="Times New Roman"/>
          <w:szCs w:val="24"/>
        </w:rPr>
        <w:t xml:space="preserve"> </w:t>
      </w:r>
      <w:r w:rsidR="00E91DE1">
        <w:rPr>
          <w:rFonts w:ascii="Times New Roman" w:hAnsi="Times New Roman"/>
          <w:szCs w:val="24"/>
        </w:rPr>
        <w:t xml:space="preserve">such as the World Health Organisation and State </w:t>
      </w:r>
      <w:r w:rsidR="00313294">
        <w:rPr>
          <w:rFonts w:ascii="Times New Roman" w:hAnsi="Times New Roman"/>
          <w:szCs w:val="24"/>
        </w:rPr>
        <w:t xml:space="preserve">and </w:t>
      </w:r>
      <w:r w:rsidR="00E91DE1">
        <w:rPr>
          <w:rFonts w:ascii="Times New Roman" w:hAnsi="Times New Roman"/>
          <w:szCs w:val="24"/>
        </w:rPr>
        <w:t>Territory authorities</w:t>
      </w:r>
      <w:r w:rsidR="00313294">
        <w:rPr>
          <w:rFonts w:ascii="Times New Roman" w:hAnsi="Times New Roman"/>
          <w:szCs w:val="24"/>
        </w:rPr>
        <w:t>,</w:t>
      </w:r>
      <w:r w:rsidR="00E91DE1">
        <w:rPr>
          <w:rFonts w:ascii="Times New Roman" w:hAnsi="Times New Roman"/>
          <w:szCs w:val="24"/>
        </w:rPr>
        <w:t xml:space="preserve"> that have functions relating to therapeutic goods, </w:t>
      </w:r>
      <w:r>
        <w:rPr>
          <w:rFonts w:ascii="Times New Roman" w:hAnsi="Times New Roman"/>
          <w:szCs w:val="24"/>
        </w:rPr>
        <w:t xml:space="preserve">to </w:t>
      </w:r>
      <w:r w:rsidR="00292C27">
        <w:rPr>
          <w:rFonts w:ascii="Times New Roman" w:hAnsi="Times New Roman"/>
          <w:szCs w:val="24"/>
        </w:rPr>
        <w:t xml:space="preserve">which </w:t>
      </w:r>
      <w:r>
        <w:rPr>
          <w:rFonts w:ascii="Times New Roman" w:hAnsi="Times New Roman"/>
          <w:szCs w:val="24"/>
        </w:rPr>
        <w:t>the Secretary may release specified kinds of therapeutic goods information.</w:t>
      </w:r>
    </w:p>
    <w:p w:rsidR="00270F5B" w:rsidRDefault="00270F5B" w:rsidP="00B16CCB">
      <w:pPr>
        <w:autoSpaceDE w:val="0"/>
        <w:autoSpaceDN w:val="0"/>
        <w:adjustRightInd w:val="0"/>
        <w:rPr>
          <w:rFonts w:ascii="Times New Roman" w:hAnsi="Times New Roman"/>
          <w:szCs w:val="24"/>
        </w:rPr>
      </w:pPr>
    </w:p>
    <w:p w:rsidR="006464B2" w:rsidRDefault="0067666F" w:rsidP="00B16CCB">
      <w:pPr>
        <w:autoSpaceDE w:val="0"/>
        <w:autoSpaceDN w:val="0"/>
        <w:adjustRightInd w:val="0"/>
        <w:rPr>
          <w:rFonts w:ascii="Times New Roman" w:hAnsi="Times New Roman"/>
          <w:szCs w:val="24"/>
        </w:rPr>
      </w:pPr>
      <w:r>
        <w:rPr>
          <w:rFonts w:ascii="Times New Roman" w:hAnsi="Times New Roman"/>
          <w:szCs w:val="24"/>
        </w:rPr>
        <w:t xml:space="preserve">The </w:t>
      </w:r>
      <w:r w:rsidR="004B0AE7" w:rsidRPr="00FA78E9">
        <w:rPr>
          <w:rFonts w:ascii="Times New Roman" w:hAnsi="Times New Roman"/>
          <w:i/>
          <w:szCs w:val="24"/>
        </w:rPr>
        <w:t>Therapeutic Goo</w:t>
      </w:r>
      <w:r w:rsidR="000F42C5" w:rsidRPr="00FA78E9">
        <w:rPr>
          <w:rFonts w:ascii="Times New Roman" w:hAnsi="Times New Roman"/>
          <w:i/>
          <w:szCs w:val="24"/>
        </w:rPr>
        <w:t xml:space="preserve">ds Information </w:t>
      </w:r>
      <w:r w:rsidRPr="00FA78E9">
        <w:rPr>
          <w:rFonts w:ascii="Times New Roman" w:hAnsi="Times New Roman"/>
          <w:i/>
          <w:szCs w:val="24"/>
        </w:rPr>
        <w:t>(</w:t>
      </w:r>
      <w:r w:rsidR="001D1F60" w:rsidRPr="00FA78E9">
        <w:rPr>
          <w:rFonts w:ascii="Times New Roman" w:hAnsi="Times New Roman"/>
          <w:i/>
          <w:szCs w:val="24"/>
        </w:rPr>
        <w:t>System for Australian Recall Actions</w:t>
      </w:r>
      <w:r w:rsidRPr="00FA78E9">
        <w:rPr>
          <w:rFonts w:ascii="Times New Roman" w:hAnsi="Times New Roman"/>
          <w:i/>
          <w:szCs w:val="24"/>
        </w:rPr>
        <w:t xml:space="preserve">) </w:t>
      </w:r>
      <w:r w:rsidR="00541205" w:rsidRPr="00FA78E9">
        <w:rPr>
          <w:rFonts w:ascii="Times New Roman" w:hAnsi="Times New Roman"/>
          <w:i/>
          <w:szCs w:val="24"/>
        </w:rPr>
        <w:t xml:space="preserve">Specification </w:t>
      </w:r>
      <w:r w:rsidR="00F13532" w:rsidRPr="00FA78E9">
        <w:rPr>
          <w:rFonts w:ascii="Times New Roman" w:hAnsi="Times New Roman"/>
          <w:i/>
          <w:szCs w:val="24"/>
        </w:rPr>
        <w:t>2013</w:t>
      </w:r>
      <w:r w:rsidR="00F13532">
        <w:rPr>
          <w:rFonts w:ascii="Times New Roman" w:hAnsi="Times New Roman"/>
          <w:szCs w:val="24"/>
        </w:rPr>
        <w:t xml:space="preserve"> </w:t>
      </w:r>
      <w:r w:rsidR="004B0AE7">
        <w:rPr>
          <w:rFonts w:ascii="Times New Roman" w:hAnsi="Times New Roman"/>
          <w:szCs w:val="24"/>
        </w:rPr>
        <w:t>(the Specification) is made by th</w:t>
      </w:r>
      <w:r w:rsidR="008162BE">
        <w:rPr>
          <w:rFonts w:ascii="Times New Roman" w:hAnsi="Times New Roman"/>
          <w:szCs w:val="24"/>
        </w:rPr>
        <w:t>e Minister under subsection 61(5D</w:t>
      </w:r>
      <w:r w:rsidR="004B0AE7">
        <w:rPr>
          <w:rFonts w:ascii="Times New Roman" w:hAnsi="Times New Roman"/>
          <w:szCs w:val="24"/>
        </w:rPr>
        <w:t xml:space="preserve">) of </w:t>
      </w:r>
      <w:r w:rsidR="002C5253">
        <w:rPr>
          <w:rFonts w:ascii="Times New Roman" w:hAnsi="Times New Roman"/>
          <w:szCs w:val="24"/>
        </w:rPr>
        <w:t xml:space="preserve">the Act </w:t>
      </w:r>
      <w:r w:rsidR="00696977">
        <w:rPr>
          <w:rFonts w:ascii="Times New Roman" w:hAnsi="Times New Roman"/>
          <w:szCs w:val="24"/>
        </w:rPr>
        <w:t xml:space="preserve">and specifies </w:t>
      </w:r>
      <w:r w:rsidR="004B0AE7">
        <w:rPr>
          <w:rFonts w:ascii="Times New Roman" w:hAnsi="Times New Roman"/>
          <w:szCs w:val="24"/>
        </w:rPr>
        <w:t xml:space="preserve">the kinds of therapeutic goods information </w:t>
      </w:r>
      <w:r w:rsidR="00D054EB">
        <w:rPr>
          <w:rFonts w:ascii="Times New Roman" w:hAnsi="Times New Roman"/>
          <w:szCs w:val="24"/>
        </w:rPr>
        <w:t>that the Secretary may</w:t>
      </w:r>
      <w:r w:rsidR="00256F8C">
        <w:rPr>
          <w:rFonts w:ascii="Times New Roman" w:hAnsi="Times New Roman"/>
          <w:szCs w:val="24"/>
        </w:rPr>
        <w:t xml:space="preserve"> release </w:t>
      </w:r>
      <w:r w:rsidR="008162BE">
        <w:rPr>
          <w:rFonts w:ascii="Times New Roman" w:hAnsi="Times New Roman"/>
          <w:szCs w:val="24"/>
        </w:rPr>
        <w:t>to the public under subsection 61(5C</w:t>
      </w:r>
      <w:r w:rsidR="00256F8C">
        <w:rPr>
          <w:rFonts w:ascii="Times New Roman" w:hAnsi="Times New Roman"/>
          <w:szCs w:val="24"/>
        </w:rPr>
        <w:t xml:space="preserve">) </w:t>
      </w:r>
      <w:r w:rsidR="00B02691">
        <w:rPr>
          <w:rFonts w:ascii="Times New Roman" w:hAnsi="Times New Roman"/>
          <w:szCs w:val="24"/>
        </w:rPr>
        <w:t>of</w:t>
      </w:r>
      <w:r w:rsidR="008162BE">
        <w:rPr>
          <w:rFonts w:ascii="Times New Roman" w:hAnsi="Times New Roman"/>
          <w:szCs w:val="24"/>
        </w:rPr>
        <w:t xml:space="preserve"> the Act</w:t>
      </w:r>
      <w:r w:rsidR="00256F8C">
        <w:rPr>
          <w:rFonts w:ascii="Times New Roman" w:hAnsi="Times New Roman"/>
          <w:szCs w:val="24"/>
        </w:rPr>
        <w:t>.</w:t>
      </w:r>
    </w:p>
    <w:p w:rsidR="00D054EB" w:rsidRDefault="00D054EB" w:rsidP="00B16CCB">
      <w:pPr>
        <w:autoSpaceDE w:val="0"/>
        <w:autoSpaceDN w:val="0"/>
        <w:adjustRightInd w:val="0"/>
        <w:rPr>
          <w:rFonts w:ascii="Times New Roman" w:hAnsi="Times New Roman"/>
          <w:szCs w:val="24"/>
        </w:rPr>
      </w:pPr>
    </w:p>
    <w:p w:rsidR="006464B2" w:rsidRDefault="002C5253" w:rsidP="002C5253">
      <w:pPr>
        <w:autoSpaceDE w:val="0"/>
        <w:autoSpaceDN w:val="0"/>
        <w:adjustRightInd w:val="0"/>
        <w:rPr>
          <w:rFonts w:ascii="Times New Roman" w:hAnsi="Times New Roman"/>
          <w:szCs w:val="24"/>
        </w:rPr>
      </w:pPr>
      <w:r>
        <w:rPr>
          <w:rFonts w:ascii="Times New Roman" w:hAnsi="Times New Roman"/>
          <w:szCs w:val="24"/>
        </w:rPr>
        <w:t>Therapeutic goods information in this context is defined in subsection 61(1) of the Act as</w:t>
      </w:r>
      <w:r w:rsidR="0078151F">
        <w:rPr>
          <w:rFonts w:ascii="Times New Roman" w:hAnsi="Times New Roman"/>
          <w:szCs w:val="24"/>
        </w:rPr>
        <w:t xml:space="preserve"> </w:t>
      </w:r>
      <w:r>
        <w:rPr>
          <w:rFonts w:ascii="Times New Roman" w:hAnsi="Times New Roman"/>
          <w:szCs w:val="24"/>
        </w:rPr>
        <w:t>information in relation to therapeutic goods</w:t>
      </w:r>
      <w:r w:rsidR="00287A45">
        <w:rPr>
          <w:rFonts w:ascii="Times New Roman" w:hAnsi="Times New Roman"/>
          <w:szCs w:val="24"/>
        </w:rPr>
        <w:t xml:space="preserve"> that is held by the Department</w:t>
      </w:r>
      <w:r w:rsidR="00E91DE1">
        <w:rPr>
          <w:rFonts w:ascii="Times New Roman" w:hAnsi="Times New Roman"/>
          <w:szCs w:val="24"/>
        </w:rPr>
        <w:t xml:space="preserve"> </w:t>
      </w:r>
      <w:r>
        <w:rPr>
          <w:rFonts w:ascii="Times New Roman" w:hAnsi="Times New Roman"/>
          <w:szCs w:val="24"/>
        </w:rPr>
        <w:t>and which relates to the performance of the Department’s functions.</w:t>
      </w:r>
    </w:p>
    <w:p w:rsidR="006464B2" w:rsidRDefault="006464B2" w:rsidP="00B16CCB">
      <w:pPr>
        <w:autoSpaceDE w:val="0"/>
        <w:autoSpaceDN w:val="0"/>
        <w:adjustRightInd w:val="0"/>
        <w:rPr>
          <w:rFonts w:ascii="Times New Roman" w:hAnsi="Times New Roman"/>
          <w:szCs w:val="24"/>
        </w:rPr>
      </w:pPr>
    </w:p>
    <w:p w:rsidR="006464B2" w:rsidRDefault="006F7E73" w:rsidP="00B16CCB">
      <w:pPr>
        <w:autoSpaceDE w:val="0"/>
        <w:autoSpaceDN w:val="0"/>
        <w:adjustRightInd w:val="0"/>
        <w:rPr>
          <w:rFonts w:ascii="Times New Roman" w:hAnsi="Times New Roman"/>
          <w:szCs w:val="24"/>
        </w:rPr>
      </w:pPr>
      <w:r>
        <w:rPr>
          <w:rFonts w:ascii="Times New Roman" w:hAnsi="Times New Roman"/>
          <w:szCs w:val="24"/>
        </w:rPr>
        <w:t>The Specification commenced on the day after it was registered on the Federal Register of Legislative Instruments</w:t>
      </w:r>
      <w:r w:rsidR="00855998">
        <w:rPr>
          <w:rFonts w:ascii="Times New Roman" w:hAnsi="Times New Roman"/>
          <w:szCs w:val="24"/>
        </w:rPr>
        <w:t xml:space="preserve"> (FRLI)</w:t>
      </w:r>
      <w:r>
        <w:rPr>
          <w:rFonts w:ascii="Times New Roman" w:hAnsi="Times New Roman"/>
          <w:szCs w:val="24"/>
        </w:rPr>
        <w:t>.</w:t>
      </w:r>
    </w:p>
    <w:p w:rsidR="006464B2" w:rsidRDefault="006464B2" w:rsidP="00B16CCB">
      <w:pPr>
        <w:autoSpaceDE w:val="0"/>
        <w:autoSpaceDN w:val="0"/>
        <w:adjustRightInd w:val="0"/>
        <w:rPr>
          <w:rFonts w:ascii="Times New Roman" w:hAnsi="Times New Roman"/>
          <w:szCs w:val="24"/>
        </w:rPr>
      </w:pPr>
    </w:p>
    <w:p w:rsidR="006464B2" w:rsidRPr="00804792" w:rsidRDefault="006F7E73" w:rsidP="00B16CCB">
      <w:pPr>
        <w:autoSpaceDE w:val="0"/>
        <w:autoSpaceDN w:val="0"/>
        <w:adjustRightInd w:val="0"/>
        <w:rPr>
          <w:rFonts w:ascii="Times New Roman" w:hAnsi="Times New Roman"/>
          <w:b/>
          <w:szCs w:val="24"/>
        </w:rPr>
      </w:pPr>
      <w:r w:rsidRPr="00804792">
        <w:rPr>
          <w:rFonts w:ascii="Times New Roman" w:hAnsi="Times New Roman"/>
          <w:b/>
          <w:szCs w:val="24"/>
        </w:rPr>
        <w:t>BACKGROUND</w:t>
      </w:r>
    </w:p>
    <w:p w:rsidR="006464B2" w:rsidRDefault="006464B2" w:rsidP="00B16CCB">
      <w:pPr>
        <w:autoSpaceDE w:val="0"/>
        <w:autoSpaceDN w:val="0"/>
        <w:adjustRightInd w:val="0"/>
        <w:rPr>
          <w:rFonts w:ascii="Times New Roman" w:hAnsi="Times New Roman"/>
          <w:szCs w:val="24"/>
        </w:rPr>
      </w:pPr>
    </w:p>
    <w:p w:rsidR="00D24DDA" w:rsidRDefault="00D24DDA" w:rsidP="00D24DDA">
      <w:pPr>
        <w:autoSpaceDE w:val="0"/>
        <w:autoSpaceDN w:val="0"/>
        <w:adjustRightInd w:val="0"/>
        <w:rPr>
          <w:rFonts w:ascii="Times New Roman" w:hAnsi="Times New Roman"/>
          <w:szCs w:val="24"/>
        </w:rPr>
      </w:pPr>
      <w:r>
        <w:rPr>
          <w:rFonts w:ascii="Times New Roman" w:hAnsi="Times New Roman"/>
          <w:szCs w:val="24"/>
        </w:rPr>
        <w:t xml:space="preserve">In June 2011 the </w:t>
      </w:r>
      <w:r>
        <w:t xml:space="preserve">Australian and New Zealand Governments agreed to proceed with a joint scheme for </w:t>
      </w:r>
      <w:r w:rsidR="009F2EA6">
        <w:t xml:space="preserve">the </w:t>
      </w:r>
      <w:r>
        <w:t xml:space="preserve">regulation of therapeutic </w:t>
      </w:r>
      <w:r w:rsidR="00292C27">
        <w:t>products</w:t>
      </w:r>
      <w:r>
        <w:t>.</w:t>
      </w:r>
      <w:r w:rsidRPr="00D24DDA">
        <w:t xml:space="preserve"> </w:t>
      </w:r>
      <w:r>
        <w:t xml:space="preserve"> The creation of a joint regulatory scheme </w:t>
      </w:r>
      <w:r w:rsidR="00313294">
        <w:t xml:space="preserve">applying in </w:t>
      </w:r>
      <w:r>
        <w:t xml:space="preserve">both countries will safeguard public health and safety, while encouraging economic integration and benefitting industry in both countries.  </w:t>
      </w:r>
      <w:r w:rsidR="00AD7A51">
        <w:t xml:space="preserve">The scheme </w:t>
      </w:r>
      <w:r>
        <w:t>will be administered by a single regulatory agency, the Australia New Zealand Therapeutic Products Agency</w:t>
      </w:r>
      <w:r w:rsidR="004C11C2">
        <w:t>.</w:t>
      </w:r>
    </w:p>
    <w:p w:rsidR="00D24DDA" w:rsidRDefault="00D24DDA" w:rsidP="005F3F50">
      <w:pPr>
        <w:autoSpaceDE w:val="0"/>
        <w:autoSpaceDN w:val="0"/>
        <w:adjustRightInd w:val="0"/>
      </w:pPr>
    </w:p>
    <w:p w:rsidR="00D054EB" w:rsidRDefault="00292C27" w:rsidP="005F3F50">
      <w:pPr>
        <w:autoSpaceDE w:val="0"/>
        <w:autoSpaceDN w:val="0"/>
        <w:adjustRightInd w:val="0"/>
        <w:rPr>
          <w:rFonts w:ascii="Times New Roman" w:hAnsi="Times New Roman"/>
          <w:szCs w:val="24"/>
        </w:rPr>
      </w:pPr>
      <w:r>
        <w:t>To that end</w:t>
      </w:r>
      <w:r w:rsidR="00C41AA7" w:rsidRPr="00A05133">
        <w:t xml:space="preserve">, </w:t>
      </w:r>
      <w:r w:rsidR="00386D9E">
        <w:t xml:space="preserve">the Australian and New Zealand Governments </w:t>
      </w:r>
      <w:r w:rsidR="00C41AA7" w:rsidRPr="00A05133">
        <w:t xml:space="preserve">agreed that the TGA and </w:t>
      </w:r>
      <w:r w:rsidR="009F2EA6">
        <w:t>the New Zealand Medicines and Medical Devices Safety Authority (</w:t>
      </w:r>
      <w:r w:rsidR="00C41AA7" w:rsidRPr="00A05133">
        <w:t>Medsafe</w:t>
      </w:r>
      <w:r w:rsidR="009F2EA6">
        <w:t>)</w:t>
      </w:r>
      <w:r w:rsidR="00C41AA7" w:rsidRPr="00A05133">
        <w:t xml:space="preserve"> would </w:t>
      </w:r>
      <w:r>
        <w:t xml:space="preserve">undertake </w:t>
      </w:r>
      <w:r w:rsidR="00C41AA7" w:rsidRPr="00A05133">
        <w:t>a program of joint projects</w:t>
      </w:r>
      <w:r w:rsidR="00AD7A51">
        <w:t xml:space="preserve">.  </w:t>
      </w:r>
      <w:r w:rsidR="005B168D">
        <w:rPr>
          <w:rFonts w:ascii="Times New Roman" w:hAnsi="Times New Roman"/>
          <w:szCs w:val="24"/>
        </w:rPr>
        <w:t xml:space="preserve">One of the </w:t>
      </w:r>
      <w:r w:rsidR="004C11C2">
        <w:rPr>
          <w:rFonts w:ascii="Times New Roman" w:hAnsi="Times New Roman"/>
          <w:szCs w:val="24"/>
        </w:rPr>
        <w:t xml:space="preserve">projects </w:t>
      </w:r>
      <w:r w:rsidR="005B168D">
        <w:rPr>
          <w:rFonts w:ascii="Times New Roman" w:hAnsi="Times New Roman"/>
          <w:szCs w:val="24"/>
        </w:rPr>
        <w:t xml:space="preserve">is </w:t>
      </w:r>
      <w:r w:rsidR="0044566B">
        <w:rPr>
          <w:rFonts w:ascii="Times New Roman" w:hAnsi="Times New Roman"/>
          <w:szCs w:val="24"/>
        </w:rPr>
        <w:t xml:space="preserve">to allow public access to </w:t>
      </w:r>
      <w:r w:rsidR="005B168D">
        <w:rPr>
          <w:rFonts w:ascii="Times New Roman" w:hAnsi="Times New Roman"/>
          <w:szCs w:val="24"/>
        </w:rPr>
        <w:t>database</w:t>
      </w:r>
      <w:r w:rsidR="0044566B">
        <w:rPr>
          <w:rFonts w:ascii="Times New Roman" w:hAnsi="Times New Roman"/>
          <w:szCs w:val="24"/>
        </w:rPr>
        <w:t>s</w:t>
      </w:r>
      <w:r w:rsidR="005B168D">
        <w:rPr>
          <w:rFonts w:ascii="Times New Roman" w:hAnsi="Times New Roman"/>
          <w:szCs w:val="24"/>
        </w:rPr>
        <w:t xml:space="preserve"> of </w:t>
      </w:r>
      <w:r w:rsidR="001D1F60">
        <w:rPr>
          <w:rFonts w:ascii="Times New Roman" w:hAnsi="Times New Roman"/>
          <w:szCs w:val="24"/>
        </w:rPr>
        <w:t>recall actions</w:t>
      </w:r>
      <w:r w:rsidR="005B168D">
        <w:rPr>
          <w:rFonts w:ascii="Times New Roman" w:hAnsi="Times New Roman"/>
          <w:szCs w:val="24"/>
        </w:rPr>
        <w:t xml:space="preserve"> relating to </w:t>
      </w:r>
      <w:r w:rsidR="00F13532">
        <w:rPr>
          <w:rFonts w:ascii="Times New Roman" w:hAnsi="Times New Roman"/>
          <w:szCs w:val="24"/>
        </w:rPr>
        <w:t>therapeutic goods</w:t>
      </w:r>
      <w:r w:rsidR="005B168D">
        <w:rPr>
          <w:rFonts w:ascii="Times New Roman" w:hAnsi="Times New Roman"/>
          <w:szCs w:val="24"/>
        </w:rPr>
        <w:t xml:space="preserve"> in</w:t>
      </w:r>
      <w:r w:rsidR="0044566B">
        <w:rPr>
          <w:rFonts w:ascii="Times New Roman" w:hAnsi="Times New Roman"/>
          <w:szCs w:val="24"/>
        </w:rPr>
        <w:t xml:space="preserve"> both</w:t>
      </w:r>
      <w:r w:rsidR="005B168D">
        <w:rPr>
          <w:rFonts w:ascii="Times New Roman" w:hAnsi="Times New Roman"/>
          <w:szCs w:val="24"/>
        </w:rPr>
        <w:t xml:space="preserve"> Australia and New Zealand</w:t>
      </w:r>
      <w:r w:rsidR="00001F46">
        <w:rPr>
          <w:rFonts w:ascii="Times New Roman" w:hAnsi="Times New Roman"/>
          <w:szCs w:val="24"/>
        </w:rPr>
        <w:t>.  Initially, this</w:t>
      </w:r>
      <w:r w:rsidR="002C7FCC">
        <w:rPr>
          <w:rFonts w:ascii="Times New Roman" w:hAnsi="Times New Roman"/>
          <w:szCs w:val="24"/>
        </w:rPr>
        <w:t xml:space="preserve"> will involve</w:t>
      </w:r>
      <w:r w:rsidR="0044566B">
        <w:rPr>
          <w:rFonts w:ascii="Times New Roman" w:hAnsi="Times New Roman"/>
          <w:szCs w:val="24"/>
        </w:rPr>
        <w:t xml:space="preserve"> </w:t>
      </w:r>
      <w:r w:rsidR="0078151F">
        <w:rPr>
          <w:rFonts w:ascii="Times New Roman" w:hAnsi="Times New Roman"/>
          <w:szCs w:val="24"/>
        </w:rPr>
        <w:t xml:space="preserve">the provision of </w:t>
      </w:r>
      <w:r w:rsidR="0044566B">
        <w:rPr>
          <w:rFonts w:ascii="Times New Roman" w:hAnsi="Times New Roman"/>
          <w:szCs w:val="24"/>
        </w:rPr>
        <w:t>public access to</w:t>
      </w:r>
      <w:r w:rsidR="007B5A4A">
        <w:rPr>
          <w:rFonts w:ascii="Times New Roman" w:hAnsi="Times New Roman"/>
          <w:szCs w:val="24"/>
        </w:rPr>
        <w:t xml:space="preserve"> a</w:t>
      </w:r>
      <w:r w:rsidR="0044566B">
        <w:rPr>
          <w:rFonts w:ascii="Times New Roman" w:hAnsi="Times New Roman"/>
          <w:szCs w:val="24"/>
        </w:rPr>
        <w:t xml:space="preserve"> </w:t>
      </w:r>
      <w:r w:rsidR="0078151F">
        <w:rPr>
          <w:rFonts w:ascii="Times New Roman" w:hAnsi="Times New Roman"/>
          <w:szCs w:val="24"/>
        </w:rPr>
        <w:t xml:space="preserve">new database consisting of a </w:t>
      </w:r>
      <w:r w:rsidR="0044566B">
        <w:rPr>
          <w:rFonts w:ascii="Times New Roman" w:hAnsi="Times New Roman"/>
          <w:szCs w:val="24"/>
        </w:rPr>
        <w:t>sub-set of information held in</w:t>
      </w:r>
      <w:r w:rsidR="007B5A4A">
        <w:rPr>
          <w:rFonts w:ascii="Times New Roman" w:hAnsi="Times New Roman"/>
          <w:szCs w:val="24"/>
        </w:rPr>
        <w:t xml:space="preserve"> TGA</w:t>
      </w:r>
      <w:r w:rsidR="0044566B">
        <w:rPr>
          <w:rFonts w:ascii="Times New Roman" w:hAnsi="Times New Roman"/>
          <w:szCs w:val="24"/>
        </w:rPr>
        <w:t>’s</w:t>
      </w:r>
      <w:r w:rsidR="00165271">
        <w:rPr>
          <w:rFonts w:ascii="Times New Roman" w:hAnsi="Times New Roman"/>
          <w:szCs w:val="24"/>
        </w:rPr>
        <w:t xml:space="preserve"> </w:t>
      </w:r>
      <w:r w:rsidR="0078151F">
        <w:rPr>
          <w:rFonts w:ascii="Times New Roman" w:hAnsi="Times New Roman"/>
          <w:szCs w:val="24"/>
        </w:rPr>
        <w:t xml:space="preserve">existing </w:t>
      </w:r>
      <w:r w:rsidR="00165271">
        <w:rPr>
          <w:rFonts w:ascii="Times New Roman" w:hAnsi="Times New Roman"/>
          <w:szCs w:val="24"/>
        </w:rPr>
        <w:t>database of Australia</w:t>
      </w:r>
      <w:r w:rsidR="00F84D65">
        <w:rPr>
          <w:rFonts w:ascii="Times New Roman" w:hAnsi="Times New Roman"/>
          <w:szCs w:val="24"/>
        </w:rPr>
        <w:t>n recall actions and</w:t>
      </w:r>
      <w:r w:rsidR="006C3747">
        <w:rPr>
          <w:rFonts w:ascii="Times New Roman" w:hAnsi="Times New Roman"/>
          <w:szCs w:val="24"/>
        </w:rPr>
        <w:t>, separately, a</w:t>
      </w:r>
      <w:r w:rsidR="00165271">
        <w:rPr>
          <w:rFonts w:ascii="Times New Roman" w:hAnsi="Times New Roman"/>
          <w:szCs w:val="24"/>
        </w:rPr>
        <w:t xml:space="preserve"> database of New Zealand recall actions</w:t>
      </w:r>
      <w:r w:rsidR="006C3747">
        <w:rPr>
          <w:rFonts w:ascii="Times New Roman" w:hAnsi="Times New Roman"/>
          <w:szCs w:val="24"/>
        </w:rPr>
        <w:t xml:space="preserve"> operated by Medsafe</w:t>
      </w:r>
      <w:r w:rsidR="005B168D">
        <w:rPr>
          <w:rFonts w:ascii="Times New Roman" w:hAnsi="Times New Roman"/>
          <w:szCs w:val="24"/>
        </w:rPr>
        <w:t>.</w:t>
      </w:r>
      <w:r w:rsidR="00313294">
        <w:rPr>
          <w:rFonts w:ascii="Times New Roman" w:hAnsi="Times New Roman"/>
          <w:szCs w:val="24"/>
        </w:rPr>
        <w:t xml:space="preserve">  </w:t>
      </w:r>
    </w:p>
    <w:p w:rsidR="00D054EB" w:rsidRDefault="00D054EB" w:rsidP="005F3F50">
      <w:pPr>
        <w:autoSpaceDE w:val="0"/>
        <w:autoSpaceDN w:val="0"/>
        <w:adjustRightInd w:val="0"/>
        <w:rPr>
          <w:rFonts w:ascii="Times New Roman" w:hAnsi="Times New Roman"/>
          <w:szCs w:val="24"/>
        </w:rPr>
      </w:pPr>
    </w:p>
    <w:p w:rsidR="00266A9F" w:rsidRDefault="00916A81" w:rsidP="005F3F50">
      <w:pPr>
        <w:autoSpaceDE w:val="0"/>
        <w:autoSpaceDN w:val="0"/>
        <w:adjustRightInd w:val="0"/>
        <w:rPr>
          <w:rFonts w:ascii="Times New Roman" w:hAnsi="Times New Roman"/>
          <w:szCs w:val="24"/>
        </w:rPr>
      </w:pPr>
      <w:r>
        <w:rPr>
          <w:rFonts w:ascii="Times New Roman" w:hAnsi="Times New Roman"/>
          <w:szCs w:val="24"/>
        </w:rPr>
        <w:t>T</w:t>
      </w:r>
      <w:r w:rsidR="009A6983">
        <w:rPr>
          <w:rFonts w:ascii="Times New Roman" w:hAnsi="Times New Roman"/>
          <w:szCs w:val="24"/>
        </w:rPr>
        <w:t>he</w:t>
      </w:r>
      <w:r w:rsidR="001E2B19">
        <w:rPr>
          <w:rFonts w:ascii="Times New Roman" w:hAnsi="Times New Roman"/>
          <w:szCs w:val="24"/>
        </w:rPr>
        <w:t xml:space="preserve"> publicly accessible</w:t>
      </w:r>
      <w:r w:rsidR="009A6983">
        <w:rPr>
          <w:rFonts w:ascii="Times New Roman" w:hAnsi="Times New Roman"/>
          <w:szCs w:val="24"/>
        </w:rPr>
        <w:t xml:space="preserve"> database </w:t>
      </w:r>
      <w:r w:rsidR="0078151F">
        <w:rPr>
          <w:rFonts w:ascii="Times New Roman" w:hAnsi="Times New Roman"/>
          <w:szCs w:val="24"/>
        </w:rPr>
        <w:t xml:space="preserve">in Australia </w:t>
      </w:r>
      <w:r w:rsidR="009A6983">
        <w:rPr>
          <w:rFonts w:ascii="Times New Roman" w:hAnsi="Times New Roman"/>
          <w:szCs w:val="24"/>
        </w:rPr>
        <w:t>will</w:t>
      </w:r>
      <w:r w:rsidR="00D054EB">
        <w:rPr>
          <w:rFonts w:ascii="Times New Roman" w:hAnsi="Times New Roman"/>
          <w:szCs w:val="24"/>
        </w:rPr>
        <w:t xml:space="preserve"> be known as the System for Australi</w:t>
      </w:r>
      <w:r w:rsidR="00B46968">
        <w:rPr>
          <w:rFonts w:ascii="Times New Roman" w:hAnsi="Times New Roman"/>
          <w:szCs w:val="24"/>
        </w:rPr>
        <w:t>an Recall Actions (SARA)</w:t>
      </w:r>
      <w:r w:rsidR="009A6983">
        <w:rPr>
          <w:rFonts w:ascii="Times New Roman" w:hAnsi="Times New Roman"/>
          <w:szCs w:val="24"/>
        </w:rPr>
        <w:t>, and</w:t>
      </w:r>
      <w:r w:rsidR="00B46968">
        <w:rPr>
          <w:rFonts w:ascii="Times New Roman" w:hAnsi="Times New Roman"/>
          <w:szCs w:val="24"/>
        </w:rPr>
        <w:t xml:space="preserve"> </w:t>
      </w:r>
      <w:r w:rsidR="00266A9F">
        <w:rPr>
          <w:rFonts w:ascii="Times New Roman" w:hAnsi="Times New Roman"/>
          <w:szCs w:val="24"/>
        </w:rPr>
        <w:t xml:space="preserve">is expected to provide a number of benefits for health-related </w:t>
      </w:r>
      <w:r w:rsidR="00266A9F">
        <w:rPr>
          <w:rFonts w:ascii="Times New Roman" w:hAnsi="Times New Roman"/>
          <w:szCs w:val="24"/>
        </w:rPr>
        <w:lastRenderedPageBreak/>
        <w:t>industries</w:t>
      </w:r>
      <w:r w:rsidR="00292C27">
        <w:rPr>
          <w:rFonts w:ascii="Times New Roman" w:hAnsi="Times New Roman"/>
          <w:szCs w:val="24"/>
        </w:rPr>
        <w:t xml:space="preserve">, </w:t>
      </w:r>
      <w:r w:rsidR="00266A9F">
        <w:rPr>
          <w:rFonts w:ascii="Times New Roman" w:hAnsi="Times New Roman"/>
          <w:szCs w:val="24"/>
        </w:rPr>
        <w:t>consumers</w:t>
      </w:r>
      <w:r w:rsidR="0074742E">
        <w:rPr>
          <w:rFonts w:ascii="Times New Roman" w:hAnsi="Times New Roman"/>
          <w:szCs w:val="24"/>
        </w:rPr>
        <w:t>,</w:t>
      </w:r>
      <w:r w:rsidR="00902874">
        <w:rPr>
          <w:rFonts w:ascii="Times New Roman" w:hAnsi="Times New Roman"/>
          <w:szCs w:val="24"/>
        </w:rPr>
        <w:t xml:space="preserve"> </w:t>
      </w:r>
      <w:r w:rsidR="00292C27">
        <w:rPr>
          <w:rFonts w:ascii="Times New Roman" w:hAnsi="Times New Roman"/>
          <w:szCs w:val="24"/>
        </w:rPr>
        <w:t xml:space="preserve">patients and health care professionals </w:t>
      </w:r>
      <w:r w:rsidR="00902874">
        <w:rPr>
          <w:rFonts w:ascii="Times New Roman" w:hAnsi="Times New Roman"/>
          <w:szCs w:val="24"/>
        </w:rPr>
        <w:t>by</w:t>
      </w:r>
      <w:r>
        <w:rPr>
          <w:rFonts w:ascii="Times New Roman" w:hAnsi="Times New Roman"/>
          <w:szCs w:val="24"/>
        </w:rPr>
        <w:t xml:space="preserve"> permitting</w:t>
      </w:r>
      <w:r w:rsidR="00D857C8">
        <w:rPr>
          <w:rFonts w:ascii="Times New Roman" w:hAnsi="Times New Roman"/>
          <w:szCs w:val="24"/>
        </w:rPr>
        <w:t xml:space="preserve"> </w:t>
      </w:r>
      <w:r w:rsidR="00292C27">
        <w:rPr>
          <w:rFonts w:ascii="Times New Roman" w:hAnsi="Times New Roman"/>
          <w:szCs w:val="24"/>
        </w:rPr>
        <w:t xml:space="preserve">them </w:t>
      </w:r>
      <w:r w:rsidR="0078151F">
        <w:rPr>
          <w:rFonts w:ascii="Times New Roman" w:hAnsi="Times New Roman"/>
          <w:szCs w:val="24"/>
        </w:rPr>
        <w:t xml:space="preserve">access to information about </w:t>
      </w:r>
      <w:r w:rsidR="006E09CD">
        <w:rPr>
          <w:rFonts w:ascii="Times New Roman" w:hAnsi="Times New Roman"/>
          <w:szCs w:val="24"/>
        </w:rPr>
        <w:t>r</w:t>
      </w:r>
      <w:r w:rsidR="00F13532">
        <w:rPr>
          <w:rFonts w:ascii="Times New Roman" w:hAnsi="Times New Roman"/>
          <w:szCs w:val="24"/>
        </w:rPr>
        <w:t>ecall</w:t>
      </w:r>
      <w:r w:rsidR="006E09CD">
        <w:rPr>
          <w:rFonts w:ascii="Times New Roman" w:hAnsi="Times New Roman"/>
          <w:szCs w:val="24"/>
        </w:rPr>
        <w:t xml:space="preserve"> a</w:t>
      </w:r>
      <w:r w:rsidR="00982324">
        <w:rPr>
          <w:rFonts w:ascii="Times New Roman" w:hAnsi="Times New Roman"/>
          <w:szCs w:val="24"/>
        </w:rPr>
        <w:t>ctions</w:t>
      </w:r>
      <w:r w:rsidR="00F13532">
        <w:rPr>
          <w:rFonts w:ascii="Times New Roman" w:hAnsi="Times New Roman"/>
          <w:szCs w:val="24"/>
        </w:rPr>
        <w:t xml:space="preserve"> </w:t>
      </w:r>
      <w:r w:rsidR="00902874">
        <w:rPr>
          <w:rFonts w:ascii="Times New Roman" w:hAnsi="Times New Roman"/>
          <w:szCs w:val="24"/>
        </w:rPr>
        <w:t xml:space="preserve">relating to </w:t>
      </w:r>
      <w:r w:rsidR="000D101A">
        <w:rPr>
          <w:rFonts w:ascii="Times New Roman" w:hAnsi="Times New Roman"/>
          <w:szCs w:val="24"/>
        </w:rPr>
        <w:t>therapeutic goods</w:t>
      </w:r>
      <w:r w:rsidR="00902874">
        <w:rPr>
          <w:rFonts w:ascii="Times New Roman" w:hAnsi="Times New Roman"/>
          <w:szCs w:val="24"/>
        </w:rPr>
        <w:t>.</w:t>
      </w:r>
    </w:p>
    <w:p w:rsidR="00266A9F" w:rsidRDefault="00266A9F" w:rsidP="005F3F50">
      <w:pPr>
        <w:autoSpaceDE w:val="0"/>
        <w:autoSpaceDN w:val="0"/>
        <w:adjustRightInd w:val="0"/>
        <w:rPr>
          <w:rFonts w:ascii="Times New Roman" w:hAnsi="Times New Roman"/>
          <w:szCs w:val="24"/>
        </w:rPr>
      </w:pPr>
    </w:p>
    <w:p w:rsidR="004C11C2" w:rsidRDefault="00096ECB" w:rsidP="004C11C2">
      <w:pPr>
        <w:autoSpaceDE w:val="0"/>
        <w:autoSpaceDN w:val="0"/>
        <w:adjustRightInd w:val="0"/>
        <w:rPr>
          <w:rFonts w:ascii="Times New Roman" w:hAnsi="Times New Roman"/>
          <w:szCs w:val="24"/>
        </w:rPr>
      </w:pPr>
      <w:r>
        <w:rPr>
          <w:rFonts w:ascii="Times New Roman" w:hAnsi="Times New Roman"/>
          <w:szCs w:val="24"/>
        </w:rPr>
        <w:t xml:space="preserve">Public access to elements of TGA’s </w:t>
      </w:r>
      <w:r w:rsidR="00D054EB">
        <w:rPr>
          <w:rFonts w:ascii="Times New Roman" w:hAnsi="Times New Roman"/>
          <w:szCs w:val="24"/>
        </w:rPr>
        <w:t>database also</w:t>
      </w:r>
      <w:r w:rsidR="004C11C2" w:rsidRPr="00982324">
        <w:rPr>
          <w:rFonts w:ascii="Times New Roman" w:hAnsi="Times New Roman"/>
          <w:szCs w:val="24"/>
        </w:rPr>
        <w:t xml:space="preserve"> address</w:t>
      </w:r>
      <w:r w:rsidR="00287A45">
        <w:rPr>
          <w:rFonts w:ascii="Times New Roman" w:hAnsi="Times New Roman"/>
          <w:szCs w:val="24"/>
        </w:rPr>
        <w:t>es</w:t>
      </w:r>
      <w:r w:rsidR="004C11C2" w:rsidRPr="00982324">
        <w:rPr>
          <w:rFonts w:ascii="Times New Roman" w:hAnsi="Times New Roman"/>
          <w:szCs w:val="24"/>
        </w:rPr>
        <w:t xml:space="preserve"> recommendation</w:t>
      </w:r>
      <w:r w:rsidR="009F2EA6">
        <w:rPr>
          <w:rFonts w:ascii="Times New Roman" w:hAnsi="Times New Roman"/>
          <w:szCs w:val="24"/>
        </w:rPr>
        <w:t xml:space="preserve"> 16 </w:t>
      </w:r>
      <w:r w:rsidR="004C11C2" w:rsidRPr="00982324">
        <w:rPr>
          <w:rFonts w:ascii="Times New Roman" w:hAnsi="Times New Roman"/>
          <w:szCs w:val="24"/>
        </w:rPr>
        <w:t xml:space="preserve">of the </w:t>
      </w:r>
      <w:r w:rsidR="00287A45">
        <w:rPr>
          <w:rFonts w:ascii="Times New Roman" w:hAnsi="Times New Roman"/>
          <w:szCs w:val="24"/>
        </w:rPr>
        <w:t>‘</w:t>
      </w:r>
      <w:r w:rsidR="004C11C2" w:rsidRPr="00982324">
        <w:rPr>
          <w:rFonts w:ascii="Times New Roman" w:hAnsi="Times New Roman"/>
          <w:szCs w:val="24"/>
        </w:rPr>
        <w:t>Report of the Review to improve the transparency of the TGA</w:t>
      </w:r>
      <w:r w:rsidR="00287A45">
        <w:rPr>
          <w:rFonts w:ascii="Times New Roman" w:hAnsi="Times New Roman"/>
          <w:szCs w:val="24"/>
        </w:rPr>
        <w:t>’</w:t>
      </w:r>
      <w:r w:rsidR="004C11C2" w:rsidRPr="00982324">
        <w:rPr>
          <w:rFonts w:ascii="Times New Roman" w:hAnsi="Times New Roman"/>
          <w:szCs w:val="24"/>
        </w:rPr>
        <w:t xml:space="preserve"> (released on 21 July 2011)</w:t>
      </w:r>
      <w:r w:rsidR="00D054EB">
        <w:rPr>
          <w:rFonts w:ascii="Times New Roman" w:hAnsi="Times New Roman"/>
          <w:szCs w:val="24"/>
        </w:rPr>
        <w:t xml:space="preserve"> – </w:t>
      </w:r>
      <w:r w:rsidR="004C11C2" w:rsidRPr="00982324">
        <w:rPr>
          <w:rFonts w:ascii="Times New Roman" w:hAnsi="Times New Roman"/>
          <w:szCs w:val="24"/>
        </w:rPr>
        <w:t xml:space="preserve">that </w:t>
      </w:r>
      <w:r w:rsidR="00313294">
        <w:rPr>
          <w:rFonts w:ascii="Times New Roman" w:hAnsi="Times New Roman"/>
          <w:szCs w:val="24"/>
        </w:rPr>
        <w:t>t</w:t>
      </w:r>
      <w:r w:rsidR="006354F3" w:rsidRPr="00982324">
        <w:rPr>
          <w:rFonts w:ascii="Times New Roman" w:hAnsi="Times New Roman"/>
        </w:rPr>
        <w:t>he TGA actively promote the distribution of therapeutic goods safety information, and examine mechanisms for improving the timely communication of alerts and recalls, to health practitioners</w:t>
      </w:r>
      <w:r w:rsidR="00CC2866">
        <w:rPr>
          <w:rFonts w:ascii="Times New Roman" w:hAnsi="Times New Roman"/>
        </w:rPr>
        <w:t xml:space="preserve"> </w:t>
      </w:r>
      <w:r w:rsidR="006354F3" w:rsidRPr="00982324">
        <w:rPr>
          <w:rFonts w:ascii="Times New Roman" w:hAnsi="Times New Roman"/>
        </w:rPr>
        <w:t>and</w:t>
      </w:r>
      <w:r w:rsidR="00CC2866">
        <w:rPr>
          <w:rFonts w:ascii="Times New Roman" w:hAnsi="Times New Roman"/>
        </w:rPr>
        <w:t xml:space="preserve"> </w:t>
      </w:r>
      <w:r w:rsidR="006354F3" w:rsidRPr="00982324">
        <w:rPr>
          <w:rFonts w:ascii="Times New Roman" w:hAnsi="Times New Roman"/>
        </w:rPr>
        <w:t>to consumers</w:t>
      </w:r>
      <w:r w:rsidR="004C11C2" w:rsidRPr="00982324">
        <w:rPr>
          <w:rFonts w:ascii="Times New Roman" w:hAnsi="Times New Roman"/>
          <w:szCs w:val="24"/>
        </w:rPr>
        <w:t>.</w:t>
      </w:r>
      <w:r w:rsidR="00287A45">
        <w:rPr>
          <w:rFonts w:ascii="Times New Roman" w:hAnsi="Times New Roman"/>
          <w:szCs w:val="24"/>
        </w:rPr>
        <w:t xml:space="preserve">  A copy of the report is set out on the TGA’s website</w:t>
      </w:r>
      <w:r w:rsidR="00292C27">
        <w:rPr>
          <w:rFonts w:ascii="Times New Roman" w:hAnsi="Times New Roman"/>
          <w:szCs w:val="24"/>
        </w:rPr>
        <w:t xml:space="preserve"> at</w:t>
      </w:r>
      <w:r w:rsidR="00287A45">
        <w:rPr>
          <w:rFonts w:ascii="Times New Roman" w:hAnsi="Times New Roman"/>
          <w:szCs w:val="24"/>
        </w:rPr>
        <w:t xml:space="preserve"> </w:t>
      </w:r>
      <w:hyperlink r:id="rId8" w:history="1">
        <w:r w:rsidR="00287A45" w:rsidRPr="003607CA">
          <w:rPr>
            <w:rStyle w:val="Hyperlink"/>
            <w:rFonts w:ascii="Times New Roman" w:hAnsi="Times New Roman"/>
            <w:szCs w:val="24"/>
          </w:rPr>
          <w:t>www.tga.gov.au</w:t>
        </w:r>
      </w:hyperlink>
      <w:r w:rsidR="00287A45">
        <w:rPr>
          <w:rFonts w:ascii="Times New Roman" w:hAnsi="Times New Roman"/>
          <w:szCs w:val="24"/>
        </w:rPr>
        <w:t>.</w:t>
      </w:r>
      <w:r w:rsidR="004C11C2" w:rsidRPr="00982324">
        <w:rPr>
          <w:rFonts w:ascii="Times New Roman" w:hAnsi="Times New Roman"/>
          <w:szCs w:val="24"/>
        </w:rPr>
        <w:t xml:space="preserve">  The Government agreed to the </w:t>
      </w:r>
      <w:r w:rsidR="00292C27">
        <w:rPr>
          <w:rFonts w:ascii="Times New Roman" w:hAnsi="Times New Roman"/>
          <w:szCs w:val="24"/>
        </w:rPr>
        <w:t xml:space="preserve">implementation of the </w:t>
      </w:r>
      <w:r w:rsidR="004C11C2" w:rsidRPr="00982324">
        <w:rPr>
          <w:rFonts w:ascii="Times New Roman" w:hAnsi="Times New Roman"/>
          <w:szCs w:val="24"/>
        </w:rPr>
        <w:t>recommendation in December 2011.</w:t>
      </w:r>
    </w:p>
    <w:p w:rsidR="00986463" w:rsidRDefault="00986463" w:rsidP="004C11C2">
      <w:pPr>
        <w:autoSpaceDE w:val="0"/>
        <w:autoSpaceDN w:val="0"/>
        <w:adjustRightInd w:val="0"/>
        <w:rPr>
          <w:rFonts w:ascii="Times New Roman" w:hAnsi="Times New Roman"/>
          <w:szCs w:val="24"/>
        </w:rPr>
      </w:pPr>
    </w:p>
    <w:p w:rsidR="00A0011A" w:rsidRDefault="006F213E" w:rsidP="00CB26D5">
      <w:pPr>
        <w:autoSpaceDE w:val="0"/>
        <w:autoSpaceDN w:val="0"/>
        <w:adjustRightInd w:val="0"/>
        <w:rPr>
          <w:rFonts w:ascii="Times New Roman" w:hAnsi="Times New Roman"/>
          <w:szCs w:val="24"/>
        </w:rPr>
      </w:pPr>
      <w:r>
        <w:rPr>
          <w:rFonts w:ascii="Times New Roman" w:hAnsi="Times New Roman"/>
          <w:szCs w:val="24"/>
        </w:rPr>
        <w:t xml:space="preserve">The purpose of the Specification is to </w:t>
      </w:r>
      <w:r w:rsidR="0078151F">
        <w:rPr>
          <w:rFonts w:ascii="Times New Roman" w:hAnsi="Times New Roman"/>
          <w:szCs w:val="24"/>
        </w:rPr>
        <w:t xml:space="preserve">provide a legal basis under the Act to </w:t>
      </w:r>
      <w:r>
        <w:rPr>
          <w:rFonts w:ascii="Times New Roman" w:hAnsi="Times New Roman"/>
          <w:szCs w:val="24"/>
        </w:rPr>
        <w:t xml:space="preserve">support release to the public of </w:t>
      </w:r>
      <w:r w:rsidR="00A0011A">
        <w:rPr>
          <w:rFonts w:ascii="Times New Roman" w:hAnsi="Times New Roman"/>
          <w:szCs w:val="24"/>
        </w:rPr>
        <w:t xml:space="preserve">information </w:t>
      </w:r>
      <w:r w:rsidR="00287A45">
        <w:rPr>
          <w:rFonts w:ascii="Times New Roman" w:hAnsi="Times New Roman"/>
          <w:szCs w:val="24"/>
        </w:rPr>
        <w:t>in the SARA database</w:t>
      </w:r>
      <w:r w:rsidR="00BD16C4">
        <w:rPr>
          <w:rFonts w:ascii="Times New Roman" w:hAnsi="Times New Roman"/>
          <w:szCs w:val="24"/>
        </w:rPr>
        <w:t xml:space="preserve">.  </w:t>
      </w:r>
    </w:p>
    <w:p w:rsidR="00A0011A" w:rsidRDefault="00A0011A" w:rsidP="00CB26D5">
      <w:pPr>
        <w:autoSpaceDE w:val="0"/>
        <w:autoSpaceDN w:val="0"/>
        <w:adjustRightInd w:val="0"/>
        <w:rPr>
          <w:rFonts w:ascii="Times New Roman" w:hAnsi="Times New Roman"/>
          <w:szCs w:val="24"/>
        </w:rPr>
      </w:pPr>
    </w:p>
    <w:p w:rsidR="00287A45" w:rsidRDefault="00FC4856" w:rsidP="00CB26D5">
      <w:pPr>
        <w:autoSpaceDE w:val="0"/>
        <w:autoSpaceDN w:val="0"/>
        <w:adjustRightInd w:val="0"/>
        <w:rPr>
          <w:rFonts w:ascii="Times New Roman" w:hAnsi="Times New Roman"/>
          <w:szCs w:val="24"/>
        </w:rPr>
      </w:pPr>
      <w:r>
        <w:rPr>
          <w:rFonts w:ascii="Times New Roman" w:hAnsi="Times New Roman"/>
          <w:szCs w:val="24"/>
        </w:rPr>
        <w:t>Subsection 61(5D) of the Act empowers the Minister to, by legislative instrument, specify kinds of therapeutic goods information for the purposes of subsection 61(5C) of the Act.</w:t>
      </w:r>
      <w:r w:rsidR="00A0011A">
        <w:rPr>
          <w:rFonts w:ascii="Times New Roman" w:hAnsi="Times New Roman"/>
          <w:szCs w:val="24"/>
        </w:rPr>
        <w:t xml:space="preserve"> </w:t>
      </w:r>
      <w:r>
        <w:rPr>
          <w:rFonts w:ascii="Times New Roman" w:hAnsi="Times New Roman"/>
          <w:szCs w:val="24"/>
        </w:rPr>
        <w:t>Under subsection 61(5C) of the Act, the Secretary may release to the public therapeutic goods information of a kind specified by the Minister under subsection 61(5D) of the Act.</w:t>
      </w:r>
      <w:r w:rsidR="00A0011A">
        <w:rPr>
          <w:rFonts w:ascii="Times New Roman" w:hAnsi="Times New Roman"/>
          <w:szCs w:val="24"/>
        </w:rPr>
        <w:t xml:space="preserve">  </w:t>
      </w:r>
    </w:p>
    <w:p w:rsidR="00287A45" w:rsidRDefault="00287A45" w:rsidP="00CB26D5">
      <w:pPr>
        <w:autoSpaceDE w:val="0"/>
        <w:autoSpaceDN w:val="0"/>
        <w:adjustRightInd w:val="0"/>
        <w:rPr>
          <w:rFonts w:ascii="Times New Roman" w:hAnsi="Times New Roman"/>
          <w:szCs w:val="24"/>
        </w:rPr>
      </w:pPr>
    </w:p>
    <w:p w:rsidR="00CB26D5" w:rsidRDefault="00CB26D5" w:rsidP="00CB26D5">
      <w:pPr>
        <w:autoSpaceDE w:val="0"/>
        <w:autoSpaceDN w:val="0"/>
        <w:adjustRightInd w:val="0"/>
        <w:rPr>
          <w:rFonts w:ascii="Times New Roman" w:hAnsi="Times New Roman"/>
          <w:szCs w:val="24"/>
        </w:rPr>
      </w:pPr>
      <w:r>
        <w:rPr>
          <w:rFonts w:ascii="Times New Roman" w:hAnsi="Times New Roman"/>
          <w:szCs w:val="24"/>
        </w:rPr>
        <w:t>The Specificat</w:t>
      </w:r>
      <w:r w:rsidR="00A0011A">
        <w:rPr>
          <w:rFonts w:ascii="Times New Roman" w:hAnsi="Times New Roman"/>
          <w:szCs w:val="24"/>
        </w:rPr>
        <w:t>ion made under subsection 61(5D)</w:t>
      </w:r>
      <w:r>
        <w:rPr>
          <w:rFonts w:ascii="Times New Roman" w:hAnsi="Times New Roman"/>
          <w:szCs w:val="24"/>
        </w:rPr>
        <w:t xml:space="preserve"> identifies the kinds of information about recall actions contained in the SARA database that the Secretary </w:t>
      </w:r>
      <w:r w:rsidR="00292C27">
        <w:rPr>
          <w:rFonts w:ascii="Times New Roman" w:hAnsi="Times New Roman"/>
          <w:szCs w:val="24"/>
        </w:rPr>
        <w:t xml:space="preserve">can then release by way of publication in the SARA database </w:t>
      </w:r>
      <w:r>
        <w:rPr>
          <w:rFonts w:ascii="Times New Roman" w:hAnsi="Times New Roman"/>
          <w:szCs w:val="24"/>
        </w:rPr>
        <w:t>under subsection 61(5C) of the Act.</w:t>
      </w:r>
    </w:p>
    <w:p w:rsidR="00CB26D5" w:rsidRDefault="00CB26D5" w:rsidP="00CB26D5">
      <w:pPr>
        <w:autoSpaceDE w:val="0"/>
        <w:autoSpaceDN w:val="0"/>
        <w:adjustRightInd w:val="0"/>
        <w:rPr>
          <w:rFonts w:ascii="Times New Roman" w:hAnsi="Times New Roman"/>
          <w:szCs w:val="24"/>
        </w:rPr>
      </w:pPr>
    </w:p>
    <w:p w:rsidR="00706E5B" w:rsidRDefault="00706E5B" w:rsidP="00706E5B">
      <w:pPr>
        <w:autoSpaceDE w:val="0"/>
        <w:autoSpaceDN w:val="0"/>
        <w:adjustRightInd w:val="0"/>
        <w:spacing w:after="120"/>
        <w:rPr>
          <w:rFonts w:ascii="Times New Roman" w:hAnsi="Times New Roman"/>
          <w:szCs w:val="24"/>
        </w:rPr>
      </w:pPr>
      <w:r>
        <w:rPr>
          <w:rFonts w:ascii="Times New Roman" w:hAnsi="Times New Roman"/>
          <w:szCs w:val="24"/>
        </w:rPr>
        <w:t>The information that will be released by the Secre</w:t>
      </w:r>
      <w:r w:rsidR="00FC4856">
        <w:rPr>
          <w:rFonts w:ascii="Times New Roman" w:hAnsi="Times New Roman"/>
          <w:szCs w:val="24"/>
        </w:rPr>
        <w:t xml:space="preserve">tary </w:t>
      </w:r>
      <w:r w:rsidR="00CB26D5">
        <w:rPr>
          <w:rFonts w:ascii="Times New Roman" w:hAnsi="Times New Roman"/>
          <w:szCs w:val="24"/>
        </w:rPr>
        <w:t>is set out at Schedule 1 to the Specification and</w:t>
      </w:r>
      <w:r>
        <w:rPr>
          <w:rFonts w:ascii="Times New Roman" w:hAnsi="Times New Roman"/>
          <w:szCs w:val="24"/>
        </w:rPr>
        <w:t xml:space="preserve"> will be in either of two forms:</w:t>
      </w:r>
    </w:p>
    <w:p w:rsidR="00706E5B" w:rsidRDefault="00706E5B" w:rsidP="00706E5B">
      <w:pPr>
        <w:pStyle w:val="ListParagraph"/>
        <w:numPr>
          <w:ilvl w:val="0"/>
          <w:numId w:val="9"/>
        </w:numPr>
        <w:ind w:left="360"/>
        <w:contextualSpacing w:val="0"/>
        <w:rPr>
          <w:rFonts w:ascii="Times New Roman" w:hAnsi="Times New Roman"/>
          <w:sz w:val="24"/>
          <w:szCs w:val="24"/>
        </w:rPr>
      </w:pPr>
      <w:r>
        <w:rPr>
          <w:rFonts w:ascii="Times New Roman" w:hAnsi="Times New Roman"/>
          <w:sz w:val="24"/>
          <w:szCs w:val="24"/>
        </w:rPr>
        <w:t>a</w:t>
      </w:r>
      <w:r w:rsidRPr="00921726">
        <w:rPr>
          <w:rFonts w:ascii="Times New Roman" w:hAnsi="Times New Roman"/>
          <w:sz w:val="24"/>
          <w:szCs w:val="24"/>
        </w:rPr>
        <w:t xml:space="preserve"> list of recalls – this search return will show a list of recall actions that match the search criteria used</w:t>
      </w:r>
      <w:r w:rsidR="00287A45">
        <w:rPr>
          <w:rFonts w:ascii="Times New Roman" w:hAnsi="Times New Roman"/>
          <w:sz w:val="24"/>
          <w:szCs w:val="24"/>
        </w:rPr>
        <w:t>,</w:t>
      </w:r>
      <w:r>
        <w:rPr>
          <w:rFonts w:ascii="Times New Roman" w:hAnsi="Times New Roman"/>
          <w:sz w:val="24"/>
          <w:szCs w:val="24"/>
        </w:rPr>
        <w:t xml:space="preserve"> from which </w:t>
      </w:r>
      <w:r w:rsidRPr="00921726">
        <w:rPr>
          <w:rFonts w:ascii="Times New Roman" w:hAnsi="Times New Roman"/>
          <w:sz w:val="24"/>
          <w:szCs w:val="24"/>
        </w:rPr>
        <w:t xml:space="preserve">a specific recall can then be selected </w:t>
      </w:r>
      <w:r>
        <w:rPr>
          <w:rFonts w:ascii="Times New Roman" w:hAnsi="Times New Roman"/>
          <w:sz w:val="24"/>
          <w:szCs w:val="24"/>
        </w:rPr>
        <w:t xml:space="preserve">by the user </w:t>
      </w:r>
      <w:r w:rsidR="00287A45">
        <w:rPr>
          <w:rFonts w:ascii="Times New Roman" w:hAnsi="Times New Roman"/>
          <w:sz w:val="24"/>
          <w:szCs w:val="24"/>
        </w:rPr>
        <w:t>to view more information</w:t>
      </w:r>
      <w:r w:rsidRPr="00921726">
        <w:rPr>
          <w:rFonts w:ascii="Times New Roman" w:hAnsi="Times New Roman"/>
          <w:sz w:val="24"/>
          <w:szCs w:val="24"/>
        </w:rPr>
        <w:t xml:space="preserve"> about that recall; o</w:t>
      </w:r>
      <w:r>
        <w:rPr>
          <w:rFonts w:ascii="Times New Roman" w:hAnsi="Times New Roman"/>
          <w:sz w:val="24"/>
          <w:szCs w:val="24"/>
        </w:rPr>
        <w:t>r</w:t>
      </w:r>
    </w:p>
    <w:p w:rsidR="006F213E" w:rsidRPr="00706E5B" w:rsidRDefault="00706E5B" w:rsidP="00CB26D5">
      <w:pPr>
        <w:pStyle w:val="ListParagraph"/>
        <w:numPr>
          <w:ilvl w:val="0"/>
          <w:numId w:val="9"/>
        </w:numPr>
        <w:spacing w:before="100" w:beforeAutospacing="1" w:after="0"/>
        <w:ind w:left="360"/>
        <w:rPr>
          <w:rFonts w:ascii="Times New Roman" w:hAnsi="Times New Roman"/>
          <w:sz w:val="24"/>
          <w:szCs w:val="24"/>
        </w:rPr>
      </w:pPr>
      <w:proofErr w:type="gramStart"/>
      <w:r>
        <w:rPr>
          <w:rFonts w:ascii="Times New Roman" w:hAnsi="Times New Roman"/>
          <w:sz w:val="24"/>
          <w:szCs w:val="24"/>
        </w:rPr>
        <w:t>r</w:t>
      </w:r>
      <w:r w:rsidRPr="00921726">
        <w:rPr>
          <w:rFonts w:ascii="Times New Roman" w:hAnsi="Times New Roman"/>
          <w:sz w:val="24"/>
          <w:szCs w:val="24"/>
        </w:rPr>
        <w:t>ecall</w:t>
      </w:r>
      <w:proofErr w:type="gramEnd"/>
      <w:r w:rsidRPr="00921726">
        <w:rPr>
          <w:rFonts w:ascii="Times New Roman" w:hAnsi="Times New Roman"/>
          <w:sz w:val="24"/>
          <w:szCs w:val="24"/>
        </w:rPr>
        <w:t xml:space="preserve"> details – this search return </w:t>
      </w:r>
      <w:r>
        <w:rPr>
          <w:rFonts w:ascii="Times New Roman" w:hAnsi="Times New Roman"/>
          <w:sz w:val="24"/>
          <w:szCs w:val="24"/>
        </w:rPr>
        <w:t xml:space="preserve">will show </w:t>
      </w:r>
      <w:r w:rsidRPr="00921726">
        <w:rPr>
          <w:rFonts w:ascii="Times New Roman" w:hAnsi="Times New Roman"/>
          <w:sz w:val="24"/>
          <w:szCs w:val="24"/>
        </w:rPr>
        <w:t>summary information about a specific recall action</w:t>
      </w:r>
      <w:r w:rsidR="00287A45">
        <w:rPr>
          <w:rFonts w:ascii="Times New Roman" w:hAnsi="Times New Roman"/>
          <w:sz w:val="24"/>
          <w:szCs w:val="24"/>
        </w:rPr>
        <w:t xml:space="preserve"> that has been selected from a</w:t>
      </w:r>
      <w:r w:rsidRPr="00921726">
        <w:rPr>
          <w:rFonts w:ascii="Times New Roman" w:hAnsi="Times New Roman"/>
          <w:sz w:val="24"/>
          <w:szCs w:val="24"/>
        </w:rPr>
        <w:t xml:space="preserve"> list</w:t>
      </w:r>
      <w:r w:rsidR="00287A45">
        <w:rPr>
          <w:rFonts w:ascii="Times New Roman" w:hAnsi="Times New Roman"/>
          <w:sz w:val="24"/>
          <w:szCs w:val="24"/>
        </w:rPr>
        <w:t>,</w:t>
      </w:r>
      <w:r>
        <w:rPr>
          <w:rFonts w:ascii="Times New Roman" w:hAnsi="Times New Roman"/>
          <w:sz w:val="24"/>
          <w:szCs w:val="24"/>
        </w:rPr>
        <w:t xml:space="preserve"> and </w:t>
      </w:r>
      <w:r w:rsidRPr="00921726">
        <w:rPr>
          <w:rFonts w:ascii="Times New Roman" w:hAnsi="Times New Roman"/>
          <w:sz w:val="24"/>
          <w:szCs w:val="24"/>
        </w:rPr>
        <w:t>provides greater detail than that which is viewable in the list of recall</w:t>
      </w:r>
      <w:r>
        <w:rPr>
          <w:rFonts w:ascii="Times New Roman" w:hAnsi="Times New Roman"/>
          <w:sz w:val="24"/>
          <w:szCs w:val="24"/>
        </w:rPr>
        <w:t>s</w:t>
      </w:r>
      <w:r w:rsidRPr="00921726">
        <w:rPr>
          <w:rFonts w:ascii="Times New Roman" w:hAnsi="Times New Roman"/>
          <w:sz w:val="24"/>
          <w:szCs w:val="24"/>
        </w:rPr>
        <w:t xml:space="preserve">. </w:t>
      </w:r>
      <w:r w:rsidR="00BD16C4" w:rsidRPr="00706E5B">
        <w:rPr>
          <w:rFonts w:ascii="Times New Roman" w:hAnsi="Times New Roman"/>
          <w:szCs w:val="24"/>
        </w:rPr>
        <w:t xml:space="preserve"> </w:t>
      </w:r>
    </w:p>
    <w:p w:rsidR="00CB26D5" w:rsidRDefault="00CB26D5" w:rsidP="004C11C2">
      <w:pPr>
        <w:autoSpaceDE w:val="0"/>
        <w:autoSpaceDN w:val="0"/>
        <w:adjustRightInd w:val="0"/>
        <w:rPr>
          <w:rFonts w:ascii="Times New Roman" w:hAnsi="Times New Roman"/>
          <w:szCs w:val="24"/>
        </w:rPr>
      </w:pPr>
    </w:p>
    <w:p w:rsidR="000D101A" w:rsidRPr="000D101A" w:rsidRDefault="000D101A" w:rsidP="004C11C2">
      <w:pPr>
        <w:autoSpaceDE w:val="0"/>
        <w:autoSpaceDN w:val="0"/>
        <w:adjustRightInd w:val="0"/>
        <w:rPr>
          <w:szCs w:val="24"/>
        </w:rPr>
      </w:pPr>
      <w:r>
        <w:rPr>
          <w:szCs w:val="24"/>
        </w:rPr>
        <w:t xml:space="preserve">The </w:t>
      </w:r>
      <w:r w:rsidR="00287A45">
        <w:rPr>
          <w:szCs w:val="24"/>
        </w:rPr>
        <w:t xml:space="preserve">SARA </w:t>
      </w:r>
      <w:r>
        <w:rPr>
          <w:szCs w:val="24"/>
        </w:rPr>
        <w:t>database will contain information about recall actions for therapeutic goods supplied in Australia including prescription medicines, over the counter medicines, complementary medicines</w:t>
      </w:r>
      <w:r w:rsidR="004E32F8">
        <w:rPr>
          <w:szCs w:val="24"/>
        </w:rPr>
        <w:t>,</w:t>
      </w:r>
      <w:r>
        <w:rPr>
          <w:szCs w:val="24"/>
        </w:rPr>
        <w:t xml:space="preserve"> medical devices (including in-vitro diagnostic medical devices)</w:t>
      </w:r>
      <w:r w:rsidR="004E32F8">
        <w:rPr>
          <w:szCs w:val="24"/>
        </w:rPr>
        <w:t xml:space="preserve"> and </w:t>
      </w:r>
      <w:proofErr w:type="spellStart"/>
      <w:r w:rsidR="004E32F8">
        <w:rPr>
          <w:szCs w:val="24"/>
        </w:rPr>
        <w:t>biologicals</w:t>
      </w:r>
      <w:proofErr w:type="spellEnd"/>
      <w:r>
        <w:rPr>
          <w:szCs w:val="24"/>
        </w:rPr>
        <w:t>.</w:t>
      </w:r>
    </w:p>
    <w:p w:rsidR="000D101A" w:rsidRDefault="000D101A" w:rsidP="004C11C2">
      <w:pPr>
        <w:autoSpaceDE w:val="0"/>
        <w:autoSpaceDN w:val="0"/>
        <w:adjustRightInd w:val="0"/>
        <w:rPr>
          <w:rFonts w:ascii="Times New Roman" w:hAnsi="Times New Roman"/>
          <w:szCs w:val="24"/>
        </w:rPr>
      </w:pPr>
    </w:p>
    <w:p w:rsidR="0030541C" w:rsidRPr="00982324" w:rsidRDefault="00292C27" w:rsidP="004C11C2">
      <w:pPr>
        <w:autoSpaceDE w:val="0"/>
        <w:autoSpaceDN w:val="0"/>
        <w:adjustRightInd w:val="0"/>
        <w:rPr>
          <w:rFonts w:ascii="Times New Roman" w:hAnsi="Times New Roman"/>
          <w:szCs w:val="24"/>
        </w:rPr>
      </w:pPr>
      <w:r>
        <w:rPr>
          <w:rFonts w:ascii="Times New Roman" w:hAnsi="Times New Roman"/>
          <w:szCs w:val="24"/>
        </w:rPr>
        <w:t>R</w:t>
      </w:r>
      <w:r w:rsidR="00F6454B">
        <w:rPr>
          <w:rFonts w:ascii="Times New Roman" w:hAnsi="Times New Roman"/>
          <w:szCs w:val="24"/>
        </w:rPr>
        <w:t>ecall action</w:t>
      </w:r>
      <w:r w:rsidR="0030541C">
        <w:rPr>
          <w:rFonts w:ascii="Times New Roman" w:hAnsi="Times New Roman"/>
          <w:szCs w:val="24"/>
        </w:rPr>
        <w:t xml:space="preserve"> is defined </w:t>
      </w:r>
      <w:r>
        <w:rPr>
          <w:rFonts w:ascii="Times New Roman" w:hAnsi="Times New Roman"/>
          <w:szCs w:val="24"/>
        </w:rPr>
        <w:t xml:space="preserve">in the Specification </w:t>
      </w:r>
      <w:r w:rsidR="0030541C">
        <w:rPr>
          <w:rFonts w:ascii="Times New Roman" w:hAnsi="Times New Roman"/>
          <w:szCs w:val="24"/>
        </w:rPr>
        <w:t>as action taken by the Responsibl</w:t>
      </w:r>
      <w:r w:rsidR="00390405">
        <w:rPr>
          <w:rFonts w:ascii="Times New Roman" w:hAnsi="Times New Roman"/>
          <w:szCs w:val="24"/>
        </w:rPr>
        <w:t>e Entity (which includes the person in relation to whom therapeutic goods are included in the Australian Register of Therapeutic Goods</w:t>
      </w:r>
      <w:r w:rsidR="0030541C">
        <w:rPr>
          <w:rFonts w:ascii="Times New Roman" w:hAnsi="Times New Roman"/>
          <w:szCs w:val="24"/>
        </w:rPr>
        <w:t>)</w:t>
      </w:r>
      <w:r w:rsidR="00390405">
        <w:rPr>
          <w:rFonts w:ascii="Times New Roman" w:hAnsi="Times New Roman"/>
          <w:szCs w:val="24"/>
        </w:rPr>
        <w:t xml:space="preserve"> to resolve a problem with therapeutic goods supplied in the market that have, or may potentially have, deficiencies relating to safety, quality, efficacy or presentation.  The</w:t>
      </w:r>
      <w:r w:rsidR="00855998">
        <w:rPr>
          <w:rFonts w:ascii="Times New Roman" w:hAnsi="Times New Roman"/>
          <w:szCs w:val="24"/>
        </w:rPr>
        <w:t xml:space="preserve"> definition also sets out a non-</w:t>
      </w:r>
      <w:r w:rsidR="00390405">
        <w:rPr>
          <w:rFonts w:ascii="Times New Roman" w:hAnsi="Times New Roman"/>
          <w:szCs w:val="24"/>
        </w:rPr>
        <w:t>exhaustive</w:t>
      </w:r>
      <w:r w:rsidR="00D054EB">
        <w:rPr>
          <w:rFonts w:ascii="Times New Roman" w:hAnsi="Times New Roman"/>
          <w:szCs w:val="24"/>
        </w:rPr>
        <w:t xml:space="preserve"> list of types of recall action</w:t>
      </w:r>
      <w:r w:rsidR="00390405">
        <w:rPr>
          <w:rFonts w:ascii="Times New Roman" w:hAnsi="Times New Roman"/>
          <w:szCs w:val="24"/>
        </w:rPr>
        <w:t>.</w:t>
      </w:r>
    </w:p>
    <w:p w:rsidR="00643C8E" w:rsidRDefault="00643C8E" w:rsidP="005F3F50">
      <w:pPr>
        <w:autoSpaceDE w:val="0"/>
        <w:autoSpaceDN w:val="0"/>
        <w:adjustRightInd w:val="0"/>
        <w:rPr>
          <w:rFonts w:ascii="Times New Roman" w:hAnsi="Times New Roman"/>
          <w:szCs w:val="24"/>
        </w:rPr>
      </w:pPr>
    </w:p>
    <w:p w:rsidR="002E3DC8" w:rsidRDefault="002E3DC8" w:rsidP="002E3DC8">
      <w:pPr>
        <w:autoSpaceDE w:val="0"/>
        <w:autoSpaceDN w:val="0"/>
        <w:adjustRightInd w:val="0"/>
        <w:rPr>
          <w:rFonts w:ascii="Times New Roman" w:hAnsi="Times New Roman"/>
          <w:szCs w:val="24"/>
        </w:rPr>
      </w:pPr>
      <w:r>
        <w:rPr>
          <w:rFonts w:ascii="Times New Roman" w:hAnsi="Times New Roman"/>
          <w:szCs w:val="24"/>
        </w:rPr>
        <w:t>The New Zealand Government, through Medsafe, has already made available a database of New Zealand recall actions on its website</w:t>
      </w:r>
      <w:r w:rsidR="00292C27">
        <w:rPr>
          <w:rFonts w:ascii="Times New Roman" w:hAnsi="Times New Roman"/>
          <w:szCs w:val="24"/>
        </w:rPr>
        <w:t xml:space="preserve"> at</w:t>
      </w:r>
      <w:r>
        <w:rPr>
          <w:rFonts w:ascii="Times New Roman" w:hAnsi="Times New Roman"/>
          <w:szCs w:val="24"/>
        </w:rPr>
        <w:t xml:space="preserve"> </w:t>
      </w:r>
      <w:hyperlink r:id="rId9" w:history="1">
        <w:r w:rsidRPr="003607CA">
          <w:rPr>
            <w:rStyle w:val="Hyperlink"/>
            <w:rFonts w:ascii="Times New Roman" w:hAnsi="Times New Roman"/>
            <w:szCs w:val="24"/>
          </w:rPr>
          <w:t>www.medsafe.govt.nz</w:t>
        </w:r>
      </w:hyperlink>
      <w:r w:rsidR="00CB26D5">
        <w:rPr>
          <w:rFonts w:ascii="Times New Roman" w:hAnsi="Times New Roman"/>
          <w:szCs w:val="24"/>
        </w:rPr>
        <w:t>.  The TGA will</w:t>
      </w:r>
      <w:r>
        <w:rPr>
          <w:rFonts w:ascii="Times New Roman" w:hAnsi="Times New Roman"/>
          <w:szCs w:val="24"/>
        </w:rPr>
        <w:t xml:space="preserve"> release information about Australian recall actions on</w:t>
      </w:r>
      <w:r w:rsidR="00CB26D5">
        <w:rPr>
          <w:rFonts w:ascii="Times New Roman" w:hAnsi="Times New Roman"/>
          <w:szCs w:val="24"/>
        </w:rPr>
        <w:t xml:space="preserve"> its website</w:t>
      </w:r>
      <w:r w:rsidR="00292C27">
        <w:rPr>
          <w:rFonts w:ascii="Times New Roman" w:hAnsi="Times New Roman"/>
          <w:szCs w:val="24"/>
        </w:rPr>
        <w:t xml:space="preserve"> at</w:t>
      </w:r>
      <w:r>
        <w:rPr>
          <w:rFonts w:ascii="Times New Roman" w:hAnsi="Times New Roman"/>
          <w:szCs w:val="24"/>
        </w:rPr>
        <w:t xml:space="preserve"> </w:t>
      </w:r>
      <w:hyperlink r:id="rId10" w:history="1">
        <w:r w:rsidRPr="003607CA">
          <w:rPr>
            <w:rStyle w:val="Hyperlink"/>
            <w:rFonts w:ascii="Times New Roman" w:hAnsi="Times New Roman"/>
            <w:szCs w:val="24"/>
          </w:rPr>
          <w:t>www.tga.gov.au</w:t>
        </w:r>
      </w:hyperlink>
      <w:r>
        <w:rPr>
          <w:rFonts w:ascii="Times New Roman" w:hAnsi="Times New Roman"/>
          <w:szCs w:val="24"/>
        </w:rPr>
        <w:t xml:space="preserve">.  </w:t>
      </w:r>
    </w:p>
    <w:p w:rsidR="00287A45" w:rsidRDefault="00287A45" w:rsidP="005F3F50">
      <w:pPr>
        <w:autoSpaceDE w:val="0"/>
        <w:autoSpaceDN w:val="0"/>
        <w:adjustRightInd w:val="0"/>
        <w:rPr>
          <w:rFonts w:ascii="Times New Roman" w:hAnsi="Times New Roman"/>
          <w:szCs w:val="24"/>
        </w:rPr>
      </w:pPr>
    </w:p>
    <w:p w:rsidR="00676A79" w:rsidRDefault="00804792" w:rsidP="0078151F">
      <w:pPr>
        <w:keepNext/>
        <w:ind w:right="-96"/>
        <w:rPr>
          <w:rFonts w:ascii="Times New Roman" w:hAnsi="Times New Roman"/>
          <w:b/>
          <w:szCs w:val="24"/>
        </w:rPr>
      </w:pPr>
      <w:r w:rsidRPr="00804792">
        <w:rPr>
          <w:rFonts w:ascii="Times New Roman" w:hAnsi="Times New Roman"/>
          <w:b/>
          <w:szCs w:val="24"/>
        </w:rPr>
        <w:lastRenderedPageBreak/>
        <w:t>CONSULTATION</w:t>
      </w:r>
    </w:p>
    <w:p w:rsidR="00412CF6" w:rsidRDefault="00412CF6">
      <w:pPr>
        <w:keepNext/>
        <w:ind w:right="-96"/>
        <w:rPr>
          <w:rFonts w:ascii="Times New Roman" w:hAnsi="Times New Roman"/>
          <w:szCs w:val="24"/>
        </w:rPr>
      </w:pPr>
    </w:p>
    <w:p w:rsidR="0078151F" w:rsidRDefault="00A10F4C" w:rsidP="0078151F">
      <w:pPr>
        <w:ind w:right="-96"/>
        <w:rPr>
          <w:rFonts w:ascii="Times New Roman" w:hAnsi="Times New Roman"/>
          <w:szCs w:val="24"/>
        </w:rPr>
      </w:pPr>
      <w:r>
        <w:rPr>
          <w:rFonts w:ascii="Times New Roman" w:hAnsi="Times New Roman"/>
          <w:szCs w:val="24"/>
        </w:rPr>
        <w:t xml:space="preserve">In December 2012 and January 2013, the TGA contacted </w:t>
      </w:r>
      <w:r w:rsidR="0078151F">
        <w:rPr>
          <w:rFonts w:ascii="Times New Roman" w:hAnsi="Times New Roman"/>
          <w:szCs w:val="24"/>
        </w:rPr>
        <w:t xml:space="preserve">a number of bodies that the TGA took the view would be in a position to provide useful feedback about the proposed SARA database </w:t>
      </w:r>
      <w:r>
        <w:rPr>
          <w:rFonts w:ascii="Times New Roman" w:hAnsi="Times New Roman"/>
          <w:szCs w:val="24"/>
        </w:rPr>
        <w:t>and invited them to participate in testing a</w:t>
      </w:r>
      <w:r w:rsidR="00292C27">
        <w:rPr>
          <w:rFonts w:ascii="Times New Roman" w:hAnsi="Times New Roman"/>
          <w:szCs w:val="24"/>
        </w:rPr>
        <w:t xml:space="preserve"> </w:t>
      </w:r>
      <w:r>
        <w:rPr>
          <w:rFonts w:ascii="Times New Roman" w:hAnsi="Times New Roman"/>
          <w:szCs w:val="24"/>
        </w:rPr>
        <w:t>prototype.</w:t>
      </w:r>
      <w:r w:rsidR="0078151F">
        <w:rPr>
          <w:rFonts w:ascii="Times New Roman" w:hAnsi="Times New Roman"/>
          <w:szCs w:val="24"/>
        </w:rPr>
        <w:t xml:space="preserve">  They included bodies representing specific industries relating to therapeutic goods, medical practitioners and consumers including Medicines Australia, the Generic Medicines Industry Association of Australia, the Australian Self Medication Industry Incorporated and the Complementary Healthcare Council of Australia, the Australian Medical Association and Consumers Health Forum of Australia.  </w:t>
      </w:r>
    </w:p>
    <w:p w:rsidR="0078151F" w:rsidRDefault="0078151F" w:rsidP="0078151F">
      <w:pPr>
        <w:ind w:right="-96"/>
        <w:rPr>
          <w:rFonts w:ascii="Times New Roman" w:hAnsi="Times New Roman"/>
          <w:szCs w:val="24"/>
        </w:rPr>
      </w:pPr>
    </w:p>
    <w:p w:rsidR="00B2584E" w:rsidRDefault="0078151F" w:rsidP="00AA7276">
      <w:pPr>
        <w:ind w:right="-96"/>
        <w:rPr>
          <w:rFonts w:ascii="Times New Roman" w:hAnsi="Times New Roman"/>
          <w:szCs w:val="24"/>
        </w:rPr>
      </w:pPr>
      <w:r>
        <w:rPr>
          <w:rFonts w:ascii="Times New Roman" w:hAnsi="Times New Roman"/>
          <w:szCs w:val="24"/>
        </w:rPr>
        <w:t>A full list of these stakeholders is set out</w:t>
      </w:r>
      <w:r w:rsidR="00855998">
        <w:rPr>
          <w:rFonts w:ascii="Times New Roman" w:hAnsi="Times New Roman"/>
          <w:szCs w:val="24"/>
        </w:rPr>
        <w:t xml:space="preserve"> at Schedule 1 of</w:t>
      </w:r>
      <w:r>
        <w:rPr>
          <w:rFonts w:ascii="Times New Roman" w:hAnsi="Times New Roman"/>
          <w:szCs w:val="24"/>
        </w:rPr>
        <w:t xml:space="preserve"> </w:t>
      </w:r>
      <w:r w:rsidR="005D625F" w:rsidRPr="00730D0E">
        <w:t xml:space="preserve">the </w:t>
      </w:r>
      <w:r w:rsidR="005D625F" w:rsidRPr="00FA78E9">
        <w:rPr>
          <w:i/>
        </w:rPr>
        <w:t>Therapeutic Goods Information (Stakeholder Consultation on the System for Australian Recall Actions) Specification 2013</w:t>
      </w:r>
      <w:r w:rsidR="005D625F" w:rsidRPr="00730D0E">
        <w:t xml:space="preserve"> </w:t>
      </w:r>
      <w:r w:rsidR="005D625F">
        <w:t>which</w:t>
      </w:r>
      <w:r w:rsidR="00855998">
        <w:t xml:space="preserve"> was registered on FRLI</w:t>
      </w:r>
      <w:r w:rsidR="002D7B6E">
        <w:t xml:space="preserve"> on</w:t>
      </w:r>
      <w:r w:rsidR="00855998">
        <w:t xml:space="preserve"> 30 January 2013.  This earlier specification</w:t>
      </w:r>
      <w:r w:rsidR="005D625F">
        <w:t xml:space="preserve"> authorised release under the Act of therapeutic goods information to these bodies for the purposes of this testing, </w:t>
      </w:r>
      <w:r w:rsidR="00A10F4C">
        <w:rPr>
          <w:rFonts w:ascii="Times New Roman" w:hAnsi="Times New Roman"/>
          <w:szCs w:val="24"/>
        </w:rPr>
        <w:t>these</w:t>
      </w:r>
      <w:r w:rsidR="00CB26D5">
        <w:rPr>
          <w:rFonts w:ascii="Times New Roman" w:hAnsi="Times New Roman"/>
          <w:szCs w:val="24"/>
        </w:rPr>
        <w:t xml:space="preserve"> </w:t>
      </w:r>
      <w:r>
        <w:rPr>
          <w:rFonts w:ascii="Times New Roman" w:hAnsi="Times New Roman"/>
          <w:szCs w:val="24"/>
        </w:rPr>
        <w:t xml:space="preserve">bodies </w:t>
      </w:r>
      <w:r w:rsidR="00CB26D5">
        <w:rPr>
          <w:rFonts w:ascii="Times New Roman" w:hAnsi="Times New Roman"/>
          <w:szCs w:val="24"/>
        </w:rPr>
        <w:t xml:space="preserve">were </w:t>
      </w:r>
      <w:r w:rsidR="00701DD2">
        <w:rPr>
          <w:rFonts w:ascii="Times New Roman" w:hAnsi="Times New Roman"/>
          <w:szCs w:val="24"/>
        </w:rPr>
        <w:t>given access to</w:t>
      </w:r>
      <w:r w:rsidR="00CB26D5">
        <w:rPr>
          <w:rFonts w:ascii="Times New Roman" w:hAnsi="Times New Roman"/>
          <w:szCs w:val="24"/>
        </w:rPr>
        <w:t xml:space="preserve"> </w:t>
      </w:r>
      <w:r w:rsidR="005D625F">
        <w:rPr>
          <w:rFonts w:ascii="Times New Roman" w:hAnsi="Times New Roman"/>
          <w:szCs w:val="24"/>
        </w:rPr>
        <w:t xml:space="preserve">the </w:t>
      </w:r>
      <w:r w:rsidR="00CB26D5">
        <w:rPr>
          <w:rFonts w:ascii="Times New Roman" w:hAnsi="Times New Roman"/>
          <w:szCs w:val="24"/>
        </w:rPr>
        <w:t>pr</w:t>
      </w:r>
      <w:r w:rsidR="00A10F4C">
        <w:rPr>
          <w:rFonts w:ascii="Times New Roman" w:hAnsi="Times New Roman"/>
          <w:szCs w:val="24"/>
        </w:rPr>
        <w:t xml:space="preserve">ototype </w:t>
      </w:r>
      <w:r w:rsidR="005D625F">
        <w:rPr>
          <w:rFonts w:ascii="Times New Roman" w:hAnsi="Times New Roman"/>
          <w:szCs w:val="24"/>
        </w:rPr>
        <w:t xml:space="preserve">from 31 January 2013 to mid-February 2013.  Feedback about the </w:t>
      </w:r>
      <w:r w:rsidR="00A10F4C">
        <w:rPr>
          <w:rFonts w:ascii="Times New Roman" w:hAnsi="Times New Roman"/>
          <w:szCs w:val="24"/>
        </w:rPr>
        <w:t xml:space="preserve">SARA database </w:t>
      </w:r>
      <w:r w:rsidR="005D625F">
        <w:rPr>
          <w:rFonts w:ascii="Times New Roman" w:hAnsi="Times New Roman"/>
          <w:szCs w:val="24"/>
        </w:rPr>
        <w:t xml:space="preserve">was sought on </w:t>
      </w:r>
      <w:r w:rsidR="00CB26D5">
        <w:rPr>
          <w:rFonts w:ascii="Times New Roman" w:hAnsi="Times New Roman"/>
          <w:szCs w:val="24"/>
        </w:rPr>
        <w:t>its functionality, suitability (in terms of informing the public about Australian recall actions</w:t>
      </w:r>
      <w:r w:rsidR="00964C5A">
        <w:rPr>
          <w:rFonts w:ascii="Times New Roman" w:hAnsi="Times New Roman"/>
          <w:szCs w:val="24"/>
        </w:rPr>
        <w:t xml:space="preserve">) and </w:t>
      </w:r>
      <w:r w:rsidR="00A10F4C">
        <w:rPr>
          <w:rFonts w:ascii="Times New Roman" w:hAnsi="Times New Roman"/>
          <w:szCs w:val="24"/>
        </w:rPr>
        <w:t xml:space="preserve">presentation, including any impacts on industry that might result from </w:t>
      </w:r>
      <w:r w:rsidR="005D625F">
        <w:rPr>
          <w:rFonts w:ascii="Times New Roman" w:hAnsi="Times New Roman"/>
          <w:szCs w:val="24"/>
        </w:rPr>
        <w:t xml:space="preserve">its </w:t>
      </w:r>
      <w:r w:rsidR="00A10F4C">
        <w:rPr>
          <w:rFonts w:ascii="Times New Roman" w:hAnsi="Times New Roman"/>
          <w:szCs w:val="24"/>
        </w:rPr>
        <w:t>launch.</w:t>
      </w:r>
    </w:p>
    <w:p w:rsidR="00B2584E" w:rsidRDefault="00B2584E" w:rsidP="00AA7276">
      <w:pPr>
        <w:ind w:right="-96"/>
        <w:rPr>
          <w:rFonts w:ascii="Times New Roman" w:hAnsi="Times New Roman"/>
          <w:szCs w:val="24"/>
        </w:rPr>
      </w:pPr>
    </w:p>
    <w:p w:rsidR="000F42C5" w:rsidRDefault="00292C27" w:rsidP="00AA7276">
      <w:pPr>
        <w:ind w:right="-96"/>
        <w:rPr>
          <w:rFonts w:ascii="Times New Roman" w:hAnsi="Times New Roman"/>
          <w:szCs w:val="24"/>
        </w:rPr>
      </w:pPr>
      <w:r>
        <w:rPr>
          <w:rFonts w:ascii="Times New Roman" w:hAnsi="Times New Roman"/>
          <w:szCs w:val="24"/>
        </w:rPr>
        <w:t xml:space="preserve">Comments from the </w:t>
      </w:r>
      <w:r w:rsidR="0075130C">
        <w:rPr>
          <w:rFonts w:ascii="Times New Roman" w:hAnsi="Times New Roman"/>
          <w:szCs w:val="24"/>
        </w:rPr>
        <w:t xml:space="preserve">stakeholders </w:t>
      </w:r>
      <w:r>
        <w:rPr>
          <w:rFonts w:ascii="Times New Roman" w:hAnsi="Times New Roman"/>
          <w:szCs w:val="24"/>
        </w:rPr>
        <w:t xml:space="preserve">were </w:t>
      </w:r>
      <w:r w:rsidR="0075130C">
        <w:rPr>
          <w:rFonts w:ascii="Times New Roman" w:hAnsi="Times New Roman"/>
          <w:szCs w:val="24"/>
        </w:rPr>
        <w:t>considered by the TGA</w:t>
      </w:r>
      <w:r>
        <w:rPr>
          <w:rFonts w:ascii="Times New Roman" w:hAnsi="Times New Roman"/>
          <w:szCs w:val="24"/>
        </w:rPr>
        <w:t xml:space="preserve"> resulting in a </w:t>
      </w:r>
      <w:r w:rsidR="0075130C">
        <w:rPr>
          <w:rFonts w:ascii="Times New Roman" w:hAnsi="Times New Roman"/>
          <w:szCs w:val="24"/>
        </w:rPr>
        <w:t xml:space="preserve">number of changes </w:t>
      </w:r>
      <w:r>
        <w:rPr>
          <w:rFonts w:ascii="Times New Roman" w:hAnsi="Times New Roman"/>
          <w:szCs w:val="24"/>
        </w:rPr>
        <w:t xml:space="preserve">being </w:t>
      </w:r>
      <w:r w:rsidR="0075130C">
        <w:rPr>
          <w:rFonts w:ascii="Times New Roman" w:hAnsi="Times New Roman"/>
          <w:szCs w:val="24"/>
        </w:rPr>
        <w:t xml:space="preserve">incorporated into the version of the SARA database that will be </w:t>
      </w:r>
      <w:r>
        <w:rPr>
          <w:rFonts w:ascii="Times New Roman" w:hAnsi="Times New Roman"/>
          <w:szCs w:val="24"/>
        </w:rPr>
        <w:t xml:space="preserve">available </w:t>
      </w:r>
      <w:r w:rsidR="0075130C">
        <w:rPr>
          <w:rFonts w:ascii="Times New Roman" w:hAnsi="Times New Roman"/>
          <w:szCs w:val="24"/>
        </w:rPr>
        <w:t>to the public.</w:t>
      </w:r>
    </w:p>
    <w:p w:rsidR="004C2276" w:rsidRDefault="004C2276" w:rsidP="00AA7276">
      <w:pPr>
        <w:ind w:right="-96"/>
        <w:rPr>
          <w:rFonts w:ascii="Times New Roman" w:hAnsi="Times New Roman"/>
          <w:szCs w:val="24"/>
        </w:rPr>
      </w:pPr>
    </w:p>
    <w:p w:rsidR="004C2276" w:rsidRPr="00D857C8" w:rsidRDefault="004C2276" w:rsidP="00AA7276">
      <w:pPr>
        <w:ind w:right="-96"/>
        <w:rPr>
          <w:rFonts w:ascii="Times New Roman" w:hAnsi="Times New Roman"/>
          <w:b/>
          <w:szCs w:val="24"/>
        </w:rPr>
      </w:pPr>
      <w:r>
        <w:rPr>
          <w:rFonts w:ascii="Times New Roman" w:hAnsi="Times New Roman"/>
          <w:szCs w:val="24"/>
        </w:rPr>
        <w:t xml:space="preserve">As noted above, the SARA database will involve public access to a sub-set of information that is already held in the TGA’s database of Australian recall actions that the TGA keeps </w:t>
      </w:r>
      <w:r w:rsidR="005D625F">
        <w:rPr>
          <w:rFonts w:ascii="Times New Roman" w:hAnsi="Times New Roman"/>
          <w:szCs w:val="24"/>
        </w:rPr>
        <w:t xml:space="preserve">for the purpose of </w:t>
      </w:r>
      <w:r w:rsidR="005D625F">
        <w:t>performing its monitoring and compliance functions under the Act</w:t>
      </w:r>
      <w:r>
        <w:rPr>
          <w:rFonts w:ascii="Times New Roman" w:hAnsi="Times New Roman"/>
          <w:szCs w:val="24"/>
        </w:rPr>
        <w:t xml:space="preserve">.  Currently, only Australian recall actions </w:t>
      </w:r>
      <w:r w:rsidR="005D625F">
        <w:rPr>
          <w:rFonts w:ascii="Times New Roman" w:hAnsi="Times New Roman"/>
          <w:szCs w:val="24"/>
        </w:rPr>
        <w:t xml:space="preserve">that involve </w:t>
      </w:r>
      <w:r>
        <w:rPr>
          <w:rFonts w:ascii="Times New Roman" w:hAnsi="Times New Roman"/>
          <w:szCs w:val="24"/>
        </w:rPr>
        <w:t xml:space="preserve">consumers are published on the TGA’s website.  </w:t>
      </w:r>
      <w:r w:rsidR="005D625F">
        <w:t>Information about other Australian recall actions (such as recalls involving wholesalers or hospitals) is provided by the TGA to a limited group of external stakeholders such as State and Territory recall coordinators (with the sponsor of the goods providing information to others affected by the recall).  The creation of the SARA database will allow access by the public to information about Australian recall actions more generally for the first time.</w:t>
      </w:r>
    </w:p>
    <w:p w:rsidR="0075130C" w:rsidRDefault="0075130C" w:rsidP="00AA7276">
      <w:pPr>
        <w:ind w:right="-96"/>
      </w:pPr>
    </w:p>
    <w:p w:rsidR="007336A4" w:rsidRDefault="007336A4" w:rsidP="00121B98">
      <w:pPr>
        <w:rPr>
          <w:color w:val="000000"/>
          <w:szCs w:val="24"/>
        </w:rPr>
      </w:pPr>
      <w:r>
        <w:rPr>
          <w:color w:val="000000"/>
          <w:szCs w:val="24"/>
        </w:rPr>
        <w:t xml:space="preserve">The </w:t>
      </w:r>
      <w:r w:rsidR="00390C68">
        <w:rPr>
          <w:color w:val="000000"/>
          <w:szCs w:val="24"/>
        </w:rPr>
        <w:t>Specification</w:t>
      </w:r>
      <w:r>
        <w:rPr>
          <w:color w:val="000000"/>
          <w:szCs w:val="24"/>
        </w:rPr>
        <w:t xml:space="preserve"> </w:t>
      </w:r>
      <w:r w:rsidR="00797500">
        <w:rPr>
          <w:color w:val="000000"/>
          <w:szCs w:val="24"/>
        </w:rPr>
        <w:t>is</w:t>
      </w:r>
      <w:r>
        <w:rPr>
          <w:color w:val="000000"/>
          <w:szCs w:val="24"/>
        </w:rPr>
        <w:t xml:space="preserve"> a legislative instrument for the purpose</w:t>
      </w:r>
      <w:r w:rsidR="00296766">
        <w:rPr>
          <w:color w:val="000000"/>
          <w:szCs w:val="24"/>
        </w:rPr>
        <w:t>s</w:t>
      </w:r>
      <w:r>
        <w:rPr>
          <w:color w:val="000000"/>
          <w:szCs w:val="24"/>
        </w:rPr>
        <w:t xml:space="preserve"> of the </w:t>
      </w:r>
      <w:r w:rsidRPr="007336A4">
        <w:rPr>
          <w:i/>
          <w:color w:val="000000"/>
          <w:szCs w:val="24"/>
        </w:rPr>
        <w:t>Legislative Instruments Act 2003</w:t>
      </w:r>
      <w:r>
        <w:rPr>
          <w:color w:val="000000"/>
          <w:szCs w:val="24"/>
        </w:rPr>
        <w:t>.</w:t>
      </w:r>
    </w:p>
    <w:p w:rsidR="00804792" w:rsidRDefault="00804792" w:rsidP="00121B98">
      <w:pPr>
        <w:rPr>
          <w:color w:val="000000"/>
          <w:szCs w:val="24"/>
        </w:rPr>
      </w:pPr>
    </w:p>
    <w:p w:rsidR="0062525A" w:rsidRDefault="0062525A" w:rsidP="0062525A">
      <w:r>
        <w:t xml:space="preserve">In relation to compatibility with human rights, it is considered that the Specification is compatible with the human rights and freedoms recognised or declared in the international instruments listed in section 3 of the </w:t>
      </w:r>
      <w:r>
        <w:rPr>
          <w:i/>
        </w:rPr>
        <w:t>Human Rights (Parliamentary Scrutiny) Act 2011</w:t>
      </w:r>
      <w:r>
        <w:t>, and a Statement of Compatibility setting that out in further detail is attached.</w:t>
      </w:r>
    </w:p>
    <w:p w:rsidR="0062525A" w:rsidRDefault="0062525A" w:rsidP="0062525A"/>
    <w:p w:rsidR="0062525A" w:rsidRDefault="0062525A" w:rsidP="0062525A">
      <w:pPr>
        <w:rPr>
          <w:b/>
        </w:rPr>
      </w:pPr>
      <w:r>
        <w:rPr>
          <w:b/>
        </w:rPr>
        <w:t>ATTACHMENTS</w:t>
      </w:r>
    </w:p>
    <w:p w:rsidR="0062525A" w:rsidRDefault="0062525A" w:rsidP="0062525A">
      <w:pPr>
        <w:rPr>
          <w:szCs w:val="24"/>
        </w:rPr>
      </w:pPr>
    </w:p>
    <w:p w:rsidR="002A6928" w:rsidRDefault="0062525A">
      <w:pPr>
        <w:ind w:left="720" w:hanging="720"/>
        <w:rPr>
          <w:color w:val="000000"/>
          <w:szCs w:val="24"/>
        </w:rPr>
      </w:pPr>
      <w:r>
        <w:rPr>
          <w:szCs w:val="24"/>
        </w:rPr>
        <w:t xml:space="preserve">1. </w:t>
      </w:r>
      <w:r w:rsidR="004C1E70">
        <w:rPr>
          <w:szCs w:val="24"/>
        </w:rPr>
        <w:tab/>
      </w:r>
      <w:r w:rsidRPr="00921726">
        <w:rPr>
          <w:bCs/>
        </w:rPr>
        <w:t>Statement of compatibility for a legislative instrument that does not raise any human rights issues (Therapeutic Goods Information (</w:t>
      </w:r>
      <w:r w:rsidR="00AA76EF">
        <w:rPr>
          <w:bCs/>
        </w:rPr>
        <w:t>System for Australian Recall Actions) Specification 2013</w:t>
      </w:r>
      <w:r w:rsidRPr="00921726">
        <w:rPr>
          <w:bCs/>
        </w:rPr>
        <w:t>).</w:t>
      </w:r>
    </w:p>
    <w:p w:rsidR="007336A4" w:rsidRDefault="007336A4" w:rsidP="00121B98">
      <w:pPr>
        <w:rPr>
          <w:color w:val="000000"/>
          <w:szCs w:val="24"/>
        </w:rPr>
      </w:pPr>
    </w:p>
    <w:p w:rsidR="00797500" w:rsidRDefault="00797500">
      <w:pPr>
        <w:pStyle w:val="Header"/>
        <w:tabs>
          <w:tab w:val="clear" w:pos="4153"/>
          <w:tab w:val="clear" w:pos="8306"/>
          <w:tab w:val="left" w:pos="4395"/>
          <w:tab w:val="left" w:pos="5529"/>
        </w:tabs>
        <w:ind w:hanging="1797"/>
        <w:rPr>
          <w:i/>
        </w:rPr>
      </w:pPr>
    </w:p>
    <w:sectPr w:rsidR="00797500" w:rsidSect="001E1C95">
      <w:headerReference w:type="even" r:id="rId11"/>
      <w:headerReference w:type="default" r:id="rId12"/>
      <w:footerReference w:type="default" r:id="rId13"/>
      <w:footerReference w:type="first" r:id="rId14"/>
      <w:pgSz w:w="11907" w:h="16840" w:code="9"/>
      <w:pgMar w:top="1134" w:right="147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1F" w:rsidRDefault="0078151F">
      <w:r>
        <w:separator/>
      </w:r>
    </w:p>
  </w:endnote>
  <w:endnote w:type="continuationSeparator" w:id="0">
    <w:p w:rsidR="0078151F" w:rsidRDefault="007815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1F" w:rsidRPr="00BD3496" w:rsidRDefault="0078151F" w:rsidP="00BD3496">
    <w:pPr>
      <w:pStyle w:val="Footer"/>
      <w:jc w:val="right"/>
      <w:rPr>
        <w:i/>
        <w:sz w:val="20"/>
      </w:rPr>
    </w:pPr>
    <w:r w:rsidRPr="00BD3496">
      <w:rPr>
        <w:i/>
        <w:snapToGrid w:val="0"/>
        <w:sz w:val="20"/>
        <w:lang w:eastAsia="en-US"/>
      </w:rPr>
      <w:t xml:space="preserve">Page </w:t>
    </w:r>
    <w:r w:rsidR="00792193" w:rsidRPr="00BD3496">
      <w:rPr>
        <w:i/>
        <w:snapToGrid w:val="0"/>
        <w:sz w:val="20"/>
        <w:lang w:eastAsia="en-US"/>
      </w:rPr>
      <w:fldChar w:fldCharType="begin"/>
    </w:r>
    <w:r w:rsidRPr="00BD3496">
      <w:rPr>
        <w:i/>
        <w:snapToGrid w:val="0"/>
        <w:sz w:val="20"/>
        <w:lang w:eastAsia="en-US"/>
      </w:rPr>
      <w:instrText xml:space="preserve"> PAGE </w:instrText>
    </w:r>
    <w:r w:rsidR="00792193" w:rsidRPr="00BD3496">
      <w:rPr>
        <w:i/>
        <w:snapToGrid w:val="0"/>
        <w:sz w:val="20"/>
        <w:lang w:eastAsia="en-US"/>
      </w:rPr>
      <w:fldChar w:fldCharType="separate"/>
    </w:r>
    <w:r w:rsidR="00532286">
      <w:rPr>
        <w:i/>
        <w:noProof/>
        <w:snapToGrid w:val="0"/>
        <w:sz w:val="20"/>
        <w:lang w:eastAsia="en-US"/>
      </w:rPr>
      <w:t>3</w:t>
    </w:r>
    <w:r w:rsidR="00792193" w:rsidRPr="00BD3496">
      <w:rPr>
        <w:i/>
        <w:snapToGrid w:val="0"/>
        <w:sz w:val="20"/>
        <w:lang w:eastAsia="en-US"/>
      </w:rPr>
      <w:fldChar w:fldCharType="end"/>
    </w:r>
    <w:r w:rsidRPr="00BD3496">
      <w:rPr>
        <w:i/>
        <w:snapToGrid w:val="0"/>
        <w:sz w:val="20"/>
        <w:lang w:eastAsia="en-US"/>
      </w:rPr>
      <w:t xml:space="preserve"> of </w:t>
    </w:r>
    <w:r w:rsidR="00792193" w:rsidRPr="00BD3496">
      <w:rPr>
        <w:i/>
        <w:snapToGrid w:val="0"/>
        <w:sz w:val="20"/>
        <w:lang w:eastAsia="en-US"/>
      </w:rPr>
      <w:fldChar w:fldCharType="begin"/>
    </w:r>
    <w:r w:rsidRPr="00BD3496">
      <w:rPr>
        <w:i/>
        <w:snapToGrid w:val="0"/>
        <w:sz w:val="20"/>
        <w:lang w:eastAsia="en-US"/>
      </w:rPr>
      <w:instrText xml:space="preserve"> NUMPAGES </w:instrText>
    </w:r>
    <w:r w:rsidR="00792193" w:rsidRPr="00BD3496">
      <w:rPr>
        <w:i/>
        <w:snapToGrid w:val="0"/>
        <w:sz w:val="20"/>
        <w:lang w:eastAsia="en-US"/>
      </w:rPr>
      <w:fldChar w:fldCharType="separate"/>
    </w:r>
    <w:r w:rsidR="00532286">
      <w:rPr>
        <w:i/>
        <w:noProof/>
        <w:snapToGrid w:val="0"/>
        <w:sz w:val="20"/>
        <w:lang w:eastAsia="en-US"/>
      </w:rPr>
      <w:t>3</w:t>
    </w:r>
    <w:r w:rsidR="00792193" w:rsidRPr="00BD3496">
      <w:rPr>
        <w:i/>
        <w:snapToGrid w:val="0"/>
        <w:sz w:val="20"/>
        <w:lang w:eastAsia="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1F" w:rsidRDefault="0078151F" w:rsidP="00457E4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1F" w:rsidRDefault="0078151F">
      <w:r>
        <w:separator/>
      </w:r>
    </w:p>
  </w:footnote>
  <w:footnote w:type="continuationSeparator" w:id="0">
    <w:p w:rsidR="0078151F" w:rsidRDefault="00781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1F" w:rsidRDefault="00792193" w:rsidP="00B24E0B">
    <w:pPr>
      <w:pStyle w:val="Header"/>
      <w:framePr w:wrap="around" w:vAnchor="text" w:hAnchor="margin" w:xAlign="center" w:y="1"/>
      <w:rPr>
        <w:rStyle w:val="PageNumber"/>
      </w:rPr>
    </w:pPr>
    <w:r>
      <w:rPr>
        <w:rStyle w:val="PageNumber"/>
      </w:rPr>
      <w:fldChar w:fldCharType="begin"/>
    </w:r>
    <w:r w:rsidR="0078151F">
      <w:rPr>
        <w:rStyle w:val="PageNumber"/>
      </w:rPr>
      <w:instrText xml:space="preserve">PAGE  </w:instrText>
    </w:r>
    <w:r>
      <w:rPr>
        <w:rStyle w:val="PageNumber"/>
      </w:rPr>
      <w:fldChar w:fldCharType="end"/>
    </w:r>
  </w:p>
  <w:p w:rsidR="0078151F" w:rsidRDefault="007815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1F" w:rsidRDefault="00792193" w:rsidP="00B24E0B">
    <w:pPr>
      <w:pStyle w:val="Header"/>
      <w:framePr w:wrap="around" w:vAnchor="text" w:hAnchor="margin" w:xAlign="center" w:y="1"/>
      <w:rPr>
        <w:rStyle w:val="PageNumber"/>
      </w:rPr>
    </w:pPr>
    <w:r>
      <w:rPr>
        <w:rStyle w:val="PageNumber"/>
      </w:rPr>
      <w:fldChar w:fldCharType="begin"/>
    </w:r>
    <w:r w:rsidR="0078151F">
      <w:rPr>
        <w:rStyle w:val="PageNumber"/>
      </w:rPr>
      <w:instrText xml:space="preserve">PAGE  </w:instrText>
    </w:r>
    <w:r>
      <w:rPr>
        <w:rStyle w:val="PageNumber"/>
      </w:rPr>
      <w:fldChar w:fldCharType="separate"/>
    </w:r>
    <w:r w:rsidR="00532286">
      <w:rPr>
        <w:rStyle w:val="PageNumber"/>
        <w:noProof/>
      </w:rPr>
      <w:t>3</w:t>
    </w:r>
    <w:r>
      <w:rPr>
        <w:rStyle w:val="PageNumber"/>
      </w:rPr>
      <w:fldChar w:fldCharType="end"/>
    </w:r>
  </w:p>
  <w:p w:rsidR="0078151F" w:rsidRDefault="007815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nsid w:val="19480C61"/>
    <w:multiLevelType w:val="hybridMultilevel"/>
    <w:tmpl w:val="FF4A8400"/>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F6E122D"/>
    <w:multiLevelType w:val="multilevel"/>
    <w:tmpl w:val="087A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AF608E"/>
    <w:multiLevelType w:val="hybridMultilevel"/>
    <w:tmpl w:val="60029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16D3EA6"/>
    <w:multiLevelType w:val="multilevel"/>
    <w:tmpl w:val="DA360B98"/>
    <w:numStyleLink w:val="ListBullets"/>
  </w:abstractNum>
  <w:abstractNum w:abstractNumId="5">
    <w:nsid w:val="4F676CC2"/>
    <w:multiLevelType w:val="hybridMultilevel"/>
    <w:tmpl w:val="21A04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D15CB2"/>
    <w:multiLevelType w:val="hybridMultilevel"/>
    <w:tmpl w:val="D876C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A882C75"/>
    <w:multiLevelType w:val="hybridMultilevel"/>
    <w:tmpl w:val="8370E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E753B4B"/>
    <w:multiLevelType w:val="hybridMultilevel"/>
    <w:tmpl w:val="EE8289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7"/>
  </w:num>
  <w:num w:numId="2">
    <w:abstractNumId w:val="1"/>
  </w:num>
  <w:num w:numId="3">
    <w:abstractNumId w:val="8"/>
  </w:num>
  <w:num w:numId="4">
    <w:abstractNumId w:val="2"/>
  </w:num>
  <w:num w:numId="5">
    <w:abstractNumId w:val="5"/>
  </w:num>
  <w:num w:numId="6">
    <w:abstractNumId w:val="0"/>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97500"/>
    <w:rsid w:val="00001F46"/>
    <w:rsid w:val="0000255C"/>
    <w:rsid w:val="000224DD"/>
    <w:rsid w:val="00025FDC"/>
    <w:rsid w:val="00030C6D"/>
    <w:rsid w:val="000323FF"/>
    <w:rsid w:val="00034471"/>
    <w:rsid w:val="00040E20"/>
    <w:rsid w:val="00042160"/>
    <w:rsid w:val="00052DB9"/>
    <w:rsid w:val="00055C58"/>
    <w:rsid w:val="00066612"/>
    <w:rsid w:val="000728FC"/>
    <w:rsid w:val="000735B6"/>
    <w:rsid w:val="00082E89"/>
    <w:rsid w:val="00093702"/>
    <w:rsid w:val="00094D39"/>
    <w:rsid w:val="00096ECB"/>
    <w:rsid w:val="000A256F"/>
    <w:rsid w:val="000A297F"/>
    <w:rsid w:val="000A4FEF"/>
    <w:rsid w:val="000B04DE"/>
    <w:rsid w:val="000B3CD4"/>
    <w:rsid w:val="000B4733"/>
    <w:rsid w:val="000C00B7"/>
    <w:rsid w:val="000C0AD7"/>
    <w:rsid w:val="000C3477"/>
    <w:rsid w:val="000D101A"/>
    <w:rsid w:val="000D1F50"/>
    <w:rsid w:val="000D59BA"/>
    <w:rsid w:val="000D742C"/>
    <w:rsid w:val="000D7657"/>
    <w:rsid w:val="000E5C91"/>
    <w:rsid w:val="000F2F24"/>
    <w:rsid w:val="000F427F"/>
    <w:rsid w:val="000F42C5"/>
    <w:rsid w:val="000F4945"/>
    <w:rsid w:val="001051B8"/>
    <w:rsid w:val="001115C4"/>
    <w:rsid w:val="001122BC"/>
    <w:rsid w:val="00114FEE"/>
    <w:rsid w:val="001167C6"/>
    <w:rsid w:val="00116A76"/>
    <w:rsid w:val="00116DB6"/>
    <w:rsid w:val="00117D4C"/>
    <w:rsid w:val="00121B98"/>
    <w:rsid w:val="00124278"/>
    <w:rsid w:val="0013551C"/>
    <w:rsid w:val="00137937"/>
    <w:rsid w:val="0014093C"/>
    <w:rsid w:val="001441E8"/>
    <w:rsid w:val="00160372"/>
    <w:rsid w:val="00161367"/>
    <w:rsid w:val="00165271"/>
    <w:rsid w:val="00167CB8"/>
    <w:rsid w:val="0017129A"/>
    <w:rsid w:val="001738BC"/>
    <w:rsid w:val="00174D05"/>
    <w:rsid w:val="00176D12"/>
    <w:rsid w:val="00182D10"/>
    <w:rsid w:val="001841F4"/>
    <w:rsid w:val="001845E0"/>
    <w:rsid w:val="00191423"/>
    <w:rsid w:val="00191AF0"/>
    <w:rsid w:val="001927C9"/>
    <w:rsid w:val="001966FD"/>
    <w:rsid w:val="001A2EF3"/>
    <w:rsid w:val="001A3537"/>
    <w:rsid w:val="001A3B7C"/>
    <w:rsid w:val="001A4CC2"/>
    <w:rsid w:val="001A5407"/>
    <w:rsid w:val="001B36BE"/>
    <w:rsid w:val="001B584F"/>
    <w:rsid w:val="001C0DB5"/>
    <w:rsid w:val="001C55AA"/>
    <w:rsid w:val="001C72F9"/>
    <w:rsid w:val="001D0C9A"/>
    <w:rsid w:val="001D1F60"/>
    <w:rsid w:val="001D25F2"/>
    <w:rsid w:val="001D27B4"/>
    <w:rsid w:val="001E0E76"/>
    <w:rsid w:val="001E1B5E"/>
    <w:rsid w:val="001E1C95"/>
    <w:rsid w:val="001E2835"/>
    <w:rsid w:val="001E2B19"/>
    <w:rsid w:val="001F6C11"/>
    <w:rsid w:val="00201B31"/>
    <w:rsid w:val="00201E92"/>
    <w:rsid w:val="002030BD"/>
    <w:rsid w:val="00203B2A"/>
    <w:rsid w:val="00205575"/>
    <w:rsid w:val="00210874"/>
    <w:rsid w:val="002239C4"/>
    <w:rsid w:val="00227172"/>
    <w:rsid w:val="00227214"/>
    <w:rsid w:val="00233D67"/>
    <w:rsid w:val="00235019"/>
    <w:rsid w:val="00237270"/>
    <w:rsid w:val="002503C2"/>
    <w:rsid w:val="002506DB"/>
    <w:rsid w:val="00250743"/>
    <w:rsid w:val="0025431F"/>
    <w:rsid w:val="002560A5"/>
    <w:rsid w:val="00256F8C"/>
    <w:rsid w:val="00266A9F"/>
    <w:rsid w:val="002705B7"/>
    <w:rsid w:val="00270F5B"/>
    <w:rsid w:val="00271F07"/>
    <w:rsid w:val="00275391"/>
    <w:rsid w:val="002753A5"/>
    <w:rsid w:val="0028175C"/>
    <w:rsid w:val="00284B51"/>
    <w:rsid w:val="002854B0"/>
    <w:rsid w:val="00285A9D"/>
    <w:rsid w:val="00287A45"/>
    <w:rsid w:val="00287FB8"/>
    <w:rsid w:val="002903D1"/>
    <w:rsid w:val="00292825"/>
    <w:rsid w:val="00292C27"/>
    <w:rsid w:val="0029310D"/>
    <w:rsid w:val="00294434"/>
    <w:rsid w:val="00294DD7"/>
    <w:rsid w:val="00295612"/>
    <w:rsid w:val="00296766"/>
    <w:rsid w:val="00297563"/>
    <w:rsid w:val="002A1152"/>
    <w:rsid w:val="002A67C8"/>
    <w:rsid w:val="002A691A"/>
    <w:rsid w:val="002A6928"/>
    <w:rsid w:val="002B3978"/>
    <w:rsid w:val="002B3B72"/>
    <w:rsid w:val="002B3E25"/>
    <w:rsid w:val="002B4A3A"/>
    <w:rsid w:val="002C453D"/>
    <w:rsid w:val="002C5253"/>
    <w:rsid w:val="002C62AE"/>
    <w:rsid w:val="002C7FCC"/>
    <w:rsid w:val="002D7B6E"/>
    <w:rsid w:val="002E23EC"/>
    <w:rsid w:val="002E3DC8"/>
    <w:rsid w:val="002E4F7D"/>
    <w:rsid w:val="002E5D2F"/>
    <w:rsid w:val="002E659A"/>
    <w:rsid w:val="002F1972"/>
    <w:rsid w:val="002F7E32"/>
    <w:rsid w:val="00300118"/>
    <w:rsid w:val="003026E8"/>
    <w:rsid w:val="003042B8"/>
    <w:rsid w:val="0030541C"/>
    <w:rsid w:val="00305809"/>
    <w:rsid w:val="00310F35"/>
    <w:rsid w:val="00312343"/>
    <w:rsid w:val="00313294"/>
    <w:rsid w:val="003142D8"/>
    <w:rsid w:val="003160C6"/>
    <w:rsid w:val="003168A9"/>
    <w:rsid w:val="00323CBE"/>
    <w:rsid w:val="003246A2"/>
    <w:rsid w:val="00325772"/>
    <w:rsid w:val="0032642C"/>
    <w:rsid w:val="00333E4F"/>
    <w:rsid w:val="0033633C"/>
    <w:rsid w:val="00337E71"/>
    <w:rsid w:val="00337FC0"/>
    <w:rsid w:val="00340137"/>
    <w:rsid w:val="00344E3E"/>
    <w:rsid w:val="003451B1"/>
    <w:rsid w:val="003469D8"/>
    <w:rsid w:val="00347661"/>
    <w:rsid w:val="00360C3B"/>
    <w:rsid w:val="00361A4E"/>
    <w:rsid w:val="00376F28"/>
    <w:rsid w:val="00386D9E"/>
    <w:rsid w:val="00390405"/>
    <w:rsid w:val="00390C68"/>
    <w:rsid w:val="00394407"/>
    <w:rsid w:val="003965FC"/>
    <w:rsid w:val="003968A2"/>
    <w:rsid w:val="00396EF6"/>
    <w:rsid w:val="00397C2B"/>
    <w:rsid w:val="003A121D"/>
    <w:rsid w:val="003A1334"/>
    <w:rsid w:val="003A133E"/>
    <w:rsid w:val="003A6DA6"/>
    <w:rsid w:val="003C082C"/>
    <w:rsid w:val="003C4F0B"/>
    <w:rsid w:val="003D2F8B"/>
    <w:rsid w:val="003D6392"/>
    <w:rsid w:val="003D78A5"/>
    <w:rsid w:val="003E0EDF"/>
    <w:rsid w:val="003E246D"/>
    <w:rsid w:val="003E54F0"/>
    <w:rsid w:val="003E7E18"/>
    <w:rsid w:val="003F05A3"/>
    <w:rsid w:val="003F1B8E"/>
    <w:rsid w:val="003F37B0"/>
    <w:rsid w:val="003F6BD6"/>
    <w:rsid w:val="00403D71"/>
    <w:rsid w:val="00412CF6"/>
    <w:rsid w:val="004217F8"/>
    <w:rsid w:val="0042386A"/>
    <w:rsid w:val="00424618"/>
    <w:rsid w:val="004263AC"/>
    <w:rsid w:val="004343B8"/>
    <w:rsid w:val="00442753"/>
    <w:rsid w:val="00443637"/>
    <w:rsid w:val="004442C2"/>
    <w:rsid w:val="0044566B"/>
    <w:rsid w:val="00447DA4"/>
    <w:rsid w:val="0045006A"/>
    <w:rsid w:val="004509AD"/>
    <w:rsid w:val="004527AB"/>
    <w:rsid w:val="0045337F"/>
    <w:rsid w:val="00454330"/>
    <w:rsid w:val="00457A49"/>
    <w:rsid w:val="00457D99"/>
    <w:rsid w:val="00457E4A"/>
    <w:rsid w:val="00462233"/>
    <w:rsid w:val="00465AA8"/>
    <w:rsid w:val="00467F28"/>
    <w:rsid w:val="00473675"/>
    <w:rsid w:val="00475275"/>
    <w:rsid w:val="00482D78"/>
    <w:rsid w:val="004852D0"/>
    <w:rsid w:val="004953C8"/>
    <w:rsid w:val="004A11BC"/>
    <w:rsid w:val="004A3F70"/>
    <w:rsid w:val="004B02BA"/>
    <w:rsid w:val="004B0AE7"/>
    <w:rsid w:val="004B0BD6"/>
    <w:rsid w:val="004B725B"/>
    <w:rsid w:val="004C01C8"/>
    <w:rsid w:val="004C11C2"/>
    <w:rsid w:val="004C1362"/>
    <w:rsid w:val="004C1E70"/>
    <w:rsid w:val="004C2276"/>
    <w:rsid w:val="004C5180"/>
    <w:rsid w:val="004D3ECD"/>
    <w:rsid w:val="004D4D47"/>
    <w:rsid w:val="004E32F8"/>
    <w:rsid w:val="004F6F95"/>
    <w:rsid w:val="00501A93"/>
    <w:rsid w:val="00501D89"/>
    <w:rsid w:val="00506B1D"/>
    <w:rsid w:val="00521FF2"/>
    <w:rsid w:val="005227E9"/>
    <w:rsid w:val="00532286"/>
    <w:rsid w:val="00536D03"/>
    <w:rsid w:val="00541205"/>
    <w:rsid w:val="00545926"/>
    <w:rsid w:val="00547DA8"/>
    <w:rsid w:val="005553EE"/>
    <w:rsid w:val="00565460"/>
    <w:rsid w:val="0057030E"/>
    <w:rsid w:val="0058053F"/>
    <w:rsid w:val="00584BDA"/>
    <w:rsid w:val="00587E82"/>
    <w:rsid w:val="00590250"/>
    <w:rsid w:val="00590872"/>
    <w:rsid w:val="00596F43"/>
    <w:rsid w:val="005A637A"/>
    <w:rsid w:val="005A64F2"/>
    <w:rsid w:val="005B0498"/>
    <w:rsid w:val="005B168D"/>
    <w:rsid w:val="005B2637"/>
    <w:rsid w:val="005B548D"/>
    <w:rsid w:val="005C0444"/>
    <w:rsid w:val="005C21BA"/>
    <w:rsid w:val="005C23A0"/>
    <w:rsid w:val="005C5F7B"/>
    <w:rsid w:val="005D625F"/>
    <w:rsid w:val="005D69F3"/>
    <w:rsid w:val="005E2709"/>
    <w:rsid w:val="005E4E39"/>
    <w:rsid w:val="005E65E4"/>
    <w:rsid w:val="005F06C6"/>
    <w:rsid w:val="005F28F3"/>
    <w:rsid w:val="005F3F50"/>
    <w:rsid w:val="005F7D9E"/>
    <w:rsid w:val="006110AA"/>
    <w:rsid w:val="0061208E"/>
    <w:rsid w:val="00613606"/>
    <w:rsid w:val="00616BB2"/>
    <w:rsid w:val="00617085"/>
    <w:rsid w:val="00617887"/>
    <w:rsid w:val="0062525A"/>
    <w:rsid w:val="00631E9B"/>
    <w:rsid w:val="006354F3"/>
    <w:rsid w:val="0064127C"/>
    <w:rsid w:val="00642E5D"/>
    <w:rsid w:val="00643C8E"/>
    <w:rsid w:val="00646167"/>
    <w:rsid w:val="006464B2"/>
    <w:rsid w:val="00650736"/>
    <w:rsid w:val="00650861"/>
    <w:rsid w:val="00660062"/>
    <w:rsid w:val="00665109"/>
    <w:rsid w:val="00667A1C"/>
    <w:rsid w:val="00667A70"/>
    <w:rsid w:val="00670631"/>
    <w:rsid w:val="00675855"/>
    <w:rsid w:val="0067666F"/>
    <w:rsid w:val="00676A79"/>
    <w:rsid w:val="00684D45"/>
    <w:rsid w:val="006873E6"/>
    <w:rsid w:val="006948E9"/>
    <w:rsid w:val="00696977"/>
    <w:rsid w:val="006A6369"/>
    <w:rsid w:val="006C0292"/>
    <w:rsid w:val="006C3747"/>
    <w:rsid w:val="006D33F7"/>
    <w:rsid w:val="006D5658"/>
    <w:rsid w:val="006E09CD"/>
    <w:rsid w:val="006E0FEA"/>
    <w:rsid w:val="006E1C15"/>
    <w:rsid w:val="006E2450"/>
    <w:rsid w:val="006E3F38"/>
    <w:rsid w:val="006E4C0A"/>
    <w:rsid w:val="006E7775"/>
    <w:rsid w:val="006F213E"/>
    <w:rsid w:val="006F2DDD"/>
    <w:rsid w:val="006F7E73"/>
    <w:rsid w:val="00701DD2"/>
    <w:rsid w:val="00704644"/>
    <w:rsid w:val="00706E5B"/>
    <w:rsid w:val="00713099"/>
    <w:rsid w:val="00715006"/>
    <w:rsid w:val="007225AE"/>
    <w:rsid w:val="007336A4"/>
    <w:rsid w:val="0073580B"/>
    <w:rsid w:val="00740631"/>
    <w:rsid w:val="00744A35"/>
    <w:rsid w:val="0074742E"/>
    <w:rsid w:val="0075130C"/>
    <w:rsid w:val="007532B4"/>
    <w:rsid w:val="007611C5"/>
    <w:rsid w:val="00761A7E"/>
    <w:rsid w:val="00763359"/>
    <w:rsid w:val="00764B01"/>
    <w:rsid w:val="00767767"/>
    <w:rsid w:val="0077206F"/>
    <w:rsid w:val="007758B2"/>
    <w:rsid w:val="00775C34"/>
    <w:rsid w:val="007771FD"/>
    <w:rsid w:val="0078151F"/>
    <w:rsid w:val="00787D41"/>
    <w:rsid w:val="00792193"/>
    <w:rsid w:val="00792283"/>
    <w:rsid w:val="0079694F"/>
    <w:rsid w:val="00796B78"/>
    <w:rsid w:val="00797500"/>
    <w:rsid w:val="007A0799"/>
    <w:rsid w:val="007A3951"/>
    <w:rsid w:val="007A7DD4"/>
    <w:rsid w:val="007B3159"/>
    <w:rsid w:val="007B5A4A"/>
    <w:rsid w:val="007C06DC"/>
    <w:rsid w:val="007D0DF2"/>
    <w:rsid w:val="007D55DA"/>
    <w:rsid w:val="007D55FB"/>
    <w:rsid w:val="007E1BD0"/>
    <w:rsid w:val="007E277B"/>
    <w:rsid w:val="007E5592"/>
    <w:rsid w:val="007E55D8"/>
    <w:rsid w:val="007E64B2"/>
    <w:rsid w:val="007E77E7"/>
    <w:rsid w:val="007E7E48"/>
    <w:rsid w:val="007F3023"/>
    <w:rsid w:val="007F7071"/>
    <w:rsid w:val="008005AA"/>
    <w:rsid w:val="00804792"/>
    <w:rsid w:val="008053B3"/>
    <w:rsid w:val="0081111D"/>
    <w:rsid w:val="008112F1"/>
    <w:rsid w:val="008132EC"/>
    <w:rsid w:val="00814F4C"/>
    <w:rsid w:val="008162BE"/>
    <w:rsid w:val="0082080E"/>
    <w:rsid w:val="008209B5"/>
    <w:rsid w:val="0082226A"/>
    <w:rsid w:val="00834441"/>
    <w:rsid w:val="0083525F"/>
    <w:rsid w:val="00851EC7"/>
    <w:rsid w:val="00855998"/>
    <w:rsid w:val="00855D71"/>
    <w:rsid w:val="00857E0B"/>
    <w:rsid w:val="00862462"/>
    <w:rsid w:val="00864FF8"/>
    <w:rsid w:val="00865662"/>
    <w:rsid w:val="0086742F"/>
    <w:rsid w:val="00867E77"/>
    <w:rsid w:val="00871B41"/>
    <w:rsid w:val="00871B7C"/>
    <w:rsid w:val="0088763C"/>
    <w:rsid w:val="00892240"/>
    <w:rsid w:val="00895522"/>
    <w:rsid w:val="008A10C3"/>
    <w:rsid w:val="008A1261"/>
    <w:rsid w:val="008A5E1C"/>
    <w:rsid w:val="008A625B"/>
    <w:rsid w:val="008B10C1"/>
    <w:rsid w:val="008B3AEF"/>
    <w:rsid w:val="008B3D10"/>
    <w:rsid w:val="008B6CC7"/>
    <w:rsid w:val="008B73DC"/>
    <w:rsid w:val="008B75D3"/>
    <w:rsid w:val="008C089F"/>
    <w:rsid w:val="008C0C2A"/>
    <w:rsid w:val="008C213A"/>
    <w:rsid w:val="008C240E"/>
    <w:rsid w:val="008D0530"/>
    <w:rsid w:val="008D4B74"/>
    <w:rsid w:val="008E12EF"/>
    <w:rsid w:val="008E2EC3"/>
    <w:rsid w:val="008E3C53"/>
    <w:rsid w:val="008E45DF"/>
    <w:rsid w:val="008E77D9"/>
    <w:rsid w:val="008F1832"/>
    <w:rsid w:val="008F250B"/>
    <w:rsid w:val="008F3FC3"/>
    <w:rsid w:val="008F5B37"/>
    <w:rsid w:val="00900A32"/>
    <w:rsid w:val="00901680"/>
    <w:rsid w:val="00902874"/>
    <w:rsid w:val="009034E3"/>
    <w:rsid w:val="00905C83"/>
    <w:rsid w:val="009073EB"/>
    <w:rsid w:val="00910CFE"/>
    <w:rsid w:val="00914A07"/>
    <w:rsid w:val="00916A81"/>
    <w:rsid w:val="00920E79"/>
    <w:rsid w:val="00921726"/>
    <w:rsid w:val="0092622C"/>
    <w:rsid w:val="00926D2A"/>
    <w:rsid w:val="00931ECF"/>
    <w:rsid w:val="00944494"/>
    <w:rsid w:val="00947C7B"/>
    <w:rsid w:val="0095276A"/>
    <w:rsid w:val="00953CAF"/>
    <w:rsid w:val="0095693D"/>
    <w:rsid w:val="00964C5A"/>
    <w:rsid w:val="00970DC5"/>
    <w:rsid w:val="00971587"/>
    <w:rsid w:val="00971F36"/>
    <w:rsid w:val="00974205"/>
    <w:rsid w:val="00981D5B"/>
    <w:rsid w:val="00982324"/>
    <w:rsid w:val="00983592"/>
    <w:rsid w:val="00986463"/>
    <w:rsid w:val="0098690B"/>
    <w:rsid w:val="009A47D1"/>
    <w:rsid w:val="009A6128"/>
    <w:rsid w:val="009A6983"/>
    <w:rsid w:val="009B020E"/>
    <w:rsid w:val="009B0660"/>
    <w:rsid w:val="009B1EEF"/>
    <w:rsid w:val="009B6DEE"/>
    <w:rsid w:val="009C7AA3"/>
    <w:rsid w:val="009D7B59"/>
    <w:rsid w:val="009D7F4D"/>
    <w:rsid w:val="009F10B0"/>
    <w:rsid w:val="009F2084"/>
    <w:rsid w:val="009F26FE"/>
    <w:rsid w:val="009F290F"/>
    <w:rsid w:val="009F2EA6"/>
    <w:rsid w:val="00A0011A"/>
    <w:rsid w:val="00A006C5"/>
    <w:rsid w:val="00A03865"/>
    <w:rsid w:val="00A03977"/>
    <w:rsid w:val="00A05133"/>
    <w:rsid w:val="00A10F4C"/>
    <w:rsid w:val="00A11D17"/>
    <w:rsid w:val="00A121F1"/>
    <w:rsid w:val="00A1797C"/>
    <w:rsid w:val="00A217B9"/>
    <w:rsid w:val="00A2181D"/>
    <w:rsid w:val="00A25BB0"/>
    <w:rsid w:val="00A25C40"/>
    <w:rsid w:val="00A26815"/>
    <w:rsid w:val="00A34B32"/>
    <w:rsid w:val="00A575F2"/>
    <w:rsid w:val="00A57A0D"/>
    <w:rsid w:val="00A601AC"/>
    <w:rsid w:val="00A6403F"/>
    <w:rsid w:val="00A64954"/>
    <w:rsid w:val="00A67247"/>
    <w:rsid w:val="00A7063B"/>
    <w:rsid w:val="00A747FB"/>
    <w:rsid w:val="00A74A79"/>
    <w:rsid w:val="00A767EF"/>
    <w:rsid w:val="00A81EB8"/>
    <w:rsid w:val="00A82411"/>
    <w:rsid w:val="00A90A5C"/>
    <w:rsid w:val="00AA4B3E"/>
    <w:rsid w:val="00AA7276"/>
    <w:rsid w:val="00AA76EF"/>
    <w:rsid w:val="00AB46CB"/>
    <w:rsid w:val="00AB5526"/>
    <w:rsid w:val="00AC06CB"/>
    <w:rsid w:val="00AC38DA"/>
    <w:rsid w:val="00AD16CC"/>
    <w:rsid w:val="00AD1DF8"/>
    <w:rsid w:val="00AD3FBC"/>
    <w:rsid w:val="00AD4BF6"/>
    <w:rsid w:val="00AD5E93"/>
    <w:rsid w:val="00AD7A51"/>
    <w:rsid w:val="00AE193B"/>
    <w:rsid w:val="00AE250C"/>
    <w:rsid w:val="00AE7C9B"/>
    <w:rsid w:val="00AF0039"/>
    <w:rsid w:val="00AF125A"/>
    <w:rsid w:val="00AF64A7"/>
    <w:rsid w:val="00B02691"/>
    <w:rsid w:val="00B10FCE"/>
    <w:rsid w:val="00B11251"/>
    <w:rsid w:val="00B16CCB"/>
    <w:rsid w:val="00B215C1"/>
    <w:rsid w:val="00B23622"/>
    <w:rsid w:val="00B24E0B"/>
    <w:rsid w:val="00B2584E"/>
    <w:rsid w:val="00B3144C"/>
    <w:rsid w:val="00B31840"/>
    <w:rsid w:val="00B32E0A"/>
    <w:rsid w:val="00B42A08"/>
    <w:rsid w:val="00B4319B"/>
    <w:rsid w:val="00B45106"/>
    <w:rsid w:val="00B46968"/>
    <w:rsid w:val="00B5180A"/>
    <w:rsid w:val="00B51882"/>
    <w:rsid w:val="00B52C87"/>
    <w:rsid w:val="00B614E6"/>
    <w:rsid w:val="00B6210E"/>
    <w:rsid w:val="00B71653"/>
    <w:rsid w:val="00B71996"/>
    <w:rsid w:val="00B80B9B"/>
    <w:rsid w:val="00B8527D"/>
    <w:rsid w:val="00B93546"/>
    <w:rsid w:val="00B95780"/>
    <w:rsid w:val="00B958B4"/>
    <w:rsid w:val="00B97C9B"/>
    <w:rsid w:val="00BA1E4A"/>
    <w:rsid w:val="00BA6D02"/>
    <w:rsid w:val="00BB0DE3"/>
    <w:rsid w:val="00BB3DC8"/>
    <w:rsid w:val="00BB4F71"/>
    <w:rsid w:val="00BC3767"/>
    <w:rsid w:val="00BC4DB7"/>
    <w:rsid w:val="00BD000A"/>
    <w:rsid w:val="00BD16C4"/>
    <w:rsid w:val="00BD3496"/>
    <w:rsid w:val="00BD6A75"/>
    <w:rsid w:val="00BE2AD4"/>
    <w:rsid w:val="00BF5B68"/>
    <w:rsid w:val="00BF6B81"/>
    <w:rsid w:val="00C01D98"/>
    <w:rsid w:val="00C04F8C"/>
    <w:rsid w:val="00C13BAC"/>
    <w:rsid w:val="00C16B28"/>
    <w:rsid w:val="00C25DD3"/>
    <w:rsid w:val="00C31138"/>
    <w:rsid w:val="00C410E1"/>
    <w:rsid w:val="00C41AA7"/>
    <w:rsid w:val="00C45B00"/>
    <w:rsid w:val="00C45C95"/>
    <w:rsid w:val="00C52234"/>
    <w:rsid w:val="00C539E3"/>
    <w:rsid w:val="00C56BD9"/>
    <w:rsid w:val="00C56F64"/>
    <w:rsid w:val="00C60B2D"/>
    <w:rsid w:val="00C60DC2"/>
    <w:rsid w:val="00C610B3"/>
    <w:rsid w:val="00C61B23"/>
    <w:rsid w:val="00C64C1A"/>
    <w:rsid w:val="00C6685F"/>
    <w:rsid w:val="00C67BCF"/>
    <w:rsid w:val="00C714E2"/>
    <w:rsid w:val="00C71A61"/>
    <w:rsid w:val="00C74327"/>
    <w:rsid w:val="00C74FBD"/>
    <w:rsid w:val="00C77127"/>
    <w:rsid w:val="00C82C11"/>
    <w:rsid w:val="00C834A5"/>
    <w:rsid w:val="00C87066"/>
    <w:rsid w:val="00C91F45"/>
    <w:rsid w:val="00C93A2E"/>
    <w:rsid w:val="00C96B85"/>
    <w:rsid w:val="00CA0FDB"/>
    <w:rsid w:val="00CA5395"/>
    <w:rsid w:val="00CB26D5"/>
    <w:rsid w:val="00CB3D3A"/>
    <w:rsid w:val="00CB5583"/>
    <w:rsid w:val="00CC2866"/>
    <w:rsid w:val="00CC66BE"/>
    <w:rsid w:val="00CD4D81"/>
    <w:rsid w:val="00CE1435"/>
    <w:rsid w:val="00CF1B4D"/>
    <w:rsid w:val="00CF25F7"/>
    <w:rsid w:val="00CF30A1"/>
    <w:rsid w:val="00CF58AB"/>
    <w:rsid w:val="00D03BC8"/>
    <w:rsid w:val="00D054EB"/>
    <w:rsid w:val="00D13DEE"/>
    <w:rsid w:val="00D15078"/>
    <w:rsid w:val="00D15F29"/>
    <w:rsid w:val="00D16B1D"/>
    <w:rsid w:val="00D20D17"/>
    <w:rsid w:val="00D23922"/>
    <w:rsid w:val="00D24DDA"/>
    <w:rsid w:val="00D33C45"/>
    <w:rsid w:val="00D364E9"/>
    <w:rsid w:val="00D403E6"/>
    <w:rsid w:val="00D4072C"/>
    <w:rsid w:val="00D42254"/>
    <w:rsid w:val="00D42323"/>
    <w:rsid w:val="00D63E7C"/>
    <w:rsid w:val="00D65A44"/>
    <w:rsid w:val="00D72916"/>
    <w:rsid w:val="00D74ED4"/>
    <w:rsid w:val="00D756A1"/>
    <w:rsid w:val="00D815C3"/>
    <w:rsid w:val="00D857C8"/>
    <w:rsid w:val="00D94E11"/>
    <w:rsid w:val="00DA22AA"/>
    <w:rsid w:val="00DB5CCB"/>
    <w:rsid w:val="00DC1875"/>
    <w:rsid w:val="00DC1A0E"/>
    <w:rsid w:val="00DC2EBE"/>
    <w:rsid w:val="00DC3B5B"/>
    <w:rsid w:val="00DC3B95"/>
    <w:rsid w:val="00DD47BB"/>
    <w:rsid w:val="00DE168A"/>
    <w:rsid w:val="00DE5889"/>
    <w:rsid w:val="00DE6DF6"/>
    <w:rsid w:val="00DE6E24"/>
    <w:rsid w:val="00DF58F2"/>
    <w:rsid w:val="00DF6103"/>
    <w:rsid w:val="00E02F3E"/>
    <w:rsid w:val="00E16D5A"/>
    <w:rsid w:val="00E2139E"/>
    <w:rsid w:val="00E22C34"/>
    <w:rsid w:val="00E301C4"/>
    <w:rsid w:val="00E31EF3"/>
    <w:rsid w:val="00E36E95"/>
    <w:rsid w:val="00E3701F"/>
    <w:rsid w:val="00E42923"/>
    <w:rsid w:val="00E451CA"/>
    <w:rsid w:val="00E47C2B"/>
    <w:rsid w:val="00E61043"/>
    <w:rsid w:val="00E630B2"/>
    <w:rsid w:val="00E72DE1"/>
    <w:rsid w:val="00E817B1"/>
    <w:rsid w:val="00E91DE1"/>
    <w:rsid w:val="00E927E5"/>
    <w:rsid w:val="00E92B5E"/>
    <w:rsid w:val="00E97349"/>
    <w:rsid w:val="00EA32B7"/>
    <w:rsid w:val="00EB3831"/>
    <w:rsid w:val="00EC182C"/>
    <w:rsid w:val="00ED394E"/>
    <w:rsid w:val="00ED532E"/>
    <w:rsid w:val="00ED6A32"/>
    <w:rsid w:val="00EE1E79"/>
    <w:rsid w:val="00EE2F6D"/>
    <w:rsid w:val="00EE38E0"/>
    <w:rsid w:val="00EF32AB"/>
    <w:rsid w:val="00EF5A92"/>
    <w:rsid w:val="00EF66BF"/>
    <w:rsid w:val="00EF73DE"/>
    <w:rsid w:val="00F01F78"/>
    <w:rsid w:val="00F04133"/>
    <w:rsid w:val="00F11349"/>
    <w:rsid w:val="00F119FB"/>
    <w:rsid w:val="00F12EFD"/>
    <w:rsid w:val="00F13532"/>
    <w:rsid w:val="00F152FC"/>
    <w:rsid w:val="00F203E6"/>
    <w:rsid w:val="00F24FAD"/>
    <w:rsid w:val="00F3521A"/>
    <w:rsid w:val="00F37826"/>
    <w:rsid w:val="00F53E48"/>
    <w:rsid w:val="00F56D10"/>
    <w:rsid w:val="00F60E59"/>
    <w:rsid w:val="00F64453"/>
    <w:rsid w:val="00F6454B"/>
    <w:rsid w:val="00F72926"/>
    <w:rsid w:val="00F7399A"/>
    <w:rsid w:val="00F75077"/>
    <w:rsid w:val="00F75C7E"/>
    <w:rsid w:val="00F81147"/>
    <w:rsid w:val="00F81520"/>
    <w:rsid w:val="00F84D65"/>
    <w:rsid w:val="00F87F60"/>
    <w:rsid w:val="00F91C0D"/>
    <w:rsid w:val="00F93260"/>
    <w:rsid w:val="00FA0A07"/>
    <w:rsid w:val="00FA619F"/>
    <w:rsid w:val="00FA78E9"/>
    <w:rsid w:val="00FB0C7A"/>
    <w:rsid w:val="00FB2C29"/>
    <w:rsid w:val="00FB3231"/>
    <w:rsid w:val="00FB4C36"/>
    <w:rsid w:val="00FB6232"/>
    <w:rsid w:val="00FC4856"/>
    <w:rsid w:val="00FC4BE2"/>
    <w:rsid w:val="00FC675B"/>
    <w:rsid w:val="00FC6F58"/>
    <w:rsid w:val="00FD31F3"/>
    <w:rsid w:val="00FD3ADE"/>
    <w:rsid w:val="00FD409E"/>
    <w:rsid w:val="00FD42B8"/>
    <w:rsid w:val="00FD46F5"/>
    <w:rsid w:val="00FE2BF2"/>
    <w:rsid w:val="00FE313D"/>
    <w:rsid w:val="00FE7B7C"/>
    <w:rsid w:val="00FF2B6A"/>
    <w:rsid w:val="00FF31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95"/>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rsid w:val="001E1C95"/>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rsid w:val="001E1C95"/>
    <w:pPr>
      <w:keepNext/>
    </w:pPr>
    <w:rPr>
      <w:rFonts w:ascii="Times New Roman" w:hAnsi="Times New Roman"/>
      <w:b/>
      <w:kern w:val="28"/>
      <w:lang w:val="en-US"/>
    </w:rPr>
  </w:style>
  <w:style w:type="paragraph" w:styleId="Footer">
    <w:name w:val="footer"/>
    <w:basedOn w:val="Normal"/>
    <w:rsid w:val="001E1C95"/>
    <w:pPr>
      <w:tabs>
        <w:tab w:val="center" w:pos="4153"/>
        <w:tab w:val="right" w:pos="8306"/>
      </w:tabs>
    </w:pPr>
  </w:style>
  <w:style w:type="paragraph" w:styleId="Header">
    <w:name w:val="header"/>
    <w:basedOn w:val="Normal"/>
    <w:rsid w:val="001E1C95"/>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74327"/>
    <w:rPr>
      <w:sz w:val="16"/>
      <w:szCs w:val="16"/>
    </w:rPr>
  </w:style>
  <w:style w:type="paragraph" w:styleId="CommentText">
    <w:name w:val="annotation text"/>
    <w:basedOn w:val="Normal"/>
    <w:link w:val="CommentTextChar"/>
    <w:uiPriority w:val="99"/>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basedOn w:val="DefaultParagraphFont"/>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character" w:customStyle="1" w:styleId="CommentTextChar">
    <w:name w:val="Comment Text Char"/>
    <w:basedOn w:val="DefaultParagraphFont"/>
    <w:link w:val="CommentText"/>
    <w:uiPriority w:val="99"/>
    <w:rsid w:val="0077206F"/>
    <w:rPr>
      <w:rFonts w:ascii="Tms Rmn" w:hAnsi="Tms Rmn"/>
    </w:rPr>
  </w:style>
  <w:style w:type="paragraph" w:styleId="FootnoteText">
    <w:name w:val="footnote text"/>
    <w:basedOn w:val="Normal"/>
    <w:link w:val="FootnoteTextChar"/>
    <w:unhideWhenUsed/>
    <w:rsid w:val="00447DA4"/>
    <w:rPr>
      <w:sz w:val="20"/>
    </w:rPr>
  </w:style>
  <w:style w:type="character" w:customStyle="1" w:styleId="FootnoteTextChar">
    <w:name w:val="Footnote Text Char"/>
    <w:basedOn w:val="DefaultParagraphFont"/>
    <w:link w:val="FootnoteText"/>
    <w:rsid w:val="00447DA4"/>
    <w:rPr>
      <w:rFonts w:ascii="Tms Rmn" w:hAnsi="Tms Rmn"/>
    </w:rPr>
  </w:style>
  <w:style w:type="character" w:styleId="FootnoteReference">
    <w:name w:val="footnote reference"/>
    <w:basedOn w:val="DefaultParagraphFont"/>
    <w:uiPriority w:val="99"/>
    <w:semiHidden/>
    <w:unhideWhenUsed/>
    <w:rsid w:val="00447DA4"/>
    <w:rPr>
      <w:vertAlign w:val="superscript"/>
    </w:rPr>
  </w:style>
  <w:style w:type="paragraph" w:styleId="ListBullet">
    <w:name w:val="List Bullet"/>
    <w:basedOn w:val="Normal"/>
    <w:uiPriority w:val="99"/>
    <w:qFormat/>
    <w:rsid w:val="003A6DA6"/>
    <w:pPr>
      <w:numPr>
        <w:numId w:val="6"/>
      </w:numPr>
      <w:spacing w:before="120" w:after="180" w:line="240" w:lineRule="atLeast"/>
    </w:pPr>
    <w:rPr>
      <w:rFonts w:ascii="Cambria" w:eastAsia="Cambria" w:hAnsi="Cambria"/>
      <w:sz w:val="22"/>
      <w:szCs w:val="22"/>
      <w:lang w:eastAsia="en-US"/>
    </w:rPr>
  </w:style>
  <w:style w:type="paragraph" w:styleId="ListBullet2">
    <w:name w:val="List Bullet 2"/>
    <w:basedOn w:val="Normal"/>
    <w:uiPriority w:val="99"/>
    <w:qFormat/>
    <w:rsid w:val="003A6DA6"/>
    <w:pPr>
      <w:numPr>
        <w:ilvl w:val="1"/>
        <w:numId w:val="6"/>
      </w:numPr>
      <w:spacing w:before="120" w:after="180" w:line="240" w:lineRule="atLeast"/>
    </w:pPr>
    <w:rPr>
      <w:rFonts w:ascii="Cambria" w:eastAsia="Cambria" w:hAnsi="Cambria"/>
      <w:sz w:val="22"/>
      <w:szCs w:val="22"/>
      <w:lang w:eastAsia="en-US"/>
    </w:rPr>
  </w:style>
  <w:style w:type="paragraph" w:styleId="ListBullet3">
    <w:name w:val="List Bullet 3"/>
    <w:basedOn w:val="Normal"/>
    <w:uiPriority w:val="99"/>
    <w:qFormat/>
    <w:rsid w:val="003A6DA6"/>
    <w:pPr>
      <w:numPr>
        <w:ilvl w:val="2"/>
        <w:numId w:val="6"/>
      </w:numPr>
      <w:spacing w:before="120" w:after="180" w:line="240" w:lineRule="atLeast"/>
    </w:pPr>
    <w:rPr>
      <w:rFonts w:ascii="Cambria" w:eastAsia="Cambria" w:hAnsi="Cambria"/>
      <w:sz w:val="22"/>
      <w:szCs w:val="22"/>
      <w:lang w:eastAsia="en-US"/>
    </w:rPr>
  </w:style>
  <w:style w:type="numbering" w:customStyle="1" w:styleId="ListBullets">
    <w:name w:val="ListBullets"/>
    <w:uiPriority w:val="99"/>
    <w:locked/>
    <w:rsid w:val="003A6DA6"/>
    <w:pPr>
      <w:numPr>
        <w:numId w:val="6"/>
      </w:numPr>
    </w:pPr>
  </w:style>
  <w:style w:type="paragraph" w:styleId="ListParagraph">
    <w:name w:val="List Paragraph"/>
    <w:basedOn w:val="Normal"/>
    <w:uiPriority w:val="34"/>
    <w:qFormat/>
    <w:rsid w:val="003A6DA6"/>
    <w:pPr>
      <w:spacing w:after="120" w:line="240" w:lineRule="atLeast"/>
      <w:ind w:left="720"/>
      <w:contextualSpacing/>
    </w:pPr>
    <w:rPr>
      <w:rFonts w:ascii="Verdana" w:eastAsiaTheme="minorHAnsi" w:hAnsi="Verdana" w:cstheme="minorBidi"/>
      <w:sz w:val="22"/>
      <w:szCs w:val="22"/>
      <w:lang w:eastAsia="en-US"/>
    </w:rPr>
  </w:style>
  <w:style w:type="paragraph" w:styleId="Revision">
    <w:name w:val="Revision"/>
    <w:hidden/>
    <w:uiPriority w:val="99"/>
    <w:semiHidden/>
    <w:rsid w:val="00DC3B95"/>
    <w:rPr>
      <w:rFonts w:ascii="Tms Rmn" w:hAnsi="Tms Rmn"/>
      <w:sz w:val="24"/>
    </w:rPr>
  </w:style>
</w:styles>
</file>

<file path=word/webSettings.xml><?xml version="1.0" encoding="utf-8"?>
<w:webSettings xmlns:r="http://schemas.openxmlformats.org/officeDocument/2006/relationships" xmlns:w="http://schemas.openxmlformats.org/wordprocessingml/2006/main">
  <w:divs>
    <w:div w:id="229508477">
      <w:bodyDiv w:val="1"/>
      <w:marLeft w:val="0"/>
      <w:marRight w:val="0"/>
      <w:marTop w:val="0"/>
      <w:marBottom w:val="0"/>
      <w:divBdr>
        <w:top w:val="none" w:sz="0" w:space="0" w:color="auto"/>
        <w:left w:val="none" w:sz="0" w:space="0" w:color="auto"/>
        <w:bottom w:val="none" w:sz="0" w:space="0" w:color="auto"/>
        <w:right w:val="none" w:sz="0" w:space="0" w:color="auto"/>
      </w:divBdr>
    </w:div>
    <w:div w:id="626740452">
      <w:bodyDiv w:val="1"/>
      <w:marLeft w:val="0"/>
      <w:marRight w:val="0"/>
      <w:marTop w:val="0"/>
      <w:marBottom w:val="0"/>
      <w:divBdr>
        <w:top w:val="none" w:sz="0" w:space="0" w:color="auto"/>
        <w:left w:val="none" w:sz="0" w:space="0" w:color="auto"/>
        <w:bottom w:val="none" w:sz="0" w:space="0" w:color="auto"/>
        <w:right w:val="none" w:sz="0" w:space="0" w:color="auto"/>
      </w:divBdr>
      <w:divsChild>
        <w:div w:id="709963283">
          <w:marLeft w:val="0"/>
          <w:marRight w:val="0"/>
          <w:marTop w:val="0"/>
          <w:marBottom w:val="0"/>
          <w:divBdr>
            <w:top w:val="none" w:sz="0" w:space="0" w:color="auto"/>
            <w:left w:val="none" w:sz="0" w:space="0" w:color="auto"/>
            <w:bottom w:val="none" w:sz="0" w:space="0" w:color="auto"/>
            <w:right w:val="none" w:sz="0" w:space="0" w:color="auto"/>
          </w:divBdr>
          <w:divsChild>
            <w:div w:id="1597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ga.gov.au" TargetMode="External"/><Relationship Id="rId4" Type="http://schemas.openxmlformats.org/officeDocument/2006/relationships/settings" Target="settings.xml"/><Relationship Id="rId9" Type="http://schemas.openxmlformats.org/officeDocument/2006/relationships/hyperlink" Target="http://www.medsafe.govt.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AE72-C6D2-4953-8645-A8EA58E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7406</Characters>
  <Application>Microsoft Office Word</Application>
  <DocSecurity>0</DocSecurity>
  <Lines>149</Lines>
  <Paragraphs>31</Paragraphs>
  <ScaleCrop>false</ScaleCrop>
  <HeadingPairs>
    <vt:vector size="2" baseType="variant">
      <vt:variant>
        <vt:lpstr>Title</vt:lpstr>
      </vt:variant>
      <vt:variant>
        <vt:i4>1</vt:i4>
      </vt:variant>
    </vt:vector>
  </HeadingPairs>
  <TitlesOfParts>
    <vt:vector size="1" baseType="lpstr">
      <vt:lpstr>3</vt:lpstr>
    </vt:vector>
  </TitlesOfParts>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
  <cp:lastModifiedBy/>
  <cp:revision>1</cp:revision>
  <cp:lastPrinted>2009-11-05T04:54:00Z</cp:lastPrinted>
  <dcterms:created xsi:type="dcterms:W3CDTF">2013-03-08T05:44:00Z</dcterms:created>
  <dcterms:modified xsi:type="dcterms:W3CDTF">2013-03-08T05:44:00Z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