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A57" w:rsidRPr="00270F12" w:rsidRDefault="004A6A57" w:rsidP="00823F8F">
      <w:pPr>
        <w:jc w:val="center"/>
        <w:rPr>
          <w:b/>
          <w:bCs/>
          <w:sz w:val="30"/>
          <w:szCs w:val="30"/>
        </w:rPr>
      </w:pPr>
      <w:r w:rsidRPr="00270F12">
        <w:rPr>
          <w:b/>
          <w:bCs/>
          <w:sz w:val="30"/>
          <w:szCs w:val="30"/>
        </w:rPr>
        <w:t>ASIC CLASS ORDER [CO</w:t>
      </w:r>
      <w:r>
        <w:rPr>
          <w:b/>
          <w:bCs/>
          <w:sz w:val="30"/>
          <w:szCs w:val="30"/>
        </w:rPr>
        <w:t xml:space="preserve"> </w:t>
      </w:r>
      <w:r w:rsidR="0031058C">
        <w:rPr>
          <w:b/>
          <w:bCs/>
          <w:sz w:val="30"/>
          <w:szCs w:val="30"/>
        </w:rPr>
        <w:t>13/</w:t>
      </w:r>
      <w:r w:rsidR="0047600F">
        <w:rPr>
          <w:b/>
          <w:bCs/>
          <w:sz w:val="30"/>
          <w:szCs w:val="30"/>
        </w:rPr>
        <w:t>284</w:t>
      </w:r>
      <w:r w:rsidRPr="00270F12">
        <w:rPr>
          <w:b/>
          <w:bCs/>
          <w:sz w:val="30"/>
          <w:szCs w:val="30"/>
        </w:rPr>
        <w:t>]</w:t>
      </w:r>
    </w:p>
    <w:p w:rsidR="0031058C" w:rsidRDefault="0031058C" w:rsidP="00823F8F">
      <w:pPr>
        <w:jc w:val="center"/>
        <w:rPr>
          <w:b/>
          <w:bCs/>
          <w:sz w:val="30"/>
          <w:szCs w:val="30"/>
        </w:rPr>
      </w:pPr>
    </w:p>
    <w:p w:rsidR="004A6A57" w:rsidRPr="00270F12" w:rsidRDefault="004A6A57" w:rsidP="00823F8F">
      <w:pPr>
        <w:jc w:val="center"/>
        <w:rPr>
          <w:b/>
          <w:bCs/>
          <w:sz w:val="30"/>
          <w:szCs w:val="30"/>
        </w:rPr>
      </w:pPr>
      <w:r w:rsidRPr="00270F12">
        <w:rPr>
          <w:b/>
          <w:bCs/>
          <w:sz w:val="30"/>
          <w:szCs w:val="30"/>
        </w:rPr>
        <w:t>EXPLANATORY STATEMENT</w:t>
      </w:r>
    </w:p>
    <w:p w:rsidR="004A6A57" w:rsidRPr="00270F12" w:rsidRDefault="004A6A57" w:rsidP="00823F8F">
      <w:pPr>
        <w:jc w:val="center"/>
        <w:rPr>
          <w:b/>
          <w:bCs/>
        </w:rPr>
      </w:pPr>
    </w:p>
    <w:p w:rsidR="004A6A57" w:rsidRPr="00270F12" w:rsidRDefault="004A6A57" w:rsidP="00823F8F">
      <w:pPr>
        <w:jc w:val="center"/>
      </w:pPr>
      <w:r w:rsidRPr="00270F12">
        <w:t>Prepared by the Australian Securities and Investments Commission</w:t>
      </w:r>
    </w:p>
    <w:p w:rsidR="004A6A57" w:rsidRDefault="004A6A57" w:rsidP="00823F8F">
      <w:pPr>
        <w:jc w:val="center"/>
        <w:rPr>
          <w:i/>
          <w:iCs/>
        </w:rPr>
      </w:pPr>
    </w:p>
    <w:p w:rsidR="004A6A57" w:rsidRDefault="004A6A57" w:rsidP="00823F8F">
      <w:pPr>
        <w:jc w:val="center"/>
        <w:rPr>
          <w:i/>
          <w:iCs/>
        </w:rPr>
      </w:pPr>
      <w:r w:rsidRPr="00270F12">
        <w:rPr>
          <w:i/>
          <w:iCs/>
        </w:rPr>
        <w:t>Corporations Act 2001</w:t>
      </w:r>
    </w:p>
    <w:p w:rsidR="004A6A57" w:rsidRDefault="004A6A57" w:rsidP="00823F8F">
      <w:pPr>
        <w:rPr>
          <w:i/>
          <w:iCs/>
        </w:rPr>
      </w:pPr>
    </w:p>
    <w:p w:rsidR="004A6A57" w:rsidRDefault="004A6A57" w:rsidP="00823F8F">
      <w:r w:rsidRPr="00270F12">
        <w:t>The Australian Securities and Investments Commission (</w:t>
      </w:r>
      <w:r w:rsidRPr="00F16096">
        <w:rPr>
          <w:b/>
          <w:i/>
        </w:rPr>
        <w:t>ASIC</w:t>
      </w:r>
      <w:r w:rsidRPr="00270F12">
        <w:t>) makes Class</w:t>
      </w:r>
      <w:r w:rsidR="00A34FCC">
        <w:t xml:space="preserve"> </w:t>
      </w:r>
      <w:r>
        <w:t>Order [CO</w:t>
      </w:r>
      <w:r w:rsidR="0031058C">
        <w:t> 13/</w:t>
      </w:r>
      <w:r w:rsidR="0047600F">
        <w:t>284</w:t>
      </w:r>
      <w:r w:rsidRPr="00270F12">
        <w:t>]</w:t>
      </w:r>
      <w:r>
        <w:t xml:space="preserve"> under </w:t>
      </w:r>
      <w:r w:rsidR="00A255E9">
        <w:t>paragraph</w:t>
      </w:r>
      <w:r w:rsidR="001820DD">
        <w:t xml:space="preserve"> </w:t>
      </w:r>
      <w:r>
        <w:t xml:space="preserve">911A(2)(l) of the </w:t>
      </w:r>
      <w:r w:rsidRPr="00270F12">
        <w:rPr>
          <w:i/>
        </w:rPr>
        <w:t xml:space="preserve">Corporations Act </w:t>
      </w:r>
      <w:r w:rsidR="001820DD">
        <w:rPr>
          <w:i/>
        </w:rPr>
        <w:t>2001</w:t>
      </w:r>
      <w:r w:rsidRPr="00270F12">
        <w:rPr>
          <w:i/>
        </w:rPr>
        <w:t xml:space="preserve"> </w:t>
      </w:r>
      <w:r>
        <w:t>(</w:t>
      </w:r>
      <w:r w:rsidRPr="0031058C">
        <w:t>the</w:t>
      </w:r>
      <w:r w:rsidRPr="00F16096">
        <w:rPr>
          <w:b/>
          <w:i/>
        </w:rPr>
        <w:t xml:space="preserve"> Act</w:t>
      </w:r>
      <w:r>
        <w:t>).</w:t>
      </w:r>
    </w:p>
    <w:p w:rsidR="004A6A57" w:rsidRDefault="004A6A57" w:rsidP="00823F8F"/>
    <w:p w:rsidR="0031058C" w:rsidRDefault="00A255E9" w:rsidP="00823F8F">
      <w:r>
        <w:t>Para</w:t>
      </w:r>
      <w:r w:rsidR="000F2BE3">
        <w:t>g</w:t>
      </w:r>
      <w:r>
        <w:t>raph</w:t>
      </w:r>
      <w:r w:rsidR="004A6A57">
        <w:t xml:space="preserve"> 911A(2)(l) </w:t>
      </w:r>
      <w:r w:rsidR="0031058C">
        <w:t xml:space="preserve">of the Act </w:t>
      </w:r>
      <w:r w:rsidR="004A6A57">
        <w:t xml:space="preserve">provides that a person is exempt from the requirement to hold an Australian financial services licence for a financial service they provide if the provision of the service is covered by an exemption specified by ASIC in writing and published in the </w:t>
      </w:r>
      <w:r w:rsidR="002B73A4" w:rsidRPr="002B73A4">
        <w:rPr>
          <w:i/>
        </w:rPr>
        <w:t>Gazette</w:t>
      </w:r>
      <w:r w:rsidR="004A6A57">
        <w:t>.</w:t>
      </w:r>
    </w:p>
    <w:p w:rsidR="004A6A57" w:rsidRPr="00270F12" w:rsidRDefault="004A6A57" w:rsidP="00823F8F"/>
    <w:p w:rsidR="004A6A57" w:rsidRPr="00270F12" w:rsidRDefault="004A6A57" w:rsidP="00823F8F">
      <w:pPr>
        <w:rPr>
          <w:rFonts w:ascii="Arial" w:hAnsi="Arial" w:cs="Arial"/>
          <w:b/>
          <w:bCs/>
        </w:rPr>
      </w:pPr>
      <w:r w:rsidRPr="00270F12">
        <w:rPr>
          <w:rFonts w:ascii="Arial" w:hAnsi="Arial" w:cs="Arial"/>
          <w:b/>
          <w:bCs/>
        </w:rPr>
        <w:t>1.</w:t>
      </w:r>
      <w:r w:rsidRPr="00270F12">
        <w:rPr>
          <w:rFonts w:ascii="Arial" w:hAnsi="Arial" w:cs="Arial"/>
          <w:b/>
          <w:bCs/>
        </w:rPr>
        <w:tab/>
        <w:t>Background</w:t>
      </w:r>
    </w:p>
    <w:p w:rsidR="004A6A57" w:rsidRPr="00270F12" w:rsidRDefault="004A6A57" w:rsidP="00823F8F">
      <w:pPr>
        <w:rPr>
          <w:b/>
          <w:bCs/>
        </w:rPr>
      </w:pPr>
    </w:p>
    <w:p w:rsidR="00F836F5" w:rsidRDefault="004A6A57" w:rsidP="0031058C">
      <w:r>
        <w:t xml:space="preserve">ASIC Regulatory Guide 176 </w:t>
      </w:r>
      <w:r w:rsidRPr="005936D4">
        <w:rPr>
          <w:i/>
        </w:rPr>
        <w:t xml:space="preserve">Licensing: Discretionary powers – wholesale foreign financial services </w:t>
      </w:r>
      <w:proofErr w:type="gramStart"/>
      <w:r w:rsidRPr="005936D4">
        <w:rPr>
          <w:i/>
        </w:rPr>
        <w:t>providers</w:t>
      </w:r>
      <w:proofErr w:type="gramEnd"/>
      <w:r>
        <w:t xml:space="preserve"> </w:t>
      </w:r>
      <w:r w:rsidR="0031058C">
        <w:t xml:space="preserve">outlines </w:t>
      </w:r>
      <w:r>
        <w:t xml:space="preserve">when ASIC will grant conditional relief from the requirement to hold an </w:t>
      </w:r>
      <w:r w:rsidR="0031058C">
        <w:t xml:space="preserve">Australian financial services </w:t>
      </w:r>
      <w:r>
        <w:t>licence to foreign</w:t>
      </w:r>
      <w:r w:rsidR="00C46492">
        <w:t xml:space="preserve"> </w:t>
      </w:r>
      <w:r>
        <w:t xml:space="preserve">financial services </w:t>
      </w:r>
      <w:r w:rsidR="00C46492">
        <w:t xml:space="preserve">providers that provide </w:t>
      </w:r>
      <w:r w:rsidR="0031058C">
        <w:t xml:space="preserve">financial </w:t>
      </w:r>
      <w:r>
        <w:t>services in Australia only to wholesale clients</w:t>
      </w:r>
      <w:r w:rsidR="0031058C">
        <w:t>.</w:t>
      </w:r>
    </w:p>
    <w:p w:rsidR="0031058C" w:rsidRDefault="0031058C" w:rsidP="0031058C"/>
    <w:p w:rsidR="00C46492" w:rsidRDefault="00C46492" w:rsidP="0031058C">
      <w:r>
        <w:t xml:space="preserve">A foreign financial services provider that is regulated by the Financial Services Authority </w:t>
      </w:r>
      <w:r w:rsidR="00904631">
        <w:t>(</w:t>
      </w:r>
      <w:proofErr w:type="gramStart"/>
      <w:r w:rsidR="00904631">
        <w:t>the</w:t>
      </w:r>
      <w:proofErr w:type="gramEnd"/>
      <w:r w:rsidR="00904631">
        <w:t xml:space="preserve"> </w:t>
      </w:r>
      <w:r w:rsidR="00904631" w:rsidRPr="00904631">
        <w:rPr>
          <w:b/>
          <w:i/>
        </w:rPr>
        <w:t>FSA</w:t>
      </w:r>
      <w:r w:rsidR="00904631">
        <w:t xml:space="preserve">) </w:t>
      </w:r>
      <w:r>
        <w:t xml:space="preserve">of the United Kingdom is one class of </w:t>
      </w:r>
      <w:r w:rsidRPr="00C46492">
        <w:t>foreign financial services provider</w:t>
      </w:r>
      <w:r>
        <w:t xml:space="preserve"> that falls within the policy of Regulatory Guide 176. ASIC Class Order [CO 03/1099] </w:t>
      </w:r>
      <w:r w:rsidR="00904631">
        <w:t xml:space="preserve">(the </w:t>
      </w:r>
      <w:r w:rsidR="00904631" w:rsidRPr="00904631">
        <w:rPr>
          <w:b/>
          <w:i/>
        </w:rPr>
        <w:t>principal class order</w:t>
      </w:r>
      <w:proofErr w:type="gramStart"/>
      <w:r w:rsidR="00904631">
        <w:t xml:space="preserve">)  </w:t>
      </w:r>
      <w:r>
        <w:t>gives</w:t>
      </w:r>
      <w:proofErr w:type="gramEnd"/>
      <w:r>
        <w:t xml:space="preserve"> effect to that policy in relation to providers regulated by the F</w:t>
      </w:r>
      <w:r w:rsidR="00904631">
        <w:t>SA</w:t>
      </w:r>
      <w:r>
        <w:t>.</w:t>
      </w:r>
    </w:p>
    <w:p w:rsidR="00C46492" w:rsidRDefault="00C46492" w:rsidP="0031058C"/>
    <w:p w:rsidR="00904631" w:rsidRDefault="00CD0586" w:rsidP="00CD0586">
      <w:r>
        <w:t xml:space="preserve">As a result of legislative amendments made to the </w:t>
      </w:r>
      <w:r w:rsidRPr="00CD0586">
        <w:rPr>
          <w:i/>
        </w:rPr>
        <w:t>Financial Services and Markets Act 2000</w:t>
      </w:r>
      <w:r>
        <w:t xml:space="preserve"> of the United Kingdom</w:t>
      </w:r>
      <w:r w:rsidR="00904631">
        <w:t xml:space="preserve"> (the </w:t>
      </w:r>
      <w:r w:rsidR="00904631" w:rsidRPr="00904631">
        <w:rPr>
          <w:b/>
          <w:i/>
        </w:rPr>
        <w:t>FSM Act</w:t>
      </w:r>
      <w:r w:rsidR="00904631">
        <w:t xml:space="preserve">) by the </w:t>
      </w:r>
      <w:r w:rsidR="00904631" w:rsidRPr="00904631">
        <w:rPr>
          <w:i/>
        </w:rPr>
        <w:t>Financial Services Act 2012</w:t>
      </w:r>
      <w:r w:rsidR="00904631">
        <w:t xml:space="preserve"> of the United Kingdom</w:t>
      </w:r>
      <w:r>
        <w:t xml:space="preserve">, </w:t>
      </w:r>
      <w:r w:rsidR="00C46492">
        <w:t xml:space="preserve">the </w:t>
      </w:r>
      <w:r w:rsidRPr="00CD0586">
        <w:t xml:space="preserve">body corporate known as the </w:t>
      </w:r>
      <w:r>
        <w:t>F</w:t>
      </w:r>
      <w:r w:rsidR="00904631">
        <w:t xml:space="preserve">SA </w:t>
      </w:r>
      <w:r>
        <w:t>will, from 1 April 2013</w:t>
      </w:r>
      <w:r w:rsidR="00904631">
        <w:t>,</w:t>
      </w:r>
      <w:r>
        <w:t xml:space="preserve"> </w:t>
      </w:r>
      <w:r w:rsidR="00904631">
        <w:t xml:space="preserve">be </w:t>
      </w:r>
      <w:r w:rsidRPr="00CD0586">
        <w:t>renamed as the Financial Conduct Authority</w:t>
      </w:r>
      <w:r w:rsidR="0047600F">
        <w:t xml:space="preserve"> (the </w:t>
      </w:r>
      <w:r w:rsidR="0047600F" w:rsidRPr="0047600F">
        <w:rPr>
          <w:b/>
          <w:i/>
        </w:rPr>
        <w:t>FCA</w:t>
      </w:r>
      <w:r w:rsidR="0047600F">
        <w:t>)</w:t>
      </w:r>
      <w:r w:rsidR="00904631">
        <w:t>: section 1A of the FSM Act.</w:t>
      </w:r>
    </w:p>
    <w:p w:rsidR="00904631" w:rsidRDefault="00904631" w:rsidP="00CD0586"/>
    <w:p w:rsidR="00C46492" w:rsidRDefault="00C46492" w:rsidP="00CD0586">
      <w:r>
        <w:t xml:space="preserve">The FCA will be the same legal entity </w:t>
      </w:r>
      <w:r w:rsidR="00CD0586">
        <w:t>as the FSA.</w:t>
      </w:r>
    </w:p>
    <w:p w:rsidR="00C46492" w:rsidRDefault="00C46492" w:rsidP="0031058C"/>
    <w:p w:rsidR="004A6A57" w:rsidRPr="007B1A05" w:rsidRDefault="004A6A57" w:rsidP="00823F8F">
      <w:pPr>
        <w:rPr>
          <w:rFonts w:ascii="Arial" w:hAnsi="Arial" w:cs="Arial"/>
          <w:b/>
        </w:rPr>
      </w:pPr>
      <w:r w:rsidRPr="007B1A05">
        <w:rPr>
          <w:rFonts w:ascii="Arial" w:hAnsi="Arial" w:cs="Arial"/>
          <w:b/>
        </w:rPr>
        <w:t>2.</w:t>
      </w:r>
      <w:r w:rsidRPr="007B1A05">
        <w:rPr>
          <w:rFonts w:ascii="Arial" w:hAnsi="Arial" w:cs="Arial"/>
          <w:b/>
        </w:rPr>
        <w:tab/>
        <w:t>Purpose of the class order</w:t>
      </w:r>
    </w:p>
    <w:p w:rsidR="004A6A57" w:rsidRDefault="004A6A57" w:rsidP="00823F8F"/>
    <w:p w:rsidR="007A5221" w:rsidRDefault="005F43F5" w:rsidP="00823F8F">
      <w:r>
        <w:t>The purpose of th</w:t>
      </w:r>
      <w:r w:rsidR="00904631">
        <w:t>is</w:t>
      </w:r>
      <w:r>
        <w:t xml:space="preserve"> class order is to </w:t>
      </w:r>
      <w:r w:rsidR="00904631">
        <w:t xml:space="preserve">update references in the principal class order to reflect the changes to </w:t>
      </w:r>
      <w:r w:rsidR="009352DF">
        <w:t xml:space="preserve">the </w:t>
      </w:r>
      <w:r w:rsidR="00904631">
        <w:t xml:space="preserve">legislative regime in the United Kingdom, </w:t>
      </w:r>
      <w:r w:rsidR="0047600F" w:rsidRPr="0047600F">
        <w:t>in particular the renaming of the F</w:t>
      </w:r>
      <w:r w:rsidR="0047600F">
        <w:t xml:space="preserve">SA </w:t>
      </w:r>
      <w:r w:rsidR="0047600F" w:rsidRPr="0047600F">
        <w:t>to the F</w:t>
      </w:r>
      <w:r w:rsidR="0047600F">
        <w:t>CA,</w:t>
      </w:r>
      <w:r w:rsidR="0047600F" w:rsidRPr="0047600F">
        <w:t xml:space="preserve"> </w:t>
      </w:r>
      <w:r w:rsidR="00904631">
        <w:t xml:space="preserve">without effecting any substantive change to the </w:t>
      </w:r>
      <w:r w:rsidR="00C37BFE">
        <w:t xml:space="preserve">conditional </w:t>
      </w:r>
      <w:r w:rsidR="00904631">
        <w:t>relief provided by</w:t>
      </w:r>
      <w:r w:rsidR="00C37BFE">
        <w:t xml:space="preserve"> </w:t>
      </w:r>
      <w:r w:rsidR="00904631">
        <w:t>the principal class order.</w:t>
      </w:r>
    </w:p>
    <w:p w:rsidR="00904631" w:rsidRDefault="00904631" w:rsidP="00823F8F"/>
    <w:p w:rsidR="006611B0" w:rsidRPr="007B1A05" w:rsidRDefault="006611B0" w:rsidP="00823F8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7B1A05">
        <w:rPr>
          <w:rFonts w:ascii="Arial" w:hAnsi="Arial" w:cs="Arial"/>
          <w:b/>
        </w:rPr>
        <w:t>.</w:t>
      </w:r>
      <w:r w:rsidRPr="007B1A05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Operation of the class order</w:t>
      </w:r>
    </w:p>
    <w:p w:rsidR="006611B0" w:rsidRDefault="006611B0" w:rsidP="00823F8F"/>
    <w:p w:rsidR="00C37BFE" w:rsidRDefault="00C37BFE" w:rsidP="0017147E">
      <w:pPr>
        <w:rPr>
          <w:sz w:val="23"/>
          <w:szCs w:val="23"/>
        </w:rPr>
      </w:pPr>
      <w:r>
        <w:rPr>
          <w:sz w:val="23"/>
          <w:szCs w:val="23"/>
        </w:rPr>
        <w:t>This class order amends the principal class order.</w:t>
      </w:r>
    </w:p>
    <w:p w:rsidR="00C37BFE" w:rsidRDefault="00C37BFE" w:rsidP="0017147E">
      <w:pPr>
        <w:rPr>
          <w:sz w:val="23"/>
          <w:szCs w:val="23"/>
        </w:rPr>
      </w:pPr>
    </w:p>
    <w:p w:rsidR="003F30CC" w:rsidRDefault="006611B0" w:rsidP="0017147E">
      <w:pPr>
        <w:rPr>
          <w:sz w:val="23"/>
          <w:szCs w:val="23"/>
        </w:rPr>
      </w:pPr>
      <w:r>
        <w:rPr>
          <w:sz w:val="23"/>
          <w:szCs w:val="23"/>
        </w:rPr>
        <w:t>Th</w:t>
      </w:r>
      <w:r w:rsidR="00173A84">
        <w:rPr>
          <w:sz w:val="23"/>
          <w:szCs w:val="23"/>
        </w:rPr>
        <w:t>e</w:t>
      </w:r>
      <w:r>
        <w:rPr>
          <w:sz w:val="23"/>
          <w:szCs w:val="23"/>
        </w:rPr>
        <w:t xml:space="preserve"> </w:t>
      </w:r>
      <w:r w:rsidR="000E0499">
        <w:rPr>
          <w:sz w:val="23"/>
          <w:szCs w:val="23"/>
        </w:rPr>
        <w:t xml:space="preserve">former </w:t>
      </w:r>
      <w:r w:rsidR="003F30CC">
        <w:rPr>
          <w:sz w:val="23"/>
          <w:szCs w:val="23"/>
        </w:rPr>
        <w:t xml:space="preserve">definition of </w:t>
      </w:r>
      <w:r w:rsidR="003F30CC" w:rsidRPr="003F30CC">
        <w:rPr>
          <w:b/>
          <w:i/>
          <w:sz w:val="23"/>
          <w:szCs w:val="23"/>
        </w:rPr>
        <w:t>FSA</w:t>
      </w:r>
      <w:r w:rsidR="003F30CC">
        <w:rPr>
          <w:sz w:val="23"/>
          <w:szCs w:val="23"/>
        </w:rPr>
        <w:t xml:space="preserve"> in the principal </w:t>
      </w:r>
      <w:r>
        <w:rPr>
          <w:sz w:val="23"/>
          <w:szCs w:val="23"/>
        </w:rPr>
        <w:t xml:space="preserve">class order has </w:t>
      </w:r>
      <w:r w:rsidR="003F30CC">
        <w:rPr>
          <w:sz w:val="23"/>
          <w:szCs w:val="23"/>
        </w:rPr>
        <w:t xml:space="preserve">been replaced with a </w:t>
      </w:r>
      <w:r w:rsidR="000E0499">
        <w:rPr>
          <w:sz w:val="23"/>
          <w:szCs w:val="23"/>
        </w:rPr>
        <w:t xml:space="preserve">new </w:t>
      </w:r>
      <w:r w:rsidR="003F30CC">
        <w:rPr>
          <w:sz w:val="23"/>
          <w:szCs w:val="23"/>
        </w:rPr>
        <w:t xml:space="preserve">definition of </w:t>
      </w:r>
      <w:r w:rsidR="003F30CC" w:rsidRPr="003F30CC">
        <w:rPr>
          <w:b/>
          <w:i/>
          <w:sz w:val="23"/>
          <w:szCs w:val="23"/>
        </w:rPr>
        <w:t>FCA</w:t>
      </w:r>
      <w:r w:rsidR="003F30CC">
        <w:rPr>
          <w:sz w:val="23"/>
          <w:szCs w:val="23"/>
        </w:rPr>
        <w:t xml:space="preserve">.  </w:t>
      </w:r>
      <w:r w:rsidR="003F30CC" w:rsidRPr="003F30CC">
        <w:rPr>
          <w:b/>
          <w:i/>
          <w:sz w:val="23"/>
          <w:szCs w:val="23"/>
        </w:rPr>
        <w:t>FCA</w:t>
      </w:r>
      <w:r w:rsidR="003F30CC">
        <w:rPr>
          <w:sz w:val="23"/>
          <w:szCs w:val="23"/>
        </w:rPr>
        <w:t xml:space="preserve"> is defined to include the FSA as it was previously known before 1 April 2013.</w:t>
      </w:r>
    </w:p>
    <w:p w:rsidR="003F30CC" w:rsidRDefault="003F30CC" w:rsidP="0017147E">
      <w:pPr>
        <w:rPr>
          <w:sz w:val="23"/>
          <w:szCs w:val="23"/>
        </w:rPr>
      </w:pPr>
    </w:p>
    <w:p w:rsidR="00CB7ED3" w:rsidRDefault="000E0499" w:rsidP="0017147E">
      <w:pPr>
        <w:rPr>
          <w:sz w:val="23"/>
          <w:szCs w:val="23"/>
        </w:rPr>
      </w:pPr>
      <w:r>
        <w:rPr>
          <w:sz w:val="23"/>
          <w:szCs w:val="23"/>
        </w:rPr>
        <w:lastRenderedPageBreak/>
        <w:t>There are a number of bodies that are relying on the principal class order and will continue to be relying on it on and after 1 April 2013. The amendments to the principal class order will not cause a body that is currently eligible to rely on the relief, and is so relying on it, to cease to be eligible to rely on the relief. In particular</w:t>
      </w:r>
      <w:r w:rsidR="00CB7ED3">
        <w:rPr>
          <w:sz w:val="23"/>
          <w:szCs w:val="23"/>
        </w:rPr>
        <w:t>:</w:t>
      </w:r>
    </w:p>
    <w:p w:rsidR="00CB7ED3" w:rsidRDefault="00CB7ED3" w:rsidP="0017147E">
      <w:pPr>
        <w:rPr>
          <w:sz w:val="23"/>
          <w:szCs w:val="23"/>
        </w:rPr>
      </w:pPr>
    </w:p>
    <w:p w:rsidR="00CB7ED3" w:rsidRDefault="000E0499" w:rsidP="00CB7ED3">
      <w:pPr>
        <w:ind w:left="567" w:hanging="567"/>
        <w:rPr>
          <w:sz w:val="23"/>
          <w:szCs w:val="23"/>
        </w:rPr>
      </w:pPr>
      <w:r>
        <w:rPr>
          <w:sz w:val="23"/>
          <w:szCs w:val="23"/>
        </w:rPr>
        <w:t>(a)</w:t>
      </w:r>
      <w:r>
        <w:rPr>
          <w:sz w:val="23"/>
          <w:szCs w:val="23"/>
        </w:rPr>
        <w:tab/>
        <w:t>a body that</w:t>
      </w:r>
      <w:r w:rsidR="00CB7ED3">
        <w:rPr>
          <w:sz w:val="23"/>
          <w:szCs w:val="23"/>
        </w:rPr>
        <w:t xml:space="preserve">, before 1 April 2013, </w:t>
      </w:r>
      <w:r>
        <w:rPr>
          <w:sz w:val="23"/>
          <w:szCs w:val="23"/>
        </w:rPr>
        <w:t>ha</w:t>
      </w:r>
      <w:r w:rsidR="00CB7ED3">
        <w:rPr>
          <w:sz w:val="23"/>
          <w:szCs w:val="23"/>
        </w:rPr>
        <w:t>d</w:t>
      </w:r>
      <w:r>
        <w:rPr>
          <w:sz w:val="23"/>
          <w:szCs w:val="23"/>
        </w:rPr>
        <w:t xml:space="preserve"> provided </w:t>
      </w:r>
      <w:r w:rsidR="00CB7ED3">
        <w:rPr>
          <w:sz w:val="23"/>
          <w:szCs w:val="23"/>
        </w:rPr>
        <w:t xml:space="preserve">to ASIC </w:t>
      </w:r>
      <w:r>
        <w:rPr>
          <w:sz w:val="23"/>
          <w:szCs w:val="23"/>
        </w:rPr>
        <w:t xml:space="preserve">a </w:t>
      </w:r>
      <w:r w:rsidR="00CB7ED3">
        <w:rPr>
          <w:sz w:val="23"/>
          <w:szCs w:val="23"/>
        </w:rPr>
        <w:t xml:space="preserve">deed containing the undertakings and covenants required by the principal class order, is not required to provide a new or amended deed to ASIC to reflect the renaming of the FSA to the FCA; </w:t>
      </w:r>
      <w:r w:rsidR="0047600F">
        <w:rPr>
          <w:sz w:val="23"/>
          <w:szCs w:val="23"/>
        </w:rPr>
        <w:t>and</w:t>
      </w:r>
    </w:p>
    <w:p w:rsidR="00CB7ED3" w:rsidRDefault="00CB7ED3" w:rsidP="00CB7ED3">
      <w:pPr>
        <w:ind w:left="567" w:hanging="567"/>
        <w:rPr>
          <w:sz w:val="23"/>
          <w:szCs w:val="23"/>
        </w:rPr>
      </w:pPr>
    </w:p>
    <w:p w:rsidR="00CB7ED3" w:rsidRDefault="00CB7ED3" w:rsidP="00CB7ED3">
      <w:pPr>
        <w:ind w:left="567" w:hanging="567"/>
        <w:rPr>
          <w:sz w:val="23"/>
          <w:szCs w:val="23"/>
        </w:rPr>
      </w:pPr>
      <w:r>
        <w:rPr>
          <w:sz w:val="23"/>
          <w:szCs w:val="23"/>
        </w:rPr>
        <w:t>(b)</w:t>
      </w:r>
      <w:r>
        <w:rPr>
          <w:sz w:val="23"/>
          <w:szCs w:val="23"/>
        </w:rPr>
        <w:tab/>
      </w:r>
      <w:proofErr w:type="gramStart"/>
      <w:r>
        <w:rPr>
          <w:sz w:val="23"/>
          <w:szCs w:val="23"/>
        </w:rPr>
        <w:t>a</w:t>
      </w:r>
      <w:proofErr w:type="gramEnd"/>
      <w:r>
        <w:rPr>
          <w:sz w:val="23"/>
          <w:szCs w:val="23"/>
        </w:rPr>
        <w:t xml:space="preserve"> body that, before 1 April 2013, had provided to ASIC written consents to the sharing of information </w:t>
      </w:r>
      <w:r w:rsidR="00F25BAD">
        <w:rPr>
          <w:sz w:val="23"/>
          <w:szCs w:val="23"/>
        </w:rPr>
        <w:t xml:space="preserve">about the body </w:t>
      </w:r>
      <w:r>
        <w:rPr>
          <w:sz w:val="23"/>
          <w:szCs w:val="23"/>
        </w:rPr>
        <w:t>between ASIC and the FSA, is not required to provide new written consents</w:t>
      </w:r>
      <w:r w:rsidR="00F25BAD">
        <w:rPr>
          <w:sz w:val="23"/>
          <w:szCs w:val="23"/>
        </w:rPr>
        <w:t xml:space="preserve"> to the sharing of information about the body between ASIC and the FCA.</w:t>
      </w:r>
    </w:p>
    <w:p w:rsidR="00CB7ED3" w:rsidRDefault="00CB7ED3" w:rsidP="00CB7ED3">
      <w:pPr>
        <w:ind w:left="567" w:hanging="567"/>
        <w:rPr>
          <w:sz w:val="23"/>
          <w:szCs w:val="23"/>
        </w:rPr>
      </w:pPr>
    </w:p>
    <w:p w:rsidR="00F25BAD" w:rsidRDefault="00F25BAD" w:rsidP="00F25BAD">
      <w:pPr>
        <w:rPr>
          <w:sz w:val="23"/>
          <w:szCs w:val="23"/>
        </w:rPr>
      </w:pPr>
      <w:r>
        <w:rPr>
          <w:sz w:val="23"/>
          <w:szCs w:val="23"/>
        </w:rPr>
        <w:t>As the FCA will be the same legal entity as the FSA, ASIC takes the view that:</w:t>
      </w:r>
    </w:p>
    <w:p w:rsidR="00F25BAD" w:rsidRDefault="00F25BAD" w:rsidP="00F25BAD">
      <w:pPr>
        <w:rPr>
          <w:sz w:val="23"/>
          <w:szCs w:val="23"/>
        </w:rPr>
      </w:pPr>
    </w:p>
    <w:p w:rsidR="00BB54C6" w:rsidRDefault="00F25BAD" w:rsidP="00BB54C6">
      <w:pPr>
        <w:ind w:left="567" w:hanging="567"/>
        <w:rPr>
          <w:sz w:val="23"/>
          <w:szCs w:val="23"/>
        </w:rPr>
      </w:pPr>
      <w:r>
        <w:rPr>
          <w:sz w:val="23"/>
          <w:szCs w:val="23"/>
        </w:rPr>
        <w:t>(a)</w:t>
      </w:r>
      <w:r>
        <w:rPr>
          <w:sz w:val="23"/>
          <w:szCs w:val="23"/>
        </w:rPr>
        <w:tab/>
      </w:r>
      <w:proofErr w:type="gramStart"/>
      <w:r>
        <w:rPr>
          <w:sz w:val="23"/>
          <w:szCs w:val="23"/>
        </w:rPr>
        <w:t>existing</w:t>
      </w:r>
      <w:proofErr w:type="gramEnd"/>
      <w:r>
        <w:rPr>
          <w:sz w:val="23"/>
          <w:szCs w:val="23"/>
        </w:rPr>
        <w:t xml:space="preserve"> deeds of bodies containing undertakings and covenants that are expressed to apply in relation to the FSA </w:t>
      </w:r>
      <w:r w:rsidR="00BB54C6">
        <w:rPr>
          <w:sz w:val="23"/>
          <w:szCs w:val="23"/>
        </w:rPr>
        <w:t xml:space="preserve">will be </w:t>
      </w:r>
      <w:r>
        <w:rPr>
          <w:sz w:val="23"/>
          <w:szCs w:val="23"/>
        </w:rPr>
        <w:t>enforceable by ASIC against the body</w:t>
      </w:r>
      <w:r w:rsidR="00BB54C6">
        <w:rPr>
          <w:sz w:val="23"/>
          <w:szCs w:val="23"/>
        </w:rPr>
        <w:t xml:space="preserve"> in relation to the FCA;</w:t>
      </w:r>
    </w:p>
    <w:p w:rsidR="00BB54C6" w:rsidRDefault="00BB54C6" w:rsidP="00BB54C6">
      <w:pPr>
        <w:ind w:left="567" w:hanging="567"/>
        <w:rPr>
          <w:sz w:val="23"/>
          <w:szCs w:val="23"/>
        </w:rPr>
      </w:pPr>
    </w:p>
    <w:p w:rsidR="00F25BAD" w:rsidRDefault="00BB54C6" w:rsidP="00BB54C6">
      <w:pPr>
        <w:ind w:left="567" w:hanging="567"/>
        <w:rPr>
          <w:sz w:val="23"/>
          <w:szCs w:val="23"/>
        </w:rPr>
      </w:pPr>
      <w:r>
        <w:rPr>
          <w:sz w:val="23"/>
          <w:szCs w:val="23"/>
        </w:rPr>
        <w:t>(b)</w:t>
      </w:r>
      <w:r>
        <w:rPr>
          <w:sz w:val="23"/>
          <w:szCs w:val="23"/>
        </w:rPr>
        <w:tab/>
      </w:r>
      <w:proofErr w:type="gramStart"/>
      <w:r w:rsidR="008E125E">
        <w:rPr>
          <w:sz w:val="23"/>
          <w:szCs w:val="23"/>
        </w:rPr>
        <w:t>existing</w:t>
      </w:r>
      <w:proofErr w:type="gramEnd"/>
      <w:r w:rsidR="008E125E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written consents provided by the body </w:t>
      </w:r>
      <w:r w:rsidRPr="00BB54C6">
        <w:rPr>
          <w:sz w:val="23"/>
          <w:szCs w:val="23"/>
        </w:rPr>
        <w:t>to the sharing of information about the body between ASIC and the FSA</w:t>
      </w:r>
      <w:r>
        <w:rPr>
          <w:sz w:val="23"/>
          <w:szCs w:val="23"/>
        </w:rPr>
        <w:t xml:space="preserve"> are written consents </w:t>
      </w:r>
      <w:r w:rsidRPr="00BB54C6">
        <w:rPr>
          <w:sz w:val="23"/>
          <w:szCs w:val="23"/>
        </w:rPr>
        <w:t>to the sharing of information about the body between ASIC and the F</w:t>
      </w:r>
      <w:r>
        <w:rPr>
          <w:sz w:val="23"/>
          <w:szCs w:val="23"/>
        </w:rPr>
        <w:t>C</w:t>
      </w:r>
      <w:r w:rsidRPr="00BB54C6">
        <w:rPr>
          <w:sz w:val="23"/>
          <w:szCs w:val="23"/>
        </w:rPr>
        <w:t>A</w:t>
      </w:r>
      <w:r>
        <w:rPr>
          <w:sz w:val="23"/>
          <w:szCs w:val="23"/>
        </w:rPr>
        <w:t>;</w:t>
      </w:r>
      <w:r w:rsidR="0047600F">
        <w:rPr>
          <w:sz w:val="23"/>
          <w:szCs w:val="23"/>
        </w:rPr>
        <w:t xml:space="preserve"> and</w:t>
      </w:r>
    </w:p>
    <w:p w:rsidR="008E125E" w:rsidRDefault="008E125E" w:rsidP="00BB54C6">
      <w:pPr>
        <w:ind w:left="567" w:hanging="567"/>
        <w:rPr>
          <w:sz w:val="23"/>
          <w:szCs w:val="23"/>
        </w:rPr>
      </w:pPr>
    </w:p>
    <w:p w:rsidR="008E125E" w:rsidRDefault="008E125E" w:rsidP="00BB54C6">
      <w:pPr>
        <w:ind w:left="567" w:hanging="567"/>
        <w:rPr>
          <w:sz w:val="23"/>
          <w:szCs w:val="23"/>
        </w:rPr>
      </w:pPr>
      <w:r>
        <w:rPr>
          <w:sz w:val="23"/>
          <w:szCs w:val="23"/>
        </w:rPr>
        <w:t>(c)</w:t>
      </w:r>
      <w:r>
        <w:rPr>
          <w:sz w:val="23"/>
          <w:szCs w:val="23"/>
        </w:rPr>
        <w:tab/>
        <w:t>if an enforcement action, disciplinary action or investigation, of a significant kind, had been taken against the body by the FSA before 1 April 2013 and which would have required notification to ASIC</w:t>
      </w:r>
      <w:r w:rsidR="00492062">
        <w:rPr>
          <w:sz w:val="23"/>
          <w:szCs w:val="23"/>
        </w:rPr>
        <w:t xml:space="preserve"> but has not yet been notified</w:t>
      </w:r>
      <w:r>
        <w:rPr>
          <w:sz w:val="23"/>
          <w:szCs w:val="23"/>
        </w:rPr>
        <w:t>, it continues to be notifiable to ASIC on and after 1 April 2013</w:t>
      </w:r>
      <w:r w:rsidR="00492062">
        <w:rPr>
          <w:sz w:val="23"/>
          <w:szCs w:val="23"/>
        </w:rPr>
        <w:t>.</w:t>
      </w:r>
    </w:p>
    <w:p w:rsidR="008E125E" w:rsidRDefault="008E125E" w:rsidP="00BB54C6">
      <w:pPr>
        <w:ind w:left="567" w:hanging="567"/>
        <w:rPr>
          <w:sz w:val="23"/>
          <w:szCs w:val="23"/>
        </w:rPr>
      </w:pPr>
    </w:p>
    <w:p w:rsidR="004A6A57" w:rsidRPr="00AC7F41" w:rsidRDefault="00492062" w:rsidP="00823F8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4A6A57" w:rsidRPr="00AC7F41">
        <w:rPr>
          <w:rFonts w:ascii="Arial" w:hAnsi="Arial" w:cs="Arial"/>
          <w:b/>
        </w:rPr>
        <w:t xml:space="preserve">. </w:t>
      </w:r>
      <w:r w:rsidR="004A6A57" w:rsidRPr="00AC7F41">
        <w:rPr>
          <w:rFonts w:ascii="Arial" w:hAnsi="Arial" w:cs="Arial"/>
          <w:b/>
        </w:rPr>
        <w:tab/>
        <w:t>Consultation</w:t>
      </w:r>
    </w:p>
    <w:p w:rsidR="004A6A57" w:rsidRDefault="004A6A57" w:rsidP="00823F8F">
      <w:pPr>
        <w:rPr>
          <w:i/>
        </w:rPr>
      </w:pPr>
    </w:p>
    <w:p w:rsidR="000064CC" w:rsidRDefault="00C37BFE" w:rsidP="00EB13F4">
      <w:r>
        <w:t xml:space="preserve">ASIC did not engage in any consultation before making this amending class order. The amendments made are of a minor and technical nature and are merely consequential on </w:t>
      </w:r>
      <w:r w:rsidR="00EB13F4">
        <w:t xml:space="preserve">a particular </w:t>
      </w:r>
      <w:r>
        <w:t xml:space="preserve">change to the </w:t>
      </w:r>
      <w:r w:rsidR="00EB13F4">
        <w:t>name of the financial services regulator in the United Kingdom.</w:t>
      </w:r>
    </w:p>
    <w:p w:rsidR="00492062" w:rsidRDefault="00492062" w:rsidP="00823F8F"/>
    <w:p w:rsidR="00492062" w:rsidRDefault="00492062">
      <w:pPr>
        <w:spacing w:after="200" w:line="276" w:lineRule="auto"/>
      </w:pPr>
      <w:r>
        <w:br w:type="page"/>
      </w:r>
    </w:p>
    <w:p w:rsidR="00492062" w:rsidRDefault="00492062" w:rsidP="00823F8F"/>
    <w:p w:rsidR="00492062" w:rsidRDefault="00492062" w:rsidP="00823F8F"/>
    <w:p w:rsidR="00492062" w:rsidRPr="00492062" w:rsidRDefault="00492062" w:rsidP="00492062">
      <w:pPr>
        <w:jc w:val="center"/>
        <w:rPr>
          <w:b/>
        </w:rPr>
      </w:pPr>
      <w:r w:rsidRPr="00492062">
        <w:rPr>
          <w:b/>
        </w:rPr>
        <w:t>Statement of Compatibility with Human Rights</w:t>
      </w:r>
    </w:p>
    <w:p w:rsidR="00492062" w:rsidRDefault="00492062" w:rsidP="00492062">
      <w:pPr>
        <w:rPr>
          <w:i/>
        </w:rPr>
      </w:pPr>
    </w:p>
    <w:p w:rsidR="00492062" w:rsidRPr="00492062" w:rsidRDefault="00492062" w:rsidP="00C37BFE">
      <w:pPr>
        <w:jc w:val="center"/>
        <w:rPr>
          <w:i/>
        </w:rPr>
      </w:pPr>
      <w:r w:rsidRPr="00492062">
        <w:rPr>
          <w:i/>
        </w:rPr>
        <w:t>Prepared in accordance with Part 3 of the Human Rights (Parliamentary Scrutiny) Act 2011</w:t>
      </w:r>
    </w:p>
    <w:p w:rsidR="00492062" w:rsidRDefault="00492062" w:rsidP="00492062">
      <w:pPr>
        <w:rPr>
          <w:b/>
          <w:i/>
        </w:rPr>
      </w:pPr>
    </w:p>
    <w:p w:rsidR="00492062" w:rsidRPr="00C37BFE" w:rsidRDefault="00C37BFE" w:rsidP="00EB13F4">
      <w:pPr>
        <w:jc w:val="center"/>
      </w:pPr>
      <w:r w:rsidRPr="00C37BFE">
        <w:rPr>
          <w:b/>
        </w:rPr>
        <w:t>ASIC Class Order [</w:t>
      </w:r>
      <w:r w:rsidR="0047600F">
        <w:rPr>
          <w:b/>
        </w:rPr>
        <w:t xml:space="preserve">CO </w:t>
      </w:r>
      <w:r w:rsidRPr="00C37BFE">
        <w:rPr>
          <w:b/>
        </w:rPr>
        <w:t>13/</w:t>
      </w:r>
      <w:r w:rsidR="0047600F">
        <w:rPr>
          <w:b/>
        </w:rPr>
        <w:t>284</w:t>
      </w:r>
      <w:r w:rsidRPr="00C37BFE">
        <w:rPr>
          <w:b/>
        </w:rPr>
        <w:t>]</w:t>
      </w:r>
    </w:p>
    <w:p w:rsidR="00C37BFE" w:rsidRDefault="00C37BFE" w:rsidP="00492062"/>
    <w:p w:rsidR="00492062" w:rsidRDefault="00492062" w:rsidP="00492062">
      <w:r w:rsidRPr="00492062">
        <w:t xml:space="preserve">This </w:t>
      </w:r>
      <w:r w:rsidR="00C37BFE">
        <w:t xml:space="preserve">class order </w:t>
      </w:r>
      <w:r w:rsidRPr="00492062">
        <w:t xml:space="preserve">is compatible with the human rights and freedoms recognised or declared in the international instruments listed in section 3 of the </w:t>
      </w:r>
      <w:r w:rsidRPr="00492062">
        <w:rPr>
          <w:i/>
        </w:rPr>
        <w:t>Human Rights (Parliamentary Scrutiny) Act 2011</w:t>
      </w:r>
      <w:r w:rsidRPr="00492062">
        <w:t>.</w:t>
      </w:r>
    </w:p>
    <w:p w:rsidR="00492062" w:rsidRPr="00492062" w:rsidRDefault="00492062" w:rsidP="00492062"/>
    <w:p w:rsidR="00492062" w:rsidRPr="00492062" w:rsidRDefault="00492062" w:rsidP="00492062">
      <w:pPr>
        <w:rPr>
          <w:b/>
        </w:rPr>
      </w:pPr>
      <w:r w:rsidRPr="00492062">
        <w:rPr>
          <w:b/>
        </w:rPr>
        <w:t xml:space="preserve">Overview of the </w:t>
      </w:r>
      <w:r w:rsidR="00C37BFE">
        <w:rPr>
          <w:b/>
        </w:rPr>
        <w:t>class order</w:t>
      </w:r>
    </w:p>
    <w:p w:rsidR="00C37BFE" w:rsidRDefault="00C37BFE" w:rsidP="00492062"/>
    <w:p w:rsidR="00EB13F4" w:rsidRDefault="00492062" w:rsidP="00492062">
      <w:r w:rsidRPr="00492062">
        <w:t>Th</w:t>
      </w:r>
      <w:r w:rsidR="00EB13F4">
        <w:t>is</w:t>
      </w:r>
      <w:r w:rsidRPr="00492062">
        <w:t xml:space="preserve"> </w:t>
      </w:r>
      <w:r w:rsidR="00C37BFE">
        <w:t xml:space="preserve">class order </w:t>
      </w:r>
      <w:r w:rsidR="00EB13F4">
        <w:t xml:space="preserve">amends ASIC Class Order [CO 03/1099] (the </w:t>
      </w:r>
      <w:r w:rsidR="00EB13F4" w:rsidRPr="00EB13F4">
        <w:rPr>
          <w:b/>
          <w:i/>
        </w:rPr>
        <w:t>principal class order</w:t>
      </w:r>
      <w:r w:rsidR="00EB13F4">
        <w:t xml:space="preserve">) by </w:t>
      </w:r>
      <w:r w:rsidR="00EB13F4" w:rsidRPr="00EB13F4">
        <w:t>updat</w:t>
      </w:r>
      <w:r w:rsidR="00EB13F4">
        <w:t>ing</w:t>
      </w:r>
      <w:r w:rsidR="00EB13F4" w:rsidRPr="00EB13F4">
        <w:t xml:space="preserve"> reference</w:t>
      </w:r>
      <w:r w:rsidR="00EB13F4">
        <w:t>s</w:t>
      </w:r>
      <w:r w:rsidR="00EB13F4" w:rsidRPr="00EB13F4">
        <w:t xml:space="preserve"> in the principal class order to reflect the changes to </w:t>
      </w:r>
      <w:r w:rsidR="00EB13F4">
        <w:t xml:space="preserve">the </w:t>
      </w:r>
      <w:r w:rsidR="00EB13F4" w:rsidRPr="00EB13F4">
        <w:t xml:space="preserve">legislative regime in the United Kingdom, </w:t>
      </w:r>
      <w:r w:rsidR="00EB13F4">
        <w:t xml:space="preserve">in particular the renaming of the Financial Services Authority to the Financial Conduct Authority, which </w:t>
      </w:r>
      <w:r w:rsidR="0047600F">
        <w:t xml:space="preserve">will </w:t>
      </w:r>
      <w:r w:rsidR="00EB13F4">
        <w:t xml:space="preserve">take effect on 1 April 2013, </w:t>
      </w:r>
      <w:r w:rsidR="00EB13F4" w:rsidRPr="00EB13F4">
        <w:t xml:space="preserve">without effecting any substantive change to the </w:t>
      </w:r>
      <w:r w:rsidR="00EB13F4">
        <w:t xml:space="preserve">licensing </w:t>
      </w:r>
      <w:r w:rsidR="00EB13F4" w:rsidRPr="00EB13F4">
        <w:t>relief provided by the principal class order</w:t>
      </w:r>
      <w:r w:rsidR="00EB13F4">
        <w:t>.</w:t>
      </w:r>
    </w:p>
    <w:p w:rsidR="00C37BFE" w:rsidRDefault="00C37BFE" w:rsidP="00492062">
      <w:pPr>
        <w:rPr>
          <w:b/>
        </w:rPr>
      </w:pPr>
    </w:p>
    <w:p w:rsidR="00492062" w:rsidRPr="00492062" w:rsidRDefault="00492062" w:rsidP="00492062">
      <w:pPr>
        <w:rPr>
          <w:b/>
        </w:rPr>
      </w:pPr>
      <w:r w:rsidRPr="00492062">
        <w:rPr>
          <w:b/>
        </w:rPr>
        <w:t>Human rights implications</w:t>
      </w:r>
    </w:p>
    <w:p w:rsidR="00C37BFE" w:rsidRDefault="00C37BFE" w:rsidP="00492062"/>
    <w:p w:rsidR="00492062" w:rsidRPr="00492062" w:rsidRDefault="00492062" w:rsidP="00492062">
      <w:r w:rsidRPr="00492062">
        <w:t xml:space="preserve">This </w:t>
      </w:r>
      <w:r w:rsidR="00EB13F4">
        <w:t xml:space="preserve">class order </w:t>
      </w:r>
      <w:r w:rsidRPr="00492062">
        <w:t>does not engage any of the applicable rights or freedoms.</w:t>
      </w:r>
    </w:p>
    <w:p w:rsidR="00C37BFE" w:rsidRDefault="00C37BFE" w:rsidP="00492062">
      <w:pPr>
        <w:rPr>
          <w:b/>
        </w:rPr>
      </w:pPr>
    </w:p>
    <w:p w:rsidR="00492062" w:rsidRPr="00492062" w:rsidRDefault="00492062" w:rsidP="00492062">
      <w:pPr>
        <w:rPr>
          <w:b/>
        </w:rPr>
      </w:pPr>
      <w:r w:rsidRPr="00492062">
        <w:rPr>
          <w:b/>
        </w:rPr>
        <w:t>Conclusion</w:t>
      </w:r>
    </w:p>
    <w:p w:rsidR="00EB13F4" w:rsidRDefault="00EB13F4" w:rsidP="00492062"/>
    <w:p w:rsidR="00492062" w:rsidRPr="00492062" w:rsidRDefault="00492062" w:rsidP="00492062">
      <w:r w:rsidRPr="00492062">
        <w:t xml:space="preserve">This </w:t>
      </w:r>
      <w:r w:rsidR="00EB13F4">
        <w:t xml:space="preserve">class order </w:t>
      </w:r>
      <w:r w:rsidRPr="00492062">
        <w:t>is compatible with human rights as it does not raise any human rights issues.</w:t>
      </w:r>
    </w:p>
    <w:sectPr w:rsidR="00492062" w:rsidRPr="00492062" w:rsidSect="003F30CC">
      <w:headerReference w:type="default" r:id="rId8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03C" w:rsidRDefault="00ED003C" w:rsidP="003F30CC">
      <w:r>
        <w:separator/>
      </w:r>
    </w:p>
  </w:endnote>
  <w:endnote w:type="continuationSeparator" w:id="0">
    <w:p w:rsidR="00ED003C" w:rsidRDefault="00ED003C" w:rsidP="003F3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03C" w:rsidRDefault="00ED003C" w:rsidP="003F30CC">
      <w:r>
        <w:separator/>
      </w:r>
    </w:p>
  </w:footnote>
  <w:footnote w:type="continuationSeparator" w:id="0">
    <w:p w:rsidR="00ED003C" w:rsidRDefault="00ED003C" w:rsidP="003F30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591391"/>
      <w:docPartObj>
        <w:docPartGallery w:val="Page Numbers (Top of Page)"/>
        <w:docPartUnique/>
      </w:docPartObj>
    </w:sdtPr>
    <w:sdtContent>
      <w:p w:rsidR="00C37BFE" w:rsidRDefault="003E7808">
        <w:pPr>
          <w:pStyle w:val="Header"/>
          <w:jc w:val="center"/>
        </w:pPr>
        <w:fldSimple w:instr=" PAGE   \* MERGEFORMAT ">
          <w:r w:rsidR="00D836F8">
            <w:rPr>
              <w:noProof/>
            </w:rPr>
            <w:t>3</w:t>
          </w:r>
        </w:fldSimple>
      </w:p>
    </w:sdtContent>
  </w:sdt>
  <w:p w:rsidR="00C37BFE" w:rsidRDefault="00C37BF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5B094B2"/>
    <w:lvl w:ilvl="0">
      <w:numFmt w:val="bullet"/>
      <w:lvlText w:val="*"/>
      <w:lvlJc w:val="left"/>
    </w:lvl>
  </w:abstractNum>
  <w:abstractNum w:abstractNumId="1">
    <w:nsid w:val="0ADD71DC"/>
    <w:multiLevelType w:val="hybridMultilevel"/>
    <w:tmpl w:val="94C83EBC"/>
    <w:lvl w:ilvl="0" w:tplc="0C09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2">
    <w:nsid w:val="302C3B3C"/>
    <w:multiLevelType w:val="hybridMultilevel"/>
    <w:tmpl w:val="F00C90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DC0A66"/>
    <w:multiLevelType w:val="hybridMultilevel"/>
    <w:tmpl w:val="2EF6E1B6"/>
    <w:lvl w:ilvl="0" w:tplc="67B4FBF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387E38"/>
    <w:multiLevelType w:val="hybridMultilevel"/>
    <w:tmpl w:val="6586403C"/>
    <w:lvl w:ilvl="0" w:tplc="03E4BC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0E37F2"/>
    <w:multiLevelType w:val="hybridMultilevel"/>
    <w:tmpl w:val="F05E0C20"/>
    <w:lvl w:ilvl="0" w:tplc="59BC14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2844C1"/>
    <w:multiLevelType w:val="hybridMultilevel"/>
    <w:tmpl w:val="AB989B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E042D69"/>
    <w:multiLevelType w:val="hybridMultilevel"/>
    <w:tmpl w:val="138A08BE"/>
    <w:lvl w:ilvl="0" w:tplc="D29EAE60">
      <w:start w:val="9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4A6A57"/>
    <w:rsid w:val="0000538F"/>
    <w:rsid w:val="000064CC"/>
    <w:rsid w:val="000C40DC"/>
    <w:rsid w:val="000E0499"/>
    <w:rsid w:val="000F0E6A"/>
    <w:rsid w:val="000F24AE"/>
    <w:rsid w:val="000F2BE3"/>
    <w:rsid w:val="000F4C53"/>
    <w:rsid w:val="00112177"/>
    <w:rsid w:val="0012496D"/>
    <w:rsid w:val="001442F1"/>
    <w:rsid w:val="00160C94"/>
    <w:rsid w:val="0017147E"/>
    <w:rsid w:val="00173A84"/>
    <w:rsid w:val="001820DD"/>
    <w:rsid w:val="001C34E4"/>
    <w:rsid w:val="002222B0"/>
    <w:rsid w:val="0023716C"/>
    <w:rsid w:val="00261D1C"/>
    <w:rsid w:val="002712D1"/>
    <w:rsid w:val="002838B6"/>
    <w:rsid w:val="00287F84"/>
    <w:rsid w:val="002B73A4"/>
    <w:rsid w:val="002D428A"/>
    <w:rsid w:val="0031058C"/>
    <w:rsid w:val="003209A6"/>
    <w:rsid w:val="00340F66"/>
    <w:rsid w:val="00342597"/>
    <w:rsid w:val="00351B0B"/>
    <w:rsid w:val="003713A2"/>
    <w:rsid w:val="003E7808"/>
    <w:rsid w:val="003F30CC"/>
    <w:rsid w:val="00402603"/>
    <w:rsid w:val="00404A88"/>
    <w:rsid w:val="004335CD"/>
    <w:rsid w:val="004336F0"/>
    <w:rsid w:val="00441ACD"/>
    <w:rsid w:val="0047600F"/>
    <w:rsid w:val="00492062"/>
    <w:rsid w:val="004A193D"/>
    <w:rsid w:val="004A25FA"/>
    <w:rsid w:val="004A6A57"/>
    <w:rsid w:val="004B0C0A"/>
    <w:rsid w:val="004B12BC"/>
    <w:rsid w:val="004D2909"/>
    <w:rsid w:val="004F0055"/>
    <w:rsid w:val="004F6739"/>
    <w:rsid w:val="005936D4"/>
    <w:rsid w:val="005A12D5"/>
    <w:rsid w:val="005A309A"/>
    <w:rsid w:val="005A7920"/>
    <w:rsid w:val="005B4279"/>
    <w:rsid w:val="005C4A9C"/>
    <w:rsid w:val="005F43F5"/>
    <w:rsid w:val="006376CA"/>
    <w:rsid w:val="0064230E"/>
    <w:rsid w:val="006611B0"/>
    <w:rsid w:val="00696D32"/>
    <w:rsid w:val="006E433F"/>
    <w:rsid w:val="006F7ABE"/>
    <w:rsid w:val="00747319"/>
    <w:rsid w:val="0077187A"/>
    <w:rsid w:val="007A5221"/>
    <w:rsid w:val="00812837"/>
    <w:rsid w:val="0081779D"/>
    <w:rsid w:val="00823F8F"/>
    <w:rsid w:val="0082638F"/>
    <w:rsid w:val="00882A2C"/>
    <w:rsid w:val="00885925"/>
    <w:rsid w:val="008954BE"/>
    <w:rsid w:val="00895AFA"/>
    <w:rsid w:val="00897618"/>
    <w:rsid w:val="008B13FF"/>
    <w:rsid w:val="008C29E8"/>
    <w:rsid w:val="008D4D41"/>
    <w:rsid w:val="008E125E"/>
    <w:rsid w:val="008E335B"/>
    <w:rsid w:val="008F5645"/>
    <w:rsid w:val="00904631"/>
    <w:rsid w:val="00917B65"/>
    <w:rsid w:val="009352DF"/>
    <w:rsid w:val="009A5879"/>
    <w:rsid w:val="009A7EAE"/>
    <w:rsid w:val="009B6A87"/>
    <w:rsid w:val="009C0BD0"/>
    <w:rsid w:val="009C7C6D"/>
    <w:rsid w:val="009E6249"/>
    <w:rsid w:val="00A04D53"/>
    <w:rsid w:val="00A21CB9"/>
    <w:rsid w:val="00A255E9"/>
    <w:rsid w:val="00A34FCC"/>
    <w:rsid w:val="00A90DC9"/>
    <w:rsid w:val="00AC6298"/>
    <w:rsid w:val="00AE203C"/>
    <w:rsid w:val="00B2394F"/>
    <w:rsid w:val="00B824EC"/>
    <w:rsid w:val="00B94961"/>
    <w:rsid w:val="00BA7416"/>
    <w:rsid w:val="00BA7D14"/>
    <w:rsid w:val="00BB54C6"/>
    <w:rsid w:val="00BC2DE4"/>
    <w:rsid w:val="00BC6299"/>
    <w:rsid w:val="00BF44FD"/>
    <w:rsid w:val="00BF5858"/>
    <w:rsid w:val="00C37BFE"/>
    <w:rsid w:val="00C46492"/>
    <w:rsid w:val="00C70E9C"/>
    <w:rsid w:val="00CB7ED3"/>
    <w:rsid w:val="00CD0586"/>
    <w:rsid w:val="00CF7DEF"/>
    <w:rsid w:val="00D575AD"/>
    <w:rsid w:val="00D73995"/>
    <w:rsid w:val="00D836F8"/>
    <w:rsid w:val="00DA112D"/>
    <w:rsid w:val="00DD1232"/>
    <w:rsid w:val="00DD4704"/>
    <w:rsid w:val="00DE2BED"/>
    <w:rsid w:val="00DE655E"/>
    <w:rsid w:val="00DE731C"/>
    <w:rsid w:val="00DF0E8A"/>
    <w:rsid w:val="00E114A4"/>
    <w:rsid w:val="00E26EB6"/>
    <w:rsid w:val="00E42ABC"/>
    <w:rsid w:val="00EA06C2"/>
    <w:rsid w:val="00EB13F4"/>
    <w:rsid w:val="00ED003C"/>
    <w:rsid w:val="00F25BAD"/>
    <w:rsid w:val="00F77D48"/>
    <w:rsid w:val="00F829AA"/>
    <w:rsid w:val="00F836F5"/>
    <w:rsid w:val="00F94FCD"/>
    <w:rsid w:val="00FB4BEB"/>
    <w:rsid w:val="00FE1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A5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4B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BE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30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0C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F30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30C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10E5E-3391-4614-8C13-4C78C0E90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Oombas</dc:creator>
  <cp:lastModifiedBy>Merrill Murray</cp:lastModifiedBy>
  <cp:revision>2</cp:revision>
  <cp:lastPrinted>2013-03-10T22:05:00Z</cp:lastPrinted>
  <dcterms:created xsi:type="dcterms:W3CDTF">2013-03-10T22:06:00Z</dcterms:created>
  <dcterms:modified xsi:type="dcterms:W3CDTF">2013-03-10T22:06:00Z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A3786733</vt:lpwstr>
  </property>
  <property fmtid="{D5CDD505-2E9C-101B-9397-08002B2CF9AE}" pid="4" name="Objective-Title">
    <vt:lpwstr>Class Order CO 13-284 (ES)</vt:lpwstr>
  </property>
  <property fmtid="{D5CDD505-2E9C-101B-9397-08002B2CF9AE}" pid="5" name="Objective-Comment">
    <vt:lpwstr/>
  </property>
  <property fmtid="{D5CDD505-2E9C-101B-9397-08002B2CF9AE}" pid="6" name="Objective-CreationStamp">
    <vt:filetime>2013-03-07T00:37:06Z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2013-03-09T01:19:29Z</vt:filetime>
  </property>
  <property fmtid="{D5CDD505-2E9C-101B-9397-08002B2CF9AE}" pid="10" name="Objective-ModificationStamp">
    <vt:filetime>2013-03-09T01:19:29Z</vt:filetime>
  </property>
  <property fmtid="{D5CDD505-2E9C-101B-9397-08002B2CF9AE}" pid="11" name="Objective-Owner">
    <vt:lpwstr>Grant Moodie</vt:lpwstr>
  </property>
  <property fmtid="{D5CDD505-2E9C-101B-9397-08002B2CF9AE}" pid="12" name="Objective-Path">
    <vt:lpwstr>ASIC BCS:LEGAL SERVICES:Advice:Class Orders:Class Orders 2013:</vt:lpwstr>
  </property>
  <property fmtid="{D5CDD505-2E9C-101B-9397-08002B2CF9AE}" pid="13" name="Objective-Parent">
    <vt:lpwstr>Class Orders 2013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i4>3</vt:i4>
  </property>
  <property fmtid="{D5CDD505-2E9C-101B-9397-08002B2CF9AE}" pid="17" name="Objective-VersionComment">
    <vt:lpwstr/>
  </property>
  <property fmtid="{D5CDD505-2E9C-101B-9397-08002B2CF9AE}" pid="18" name="Objective-FileNumber">
    <vt:lpwstr>2012 - 006258</vt:lpwstr>
  </property>
  <property fmtid="{D5CDD505-2E9C-101B-9397-08002B2CF9AE}" pid="19" name="Objective-Classification">
    <vt:lpwstr>[Inherited - IN-CONFIDENCE]</vt:lpwstr>
  </property>
  <property fmtid="{D5CDD505-2E9C-101B-9397-08002B2CF9AE}" pid="20" name="Objective-Caveats">
    <vt:lpwstr/>
  </property>
  <property fmtid="{D5CDD505-2E9C-101B-9397-08002B2CF9AE}" pid="21" name="Objective-Category [system]">
    <vt:lpwstr/>
  </property>
</Properties>
</file>