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4E" w:rsidRDefault="0049464E" w:rsidP="0049464E">
      <w:r>
        <w:rPr>
          <w:noProof/>
          <w:lang w:eastAsia="en-AU"/>
        </w:rPr>
        <w:drawing>
          <wp:inline distT="0" distB="0" distL="0" distR="0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4E" w:rsidRPr="00B30134" w:rsidRDefault="0049464E" w:rsidP="0049464E">
      <w:pPr>
        <w:spacing w:before="480"/>
        <w:rPr>
          <w:rFonts w:ascii="Arial" w:hAnsi="Arial" w:cs="Arial"/>
          <w:b/>
          <w:bCs/>
          <w:spacing w:val="-4"/>
          <w:w w:val="101"/>
          <w:sz w:val="38"/>
          <w:szCs w:val="38"/>
        </w:rPr>
      </w:pPr>
      <w:r w:rsidRPr="00B30134">
        <w:rPr>
          <w:rFonts w:ascii="Arial" w:hAnsi="Arial" w:cs="Arial"/>
          <w:b/>
          <w:bCs/>
          <w:sz w:val="40"/>
          <w:szCs w:val="40"/>
        </w:rPr>
        <w:t xml:space="preserve">Aged Care (Residential </w:t>
      </w:r>
      <w:r>
        <w:rPr>
          <w:rFonts w:ascii="Arial" w:hAnsi="Arial" w:cs="Arial"/>
          <w:b/>
          <w:bCs/>
          <w:sz w:val="40"/>
          <w:szCs w:val="40"/>
        </w:rPr>
        <w:t>C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are </w:t>
      </w:r>
      <w:r>
        <w:rPr>
          <w:rFonts w:ascii="Arial" w:hAnsi="Arial" w:cs="Arial"/>
          <w:b/>
          <w:bCs/>
          <w:sz w:val="40"/>
          <w:szCs w:val="40"/>
        </w:rPr>
        <w:t>S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ubsidy </w:t>
      </w:r>
      <w:r w:rsidRPr="00B30134">
        <w:rPr>
          <w:b/>
          <w:i/>
          <w:iCs/>
          <w:spacing w:val="2"/>
          <w:sz w:val="40"/>
          <w:szCs w:val="40"/>
        </w:rPr>
        <w:t>—</w:t>
      </w:r>
      <w:r w:rsidRPr="000156FE">
        <w:rPr>
          <w:rFonts w:ascii="Arial" w:hAnsi="Arial" w:cs="Arial"/>
          <w:b/>
          <w:iCs/>
          <w:spacing w:val="2"/>
          <w:sz w:val="40"/>
          <w:szCs w:val="40"/>
        </w:rPr>
        <w:t>A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mount of </w:t>
      </w:r>
      <w:r>
        <w:rPr>
          <w:rFonts w:ascii="Arial" w:hAnsi="Arial" w:cs="Arial"/>
          <w:b/>
          <w:bCs/>
          <w:sz w:val="40"/>
          <w:szCs w:val="40"/>
        </w:rPr>
        <w:t>Accommodation Supplement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) Determination </w:t>
      </w:r>
      <w:r w:rsidRPr="00AE1563">
        <w:rPr>
          <w:rFonts w:ascii="Arial" w:hAnsi="Arial" w:cs="Arial"/>
          <w:b/>
          <w:bCs/>
          <w:sz w:val="40"/>
          <w:szCs w:val="40"/>
        </w:rPr>
        <w:t>201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Pr="00B30134">
        <w:rPr>
          <w:rFonts w:ascii="Arial" w:hAnsi="Arial" w:cs="Arial"/>
          <w:bCs/>
          <w:sz w:val="40"/>
          <w:szCs w:val="40"/>
        </w:rPr>
        <w:t xml:space="preserve"> </w:t>
      </w:r>
      <w:r w:rsidRPr="00B30134">
        <w:rPr>
          <w:rFonts w:ascii="Arial" w:hAnsi="Arial" w:cs="Arial"/>
          <w:b/>
          <w:bCs/>
          <w:sz w:val="40"/>
          <w:szCs w:val="40"/>
        </w:rPr>
        <w:t xml:space="preserve">(No. 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B30134">
        <w:rPr>
          <w:rFonts w:ascii="Arial" w:hAnsi="Arial" w:cs="Arial"/>
          <w:b/>
          <w:bCs/>
          <w:sz w:val="40"/>
          <w:szCs w:val="40"/>
        </w:rPr>
        <w:t>)</w:t>
      </w:r>
      <w:r w:rsidRPr="00B30134">
        <w:rPr>
          <w:rFonts w:ascii="Arial" w:hAnsi="Arial" w:cs="Arial"/>
          <w:bCs/>
          <w:sz w:val="40"/>
          <w:szCs w:val="40"/>
        </w:rPr>
        <w:t>¹</w:t>
      </w:r>
    </w:p>
    <w:p w:rsidR="0049464E" w:rsidRDefault="0049464E" w:rsidP="0049464E">
      <w:pPr>
        <w:pStyle w:val="Style1"/>
        <w:spacing w:before="0"/>
        <w:rPr>
          <w:rFonts w:ascii="Arial" w:hAnsi="Arial" w:cs="Arial"/>
          <w:i/>
          <w:iCs/>
          <w:spacing w:val="2"/>
        </w:rPr>
      </w:pPr>
    </w:p>
    <w:p w:rsidR="0049464E" w:rsidRDefault="0049464E" w:rsidP="0049464E">
      <w:pPr>
        <w:pStyle w:val="Style1"/>
        <w:spacing w:before="0"/>
        <w:rPr>
          <w:rFonts w:ascii="Arial" w:hAnsi="Arial" w:cs="Arial"/>
          <w:i/>
          <w:iCs/>
          <w:spacing w:val="2"/>
        </w:rPr>
      </w:pPr>
    </w:p>
    <w:p w:rsidR="0049464E" w:rsidRPr="00A43FAF" w:rsidRDefault="0049464E" w:rsidP="0049464E">
      <w:pPr>
        <w:pStyle w:val="Style1"/>
        <w:spacing w:before="480"/>
        <w:rPr>
          <w:rFonts w:ascii="Arial" w:hAnsi="Arial" w:cs="Arial"/>
          <w:i/>
          <w:iCs/>
          <w:spacing w:val="2"/>
          <w:sz w:val="28"/>
          <w:szCs w:val="28"/>
        </w:rPr>
      </w:pPr>
      <w:r w:rsidRPr="00A43FAF">
        <w:rPr>
          <w:rFonts w:ascii="Arial" w:hAnsi="Arial" w:cs="Arial"/>
          <w:i/>
          <w:iCs/>
          <w:spacing w:val="2"/>
          <w:sz w:val="28"/>
          <w:szCs w:val="28"/>
        </w:rPr>
        <w:t>Aged Care Act 1997</w:t>
      </w:r>
    </w:p>
    <w:p w:rsidR="0049464E" w:rsidRPr="00B30134" w:rsidRDefault="0049464E" w:rsidP="0049464E">
      <w:pPr>
        <w:pBdr>
          <w:top w:val="single" w:sz="4" w:space="0" w:color="000000"/>
        </w:pBdr>
        <w:rPr>
          <w:spacing w:val="4"/>
        </w:rPr>
      </w:pPr>
    </w:p>
    <w:p w:rsidR="0049464E" w:rsidRPr="00B30134" w:rsidRDefault="0049464E" w:rsidP="0049464E">
      <w:pPr>
        <w:pBdr>
          <w:top w:val="single" w:sz="4" w:space="0" w:color="000000"/>
        </w:pBdr>
        <w:rPr>
          <w:i/>
          <w:iCs/>
          <w:spacing w:val="2"/>
        </w:rPr>
      </w:pPr>
      <w:r w:rsidRPr="00B30134">
        <w:rPr>
          <w:spacing w:val="4"/>
        </w:rPr>
        <w:t xml:space="preserve">I, </w:t>
      </w:r>
      <w:r>
        <w:rPr>
          <w:spacing w:val="4"/>
        </w:rPr>
        <w:t>MARK BUTLER</w:t>
      </w:r>
      <w:r w:rsidRPr="00B30134">
        <w:rPr>
          <w:spacing w:val="4"/>
        </w:rPr>
        <w:t xml:space="preserve">, </w:t>
      </w:r>
      <w:r>
        <w:rPr>
          <w:spacing w:val="4"/>
        </w:rPr>
        <w:t>Minister for Mental Health and Ageing</w:t>
      </w:r>
      <w:r w:rsidRPr="00B30134">
        <w:rPr>
          <w:spacing w:val="4"/>
        </w:rPr>
        <w:t>, make this Determination under subsection 44</w:t>
      </w:r>
      <w:r>
        <w:rPr>
          <w:spacing w:val="4"/>
        </w:rPr>
        <w:noBreakHyphen/>
        <w:t>5A(3)</w:t>
      </w:r>
      <w:r w:rsidRPr="00B30134">
        <w:rPr>
          <w:spacing w:val="4"/>
        </w:rPr>
        <w:t xml:space="preserve"> of the </w:t>
      </w:r>
      <w:r w:rsidRPr="00B30134">
        <w:rPr>
          <w:i/>
          <w:iCs/>
          <w:spacing w:val="2"/>
        </w:rPr>
        <w:t>Aged Care Act 1997.</w:t>
      </w: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46085" w:rsidP="0049464E">
      <w:pPr>
        <w:tabs>
          <w:tab w:val="left" w:pos="4536"/>
        </w:tabs>
        <w:ind w:right="1224"/>
        <w:rPr>
          <w:spacing w:val="4"/>
        </w:rPr>
      </w:pPr>
      <w:r>
        <w:rPr>
          <w:spacing w:val="4"/>
        </w:rPr>
        <w:t>Date 12</w:t>
      </w:r>
      <w:r w:rsidRPr="00446085">
        <w:rPr>
          <w:spacing w:val="4"/>
          <w:vertAlign w:val="superscript"/>
        </w:rPr>
        <w:t>th</w:t>
      </w:r>
      <w:r>
        <w:rPr>
          <w:spacing w:val="4"/>
        </w:rPr>
        <w:t xml:space="preserve"> </w:t>
      </w:r>
      <w:r w:rsidR="0049464E">
        <w:rPr>
          <w:spacing w:val="4"/>
        </w:rPr>
        <w:t xml:space="preserve"> March 2013</w:t>
      </w: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  <w:r>
        <w:rPr>
          <w:spacing w:val="4"/>
        </w:rPr>
        <w:t>MARK BUTLER</w:t>
      </w:r>
    </w:p>
    <w:p w:rsidR="0049464E" w:rsidRPr="00B30134" w:rsidRDefault="0049464E" w:rsidP="0049464E">
      <w:pPr>
        <w:tabs>
          <w:tab w:val="left" w:pos="3096"/>
        </w:tabs>
        <w:ind w:right="4392"/>
        <w:rPr>
          <w:spacing w:val="4"/>
        </w:rPr>
      </w:pPr>
      <w:r>
        <w:rPr>
          <w:spacing w:val="4"/>
        </w:rPr>
        <w:t>Minister for Mental Health and Ageing</w:t>
      </w:r>
    </w:p>
    <w:p w:rsidR="0049464E" w:rsidRPr="00B30134" w:rsidRDefault="0049464E" w:rsidP="0049464E">
      <w:pPr>
        <w:pBdr>
          <w:top w:val="single" w:sz="6" w:space="31" w:color="000000"/>
        </w:pBdr>
        <w:tabs>
          <w:tab w:val="left" w:pos="1008"/>
        </w:tabs>
        <w:spacing w:before="240" w:after="120"/>
        <w:rPr>
          <w:rFonts w:ascii="Arial" w:hAnsi="Arial" w:cs="Arial"/>
          <w:b/>
          <w:bCs/>
          <w:spacing w:val="4"/>
        </w:rPr>
      </w:pPr>
      <w:r w:rsidRPr="00B30134">
        <w:rPr>
          <w:rFonts w:ascii="Arial" w:hAnsi="Arial" w:cs="Arial"/>
          <w:b/>
          <w:bCs/>
          <w:spacing w:val="4"/>
        </w:rPr>
        <w:t>1</w:t>
      </w:r>
      <w:r w:rsidRPr="00B30134">
        <w:rPr>
          <w:rFonts w:ascii="Arial" w:hAnsi="Arial" w:cs="Arial"/>
          <w:b/>
          <w:bCs/>
          <w:spacing w:val="4"/>
        </w:rPr>
        <w:tab/>
        <w:t>Name of Determination</w:t>
      </w:r>
    </w:p>
    <w:p w:rsidR="0049464E" w:rsidRPr="00EC6F23" w:rsidRDefault="0049464E" w:rsidP="0049464E">
      <w:pPr>
        <w:pStyle w:val="R1"/>
        <w:jc w:val="left"/>
      </w:pPr>
      <w:r>
        <w:tab/>
      </w:r>
      <w:r>
        <w:tab/>
      </w:r>
      <w:r w:rsidRPr="00684175">
        <w:t>This Determination is the</w:t>
      </w:r>
      <w:r w:rsidRPr="008B252F">
        <w:t xml:space="preserve"> </w:t>
      </w:r>
      <w:r w:rsidRPr="00513875">
        <w:rPr>
          <w:i/>
        </w:rPr>
        <w:t xml:space="preserve">Aged Care (Residential </w:t>
      </w:r>
      <w:r>
        <w:rPr>
          <w:i/>
        </w:rPr>
        <w:t>C</w:t>
      </w:r>
      <w:r w:rsidRPr="00513875">
        <w:rPr>
          <w:i/>
        </w:rPr>
        <w:t xml:space="preserve">are </w:t>
      </w:r>
      <w:r>
        <w:rPr>
          <w:i/>
        </w:rPr>
        <w:t>S</w:t>
      </w:r>
      <w:r w:rsidRPr="00513875">
        <w:rPr>
          <w:i/>
        </w:rPr>
        <w:t xml:space="preserve">ubsidy — </w:t>
      </w:r>
      <w:r>
        <w:rPr>
          <w:i/>
        </w:rPr>
        <w:t>A</w:t>
      </w:r>
      <w:r w:rsidRPr="00513875">
        <w:rPr>
          <w:i/>
        </w:rPr>
        <w:t xml:space="preserve">mount of </w:t>
      </w:r>
      <w:r>
        <w:rPr>
          <w:i/>
        </w:rPr>
        <w:t>A</w:t>
      </w:r>
      <w:r w:rsidRPr="00513875">
        <w:rPr>
          <w:i/>
        </w:rPr>
        <w:t xml:space="preserve">ccommodation </w:t>
      </w:r>
      <w:r>
        <w:rPr>
          <w:i/>
        </w:rPr>
        <w:t>S</w:t>
      </w:r>
      <w:r w:rsidRPr="00513875">
        <w:rPr>
          <w:i/>
        </w:rPr>
        <w:t xml:space="preserve">upplement) Determination </w:t>
      </w:r>
      <w:r>
        <w:rPr>
          <w:i/>
        </w:rPr>
        <w:t>2013</w:t>
      </w:r>
      <w:r w:rsidRPr="00513875">
        <w:rPr>
          <w:i/>
        </w:rPr>
        <w:t xml:space="preserve"> (No</w:t>
      </w:r>
      <w:r>
        <w:rPr>
          <w:i/>
        </w:rPr>
        <w:t>.1</w:t>
      </w:r>
      <w:r w:rsidRPr="00513875">
        <w:rPr>
          <w:i/>
        </w:rPr>
        <w:t>)</w:t>
      </w:r>
      <w:r w:rsidRPr="008B252F">
        <w:t>.</w:t>
      </w:r>
      <w:r>
        <w:t xml:space="preserve"> </w:t>
      </w:r>
    </w:p>
    <w:p w:rsidR="0049464E" w:rsidRPr="008B252F" w:rsidRDefault="0049464E" w:rsidP="0049464E">
      <w:pPr>
        <w:pStyle w:val="HR"/>
      </w:pPr>
      <w:r w:rsidRPr="00F27C68">
        <w:rPr>
          <w:rStyle w:val="CharSectno"/>
        </w:rPr>
        <w:t>2</w:t>
      </w:r>
      <w:r w:rsidRPr="008B252F">
        <w:tab/>
        <w:t>Commencement</w:t>
      </w:r>
    </w:p>
    <w:p w:rsidR="0049464E" w:rsidRPr="008B252F" w:rsidRDefault="0049464E" w:rsidP="0049464E">
      <w:pPr>
        <w:pStyle w:val="R1"/>
        <w:jc w:val="left"/>
      </w:pPr>
      <w:r>
        <w:tab/>
      </w:r>
      <w:r>
        <w:tab/>
      </w:r>
      <w:r w:rsidRPr="008B252F">
        <w:t xml:space="preserve">This Determination commences on </w:t>
      </w:r>
      <w:r>
        <w:t>20 March 2013</w:t>
      </w:r>
      <w:r w:rsidRPr="008B252F">
        <w:t>.</w:t>
      </w:r>
    </w:p>
    <w:p w:rsidR="0049464E" w:rsidRPr="008B252F" w:rsidRDefault="0049464E" w:rsidP="0049464E">
      <w:pPr>
        <w:pStyle w:val="HR"/>
      </w:pPr>
      <w:r w:rsidRPr="00F27C68">
        <w:rPr>
          <w:rStyle w:val="CharSectno"/>
        </w:rPr>
        <w:t>3</w:t>
      </w:r>
      <w:r w:rsidRPr="008B252F">
        <w:tab/>
        <w:t>Revocation</w:t>
      </w:r>
    </w:p>
    <w:p w:rsidR="0049464E" w:rsidRDefault="0049464E" w:rsidP="0049464E">
      <w:pPr>
        <w:pStyle w:val="R1"/>
        <w:jc w:val="left"/>
        <w:rPr>
          <w:spacing w:val="4"/>
        </w:rPr>
      </w:pPr>
      <w:r>
        <w:tab/>
      </w:r>
      <w:r>
        <w:tab/>
      </w:r>
      <w:r w:rsidRPr="00566996">
        <w:t xml:space="preserve">The </w:t>
      </w:r>
      <w:r w:rsidRPr="00C0563B">
        <w:rPr>
          <w:i/>
        </w:rPr>
        <w:t xml:space="preserve">Aged Care (Residential </w:t>
      </w:r>
      <w:r>
        <w:rPr>
          <w:i/>
        </w:rPr>
        <w:t>C</w:t>
      </w:r>
      <w:r w:rsidRPr="00C0563B">
        <w:rPr>
          <w:i/>
        </w:rPr>
        <w:t xml:space="preserve">are </w:t>
      </w:r>
      <w:r>
        <w:rPr>
          <w:i/>
        </w:rPr>
        <w:t>S</w:t>
      </w:r>
      <w:r w:rsidRPr="00C0563B">
        <w:rPr>
          <w:i/>
        </w:rPr>
        <w:t xml:space="preserve">ubsidy — </w:t>
      </w:r>
      <w:r>
        <w:rPr>
          <w:i/>
        </w:rPr>
        <w:t>A</w:t>
      </w:r>
      <w:r w:rsidRPr="00C0563B">
        <w:rPr>
          <w:i/>
        </w:rPr>
        <w:t xml:space="preserve">mount of </w:t>
      </w:r>
      <w:r>
        <w:rPr>
          <w:i/>
        </w:rPr>
        <w:t>A</w:t>
      </w:r>
      <w:r w:rsidRPr="00C0563B">
        <w:rPr>
          <w:i/>
        </w:rPr>
        <w:t xml:space="preserve">ccommodation </w:t>
      </w:r>
      <w:r w:rsidRPr="004773D8">
        <w:rPr>
          <w:i/>
        </w:rPr>
        <w:t>Supplement) Determination 2012 (No.2)</w:t>
      </w:r>
      <w:r w:rsidRPr="004773D8">
        <w:t xml:space="preserve"> </w:t>
      </w:r>
      <w:r>
        <w:rPr>
          <w:spacing w:val="4"/>
        </w:rPr>
        <w:t xml:space="preserve">made by the Minister on </w:t>
      </w:r>
    </w:p>
    <w:p w:rsidR="0049464E" w:rsidRPr="00CF231A" w:rsidRDefault="0049464E" w:rsidP="0049464E">
      <w:pPr>
        <w:pStyle w:val="R1"/>
        <w:spacing w:before="0"/>
        <w:ind w:left="0" w:firstLine="0"/>
        <w:jc w:val="left"/>
        <w:rPr>
          <w:spacing w:val="4"/>
        </w:rPr>
      </w:pPr>
      <w:r>
        <w:rPr>
          <w:spacing w:val="4"/>
        </w:rPr>
        <w:tab/>
        <w:t xml:space="preserve">              11 September </w:t>
      </w:r>
      <w:r w:rsidRPr="004773D8">
        <w:rPr>
          <w:spacing w:val="4"/>
        </w:rPr>
        <w:t>2012, also known as F2012L01882</w:t>
      </w:r>
      <w:r w:rsidRPr="002424C3">
        <w:rPr>
          <w:spacing w:val="4"/>
        </w:rPr>
        <w:t>, is revoked.</w:t>
      </w:r>
    </w:p>
    <w:p w:rsidR="0049464E" w:rsidRPr="008B252F" w:rsidRDefault="0049464E" w:rsidP="0049464E">
      <w:pPr>
        <w:pStyle w:val="HR"/>
      </w:pPr>
      <w:r w:rsidRPr="00F27C68">
        <w:rPr>
          <w:rStyle w:val="CharSectno"/>
        </w:rPr>
        <w:lastRenderedPageBreak/>
        <w:t>4</w:t>
      </w:r>
      <w:r w:rsidRPr="008B252F">
        <w:tab/>
        <w:t>Definitions</w:t>
      </w:r>
    </w:p>
    <w:p w:rsidR="0049464E" w:rsidRPr="008B252F" w:rsidRDefault="0049464E" w:rsidP="0049464E">
      <w:pPr>
        <w:pStyle w:val="ZR1"/>
        <w:jc w:val="left"/>
      </w:pPr>
      <w:r>
        <w:tab/>
      </w:r>
      <w:r>
        <w:tab/>
      </w:r>
      <w:r w:rsidRPr="00BA3923">
        <w:t>In this Determination</w:t>
      </w:r>
      <w:r w:rsidRPr="008B252F">
        <w:t>:</w:t>
      </w:r>
    </w:p>
    <w:p w:rsidR="0049464E" w:rsidRDefault="0049464E" w:rsidP="0049464E">
      <w:pPr>
        <w:pStyle w:val="definition"/>
        <w:tabs>
          <w:tab w:val="left" w:pos="6236"/>
        </w:tabs>
        <w:jc w:val="left"/>
        <w:rPr>
          <w:b/>
          <w:bCs/>
        </w:rPr>
      </w:pPr>
      <w:r w:rsidRPr="00566996">
        <w:rPr>
          <w:b/>
          <w:i/>
        </w:rPr>
        <w:t>Act</w:t>
      </w:r>
      <w:r w:rsidRPr="008B252F">
        <w:t xml:space="preserve"> means the </w:t>
      </w:r>
      <w:r w:rsidRPr="00BF233B">
        <w:rPr>
          <w:i/>
        </w:rPr>
        <w:t>Aged Care Act 1997</w:t>
      </w:r>
      <w:r w:rsidRPr="00E773CD">
        <w:t>.</w:t>
      </w:r>
      <w:r>
        <w:tab/>
      </w:r>
    </w:p>
    <w:p w:rsidR="0049464E" w:rsidRDefault="0049464E" w:rsidP="0049464E">
      <w:pPr>
        <w:pStyle w:val="definition"/>
        <w:jc w:val="left"/>
        <w:rPr>
          <w:spacing w:val="2"/>
        </w:rPr>
      </w:pPr>
      <w:r w:rsidRPr="008B252F">
        <w:rPr>
          <w:b/>
          <w:bCs/>
          <w:i/>
          <w:iCs/>
          <w:spacing w:val="2"/>
        </w:rPr>
        <w:t>minimum permissible asset value</w:t>
      </w:r>
      <w:r>
        <w:rPr>
          <w:bCs/>
          <w:iCs/>
          <w:spacing w:val="2"/>
        </w:rPr>
        <w:t xml:space="preserve">, for a supported resident, </w:t>
      </w:r>
      <w:r w:rsidRPr="008B252F">
        <w:rPr>
          <w:spacing w:val="2"/>
        </w:rPr>
        <w:t xml:space="preserve">has the </w:t>
      </w:r>
      <w:r w:rsidRPr="00566996">
        <w:t>same</w:t>
      </w:r>
      <w:r w:rsidRPr="008B252F">
        <w:rPr>
          <w:spacing w:val="2"/>
        </w:rPr>
        <w:t xml:space="preserve"> meaning as in subsection</w:t>
      </w:r>
      <w:r>
        <w:rPr>
          <w:spacing w:val="2"/>
        </w:rPr>
        <w:t> </w:t>
      </w:r>
      <w:r w:rsidRPr="008B252F">
        <w:rPr>
          <w:spacing w:val="2"/>
        </w:rPr>
        <w:t>57</w:t>
      </w:r>
      <w:r>
        <w:rPr>
          <w:spacing w:val="2"/>
        </w:rPr>
        <w:noBreakHyphen/>
      </w:r>
      <w:r w:rsidRPr="008B252F">
        <w:rPr>
          <w:spacing w:val="2"/>
        </w:rPr>
        <w:t>12(3) of the Act</w:t>
      </w:r>
      <w:r>
        <w:rPr>
          <w:spacing w:val="2"/>
        </w:rPr>
        <w:t xml:space="preserve"> for that resident</w:t>
      </w:r>
      <w:r w:rsidRPr="008B252F">
        <w:rPr>
          <w:spacing w:val="2"/>
        </w:rPr>
        <w:t>.</w:t>
      </w:r>
    </w:p>
    <w:p w:rsidR="0049464E" w:rsidRPr="00637371" w:rsidRDefault="0049464E" w:rsidP="0049464E">
      <w:pPr>
        <w:pStyle w:val="definition"/>
        <w:jc w:val="left"/>
        <w:rPr>
          <w:b/>
          <w:bCs/>
          <w:i/>
          <w:iCs/>
          <w:spacing w:val="2"/>
        </w:rPr>
      </w:pPr>
      <w:r w:rsidRPr="00637371">
        <w:rPr>
          <w:b/>
          <w:bCs/>
          <w:i/>
          <w:iCs/>
          <w:spacing w:val="2"/>
        </w:rPr>
        <w:t xml:space="preserve">new resident </w:t>
      </w:r>
      <w:r w:rsidRPr="00637371">
        <w:rPr>
          <w:spacing w:val="2"/>
        </w:rPr>
        <w:t xml:space="preserve">has the </w:t>
      </w:r>
      <w:r w:rsidRPr="00566996">
        <w:rPr>
          <w:spacing w:val="2"/>
        </w:rPr>
        <w:t>meaning</w:t>
      </w:r>
      <w:r w:rsidRPr="00637371">
        <w:rPr>
          <w:spacing w:val="2"/>
        </w:rPr>
        <w:t xml:space="preserve"> </w:t>
      </w:r>
      <w:r>
        <w:rPr>
          <w:spacing w:val="2"/>
        </w:rPr>
        <w:t>given by</w:t>
      </w:r>
      <w:r w:rsidRPr="00637371">
        <w:rPr>
          <w:spacing w:val="2"/>
        </w:rPr>
        <w:t xml:space="preserve"> section 21.11B of the Principles.</w:t>
      </w:r>
    </w:p>
    <w:p w:rsidR="0049464E" w:rsidRPr="00637371" w:rsidRDefault="0049464E" w:rsidP="0049464E">
      <w:pPr>
        <w:pStyle w:val="definition"/>
        <w:jc w:val="left"/>
        <w:rPr>
          <w:i/>
          <w:iCs/>
          <w:spacing w:val="2"/>
        </w:rPr>
      </w:pPr>
      <w:r w:rsidRPr="00637371">
        <w:rPr>
          <w:b/>
          <w:bCs/>
          <w:i/>
          <w:iCs/>
          <w:spacing w:val="2"/>
        </w:rPr>
        <w:t xml:space="preserve">Principles </w:t>
      </w:r>
      <w:r w:rsidRPr="00637371">
        <w:rPr>
          <w:spacing w:val="2"/>
        </w:rPr>
        <w:t xml:space="preserve">means the </w:t>
      </w:r>
      <w:r w:rsidRPr="00637371">
        <w:rPr>
          <w:i/>
          <w:iCs/>
          <w:spacing w:val="2"/>
        </w:rPr>
        <w:t>Residential Care Subsidy Principles 1997</w:t>
      </w:r>
      <w:r w:rsidRPr="00E773CD">
        <w:rPr>
          <w:iCs/>
          <w:spacing w:val="2"/>
        </w:rPr>
        <w:t>.</w:t>
      </w:r>
    </w:p>
    <w:p w:rsidR="0049464E" w:rsidRPr="00DE6FD1" w:rsidRDefault="0049464E" w:rsidP="0049464E">
      <w:pPr>
        <w:pStyle w:val="ZNote"/>
        <w:jc w:val="left"/>
        <w:rPr>
          <w:spacing w:val="4"/>
          <w:szCs w:val="20"/>
        </w:rPr>
      </w:pPr>
      <w:r w:rsidRPr="00B14A31">
        <w:rPr>
          <w:i/>
        </w:rPr>
        <w:t>Note</w:t>
      </w:r>
      <w:r w:rsidRPr="00566996">
        <w:t>   A number of expressions used in this Determination are defined in the Act, including</w:t>
      </w:r>
      <w:r w:rsidRPr="00DE6FD1">
        <w:rPr>
          <w:spacing w:val="4"/>
          <w:szCs w:val="20"/>
        </w:rPr>
        <w:t>:</w:t>
      </w:r>
    </w:p>
    <w:p w:rsidR="0049464E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>assisted resident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>concessional resident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residential care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residential care service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>
        <w:t xml:space="preserve">respite </w:t>
      </w:r>
      <w:r w:rsidRPr="00DE6FD1">
        <w:t>care</w:t>
      </w:r>
    </w:p>
    <w:p w:rsidR="0049464E" w:rsidRPr="00DE6FD1" w:rsidRDefault="0049464E" w:rsidP="0049464E">
      <w:pPr>
        <w:pStyle w:val="Notepara"/>
        <w:numPr>
          <w:ilvl w:val="0"/>
          <w:numId w:val="1"/>
        </w:numPr>
        <w:tabs>
          <w:tab w:val="clear" w:pos="1684"/>
          <w:tab w:val="num" w:pos="1440"/>
        </w:tabs>
        <w:ind w:left="1440" w:hanging="480"/>
        <w:jc w:val="left"/>
      </w:pPr>
      <w:r w:rsidRPr="00DE6FD1">
        <w:t>supported resident.</w:t>
      </w:r>
    </w:p>
    <w:p w:rsidR="0049464E" w:rsidRPr="00DE6FD1" w:rsidRDefault="0049464E" w:rsidP="0049464E">
      <w:pPr>
        <w:pStyle w:val="HR"/>
      </w:pPr>
      <w:r w:rsidRPr="00F27C68">
        <w:rPr>
          <w:rStyle w:val="CharSectno"/>
        </w:rPr>
        <w:t>5</w:t>
      </w:r>
      <w:r w:rsidRPr="00DE6FD1">
        <w:tab/>
        <w:t>Method to work out the amount of accommodation supplement</w:t>
      </w:r>
    </w:p>
    <w:p w:rsidR="0049464E" w:rsidRDefault="0049464E" w:rsidP="0049464E">
      <w:pPr>
        <w:pStyle w:val="ZR1"/>
        <w:spacing w:after="240"/>
        <w:jc w:val="left"/>
      </w:pPr>
      <w:r>
        <w:tab/>
      </w:r>
      <w:r>
        <w:tab/>
        <w:t>The amount of accommodation supplement payable for a supported resident is worked out in the following way.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7666"/>
      </w:tblGrid>
      <w:tr w:rsidR="0049464E" w:rsidTr="00715924">
        <w:trPr>
          <w:cantSplit/>
        </w:trPr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64E" w:rsidRPr="00CC2A95" w:rsidRDefault="0049464E" w:rsidP="00715924">
            <w:pPr>
              <w:pStyle w:val="TableText"/>
              <w:rPr>
                <w:szCs w:val="22"/>
              </w:rPr>
            </w:pPr>
            <w:r w:rsidRPr="00CC2A95">
              <w:rPr>
                <w:szCs w:val="22"/>
              </w:rPr>
              <w:t>Step 1</w:t>
            </w:r>
          </w:p>
        </w:tc>
        <w:tc>
          <w:tcPr>
            <w:tcW w:w="7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64E" w:rsidRPr="00CC2A95" w:rsidRDefault="0049464E" w:rsidP="00715924">
            <w:pPr>
              <w:pStyle w:val="TableText"/>
              <w:rPr>
                <w:szCs w:val="22"/>
              </w:rPr>
            </w:pPr>
            <w:r w:rsidRPr="00CC2A95">
              <w:rPr>
                <w:szCs w:val="22"/>
              </w:rPr>
              <w:t xml:space="preserve">For each day after </w:t>
            </w:r>
            <w:r w:rsidRPr="00AE1563">
              <w:rPr>
                <w:szCs w:val="22"/>
              </w:rPr>
              <w:t>19 March 2013</w:t>
            </w:r>
            <w:r w:rsidRPr="00CC2A95">
              <w:rPr>
                <w:szCs w:val="22"/>
              </w:rPr>
              <w:t xml:space="preserve">, the maximum rate of the accommodation supplement (the </w:t>
            </w:r>
            <w:r w:rsidRPr="00CC2A95">
              <w:rPr>
                <w:b/>
                <w:i/>
                <w:szCs w:val="22"/>
              </w:rPr>
              <w:t>applicable maximum rate</w:t>
            </w:r>
            <w:r w:rsidRPr="00CC2A95"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for a supported resident in a residential care service </w:t>
            </w:r>
            <w:r w:rsidRPr="00CC2A95">
              <w:rPr>
                <w:szCs w:val="22"/>
              </w:rPr>
              <w:t>is:</w:t>
            </w:r>
          </w:p>
          <w:p w:rsidR="0049464E" w:rsidRPr="00F63A43" w:rsidRDefault="0049464E" w:rsidP="00715924">
            <w:pPr>
              <w:pStyle w:val="TableP1a"/>
              <w:rPr>
                <w:szCs w:val="22"/>
              </w:rPr>
            </w:pPr>
            <w:r w:rsidRPr="00CC2A95">
              <w:rPr>
                <w:szCs w:val="22"/>
              </w:rPr>
              <w:tab/>
              <w:t>(a)</w:t>
            </w:r>
            <w:r w:rsidRPr="00CC2A95">
              <w:rPr>
                <w:szCs w:val="22"/>
              </w:rPr>
              <w:tab/>
              <w:t xml:space="preserve">if on the day the service meets the building requirements mentioned in section 21.11B of the Principles </w:t>
            </w:r>
            <w:r w:rsidRPr="00F63A43">
              <w:rPr>
                <w:szCs w:val="22"/>
              </w:rPr>
              <w:t>— $</w:t>
            </w:r>
            <w:r w:rsidR="00F63A43" w:rsidRPr="00F63A43">
              <w:rPr>
                <w:szCs w:val="22"/>
              </w:rPr>
              <w:t>33.29</w:t>
            </w:r>
            <w:r w:rsidRPr="00F63A43">
              <w:rPr>
                <w:szCs w:val="22"/>
              </w:rPr>
              <w:t>; or</w:t>
            </w:r>
          </w:p>
          <w:p w:rsidR="0049464E" w:rsidRPr="00CC2A95" w:rsidRDefault="0049464E" w:rsidP="00715924">
            <w:pPr>
              <w:pStyle w:val="TableP1a"/>
              <w:rPr>
                <w:szCs w:val="22"/>
              </w:rPr>
            </w:pPr>
            <w:r w:rsidRPr="00F63A43">
              <w:rPr>
                <w:szCs w:val="22"/>
              </w:rPr>
              <w:tab/>
              <w:t>(b)</w:t>
            </w:r>
            <w:r w:rsidRPr="00F63A43">
              <w:rPr>
                <w:szCs w:val="22"/>
              </w:rPr>
              <w:tab/>
              <w:t>if on the day the service does not meet those requirements — $2</w:t>
            </w:r>
            <w:r w:rsidR="00F63A43" w:rsidRPr="00F63A43">
              <w:rPr>
                <w:szCs w:val="22"/>
              </w:rPr>
              <w:t>7.98</w:t>
            </w:r>
            <w:r w:rsidRPr="00F63A43">
              <w:rPr>
                <w:szCs w:val="22"/>
              </w:rPr>
              <w:t>.</w:t>
            </w:r>
          </w:p>
        </w:tc>
      </w:tr>
      <w:tr w:rsidR="0049464E" w:rsidTr="00715924">
        <w:trPr>
          <w:cantSplit/>
        </w:trPr>
        <w:tc>
          <w:tcPr>
            <w:tcW w:w="862" w:type="dxa"/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Step 2</w:t>
            </w:r>
          </w:p>
        </w:tc>
        <w:tc>
          <w:tcPr>
            <w:tcW w:w="7666" w:type="dxa"/>
            <w:shd w:val="clear" w:color="auto" w:fill="auto"/>
          </w:tcPr>
          <w:p w:rsidR="0049464E" w:rsidRDefault="0049464E" w:rsidP="007159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The notional accommodation supplement payable is the applicable maximum rate if:</w:t>
            </w:r>
          </w:p>
          <w:p w:rsidR="0049464E" w:rsidRDefault="0049464E" w:rsidP="00715924">
            <w:pPr>
              <w:pStyle w:val="TableP1a"/>
            </w:pPr>
            <w:r>
              <w:tab/>
              <w:t>(a)</w:t>
            </w:r>
            <w:r>
              <w:tab/>
              <w:t xml:space="preserve">a determination mentioned in </w:t>
            </w:r>
            <w:r w:rsidRPr="003704C1">
              <w:t>paragraph 57-14(1)(a) or 57A-9(1)(a)</w:t>
            </w:r>
            <w:r>
              <w:t xml:space="preserve"> of the Act applies to the supported resident; or</w:t>
            </w:r>
          </w:p>
          <w:p w:rsidR="0049464E" w:rsidRDefault="0049464E" w:rsidP="00715924">
            <w:pPr>
              <w:pStyle w:val="TableP1a"/>
            </w:pPr>
            <w:r>
              <w:tab/>
              <w:t>(b)</w:t>
            </w:r>
            <w:r>
              <w:tab/>
              <w:t>the value of the assets of the supported resident is less than the minimum permissible asset value.</w:t>
            </w:r>
          </w:p>
        </w:tc>
      </w:tr>
      <w:tr w:rsidR="0049464E" w:rsidTr="00715924">
        <w:trPr>
          <w:cantSplit/>
        </w:trPr>
        <w:tc>
          <w:tcPr>
            <w:tcW w:w="862" w:type="dxa"/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Step 3</w:t>
            </w:r>
          </w:p>
        </w:tc>
        <w:tc>
          <w:tcPr>
            <w:tcW w:w="7666" w:type="dxa"/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If Step 2 does not apply, the notional accommodation supplement payable for the supported resident is:</w:t>
            </w:r>
          </w:p>
          <w:p w:rsidR="0049464E" w:rsidRDefault="0049464E" w:rsidP="00715924">
            <w:pPr>
              <w:pStyle w:val="Formula"/>
              <w:spacing w:before="60" w:after="60"/>
              <w:ind w:right="992"/>
              <w:jc w:val="left"/>
            </w:pPr>
            <w:r w:rsidRPr="00CB436E">
              <w:rPr>
                <w:position w:val="-24"/>
              </w:rPr>
              <w:object w:dxaOrig="2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30.75pt" o:ole="">
                  <v:imagedata r:id="rId9" o:title=""/>
                </v:shape>
                <o:OLEObject Type="Embed" ProgID="Equation.DSMT4" ShapeID="_x0000_i1025" DrawAspect="Content" ObjectID="_1424766980" r:id="rId10"/>
              </w:object>
            </w:r>
          </w:p>
          <w:p w:rsidR="0049464E" w:rsidRDefault="0049464E" w:rsidP="00715924">
            <w:pPr>
              <w:pStyle w:val="TableText"/>
            </w:pPr>
            <w:r>
              <w:t>where:</w:t>
            </w:r>
          </w:p>
          <w:p w:rsidR="0049464E" w:rsidRDefault="0049464E" w:rsidP="00715924">
            <w:pPr>
              <w:pStyle w:val="definition"/>
              <w:ind w:left="0"/>
              <w:jc w:val="left"/>
            </w:pPr>
            <w:r>
              <w:rPr>
                <w:b/>
                <w:i/>
              </w:rPr>
              <w:t>A</w:t>
            </w:r>
            <w:r>
              <w:t xml:space="preserve"> is:</w:t>
            </w:r>
          </w:p>
          <w:p w:rsidR="0049464E" w:rsidRDefault="0049464E" w:rsidP="00715924">
            <w:pPr>
              <w:pStyle w:val="TableP1a"/>
              <w:spacing w:before="60"/>
            </w:pPr>
            <w:r>
              <w:tab/>
              <w:t>(a)</w:t>
            </w:r>
            <w:r>
              <w:tab/>
              <w:t>if the Secretary makes a determination about the supported resident under paragraph 57-14(1)(b) of the Act — the sum of:</w:t>
            </w:r>
          </w:p>
          <w:p w:rsidR="0049464E" w:rsidRDefault="0049464E" w:rsidP="00715924">
            <w:pPr>
              <w:pStyle w:val="TableP2i"/>
            </w:pPr>
            <w:r>
              <w:tab/>
              <w:t>(i)</w:t>
            </w:r>
            <w:r>
              <w:tab/>
              <w:t>the maximum amount of bond that the Secretary has determined may be charged; and</w:t>
            </w:r>
          </w:p>
        </w:tc>
      </w:tr>
      <w:tr w:rsidR="0049464E" w:rsidTr="00715924">
        <w:trPr>
          <w:cantSplit/>
        </w:trPr>
        <w:tc>
          <w:tcPr>
            <w:tcW w:w="862" w:type="dxa"/>
            <w:shd w:val="clear" w:color="auto" w:fill="auto"/>
          </w:tcPr>
          <w:p w:rsidR="0049464E" w:rsidRDefault="0049464E" w:rsidP="00715924">
            <w:pPr>
              <w:pStyle w:val="TableText"/>
            </w:pPr>
          </w:p>
        </w:tc>
        <w:tc>
          <w:tcPr>
            <w:tcW w:w="7666" w:type="dxa"/>
            <w:shd w:val="clear" w:color="auto" w:fill="auto"/>
          </w:tcPr>
          <w:p w:rsidR="0049464E" w:rsidRDefault="0049464E" w:rsidP="00715924">
            <w:pPr>
              <w:pStyle w:val="TableP2i"/>
            </w:pPr>
            <w:r>
              <w:tab/>
              <w:t>(ii)</w:t>
            </w:r>
            <w:r>
              <w:tab/>
              <w:t>the minimum permissible asset value; or</w:t>
            </w:r>
          </w:p>
          <w:p w:rsidR="0049464E" w:rsidRDefault="0049464E" w:rsidP="00715924">
            <w:pPr>
              <w:pStyle w:val="TableP1a"/>
            </w:pPr>
            <w:r>
              <w:tab/>
              <w:t>(b)</w:t>
            </w:r>
            <w:r>
              <w:tab/>
              <w:t>i</w:t>
            </w:r>
            <w:r w:rsidRPr="00A75794">
              <w:t xml:space="preserve">f the Secretary makes a determination about </w:t>
            </w:r>
            <w:r>
              <w:t>the</w:t>
            </w:r>
            <w:r w:rsidRPr="00A75794">
              <w:t xml:space="preserve"> supported resident under paragraph 57A-9(1)(b)</w:t>
            </w:r>
            <w:r>
              <w:t xml:space="preserve"> of the Act — the sum of:</w:t>
            </w:r>
          </w:p>
          <w:p w:rsidR="0049464E" w:rsidRDefault="0049464E" w:rsidP="00715924">
            <w:pPr>
              <w:pStyle w:val="TableP2i"/>
            </w:pPr>
            <w:r>
              <w:tab/>
              <w:t>(i)</w:t>
            </w:r>
            <w:r>
              <w:tab/>
              <w:t>the maximum amount of charge that the Secretary has determined multiplied by 2080; and</w:t>
            </w:r>
          </w:p>
          <w:p w:rsidR="0049464E" w:rsidRDefault="0049464E" w:rsidP="00715924">
            <w:pPr>
              <w:pStyle w:val="TableP2i"/>
            </w:pPr>
            <w:r>
              <w:tab/>
              <w:t>(ii)</w:t>
            </w:r>
            <w:r>
              <w:tab/>
              <w:t>the minimum permissible asset value; or</w:t>
            </w:r>
          </w:p>
          <w:p w:rsidR="0049464E" w:rsidRPr="001029C4" w:rsidRDefault="0049464E" w:rsidP="00715924">
            <w:pPr>
              <w:pStyle w:val="TableP1a"/>
            </w:pPr>
            <w:r>
              <w:tab/>
              <w:t>(c)</w:t>
            </w:r>
            <w:r>
              <w:tab/>
              <w:t xml:space="preserve">in any other case — </w:t>
            </w:r>
            <w:r w:rsidRPr="001029C4">
              <w:t xml:space="preserve">the value of the </w:t>
            </w:r>
            <w:r>
              <w:t>supported resident’s</w:t>
            </w:r>
            <w:r w:rsidRPr="001029C4">
              <w:t xml:space="preserve"> assets at the time when he or she entered the residential care service or at another time specified in the Principles for paragraph 44</w:t>
            </w:r>
            <w:r>
              <w:t>-</w:t>
            </w:r>
            <w:r w:rsidRPr="001029C4">
              <w:t>5B(1)(c) of the Act.</w:t>
            </w:r>
          </w:p>
          <w:p w:rsidR="0049464E" w:rsidRDefault="0049464E" w:rsidP="00715924">
            <w:pPr>
              <w:pStyle w:val="definition"/>
              <w:ind w:left="0"/>
              <w:jc w:val="left"/>
            </w:pPr>
            <w:r>
              <w:rPr>
                <w:b/>
                <w:i/>
              </w:rPr>
              <w:t>AMR</w:t>
            </w:r>
            <w:r>
              <w:t xml:space="preserve"> is the applicable maximum rate of accommodation supplement for the supported resident.</w:t>
            </w:r>
          </w:p>
          <w:p w:rsidR="0049464E" w:rsidRDefault="0049464E" w:rsidP="00715924">
            <w:pPr>
              <w:pStyle w:val="definition"/>
              <w:ind w:left="0"/>
              <w:jc w:val="left"/>
            </w:pPr>
            <w:r>
              <w:rPr>
                <w:b/>
                <w:i/>
              </w:rPr>
              <w:t>NAS</w:t>
            </w:r>
            <w:r>
              <w:t xml:space="preserve"> is the notional accommodation supplement.</w:t>
            </w:r>
          </w:p>
          <w:p w:rsidR="0049464E" w:rsidRDefault="0049464E" w:rsidP="00715924">
            <w:pPr>
              <w:pStyle w:val="TableText"/>
            </w:pPr>
            <w:r>
              <w:rPr>
                <w:b/>
                <w:i/>
              </w:rPr>
              <w:t>T</w:t>
            </w:r>
            <w:r>
              <w:t xml:space="preserve"> (threshold) is the minimum permissible asset value.</w:t>
            </w:r>
          </w:p>
        </w:tc>
      </w:tr>
      <w:tr w:rsidR="0049464E" w:rsidTr="00715924">
        <w:trPr>
          <w:cantSplit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464E" w:rsidRDefault="0049464E" w:rsidP="00715924">
            <w:pPr>
              <w:pStyle w:val="TableText"/>
            </w:pPr>
            <w:r>
              <w:t>Step 4</w:t>
            </w:r>
          </w:p>
        </w:tc>
        <w:tc>
          <w:tcPr>
            <w:tcW w:w="7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464E" w:rsidRDefault="0049464E" w:rsidP="007159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The accommodation supplement payable for the supported resident will be:</w:t>
            </w:r>
          </w:p>
          <w:p w:rsidR="0049464E" w:rsidRDefault="0049464E" w:rsidP="00715924">
            <w:pPr>
              <w:pStyle w:val="TableP1a"/>
              <w:rPr>
                <w:szCs w:val="22"/>
              </w:rPr>
            </w:pPr>
            <w:r>
              <w:rPr>
                <w:szCs w:val="22"/>
              </w:rPr>
              <w:tab/>
              <w:t>(a)</w:t>
            </w:r>
            <w:r>
              <w:rPr>
                <w:szCs w:val="22"/>
              </w:rPr>
              <w:tab/>
              <w:t xml:space="preserve">equal to the notional accommodation supplement payable for the supported resident if, on a day for which accommodation supplement is payable, either of the following (the </w:t>
            </w:r>
            <w:r>
              <w:rPr>
                <w:b/>
                <w:i/>
                <w:szCs w:val="22"/>
              </w:rPr>
              <w:t>specified circumstances</w:t>
            </w:r>
            <w:r>
              <w:rPr>
                <w:szCs w:val="22"/>
              </w:rPr>
              <w:t>) apply:</w:t>
            </w:r>
          </w:p>
          <w:p w:rsidR="0049464E" w:rsidRDefault="0049464E" w:rsidP="00715924">
            <w:pPr>
              <w:pStyle w:val="TableP2i"/>
              <w:rPr>
                <w:szCs w:val="22"/>
              </w:rPr>
            </w:pPr>
            <w:r>
              <w:rPr>
                <w:szCs w:val="22"/>
              </w:rPr>
              <w:tab/>
              <w:t>(i)</w:t>
            </w:r>
            <w:r>
              <w:rPr>
                <w:szCs w:val="22"/>
              </w:rPr>
              <w:tab/>
              <w:t>more than 40% of the residents to whom the service provides residential care (other than respite care), who are both post-2008 reform residents and new residents, are supported residents;</w:t>
            </w:r>
          </w:p>
          <w:p w:rsidR="0049464E" w:rsidRDefault="0049464E" w:rsidP="00715924">
            <w:pPr>
              <w:pStyle w:val="TableP2i"/>
              <w:rPr>
                <w:szCs w:val="22"/>
              </w:rPr>
            </w:pPr>
            <w:r>
              <w:rPr>
                <w:szCs w:val="22"/>
              </w:rPr>
              <w:tab/>
              <w:t>(ii)</w:t>
            </w:r>
            <w:r>
              <w:rPr>
                <w:szCs w:val="22"/>
              </w:rPr>
              <w:tab/>
              <w:t>more than 40% of the new residents to whom the service provides residential care (other than respite care) are supported residents, concessional residents or assisted residents; or</w:t>
            </w:r>
          </w:p>
          <w:p w:rsidR="0049464E" w:rsidRDefault="0049464E" w:rsidP="00715924">
            <w:pPr>
              <w:pStyle w:val="TableP1a"/>
            </w:pPr>
            <w:r>
              <w:rPr>
                <w:szCs w:val="22"/>
              </w:rPr>
              <w:tab/>
              <w:t>(b)</w:t>
            </w:r>
            <w:r>
              <w:rPr>
                <w:szCs w:val="22"/>
              </w:rPr>
              <w:tab/>
              <w:t>equal to 75% of the notional accommodation supplement payable for the supported resident if neither of the specified circumstances apply.</w:t>
            </w:r>
          </w:p>
        </w:tc>
      </w:tr>
    </w:tbl>
    <w:p w:rsidR="0049464E" w:rsidRDefault="0049464E" w:rsidP="0049464E">
      <w:pPr>
        <w:pStyle w:val="Note"/>
        <w:jc w:val="left"/>
        <w:rPr>
          <w:spacing w:val="4"/>
          <w:szCs w:val="20"/>
        </w:rPr>
      </w:pPr>
      <w:r>
        <w:rPr>
          <w:i/>
        </w:rPr>
        <w:t>Note</w:t>
      </w:r>
      <w:r>
        <w:t>   If the value of the person’s assets exceeds the maximum asset threshold determined under paragraph 44</w:t>
      </w:r>
      <w:r>
        <w:noBreakHyphen/>
        <w:t>5B(1)(c) of the Act, the person will not be eligible for an accommodation supplement because he or she will not be a supported resident (unless there is a determination in force under section 57-14</w:t>
      </w:r>
      <w:r w:rsidR="006328B6">
        <w:t xml:space="preserve"> </w:t>
      </w:r>
      <w:r>
        <w:t>or 57A-9 in respect of the person and the person is a post</w:t>
      </w:r>
      <w:r>
        <w:noBreakHyphen/>
        <w:t>2008 reform resident — see subsection 44</w:t>
      </w:r>
      <w:r>
        <w:noBreakHyphen/>
        <w:t>5B(2) of the Act)</w:t>
      </w:r>
      <w:r>
        <w:rPr>
          <w:spacing w:val="4"/>
          <w:szCs w:val="20"/>
        </w:rPr>
        <w:t>.</w:t>
      </w:r>
    </w:p>
    <w:p w:rsidR="0049464E" w:rsidRDefault="0049464E" w:rsidP="0049464E">
      <w:pPr>
        <w:pStyle w:val="Note"/>
        <w:rPr>
          <w:spacing w:val="4"/>
          <w:szCs w:val="20"/>
        </w:rPr>
      </w:pPr>
    </w:p>
    <w:p w:rsidR="0049464E" w:rsidRDefault="0049464E" w:rsidP="0049464E">
      <w:pPr>
        <w:pStyle w:val="Note"/>
        <w:rPr>
          <w:spacing w:val="4"/>
          <w:szCs w:val="20"/>
        </w:rPr>
      </w:pPr>
    </w:p>
    <w:p w:rsidR="0049464E" w:rsidRPr="00DE6FD1" w:rsidRDefault="0049464E" w:rsidP="0049464E">
      <w:pPr>
        <w:keepNext/>
        <w:pBdr>
          <w:top w:val="single" w:sz="4" w:space="1" w:color="auto"/>
        </w:pBdr>
        <w:spacing w:before="480"/>
        <w:rPr>
          <w:rFonts w:ascii="Arial" w:hAnsi="Arial" w:cs="Arial"/>
          <w:b/>
          <w:bCs/>
          <w:spacing w:val="8"/>
        </w:rPr>
      </w:pPr>
      <w:r w:rsidRPr="00DE6FD1">
        <w:rPr>
          <w:rFonts w:ascii="Arial" w:hAnsi="Arial" w:cs="Arial"/>
          <w:b/>
          <w:bCs/>
          <w:spacing w:val="8"/>
        </w:rPr>
        <w:t>Note</w:t>
      </w:r>
    </w:p>
    <w:p w:rsidR="0049464E" w:rsidRDefault="0049464E" w:rsidP="0049464E">
      <w:pPr>
        <w:tabs>
          <w:tab w:val="left" w:pos="7668"/>
        </w:tabs>
        <w:ind w:left="567" w:right="215" w:hanging="567"/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>1.</w:t>
      </w:r>
      <w:r>
        <w:rPr>
          <w:spacing w:val="2"/>
          <w:sz w:val="22"/>
          <w:szCs w:val="22"/>
        </w:rPr>
        <w:tab/>
      </w:r>
      <w:r w:rsidRPr="00DE6FD1">
        <w:rPr>
          <w:sz w:val="22"/>
          <w:szCs w:val="22"/>
        </w:rPr>
        <w:t>All legislative instruments and compilations are registered on the Federal Register of</w:t>
      </w:r>
      <w:r w:rsidRPr="00DE6FD1">
        <w:rPr>
          <w:spacing w:val="2"/>
          <w:sz w:val="22"/>
          <w:szCs w:val="22"/>
        </w:rPr>
        <w:t xml:space="preserve"> Legislative Instruments kept under the </w:t>
      </w:r>
      <w:r w:rsidRPr="00DE6FD1">
        <w:rPr>
          <w:i/>
          <w:iCs/>
          <w:spacing w:val="4"/>
          <w:sz w:val="22"/>
          <w:szCs w:val="22"/>
        </w:rPr>
        <w:t>Legislative Instruments Act 2003</w:t>
      </w:r>
      <w:r w:rsidRPr="00E773CD">
        <w:rPr>
          <w:iCs/>
          <w:spacing w:val="4"/>
          <w:sz w:val="22"/>
          <w:szCs w:val="22"/>
        </w:rPr>
        <w:t>.</w:t>
      </w:r>
      <w:r w:rsidRPr="00DE6FD1">
        <w:rPr>
          <w:i/>
          <w:iCs/>
          <w:spacing w:val="4"/>
          <w:sz w:val="22"/>
          <w:szCs w:val="22"/>
        </w:rPr>
        <w:t xml:space="preserve"> </w:t>
      </w:r>
      <w:r w:rsidRPr="00DE6FD1">
        <w:rPr>
          <w:spacing w:val="2"/>
          <w:sz w:val="22"/>
          <w:szCs w:val="22"/>
        </w:rPr>
        <w:t xml:space="preserve">See </w:t>
      </w:r>
      <w:bookmarkStart w:id="0" w:name="_GoBack"/>
      <w:bookmarkEnd w:id="0"/>
      <w:r w:rsidR="00446085">
        <w:rPr>
          <w:spacing w:val="2"/>
          <w:sz w:val="22"/>
          <w:szCs w:val="22"/>
        </w:rPr>
        <w:fldChar w:fldCharType="begin"/>
      </w:r>
      <w:r w:rsidR="00446085">
        <w:rPr>
          <w:spacing w:val="2"/>
          <w:sz w:val="22"/>
          <w:szCs w:val="22"/>
        </w:rPr>
        <w:instrText xml:space="preserve"> HYPERLINK "</w:instrText>
      </w:r>
      <w:r w:rsidR="00446085" w:rsidRPr="00446085">
        <w:rPr>
          <w:spacing w:val="2"/>
          <w:sz w:val="22"/>
          <w:szCs w:val="22"/>
        </w:rPr>
        <w:instrText>http://www.comlaw.gov.au</w:instrText>
      </w:r>
      <w:r w:rsidR="00446085">
        <w:rPr>
          <w:spacing w:val="2"/>
          <w:sz w:val="22"/>
          <w:szCs w:val="22"/>
        </w:rPr>
        <w:instrText xml:space="preserve">" </w:instrText>
      </w:r>
      <w:r w:rsidR="00446085">
        <w:rPr>
          <w:spacing w:val="2"/>
          <w:sz w:val="22"/>
          <w:szCs w:val="22"/>
        </w:rPr>
        <w:fldChar w:fldCharType="separate"/>
      </w:r>
      <w:r w:rsidR="00446085" w:rsidRPr="00334E15">
        <w:rPr>
          <w:rStyle w:val="Hyperlink"/>
          <w:spacing w:val="2"/>
          <w:sz w:val="22"/>
          <w:szCs w:val="22"/>
        </w:rPr>
        <w:t>http://www.comlaw.gov.au</w:t>
      </w:r>
      <w:r w:rsidR="00446085">
        <w:rPr>
          <w:spacing w:val="2"/>
          <w:sz w:val="22"/>
          <w:szCs w:val="22"/>
        </w:rPr>
        <w:fldChar w:fldCharType="end"/>
      </w:r>
      <w:r w:rsidRPr="00196318">
        <w:rPr>
          <w:spacing w:val="2"/>
          <w:sz w:val="22"/>
          <w:szCs w:val="22"/>
          <w:u w:val="single"/>
        </w:rPr>
        <w:t>.</w:t>
      </w:r>
    </w:p>
    <w:p w:rsidR="0049464E" w:rsidRDefault="0049464E" w:rsidP="0049464E"/>
    <w:p w:rsidR="0049464E" w:rsidRDefault="0049464E" w:rsidP="0049464E"/>
    <w:p w:rsidR="007F4E20" w:rsidRDefault="007F4E20"/>
    <w:sectPr w:rsidR="007F4E20" w:rsidSect="006C63D3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39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E" w:rsidRDefault="00F63A43">
      <w:r>
        <w:separator/>
      </w:r>
    </w:p>
  </w:endnote>
  <w:endnote w:type="continuationSeparator" w:id="0">
    <w:p w:rsidR="00CC573E" w:rsidRDefault="00F6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71"/>
      <w:gridCol w:w="7858"/>
    </w:tblGrid>
    <w:tr w:rsidR="00EA34E0" w:rsidTr="00AD4015">
      <w:tc>
        <w:tcPr>
          <w:tcW w:w="671" w:type="dxa"/>
          <w:shd w:val="clear" w:color="auto" w:fill="auto"/>
        </w:tcPr>
        <w:p w:rsidR="00EA34E0" w:rsidRPr="00AD4015" w:rsidRDefault="006328B6">
          <w:pPr>
            <w:pStyle w:val="Footer"/>
            <w:rPr>
              <w:i w:val="0"/>
            </w:rPr>
          </w:pPr>
          <w:r w:rsidRPr="00AD4015">
            <w:rPr>
              <w:rStyle w:val="PageNumber"/>
              <w:i w:val="0"/>
            </w:rPr>
            <w:fldChar w:fldCharType="begin"/>
          </w:r>
          <w:r w:rsidRPr="00AD4015">
            <w:rPr>
              <w:rStyle w:val="PageNumber"/>
            </w:rPr>
            <w:instrText xml:space="preserve"> PAGE </w:instrText>
          </w:r>
          <w:r w:rsidRPr="00AD4015">
            <w:rPr>
              <w:rStyle w:val="PageNumber"/>
              <w:i w:val="0"/>
            </w:rPr>
            <w:fldChar w:fldCharType="separate"/>
          </w:r>
          <w:r w:rsidRPr="00AD4015">
            <w:rPr>
              <w:rStyle w:val="PageNumber"/>
              <w:noProof/>
            </w:rPr>
            <w:t>2</w:t>
          </w:r>
          <w:r w:rsidRPr="00AD4015">
            <w:rPr>
              <w:rStyle w:val="PageNumber"/>
              <w:i w:val="0"/>
            </w:rPr>
            <w:fldChar w:fldCharType="end"/>
          </w:r>
        </w:p>
      </w:tc>
      <w:tc>
        <w:tcPr>
          <w:tcW w:w="7858" w:type="dxa"/>
          <w:shd w:val="clear" w:color="auto" w:fill="auto"/>
        </w:tcPr>
        <w:p w:rsidR="00EA34E0" w:rsidRPr="000242C1" w:rsidRDefault="006328B6" w:rsidP="006C63D3">
          <w:pPr>
            <w:pStyle w:val="Footer"/>
          </w:pPr>
          <w:r w:rsidRPr="000242C1">
            <w:t xml:space="preserve">Aged Care (Residential </w:t>
          </w:r>
          <w:r>
            <w:t>C</w:t>
          </w:r>
          <w:r w:rsidRPr="000242C1">
            <w:t xml:space="preserve">are </w:t>
          </w:r>
          <w:r>
            <w:t>S</w:t>
          </w:r>
          <w:r w:rsidRPr="000242C1">
            <w:t xml:space="preserve">ubsidy — </w:t>
          </w:r>
          <w:r>
            <w:t>A</w:t>
          </w:r>
          <w:r w:rsidRPr="000242C1">
            <w:t xml:space="preserve">mount of </w:t>
          </w:r>
          <w:r>
            <w:t>A</w:t>
          </w:r>
          <w:r w:rsidRPr="000242C1">
            <w:t xml:space="preserve">ccommodation </w:t>
          </w:r>
          <w:r>
            <w:t>S</w:t>
          </w:r>
          <w:r w:rsidRPr="000242C1">
            <w:t>upplement) Determination 201</w:t>
          </w:r>
          <w:r>
            <w:t>1</w:t>
          </w:r>
          <w:r w:rsidRPr="000242C1">
            <w:t xml:space="preserve"> (No. </w:t>
          </w:r>
          <w:r>
            <w:t>2</w:t>
          </w:r>
          <w:r w:rsidRPr="000242C1">
            <w:t>)</w:t>
          </w:r>
        </w:p>
      </w:tc>
    </w:tr>
  </w:tbl>
  <w:p w:rsidR="00EA34E0" w:rsidRDefault="00446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848"/>
      <w:gridCol w:w="681"/>
    </w:tblGrid>
    <w:tr w:rsidR="00EA34E0" w:rsidTr="00AD4015">
      <w:tc>
        <w:tcPr>
          <w:tcW w:w="7848" w:type="dxa"/>
          <w:shd w:val="clear" w:color="auto" w:fill="auto"/>
        </w:tcPr>
        <w:p w:rsidR="00EA34E0" w:rsidRPr="000242C1" w:rsidRDefault="006328B6" w:rsidP="000650CC">
          <w:pPr>
            <w:pStyle w:val="Footer"/>
          </w:pPr>
          <w:r w:rsidRPr="000242C1">
            <w:t>Aged Care (Residential Care Subsidy — Amount of Accommodation Supplement) Determination 201</w:t>
          </w:r>
          <w:r>
            <w:t>3</w:t>
          </w:r>
          <w:r w:rsidRPr="000242C1">
            <w:t xml:space="preserve"> (No. </w:t>
          </w:r>
          <w:r>
            <w:t>1</w:t>
          </w:r>
          <w:r w:rsidRPr="000242C1">
            <w:t>)</w:t>
          </w:r>
        </w:p>
      </w:tc>
      <w:tc>
        <w:tcPr>
          <w:tcW w:w="681" w:type="dxa"/>
          <w:shd w:val="clear" w:color="auto" w:fill="auto"/>
        </w:tcPr>
        <w:p w:rsidR="00EA34E0" w:rsidRPr="00AD4015" w:rsidRDefault="006328B6">
          <w:pPr>
            <w:pStyle w:val="Footer"/>
            <w:rPr>
              <w:i w:val="0"/>
            </w:rPr>
          </w:pPr>
          <w:r w:rsidRPr="00AD4015">
            <w:rPr>
              <w:rStyle w:val="PageNumber"/>
              <w:i w:val="0"/>
            </w:rPr>
            <w:fldChar w:fldCharType="begin"/>
          </w:r>
          <w:r w:rsidRPr="00AD4015">
            <w:rPr>
              <w:rStyle w:val="PageNumber"/>
            </w:rPr>
            <w:instrText xml:space="preserve"> PAGE </w:instrText>
          </w:r>
          <w:r w:rsidRPr="00AD4015">
            <w:rPr>
              <w:rStyle w:val="PageNumber"/>
              <w:i w:val="0"/>
            </w:rPr>
            <w:fldChar w:fldCharType="separate"/>
          </w:r>
          <w:r w:rsidR="00446085">
            <w:rPr>
              <w:rStyle w:val="PageNumber"/>
              <w:noProof/>
            </w:rPr>
            <w:t>3</w:t>
          </w:r>
          <w:r w:rsidRPr="00AD4015">
            <w:rPr>
              <w:rStyle w:val="PageNumber"/>
              <w:i w:val="0"/>
            </w:rPr>
            <w:fldChar w:fldCharType="end"/>
          </w:r>
        </w:p>
      </w:tc>
    </w:tr>
  </w:tbl>
  <w:p w:rsidR="00EA34E0" w:rsidRDefault="00446085" w:rsidP="006C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E" w:rsidRDefault="00F63A43">
      <w:r>
        <w:separator/>
      </w:r>
    </w:p>
  </w:footnote>
  <w:footnote w:type="continuationSeparator" w:id="0">
    <w:p w:rsidR="00CC573E" w:rsidRDefault="00F6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6981"/>
    </w:tblGrid>
    <w:tr w:rsidR="00EA34E0" w:rsidRPr="00AD4015" w:rsidTr="00AD4015">
      <w:tc>
        <w:tcPr>
          <w:tcW w:w="1548" w:type="dxa"/>
          <w:shd w:val="clear" w:color="auto" w:fill="auto"/>
        </w:tcPr>
        <w:p w:rsidR="00EA34E0" w:rsidRPr="00AD4015" w:rsidRDefault="006328B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AD4015">
            <w:rPr>
              <w:rFonts w:ascii="Arial" w:hAnsi="Arial" w:cs="Arial"/>
              <w:b/>
              <w:sz w:val="20"/>
              <w:szCs w:val="20"/>
            </w:rPr>
            <w:t>Section 4</w:t>
          </w:r>
        </w:p>
      </w:tc>
      <w:tc>
        <w:tcPr>
          <w:tcW w:w="6981" w:type="dxa"/>
          <w:shd w:val="clear" w:color="auto" w:fill="auto"/>
        </w:tcPr>
        <w:p w:rsidR="00EA34E0" w:rsidRPr="00AD4015" w:rsidRDefault="0044608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:rsidR="00EA34E0" w:rsidRPr="00AD4015" w:rsidRDefault="0044608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EA34E0" w:rsidRDefault="00446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68"/>
      <w:gridCol w:w="1761"/>
    </w:tblGrid>
    <w:tr w:rsidR="00EA34E0" w:rsidTr="00AD4015">
      <w:tc>
        <w:tcPr>
          <w:tcW w:w="6768" w:type="dxa"/>
          <w:shd w:val="clear" w:color="auto" w:fill="auto"/>
        </w:tcPr>
        <w:p w:rsidR="00EA34E0" w:rsidRPr="00AD4015" w:rsidRDefault="00446085" w:rsidP="00AD4015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61" w:type="dxa"/>
          <w:shd w:val="clear" w:color="auto" w:fill="auto"/>
        </w:tcPr>
        <w:p w:rsidR="00EA34E0" w:rsidRPr="00AD4015" w:rsidRDefault="006328B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D4015">
            <w:rPr>
              <w:rFonts w:ascii="Arial" w:hAnsi="Arial" w:cs="Arial"/>
              <w:b/>
              <w:sz w:val="20"/>
              <w:szCs w:val="20"/>
            </w:rPr>
            <w:t>Section 5</w:t>
          </w:r>
        </w:p>
        <w:p w:rsidR="00EA34E0" w:rsidRPr="00AD4015" w:rsidRDefault="0044608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EA34E0" w:rsidRDefault="00446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FC0"/>
    <w:multiLevelType w:val="hybridMultilevel"/>
    <w:tmpl w:val="E0E0B0D8"/>
    <w:lvl w:ilvl="0" w:tplc="0C0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4E"/>
    <w:rsid w:val="00446085"/>
    <w:rsid w:val="0049464E"/>
    <w:rsid w:val="004A017D"/>
    <w:rsid w:val="006328B6"/>
    <w:rsid w:val="007F4E20"/>
    <w:rsid w:val="00CC573E"/>
    <w:rsid w:val="00EA26C6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464E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49464E"/>
    <w:rPr>
      <w:rFonts w:ascii="Arial" w:eastAsia="Times New Roman" w:hAnsi="Arial" w:cs="Times New Roman"/>
      <w:i/>
      <w:sz w:val="18"/>
      <w:szCs w:val="18"/>
      <w:lang w:eastAsia="en-AU"/>
    </w:rPr>
  </w:style>
  <w:style w:type="character" w:styleId="PageNumber">
    <w:name w:val="page number"/>
    <w:rsid w:val="0049464E"/>
    <w:rPr>
      <w:rFonts w:ascii="Arial" w:hAnsi="Arial"/>
      <w:sz w:val="22"/>
    </w:rPr>
  </w:style>
  <w:style w:type="character" w:customStyle="1" w:styleId="CharSectno">
    <w:name w:val="CharSectno"/>
    <w:basedOn w:val="DefaultParagraphFont"/>
    <w:rsid w:val="0049464E"/>
  </w:style>
  <w:style w:type="paragraph" w:customStyle="1" w:styleId="HR">
    <w:name w:val="HR"/>
    <w:aliases w:val="Regulation Heading"/>
    <w:basedOn w:val="Normal"/>
    <w:next w:val="R1"/>
    <w:rsid w:val="0049464E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1">
    <w:name w:val="R1"/>
    <w:aliases w:val="1. or 1.(1)"/>
    <w:basedOn w:val="Normal"/>
    <w:next w:val="Normal"/>
    <w:rsid w:val="0049464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Header">
    <w:name w:val="header"/>
    <w:basedOn w:val="Normal"/>
    <w:link w:val="HeaderChar"/>
    <w:rsid w:val="00494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64E"/>
    <w:rPr>
      <w:rFonts w:eastAsia="Times New Roman" w:cs="Times New Roman"/>
      <w:szCs w:val="24"/>
    </w:rPr>
  </w:style>
  <w:style w:type="paragraph" w:customStyle="1" w:styleId="definition">
    <w:name w:val="definition"/>
    <w:basedOn w:val="Normal"/>
    <w:rsid w:val="0049464E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Formula">
    <w:name w:val="Formula"/>
    <w:basedOn w:val="Normal"/>
    <w:next w:val="Normal"/>
    <w:rsid w:val="0049464E"/>
    <w:pPr>
      <w:spacing w:before="180" w:after="180"/>
      <w:jc w:val="center"/>
    </w:pPr>
    <w:rPr>
      <w:lang w:eastAsia="en-AU"/>
    </w:rPr>
  </w:style>
  <w:style w:type="paragraph" w:customStyle="1" w:styleId="Note">
    <w:name w:val="Note"/>
    <w:basedOn w:val="Normal"/>
    <w:rsid w:val="0049464E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para">
    <w:name w:val="Note para"/>
    <w:basedOn w:val="Normal"/>
    <w:rsid w:val="0049464E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TableP1a">
    <w:name w:val="TableP1(a)"/>
    <w:basedOn w:val="Normal"/>
    <w:rsid w:val="0049464E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49464E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49464E"/>
    <w:pPr>
      <w:spacing w:before="60" w:after="60" w:line="240" w:lineRule="exact"/>
    </w:pPr>
    <w:rPr>
      <w:sz w:val="22"/>
      <w:lang w:eastAsia="en-AU"/>
    </w:rPr>
  </w:style>
  <w:style w:type="paragraph" w:customStyle="1" w:styleId="ZNote">
    <w:name w:val="ZNote"/>
    <w:basedOn w:val="Note"/>
    <w:rsid w:val="0049464E"/>
    <w:pPr>
      <w:keepNext/>
    </w:pPr>
  </w:style>
  <w:style w:type="paragraph" w:customStyle="1" w:styleId="ZR1">
    <w:name w:val="ZR1"/>
    <w:basedOn w:val="R1"/>
    <w:rsid w:val="0049464E"/>
    <w:pPr>
      <w:keepNext/>
    </w:pPr>
  </w:style>
  <w:style w:type="paragraph" w:customStyle="1" w:styleId="Style1">
    <w:name w:val="Style 1"/>
    <w:basedOn w:val="Normal"/>
    <w:rsid w:val="0049464E"/>
    <w:pPr>
      <w:widowControl w:val="0"/>
      <w:autoSpaceDE w:val="0"/>
      <w:autoSpaceDN w:val="0"/>
      <w:spacing w:before="36"/>
    </w:pPr>
    <w:rPr>
      <w:lang w:val="en-US" w:eastAsia="en-AU"/>
    </w:rPr>
  </w:style>
  <w:style w:type="character" w:styleId="Hyperlink">
    <w:name w:val="Hyperlink"/>
    <w:rsid w:val="00494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464E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49464E"/>
    <w:rPr>
      <w:rFonts w:ascii="Arial" w:eastAsia="Times New Roman" w:hAnsi="Arial" w:cs="Times New Roman"/>
      <w:i/>
      <w:sz w:val="18"/>
      <w:szCs w:val="18"/>
      <w:lang w:eastAsia="en-AU"/>
    </w:rPr>
  </w:style>
  <w:style w:type="character" w:styleId="PageNumber">
    <w:name w:val="page number"/>
    <w:rsid w:val="0049464E"/>
    <w:rPr>
      <w:rFonts w:ascii="Arial" w:hAnsi="Arial"/>
      <w:sz w:val="22"/>
    </w:rPr>
  </w:style>
  <w:style w:type="character" w:customStyle="1" w:styleId="CharSectno">
    <w:name w:val="CharSectno"/>
    <w:basedOn w:val="DefaultParagraphFont"/>
    <w:rsid w:val="0049464E"/>
  </w:style>
  <w:style w:type="paragraph" w:customStyle="1" w:styleId="HR">
    <w:name w:val="HR"/>
    <w:aliases w:val="Regulation Heading"/>
    <w:basedOn w:val="Normal"/>
    <w:next w:val="R1"/>
    <w:rsid w:val="0049464E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1">
    <w:name w:val="R1"/>
    <w:aliases w:val="1. or 1.(1)"/>
    <w:basedOn w:val="Normal"/>
    <w:next w:val="Normal"/>
    <w:rsid w:val="0049464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Header">
    <w:name w:val="header"/>
    <w:basedOn w:val="Normal"/>
    <w:link w:val="HeaderChar"/>
    <w:rsid w:val="00494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64E"/>
    <w:rPr>
      <w:rFonts w:eastAsia="Times New Roman" w:cs="Times New Roman"/>
      <w:szCs w:val="24"/>
    </w:rPr>
  </w:style>
  <w:style w:type="paragraph" w:customStyle="1" w:styleId="definition">
    <w:name w:val="definition"/>
    <w:basedOn w:val="Normal"/>
    <w:rsid w:val="0049464E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Formula">
    <w:name w:val="Formula"/>
    <w:basedOn w:val="Normal"/>
    <w:next w:val="Normal"/>
    <w:rsid w:val="0049464E"/>
    <w:pPr>
      <w:spacing w:before="180" w:after="180"/>
      <w:jc w:val="center"/>
    </w:pPr>
    <w:rPr>
      <w:lang w:eastAsia="en-AU"/>
    </w:rPr>
  </w:style>
  <w:style w:type="paragraph" w:customStyle="1" w:styleId="Note">
    <w:name w:val="Note"/>
    <w:basedOn w:val="Normal"/>
    <w:rsid w:val="0049464E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para">
    <w:name w:val="Note para"/>
    <w:basedOn w:val="Normal"/>
    <w:rsid w:val="0049464E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TableP1a">
    <w:name w:val="TableP1(a)"/>
    <w:basedOn w:val="Normal"/>
    <w:rsid w:val="0049464E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49464E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49464E"/>
    <w:pPr>
      <w:spacing w:before="60" w:after="60" w:line="240" w:lineRule="exact"/>
    </w:pPr>
    <w:rPr>
      <w:sz w:val="22"/>
      <w:lang w:eastAsia="en-AU"/>
    </w:rPr>
  </w:style>
  <w:style w:type="paragraph" w:customStyle="1" w:styleId="ZNote">
    <w:name w:val="ZNote"/>
    <w:basedOn w:val="Note"/>
    <w:rsid w:val="0049464E"/>
    <w:pPr>
      <w:keepNext/>
    </w:pPr>
  </w:style>
  <w:style w:type="paragraph" w:customStyle="1" w:styleId="ZR1">
    <w:name w:val="ZR1"/>
    <w:basedOn w:val="R1"/>
    <w:rsid w:val="0049464E"/>
    <w:pPr>
      <w:keepNext/>
    </w:pPr>
  </w:style>
  <w:style w:type="paragraph" w:customStyle="1" w:styleId="Style1">
    <w:name w:val="Style 1"/>
    <w:basedOn w:val="Normal"/>
    <w:rsid w:val="0049464E"/>
    <w:pPr>
      <w:widowControl w:val="0"/>
      <w:autoSpaceDE w:val="0"/>
      <w:autoSpaceDN w:val="0"/>
      <w:spacing w:before="36"/>
    </w:pPr>
    <w:rPr>
      <w:lang w:val="en-US" w:eastAsia="en-AU"/>
    </w:rPr>
  </w:style>
  <w:style w:type="character" w:styleId="Hyperlink">
    <w:name w:val="Hyperlink"/>
    <w:rsid w:val="00494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Zeng</dc:creator>
  <cp:lastModifiedBy>Wagg Jason</cp:lastModifiedBy>
  <cp:revision>2</cp:revision>
  <dcterms:created xsi:type="dcterms:W3CDTF">2013-03-14T00:50:00Z</dcterms:created>
  <dcterms:modified xsi:type="dcterms:W3CDTF">2013-03-14T00:50:00Z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