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608" w:rsidRDefault="00B36608" w:rsidP="00556ADB">
      <w:pPr>
        <w:spacing w:before="0"/>
        <w:ind w:left="709" w:right="91"/>
        <w:jc w:val="center"/>
        <w:rPr>
          <w:b/>
          <w:u w:val="single"/>
        </w:rPr>
      </w:pPr>
      <w:r>
        <w:rPr>
          <w:b/>
          <w:u w:val="single"/>
        </w:rPr>
        <w:t xml:space="preserve">EXPLANATORY </w:t>
      </w:r>
      <w:r w:rsidR="00556ADB">
        <w:rPr>
          <w:b/>
          <w:u w:val="single"/>
        </w:rPr>
        <w:t>STATEMENT</w:t>
      </w:r>
    </w:p>
    <w:p w:rsidR="00B36608" w:rsidRDefault="00B36608" w:rsidP="00556ADB">
      <w:pPr>
        <w:spacing w:before="0"/>
        <w:ind w:left="709" w:right="91"/>
        <w:jc w:val="center"/>
        <w:rPr>
          <w:b/>
          <w:u w:val="single"/>
        </w:rPr>
      </w:pPr>
    </w:p>
    <w:p w:rsidR="00B36608" w:rsidRPr="00352AD9" w:rsidRDefault="00556ADB" w:rsidP="00556ADB">
      <w:pPr>
        <w:spacing w:before="0"/>
        <w:ind w:left="709" w:right="91"/>
        <w:jc w:val="center"/>
        <w:rPr>
          <w:b/>
          <w:u w:val="single"/>
        </w:rPr>
      </w:pPr>
      <w:r w:rsidRPr="00352AD9">
        <w:rPr>
          <w:b/>
          <w:u w:val="single"/>
        </w:rPr>
        <w:t>Select Legislative Instrument 2013 No.</w:t>
      </w:r>
      <w:r w:rsidR="008517DF">
        <w:rPr>
          <w:b/>
          <w:u w:val="single"/>
        </w:rPr>
        <w:t xml:space="preserve"> 30</w:t>
      </w:r>
      <w:bookmarkStart w:id="0" w:name="_GoBack"/>
      <w:bookmarkEnd w:id="0"/>
    </w:p>
    <w:p w:rsidR="00B36608" w:rsidRDefault="00B36608" w:rsidP="00556ADB">
      <w:pPr>
        <w:spacing w:before="0"/>
        <w:ind w:left="709" w:right="91"/>
        <w:jc w:val="center"/>
      </w:pPr>
    </w:p>
    <w:p w:rsidR="00B36608" w:rsidRDefault="00B36608" w:rsidP="00556ADB">
      <w:pPr>
        <w:spacing w:before="0"/>
        <w:ind w:left="709" w:right="91"/>
        <w:jc w:val="center"/>
        <w:rPr>
          <w:i/>
        </w:rPr>
      </w:pPr>
      <w:r>
        <w:rPr>
          <w:i/>
        </w:rPr>
        <w:t>National Health Security Act 2007</w:t>
      </w:r>
    </w:p>
    <w:p w:rsidR="00B36608" w:rsidRPr="00E0167B" w:rsidRDefault="00B36608" w:rsidP="00556ADB">
      <w:pPr>
        <w:spacing w:before="0"/>
        <w:ind w:left="709" w:right="91"/>
        <w:jc w:val="center"/>
        <w:rPr>
          <w:i/>
        </w:rPr>
      </w:pPr>
    </w:p>
    <w:p w:rsidR="00B36608" w:rsidRDefault="00B36608" w:rsidP="00556ADB">
      <w:pPr>
        <w:tabs>
          <w:tab w:val="left" w:pos="1440"/>
        </w:tabs>
        <w:spacing w:before="0"/>
        <w:ind w:left="709" w:right="91"/>
        <w:jc w:val="center"/>
        <w:rPr>
          <w:i/>
        </w:rPr>
      </w:pPr>
      <w:r>
        <w:rPr>
          <w:i/>
        </w:rPr>
        <w:t>National Health Se</w:t>
      </w:r>
      <w:r w:rsidR="008D1887">
        <w:rPr>
          <w:i/>
        </w:rPr>
        <w:t xml:space="preserve">curity Amendment Regulation 2013 </w:t>
      </w:r>
      <w:r w:rsidR="00352AD9">
        <w:rPr>
          <w:i/>
        </w:rPr>
        <w:t>(No. 1</w:t>
      </w:r>
      <w:r>
        <w:rPr>
          <w:i/>
        </w:rPr>
        <w:t>)</w:t>
      </w:r>
    </w:p>
    <w:p w:rsidR="00B36608" w:rsidRDefault="00B36608" w:rsidP="00E64EE3">
      <w:pPr>
        <w:ind w:left="567"/>
      </w:pPr>
      <w:r>
        <w:t xml:space="preserve">Section 95 of the </w:t>
      </w:r>
      <w:r>
        <w:rPr>
          <w:i/>
        </w:rPr>
        <w:t xml:space="preserve">National Health Security Act 2007 </w:t>
      </w:r>
      <w:r>
        <w:t xml:space="preserve">(the Act) provides that the        Governor-General may make regulations prescribing matters required or permitted by the Act to be prescribed, or necessary or convenient to be prescribed for carrying out or giving effect to the Act. </w:t>
      </w:r>
    </w:p>
    <w:p w:rsidR="00B36608" w:rsidRDefault="00B36608" w:rsidP="00E64EE3">
      <w:pPr>
        <w:spacing w:before="0"/>
        <w:ind w:left="567"/>
        <w:rPr>
          <w:i/>
        </w:rPr>
      </w:pPr>
    </w:p>
    <w:p w:rsidR="00B36608" w:rsidRPr="009B26F6" w:rsidRDefault="00B36608" w:rsidP="00E64EE3">
      <w:pPr>
        <w:spacing w:before="0"/>
        <w:ind w:left="567"/>
      </w:pPr>
      <w:r>
        <w:t xml:space="preserve">The object of Part 3 of the </w:t>
      </w:r>
      <w:r w:rsidRPr="009B26F6">
        <w:t xml:space="preserve">Act is to </w:t>
      </w:r>
      <w:r>
        <w:t>give effect to Australia’s obligations to establish controls for the security of certain biological agents that can be used as weapons.</w:t>
      </w:r>
      <w:r w:rsidRPr="009B26F6">
        <w:t xml:space="preserve"> </w:t>
      </w:r>
      <w:r w:rsidR="00556ADB">
        <w:t xml:space="preserve"> </w:t>
      </w:r>
      <w:r w:rsidRPr="009B26F6">
        <w:t xml:space="preserve">Entities must comply with the requirements of the Act, including reporting and registration requirements, and the </w:t>
      </w:r>
      <w:r w:rsidR="0055667E">
        <w:t>Security-Sensitive Biological A</w:t>
      </w:r>
      <w:r w:rsidRPr="00F52710">
        <w:t xml:space="preserve">gent </w:t>
      </w:r>
      <w:r>
        <w:t>(</w:t>
      </w:r>
      <w:r w:rsidRPr="009B26F6">
        <w:t>SSBA</w:t>
      </w:r>
      <w:r>
        <w:t>)</w:t>
      </w:r>
      <w:r w:rsidRPr="009B26F6">
        <w:t xml:space="preserve"> Standards. </w:t>
      </w:r>
      <w:r w:rsidR="00556ADB">
        <w:t xml:space="preserve"> </w:t>
      </w:r>
      <w:r w:rsidRPr="009B26F6">
        <w:t xml:space="preserve">The </w:t>
      </w:r>
      <w:r w:rsidRPr="009B26F6">
        <w:rPr>
          <w:i/>
        </w:rPr>
        <w:t>National Health Security Regulations 2008</w:t>
      </w:r>
      <w:r w:rsidRPr="009B26F6">
        <w:t xml:space="preserve"> (</w:t>
      </w:r>
      <w:r>
        <w:t>the Principal</w:t>
      </w:r>
      <w:r w:rsidRPr="009B26F6">
        <w:t xml:space="preserve"> Regulations) provide for the operational details of the SSBA Regulatory Scheme. </w:t>
      </w:r>
    </w:p>
    <w:p w:rsidR="00B36608" w:rsidRPr="009B26F6" w:rsidRDefault="00B36608" w:rsidP="00E64EE3">
      <w:pPr>
        <w:spacing w:before="0"/>
        <w:ind w:left="567"/>
      </w:pPr>
    </w:p>
    <w:p w:rsidR="00B36608" w:rsidRDefault="00B36608" w:rsidP="00E64EE3">
      <w:pPr>
        <w:spacing w:before="0"/>
        <w:ind w:left="567"/>
      </w:pPr>
      <w:r w:rsidRPr="00F52710">
        <w:t xml:space="preserve">Unless excluded from these requirements, entities must comply with the requirements of Division 4A relating to suspected SSBAs or Division 5 relating to confirmed SSBAs. </w:t>
      </w:r>
    </w:p>
    <w:p w:rsidR="00B36608" w:rsidRDefault="00B36608" w:rsidP="00E64EE3">
      <w:pPr>
        <w:spacing w:before="0"/>
        <w:ind w:left="567"/>
      </w:pPr>
    </w:p>
    <w:p w:rsidR="00B36608" w:rsidRDefault="00C700D4" w:rsidP="00E64EE3">
      <w:pPr>
        <w:spacing w:before="0"/>
        <w:ind w:left="567"/>
      </w:pPr>
      <w:r>
        <w:t>The regulation amend</w:t>
      </w:r>
      <w:r w:rsidR="00556ADB">
        <w:t>s</w:t>
      </w:r>
      <w:r>
        <w:t xml:space="preserve"> t</w:t>
      </w:r>
      <w:r w:rsidR="007B5BFF">
        <w:t xml:space="preserve">he </w:t>
      </w:r>
      <w:r w:rsidR="00B36608">
        <w:t>Principal Regulations</w:t>
      </w:r>
      <w:r w:rsidR="005D44DA">
        <w:t xml:space="preserve"> </w:t>
      </w:r>
      <w:r w:rsidR="00B36608">
        <w:t xml:space="preserve">to facilitate streamlined reporting arrangements </w:t>
      </w:r>
      <w:r w:rsidR="005D44DA">
        <w:t>by repealing the requirement for periodic or regular reports and stipulating that reportable events are reported as they occur.</w:t>
      </w:r>
      <w:r w:rsidR="00556ADB">
        <w:t xml:space="preserve"> </w:t>
      </w:r>
      <w:r w:rsidR="005D44DA">
        <w:t xml:space="preserve"> Any</w:t>
      </w:r>
      <w:r w:rsidR="00B36608">
        <w:t xml:space="preserve"> other changes </w:t>
      </w:r>
      <w:r w:rsidR="005D44DA">
        <w:t xml:space="preserve">are made as </w:t>
      </w:r>
      <w:r w:rsidR="00B36608">
        <w:t>consequential to the amendments to the Act.</w:t>
      </w:r>
    </w:p>
    <w:p w:rsidR="00B36608" w:rsidRDefault="00556ADB" w:rsidP="00E64EE3">
      <w:pPr>
        <w:ind w:left="567"/>
        <w:rPr>
          <w:u w:val="single"/>
        </w:rPr>
      </w:pPr>
      <w:r>
        <w:t xml:space="preserve">Details of the </w:t>
      </w:r>
      <w:r w:rsidR="00B36608">
        <w:t xml:space="preserve">regulation are set out in the </w:t>
      </w:r>
      <w:r w:rsidR="00B36608">
        <w:rPr>
          <w:u w:val="single"/>
        </w:rPr>
        <w:t>Attachment</w:t>
      </w:r>
      <w:r w:rsidR="00B36608" w:rsidRPr="000101C4">
        <w:t>.</w:t>
      </w:r>
    </w:p>
    <w:p w:rsidR="00B36608" w:rsidRDefault="00B36608" w:rsidP="00E64EE3">
      <w:pPr>
        <w:ind w:left="567"/>
      </w:pPr>
      <w:r>
        <w:t>The Act specifies no conditions that need to be satisfied before</w:t>
      </w:r>
      <w:r w:rsidR="00556ADB">
        <w:t xml:space="preserve"> the power to make the </w:t>
      </w:r>
      <w:r>
        <w:t>regulation may be exercised.</w:t>
      </w:r>
    </w:p>
    <w:p w:rsidR="00B36608" w:rsidRDefault="00B36608" w:rsidP="00E64EE3">
      <w:pPr>
        <w:ind w:left="567"/>
        <w:rPr>
          <w:i/>
        </w:rPr>
      </w:pPr>
      <w:r>
        <w:t xml:space="preserve">The regulation </w:t>
      </w:r>
      <w:r w:rsidR="00556ADB">
        <w:t>is</w:t>
      </w:r>
      <w:r>
        <w:t xml:space="preserve"> a legislative instrument for the purposes of the </w:t>
      </w:r>
      <w:r>
        <w:rPr>
          <w:i/>
        </w:rPr>
        <w:t xml:space="preserve">Legislative Instruments Act 2003. </w:t>
      </w:r>
    </w:p>
    <w:p w:rsidR="00B36608" w:rsidRDefault="00B36608" w:rsidP="00E64EE3">
      <w:pPr>
        <w:spacing w:before="0"/>
        <w:ind w:left="567" w:right="91"/>
      </w:pPr>
    </w:p>
    <w:p w:rsidR="00B36608" w:rsidRDefault="00556ADB" w:rsidP="00E64EE3">
      <w:pPr>
        <w:spacing w:before="0"/>
        <w:ind w:left="567" w:right="91"/>
      </w:pPr>
      <w:r>
        <w:t xml:space="preserve">The regulation </w:t>
      </w:r>
      <w:r w:rsidR="00B36608">
        <w:t>commence</w:t>
      </w:r>
      <w:r>
        <w:t>s</w:t>
      </w:r>
      <w:r w:rsidR="00B36608">
        <w:t xml:space="preserve"> on the commencement of Schedule 1 </w:t>
      </w:r>
      <w:r w:rsidR="00C700D4">
        <w:t>to</w:t>
      </w:r>
      <w:r w:rsidR="00B36608">
        <w:t xml:space="preserve"> the </w:t>
      </w:r>
      <w:r w:rsidR="00B36608" w:rsidRPr="00BC1B9D">
        <w:rPr>
          <w:i/>
        </w:rPr>
        <w:t>National Health Security Amendment Act 2012</w:t>
      </w:r>
      <w:r w:rsidR="0055667E">
        <w:t>, on 31 March 2013.</w:t>
      </w:r>
      <w:r w:rsidR="00B36608">
        <w:t xml:space="preserve">  </w:t>
      </w:r>
    </w:p>
    <w:p w:rsidR="00556ADB" w:rsidRDefault="00556ADB" w:rsidP="00E64EE3">
      <w:pPr>
        <w:tabs>
          <w:tab w:val="left" w:pos="284"/>
        </w:tabs>
        <w:autoSpaceDE w:val="0"/>
        <w:autoSpaceDN w:val="0"/>
        <w:adjustRightInd w:val="0"/>
        <w:ind w:left="567"/>
        <w:rPr>
          <w:color w:val="000000"/>
          <w:lang w:val="en-US" w:eastAsia="en-US"/>
        </w:rPr>
      </w:pPr>
      <w:r>
        <w:rPr>
          <w:color w:val="000000"/>
          <w:lang w:val="en-US" w:eastAsia="en-US"/>
        </w:rPr>
        <w:t xml:space="preserve">There have been extensive consultations during the development of the Bill and the NHS Regulations.  Agencies consulted include the Department of Prime Minister and Cabinet, the Australian Security Intelligence Organisation, the Australian Chemical, Biological, Radiological and Nuclear (CBRN) Data Centre and the Australia and New Zealand Counter-Terrorism Committee’s CBRN Security Subcommittee.  Comments were also sought from other targeted stakeholders including the Public Health Laboratory Network and the Sub Committee of Animal Health Laboratory Standards. </w:t>
      </w:r>
    </w:p>
    <w:p w:rsidR="00556ADB" w:rsidRDefault="00556ADB" w:rsidP="00E64EE3">
      <w:pPr>
        <w:tabs>
          <w:tab w:val="left" w:pos="426"/>
        </w:tabs>
        <w:autoSpaceDE w:val="0"/>
        <w:autoSpaceDN w:val="0"/>
        <w:adjustRightInd w:val="0"/>
        <w:ind w:left="567"/>
        <w:rPr>
          <w:color w:val="000000"/>
          <w:lang w:val="en-US" w:eastAsia="en-US"/>
        </w:rPr>
      </w:pPr>
      <w:r>
        <w:rPr>
          <w:color w:val="000000"/>
          <w:lang w:val="en-US" w:eastAsia="en-US"/>
        </w:rPr>
        <w:t>There was general support for the proposed changes.</w:t>
      </w:r>
    </w:p>
    <w:p w:rsidR="00B36608" w:rsidRPr="00DA6A75" w:rsidRDefault="00DA6A75" w:rsidP="00DA6A75">
      <w:pPr>
        <w:tabs>
          <w:tab w:val="left" w:pos="426"/>
          <w:tab w:val="left" w:pos="5245"/>
        </w:tabs>
        <w:spacing w:after="240"/>
        <w:ind w:left="5245" w:right="-108"/>
        <w:rPr>
          <w:i/>
        </w:rPr>
      </w:pPr>
      <w:r>
        <w:tab/>
      </w:r>
      <w:r>
        <w:rPr>
          <w:u w:val="single"/>
        </w:rPr>
        <w:t>Authority:</w:t>
      </w:r>
      <w:r>
        <w:t xml:space="preserve">  Section 95 of the </w:t>
      </w:r>
      <w:r>
        <w:rPr>
          <w:i/>
        </w:rPr>
        <w:t xml:space="preserve">National    </w:t>
      </w:r>
      <w:r>
        <w:rPr>
          <w:i/>
        </w:rPr>
        <w:br/>
        <w:t xml:space="preserve">                           Health Security Act 2007</w:t>
      </w:r>
    </w:p>
    <w:p w:rsidR="00B36608" w:rsidRPr="0055667E" w:rsidRDefault="00B36608" w:rsidP="00E64EE3">
      <w:pPr>
        <w:tabs>
          <w:tab w:val="left" w:pos="4536"/>
          <w:tab w:val="left" w:pos="5670"/>
        </w:tabs>
        <w:spacing w:before="0"/>
        <w:ind w:left="567" w:right="91" w:hanging="5103"/>
        <w:jc w:val="right"/>
        <w:rPr>
          <w:b/>
          <w:u w:val="single"/>
        </w:rPr>
      </w:pPr>
      <w:r w:rsidRPr="00067E47">
        <w:lastRenderedPageBreak/>
        <w:tab/>
      </w:r>
      <w:r w:rsidRPr="0055667E">
        <w:rPr>
          <w:b/>
          <w:u w:val="single"/>
        </w:rPr>
        <w:t>ATTACHMENT</w:t>
      </w:r>
    </w:p>
    <w:p w:rsidR="00B36608" w:rsidRDefault="00B36608" w:rsidP="00E64EE3">
      <w:pPr>
        <w:spacing w:before="0"/>
        <w:ind w:left="567" w:right="91"/>
        <w:jc w:val="right"/>
      </w:pPr>
    </w:p>
    <w:p w:rsidR="00B36608" w:rsidRDefault="00B36608" w:rsidP="00E64EE3">
      <w:pPr>
        <w:spacing w:before="0"/>
        <w:ind w:left="567" w:right="-154"/>
        <w:rPr>
          <w:u w:val="single"/>
        </w:rPr>
      </w:pPr>
      <w:r>
        <w:rPr>
          <w:b/>
          <w:u w:val="single"/>
        </w:rPr>
        <w:t xml:space="preserve">Details of the </w:t>
      </w:r>
      <w:r>
        <w:rPr>
          <w:b/>
          <w:i/>
          <w:u w:val="single"/>
        </w:rPr>
        <w:t xml:space="preserve">National Health Security </w:t>
      </w:r>
      <w:r w:rsidR="00352AD9">
        <w:rPr>
          <w:b/>
          <w:i/>
          <w:u w:val="single"/>
        </w:rPr>
        <w:t>Amendment Regulation 2013 (No. 1</w:t>
      </w:r>
      <w:r>
        <w:rPr>
          <w:b/>
          <w:i/>
          <w:u w:val="single"/>
        </w:rPr>
        <w:t>)</w:t>
      </w:r>
    </w:p>
    <w:p w:rsidR="00B36608" w:rsidRDefault="00B36608" w:rsidP="00E64EE3">
      <w:pPr>
        <w:spacing w:before="0"/>
        <w:ind w:left="567" w:right="91"/>
      </w:pPr>
    </w:p>
    <w:p w:rsidR="00B36608" w:rsidRDefault="00B36608" w:rsidP="00E64EE3">
      <w:pPr>
        <w:spacing w:before="0"/>
        <w:ind w:left="567" w:right="91"/>
        <w:rPr>
          <w:b/>
        </w:rPr>
      </w:pPr>
      <w:r>
        <w:rPr>
          <w:b/>
          <w:u w:val="single"/>
        </w:rPr>
        <w:t>Section 1 – Name of regulation</w:t>
      </w:r>
    </w:p>
    <w:p w:rsidR="00B36608" w:rsidRDefault="00B36608" w:rsidP="00E64EE3">
      <w:pPr>
        <w:spacing w:before="0"/>
        <w:ind w:left="567" w:right="91"/>
      </w:pPr>
    </w:p>
    <w:p w:rsidR="00B36608" w:rsidRPr="001C5246" w:rsidRDefault="00556ADB" w:rsidP="00E64EE3">
      <w:pPr>
        <w:spacing w:before="0"/>
        <w:ind w:left="567" w:right="91"/>
      </w:pPr>
      <w:r>
        <w:t xml:space="preserve">This section </w:t>
      </w:r>
      <w:r w:rsidR="00B36608">
        <w:t>provide</w:t>
      </w:r>
      <w:r>
        <w:t>s</w:t>
      </w:r>
      <w:r w:rsidR="00B36608">
        <w:t xml:space="preserve"> that the title of the regulation is the </w:t>
      </w:r>
      <w:r w:rsidR="00B36608">
        <w:rPr>
          <w:i/>
        </w:rPr>
        <w:t xml:space="preserve">National Health Security </w:t>
      </w:r>
      <w:r w:rsidR="00352AD9">
        <w:rPr>
          <w:i/>
        </w:rPr>
        <w:t>Amendment Regulation 2013 (No. 1</w:t>
      </w:r>
      <w:r w:rsidR="00B36608">
        <w:rPr>
          <w:i/>
        </w:rPr>
        <w:t>)</w:t>
      </w:r>
      <w:r w:rsidR="00B36608">
        <w:t>.</w:t>
      </w:r>
    </w:p>
    <w:p w:rsidR="00B36608" w:rsidRDefault="00B36608" w:rsidP="00E64EE3">
      <w:pPr>
        <w:spacing w:before="0"/>
        <w:ind w:left="567" w:right="91"/>
      </w:pPr>
    </w:p>
    <w:p w:rsidR="00B36608" w:rsidRDefault="00B36608" w:rsidP="00E64EE3">
      <w:pPr>
        <w:spacing w:before="0"/>
        <w:ind w:left="567" w:right="91"/>
        <w:rPr>
          <w:b/>
          <w:u w:val="single"/>
        </w:rPr>
      </w:pPr>
      <w:r>
        <w:rPr>
          <w:b/>
          <w:u w:val="single"/>
        </w:rPr>
        <w:t>Section 2 – Commencement</w:t>
      </w:r>
    </w:p>
    <w:p w:rsidR="00B36608" w:rsidRDefault="00B36608" w:rsidP="00E64EE3">
      <w:pPr>
        <w:spacing w:before="0"/>
        <w:ind w:left="567" w:right="91"/>
      </w:pPr>
    </w:p>
    <w:p w:rsidR="00B36608" w:rsidRDefault="00B36608" w:rsidP="00E64EE3">
      <w:pPr>
        <w:spacing w:before="0"/>
        <w:ind w:left="567" w:right="91"/>
      </w:pPr>
      <w:r w:rsidRPr="00181D90">
        <w:t xml:space="preserve">This </w:t>
      </w:r>
      <w:r>
        <w:t>sec</w:t>
      </w:r>
      <w:r w:rsidRPr="00181D90">
        <w:t xml:space="preserve">tion </w:t>
      </w:r>
      <w:r>
        <w:t>provide</w:t>
      </w:r>
      <w:r w:rsidR="00556ADB">
        <w:t>s</w:t>
      </w:r>
      <w:r>
        <w:t xml:space="preserve"> that the regulation commences on the commencement of Schedule 1 </w:t>
      </w:r>
      <w:r w:rsidR="00C700D4">
        <w:t>to</w:t>
      </w:r>
      <w:r>
        <w:t xml:space="preserve"> the </w:t>
      </w:r>
      <w:r w:rsidRPr="00BC1B9D">
        <w:rPr>
          <w:i/>
        </w:rPr>
        <w:t xml:space="preserve">National Health Security </w:t>
      </w:r>
      <w:r>
        <w:rPr>
          <w:i/>
        </w:rPr>
        <w:t xml:space="preserve">Amendment </w:t>
      </w:r>
      <w:r w:rsidRPr="00BC1B9D">
        <w:rPr>
          <w:i/>
        </w:rPr>
        <w:t>Act 2012</w:t>
      </w:r>
      <w:r>
        <w:t xml:space="preserve">.  </w:t>
      </w:r>
    </w:p>
    <w:p w:rsidR="00B36608" w:rsidRDefault="00B36608" w:rsidP="00E64EE3">
      <w:pPr>
        <w:spacing w:before="0"/>
        <w:ind w:left="567" w:right="91"/>
      </w:pPr>
    </w:p>
    <w:p w:rsidR="00B36608" w:rsidRDefault="00B36608" w:rsidP="00E64EE3">
      <w:pPr>
        <w:spacing w:before="0"/>
        <w:ind w:left="567" w:right="-154"/>
        <w:rPr>
          <w:b/>
        </w:rPr>
      </w:pPr>
      <w:r>
        <w:rPr>
          <w:b/>
          <w:u w:val="single"/>
        </w:rPr>
        <w:t>Section 3 – Amendment of</w:t>
      </w:r>
      <w:r>
        <w:rPr>
          <w:b/>
          <w:i/>
          <w:u w:val="single"/>
        </w:rPr>
        <w:t xml:space="preserve"> National Health Security Regulations 2008</w:t>
      </w:r>
    </w:p>
    <w:p w:rsidR="00B36608" w:rsidRDefault="00B36608" w:rsidP="00E64EE3">
      <w:pPr>
        <w:spacing w:before="0"/>
        <w:ind w:left="567" w:right="91"/>
      </w:pPr>
    </w:p>
    <w:p w:rsidR="00B36608" w:rsidRDefault="00556ADB" w:rsidP="00E64EE3">
      <w:pPr>
        <w:spacing w:before="0"/>
        <w:ind w:left="567" w:right="91"/>
      </w:pPr>
      <w:r>
        <w:t xml:space="preserve">This section </w:t>
      </w:r>
      <w:r w:rsidR="00B36608">
        <w:t>provide</w:t>
      </w:r>
      <w:r>
        <w:t>s</w:t>
      </w:r>
      <w:r w:rsidR="00B36608">
        <w:t xml:space="preserve"> that Schedule 1 to the regulation amends the </w:t>
      </w:r>
      <w:r w:rsidR="00B36608">
        <w:rPr>
          <w:i/>
        </w:rPr>
        <w:t xml:space="preserve">National Health Security Regulations 2008 </w:t>
      </w:r>
      <w:r w:rsidR="00B36608">
        <w:t>(the Principal Regulations)</w:t>
      </w:r>
      <w:r w:rsidR="00B36608">
        <w:rPr>
          <w:i/>
        </w:rPr>
        <w:t xml:space="preserve">. </w:t>
      </w:r>
    </w:p>
    <w:p w:rsidR="00B36608" w:rsidRDefault="00B36608" w:rsidP="00E64EE3">
      <w:pPr>
        <w:spacing w:before="0"/>
        <w:ind w:left="567" w:right="91"/>
      </w:pPr>
    </w:p>
    <w:p w:rsidR="00B36608" w:rsidRDefault="00B36608" w:rsidP="00E64EE3">
      <w:pPr>
        <w:spacing w:before="0"/>
        <w:ind w:left="567" w:right="91"/>
        <w:rPr>
          <w:b/>
          <w:u w:val="single"/>
        </w:rPr>
      </w:pPr>
      <w:r>
        <w:rPr>
          <w:b/>
          <w:u w:val="single"/>
        </w:rPr>
        <w:t>Schedule 1 – Amendments</w:t>
      </w:r>
    </w:p>
    <w:p w:rsidR="00B36608" w:rsidRDefault="00B36608" w:rsidP="00E64EE3">
      <w:pPr>
        <w:spacing w:before="0"/>
        <w:ind w:left="567" w:right="91"/>
        <w:rPr>
          <w:b/>
          <w:u w:val="single"/>
        </w:rPr>
      </w:pPr>
      <w:r>
        <w:rPr>
          <w:b/>
          <w:u w:val="single"/>
        </w:rPr>
        <w:t xml:space="preserve"> </w:t>
      </w:r>
    </w:p>
    <w:p w:rsidR="00B36608" w:rsidRDefault="00B36608" w:rsidP="00E64EE3">
      <w:pPr>
        <w:spacing w:before="0"/>
        <w:ind w:left="567" w:right="91"/>
        <w:rPr>
          <w:b/>
          <w:u w:val="single"/>
        </w:rPr>
      </w:pPr>
      <w:r>
        <w:rPr>
          <w:b/>
          <w:u w:val="single"/>
        </w:rPr>
        <w:t xml:space="preserve">Regulation of Security-Sensitive Biological Agents (SSBA) </w:t>
      </w:r>
    </w:p>
    <w:p w:rsidR="00B36608" w:rsidRPr="00B6195E" w:rsidRDefault="00B36608" w:rsidP="00E64EE3">
      <w:pPr>
        <w:spacing w:before="0"/>
        <w:ind w:left="567" w:right="91"/>
        <w:rPr>
          <w:b/>
          <w:u w:val="single"/>
        </w:rPr>
      </w:pPr>
    </w:p>
    <w:p w:rsidR="00B36608" w:rsidRDefault="00B36608" w:rsidP="00E64EE3">
      <w:pPr>
        <w:spacing w:before="0"/>
        <w:ind w:left="567" w:right="91"/>
      </w:pPr>
      <w:r w:rsidRPr="00BC1B9D">
        <w:rPr>
          <w:b/>
        </w:rPr>
        <w:t>Item [1]</w:t>
      </w:r>
      <w:r w:rsidR="007B5BFF">
        <w:rPr>
          <w:b/>
        </w:rPr>
        <w:t xml:space="preserve"> – D</w:t>
      </w:r>
      <w:r w:rsidRPr="00BC1B9D">
        <w:rPr>
          <w:b/>
        </w:rPr>
        <w:t>ivision 3.4, heading</w:t>
      </w:r>
      <w:r>
        <w:t>    </w:t>
      </w:r>
    </w:p>
    <w:p w:rsidR="00B36608" w:rsidRPr="00395061" w:rsidRDefault="00B36608" w:rsidP="00E64EE3">
      <w:pPr>
        <w:spacing w:before="0"/>
        <w:ind w:left="567" w:right="91"/>
      </w:pPr>
      <w:r>
        <w:t xml:space="preserve">The title change </w:t>
      </w:r>
      <w:r w:rsidR="00556ADB">
        <w:t>clarifi</w:t>
      </w:r>
      <w:r w:rsidR="00E64EE3">
        <w:t>e</w:t>
      </w:r>
      <w:r w:rsidR="00556ADB">
        <w:t>s</w:t>
      </w:r>
      <w:r>
        <w:t xml:space="preserve"> that this division relates only to registered entities as opposed to entities that temporarily handle security-sensitive biological agents (SSBA).</w:t>
      </w:r>
    </w:p>
    <w:p w:rsidR="00B36608" w:rsidRPr="00395061" w:rsidRDefault="00B36608" w:rsidP="00E64EE3">
      <w:pPr>
        <w:spacing w:before="0"/>
        <w:ind w:left="567" w:right="91"/>
      </w:pPr>
    </w:p>
    <w:p w:rsidR="00B36608" w:rsidRPr="00BC1B9D" w:rsidRDefault="007B5BFF" w:rsidP="00E64EE3">
      <w:pPr>
        <w:spacing w:before="0"/>
        <w:ind w:left="567" w:right="91"/>
        <w:rPr>
          <w:b/>
        </w:rPr>
      </w:pPr>
      <w:r>
        <w:rPr>
          <w:b/>
        </w:rPr>
        <w:t>Item</w:t>
      </w:r>
      <w:r w:rsidR="00C700D4">
        <w:rPr>
          <w:b/>
        </w:rPr>
        <w:t>s</w:t>
      </w:r>
      <w:r>
        <w:rPr>
          <w:b/>
        </w:rPr>
        <w:t xml:space="preserve"> [2]</w:t>
      </w:r>
      <w:r w:rsidR="00C700D4">
        <w:rPr>
          <w:b/>
        </w:rPr>
        <w:t>,</w:t>
      </w:r>
      <w:r>
        <w:rPr>
          <w:b/>
        </w:rPr>
        <w:t xml:space="preserve"> [5] and [6] – D</w:t>
      </w:r>
      <w:r w:rsidR="00B36608" w:rsidRPr="00BC1B9D">
        <w:rPr>
          <w:b/>
        </w:rPr>
        <w:t>ivision 3.5</w:t>
      </w:r>
      <w:r>
        <w:rPr>
          <w:b/>
        </w:rPr>
        <w:t xml:space="preserve"> headings</w:t>
      </w:r>
    </w:p>
    <w:p w:rsidR="00B36608" w:rsidRDefault="00B36608" w:rsidP="00E64EE3">
      <w:pPr>
        <w:spacing w:before="0"/>
        <w:ind w:left="567" w:right="91"/>
      </w:pPr>
      <w:r>
        <w:t xml:space="preserve">Division 3.5 has been incorporated into Division 3.4 as both Divisions deal with registered entities and Items [2], [5] and [6] reflect this.  </w:t>
      </w:r>
    </w:p>
    <w:p w:rsidR="00B36608" w:rsidRDefault="00B36608" w:rsidP="00E64EE3">
      <w:pPr>
        <w:spacing w:before="0"/>
        <w:ind w:left="567" w:right="91"/>
      </w:pPr>
    </w:p>
    <w:p w:rsidR="00B36608" w:rsidRDefault="00B36608" w:rsidP="00E64EE3">
      <w:pPr>
        <w:spacing w:before="0"/>
        <w:ind w:left="567" w:right="91"/>
      </w:pPr>
      <w:r w:rsidRPr="00BC1B9D">
        <w:rPr>
          <w:b/>
        </w:rPr>
        <w:t>Item [3]</w:t>
      </w:r>
      <w:r w:rsidR="007B5BFF">
        <w:t xml:space="preserve"> </w:t>
      </w:r>
      <w:r w:rsidR="007B5BFF" w:rsidRPr="007B5BFF">
        <w:rPr>
          <w:b/>
        </w:rPr>
        <w:t>–</w:t>
      </w:r>
      <w:r w:rsidR="007B5BFF">
        <w:t xml:space="preserve"> </w:t>
      </w:r>
      <w:r w:rsidR="007B5BFF">
        <w:rPr>
          <w:b/>
        </w:rPr>
        <w:t>S</w:t>
      </w:r>
      <w:r>
        <w:rPr>
          <w:b/>
        </w:rPr>
        <w:t>ubdivision 3.5.1, heading;</w:t>
      </w:r>
      <w:r>
        <w:t xml:space="preserve"> and </w:t>
      </w:r>
      <w:r w:rsidRPr="00BC1B9D">
        <w:rPr>
          <w:b/>
        </w:rPr>
        <w:t>Item [4]</w:t>
      </w:r>
      <w:r w:rsidR="007B5BFF">
        <w:t xml:space="preserve"> </w:t>
      </w:r>
      <w:r w:rsidR="007B5BFF">
        <w:rPr>
          <w:b/>
        </w:rPr>
        <w:t>– R</w:t>
      </w:r>
      <w:r>
        <w:rPr>
          <w:b/>
        </w:rPr>
        <w:t>egulation 3.40, heading</w:t>
      </w:r>
      <w:r>
        <w:t xml:space="preserve"> </w:t>
      </w:r>
    </w:p>
    <w:p w:rsidR="00B36608" w:rsidRDefault="00B36608" w:rsidP="00E64EE3">
      <w:pPr>
        <w:spacing w:before="0"/>
        <w:ind w:left="567" w:right="91"/>
      </w:pPr>
      <w:r>
        <w:t xml:space="preserve">Changes </w:t>
      </w:r>
      <w:r w:rsidR="00E64EE3">
        <w:t>have been</w:t>
      </w:r>
      <w:r>
        <w:t xml:space="preserve"> made to headings to accurately reflect the purpose of the clauses and current drafting policy. </w:t>
      </w:r>
    </w:p>
    <w:p w:rsidR="00B36608" w:rsidRDefault="00B36608" w:rsidP="00E64EE3">
      <w:pPr>
        <w:spacing w:before="0"/>
        <w:ind w:left="567" w:right="91"/>
      </w:pPr>
    </w:p>
    <w:p w:rsidR="00B36608" w:rsidRDefault="00B36608" w:rsidP="00E64EE3">
      <w:pPr>
        <w:spacing w:before="0"/>
        <w:ind w:left="567" w:right="91"/>
      </w:pPr>
      <w:r w:rsidRPr="00BC1B9D">
        <w:rPr>
          <w:b/>
        </w:rPr>
        <w:t>Item [7]</w:t>
      </w:r>
      <w:r w:rsidR="007B5BFF">
        <w:t xml:space="preserve"> – </w:t>
      </w:r>
      <w:r w:rsidRPr="00BC1B9D">
        <w:rPr>
          <w:b/>
        </w:rPr>
        <w:t>Regulation 3.45</w:t>
      </w:r>
    </w:p>
    <w:p w:rsidR="00B36608" w:rsidRDefault="00B36608" w:rsidP="00E64EE3">
      <w:pPr>
        <w:spacing w:before="0"/>
        <w:ind w:left="567" w:right="91"/>
      </w:pPr>
      <w:r>
        <w:t xml:space="preserve">Changes </w:t>
      </w:r>
      <w:r w:rsidR="00E64EE3">
        <w:t>have been</w:t>
      </w:r>
      <w:r>
        <w:t xml:space="preserve"> made to this clause to more succinctly describe the requirements of a reportable event. </w:t>
      </w:r>
    </w:p>
    <w:p w:rsidR="00B36608" w:rsidRDefault="00B36608" w:rsidP="00E64EE3">
      <w:pPr>
        <w:spacing w:before="0"/>
        <w:ind w:left="567" w:right="91"/>
      </w:pPr>
    </w:p>
    <w:p w:rsidR="00B36608" w:rsidRDefault="007B5BFF" w:rsidP="00E64EE3">
      <w:pPr>
        <w:spacing w:before="0"/>
        <w:ind w:left="567" w:right="91"/>
      </w:pPr>
      <w:r>
        <w:rPr>
          <w:b/>
        </w:rPr>
        <w:t xml:space="preserve">Item [8] – </w:t>
      </w:r>
      <w:r w:rsidR="00B36608" w:rsidRPr="00BC1B9D">
        <w:rPr>
          <w:b/>
        </w:rPr>
        <w:t>Subdivision 3.5.3</w:t>
      </w:r>
      <w:r w:rsidR="00B36608">
        <w:t xml:space="preserve"> </w:t>
      </w:r>
    </w:p>
    <w:p w:rsidR="00B36608" w:rsidRDefault="00B36608" w:rsidP="00E64EE3">
      <w:pPr>
        <w:spacing w:before="0"/>
        <w:ind w:left="567" w:right="91"/>
      </w:pPr>
      <w:r>
        <w:t xml:space="preserve">Subdivision 3.5.3 (Regulations 3.46 – 3.51) </w:t>
      </w:r>
      <w:r w:rsidR="00E64EE3">
        <w:t>is</w:t>
      </w:r>
      <w:r>
        <w:t xml:space="preserve"> deleted</w:t>
      </w:r>
      <w:r w:rsidRPr="00947CC3">
        <w:t xml:space="preserve"> </w:t>
      </w:r>
      <w:r>
        <w:t xml:space="preserve">as periodic reporting is currently being phased out. </w:t>
      </w:r>
    </w:p>
    <w:p w:rsidR="00B36608" w:rsidRDefault="00B36608" w:rsidP="00556ADB">
      <w:pPr>
        <w:spacing w:before="0"/>
        <w:ind w:left="709" w:right="91"/>
      </w:pPr>
    </w:p>
    <w:p w:rsidR="00B36608" w:rsidRPr="00BC1B9D" w:rsidRDefault="00B36608" w:rsidP="00556ADB">
      <w:pPr>
        <w:spacing w:before="0"/>
        <w:ind w:left="709" w:right="91"/>
        <w:rPr>
          <w:b/>
        </w:rPr>
      </w:pPr>
      <w:r w:rsidRPr="00BC1B9D">
        <w:rPr>
          <w:b/>
        </w:rPr>
        <w:t xml:space="preserve">Item </w:t>
      </w:r>
      <w:r w:rsidR="007B5BFF">
        <w:rPr>
          <w:b/>
        </w:rPr>
        <w:t>[</w:t>
      </w:r>
      <w:r w:rsidRPr="00BC1B9D">
        <w:rPr>
          <w:b/>
        </w:rPr>
        <w:t>9</w:t>
      </w:r>
      <w:r w:rsidR="007B5BFF">
        <w:rPr>
          <w:b/>
        </w:rPr>
        <w:t>] – B</w:t>
      </w:r>
      <w:r w:rsidRPr="00BC1B9D">
        <w:rPr>
          <w:b/>
        </w:rPr>
        <w:t>efore Division 3.7</w:t>
      </w:r>
    </w:p>
    <w:p w:rsidR="00B36608" w:rsidRDefault="00B36608" w:rsidP="00E64EE3">
      <w:pPr>
        <w:spacing w:before="0"/>
        <w:ind w:left="567" w:right="-1"/>
      </w:pPr>
      <w:r>
        <w:t xml:space="preserve">Item [9] </w:t>
      </w:r>
      <w:r w:rsidR="007B5BFF">
        <w:t>insert</w:t>
      </w:r>
      <w:r w:rsidR="00E64EE3">
        <w:t>s</w:t>
      </w:r>
      <w:r>
        <w:t xml:space="preserve"> a new Division 3.5 related to reportable events for entities that temp</w:t>
      </w:r>
      <w:r w:rsidR="00E64EE3">
        <w:t>orarily handle SSBAs.</w:t>
      </w:r>
      <w:r w:rsidR="00DC1281">
        <w:t xml:space="preserve"> </w:t>
      </w:r>
      <w:r w:rsidR="00E64EE3">
        <w:t xml:space="preserve"> This item</w:t>
      </w:r>
      <w:r w:rsidR="007B5BFF">
        <w:t xml:space="preserve"> insert</w:t>
      </w:r>
      <w:r w:rsidR="00E64EE3">
        <w:t>s</w:t>
      </w:r>
      <w:r w:rsidR="007B5BFF">
        <w:t xml:space="preserve"> a r</w:t>
      </w:r>
      <w:r>
        <w:t xml:space="preserve">egulation that prescribes the circumstances in which temporary handling of an SSBA is not authorised for the purposes </w:t>
      </w:r>
      <w:r w:rsidR="007B5BFF">
        <w:t>o</w:t>
      </w:r>
      <w:r>
        <w:t xml:space="preserve">f subparagraph 60AF(1)(b)(ii) of the Act. </w:t>
      </w:r>
      <w:r w:rsidR="00DC1281">
        <w:t xml:space="preserve"> </w:t>
      </w:r>
      <w:r>
        <w:t>Temporary handling is not authorised where it is not compliant with the requirements in Part 10 of the SSBA Standards.</w:t>
      </w:r>
    </w:p>
    <w:p w:rsidR="00DC1281" w:rsidRPr="00E4135E" w:rsidRDefault="00DC1281" w:rsidP="00DC1281">
      <w:pPr>
        <w:spacing w:before="360" w:after="120"/>
        <w:ind w:left="720" w:hanging="11"/>
        <w:jc w:val="center"/>
        <w:rPr>
          <w:b/>
          <w:sz w:val="28"/>
          <w:szCs w:val="28"/>
        </w:rPr>
      </w:pPr>
      <w:r>
        <w:br w:type="page"/>
      </w:r>
      <w:r w:rsidRPr="00E4135E">
        <w:rPr>
          <w:b/>
          <w:sz w:val="28"/>
          <w:szCs w:val="28"/>
        </w:rPr>
        <w:lastRenderedPageBreak/>
        <w:t>Statement of Compatibility with Human Rights</w:t>
      </w:r>
    </w:p>
    <w:p w:rsidR="00DC1281" w:rsidRPr="00E4135E" w:rsidRDefault="00DC1281" w:rsidP="00DC1281">
      <w:pPr>
        <w:spacing w:before="120" w:after="120"/>
        <w:ind w:left="720" w:hanging="11"/>
        <w:jc w:val="center"/>
        <w:rPr>
          <w:szCs w:val="24"/>
        </w:rPr>
      </w:pPr>
      <w:r w:rsidRPr="00E4135E">
        <w:rPr>
          <w:i/>
          <w:szCs w:val="24"/>
        </w:rPr>
        <w:t>Prepared in accordance with Part 3 of the Human Rights (Parliamentary Scrutiny) Act 2011</w:t>
      </w:r>
    </w:p>
    <w:p w:rsidR="00DC1281" w:rsidRPr="00DC1281" w:rsidRDefault="00DC1281" w:rsidP="00DC1281">
      <w:pPr>
        <w:spacing w:before="120" w:after="120"/>
        <w:ind w:left="720" w:hanging="11"/>
        <w:jc w:val="center"/>
        <w:rPr>
          <w:b/>
          <w:i/>
          <w:szCs w:val="24"/>
        </w:rPr>
      </w:pPr>
      <w:bookmarkStart w:id="1" w:name="citation"/>
      <w:r w:rsidRPr="00DC1281">
        <w:rPr>
          <w:b/>
          <w:i/>
          <w:szCs w:val="24"/>
        </w:rPr>
        <w:t>National Health Security Amendment Regulation 20</w:t>
      </w:r>
      <w:bookmarkEnd w:id="1"/>
      <w:r w:rsidR="00352AD9">
        <w:rPr>
          <w:b/>
          <w:i/>
          <w:szCs w:val="24"/>
        </w:rPr>
        <w:t>13</w:t>
      </w:r>
      <w:r>
        <w:rPr>
          <w:b/>
          <w:i/>
          <w:szCs w:val="24"/>
        </w:rPr>
        <w:t xml:space="preserve"> (N</w:t>
      </w:r>
      <w:r w:rsidRPr="00DC1281">
        <w:rPr>
          <w:b/>
          <w:i/>
          <w:szCs w:val="24"/>
        </w:rPr>
        <w:t>o</w:t>
      </w:r>
      <w:r w:rsidR="00352AD9">
        <w:rPr>
          <w:b/>
          <w:i/>
          <w:szCs w:val="24"/>
        </w:rPr>
        <w:t>. 1</w:t>
      </w:r>
      <w:r>
        <w:rPr>
          <w:b/>
          <w:i/>
          <w:szCs w:val="24"/>
        </w:rPr>
        <w:t>)</w:t>
      </w:r>
    </w:p>
    <w:p w:rsidR="00DC1281" w:rsidRPr="00E4135E" w:rsidRDefault="00DC1281" w:rsidP="00DC1281">
      <w:pPr>
        <w:spacing w:before="120" w:after="120"/>
        <w:ind w:left="720" w:hanging="11"/>
        <w:jc w:val="center"/>
        <w:rPr>
          <w:szCs w:val="24"/>
        </w:rPr>
      </w:pPr>
      <w:r w:rsidRPr="00E4135E">
        <w:rPr>
          <w:szCs w:val="24"/>
        </w:rPr>
        <w:t>This</w:t>
      </w:r>
      <w:r>
        <w:rPr>
          <w:szCs w:val="24"/>
        </w:rPr>
        <w:t xml:space="preserve">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DC1281" w:rsidRPr="00E4135E" w:rsidRDefault="00DC1281" w:rsidP="00DC1281">
      <w:pPr>
        <w:spacing w:before="120" w:after="120"/>
        <w:ind w:left="720" w:hanging="11"/>
        <w:jc w:val="both"/>
        <w:rPr>
          <w:b/>
          <w:szCs w:val="24"/>
        </w:rPr>
      </w:pPr>
      <w:r w:rsidRPr="00E4135E">
        <w:rPr>
          <w:b/>
          <w:szCs w:val="24"/>
        </w:rPr>
        <w:t>Overview of the Legislative Instrument</w:t>
      </w:r>
    </w:p>
    <w:p w:rsidR="00DC1281" w:rsidRDefault="00DC1281" w:rsidP="00DC1281">
      <w:pPr>
        <w:spacing w:before="120" w:after="120"/>
        <w:ind w:left="720" w:hanging="11"/>
        <w:rPr>
          <w:szCs w:val="24"/>
        </w:rPr>
      </w:pPr>
      <w:r w:rsidRPr="0093670D">
        <w:rPr>
          <w:szCs w:val="24"/>
        </w:rPr>
        <w:t xml:space="preserve">The </w:t>
      </w:r>
      <w:r>
        <w:rPr>
          <w:szCs w:val="24"/>
        </w:rPr>
        <w:t>S</w:t>
      </w:r>
      <w:r w:rsidRPr="006E008E">
        <w:rPr>
          <w:szCs w:val="24"/>
        </w:rPr>
        <w:t>ecu</w:t>
      </w:r>
      <w:r>
        <w:rPr>
          <w:szCs w:val="24"/>
        </w:rPr>
        <w:t>rity Sensitive Biological Agent</w:t>
      </w:r>
      <w:r w:rsidRPr="006E008E">
        <w:rPr>
          <w:szCs w:val="24"/>
        </w:rPr>
        <w:t xml:space="preserve"> (</w:t>
      </w:r>
      <w:r w:rsidRPr="0093670D">
        <w:rPr>
          <w:szCs w:val="24"/>
        </w:rPr>
        <w:t>SSBA</w:t>
      </w:r>
      <w:r>
        <w:rPr>
          <w:szCs w:val="24"/>
        </w:rPr>
        <w:t>)</w:t>
      </w:r>
      <w:r w:rsidRPr="0093670D">
        <w:rPr>
          <w:szCs w:val="24"/>
        </w:rPr>
        <w:t xml:space="preserve"> Regulatory Scheme was established as an outcome related to the recommendations of the Council of Australian Government’s (COAG) </w:t>
      </w:r>
      <w:r w:rsidRPr="0093670D">
        <w:rPr>
          <w:i/>
          <w:szCs w:val="24"/>
        </w:rPr>
        <w:t xml:space="preserve">Report on the Regulation and Control of Biological Agents. </w:t>
      </w:r>
      <w:r w:rsidRPr="0093670D">
        <w:rPr>
          <w:szCs w:val="24"/>
        </w:rPr>
        <w:t xml:space="preserve">The </w:t>
      </w:r>
      <w:r w:rsidRPr="0093670D">
        <w:rPr>
          <w:i/>
          <w:szCs w:val="24"/>
        </w:rPr>
        <w:t xml:space="preserve">National Health Security Act </w:t>
      </w:r>
      <w:r w:rsidRPr="0093670D">
        <w:rPr>
          <w:szCs w:val="24"/>
        </w:rPr>
        <w:t xml:space="preserve">2007 </w:t>
      </w:r>
      <w:r>
        <w:rPr>
          <w:szCs w:val="24"/>
        </w:rPr>
        <w:t xml:space="preserve">(NHS Act) </w:t>
      </w:r>
      <w:r w:rsidRPr="0093670D">
        <w:rPr>
          <w:szCs w:val="24"/>
        </w:rPr>
        <w:t>establishes controls for SSBAs that could be used</w:t>
      </w:r>
      <w:r>
        <w:rPr>
          <w:szCs w:val="24"/>
        </w:rPr>
        <w:t xml:space="preserve"> as            bio-</w:t>
      </w:r>
      <w:r w:rsidRPr="0093670D">
        <w:rPr>
          <w:szCs w:val="24"/>
        </w:rPr>
        <w:t xml:space="preserve">weapons. </w:t>
      </w:r>
    </w:p>
    <w:p w:rsidR="00DC1281" w:rsidRPr="00E34EC7" w:rsidRDefault="00DC1281" w:rsidP="00DC1281">
      <w:pPr>
        <w:spacing w:before="120" w:after="120"/>
        <w:ind w:left="720" w:hanging="11"/>
        <w:rPr>
          <w:szCs w:val="24"/>
        </w:rPr>
      </w:pPr>
      <w:r w:rsidRPr="00951E39">
        <w:rPr>
          <w:szCs w:val="24"/>
        </w:rPr>
        <w:t xml:space="preserve">The NHS Act is supported by the </w:t>
      </w:r>
      <w:r w:rsidRPr="00951E39">
        <w:rPr>
          <w:i/>
          <w:szCs w:val="24"/>
        </w:rPr>
        <w:t>Nati</w:t>
      </w:r>
      <w:r>
        <w:rPr>
          <w:i/>
          <w:szCs w:val="24"/>
        </w:rPr>
        <w:t>onal Health Security Regulation</w:t>
      </w:r>
      <w:r w:rsidRPr="00951E39">
        <w:rPr>
          <w:i/>
          <w:szCs w:val="24"/>
        </w:rPr>
        <w:t xml:space="preserve"> 2008</w:t>
      </w:r>
      <w:r>
        <w:rPr>
          <w:szCs w:val="24"/>
        </w:rPr>
        <w:t xml:space="preserve"> </w:t>
      </w:r>
      <w:r w:rsidRPr="007B783D">
        <w:rPr>
          <w:szCs w:val="24"/>
        </w:rPr>
        <w:t xml:space="preserve">(NHS Regulations) </w:t>
      </w:r>
      <w:r>
        <w:rPr>
          <w:szCs w:val="24"/>
        </w:rPr>
        <w:t xml:space="preserve">and the SSBA Standards. </w:t>
      </w:r>
      <w:r w:rsidRPr="00E34EC7">
        <w:rPr>
          <w:szCs w:val="24"/>
        </w:rPr>
        <w:t xml:space="preserve">Section 95 of </w:t>
      </w:r>
      <w:r>
        <w:rPr>
          <w:szCs w:val="24"/>
        </w:rPr>
        <w:t>the NHS Act provides that the</w:t>
      </w:r>
      <w:r w:rsidRPr="00E34EC7">
        <w:rPr>
          <w:szCs w:val="24"/>
        </w:rPr>
        <w:t xml:space="preserve"> Governor-General may make regulations prescribing matters required or permitted by the</w:t>
      </w:r>
      <w:r>
        <w:rPr>
          <w:szCs w:val="24"/>
        </w:rPr>
        <w:t xml:space="preserve"> NHS </w:t>
      </w:r>
      <w:r w:rsidRPr="00E34EC7">
        <w:rPr>
          <w:szCs w:val="24"/>
        </w:rPr>
        <w:t>Act to be prescribed, or necessary or convenient to be prescribed for carrying out or giving effect to the</w:t>
      </w:r>
      <w:r>
        <w:rPr>
          <w:szCs w:val="24"/>
        </w:rPr>
        <w:t xml:space="preserve"> NHS</w:t>
      </w:r>
      <w:r w:rsidRPr="00E34EC7">
        <w:rPr>
          <w:szCs w:val="24"/>
        </w:rPr>
        <w:t xml:space="preserve"> Act. </w:t>
      </w:r>
    </w:p>
    <w:p w:rsidR="00DC1281" w:rsidRPr="00E34EC7" w:rsidRDefault="00DC1281" w:rsidP="00DC1281">
      <w:pPr>
        <w:spacing w:before="120" w:after="120"/>
        <w:ind w:left="720" w:hanging="11"/>
        <w:rPr>
          <w:szCs w:val="24"/>
        </w:rPr>
      </w:pPr>
      <w:r w:rsidRPr="00E34EC7">
        <w:rPr>
          <w:szCs w:val="24"/>
        </w:rPr>
        <w:t xml:space="preserve">Entities must comply with the requirements of the Act, including reporting and registration requirements, and the SSBA Standards. The NHS Regulations provide for the operational details of the SSBA Regulatory Scheme. </w:t>
      </w:r>
    </w:p>
    <w:p w:rsidR="00DC1281" w:rsidRDefault="00DC1281" w:rsidP="00DC1281">
      <w:pPr>
        <w:spacing w:before="120" w:after="120"/>
        <w:ind w:left="720" w:hanging="11"/>
        <w:rPr>
          <w:szCs w:val="24"/>
        </w:rPr>
      </w:pPr>
      <w:r w:rsidRPr="000C5C84">
        <w:rPr>
          <w:szCs w:val="24"/>
        </w:rPr>
        <w:t>The National Health Security</w:t>
      </w:r>
      <w:r>
        <w:rPr>
          <w:szCs w:val="24"/>
        </w:rPr>
        <w:t xml:space="preserve"> Amendment Regulation 2013 (No.</w:t>
      </w:r>
      <w:r w:rsidR="00352AD9">
        <w:rPr>
          <w:szCs w:val="24"/>
        </w:rPr>
        <w:t xml:space="preserve"> 1</w:t>
      </w:r>
      <w:r w:rsidRPr="000C5C84">
        <w:rPr>
          <w:szCs w:val="24"/>
        </w:rPr>
        <w:t>) (the Amendment Regulation) makes some amendments to the NHS Regulations to facilitate the streamlined reporting arrangements that will be provided for in amendments to the Act and to make other changes that are consequential to the amendments to the Act.</w:t>
      </w:r>
    </w:p>
    <w:p w:rsidR="00DC1281" w:rsidRPr="00E4135E" w:rsidRDefault="00DC1281" w:rsidP="00DC1281">
      <w:pPr>
        <w:spacing w:before="120" w:after="120"/>
        <w:ind w:left="720" w:hanging="11"/>
        <w:rPr>
          <w:b/>
          <w:szCs w:val="24"/>
        </w:rPr>
      </w:pPr>
      <w:r w:rsidRPr="00E4135E">
        <w:rPr>
          <w:b/>
          <w:szCs w:val="24"/>
        </w:rPr>
        <w:t>Human rights implications</w:t>
      </w:r>
    </w:p>
    <w:p w:rsidR="00DC1281" w:rsidRDefault="00DC1281" w:rsidP="00DC1281">
      <w:pPr>
        <w:spacing w:before="120" w:after="120"/>
        <w:ind w:left="720" w:hanging="11"/>
        <w:rPr>
          <w:szCs w:val="24"/>
        </w:rPr>
      </w:pPr>
      <w:r>
        <w:rPr>
          <w:szCs w:val="24"/>
        </w:rPr>
        <w:t xml:space="preserve">Certain regulations require reporting to the Secretary of the Department of Health and Ageing. This is potentially a limitation on the right to privacy and reputation as the information includes the name and business contact information of a person acting as a representative of the entity. This information ensures that the report is made by an authorised representative of the entity and that data is verified. Contact information is held at an appropriate security level. </w:t>
      </w:r>
    </w:p>
    <w:p w:rsidR="00DC1281" w:rsidRPr="00E4135E" w:rsidRDefault="00DC1281" w:rsidP="00DC1281">
      <w:pPr>
        <w:spacing w:before="120" w:after="120"/>
        <w:ind w:left="720" w:hanging="11"/>
        <w:rPr>
          <w:szCs w:val="24"/>
        </w:rPr>
      </w:pPr>
      <w:r>
        <w:rPr>
          <w:szCs w:val="24"/>
        </w:rPr>
        <w:t xml:space="preserve">It is considered that the limitations imposed are reasonable, necessary and proportionate to the level of risk and the national security context of handling SSBAs. </w:t>
      </w:r>
      <w:r w:rsidRPr="00E4135E">
        <w:rPr>
          <w:szCs w:val="24"/>
        </w:rPr>
        <w:t>This Legislative Instrument does not engage any of the</w:t>
      </w:r>
      <w:r>
        <w:rPr>
          <w:szCs w:val="24"/>
        </w:rPr>
        <w:t xml:space="preserve"> applicable rights or freedoms.</w:t>
      </w:r>
    </w:p>
    <w:p w:rsidR="00DC1281" w:rsidRPr="00E4135E" w:rsidRDefault="00DC1281" w:rsidP="00DC1281">
      <w:pPr>
        <w:spacing w:before="120" w:after="120"/>
        <w:ind w:left="720" w:hanging="11"/>
        <w:rPr>
          <w:b/>
          <w:szCs w:val="24"/>
        </w:rPr>
      </w:pPr>
      <w:r w:rsidRPr="00E4135E">
        <w:rPr>
          <w:b/>
          <w:szCs w:val="24"/>
        </w:rPr>
        <w:t>Conclusion</w:t>
      </w:r>
    </w:p>
    <w:p w:rsidR="00DC1281" w:rsidRPr="00E4135E" w:rsidRDefault="00DC1281" w:rsidP="00DC1281">
      <w:pPr>
        <w:spacing w:before="120" w:after="120"/>
        <w:ind w:left="720" w:hanging="11"/>
        <w:rPr>
          <w:szCs w:val="24"/>
        </w:rPr>
      </w:pPr>
      <w:r w:rsidRPr="00E4135E">
        <w:rPr>
          <w:szCs w:val="24"/>
        </w:rPr>
        <w:t xml:space="preserve">This Legislative Instrument is compatible with human rights </w:t>
      </w:r>
      <w:r>
        <w:rPr>
          <w:szCs w:val="24"/>
        </w:rPr>
        <w:t xml:space="preserve">because to the extent that it may limit human rights, those limitations are reasonable, necessary and proportionate. </w:t>
      </w:r>
    </w:p>
    <w:p w:rsidR="00DC1281" w:rsidRDefault="00DC1281" w:rsidP="00DC1281">
      <w:pPr>
        <w:spacing w:before="120" w:after="120"/>
        <w:ind w:left="720" w:hanging="11"/>
        <w:jc w:val="center"/>
        <w:rPr>
          <w:b/>
          <w:bCs/>
          <w:szCs w:val="24"/>
        </w:rPr>
      </w:pPr>
    </w:p>
    <w:p w:rsidR="00DC1281" w:rsidRDefault="00DC1281" w:rsidP="00DC1281">
      <w:pPr>
        <w:spacing w:before="120" w:after="120"/>
        <w:ind w:left="720" w:hanging="11"/>
        <w:jc w:val="center"/>
        <w:rPr>
          <w:b/>
          <w:bCs/>
          <w:szCs w:val="24"/>
        </w:rPr>
      </w:pPr>
      <w:r w:rsidRPr="00645AF2">
        <w:rPr>
          <w:b/>
          <w:bCs/>
          <w:szCs w:val="24"/>
        </w:rPr>
        <w:t>Tanya Plibersek</w:t>
      </w:r>
      <w:r>
        <w:rPr>
          <w:b/>
          <w:bCs/>
          <w:szCs w:val="24"/>
        </w:rPr>
        <w:t xml:space="preserve">,  </w:t>
      </w:r>
    </w:p>
    <w:p w:rsidR="00DC1281" w:rsidRPr="00E4135E" w:rsidRDefault="00DC1281" w:rsidP="00DC1281">
      <w:pPr>
        <w:spacing w:before="120" w:after="120"/>
        <w:ind w:left="720" w:hanging="11"/>
        <w:jc w:val="center"/>
        <w:rPr>
          <w:szCs w:val="24"/>
        </w:rPr>
      </w:pPr>
      <w:r>
        <w:rPr>
          <w:b/>
          <w:bCs/>
          <w:szCs w:val="24"/>
        </w:rPr>
        <w:t>Minister for Health</w:t>
      </w:r>
    </w:p>
    <w:p w:rsidR="00DC1281" w:rsidRPr="00E64EE3" w:rsidRDefault="00DC1281" w:rsidP="00DC1281">
      <w:pPr>
        <w:spacing w:before="0"/>
        <w:ind w:left="720" w:right="-1" w:hanging="11"/>
      </w:pPr>
    </w:p>
    <w:sectPr w:rsidR="00DC1281" w:rsidRPr="00E64EE3" w:rsidSect="007B5BFF">
      <w:headerReference w:type="even" r:id="rId8"/>
      <w:footerReference w:type="even" r:id="rId9"/>
      <w:footerReference w:type="default" r:id="rId10"/>
      <w:pgSz w:w="11906" w:h="16838" w:code="9"/>
      <w:pgMar w:top="1134" w:right="1276" w:bottom="1021"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ADB" w:rsidRDefault="00556ADB">
      <w:r>
        <w:separator/>
      </w:r>
    </w:p>
  </w:endnote>
  <w:endnote w:type="continuationSeparator" w:id="0">
    <w:p w:rsidR="00556ADB" w:rsidRDefault="0055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ADB" w:rsidRDefault="00556ADB" w:rsidP="00B366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6ADB" w:rsidRDefault="00556ADB" w:rsidP="00B366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ADB" w:rsidRDefault="00556ADB">
    <w:pPr>
      <w:pStyle w:val="Footer"/>
      <w:jc w:val="right"/>
    </w:pPr>
  </w:p>
  <w:p w:rsidR="00556ADB" w:rsidRDefault="00556ADB" w:rsidP="00B3660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ADB" w:rsidRDefault="00556ADB">
      <w:r>
        <w:separator/>
      </w:r>
    </w:p>
  </w:footnote>
  <w:footnote w:type="continuationSeparator" w:id="0">
    <w:p w:rsidR="00556ADB" w:rsidRDefault="00556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ADB" w:rsidRDefault="00556ADB" w:rsidP="00B366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6ADB" w:rsidRDefault="00556A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465"/>
    <w:multiLevelType w:val="hybridMultilevel"/>
    <w:tmpl w:val="950207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D7319E"/>
    <w:multiLevelType w:val="hybridMultilevel"/>
    <w:tmpl w:val="EBD87E30"/>
    <w:lvl w:ilvl="0" w:tplc="0C090003">
      <w:start w:val="1"/>
      <w:numFmt w:val="bullet"/>
      <w:lvlText w:val="o"/>
      <w:lvlJc w:val="left"/>
      <w:pPr>
        <w:tabs>
          <w:tab w:val="num" w:pos="928"/>
        </w:tabs>
        <w:ind w:left="928" w:hanging="360"/>
      </w:pPr>
      <w:rPr>
        <w:rFonts w:ascii="Courier New" w:hAnsi="Courier New" w:cs="Arial" w:hint="default"/>
      </w:rPr>
    </w:lvl>
    <w:lvl w:ilvl="1" w:tplc="0C090003">
      <w:start w:val="1"/>
      <w:numFmt w:val="bullet"/>
      <w:lvlText w:val="o"/>
      <w:lvlJc w:val="left"/>
      <w:pPr>
        <w:tabs>
          <w:tab w:val="num" w:pos="1648"/>
        </w:tabs>
        <w:ind w:left="1648" w:hanging="360"/>
      </w:pPr>
      <w:rPr>
        <w:rFonts w:ascii="Courier New" w:hAnsi="Courier New" w:cs="Arial" w:hint="default"/>
      </w:rPr>
    </w:lvl>
    <w:lvl w:ilvl="2" w:tplc="0C090005">
      <w:start w:val="1"/>
      <w:numFmt w:val="bullet"/>
      <w:lvlText w:val=""/>
      <w:lvlJc w:val="left"/>
      <w:pPr>
        <w:tabs>
          <w:tab w:val="num" w:pos="2368"/>
        </w:tabs>
        <w:ind w:left="2368" w:hanging="360"/>
      </w:pPr>
      <w:rPr>
        <w:rFonts w:ascii="Wingdings" w:hAnsi="Wingdings" w:hint="default"/>
      </w:rPr>
    </w:lvl>
    <w:lvl w:ilvl="3" w:tplc="0C090001">
      <w:start w:val="1"/>
      <w:numFmt w:val="bullet"/>
      <w:lvlText w:val=""/>
      <w:lvlJc w:val="left"/>
      <w:pPr>
        <w:tabs>
          <w:tab w:val="num" w:pos="3088"/>
        </w:tabs>
        <w:ind w:left="3088" w:hanging="360"/>
      </w:pPr>
      <w:rPr>
        <w:rFonts w:ascii="Symbol" w:hAnsi="Symbol" w:hint="default"/>
      </w:rPr>
    </w:lvl>
    <w:lvl w:ilvl="4" w:tplc="0C090003" w:tentative="1">
      <w:start w:val="1"/>
      <w:numFmt w:val="bullet"/>
      <w:lvlText w:val="o"/>
      <w:lvlJc w:val="left"/>
      <w:pPr>
        <w:tabs>
          <w:tab w:val="num" w:pos="3808"/>
        </w:tabs>
        <w:ind w:left="3808" w:hanging="360"/>
      </w:pPr>
      <w:rPr>
        <w:rFonts w:ascii="Courier New" w:hAnsi="Courier New" w:cs="Arial" w:hint="default"/>
      </w:rPr>
    </w:lvl>
    <w:lvl w:ilvl="5" w:tplc="0C090005" w:tentative="1">
      <w:start w:val="1"/>
      <w:numFmt w:val="bullet"/>
      <w:lvlText w:val=""/>
      <w:lvlJc w:val="left"/>
      <w:pPr>
        <w:tabs>
          <w:tab w:val="num" w:pos="4528"/>
        </w:tabs>
        <w:ind w:left="4528" w:hanging="360"/>
      </w:pPr>
      <w:rPr>
        <w:rFonts w:ascii="Wingdings" w:hAnsi="Wingdings" w:hint="default"/>
      </w:rPr>
    </w:lvl>
    <w:lvl w:ilvl="6" w:tplc="0C090001" w:tentative="1">
      <w:start w:val="1"/>
      <w:numFmt w:val="bullet"/>
      <w:lvlText w:val=""/>
      <w:lvlJc w:val="left"/>
      <w:pPr>
        <w:tabs>
          <w:tab w:val="num" w:pos="5248"/>
        </w:tabs>
        <w:ind w:left="5248" w:hanging="360"/>
      </w:pPr>
      <w:rPr>
        <w:rFonts w:ascii="Symbol" w:hAnsi="Symbol" w:hint="default"/>
      </w:rPr>
    </w:lvl>
    <w:lvl w:ilvl="7" w:tplc="0C090003" w:tentative="1">
      <w:start w:val="1"/>
      <w:numFmt w:val="bullet"/>
      <w:lvlText w:val="o"/>
      <w:lvlJc w:val="left"/>
      <w:pPr>
        <w:tabs>
          <w:tab w:val="num" w:pos="5968"/>
        </w:tabs>
        <w:ind w:left="5968" w:hanging="360"/>
      </w:pPr>
      <w:rPr>
        <w:rFonts w:ascii="Courier New" w:hAnsi="Courier New" w:cs="Arial" w:hint="default"/>
      </w:rPr>
    </w:lvl>
    <w:lvl w:ilvl="8" w:tplc="0C090005" w:tentative="1">
      <w:start w:val="1"/>
      <w:numFmt w:val="bullet"/>
      <w:lvlText w:val=""/>
      <w:lvlJc w:val="left"/>
      <w:pPr>
        <w:tabs>
          <w:tab w:val="num" w:pos="6688"/>
        </w:tabs>
        <w:ind w:left="6688" w:hanging="360"/>
      </w:pPr>
      <w:rPr>
        <w:rFonts w:ascii="Wingdings" w:hAnsi="Wingdings" w:hint="default"/>
      </w:rPr>
    </w:lvl>
  </w:abstractNum>
  <w:abstractNum w:abstractNumId="2">
    <w:nsid w:val="1F5371DE"/>
    <w:multiLevelType w:val="hybridMultilevel"/>
    <w:tmpl w:val="D25460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982511"/>
    <w:multiLevelType w:val="hybridMultilevel"/>
    <w:tmpl w:val="8EA6EB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111C87"/>
    <w:multiLevelType w:val="hybridMultilevel"/>
    <w:tmpl w:val="4C608CD4"/>
    <w:lvl w:ilvl="0" w:tplc="0C090001">
      <w:start w:val="1"/>
      <w:numFmt w:val="bullet"/>
      <w:lvlText w:val=""/>
      <w:lvlJc w:val="left"/>
      <w:pPr>
        <w:tabs>
          <w:tab w:val="num" w:pos="778"/>
        </w:tabs>
        <w:ind w:left="778" w:hanging="360"/>
      </w:pPr>
      <w:rPr>
        <w:rFonts w:ascii="Symbol" w:hAnsi="Symbol" w:hint="default"/>
      </w:rPr>
    </w:lvl>
    <w:lvl w:ilvl="1" w:tplc="0C090003" w:tentative="1">
      <w:start w:val="1"/>
      <w:numFmt w:val="bullet"/>
      <w:lvlText w:val="o"/>
      <w:lvlJc w:val="left"/>
      <w:pPr>
        <w:tabs>
          <w:tab w:val="num" w:pos="1498"/>
        </w:tabs>
        <w:ind w:left="1498" w:hanging="360"/>
      </w:pPr>
      <w:rPr>
        <w:rFonts w:ascii="Courier New" w:hAnsi="Courier New" w:cs="Arial"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Arial"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Arial"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5">
    <w:nsid w:val="41911DAC"/>
    <w:multiLevelType w:val="hybridMultilevel"/>
    <w:tmpl w:val="040240D0"/>
    <w:lvl w:ilvl="0" w:tplc="0C090001">
      <w:start w:val="1"/>
      <w:numFmt w:val="bullet"/>
      <w:lvlText w:val=""/>
      <w:lvlJc w:val="left"/>
      <w:pPr>
        <w:tabs>
          <w:tab w:val="num" w:pos="839"/>
        </w:tabs>
        <w:ind w:left="839" w:hanging="360"/>
      </w:pPr>
      <w:rPr>
        <w:rFonts w:ascii="Symbol" w:hAnsi="Symbol" w:hint="default"/>
      </w:rPr>
    </w:lvl>
    <w:lvl w:ilvl="1" w:tplc="0C090003" w:tentative="1">
      <w:start w:val="1"/>
      <w:numFmt w:val="bullet"/>
      <w:lvlText w:val="o"/>
      <w:lvlJc w:val="left"/>
      <w:pPr>
        <w:tabs>
          <w:tab w:val="num" w:pos="1559"/>
        </w:tabs>
        <w:ind w:left="1559" w:hanging="360"/>
      </w:pPr>
      <w:rPr>
        <w:rFonts w:ascii="Courier New" w:hAnsi="Courier New" w:cs="Arial" w:hint="default"/>
      </w:rPr>
    </w:lvl>
    <w:lvl w:ilvl="2" w:tplc="0C090005" w:tentative="1">
      <w:start w:val="1"/>
      <w:numFmt w:val="bullet"/>
      <w:lvlText w:val=""/>
      <w:lvlJc w:val="left"/>
      <w:pPr>
        <w:tabs>
          <w:tab w:val="num" w:pos="2279"/>
        </w:tabs>
        <w:ind w:left="2279" w:hanging="360"/>
      </w:pPr>
      <w:rPr>
        <w:rFonts w:ascii="Wingdings" w:hAnsi="Wingdings" w:hint="default"/>
      </w:rPr>
    </w:lvl>
    <w:lvl w:ilvl="3" w:tplc="0C090001" w:tentative="1">
      <w:start w:val="1"/>
      <w:numFmt w:val="bullet"/>
      <w:lvlText w:val=""/>
      <w:lvlJc w:val="left"/>
      <w:pPr>
        <w:tabs>
          <w:tab w:val="num" w:pos="2999"/>
        </w:tabs>
        <w:ind w:left="2999" w:hanging="360"/>
      </w:pPr>
      <w:rPr>
        <w:rFonts w:ascii="Symbol" w:hAnsi="Symbol" w:hint="default"/>
      </w:rPr>
    </w:lvl>
    <w:lvl w:ilvl="4" w:tplc="0C090003" w:tentative="1">
      <w:start w:val="1"/>
      <w:numFmt w:val="bullet"/>
      <w:lvlText w:val="o"/>
      <w:lvlJc w:val="left"/>
      <w:pPr>
        <w:tabs>
          <w:tab w:val="num" w:pos="3719"/>
        </w:tabs>
        <w:ind w:left="3719" w:hanging="360"/>
      </w:pPr>
      <w:rPr>
        <w:rFonts w:ascii="Courier New" w:hAnsi="Courier New" w:cs="Arial" w:hint="default"/>
      </w:rPr>
    </w:lvl>
    <w:lvl w:ilvl="5" w:tplc="0C090005" w:tentative="1">
      <w:start w:val="1"/>
      <w:numFmt w:val="bullet"/>
      <w:lvlText w:val=""/>
      <w:lvlJc w:val="left"/>
      <w:pPr>
        <w:tabs>
          <w:tab w:val="num" w:pos="4439"/>
        </w:tabs>
        <w:ind w:left="4439" w:hanging="360"/>
      </w:pPr>
      <w:rPr>
        <w:rFonts w:ascii="Wingdings" w:hAnsi="Wingdings" w:hint="default"/>
      </w:rPr>
    </w:lvl>
    <w:lvl w:ilvl="6" w:tplc="0C090001" w:tentative="1">
      <w:start w:val="1"/>
      <w:numFmt w:val="bullet"/>
      <w:lvlText w:val=""/>
      <w:lvlJc w:val="left"/>
      <w:pPr>
        <w:tabs>
          <w:tab w:val="num" w:pos="5159"/>
        </w:tabs>
        <w:ind w:left="5159" w:hanging="360"/>
      </w:pPr>
      <w:rPr>
        <w:rFonts w:ascii="Symbol" w:hAnsi="Symbol" w:hint="default"/>
      </w:rPr>
    </w:lvl>
    <w:lvl w:ilvl="7" w:tplc="0C090003" w:tentative="1">
      <w:start w:val="1"/>
      <w:numFmt w:val="bullet"/>
      <w:lvlText w:val="o"/>
      <w:lvlJc w:val="left"/>
      <w:pPr>
        <w:tabs>
          <w:tab w:val="num" w:pos="5879"/>
        </w:tabs>
        <w:ind w:left="5879" w:hanging="360"/>
      </w:pPr>
      <w:rPr>
        <w:rFonts w:ascii="Courier New" w:hAnsi="Courier New" w:cs="Arial" w:hint="default"/>
      </w:rPr>
    </w:lvl>
    <w:lvl w:ilvl="8" w:tplc="0C090005" w:tentative="1">
      <w:start w:val="1"/>
      <w:numFmt w:val="bullet"/>
      <w:lvlText w:val=""/>
      <w:lvlJc w:val="left"/>
      <w:pPr>
        <w:tabs>
          <w:tab w:val="num" w:pos="6599"/>
        </w:tabs>
        <w:ind w:left="6599" w:hanging="360"/>
      </w:pPr>
      <w:rPr>
        <w:rFonts w:ascii="Wingdings" w:hAnsi="Wingdings" w:hint="default"/>
      </w:rPr>
    </w:lvl>
  </w:abstractNum>
  <w:abstractNum w:abstractNumId="6">
    <w:nsid w:val="43723127"/>
    <w:multiLevelType w:val="hybridMultilevel"/>
    <w:tmpl w:val="E4FC2FC4"/>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Arial"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Arial"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Arial"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nsid w:val="463E0300"/>
    <w:multiLevelType w:val="hybridMultilevel"/>
    <w:tmpl w:val="13D8C2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C541EB"/>
    <w:multiLevelType w:val="hybridMultilevel"/>
    <w:tmpl w:val="4BB6DF56"/>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BE75A67"/>
    <w:multiLevelType w:val="hybridMultilevel"/>
    <w:tmpl w:val="EB10847E"/>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num w:numId="1">
    <w:abstractNumId w:val="1"/>
  </w:num>
  <w:num w:numId="2">
    <w:abstractNumId w:val="4"/>
  </w:num>
  <w:num w:numId="3">
    <w:abstractNumId w:val="6"/>
  </w:num>
  <w:num w:numId="4">
    <w:abstractNumId w:val="5"/>
  </w:num>
  <w:num w:numId="5">
    <w:abstractNumId w:val="7"/>
  </w:num>
  <w:num w:numId="6">
    <w:abstractNumId w:val="3"/>
  </w:num>
  <w:num w:numId="7">
    <w:abstractNumId w:val="0"/>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231"/>
    <w:rsid w:val="00015727"/>
    <w:rsid w:val="000C60F5"/>
    <w:rsid w:val="001967E6"/>
    <w:rsid w:val="00285D1F"/>
    <w:rsid w:val="002C6D9E"/>
    <w:rsid w:val="00352AD9"/>
    <w:rsid w:val="003D5C0E"/>
    <w:rsid w:val="0055667E"/>
    <w:rsid w:val="00556ADB"/>
    <w:rsid w:val="005D44DA"/>
    <w:rsid w:val="007B5BFF"/>
    <w:rsid w:val="008517DF"/>
    <w:rsid w:val="00871E10"/>
    <w:rsid w:val="008D1887"/>
    <w:rsid w:val="00940870"/>
    <w:rsid w:val="00957A57"/>
    <w:rsid w:val="009B0B81"/>
    <w:rsid w:val="00A04B41"/>
    <w:rsid w:val="00A45E3F"/>
    <w:rsid w:val="00B36608"/>
    <w:rsid w:val="00BF0D7B"/>
    <w:rsid w:val="00BF2231"/>
    <w:rsid w:val="00C700D4"/>
    <w:rsid w:val="00D731BD"/>
    <w:rsid w:val="00DA6A75"/>
    <w:rsid w:val="00DC1281"/>
    <w:rsid w:val="00E64EE3"/>
    <w:rsid w:val="00EE7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231"/>
    <w:pPr>
      <w:spacing w:before="240"/>
    </w:pPr>
    <w:rPr>
      <w:sz w:val="24"/>
    </w:rPr>
  </w:style>
  <w:style w:type="paragraph" w:styleId="Heading6">
    <w:name w:val="heading 6"/>
    <w:basedOn w:val="Normal"/>
    <w:next w:val="Normal"/>
    <w:qFormat/>
    <w:rsid w:val="00BF2231"/>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a"/>
    <w:rsid w:val="00BF2231"/>
    <w:pPr>
      <w:tabs>
        <w:tab w:val="right" w:pos="1531"/>
      </w:tabs>
      <w:spacing w:before="40"/>
      <w:ind w:left="1644" w:hanging="1644"/>
    </w:pPr>
    <w:rPr>
      <w:sz w:val="22"/>
      <w:szCs w:val="22"/>
    </w:rPr>
  </w:style>
  <w:style w:type="paragraph" w:styleId="Header">
    <w:name w:val="header"/>
    <w:basedOn w:val="Normal"/>
    <w:rsid w:val="00BF2231"/>
    <w:pPr>
      <w:tabs>
        <w:tab w:val="center" w:pos="4153"/>
        <w:tab w:val="right" w:pos="8306"/>
      </w:tabs>
    </w:pPr>
  </w:style>
  <w:style w:type="paragraph" w:styleId="Footer">
    <w:name w:val="footer"/>
    <w:basedOn w:val="Normal"/>
    <w:link w:val="FooterChar"/>
    <w:uiPriority w:val="99"/>
    <w:rsid w:val="00BF2231"/>
    <w:pPr>
      <w:tabs>
        <w:tab w:val="center" w:pos="4153"/>
        <w:tab w:val="right" w:pos="8306"/>
      </w:tabs>
    </w:pPr>
    <w:rPr>
      <w:lang w:val="x-none" w:eastAsia="x-none"/>
    </w:rPr>
  </w:style>
  <w:style w:type="paragraph" w:customStyle="1" w:styleId="Char2">
    <w:name w:val="Char2"/>
    <w:basedOn w:val="Normal"/>
    <w:rsid w:val="00BF2231"/>
    <w:pPr>
      <w:spacing w:before="0"/>
    </w:pPr>
    <w:rPr>
      <w:rFonts w:ascii="Arial" w:hAnsi="Arial" w:cs="Arial"/>
      <w:sz w:val="22"/>
      <w:szCs w:val="22"/>
      <w:lang w:eastAsia="en-US"/>
    </w:rPr>
  </w:style>
  <w:style w:type="paragraph" w:styleId="NormalWeb">
    <w:name w:val="Normal (Web)"/>
    <w:basedOn w:val="Normal"/>
    <w:rsid w:val="00BF2231"/>
    <w:pPr>
      <w:spacing w:before="100" w:beforeAutospacing="1" w:after="100" w:afterAutospacing="1"/>
    </w:pPr>
    <w:rPr>
      <w:szCs w:val="24"/>
    </w:rPr>
  </w:style>
  <w:style w:type="character" w:styleId="PageNumber">
    <w:name w:val="page number"/>
    <w:basedOn w:val="DefaultParagraphFont"/>
    <w:rsid w:val="00BF2231"/>
  </w:style>
  <w:style w:type="paragraph" w:styleId="BalloonText">
    <w:name w:val="Balloon Text"/>
    <w:basedOn w:val="Normal"/>
    <w:semiHidden/>
    <w:rsid w:val="000F578C"/>
    <w:rPr>
      <w:rFonts w:ascii="Tahoma" w:hAnsi="Tahoma" w:cs="Tahoma"/>
      <w:sz w:val="16"/>
      <w:szCs w:val="16"/>
    </w:rPr>
  </w:style>
  <w:style w:type="character" w:styleId="CommentReference">
    <w:name w:val="annotation reference"/>
    <w:semiHidden/>
    <w:rsid w:val="00B668F3"/>
    <w:rPr>
      <w:sz w:val="16"/>
      <w:szCs w:val="16"/>
    </w:rPr>
  </w:style>
  <w:style w:type="paragraph" w:styleId="CommentText">
    <w:name w:val="annotation text"/>
    <w:basedOn w:val="Normal"/>
    <w:semiHidden/>
    <w:rsid w:val="00B668F3"/>
    <w:rPr>
      <w:sz w:val="20"/>
    </w:rPr>
  </w:style>
  <w:style w:type="paragraph" w:styleId="CommentSubject">
    <w:name w:val="annotation subject"/>
    <w:basedOn w:val="CommentText"/>
    <w:next w:val="CommentText"/>
    <w:semiHidden/>
    <w:rsid w:val="00B668F3"/>
    <w:rPr>
      <w:b/>
      <w:bCs/>
    </w:rPr>
  </w:style>
  <w:style w:type="character" w:styleId="Hyperlink">
    <w:name w:val="Hyperlink"/>
    <w:rsid w:val="00271361"/>
    <w:rPr>
      <w:color w:val="0000FF"/>
      <w:u w:val="single"/>
    </w:rPr>
  </w:style>
  <w:style w:type="paragraph" w:customStyle="1" w:styleId="CharCharChar">
    <w:name w:val="Char Char Char"/>
    <w:basedOn w:val="Normal"/>
    <w:rsid w:val="00D12183"/>
    <w:pPr>
      <w:spacing w:before="0"/>
    </w:pPr>
    <w:rPr>
      <w:rFonts w:ascii="Arial" w:hAnsi="Arial" w:cs="Arial"/>
      <w:sz w:val="22"/>
      <w:szCs w:val="22"/>
      <w:lang w:eastAsia="en-US"/>
    </w:rPr>
  </w:style>
  <w:style w:type="character" w:customStyle="1" w:styleId="FooterChar">
    <w:name w:val="Footer Char"/>
    <w:link w:val="Footer"/>
    <w:uiPriority w:val="99"/>
    <w:rsid w:val="008702A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231"/>
    <w:pPr>
      <w:spacing w:before="240"/>
    </w:pPr>
    <w:rPr>
      <w:sz w:val="24"/>
    </w:rPr>
  </w:style>
  <w:style w:type="paragraph" w:styleId="Heading6">
    <w:name w:val="heading 6"/>
    <w:basedOn w:val="Normal"/>
    <w:next w:val="Normal"/>
    <w:qFormat/>
    <w:rsid w:val="00BF2231"/>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a"/>
    <w:rsid w:val="00BF2231"/>
    <w:pPr>
      <w:tabs>
        <w:tab w:val="right" w:pos="1531"/>
      </w:tabs>
      <w:spacing w:before="40"/>
      <w:ind w:left="1644" w:hanging="1644"/>
    </w:pPr>
    <w:rPr>
      <w:sz w:val="22"/>
      <w:szCs w:val="22"/>
    </w:rPr>
  </w:style>
  <w:style w:type="paragraph" w:styleId="Header">
    <w:name w:val="header"/>
    <w:basedOn w:val="Normal"/>
    <w:rsid w:val="00BF2231"/>
    <w:pPr>
      <w:tabs>
        <w:tab w:val="center" w:pos="4153"/>
        <w:tab w:val="right" w:pos="8306"/>
      </w:tabs>
    </w:pPr>
  </w:style>
  <w:style w:type="paragraph" w:styleId="Footer">
    <w:name w:val="footer"/>
    <w:basedOn w:val="Normal"/>
    <w:link w:val="FooterChar"/>
    <w:uiPriority w:val="99"/>
    <w:rsid w:val="00BF2231"/>
    <w:pPr>
      <w:tabs>
        <w:tab w:val="center" w:pos="4153"/>
        <w:tab w:val="right" w:pos="8306"/>
      </w:tabs>
    </w:pPr>
    <w:rPr>
      <w:lang w:val="x-none" w:eastAsia="x-none"/>
    </w:rPr>
  </w:style>
  <w:style w:type="paragraph" w:customStyle="1" w:styleId="Char2">
    <w:name w:val="Char2"/>
    <w:basedOn w:val="Normal"/>
    <w:rsid w:val="00BF2231"/>
    <w:pPr>
      <w:spacing w:before="0"/>
    </w:pPr>
    <w:rPr>
      <w:rFonts w:ascii="Arial" w:hAnsi="Arial" w:cs="Arial"/>
      <w:sz w:val="22"/>
      <w:szCs w:val="22"/>
      <w:lang w:eastAsia="en-US"/>
    </w:rPr>
  </w:style>
  <w:style w:type="paragraph" w:styleId="NormalWeb">
    <w:name w:val="Normal (Web)"/>
    <w:basedOn w:val="Normal"/>
    <w:rsid w:val="00BF2231"/>
    <w:pPr>
      <w:spacing w:before="100" w:beforeAutospacing="1" w:after="100" w:afterAutospacing="1"/>
    </w:pPr>
    <w:rPr>
      <w:szCs w:val="24"/>
    </w:rPr>
  </w:style>
  <w:style w:type="character" w:styleId="PageNumber">
    <w:name w:val="page number"/>
    <w:basedOn w:val="DefaultParagraphFont"/>
    <w:rsid w:val="00BF2231"/>
  </w:style>
  <w:style w:type="paragraph" w:styleId="BalloonText">
    <w:name w:val="Balloon Text"/>
    <w:basedOn w:val="Normal"/>
    <w:semiHidden/>
    <w:rsid w:val="000F578C"/>
    <w:rPr>
      <w:rFonts w:ascii="Tahoma" w:hAnsi="Tahoma" w:cs="Tahoma"/>
      <w:sz w:val="16"/>
      <w:szCs w:val="16"/>
    </w:rPr>
  </w:style>
  <w:style w:type="character" w:styleId="CommentReference">
    <w:name w:val="annotation reference"/>
    <w:semiHidden/>
    <w:rsid w:val="00B668F3"/>
    <w:rPr>
      <w:sz w:val="16"/>
      <w:szCs w:val="16"/>
    </w:rPr>
  </w:style>
  <w:style w:type="paragraph" w:styleId="CommentText">
    <w:name w:val="annotation text"/>
    <w:basedOn w:val="Normal"/>
    <w:semiHidden/>
    <w:rsid w:val="00B668F3"/>
    <w:rPr>
      <w:sz w:val="20"/>
    </w:rPr>
  </w:style>
  <w:style w:type="paragraph" w:styleId="CommentSubject">
    <w:name w:val="annotation subject"/>
    <w:basedOn w:val="CommentText"/>
    <w:next w:val="CommentText"/>
    <w:semiHidden/>
    <w:rsid w:val="00B668F3"/>
    <w:rPr>
      <w:b/>
      <w:bCs/>
    </w:rPr>
  </w:style>
  <w:style w:type="character" w:styleId="Hyperlink">
    <w:name w:val="Hyperlink"/>
    <w:rsid w:val="00271361"/>
    <w:rPr>
      <w:color w:val="0000FF"/>
      <w:u w:val="single"/>
    </w:rPr>
  </w:style>
  <w:style w:type="paragraph" w:customStyle="1" w:styleId="CharCharChar">
    <w:name w:val="Char Char Char"/>
    <w:basedOn w:val="Normal"/>
    <w:rsid w:val="00D12183"/>
    <w:pPr>
      <w:spacing w:before="0"/>
    </w:pPr>
    <w:rPr>
      <w:rFonts w:ascii="Arial" w:hAnsi="Arial" w:cs="Arial"/>
      <w:sz w:val="22"/>
      <w:szCs w:val="22"/>
      <w:lang w:eastAsia="en-US"/>
    </w:rPr>
  </w:style>
  <w:style w:type="character" w:customStyle="1" w:styleId="FooterChar">
    <w:name w:val="Footer Char"/>
    <w:link w:val="Footer"/>
    <w:uiPriority w:val="99"/>
    <w:rsid w:val="008702A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DHA</Company>
  <LinksUpToDate>false</LinksUpToDate>
  <CharactersWithSpaces>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boylek</dc:creator>
  <cp:lastModifiedBy>Hilhorst, Matt</cp:lastModifiedBy>
  <cp:revision>3</cp:revision>
  <cp:lastPrinted>2013-02-12T00:50:00Z</cp:lastPrinted>
  <dcterms:created xsi:type="dcterms:W3CDTF">2013-03-12T02:54:00Z</dcterms:created>
  <dcterms:modified xsi:type="dcterms:W3CDTF">2013-03-12T05:58:00Z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