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4DF" w:rsidRPr="00E654DF" w:rsidRDefault="00E654DF" w:rsidP="00E654DF">
      <w:pPr>
        <w:spacing w:after="100" w:afterAutospacing="1" w:line="240" w:lineRule="auto"/>
        <w:jc w:val="center"/>
        <w:rPr>
          <w:rFonts w:ascii="Helvetica Neue" w:eastAsia="Times New Roman" w:hAnsi="Helvetica Neue" w:cs="Times New Roman"/>
          <w:sz w:val="19"/>
          <w:szCs w:val="19"/>
          <w:lang w:eastAsia="en-AU"/>
        </w:rPr>
      </w:pPr>
      <w:r w:rsidRPr="00E654DF">
        <w:rPr>
          <w:rFonts w:ascii="Helvetica Neue" w:eastAsia="Times New Roman" w:hAnsi="Helvetica Neue" w:cs="Times New Roman"/>
          <w:lang w:eastAsia="en-AU"/>
        </w:rPr>
        <w:t>ASIC MARKET INTEGRITY RULES (ASX MARKET) AMENDMENT 2013 (NO. 1)</w:t>
      </w:r>
    </w:p>
    <w:p w:rsidR="00E654DF" w:rsidRPr="00E654DF" w:rsidRDefault="00E654DF" w:rsidP="00E654DF">
      <w:pPr>
        <w:overflowPunct w:val="0"/>
        <w:spacing w:before="100" w:beforeAutospacing="1" w:after="100" w:afterAutospacing="1" w:line="240" w:lineRule="auto"/>
        <w:ind w:left="567" w:hanging="567"/>
        <w:jc w:val="center"/>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EXPLANATORY STATEMENT</w:t>
      </w:r>
    </w:p>
    <w:p w:rsidR="00E654DF" w:rsidRPr="00E654DF" w:rsidRDefault="00E654DF" w:rsidP="00E654DF">
      <w:pPr>
        <w:overflowPunct w:val="0"/>
        <w:spacing w:before="100" w:beforeAutospacing="1" w:after="100" w:afterAutospacing="1" w:line="240" w:lineRule="auto"/>
        <w:jc w:val="center"/>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Prepared by the Australian Securities and Investments Commission</w:t>
      </w:r>
    </w:p>
    <w:p w:rsidR="00E654DF" w:rsidRPr="00E654DF" w:rsidRDefault="00E654DF" w:rsidP="00E654DF">
      <w:pPr>
        <w:overflowPunct w:val="0"/>
        <w:spacing w:before="100" w:beforeAutospacing="1" w:after="100" w:afterAutospacing="1" w:line="240" w:lineRule="auto"/>
        <w:jc w:val="center"/>
        <w:rPr>
          <w:rFonts w:ascii="Times New Roman" w:eastAsia="Times New Roman" w:hAnsi="Times New Roman" w:cs="Times New Roman"/>
          <w:sz w:val="24"/>
          <w:szCs w:val="24"/>
          <w:lang w:eastAsia="en-AU"/>
        </w:rPr>
      </w:pPr>
      <w:r w:rsidRPr="00E654DF">
        <w:rPr>
          <w:rFonts w:ascii="Times New Roman" w:eastAsia="Times New Roman" w:hAnsi="Times New Roman" w:cs="Times New Roman"/>
          <w:i/>
          <w:iCs/>
          <w:lang w:eastAsia="en-AU"/>
        </w:rPr>
        <w:t>Corporations Act 2001</w:t>
      </w:r>
    </w:p>
    <w:p w:rsidR="00E654DF" w:rsidRPr="00E654DF" w:rsidRDefault="00E654DF" w:rsidP="00E654DF">
      <w:pPr>
        <w:overflowPunct w:val="0"/>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The Australian Securities and Investments Commission (</w:t>
      </w:r>
      <w:r w:rsidRPr="00E654DF">
        <w:rPr>
          <w:rFonts w:ascii="Times New Roman" w:eastAsia="Times New Roman" w:hAnsi="Times New Roman" w:cs="Times New Roman"/>
          <w:b/>
          <w:bCs/>
          <w:i/>
          <w:iCs/>
          <w:lang w:eastAsia="en-AU"/>
        </w:rPr>
        <w:t>ASIC</w:t>
      </w:r>
      <w:r w:rsidRPr="00E654DF">
        <w:rPr>
          <w:rFonts w:ascii="Times New Roman" w:eastAsia="Times New Roman" w:hAnsi="Times New Roman" w:cs="Times New Roman"/>
          <w:lang w:eastAsia="en-AU"/>
        </w:rPr>
        <w:t xml:space="preserve">) makes the </w:t>
      </w:r>
      <w:r w:rsidRPr="00E654DF">
        <w:rPr>
          <w:rFonts w:ascii="Times New Roman" w:eastAsia="Times New Roman" w:hAnsi="Times New Roman" w:cs="Times New Roman"/>
          <w:i/>
          <w:iCs/>
          <w:lang w:eastAsia="en-AU"/>
        </w:rPr>
        <w:t>ASIC Market Integrity Rules (ASX Market) Amendment 2013 (No. 1)</w:t>
      </w:r>
      <w:r w:rsidRPr="00E654DF">
        <w:rPr>
          <w:rFonts w:ascii="Times New Roman" w:eastAsia="Times New Roman" w:hAnsi="Times New Roman" w:cs="Times New Roman"/>
          <w:lang w:eastAsia="en-AU"/>
        </w:rPr>
        <w:t xml:space="preserve"> (the </w:t>
      </w:r>
      <w:r w:rsidRPr="00E654DF">
        <w:rPr>
          <w:rFonts w:ascii="Times New Roman" w:eastAsia="Times New Roman" w:hAnsi="Times New Roman" w:cs="Times New Roman"/>
          <w:b/>
          <w:bCs/>
          <w:i/>
          <w:iCs/>
          <w:lang w:eastAsia="en-AU"/>
        </w:rPr>
        <w:t>Instrument</w:t>
      </w:r>
      <w:r w:rsidRPr="00E654DF">
        <w:rPr>
          <w:rFonts w:ascii="Times New Roman" w:eastAsia="Times New Roman" w:hAnsi="Times New Roman" w:cs="Times New Roman"/>
          <w:lang w:eastAsia="en-AU"/>
        </w:rPr>
        <w:t>)</w:t>
      </w:r>
      <w:r w:rsidRPr="00E654DF">
        <w:rPr>
          <w:rFonts w:ascii="Times New Roman" w:eastAsia="Times New Roman" w:hAnsi="Times New Roman" w:cs="Times New Roman"/>
          <w:b/>
          <w:bCs/>
          <w:i/>
          <w:iCs/>
          <w:lang w:eastAsia="en-AU"/>
        </w:rPr>
        <w:t xml:space="preserve"> </w:t>
      </w:r>
      <w:r w:rsidRPr="00E654DF">
        <w:rPr>
          <w:rFonts w:ascii="Times New Roman" w:eastAsia="Times New Roman" w:hAnsi="Times New Roman" w:cs="Times New Roman"/>
          <w:lang w:eastAsia="en-AU"/>
        </w:rPr>
        <w:t xml:space="preserve">under subsection </w:t>
      </w:r>
      <w:proofErr w:type="gramStart"/>
      <w:r w:rsidRPr="00E654DF">
        <w:rPr>
          <w:rFonts w:ascii="Times New Roman" w:eastAsia="Times New Roman" w:hAnsi="Times New Roman" w:cs="Times New Roman"/>
          <w:lang w:eastAsia="en-AU"/>
        </w:rPr>
        <w:t>798G(</w:t>
      </w:r>
      <w:proofErr w:type="gramEnd"/>
      <w:r w:rsidRPr="00E654DF">
        <w:rPr>
          <w:rFonts w:ascii="Times New Roman" w:eastAsia="Times New Roman" w:hAnsi="Times New Roman" w:cs="Times New Roman"/>
          <w:lang w:eastAsia="en-AU"/>
        </w:rPr>
        <w:t xml:space="preserve">1) of the </w:t>
      </w:r>
      <w:r w:rsidRPr="00E654DF">
        <w:rPr>
          <w:rFonts w:ascii="Times New Roman" w:eastAsia="Times New Roman" w:hAnsi="Times New Roman" w:cs="Times New Roman"/>
          <w:i/>
          <w:iCs/>
          <w:lang w:eastAsia="en-AU"/>
        </w:rPr>
        <w:t>Corporations Act 2001</w:t>
      </w:r>
      <w:r w:rsidRPr="00E654DF">
        <w:rPr>
          <w:rFonts w:ascii="Times New Roman" w:eastAsia="Times New Roman" w:hAnsi="Times New Roman" w:cs="Times New Roman"/>
          <w:lang w:eastAsia="en-AU"/>
        </w:rPr>
        <w:t xml:space="preserve"> (the </w:t>
      </w:r>
      <w:r w:rsidRPr="00E654DF">
        <w:rPr>
          <w:rFonts w:ascii="Times New Roman" w:eastAsia="Times New Roman" w:hAnsi="Times New Roman" w:cs="Times New Roman"/>
          <w:b/>
          <w:bCs/>
          <w:i/>
          <w:iCs/>
          <w:lang w:eastAsia="en-AU"/>
        </w:rPr>
        <w:t>Corporations</w:t>
      </w:r>
      <w:r w:rsidRPr="00E654DF">
        <w:rPr>
          <w:rFonts w:ascii="Times New Roman" w:eastAsia="Times New Roman" w:hAnsi="Times New Roman" w:cs="Times New Roman"/>
          <w:i/>
          <w:iCs/>
          <w:lang w:eastAsia="en-AU"/>
        </w:rPr>
        <w:t xml:space="preserve"> </w:t>
      </w:r>
      <w:r w:rsidRPr="00E654DF">
        <w:rPr>
          <w:rFonts w:ascii="Times New Roman" w:eastAsia="Times New Roman" w:hAnsi="Times New Roman" w:cs="Times New Roman"/>
          <w:b/>
          <w:bCs/>
          <w:i/>
          <w:iCs/>
          <w:lang w:eastAsia="en-AU"/>
        </w:rPr>
        <w:t>Act</w:t>
      </w:r>
      <w:r w:rsidRPr="00E654DF">
        <w:rPr>
          <w:rFonts w:ascii="Times New Roman" w:eastAsia="Times New Roman" w:hAnsi="Times New Roman" w:cs="Times New Roman"/>
          <w:lang w:eastAsia="en-AU"/>
        </w:rPr>
        <w:t xml:space="preserve">). Capitalised terms used in this Explanatory Statement (e.g. “Participant”) are defined in the </w:t>
      </w:r>
      <w:r w:rsidRPr="00E654DF">
        <w:rPr>
          <w:rFonts w:ascii="Times New Roman" w:eastAsia="Times New Roman" w:hAnsi="Times New Roman" w:cs="Times New Roman"/>
          <w:i/>
          <w:iCs/>
          <w:lang w:eastAsia="en-AU"/>
        </w:rPr>
        <w:t>ASIC Market Integrity Rules (ASX Market) 2010</w:t>
      </w:r>
      <w:r w:rsidRPr="00E654DF">
        <w:rPr>
          <w:rFonts w:ascii="Times New Roman" w:eastAsia="Times New Roman" w:hAnsi="Times New Roman" w:cs="Times New Roman"/>
          <w:lang w:eastAsia="en-AU"/>
        </w:rPr>
        <w:t xml:space="preserve"> (the </w:t>
      </w:r>
      <w:r w:rsidRPr="00E654DF">
        <w:rPr>
          <w:rFonts w:ascii="Times New Roman" w:eastAsia="Times New Roman" w:hAnsi="Times New Roman" w:cs="Times New Roman"/>
          <w:b/>
          <w:bCs/>
          <w:i/>
          <w:iCs/>
          <w:lang w:eastAsia="en-AU"/>
        </w:rPr>
        <w:t>ASIC Market Integrity Rules (ASX)</w:t>
      </w:r>
      <w:r w:rsidRPr="00E654DF">
        <w:rPr>
          <w:rFonts w:ascii="Times New Roman" w:eastAsia="Times New Roman" w:hAnsi="Times New Roman" w:cs="Times New Roman"/>
          <w:lang w:eastAsia="en-AU"/>
        </w:rPr>
        <w:t>).</w:t>
      </w:r>
    </w:p>
    <w:p w:rsidR="00E654DF" w:rsidRPr="00E654DF" w:rsidRDefault="00E654DF" w:rsidP="00E654DF">
      <w:pPr>
        <w:overflowPunct w:val="0"/>
        <w:spacing w:before="200" w:after="100" w:afterAutospacing="1" w:line="240" w:lineRule="auto"/>
        <w:ind w:left="357" w:hanging="357"/>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1.</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Enabling legislation</w:t>
      </w:r>
    </w:p>
    <w:p w:rsidR="00E654DF" w:rsidRPr="00E654DF" w:rsidRDefault="00E654DF" w:rsidP="00E654DF">
      <w:pPr>
        <w:overflowPunct w:val="0"/>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Subsection </w:t>
      </w:r>
      <w:proofErr w:type="gramStart"/>
      <w:r w:rsidRPr="00E654DF">
        <w:rPr>
          <w:rFonts w:ascii="Times New Roman" w:eastAsia="Times New Roman" w:hAnsi="Times New Roman" w:cs="Times New Roman"/>
          <w:lang w:eastAsia="en-AU"/>
        </w:rPr>
        <w:t>798G(</w:t>
      </w:r>
      <w:proofErr w:type="gramEnd"/>
      <w:r w:rsidRPr="00E654DF">
        <w:rPr>
          <w:rFonts w:ascii="Times New Roman" w:eastAsia="Times New Roman" w:hAnsi="Times New Roman" w:cs="Times New Roman"/>
          <w:lang w:eastAsia="en-AU"/>
        </w:rPr>
        <w:t>1) of the Act provides that ASIC may, by legislative instrument, make rules that deal with the following:</w:t>
      </w:r>
    </w:p>
    <w:p w:rsidR="00E654DF" w:rsidRPr="00E654DF" w:rsidRDefault="00E654DF" w:rsidP="00E654DF">
      <w:pPr>
        <w:spacing w:before="100" w:beforeAutospacing="1" w:after="100" w:afterAutospacing="1" w:line="240" w:lineRule="auto"/>
        <w:ind w:left="1134" w:hanging="425"/>
        <w:rPr>
          <w:rFonts w:ascii="Helvetica Neue" w:eastAsia="Times New Roman" w:hAnsi="Helvetica Neue" w:cs="Times New Roman"/>
          <w:sz w:val="19"/>
          <w:szCs w:val="19"/>
          <w:lang w:eastAsia="en-AU"/>
        </w:rPr>
      </w:pPr>
      <w:r w:rsidRPr="00E654DF">
        <w:rPr>
          <w:rFonts w:ascii="Helvetica Neue" w:eastAsia="Times New Roman" w:hAnsi="Helvetica Neue" w:cs="Times New Roman"/>
          <w:sz w:val="18"/>
          <w:szCs w:val="18"/>
          <w:lang w:eastAsia="en-AU"/>
        </w:rPr>
        <w:t>(a)</w:t>
      </w:r>
      <w:r w:rsidRPr="00E654DF">
        <w:rPr>
          <w:rFonts w:ascii="Times New Roman" w:eastAsia="Times New Roman" w:hAnsi="Times New Roman" w:cs="Times New Roman"/>
          <w:sz w:val="14"/>
          <w:szCs w:val="14"/>
          <w:lang w:eastAsia="en-AU"/>
        </w:rPr>
        <w:t xml:space="preserve">        </w:t>
      </w:r>
      <w:proofErr w:type="gramStart"/>
      <w:r w:rsidRPr="00E654DF">
        <w:rPr>
          <w:rFonts w:ascii="Helvetica Neue" w:eastAsia="Times New Roman" w:hAnsi="Helvetica Neue" w:cs="Times New Roman"/>
          <w:lang w:eastAsia="en-AU"/>
        </w:rPr>
        <w:t>the</w:t>
      </w:r>
      <w:proofErr w:type="gramEnd"/>
      <w:r w:rsidRPr="00E654DF">
        <w:rPr>
          <w:rFonts w:ascii="Helvetica Neue" w:eastAsia="Times New Roman" w:hAnsi="Helvetica Neue" w:cs="Times New Roman"/>
          <w:lang w:eastAsia="en-AU"/>
        </w:rPr>
        <w:t xml:space="preserve"> activities or conduct of licensed markets;</w:t>
      </w:r>
    </w:p>
    <w:p w:rsidR="00E654DF" w:rsidRPr="00E654DF" w:rsidRDefault="00E654DF" w:rsidP="00E654DF">
      <w:pPr>
        <w:spacing w:after="100" w:afterAutospacing="1" w:line="240" w:lineRule="auto"/>
        <w:ind w:left="1134" w:hanging="425"/>
        <w:rPr>
          <w:rFonts w:ascii="Helvetica Neue" w:eastAsia="Times New Roman" w:hAnsi="Helvetica Neue" w:cs="Times New Roman"/>
          <w:sz w:val="19"/>
          <w:szCs w:val="19"/>
          <w:lang w:eastAsia="en-AU"/>
        </w:rPr>
      </w:pPr>
      <w:r w:rsidRPr="00E654DF">
        <w:rPr>
          <w:rFonts w:ascii="Helvetica Neue" w:eastAsia="Times New Roman" w:hAnsi="Helvetica Neue" w:cs="Times New Roman"/>
          <w:sz w:val="18"/>
          <w:szCs w:val="18"/>
          <w:lang w:eastAsia="en-AU"/>
        </w:rPr>
        <w:t>(b)</w:t>
      </w:r>
      <w:r w:rsidRPr="00E654DF">
        <w:rPr>
          <w:rFonts w:ascii="Times New Roman" w:eastAsia="Times New Roman" w:hAnsi="Times New Roman" w:cs="Times New Roman"/>
          <w:sz w:val="14"/>
          <w:szCs w:val="14"/>
          <w:lang w:eastAsia="en-AU"/>
        </w:rPr>
        <w:t xml:space="preserve">        </w:t>
      </w:r>
      <w:proofErr w:type="gramStart"/>
      <w:r w:rsidRPr="00E654DF">
        <w:rPr>
          <w:rFonts w:ascii="Helvetica Neue" w:eastAsia="Times New Roman" w:hAnsi="Helvetica Neue" w:cs="Times New Roman"/>
          <w:sz w:val="19"/>
          <w:szCs w:val="19"/>
          <w:lang w:eastAsia="en-AU"/>
        </w:rPr>
        <w:t>the</w:t>
      </w:r>
      <w:proofErr w:type="gramEnd"/>
      <w:r w:rsidRPr="00E654DF">
        <w:rPr>
          <w:rFonts w:ascii="Helvetica Neue" w:eastAsia="Times New Roman" w:hAnsi="Helvetica Neue" w:cs="Times New Roman"/>
          <w:sz w:val="19"/>
          <w:szCs w:val="19"/>
          <w:lang w:eastAsia="en-AU"/>
        </w:rPr>
        <w:t xml:space="preserve"> activities or conduct of persons in relation to licensed markets;</w:t>
      </w:r>
    </w:p>
    <w:p w:rsidR="00E654DF" w:rsidRPr="00E654DF" w:rsidRDefault="00E654DF" w:rsidP="00E654DF">
      <w:pPr>
        <w:spacing w:after="100" w:afterAutospacing="1" w:line="240" w:lineRule="auto"/>
        <w:ind w:left="1134" w:hanging="425"/>
        <w:rPr>
          <w:rFonts w:ascii="Helvetica Neue" w:eastAsia="Times New Roman" w:hAnsi="Helvetica Neue" w:cs="Times New Roman"/>
          <w:sz w:val="19"/>
          <w:szCs w:val="19"/>
          <w:lang w:eastAsia="en-AU"/>
        </w:rPr>
      </w:pPr>
      <w:r w:rsidRPr="00E654DF">
        <w:rPr>
          <w:rFonts w:ascii="Helvetica Neue" w:eastAsia="Times New Roman" w:hAnsi="Helvetica Neue" w:cs="Times New Roman"/>
          <w:sz w:val="18"/>
          <w:szCs w:val="18"/>
          <w:lang w:eastAsia="en-AU"/>
        </w:rPr>
        <w:t>(c)</w:t>
      </w:r>
      <w:r w:rsidRPr="00E654DF">
        <w:rPr>
          <w:rFonts w:ascii="Times New Roman" w:eastAsia="Times New Roman" w:hAnsi="Times New Roman" w:cs="Times New Roman"/>
          <w:sz w:val="14"/>
          <w:szCs w:val="14"/>
          <w:lang w:eastAsia="en-AU"/>
        </w:rPr>
        <w:t xml:space="preserve">        </w:t>
      </w:r>
      <w:proofErr w:type="gramStart"/>
      <w:r w:rsidRPr="00E654DF">
        <w:rPr>
          <w:rFonts w:ascii="Helvetica Neue" w:eastAsia="Times New Roman" w:hAnsi="Helvetica Neue" w:cs="Times New Roman"/>
          <w:sz w:val="19"/>
          <w:szCs w:val="19"/>
          <w:lang w:eastAsia="en-AU"/>
        </w:rPr>
        <w:t>the</w:t>
      </w:r>
      <w:proofErr w:type="gramEnd"/>
      <w:r w:rsidRPr="00E654DF">
        <w:rPr>
          <w:rFonts w:ascii="Helvetica Neue" w:eastAsia="Times New Roman" w:hAnsi="Helvetica Neue" w:cs="Times New Roman"/>
          <w:sz w:val="19"/>
          <w:szCs w:val="19"/>
          <w:lang w:eastAsia="en-AU"/>
        </w:rPr>
        <w:t xml:space="preserve"> activities or conduct of persons in relation to financial products traded on licensed markets.</w:t>
      </w:r>
    </w:p>
    <w:p w:rsidR="00E654DF" w:rsidRPr="00E654DF" w:rsidRDefault="00E654DF" w:rsidP="00E654DF">
      <w:pPr>
        <w:overflowPunct w:val="0"/>
        <w:spacing w:before="200" w:after="100" w:afterAutospacing="1" w:line="240" w:lineRule="auto"/>
        <w:ind w:left="357" w:hanging="357"/>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2.</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Purpose of the legislative instrument</w:t>
      </w:r>
    </w:p>
    <w:p w:rsidR="00E654DF" w:rsidRPr="00E654DF" w:rsidRDefault="00E654DF" w:rsidP="00E654DF">
      <w:pPr>
        <w:spacing w:before="200"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The Instrument extends the scope of the ASIC Market Integrity Rules (ASX) to include depository interests in Commonwealth Government Securities (CGS) trading on the Australian Securities Exchange (ASX).</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The amendments form part of the implementation of the Australian Government's initiative to facilitate retail trading in CGS depository interests which will be similar to trading in equity market products on the ASX Market.</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For the avoidance of doubt, the Instrument amends the definitions of “Cash Market Product” and “Trading Status” in Rule 1.4.3 (ASX) to expressly include a CGS depository interest.</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These amendments will ensure that the ASIC Market Integrity Rules (ASX) applicable to a trade in a “Cash Market Product” will apply to a CGS depository interest.  This approach is also consistent with the approach ASX has taken to the application of the ASX Operating Rules to CGS depository interests.</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A market participant will be subjected to general obligations under the ASIC Market Integrity Rules (ASX) regarding the conduct and supervision of their business, when dealing in CGS depository interests.</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Details of the Instrument are contained in </w:t>
      </w:r>
      <w:r w:rsidRPr="00E654DF">
        <w:rPr>
          <w:rFonts w:ascii="Times New Roman" w:eastAsia="Times New Roman" w:hAnsi="Times New Roman" w:cs="Times New Roman"/>
          <w:u w:val="single"/>
          <w:lang w:eastAsia="en-AU"/>
        </w:rPr>
        <w:t>Attachment A.</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br w:type="page"/>
        <w:t> </w:t>
      </w:r>
    </w:p>
    <w:p w:rsidR="00E654DF" w:rsidRPr="00E654DF" w:rsidRDefault="00E654DF" w:rsidP="00E654DF">
      <w:pPr>
        <w:keepNext/>
        <w:overflowPunct w:val="0"/>
        <w:spacing w:before="200" w:after="100" w:afterAutospacing="1" w:line="240" w:lineRule="auto"/>
        <w:ind w:left="357" w:hanging="357"/>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3.</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Consultation</w:t>
      </w:r>
    </w:p>
    <w:p w:rsidR="00E11ADB" w:rsidRDefault="00E654DF" w:rsidP="00E654DF">
      <w:pPr>
        <w:spacing w:before="200" w:after="100" w:afterAutospacing="1" w:line="240" w:lineRule="auto"/>
        <w:rPr>
          <w:rFonts w:ascii="Times New Roman" w:eastAsia="Times New Roman" w:hAnsi="Times New Roman" w:cs="Times New Roman"/>
          <w:lang w:eastAsia="en-AU"/>
        </w:rPr>
      </w:pPr>
      <w:r w:rsidRPr="00E654DF">
        <w:rPr>
          <w:rFonts w:ascii="Times New Roman" w:eastAsia="Times New Roman" w:hAnsi="Times New Roman" w:cs="Times New Roman"/>
          <w:lang w:eastAsia="en-AU"/>
        </w:rPr>
        <w:t xml:space="preserve">In January 2013, ASIC wrote to stakeholders seeking feedback on the </w:t>
      </w:r>
      <w:r w:rsidR="00E11ADB">
        <w:rPr>
          <w:rFonts w:ascii="Times New Roman" w:eastAsia="Times New Roman" w:hAnsi="Times New Roman" w:cs="Times New Roman"/>
          <w:lang w:eastAsia="en-AU"/>
        </w:rPr>
        <w:t xml:space="preserve">proposed </w:t>
      </w:r>
      <w:r w:rsidRPr="00E654DF">
        <w:rPr>
          <w:rFonts w:ascii="Times New Roman" w:eastAsia="Times New Roman" w:hAnsi="Times New Roman" w:cs="Times New Roman"/>
          <w:lang w:eastAsia="en-AU"/>
        </w:rPr>
        <w:t>amendments</w:t>
      </w:r>
      <w:r w:rsidR="00DB2DCB">
        <w:rPr>
          <w:rFonts w:ascii="Times New Roman" w:eastAsia="Times New Roman" w:hAnsi="Times New Roman" w:cs="Times New Roman"/>
          <w:lang w:eastAsia="en-AU"/>
        </w:rPr>
        <w:t xml:space="preserve"> and including a marked up amendment to the ASIC Market Integrity Rules (ASX)</w:t>
      </w:r>
      <w:r w:rsidR="00E11ADB">
        <w:rPr>
          <w:rFonts w:ascii="Times New Roman" w:eastAsia="Times New Roman" w:hAnsi="Times New Roman" w:cs="Times New Roman"/>
          <w:lang w:eastAsia="en-AU"/>
        </w:rPr>
        <w:t>.</w:t>
      </w:r>
      <w:r w:rsidR="00DB2DCB">
        <w:rPr>
          <w:rFonts w:ascii="Times New Roman" w:eastAsia="Times New Roman" w:hAnsi="Times New Roman" w:cs="Times New Roman"/>
          <w:lang w:eastAsia="en-AU"/>
        </w:rPr>
        <w:t xml:space="preserve">  </w:t>
      </w:r>
      <w:r w:rsidR="00DB2DCB" w:rsidRPr="00DB2DCB">
        <w:rPr>
          <w:rFonts w:ascii="Times New Roman" w:eastAsia="Times New Roman" w:hAnsi="Times New Roman" w:cs="Times New Roman"/>
          <w:lang w:eastAsia="en-AU"/>
        </w:rPr>
        <w:t>ASIC engaged in a targeted consultation process by writing to all interested stakeholders</w:t>
      </w:r>
      <w:r w:rsidR="00DB2DCB">
        <w:rPr>
          <w:rFonts w:ascii="Times New Roman" w:eastAsia="Times New Roman" w:hAnsi="Times New Roman" w:cs="Times New Roman"/>
          <w:lang w:eastAsia="en-AU"/>
        </w:rPr>
        <w:t>, including those who had engaged in</w:t>
      </w:r>
      <w:r w:rsidR="000F4645">
        <w:rPr>
          <w:rFonts w:ascii="Times New Roman" w:eastAsia="Times New Roman" w:hAnsi="Times New Roman" w:cs="Times New Roman"/>
          <w:lang w:eastAsia="en-AU"/>
        </w:rPr>
        <w:t xml:space="preserve"> a</w:t>
      </w:r>
      <w:r w:rsidR="00DB2DCB">
        <w:rPr>
          <w:rFonts w:ascii="Times New Roman" w:eastAsia="Times New Roman" w:hAnsi="Times New Roman" w:cs="Times New Roman"/>
          <w:lang w:eastAsia="en-AU"/>
        </w:rPr>
        <w:t xml:space="preserve"> related consultation process</w:t>
      </w:r>
      <w:r w:rsidR="000F4645">
        <w:rPr>
          <w:rFonts w:ascii="Times New Roman" w:eastAsia="Times New Roman" w:hAnsi="Times New Roman" w:cs="Times New Roman"/>
          <w:lang w:eastAsia="en-AU"/>
        </w:rPr>
        <w:t xml:space="preserve"> (outlined below)</w:t>
      </w:r>
      <w:r w:rsidR="00DB2DCB">
        <w:rPr>
          <w:rFonts w:ascii="Times New Roman" w:eastAsia="Times New Roman" w:hAnsi="Times New Roman" w:cs="Times New Roman"/>
          <w:lang w:eastAsia="en-AU"/>
        </w:rPr>
        <w:t>,</w:t>
      </w:r>
      <w:r w:rsidR="00DB2DCB" w:rsidRPr="00DB2DCB">
        <w:rPr>
          <w:rFonts w:ascii="Times New Roman" w:eastAsia="Times New Roman" w:hAnsi="Times New Roman" w:cs="Times New Roman"/>
          <w:lang w:eastAsia="en-AU"/>
        </w:rPr>
        <w:t xml:space="preserve"> rather than issuing a formal consultation paper.</w:t>
      </w:r>
      <w:r w:rsidR="00DB2DCB">
        <w:rPr>
          <w:rFonts w:ascii="Times New Roman" w:eastAsia="Times New Roman" w:hAnsi="Times New Roman" w:cs="Times New Roman"/>
          <w:lang w:eastAsia="en-AU"/>
        </w:rPr>
        <w:t xml:space="preserve">  This </w:t>
      </w:r>
      <w:r w:rsidR="000F4645">
        <w:rPr>
          <w:rFonts w:ascii="Times New Roman" w:eastAsia="Times New Roman" w:hAnsi="Times New Roman" w:cs="Times New Roman"/>
          <w:lang w:eastAsia="en-AU"/>
        </w:rPr>
        <w:t xml:space="preserve">targeted </w:t>
      </w:r>
      <w:r w:rsidR="00DB2DCB">
        <w:rPr>
          <w:rFonts w:ascii="Times New Roman" w:eastAsia="Times New Roman" w:hAnsi="Times New Roman" w:cs="Times New Roman"/>
          <w:lang w:eastAsia="en-AU"/>
        </w:rPr>
        <w:t xml:space="preserve">method of consultation was used because </w:t>
      </w:r>
      <w:r w:rsidR="00E11ADB">
        <w:rPr>
          <w:rFonts w:ascii="Times New Roman" w:eastAsia="Times New Roman" w:hAnsi="Times New Roman" w:cs="Times New Roman"/>
          <w:lang w:eastAsia="en-AU"/>
        </w:rPr>
        <w:t>the nature</w:t>
      </w:r>
      <w:r w:rsidR="000F4645">
        <w:rPr>
          <w:rFonts w:ascii="Times New Roman" w:eastAsia="Times New Roman" w:hAnsi="Times New Roman" w:cs="Times New Roman"/>
          <w:lang w:eastAsia="en-AU"/>
        </w:rPr>
        <w:t xml:space="preserve"> and impact</w:t>
      </w:r>
      <w:r w:rsidR="00E11ADB">
        <w:rPr>
          <w:rFonts w:ascii="Times New Roman" w:eastAsia="Times New Roman" w:hAnsi="Times New Roman" w:cs="Times New Roman"/>
          <w:lang w:eastAsia="en-AU"/>
        </w:rPr>
        <w:t xml:space="preserve"> of the proposed amendments </w:t>
      </w:r>
      <w:r w:rsidR="00DB2DCB">
        <w:rPr>
          <w:rFonts w:ascii="Times New Roman" w:eastAsia="Times New Roman" w:hAnsi="Times New Roman" w:cs="Times New Roman"/>
          <w:lang w:eastAsia="en-AU"/>
        </w:rPr>
        <w:t>we</w:t>
      </w:r>
      <w:r w:rsidR="00E11ADB">
        <w:rPr>
          <w:rFonts w:ascii="Times New Roman" w:eastAsia="Times New Roman" w:hAnsi="Times New Roman" w:cs="Times New Roman"/>
          <w:lang w:eastAsia="en-AU"/>
        </w:rPr>
        <w:t>re minor</w:t>
      </w:r>
      <w:r w:rsidR="00DB2DCB">
        <w:rPr>
          <w:rFonts w:ascii="Times New Roman" w:eastAsia="Times New Roman" w:hAnsi="Times New Roman" w:cs="Times New Roman"/>
          <w:lang w:eastAsia="en-AU"/>
        </w:rPr>
        <w:t xml:space="preserve">, proposed to be </w:t>
      </w:r>
      <w:r w:rsidR="00E11ADB">
        <w:rPr>
          <w:rFonts w:ascii="Times New Roman" w:eastAsia="Times New Roman" w:hAnsi="Times New Roman" w:cs="Times New Roman"/>
          <w:lang w:eastAsia="en-AU"/>
        </w:rPr>
        <w:t>made for the avoidance of doubt and to ensure consistency with the ASX’s amendments to its operating rules</w:t>
      </w:r>
      <w:r w:rsidR="00DB2DCB">
        <w:rPr>
          <w:rFonts w:ascii="Times New Roman" w:eastAsia="Times New Roman" w:hAnsi="Times New Roman" w:cs="Times New Roman"/>
          <w:lang w:eastAsia="en-AU"/>
        </w:rPr>
        <w:t>.</w:t>
      </w:r>
      <w:r w:rsidR="000F4645">
        <w:rPr>
          <w:rFonts w:ascii="Times New Roman" w:eastAsia="Times New Roman" w:hAnsi="Times New Roman" w:cs="Times New Roman"/>
          <w:lang w:eastAsia="en-AU"/>
        </w:rPr>
        <w:t xml:space="preserve">  </w:t>
      </w:r>
      <w:r w:rsidR="00DB2DCB">
        <w:rPr>
          <w:rFonts w:ascii="Times New Roman" w:eastAsia="Times New Roman" w:hAnsi="Times New Roman" w:cs="Times New Roman"/>
          <w:lang w:eastAsia="en-AU"/>
        </w:rPr>
        <w:t xml:space="preserve">  </w:t>
      </w:r>
    </w:p>
    <w:p w:rsidR="00E654DF" w:rsidRDefault="00647885" w:rsidP="00E654DF">
      <w:pPr>
        <w:spacing w:before="200" w:after="100" w:afterAutospacing="1"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ASIC</w:t>
      </w:r>
      <w:r w:rsidR="00E11ADB">
        <w:rPr>
          <w:rFonts w:ascii="Times New Roman" w:eastAsia="Times New Roman" w:hAnsi="Times New Roman" w:cs="Times New Roman"/>
          <w:lang w:eastAsia="en-AU"/>
        </w:rPr>
        <w:t xml:space="preserve"> received three responses to the </w:t>
      </w:r>
      <w:r w:rsidR="00DB2DCB">
        <w:rPr>
          <w:rFonts w:ascii="Times New Roman" w:eastAsia="Times New Roman" w:hAnsi="Times New Roman" w:cs="Times New Roman"/>
          <w:lang w:eastAsia="en-AU"/>
        </w:rPr>
        <w:t xml:space="preserve">invitation to provide comments on the proposed amendments.  </w:t>
      </w:r>
      <w:r w:rsidR="00E654DF" w:rsidRPr="00E654DF">
        <w:rPr>
          <w:rFonts w:ascii="Times New Roman" w:eastAsia="Times New Roman" w:hAnsi="Times New Roman" w:cs="Times New Roman"/>
          <w:lang w:eastAsia="en-AU"/>
        </w:rPr>
        <w:t>All respondents agreed with the</w:t>
      </w:r>
      <w:r w:rsidR="000F4645">
        <w:rPr>
          <w:rFonts w:ascii="Times New Roman" w:eastAsia="Times New Roman" w:hAnsi="Times New Roman" w:cs="Times New Roman"/>
          <w:lang w:eastAsia="en-AU"/>
        </w:rPr>
        <w:t xml:space="preserve"> proposed</w:t>
      </w:r>
      <w:r w:rsidR="00E654DF" w:rsidRPr="00E654DF">
        <w:rPr>
          <w:rFonts w:ascii="Times New Roman" w:eastAsia="Times New Roman" w:hAnsi="Times New Roman" w:cs="Times New Roman"/>
          <w:lang w:eastAsia="en-AU"/>
        </w:rPr>
        <w:t xml:space="preserve"> amendments.</w:t>
      </w:r>
    </w:p>
    <w:p w:rsidR="004964F8" w:rsidRPr="004964F8" w:rsidRDefault="009A60EE" w:rsidP="004964F8">
      <w:pPr>
        <w:spacing w:before="200" w:after="100" w:afterAutospacing="1"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amendments to the </w:t>
      </w:r>
      <w:r w:rsidR="004964F8">
        <w:rPr>
          <w:rFonts w:ascii="Times New Roman" w:eastAsia="Times New Roman" w:hAnsi="Times New Roman" w:cs="Times New Roman"/>
          <w:lang w:eastAsia="en-AU"/>
        </w:rPr>
        <w:t>ASIC Market Integrity Rules (ASX) are part of a broader set of changes to the existing regulatory framework which enable the Australian Government’s initiative to facilitate retail trading in CGS depository interests.  These broader changes include amendments to existing ASIC Market Integrity Rules (Competition in Exchange Markets) 2011 (</w:t>
      </w:r>
      <w:r w:rsidR="004964F8" w:rsidRPr="00E11ADB">
        <w:rPr>
          <w:rFonts w:ascii="Times New Roman" w:eastAsia="Times New Roman" w:hAnsi="Times New Roman" w:cs="Times New Roman"/>
          <w:b/>
          <w:lang w:eastAsia="en-AU"/>
        </w:rPr>
        <w:t>ASIC Market Integrity Rules (Competition)</w:t>
      </w:r>
      <w:r w:rsidR="004964F8">
        <w:rPr>
          <w:rFonts w:ascii="Times New Roman" w:eastAsia="Times New Roman" w:hAnsi="Times New Roman" w:cs="Times New Roman"/>
          <w:lang w:eastAsia="en-AU"/>
        </w:rPr>
        <w:t xml:space="preserve">). </w:t>
      </w:r>
      <w:r w:rsidR="004964F8" w:rsidRPr="004964F8">
        <w:rPr>
          <w:rFonts w:ascii="Times New Roman" w:eastAsia="Times New Roman" w:hAnsi="Times New Roman" w:cs="Times New Roman"/>
          <w:lang w:eastAsia="en-AU"/>
        </w:rPr>
        <w:t>ASIC has consulted on its package of amendments</w:t>
      </w:r>
      <w:r w:rsidR="000F4645">
        <w:rPr>
          <w:rFonts w:ascii="Times New Roman" w:eastAsia="Times New Roman" w:hAnsi="Times New Roman" w:cs="Times New Roman"/>
          <w:lang w:eastAsia="en-AU"/>
        </w:rPr>
        <w:t xml:space="preserve"> to the ASIC Market Integrity Rules (Competition)</w:t>
      </w:r>
      <w:r w:rsidR="004964F8" w:rsidRPr="004964F8">
        <w:rPr>
          <w:rFonts w:ascii="Times New Roman" w:eastAsia="Times New Roman" w:hAnsi="Times New Roman" w:cs="Times New Roman"/>
          <w:lang w:eastAsia="en-AU"/>
        </w:rPr>
        <w:t xml:space="preserve"> through the following steps:</w:t>
      </w:r>
    </w:p>
    <w:p w:rsidR="004964F8" w:rsidRPr="004964F8" w:rsidRDefault="004964F8" w:rsidP="004964F8">
      <w:pPr>
        <w:pStyle w:val="ListParagraph"/>
        <w:numPr>
          <w:ilvl w:val="0"/>
          <w:numId w:val="1"/>
        </w:numPr>
        <w:spacing w:before="200" w:after="100" w:afterAutospacing="1" w:line="240" w:lineRule="auto"/>
        <w:rPr>
          <w:rFonts w:ascii="Times New Roman" w:eastAsia="Times New Roman" w:hAnsi="Times New Roman" w:cs="Times New Roman"/>
          <w:lang w:eastAsia="en-AU"/>
        </w:rPr>
      </w:pPr>
      <w:r w:rsidRPr="004964F8">
        <w:rPr>
          <w:rFonts w:ascii="Times New Roman" w:eastAsia="Times New Roman" w:hAnsi="Times New Roman" w:cs="Times New Roman"/>
          <w:lang w:eastAsia="en-AU"/>
        </w:rPr>
        <w:t xml:space="preserve">ASIC Consultation Paper 181 </w:t>
      </w:r>
      <w:r w:rsidRPr="004964F8">
        <w:rPr>
          <w:rFonts w:ascii="Times New Roman" w:eastAsia="Times New Roman" w:hAnsi="Times New Roman" w:cs="Times New Roman"/>
          <w:i/>
          <w:iCs/>
          <w:lang w:eastAsia="en-AU"/>
        </w:rPr>
        <w:t>Retail trading in Commonwealth Government Securities</w:t>
      </w:r>
      <w:r w:rsidRPr="004964F8">
        <w:rPr>
          <w:rFonts w:ascii="Times New Roman" w:eastAsia="Times New Roman" w:hAnsi="Times New Roman" w:cs="Times New Roman"/>
          <w:lang w:eastAsia="en-AU"/>
        </w:rPr>
        <w:t xml:space="preserve"> (CP 181) was released on 20 July 2012. CP 181 proposed amendments to the ASIC Market Integrity R</w:t>
      </w:r>
      <w:r w:rsidR="00647885">
        <w:rPr>
          <w:rFonts w:ascii="Times New Roman" w:eastAsia="Times New Roman" w:hAnsi="Times New Roman" w:cs="Times New Roman"/>
          <w:lang w:eastAsia="en-AU"/>
        </w:rPr>
        <w:t>ules (Competition) which ASIC</w:t>
      </w:r>
      <w:r w:rsidRPr="004964F8">
        <w:rPr>
          <w:rFonts w:ascii="Times New Roman" w:eastAsia="Times New Roman" w:hAnsi="Times New Roman" w:cs="Times New Roman"/>
          <w:lang w:eastAsia="en-AU"/>
        </w:rPr>
        <w:t xml:space="preserve"> considered necessary to implement the Australian Government’s decision to facilitate retail trading of CGS Depository Interests on public exchanges. Draft market integrity rules reflecting these proposals, were attached to CP 181 – </w:t>
      </w:r>
      <w:r w:rsidRPr="004964F8">
        <w:rPr>
          <w:rFonts w:ascii="Times New Roman" w:eastAsia="Times New Roman" w:hAnsi="Times New Roman" w:cs="Times New Roman"/>
          <w:i/>
          <w:iCs/>
          <w:lang w:eastAsia="en-AU"/>
        </w:rPr>
        <w:t>Attachment to CP181: Retail trading in Commonwealth Government Securities.</w:t>
      </w:r>
    </w:p>
    <w:p w:rsidR="004964F8" w:rsidRPr="004964F8" w:rsidRDefault="004964F8" w:rsidP="004964F8">
      <w:pPr>
        <w:pStyle w:val="ListParagraph"/>
        <w:spacing w:before="200" w:after="100" w:afterAutospacing="1" w:line="240" w:lineRule="auto"/>
        <w:rPr>
          <w:rFonts w:ascii="Times New Roman" w:eastAsia="Times New Roman" w:hAnsi="Times New Roman" w:cs="Times New Roman"/>
          <w:lang w:eastAsia="en-AU"/>
        </w:rPr>
      </w:pPr>
    </w:p>
    <w:p w:rsidR="004964F8" w:rsidRPr="004964F8" w:rsidRDefault="004964F8" w:rsidP="004964F8">
      <w:pPr>
        <w:pStyle w:val="ListParagraph"/>
        <w:numPr>
          <w:ilvl w:val="0"/>
          <w:numId w:val="1"/>
        </w:numPr>
        <w:spacing w:before="200" w:after="100" w:afterAutospacing="1" w:line="240" w:lineRule="auto"/>
        <w:rPr>
          <w:rFonts w:ascii="Times New Roman" w:eastAsia="Times New Roman" w:hAnsi="Times New Roman" w:cs="Times New Roman"/>
          <w:lang w:eastAsia="en-AU"/>
        </w:rPr>
      </w:pPr>
      <w:r w:rsidRPr="004964F8">
        <w:rPr>
          <w:rFonts w:ascii="Times New Roman" w:eastAsia="Times New Roman" w:hAnsi="Times New Roman" w:cs="Times New Roman"/>
          <w:lang w:eastAsia="en-AU"/>
        </w:rPr>
        <w:t xml:space="preserve">In the lead up to, and during, the consultation </w:t>
      </w:r>
      <w:r w:rsidR="00647885">
        <w:rPr>
          <w:rFonts w:ascii="Times New Roman" w:eastAsia="Times New Roman" w:hAnsi="Times New Roman" w:cs="Times New Roman"/>
          <w:lang w:eastAsia="en-AU"/>
        </w:rPr>
        <w:t>ASIC</w:t>
      </w:r>
      <w:r w:rsidRPr="004964F8">
        <w:rPr>
          <w:rFonts w:ascii="Times New Roman" w:eastAsia="Times New Roman" w:hAnsi="Times New Roman" w:cs="Times New Roman"/>
          <w:lang w:eastAsia="en-AU"/>
        </w:rPr>
        <w:t>:</w:t>
      </w:r>
    </w:p>
    <w:p w:rsidR="004964F8" w:rsidRPr="004964F8" w:rsidRDefault="004964F8" w:rsidP="004964F8">
      <w:pPr>
        <w:spacing w:before="200" w:after="100" w:afterAutospacing="1" w:line="240" w:lineRule="auto"/>
        <w:ind w:left="720"/>
        <w:rPr>
          <w:rFonts w:ascii="Times New Roman" w:eastAsia="Times New Roman" w:hAnsi="Times New Roman" w:cs="Times New Roman"/>
          <w:lang w:eastAsia="en-AU"/>
        </w:rPr>
      </w:pPr>
      <w:r>
        <w:rPr>
          <w:rFonts w:ascii="Times New Roman" w:eastAsia="Times New Roman" w:hAnsi="Times New Roman" w:cs="Times New Roman"/>
          <w:lang w:eastAsia="en-AU"/>
        </w:rPr>
        <w:t>(</w:t>
      </w:r>
      <w:proofErr w:type="spellStart"/>
      <w:r>
        <w:rPr>
          <w:rFonts w:ascii="Times New Roman" w:eastAsia="Times New Roman" w:hAnsi="Times New Roman" w:cs="Times New Roman"/>
          <w:lang w:eastAsia="en-AU"/>
        </w:rPr>
        <w:t>i</w:t>
      </w:r>
      <w:proofErr w:type="spellEnd"/>
      <w:r>
        <w:rPr>
          <w:rFonts w:ascii="Times New Roman" w:eastAsia="Times New Roman" w:hAnsi="Times New Roman" w:cs="Times New Roman"/>
          <w:lang w:eastAsia="en-AU"/>
        </w:rPr>
        <w:t xml:space="preserve">) </w:t>
      </w:r>
      <w:proofErr w:type="gramStart"/>
      <w:r w:rsidRPr="004964F8">
        <w:rPr>
          <w:rFonts w:ascii="Times New Roman" w:eastAsia="Times New Roman" w:hAnsi="Times New Roman" w:cs="Times New Roman"/>
          <w:lang w:eastAsia="en-AU"/>
        </w:rPr>
        <w:t>held</w:t>
      </w:r>
      <w:proofErr w:type="gramEnd"/>
      <w:r w:rsidRPr="004964F8">
        <w:rPr>
          <w:rFonts w:ascii="Times New Roman" w:eastAsia="Times New Roman" w:hAnsi="Times New Roman" w:cs="Times New Roman"/>
          <w:lang w:eastAsia="en-AU"/>
        </w:rPr>
        <w:t xml:space="preserve"> a number of meetings with various local stakeholders; and</w:t>
      </w:r>
    </w:p>
    <w:p w:rsidR="004964F8" w:rsidRPr="004964F8" w:rsidRDefault="004964F8" w:rsidP="004964F8">
      <w:pPr>
        <w:spacing w:before="200" w:after="100" w:afterAutospacing="1" w:line="240" w:lineRule="auto"/>
        <w:ind w:left="720"/>
        <w:rPr>
          <w:rFonts w:ascii="Times New Roman" w:eastAsia="Times New Roman" w:hAnsi="Times New Roman" w:cs="Times New Roman"/>
          <w:lang w:eastAsia="en-AU"/>
        </w:rPr>
      </w:pPr>
      <w:r w:rsidRPr="004964F8">
        <w:rPr>
          <w:rFonts w:ascii="Times New Roman" w:eastAsia="Times New Roman" w:hAnsi="Times New Roman" w:cs="Times New Roman"/>
          <w:lang w:eastAsia="en-AU"/>
        </w:rPr>
        <w:t>(ii)</w:t>
      </w:r>
      <w:r>
        <w:rPr>
          <w:rFonts w:ascii="Times New Roman" w:eastAsia="Times New Roman" w:hAnsi="Times New Roman" w:cs="Times New Roman"/>
          <w:lang w:eastAsia="en-AU"/>
        </w:rPr>
        <w:t xml:space="preserve"> </w:t>
      </w:r>
      <w:proofErr w:type="gramStart"/>
      <w:r>
        <w:rPr>
          <w:rFonts w:ascii="Times New Roman" w:eastAsia="Times New Roman" w:hAnsi="Times New Roman" w:cs="Times New Roman"/>
          <w:lang w:eastAsia="en-AU"/>
        </w:rPr>
        <w:t>s</w:t>
      </w:r>
      <w:r w:rsidRPr="004964F8">
        <w:rPr>
          <w:rFonts w:ascii="Times New Roman" w:eastAsia="Times New Roman" w:hAnsi="Times New Roman" w:cs="Times New Roman"/>
          <w:lang w:eastAsia="en-AU"/>
        </w:rPr>
        <w:t>ought</w:t>
      </w:r>
      <w:proofErr w:type="gramEnd"/>
      <w:r w:rsidRPr="004964F8">
        <w:rPr>
          <w:rFonts w:ascii="Times New Roman" w:eastAsia="Times New Roman" w:hAnsi="Times New Roman" w:cs="Times New Roman"/>
          <w:lang w:eastAsia="en-AU"/>
        </w:rPr>
        <w:t xml:space="preserve"> information from overseas regulators and market operators, and</w:t>
      </w:r>
    </w:p>
    <w:p w:rsidR="004964F8" w:rsidRPr="004964F8" w:rsidRDefault="004964F8" w:rsidP="004964F8">
      <w:pPr>
        <w:pStyle w:val="ListParagraph"/>
        <w:numPr>
          <w:ilvl w:val="0"/>
          <w:numId w:val="1"/>
        </w:numPr>
        <w:spacing w:before="200" w:after="100" w:afterAutospacing="1" w:line="240" w:lineRule="auto"/>
        <w:rPr>
          <w:rFonts w:ascii="Times New Roman" w:eastAsia="Times New Roman" w:hAnsi="Times New Roman" w:cs="Times New Roman"/>
          <w:lang w:eastAsia="en-AU"/>
        </w:rPr>
      </w:pPr>
      <w:r w:rsidRPr="004964F8">
        <w:rPr>
          <w:rFonts w:ascii="Times New Roman" w:eastAsia="Times New Roman" w:hAnsi="Times New Roman" w:cs="Times New Roman"/>
          <w:lang w:eastAsia="en-AU"/>
        </w:rPr>
        <w:t xml:space="preserve">CP 181 was built on the findings of Consultation Paper 168 Australian </w:t>
      </w:r>
      <w:r w:rsidRPr="004964F8">
        <w:rPr>
          <w:rFonts w:ascii="Times New Roman" w:eastAsia="Times New Roman" w:hAnsi="Times New Roman" w:cs="Times New Roman"/>
          <w:i/>
          <w:iCs/>
          <w:lang w:eastAsia="en-AU"/>
        </w:rPr>
        <w:t>equity market structure: Further proposals</w:t>
      </w:r>
      <w:r w:rsidRPr="004964F8">
        <w:rPr>
          <w:rFonts w:ascii="Times New Roman" w:eastAsia="Times New Roman" w:hAnsi="Times New Roman" w:cs="Times New Roman"/>
          <w:lang w:eastAsia="en-AU"/>
        </w:rPr>
        <w:t xml:space="preserve">, issued in October 2011, to the extent that they were considered relevant to CGS Depository Interests traded on public exchanges. It also adopted the proposals in Consultation Paper 179 </w:t>
      </w:r>
      <w:r w:rsidRPr="004964F8">
        <w:rPr>
          <w:rFonts w:ascii="Times New Roman" w:eastAsia="Times New Roman" w:hAnsi="Times New Roman" w:cs="Times New Roman"/>
          <w:i/>
          <w:iCs/>
          <w:lang w:eastAsia="en-AU"/>
        </w:rPr>
        <w:t>Australian market structure: Draft market integrity rules and guidance</w:t>
      </w:r>
      <w:r w:rsidRPr="004964F8">
        <w:rPr>
          <w:rFonts w:ascii="Times New Roman" w:eastAsia="Times New Roman" w:hAnsi="Times New Roman" w:cs="Times New Roman"/>
          <w:lang w:eastAsia="en-AU"/>
        </w:rPr>
        <w:t xml:space="preserve"> (CP 179) and tailored them to CGS Depository Interests. I</w:t>
      </w:r>
      <w:r w:rsidR="00647885">
        <w:rPr>
          <w:rFonts w:ascii="Times New Roman" w:eastAsia="Times New Roman" w:hAnsi="Times New Roman" w:cs="Times New Roman"/>
          <w:lang w:eastAsia="en-AU"/>
        </w:rPr>
        <w:t xml:space="preserve">n settling </w:t>
      </w:r>
      <w:r w:rsidR="00356FD7">
        <w:rPr>
          <w:rFonts w:ascii="Times New Roman" w:eastAsia="Times New Roman" w:hAnsi="Times New Roman" w:cs="Times New Roman"/>
          <w:lang w:eastAsia="en-AU"/>
        </w:rPr>
        <w:t>its</w:t>
      </w:r>
      <w:r w:rsidR="00647885">
        <w:rPr>
          <w:rFonts w:ascii="Times New Roman" w:eastAsia="Times New Roman" w:hAnsi="Times New Roman" w:cs="Times New Roman"/>
          <w:lang w:eastAsia="en-AU"/>
        </w:rPr>
        <w:t xml:space="preserve"> final position, ASIC has</w:t>
      </w:r>
      <w:r w:rsidRPr="004964F8">
        <w:rPr>
          <w:rFonts w:ascii="Times New Roman" w:eastAsia="Times New Roman" w:hAnsi="Times New Roman" w:cs="Times New Roman"/>
          <w:lang w:eastAsia="en-AU"/>
        </w:rPr>
        <w:t xml:space="preserve"> also taken into consideration submissions to CP 179 where they affect CGS Depository Interests. </w:t>
      </w:r>
    </w:p>
    <w:p w:rsidR="004964F8" w:rsidRDefault="00E11ADB" w:rsidP="00E654DF">
      <w:pPr>
        <w:spacing w:before="200" w:after="100" w:afterAutospacing="1"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CP 181 </w:t>
      </w:r>
      <w:r w:rsidR="00647885">
        <w:rPr>
          <w:rFonts w:ascii="Times New Roman" w:eastAsia="Times New Roman" w:hAnsi="Times New Roman" w:cs="Times New Roman"/>
          <w:lang w:eastAsia="en-AU"/>
        </w:rPr>
        <w:t>ASIC stated that it</w:t>
      </w:r>
      <w:r>
        <w:rPr>
          <w:rFonts w:ascii="Times New Roman" w:eastAsia="Times New Roman" w:hAnsi="Times New Roman" w:cs="Times New Roman"/>
          <w:lang w:eastAsia="en-AU"/>
        </w:rPr>
        <w:t xml:space="preserve"> consider</w:t>
      </w:r>
      <w:r w:rsidR="00647885">
        <w:rPr>
          <w:rFonts w:ascii="Times New Roman" w:eastAsia="Times New Roman" w:hAnsi="Times New Roman" w:cs="Times New Roman"/>
          <w:lang w:eastAsia="en-AU"/>
        </w:rPr>
        <w:t>ed</w:t>
      </w:r>
      <w:r>
        <w:rPr>
          <w:rFonts w:ascii="Times New Roman" w:eastAsia="Times New Roman" w:hAnsi="Times New Roman" w:cs="Times New Roman"/>
          <w:lang w:eastAsia="en-AU"/>
        </w:rPr>
        <w:t xml:space="preserve"> that each public exchange on which CGS depository interests are traded should be subject to market integrity rules specifically dealing with the activities or conduct of the market operator and market participants in relation to those products.  </w:t>
      </w:r>
      <w:r w:rsidR="00647885">
        <w:rPr>
          <w:rFonts w:ascii="Times New Roman" w:eastAsia="Times New Roman" w:hAnsi="Times New Roman" w:cs="Times New Roman"/>
          <w:lang w:eastAsia="en-AU"/>
        </w:rPr>
        <w:t>ASIC</w:t>
      </w:r>
      <w:r>
        <w:rPr>
          <w:rFonts w:ascii="Times New Roman" w:eastAsia="Times New Roman" w:hAnsi="Times New Roman" w:cs="Times New Roman"/>
          <w:lang w:eastAsia="en-AU"/>
        </w:rPr>
        <w:t xml:space="preserve"> noted that, where appropriate, </w:t>
      </w:r>
      <w:r w:rsidR="00647885">
        <w:rPr>
          <w:rFonts w:ascii="Times New Roman" w:eastAsia="Times New Roman" w:hAnsi="Times New Roman" w:cs="Times New Roman"/>
          <w:lang w:eastAsia="en-AU"/>
        </w:rPr>
        <w:t>it</w:t>
      </w:r>
      <w:r>
        <w:rPr>
          <w:rFonts w:ascii="Times New Roman" w:eastAsia="Times New Roman" w:hAnsi="Times New Roman" w:cs="Times New Roman"/>
          <w:lang w:eastAsia="en-AU"/>
        </w:rPr>
        <w:t xml:space="preserve"> may propose new or amended market integrity rules specific to the relevant public exchange and would undertake a separate consultation in relation to any such proposals.</w:t>
      </w:r>
      <w:r w:rsidR="000F4645">
        <w:rPr>
          <w:rFonts w:ascii="Times New Roman" w:eastAsia="Times New Roman" w:hAnsi="Times New Roman" w:cs="Times New Roman"/>
          <w:lang w:eastAsia="en-AU"/>
        </w:rPr>
        <w:t xml:space="preserve">  The targeted consultation process for ASIC Market Integrity Rules (ASX) was consistent with this statement.</w:t>
      </w:r>
    </w:p>
    <w:p w:rsidR="00E654DF" w:rsidRPr="00E654DF" w:rsidRDefault="00E654DF" w:rsidP="00E654DF">
      <w:pPr>
        <w:keepNext/>
        <w:overflowPunct w:val="0"/>
        <w:spacing w:before="200" w:after="100" w:afterAutospacing="1" w:line="240" w:lineRule="auto"/>
        <w:ind w:left="357" w:hanging="357"/>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4.</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Penalties</w:t>
      </w:r>
    </w:p>
    <w:p w:rsidR="00E654DF" w:rsidRPr="00E654DF" w:rsidRDefault="00E654DF" w:rsidP="00E654DF">
      <w:pPr>
        <w:keepNext/>
        <w:spacing w:before="200"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Subsection </w:t>
      </w:r>
      <w:proofErr w:type="gramStart"/>
      <w:r w:rsidRPr="00E654DF">
        <w:rPr>
          <w:rFonts w:ascii="Times New Roman" w:eastAsia="Times New Roman" w:hAnsi="Times New Roman" w:cs="Times New Roman"/>
          <w:lang w:eastAsia="en-AU"/>
        </w:rPr>
        <w:t>798G(</w:t>
      </w:r>
      <w:proofErr w:type="gramEnd"/>
      <w:r w:rsidRPr="00E654DF">
        <w:rPr>
          <w:rFonts w:ascii="Times New Roman" w:eastAsia="Times New Roman" w:hAnsi="Times New Roman" w:cs="Times New Roman"/>
          <w:lang w:eastAsia="en-AU"/>
        </w:rPr>
        <w:t xml:space="preserve">1) of the Act provides that market integrity rules are legislative instruments for the purposes of the </w:t>
      </w:r>
      <w:r w:rsidRPr="00E654DF">
        <w:rPr>
          <w:rFonts w:ascii="Times New Roman" w:eastAsia="Times New Roman" w:hAnsi="Times New Roman" w:cs="Times New Roman"/>
          <w:i/>
          <w:iCs/>
          <w:lang w:eastAsia="en-AU"/>
        </w:rPr>
        <w:t>Legislative Instruments Act 2003</w:t>
      </w:r>
      <w:r w:rsidRPr="00E654DF">
        <w:rPr>
          <w:rFonts w:ascii="Times New Roman" w:eastAsia="Times New Roman" w:hAnsi="Times New Roman" w:cs="Times New Roman"/>
          <w:lang w:eastAsia="en-AU"/>
        </w:rPr>
        <w:t>.</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Subsection </w:t>
      </w:r>
      <w:proofErr w:type="gramStart"/>
      <w:r w:rsidRPr="00E654DF">
        <w:rPr>
          <w:rFonts w:ascii="Times New Roman" w:eastAsia="Times New Roman" w:hAnsi="Times New Roman" w:cs="Times New Roman"/>
          <w:lang w:eastAsia="en-AU"/>
        </w:rPr>
        <w:t>798G(</w:t>
      </w:r>
      <w:proofErr w:type="gramEnd"/>
      <w:r w:rsidRPr="00E654DF">
        <w:rPr>
          <w:rFonts w:ascii="Times New Roman" w:eastAsia="Times New Roman" w:hAnsi="Times New Roman" w:cs="Times New Roman"/>
          <w:lang w:eastAsia="en-AU"/>
        </w:rPr>
        <w:t>2) of the Act provides that market integrity rules may include a penalty amount. A penalty amount must not exceed $1,000,000. The penalty amount set out below a rule in the ASIC Market Integrity Rules (ASX) is the penalty amount for that rule.</w:t>
      </w:r>
    </w:p>
    <w:p w:rsidR="00E654DF" w:rsidRPr="00E654DF" w:rsidRDefault="00E654DF" w:rsidP="00E654DF">
      <w:pPr>
        <w:overflowPunct w:val="0"/>
        <w:spacing w:before="200" w:after="100" w:afterAutospacing="1" w:line="240" w:lineRule="auto"/>
        <w:ind w:left="357" w:hanging="357"/>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5.</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Commencement of the Instrument</w:t>
      </w:r>
    </w:p>
    <w:p w:rsidR="00E654DF" w:rsidRPr="00E654DF" w:rsidRDefault="00E654DF" w:rsidP="00E654DF">
      <w:pPr>
        <w:spacing w:before="200"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The Instrument will commence</w:t>
      </w:r>
      <w:r w:rsidRPr="00E654DF">
        <w:rPr>
          <w:rFonts w:ascii="Times New Roman" w:eastAsia="Times New Roman" w:hAnsi="Times New Roman" w:cs="Times New Roman"/>
          <w:i/>
          <w:iCs/>
          <w:lang w:eastAsia="en-AU"/>
        </w:rPr>
        <w:t xml:space="preserve"> </w:t>
      </w:r>
      <w:r w:rsidRPr="00E654DF">
        <w:rPr>
          <w:rFonts w:ascii="Times New Roman" w:eastAsia="Times New Roman" w:hAnsi="Times New Roman" w:cs="Times New Roman"/>
          <w:lang w:eastAsia="en-AU"/>
        </w:rPr>
        <w:t xml:space="preserve">in accordance with paragraph 3 of the Instrument. </w:t>
      </w:r>
    </w:p>
    <w:p w:rsidR="00E654DF" w:rsidRPr="00E654DF" w:rsidRDefault="00E654DF" w:rsidP="00E654DF">
      <w:pPr>
        <w:overflowPunct w:val="0"/>
        <w:spacing w:before="200" w:after="100" w:afterAutospacing="1" w:line="240" w:lineRule="auto"/>
        <w:ind w:left="357" w:hanging="357"/>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6.</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 xml:space="preserve">Statement of Compatibility with Human Rights </w:t>
      </w:r>
    </w:p>
    <w:p w:rsidR="00E654DF" w:rsidRPr="00E654DF" w:rsidRDefault="00E654DF" w:rsidP="00E654DF">
      <w:pPr>
        <w:spacing w:before="200"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A Statement of Compatibility with Human Rights is included in this Explanatory Statement at </w:t>
      </w:r>
      <w:r w:rsidRPr="00E654DF">
        <w:rPr>
          <w:rFonts w:ascii="Times New Roman" w:eastAsia="Times New Roman" w:hAnsi="Times New Roman" w:cs="Times New Roman"/>
          <w:u w:val="single"/>
          <w:lang w:eastAsia="en-AU"/>
        </w:rPr>
        <w:t>Attachment B</w:t>
      </w:r>
      <w:r w:rsidRPr="00E654DF">
        <w:rPr>
          <w:rFonts w:ascii="Times New Roman" w:eastAsia="Times New Roman" w:hAnsi="Times New Roman" w:cs="Times New Roman"/>
          <w:lang w:eastAsia="en-AU"/>
        </w:rPr>
        <w:t>.</w:t>
      </w:r>
    </w:p>
    <w:p w:rsidR="00E654DF" w:rsidRPr="00E654DF" w:rsidRDefault="00E654DF" w:rsidP="00E654DF">
      <w:pPr>
        <w:overflowPunct w:val="0"/>
        <w:spacing w:before="200" w:after="100" w:afterAutospacing="1" w:line="240" w:lineRule="auto"/>
        <w:ind w:left="357" w:hanging="357"/>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7.</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Regulation Impact Statement</w:t>
      </w:r>
    </w:p>
    <w:p w:rsidR="00E654DF" w:rsidRPr="00E654DF" w:rsidRDefault="00E654DF" w:rsidP="00E654DF">
      <w:pPr>
        <w:spacing w:before="200"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A Regulation Impact Statement has not been prepared in relation to the Instrument. </w:t>
      </w:r>
      <w:r w:rsidR="00647885">
        <w:rPr>
          <w:rFonts w:ascii="Times New Roman" w:eastAsia="Times New Roman" w:hAnsi="Times New Roman" w:cs="Times New Roman"/>
          <w:lang w:eastAsia="en-AU"/>
        </w:rPr>
        <w:t>ASIC has</w:t>
      </w:r>
      <w:r w:rsidRPr="00E654DF">
        <w:rPr>
          <w:rFonts w:ascii="Times New Roman" w:eastAsia="Times New Roman" w:hAnsi="Times New Roman" w:cs="Times New Roman"/>
          <w:lang w:eastAsia="en-AU"/>
        </w:rPr>
        <w:t xml:space="preserve"> complied with the Government’s regulatory impact analysis process and submitted a Preliminary Assessment Form to the Office of Best Practice Regulation (OBPR). The OBPR considers that the proposed changes have a ‘minor’ impact on business or the not-for-profit sector and no further analysis (in the form of a Regulation Impact Statement) is required.</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br w:type="page"/>
      </w:r>
      <w:r w:rsidRPr="00E654DF">
        <w:rPr>
          <w:rFonts w:ascii="Times New Roman" w:eastAsia="Times New Roman" w:hAnsi="Times New Roman" w:cs="Times New Roman"/>
          <w:b/>
          <w:bCs/>
          <w:u w:val="single"/>
          <w:lang w:eastAsia="en-AU"/>
        </w:rPr>
        <w:t>ATTACHMENT A</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Capitalised terms used in this attachment are defined in the ASIC Market Integrity Rules (ASX).</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Schedule 1</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u w:val="single"/>
          <w:lang w:eastAsia="en-AU"/>
        </w:rPr>
        <w:t>Item [1] Rule 1.4.3</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Item [1] of Schedule 1 to the Instrument amends the definition of “Cash Market Product” to insert, after the words “AQUA Quote Display Board”, the words “</w:t>
      </w:r>
      <w:r w:rsidRPr="00E654DF">
        <w:rPr>
          <w:rFonts w:ascii="Times New Roman" w:eastAsia="Times New Roman" w:hAnsi="Times New Roman" w:cs="Times New Roman"/>
          <w:i/>
          <w:iCs/>
          <w:lang w:eastAsia="en-AU"/>
        </w:rPr>
        <w:t xml:space="preserve">, </w:t>
      </w:r>
      <w:r w:rsidRPr="00E654DF">
        <w:rPr>
          <w:rFonts w:ascii="Times New Roman" w:eastAsia="Times New Roman" w:hAnsi="Times New Roman" w:cs="Times New Roman"/>
          <w:lang w:eastAsia="en-AU"/>
        </w:rPr>
        <w:t>a CGS Depository Interest admitted to Trading Status”.</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This amendment expressly provides that a CGS Depository Interest (see item [2] below) falls within the definition of “Cash Market Product” in Rule 1.4.3 ASIC Market Integrity Rules (ASX).</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u w:val="single"/>
          <w:lang w:eastAsia="en-AU"/>
        </w:rPr>
        <w:t>Item [2] Rule 1.4.3</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Item [2] of Schedule 1 to the Instrument inserts, after the definition of “Central </w:t>
      </w:r>
      <w:proofErr w:type="spellStart"/>
      <w:r w:rsidRPr="00E654DF">
        <w:rPr>
          <w:rFonts w:ascii="Times New Roman" w:eastAsia="Times New Roman" w:hAnsi="Times New Roman" w:cs="Times New Roman"/>
          <w:lang w:eastAsia="en-AU"/>
        </w:rPr>
        <w:t>Orderbook</w:t>
      </w:r>
      <w:proofErr w:type="spellEnd"/>
      <w:r w:rsidRPr="00E654DF">
        <w:rPr>
          <w:rFonts w:ascii="Times New Roman" w:eastAsia="Times New Roman" w:hAnsi="Times New Roman" w:cs="Times New Roman"/>
          <w:lang w:eastAsia="en-AU"/>
        </w:rPr>
        <w:t xml:space="preserve">”, a new definition of “CGS Depository Interest”. The new definition provides that “CGS Depository Interest” has the meaning given by section 761A of the Corporations Act. </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Section 761A of the Corporations Act, as amended by the </w:t>
      </w:r>
      <w:r w:rsidRPr="00E654DF">
        <w:rPr>
          <w:rFonts w:ascii="Times New Roman" w:eastAsia="Times New Roman" w:hAnsi="Times New Roman" w:cs="Times New Roman"/>
          <w:i/>
          <w:iCs/>
          <w:lang w:eastAsia="en-AU"/>
        </w:rPr>
        <w:t xml:space="preserve">Commonwealth Government Securities Legislation Amendment (Retail Trading) Act 2012, </w:t>
      </w:r>
      <w:r w:rsidRPr="00E654DF">
        <w:rPr>
          <w:rFonts w:ascii="Times New Roman" w:eastAsia="Times New Roman" w:hAnsi="Times New Roman" w:cs="Times New Roman"/>
          <w:lang w:eastAsia="en-AU"/>
        </w:rPr>
        <w:t xml:space="preserve">defines “CGS depository interest” to mean “a depository interest, as defined in the </w:t>
      </w:r>
      <w:r w:rsidRPr="00E654DF">
        <w:rPr>
          <w:rFonts w:ascii="Times New Roman" w:eastAsia="Times New Roman" w:hAnsi="Times New Roman" w:cs="Times New Roman"/>
          <w:i/>
          <w:iCs/>
          <w:lang w:eastAsia="en-AU"/>
        </w:rPr>
        <w:t xml:space="preserve">Commonwealth Inscribed Stock Act </w:t>
      </w:r>
      <w:proofErr w:type="gramStart"/>
      <w:r w:rsidRPr="00E654DF">
        <w:rPr>
          <w:rFonts w:ascii="Times New Roman" w:eastAsia="Times New Roman" w:hAnsi="Times New Roman" w:cs="Times New Roman"/>
          <w:i/>
          <w:iCs/>
          <w:lang w:eastAsia="en-AU"/>
        </w:rPr>
        <w:t>1911</w:t>
      </w:r>
      <w:r w:rsidRPr="00E654DF">
        <w:rPr>
          <w:rFonts w:ascii="Times New Roman" w:eastAsia="Times New Roman" w:hAnsi="Times New Roman" w:cs="Times New Roman"/>
          <w:lang w:eastAsia="en-AU"/>
        </w:rPr>
        <w:t>, that</w:t>
      </w:r>
      <w:proofErr w:type="gramEnd"/>
      <w:r w:rsidRPr="00E654DF">
        <w:rPr>
          <w:rFonts w:ascii="Times New Roman" w:eastAsia="Times New Roman" w:hAnsi="Times New Roman" w:cs="Times New Roman"/>
          <w:lang w:eastAsia="en-AU"/>
        </w:rPr>
        <w:t xml:space="preserve"> can be transferred through a licensed CS facility”.</w:t>
      </w:r>
      <w:r w:rsidRPr="00E654DF">
        <w:rPr>
          <w:rFonts w:ascii="Times New Roman" w:eastAsia="Times New Roman" w:hAnsi="Times New Roman" w:cs="Times New Roman"/>
          <w:i/>
          <w:iCs/>
          <w:lang w:eastAsia="en-AU"/>
        </w:rPr>
        <w:t xml:space="preserve"> </w:t>
      </w:r>
      <w:r w:rsidRPr="00E654DF">
        <w:rPr>
          <w:rFonts w:ascii="Times New Roman" w:eastAsia="Times New Roman" w:hAnsi="Times New Roman" w:cs="Times New Roman"/>
          <w:lang w:eastAsia="en-AU"/>
        </w:rPr>
        <w:t xml:space="preserve">The </w:t>
      </w:r>
      <w:r w:rsidRPr="00E654DF">
        <w:rPr>
          <w:rFonts w:ascii="Times New Roman" w:eastAsia="Times New Roman" w:hAnsi="Times New Roman" w:cs="Times New Roman"/>
          <w:i/>
          <w:iCs/>
          <w:lang w:eastAsia="en-AU"/>
        </w:rPr>
        <w:t>Commonwealth Inscribed Stock Act 1911</w:t>
      </w:r>
      <w:r w:rsidRPr="00E654DF">
        <w:rPr>
          <w:rFonts w:ascii="Times New Roman" w:eastAsia="Times New Roman" w:hAnsi="Times New Roman" w:cs="Times New Roman"/>
          <w:lang w:eastAsia="en-AU"/>
        </w:rPr>
        <w:t xml:space="preserve"> in turn defines “depository interest” to mean a beneficial interest in stock issued by a depository nominee (as a depository nominee).</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u w:val="single"/>
          <w:lang w:eastAsia="en-AU"/>
        </w:rPr>
        <w:t>Item [3] Rule 1.4.3</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Item [3] of Schedule 1 to the Instrument amends the definition of “Trading Status” to insert, after the word “for”, the words “a CGS Depository Interest,</w:t>
      </w:r>
      <w:proofErr w:type="gramStart"/>
      <w:r w:rsidRPr="00E654DF">
        <w:rPr>
          <w:rFonts w:ascii="Times New Roman" w:eastAsia="Times New Roman" w:hAnsi="Times New Roman" w:cs="Times New Roman"/>
          <w:lang w:eastAsia="en-AU"/>
        </w:rPr>
        <w:t>”.</w:t>
      </w:r>
      <w:proofErr w:type="gramEnd"/>
      <w:r w:rsidRPr="00E654DF">
        <w:rPr>
          <w:rFonts w:ascii="Times New Roman" w:eastAsia="Times New Roman" w:hAnsi="Times New Roman" w:cs="Times New Roman"/>
          <w:lang w:eastAsia="en-AU"/>
        </w:rPr>
        <w:t xml:space="preserve"> </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This amendment complements the amendment made by item [1] above, by expressly providing that a CGS Depository Interest, in addition to </w:t>
      </w:r>
      <w:proofErr w:type="gramStart"/>
      <w:r w:rsidRPr="00E654DF">
        <w:rPr>
          <w:rFonts w:ascii="Times New Roman" w:eastAsia="Times New Roman" w:hAnsi="Times New Roman" w:cs="Times New Roman"/>
          <w:lang w:eastAsia="en-AU"/>
        </w:rPr>
        <w:t>a</w:t>
      </w:r>
      <w:proofErr w:type="gramEnd"/>
      <w:r w:rsidRPr="00E654DF">
        <w:rPr>
          <w:rFonts w:ascii="Times New Roman" w:eastAsia="Times New Roman" w:hAnsi="Times New Roman" w:cs="Times New Roman"/>
          <w:lang w:eastAsia="en-AU"/>
        </w:rPr>
        <w:t xml:space="preserve"> AQUA Product and a Warrant, may be admitted to Trading Status under the Market Operating Rules.</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br w:type="page"/>
      </w:r>
      <w:r w:rsidRPr="00E654DF">
        <w:rPr>
          <w:rFonts w:ascii="Times New Roman" w:eastAsia="Times New Roman" w:hAnsi="Times New Roman" w:cs="Times New Roman"/>
          <w:b/>
          <w:bCs/>
          <w:u w:val="single"/>
          <w:lang w:eastAsia="en-AU"/>
        </w:rPr>
        <w:t>ATTACHMENT B</w:t>
      </w:r>
    </w:p>
    <w:p w:rsidR="00E654DF" w:rsidRPr="00E654DF" w:rsidRDefault="00E654DF" w:rsidP="00E654DF">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Statement of Compatibility with Human Rights</w:t>
      </w:r>
    </w:p>
    <w:p w:rsidR="00E654DF" w:rsidRPr="00E654DF" w:rsidRDefault="00E654DF" w:rsidP="00E654DF">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654DF">
        <w:rPr>
          <w:rFonts w:ascii="Times New Roman" w:eastAsia="Times New Roman" w:hAnsi="Times New Roman" w:cs="Times New Roman"/>
          <w:i/>
          <w:iCs/>
          <w:lang w:eastAsia="en-AU"/>
        </w:rPr>
        <w:t>Prepared in accordance with Part 3 of the Human Rights (Parliamentary Scrutiny) Act 2011</w:t>
      </w:r>
    </w:p>
    <w:p w:rsidR="00E654DF" w:rsidRPr="00E654DF" w:rsidRDefault="00E654DF" w:rsidP="00E654DF">
      <w:pPr>
        <w:spacing w:before="100" w:beforeAutospacing="1" w:after="100" w:afterAutospacing="1" w:line="240" w:lineRule="auto"/>
        <w:jc w:val="center"/>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 xml:space="preserve">ASIC Market Integrity Rules (ASX Market) Amendment 2013 (No. 1) </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This Legislative Instrument is compatible with the human rights and freedoms recognised or declared in the international instruments listed in section 3 of the </w:t>
      </w:r>
      <w:r w:rsidRPr="00E654DF">
        <w:rPr>
          <w:rFonts w:ascii="Times New Roman" w:eastAsia="Times New Roman" w:hAnsi="Times New Roman" w:cs="Times New Roman"/>
          <w:i/>
          <w:iCs/>
          <w:lang w:eastAsia="en-AU"/>
        </w:rPr>
        <w:t>Human Rights (Parliamentary Scrutiny) Act 2011</w:t>
      </w:r>
      <w:r w:rsidRPr="00E654DF">
        <w:rPr>
          <w:rFonts w:ascii="Times New Roman" w:eastAsia="Times New Roman" w:hAnsi="Times New Roman" w:cs="Times New Roman"/>
          <w:lang w:eastAsia="en-AU"/>
        </w:rPr>
        <w:t>.</w:t>
      </w:r>
    </w:p>
    <w:p w:rsidR="00E654DF" w:rsidRPr="00E654DF" w:rsidRDefault="00E654DF" w:rsidP="00E654DF">
      <w:pPr>
        <w:overflowPunct w:val="0"/>
        <w:spacing w:before="100" w:beforeAutospacing="1" w:after="100" w:afterAutospacing="1" w:line="240" w:lineRule="auto"/>
        <w:ind w:left="360" w:hanging="360"/>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1.</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Overview of the Legislative Instrument</w:t>
      </w:r>
    </w:p>
    <w:p w:rsidR="00E654DF" w:rsidRPr="00E654DF" w:rsidRDefault="00E654DF" w:rsidP="00E654DF">
      <w:pPr>
        <w:spacing w:before="200"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The Instrument extends the scope of the </w:t>
      </w:r>
      <w:r w:rsidRPr="00E654DF">
        <w:rPr>
          <w:rFonts w:ascii="Times New Roman" w:eastAsia="Times New Roman" w:hAnsi="Times New Roman" w:cs="Times New Roman"/>
          <w:i/>
          <w:iCs/>
          <w:lang w:eastAsia="en-AU"/>
        </w:rPr>
        <w:t>ASIC Market Integrity Rules (ASX Market) 2010</w:t>
      </w:r>
      <w:r w:rsidRPr="00E654DF">
        <w:rPr>
          <w:rFonts w:ascii="Times New Roman" w:eastAsia="Times New Roman" w:hAnsi="Times New Roman" w:cs="Times New Roman"/>
          <w:lang w:eastAsia="en-AU"/>
        </w:rPr>
        <w:t xml:space="preserve"> (the </w:t>
      </w:r>
      <w:r w:rsidRPr="00E654DF">
        <w:rPr>
          <w:rFonts w:ascii="Times New Roman" w:eastAsia="Times New Roman" w:hAnsi="Times New Roman" w:cs="Times New Roman"/>
          <w:b/>
          <w:bCs/>
          <w:lang w:eastAsia="en-AU"/>
        </w:rPr>
        <w:t>ASIC Market Integrity Rules (ASX))</w:t>
      </w:r>
      <w:r w:rsidRPr="00E654DF">
        <w:rPr>
          <w:rFonts w:ascii="Times New Roman" w:eastAsia="Times New Roman" w:hAnsi="Times New Roman" w:cs="Times New Roman"/>
          <w:i/>
          <w:iCs/>
          <w:lang w:eastAsia="en-AU"/>
        </w:rPr>
        <w:t xml:space="preserve"> </w:t>
      </w:r>
      <w:r w:rsidRPr="00E654DF">
        <w:rPr>
          <w:rFonts w:ascii="Times New Roman" w:eastAsia="Times New Roman" w:hAnsi="Times New Roman" w:cs="Times New Roman"/>
          <w:lang w:eastAsia="en-AU"/>
        </w:rPr>
        <w:t>to include depository interests in Commonwealth Government Securities (</w:t>
      </w:r>
      <w:r w:rsidRPr="00E654DF">
        <w:rPr>
          <w:rFonts w:ascii="Times New Roman" w:eastAsia="Times New Roman" w:hAnsi="Times New Roman" w:cs="Times New Roman"/>
          <w:b/>
          <w:bCs/>
          <w:lang w:eastAsia="en-AU"/>
        </w:rPr>
        <w:t>CGS</w:t>
      </w:r>
      <w:r w:rsidRPr="00E654DF">
        <w:rPr>
          <w:rFonts w:ascii="Times New Roman" w:eastAsia="Times New Roman" w:hAnsi="Times New Roman" w:cs="Times New Roman"/>
          <w:lang w:eastAsia="en-AU"/>
        </w:rPr>
        <w:t>) trading on the Australian Securities Exchange (</w:t>
      </w:r>
      <w:r w:rsidRPr="00E654DF">
        <w:rPr>
          <w:rFonts w:ascii="Times New Roman" w:eastAsia="Times New Roman" w:hAnsi="Times New Roman" w:cs="Times New Roman"/>
          <w:b/>
          <w:bCs/>
          <w:lang w:eastAsia="en-AU"/>
        </w:rPr>
        <w:t>ASX</w:t>
      </w:r>
      <w:r w:rsidRPr="00E654DF">
        <w:rPr>
          <w:rFonts w:ascii="Times New Roman" w:eastAsia="Times New Roman" w:hAnsi="Times New Roman" w:cs="Times New Roman"/>
          <w:lang w:eastAsia="en-AU"/>
        </w:rPr>
        <w:t>).</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The amendments form part of the implementation of the Australian Government's initiative to facilitate retail trading in CGS depository interests which will be similar to trading in equity market products on the ASX Market.</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For the avoidance of doubt, the Instrument amends the definitions of “Cash Market Product” and “Trading Status” in Rule 1.4.3 (ASX) to expressly include a CGS depository interest.</w:t>
      </w:r>
    </w:p>
    <w:p w:rsidR="00E654DF" w:rsidRPr="00E654DF" w:rsidRDefault="00E654DF" w:rsidP="00E654DF">
      <w:pPr>
        <w:spacing w:before="100" w:beforeAutospacing="1" w:after="100" w:afterAutospacing="1" w:line="240" w:lineRule="auto"/>
        <w:rPr>
          <w:rFonts w:ascii="Times New Roman" w:eastAsia="Times New Roman" w:hAnsi="Times New Roman" w:cs="Times New Roman"/>
          <w:sz w:val="24"/>
          <w:szCs w:val="24"/>
          <w:lang w:eastAsia="en-AU"/>
        </w:rPr>
      </w:pPr>
      <w:r w:rsidRPr="00E654DF">
        <w:rPr>
          <w:rFonts w:ascii="Times New Roman" w:eastAsia="Times New Roman" w:hAnsi="Times New Roman" w:cs="Times New Roman"/>
          <w:lang w:eastAsia="en-AU"/>
        </w:rPr>
        <w:t xml:space="preserve">These amendments will ensure that the ASIC Market Integrity Rules (ASX) applicable to a trade in a “Cash Market Product” will apply to a CGS depository interest.  </w:t>
      </w:r>
    </w:p>
    <w:p w:rsidR="00E654DF" w:rsidRPr="00E654DF" w:rsidRDefault="00E654DF" w:rsidP="00E654DF">
      <w:pPr>
        <w:overflowPunct w:val="0"/>
        <w:spacing w:before="100" w:beforeAutospacing="1" w:after="100" w:afterAutospacing="1" w:line="240" w:lineRule="auto"/>
        <w:ind w:left="360" w:hanging="360"/>
        <w:rPr>
          <w:rFonts w:ascii="Times New Roman" w:eastAsia="Times New Roman" w:hAnsi="Times New Roman" w:cs="Times New Roman"/>
          <w:sz w:val="24"/>
          <w:szCs w:val="24"/>
          <w:lang w:eastAsia="en-AU"/>
        </w:rPr>
      </w:pPr>
      <w:r w:rsidRPr="00E654DF">
        <w:rPr>
          <w:rFonts w:ascii="Times New Roman" w:eastAsia="Times New Roman" w:hAnsi="Times New Roman" w:cs="Times New Roman"/>
          <w:b/>
          <w:bCs/>
          <w:lang w:eastAsia="en-AU"/>
        </w:rPr>
        <w:t>2.</w:t>
      </w:r>
      <w:r w:rsidRPr="00E654DF">
        <w:rPr>
          <w:rFonts w:ascii="Times New Roman" w:eastAsia="Times New Roman" w:hAnsi="Times New Roman" w:cs="Times New Roman"/>
          <w:b/>
          <w:bCs/>
          <w:sz w:val="14"/>
          <w:szCs w:val="14"/>
          <w:lang w:eastAsia="en-AU"/>
        </w:rPr>
        <w:t xml:space="preserve">      </w:t>
      </w:r>
      <w:r w:rsidRPr="00E654DF">
        <w:rPr>
          <w:rFonts w:ascii="Times New Roman" w:eastAsia="Times New Roman" w:hAnsi="Times New Roman" w:cs="Times New Roman"/>
          <w:b/>
          <w:bCs/>
          <w:lang w:eastAsia="en-AU"/>
        </w:rPr>
        <w:t>Human rights implications</w:t>
      </w:r>
    </w:p>
    <w:p w:rsidR="00E654DF" w:rsidRDefault="00E654DF" w:rsidP="00E654DF">
      <w:pPr>
        <w:spacing w:before="100" w:beforeAutospacing="1" w:after="100" w:afterAutospacing="1" w:line="240" w:lineRule="auto"/>
        <w:rPr>
          <w:rFonts w:ascii="Times New Roman" w:eastAsia="Times New Roman" w:hAnsi="Times New Roman" w:cs="Times New Roman"/>
          <w:lang w:eastAsia="en-AU"/>
        </w:rPr>
      </w:pPr>
      <w:r w:rsidRPr="00E654DF">
        <w:rPr>
          <w:rFonts w:ascii="Times New Roman" w:eastAsia="Times New Roman" w:hAnsi="Times New Roman" w:cs="Times New Roman"/>
          <w:lang w:eastAsia="en-AU"/>
        </w:rPr>
        <w:t xml:space="preserve">This Instrument does not have any effect on human rights and freedoms recognised or declared in the international instruments listed in section 3 of the </w:t>
      </w:r>
      <w:r w:rsidRPr="00E654DF">
        <w:rPr>
          <w:rFonts w:ascii="Times New Roman" w:eastAsia="Times New Roman" w:hAnsi="Times New Roman" w:cs="Times New Roman"/>
          <w:i/>
          <w:iCs/>
          <w:lang w:eastAsia="en-AU"/>
        </w:rPr>
        <w:t>Human Rights (Parliamentary Scrutiny) Act 2011</w:t>
      </w:r>
      <w:r w:rsidRPr="00E654DF">
        <w:rPr>
          <w:rFonts w:ascii="Times New Roman" w:eastAsia="Times New Roman" w:hAnsi="Times New Roman" w:cs="Times New Roman"/>
          <w:lang w:eastAsia="en-AU"/>
        </w:rPr>
        <w:t>.  This instrument does not create any new powers or obligations but clarifies that some existing powers or obligations apply in relation to CGS Depository Interests.</w:t>
      </w:r>
    </w:p>
    <w:p w:rsidR="000209C7" w:rsidRPr="000209C7" w:rsidRDefault="00577A5E" w:rsidP="000209C7">
      <w:pPr>
        <w:spacing w:before="100" w:beforeAutospacing="1" w:after="100" w:afterAutospacing="1" w:line="240" w:lineRule="auto"/>
        <w:rPr>
          <w:rFonts w:ascii="Times New Roman" w:eastAsia="Times New Roman" w:hAnsi="Times New Roman" w:cs="Times New Roman"/>
          <w:lang w:eastAsia="en-AU"/>
        </w:rPr>
      </w:pPr>
      <w:r w:rsidRPr="00577A5E">
        <w:rPr>
          <w:rFonts w:ascii="Times New Roman" w:eastAsia="Times New Roman" w:hAnsi="Times New Roman" w:cs="Times New Roman"/>
          <w:b/>
          <w:lang w:eastAsia="en-AU"/>
        </w:rPr>
        <w:t xml:space="preserve">3.  </w:t>
      </w:r>
      <w:r w:rsidRPr="00577A5E">
        <w:rPr>
          <w:rFonts w:ascii="Times New Roman" w:eastAsia="Times New Roman" w:hAnsi="Times New Roman" w:cs="Times New Roman"/>
          <w:b/>
          <w:bCs/>
          <w:lang w:eastAsia="en-AU"/>
        </w:rPr>
        <w:t>Conclusion</w:t>
      </w:r>
    </w:p>
    <w:p w:rsidR="000209C7" w:rsidRPr="000209C7" w:rsidRDefault="000209C7" w:rsidP="000209C7">
      <w:pPr>
        <w:spacing w:before="100" w:beforeAutospacing="1" w:after="100" w:afterAutospacing="1" w:line="240" w:lineRule="auto"/>
        <w:rPr>
          <w:rFonts w:ascii="Times New Roman" w:eastAsia="Times New Roman" w:hAnsi="Times New Roman" w:cs="Times New Roman"/>
          <w:sz w:val="24"/>
          <w:szCs w:val="24"/>
          <w:lang w:eastAsia="en-AU"/>
        </w:rPr>
      </w:pPr>
      <w:r w:rsidRPr="000209C7">
        <w:rPr>
          <w:rFonts w:ascii="Times New Roman" w:eastAsia="Times New Roman" w:hAnsi="Times New Roman" w:cs="Times New Roman"/>
          <w:sz w:val="24"/>
          <w:szCs w:val="24"/>
          <w:lang w:eastAsia="en-AU"/>
        </w:rPr>
        <w:t>This Instrument is compatible with human rights as it does not raise any human rights issues.</w:t>
      </w:r>
    </w:p>
    <w:p w:rsidR="000209C7" w:rsidRPr="00E654DF" w:rsidRDefault="000209C7" w:rsidP="00E654DF">
      <w:pPr>
        <w:spacing w:before="100" w:beforeAutospacing="1" w:after="100" w:afterAutospacing="1" w:line="240" w:lineRule="auto"/>
        <w:rPr>
          <w:rFonts w:ascii="Times New Roman" w:eastAsia="Times New Roman" w:hAnsi="Times New Roman" w:cs="Times New Roman"/>
          <w:sz w:val="24"/>
          <w:szCs w:val="24"/>
          <w:lang w:eastAsia="en-AU"/>
        </w:rPr>
      </w:pPr>
    </w:p>
    <w:p w:rsidR="000F4645" w:rsidRPr="00E654DF" w:rsidRDefault="000F4645" w:rsidP="00E654DF">
      <w:pPr>
        <w:spacing w:before="100" w:beforeAutospacing="1" w:after="100" w:afterAutospacing="1" w:line="240" w:lineRule="auto"/>
        <w:rPr>
          <w:rFonts w:ascii="Times New Roman" w:eastAsia="Times New Roman" w:hAnsi="Times New Roman" w:cs="Times New Roman"/>
          <w:sz w:val="24"/>
          <w:szCs w:val="24"/>
          <w:lang w:eastAsia="en-AU"/>
        </w:rPr>
      </w:pPr>
    </w:p>
    <w:p w:rsidR="009E4D85" w:rsidRDefault="009E4D85"/>
    <w:sectPr w:rsidR="009E4D85" w:rsidSect="009E4D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1780F"/>
    <w:multiLevelType w:val="hybridMultilevel"/>
    <w:tmpl w:val="4F0AB7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164604A"/>
    <w:multiLevelType w:val="hybridMultilevel"/>
    <w:tmpl w:val="79C884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9A42BCB"/>
    <w:multiLevelType w:val="hybridMultilevel"/>
    <w:tmpl w:val="4F0AB7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4DF"/>
    <w:rsid w:val="000209C7"/>
    <w:rsid w:val="000B1E96"/>
    <w:rsid w:val="000F4645"/>
    <w:rsid w:val="002B1FEC"/>
    <w:rsid w:val="00356FD7"/>
    <w:rsid w:val="004964F8"/>
    <w:rsid w:val="00577A5E"/>
    <w:rsid w:val="00647885"/>
    <w:rsid w:val="007E74BC"/>
    <w:rsid w:val="009A60EE"/>
    <w:rsid w:val="009E4D85"/>
    <w:rsid w:val="00AE0C1D"/>
    <w:rsid w:val="00CD6925"/>
    <w:rsid w:val="00DB2DCB"/>
    <w:rsid w:val="00E11ADB"/>
    <w:rsid w:val="00E654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0EE"/>
    <w:rPr>
      <w:rFonts w:ascii="Tahoma" w:hAnsi="Tahoma" w:cs="Tahoma"/>
      <w:sz w:val="16"/>
      <w:szCs w:val="16"/>
    </w:rPr>
  </w:style>
  <w:style w:type="paragraph" w:styleId="ListParagraph">
    <w:name w:val="List Paragraph"/>
    <w:basedOn w:val="Normal"/>
    <w:uiPriority w:val="34"/>
    <w:qFormat/>
    <w:rsid w:val="004964F8"/>
    <w:pPr>
      <w:ind w:left="720"/>
      <w:contextualSpacing/>
    </w:pPr>
  </w:style>
</w:styles>
</file>

<file path=word/webSettings.xml><?xml version="1.0" encoding="utf-8"?>
<w:webSettings xmlns:r="http://schemas.openxmlformats.org/officeDocument/2006/relationships" xmlns:w="http://schemas.openxmlformats.org/wordprocessingml/2006/main">
  <w:divs>
    <w:div w:id="208342841">
      <w:bodyDiv w:val="1"/>
      <w:marLeft w:val="0"/>
      <w:marRight w:val="0"/>
      <w:marTop w:val="0"/>
      <w:marBottom w:val="0"/>
      <w:divBdr>
        <w:top w:val="none" w:sz="0" w:space="0" w:color="auto"/>
        <w:left w:val="none" w:sz="0" w:space="0" w:color="auto"/>
        <w:bottom w:val="none" w:sz="0" w:space="0" w:color="auto"/>
        <w:right w:val="none" w:sz="0" w:space="0" w:color="auto"/>
      </w:divBdr>
      <w:divsChild>
        <w:div w:id="300044147">
          <w:marLeft w:val="0"/>
          <w:marRight w:val="0"/>
          <w:marTop w:val="0"/>
          <w:marBottom w:val="0"/>
          <w:divBdr>
            <w:top w:val="none" w:sz="0" w:space="0" w:color="auto"/>
            <w:left w:val="none" w:sz="0" w:space="0" w:color="auto"/>
            <w:bottom w:val="none" w:sz="0" w:space="0" w:color="auto"/>
            <w:right w:val="none" w:sz="0" w:space="0" w:color="auto"/>
          </w:divBdr>
          <w:divsChild>
            <w:div w:id="2068988593">
              <w:marLeft w:val="0"/>
              <w:marRight w:val="0"/>
              <w:marTop w:val="0"/>
              <w:marBottom w:val="0"/>
              <w:divBdr>
                <w:top w:val="none" w:sz="0" w:space="0" w:color="auto"/>
                <w:left w:val="none" w:sz="0" w:space="0" w:color="auto"/>
                <w:bottom w:val="none" w:sz="0" w:space="0" w:color="auto"/>
                <w:right w:val="none" w:sz="0" w:space="0" w:color="auto"/>
              </w:divBdr>
              <w:divsChild>
                <w:div w:id="38476014">
                  <w:marLeft w:val="0"/>
                  <w:marRight w:val="0"/>
                  <w:marTop w:val="0"/>
                  <w:marBottom w:val="0"/>
                  <w:divBdr>
                    <w:top w:val="none" w:sz="0" w:space="0" w:color="auto"/>
                    <w:left w:val="none" w:sz="0" w:space="0" w:color="auto"/>
                    <w:bottom w:val="none" w:sz="0" w:space="0" w:color="auto"/>
                    <w:right w:val="none" w:sz="0" w:space="0" w:color="auto"/>
                  </w:divBdr>
                  <w:divsChild>
                    <w:div w:id="835002690">
                      <w:marLeft w:val="0"/>
                      <w:marRight w:val="0"/>
                      <w:marTop w:val="0"/>
                      <w:marBottom w:val="0"/>
                      <w:divBdr>
                        <w:top w:val="none" w:sz="0" w:space="0" w:color="auto"/>
                        <w:left w:val="none" w:sz="0" w:space="0" w:color="auto"/>
                        <w:bottom w:val="none" w:sz="0" w:space="0" w:color="auto"/>
                        <w:right w:val="none" w:sz="0" w:space="0" w:color="auto"/>
                      </w:divBdr>
                      <w:divsChild>
                        <w:div w:id="1767650806">
                          <w:marLeft w:val="0"/>
                          <w:marRight w:val="0"/>
                          <w:marTop w:val="0"/>
                          <w:marBottom w:val="0"/>
                          <w:divBdr>
                            <w:top w:val="single" w:sz="6" w:space="0" w:color="828282"/>
                            <w:left w:val="single" w:sz="6" w:space="0" w:color="828282"/>
                            <w:bottom w:val="single" w:sz="6" w:space="0" w:color="828282"/>
                            <w:right w:val="single" w:sz="6" w:space="0" w:color="828282"/>
                          </w:divBdr>
                          <w:divsChild>
                            <w:div w:id="418410787">
                              <w:marLeft w:val="0"/>
                              <w:marRight w:val="0"/>
                              <w:marTop w:val="0"/>
                              <w:marBottom w:val="0"/>
                              <w:divBdr>
                                <w:top w:val="none" w:sz="0" w:space="0" w:color="auto"/>
                                <w:left w:val="none" w:sz="0" w:space="0" w:color="auto"/>
                                <w:bottom w:val="none" w:sz="0" w:space="0" w:color="auto"/>
                                <w:right w:val="none" w:sz="0" w:space="0" w:color="auto"/>
                              </w:divBdr>
                              <w:divsChild>
                                <w:div w:id="1469780573">
                                  <w:marLeft w:val="0"/>
                                  <w:marRight w:val="0"/>
                                  <w:marTop w:val="0"/>
                                  <w:marBottom w:val="0"/>
                                  <w:divBdr>
                                    <w:top w:val="none" w:sz="0" w:space="0" w:color="auto"/>
                                    <w:left w:val="none" w:sz="0" w:space="0" w:color="auto"/>
                                    <w:bottom w:val="none" w:sz="0" w:space="0" w:color="auto"/>
                                    <w:right w:val="none" w:sz="0" w:space="0" w:color="auto"/>
                                  </w:divBdr>
                                  <w:divsChild>
                                    <w:div w:id="1807115160">
                                      <w:marLeft w:val="0"/>
                                      <w:marRight w:val="0"/>
                                      <w:marTop w:val="0"/>
                                      <w:marBottom w:val="0"/>
                                      <w:divBdr>
                                        <w:top w:val="none" w:sz="0" w:space="0" w:color="auto"/>
                                        <w:left w:val="none" w:sz="0" w:space="0" w:color="auto"/>
                                        <w:bottom w:val="none" w:sz="0" w:space="0" w:color="auto"/>
                                        <w:right w:val="none" w:sz="0" w:space="0" w:color="auto"/>
                                      </w:divBdr>
                                      <w:divsChild>
                                        <w:div w:id="742722687">
                                          <w:marLeft w:val="0"/>
                                          <w:marRight w:val="0"/>
                                          <w:marTop w:val="0"/>
                                          <w:marBottom w:val="0"/>
                                          <w:divBdr>
                                            <w:top w:val="none" w:sz="0" w:space="0" w:color="auto"/>
                                            <w:left w:val="none" w:sz="0" w:space="0" w:color="auto"/>
                                            <w:bottom w:val="none" w:sz="0" w:space="0" w:color="auto"/>
                                            <w:right w:val="none" w:sz="0" w:space="0" w:color="auto"/>
                                          </w:divBdr>
                                          <w:divsChild>
                                            <w:div w:id="844200132">
                                              <w:marLeft w:val="0"/>
                                              <w:marRight w:val="0"/>
                                              <w:marTop w:val="0"/>
                                              <w:marBottom w:val="0"/>
                                              <w:divBdr>
                                                <w:top w:val="none" w:sz="0" w:space="0" w:color="auto"/>
                                                <w:left w:val="none" w:sz="0" w:space="0" w:color="auto"/>
                                                <w:bottom w:val="none" w:sz="0" w:space="0" w:color="auto"/>
                                                <w:right w:val="none" w:sz="0" w:space="0" w:color="auto"/>
                                              </w:divBdr>
                                              <w:divsChild>
                                                <w:div w:id="12246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031545">
      <w:bodyDiv w:val="1"/>
      <w:marLeft w:val="0"/>
      <w:marRight w:val="0"/>
      <w:marTop w:val="0"/>
      <w:marBottom w:val="0"/>
      <w:divBdr>
        <w:top w:val="none" w:sz="0" w:space="0" w:color="auto"/>
        <w:left w:val="none" w:sz="0" w:space="0" w:color="auto"/>
        <w:bottom w:val="none" w:sz="0" w:space="0" w:color="auto"/>
        <w:right w:val="none" w:sz="0" w:space="0" w:color="auto"/>
      </w:divBdr>
      <w:divsChild>
        <w:div w:id="852300399">
          <w:marLeft w:val="0"/>
          <w:marRight w:val="0"/>
          <w:marTop w:val="0"/>
          <w:marBottom w:val="0"/>
          <w:divBdr>
            <w:top w:val="none" w:sz="0" w:space="0" w:color="auto"/>
            <w:left w:val="none" w:sz="0" w:space="0" w:color="auto"/>
            <w:bottom w:val="none" w:sz="0" w:space="0" w:color="auto"/>
            <w:right w:val="none" w:sz="0" w:space="0" w:color="auto"/>
          </w:divBdr>
          <w:divsChild>
            <w:div w:id="859858645">
              <w:marLeft w:val="0"/>
              <w:marRight w:val="0"/>
              <w:marTop w:val="0"/>
              <w:marBottom w:val="0"/>
              <w:divBdr>
                <w:top w:val="none" w:sz="0" w:space="0" w:color="auto"/>
                <w:left w:val="none" w:sz="0" w:space="0" w:color="auto"/>
                <w:bottom w:val="none" w:sz="0" w:space="0" w:color="auto"/>
                <w:right w:val="none" w:sz="0" w:space="0" w:color="auto"/>
              </w:divBdr>
              <w:divsChild>
                <w:div w:id="1562525078">
                  <w:marLeft w:val="0"/>
                  <w:marRight w:val="0"/>
                  <w:marTop w:val="0"/>
                  <w:marBottom w:val="0"/>
                  <w:divBdr>
                    <w:top w:val="none" w:sz="0" w:space="0" w:color="auto"/>
                    <w:left w:val="none" w:sz="0" w:space="0" w:color="auto"/>
                    <w:bottom w:val="none" w:sz="0" w:space="0" w:color="auto"/>
                    <w:right w:val="none" w:sz="0" w:space="0" w:color="auto"/>
                  </w:divBdr>
                  <w:divsChild>
                    <w:div w:id="1228691434">
                      <w:marLeft w:val="0"/>
                      <w:marRight w:val="0"/>
                      <w:marTop w:val="0"/>
                      <w:marBottom w:val="0"/>
                      <w:divBdr>
                        <w:top w:val="none" w:sz="0" w:space="0" w:color="auto"/>
                        <w:left w:val="none" w:sz="0" w:space="0" w:color="auto"/>
                        <w:bottom w:val="none" w:sz="0" w:space="0" w:color="auto"/>
                        <w:right w:val="none" w:sz="0" w:space="0" w:color="auto"/>
                      </w:divBdr>
                      <w:divsChild>
                        <w:div w:id="702708493">
                          <w:marLeft w:val="0"/>
                          <w:marRight w:val="0"/>
                          <w:marTop w:val="0"/>
                          <w:marBottom w:val="0"/>
                          <w:divBdr>
                            <w:top w:val="single" w:sz="6" w:space="0" w:color="828282"/>
                            <w:left w:val="single" w:sz="6" w:space="0" w:color="828282"/>
                            <w:bottom w:val="single" w:sz="6" w:space="0" w:color="828282"/>
                            <w:right w:val="single" w:sz="6" w:space="0" w:color="828282"/>
                          </w:divBdr>
                          <w:divsChild>
                            <w:div w:id="902450329">
                              <w:marLeft w:val="0"/>
                              <w:marRight w:val="0"/>
                              <w:marTop w:val="0"/>
                              <w:marBottom w:val="0"/>
                              <w:divBdr>
                                <w:top w:val="none" w:sz="0" w:space="0" w:color="auto"/>
                                <w:left w:val="none" w:sz="0" w:space="0" w:color="auto"/>
                                <w:bottom w:val="none" w:sz="0" w:space="0" w:color="auto"/>
                                <w:right w:val="none" w:sz="0" w:space="0" w:color="auto"/>
                              </w:divBdr>
                              <w:divsChild>
                                <w:div w:id="1737706319">
                                  <w:marLeft w:val="0"/>
                                  <w:marRight w:val="0"/>
                                  <w:marTop w:val="0"/>
                                  <w:marBottom w:val="0"/>
                                  <w:divBdr>
                                    <w:top w:val="none" w:sz="0" w:space="0" w:color="auto"/>
                                    <w:left w:val="none" w:sz="0" w:space="0" w:color="auto"/>
                                    <w:bottom w:val="none" w:sz="0" w:space="0" w:color="auto"/>
                                    <w:right w:val="none" w:sz="0" w:space="0" w:color="auto"/>
                                  </w:divBdr>
                                  <w:divsChild>
                                    <w:div w:id="578171623">
                                      <w:marLeft w:val="0"/>
                                      <w:marRight w:val="0"/>
                                      <w:marTop w:val="0"/>
                                      <w:marBottom w:val="0"/>
                                      <w:divBdr>
                                        <w:top w:val="none" w:sz="0" w:space="0" w:color="auto"/>
                                        <w:left w:val="none" w:sz="0" w:space="0" w:color="auto"/>
                                        <w:bottom w:val="none" w:sz="0" w:space="0" w:color="auto"/>
                                        <w:right w:val="none" w:sz="0" w:space="0" w:color="auto"/>
                                      </w:divBdr>
                                      <w:divsChild>
                                        <w:div w:id="46800625">
                                          <w:marLeft w:val="0"/>
                                          <w:marRight w:val="0"/>
                                          <w:marTop w:val="0"/>
                                          <w:marBottom w:val="0"/>
                                          <w:divBdr>
                                            <w:top w:val="none" w:sz="0" w:space="0" w:color="auto"/>
                                            <w:left w:val="none" w:sz="0" w:space="0" w:color="auto"/>
                                            <w:bottom w:val="none" w:sz="0" w:space="0" w:color="auto"/>
                                            <w:right w:val="none" w:sz="0" w:space="0" w:color="auto"/>
                                          </w:divBdr>
                                          <w:divsChild>
                                            <w:div w:id="1476794817">
                                              <w:marLeft w:val="0"/>
                                              <w:marRight w:val="0"/>
                                              <w:marTop w:val="0"/>
                                              <w:marBottom w:val="0"/>
                                              <w:divBdr>
                                                <w:top w:val="none" w:sz="0" w:space="0" w:color="auto"/>
                                                <w:left w:val="none" w:sz="0" w:space="0" w:color="auto"/>
                                                <w:bottom w:val="none" w:sz="0" w:space="0" w:color="auto"/>
                                                <w:right w:val="none" w:sz="0" w:space="0" w:color="auto"/>
                                              </w:divBdr>
                                              <w:divsChild>
                                                <w:div w:id="78114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970465">
      <w:bodyDiv w:val="1"/>
      <w:marLeft w:val="0"/>
      <w:marRight w:val="0"/>
      <w:marTop w:val="0"/>
      <w:marBottom w:val="0"/>
      <w:divBdr>
        <w:top w:val="none" w:sz="0" w:space="0" w:color="auto"/>
        <w:left w:val="none" w:sz="0" w:space="0" w:color="auto"/>
        <w:bottom w:val="none" w:sz="0" w:space="0" w:color="auto"/>
        <w:right w:val="none" w:sz="0" w:space="0" w:color="auto"/>
      </w:divBdr>
      <w:divsChild>
        <w:div w:id="1207722029">
          <w:marLeft w:val="0"/>
          <w:marRight w:val="0"/>
          <w:marTop w:val="0"/>
          <w:marBottom w:val="0"/>
          <w:divBdr>
            <w:top w:val="none" w:sz="0" w:space="0" w:color="auto"/>
            <w:left w:val="none" w:sz="0" w:space="0" w:color="auto"/>
            <w:bottom w:val="none" w:sz="0" w:space="0" w:color="auto"/>
            <w:right w:val="none" w:sz="0" w:space="0" w:color="auto"/>
          </w:divBdr>
          <w:divsChild>
            <w:div w:id="1514526">
              <w:marLeft w:val="0"/>
              <w:marRight w:val="0"/>
              <w:marTop w:val="0"/>
              <w:marBottom w:val="0"/>
              <w:divBdr>
                <w:top w:val="none" w:sz="0" w:space="0" w:color="auto"/>
                <w:left w:val="none" w:sz="0" w:space="0" w:color="auto"/>
                <w:bottom w:val="none" w:sz="0" w:space="0" w:color="auto"/>
                <w:right w:val="none" w:sz="0" w:space="0" w:color="auto"/>
              </w:divBdr>
              <w:divsChild>
                <w:div w:id="1636593989">
                  <w:marLeft w:val="0"/>
                  <w:marRight w:val="0"/>
                  <w:marTop w:val="0"/>
                  <w:marBottom w:val="0"/>
                  <w:divBdr>
                    <w:top w:val="none" w:sz="0" w:space="0" w:color="auto"/>
                    <w:left w:val="none" w:sz="0" w:space="0" w:color="auto"/>
                    <w:bottom w:val="none" w:sz="0" w:space="0" w:color="auto"/>
                    <w:right w:val="none" w:sz="0" w:space="0" w:color="auto"/>
                  </w:divBdr>
                  <w:divsChild>
                    <w:div w:id="1439982158">
                      <w:marLeft w:val="0"/>
                      <w:marRight w:val="0"/>
                      <w:marTop w:val="0"/>
                      <w:marBottom w:val="0"/>
                      <w:divBdr>
                        <w:top w:val="none" w:sz="0" w:space="0" w:color="auto"/>
                        <w:left w:val="none" w:sz="0" w:space="0" w:color="auto"/>
                        <w:bottom w:val="none" w:sz="0" w:space="0" w:color="auto"/>
                        <w:right w:val="none" w:sz="0" w:space="0" w:color="auto"/>
                      </w:divBdr>
                      <w:divsChild>
                        <w:div w:id="463894312">
                          <w:marLeft w:val="0"/>
                          <w:marRight w:val="0"/>
                          <w:marTop w:val="0"/>
                          <w:marBottom w:val="0"/>
                          <w:divBdr>
                            <w:top w:val="single" w:sz="6" w:space="0" w:color="828282"/>
                            <w:left w:val="single" w:sz="6" w:space="0" w:color="828282"/>
                            <w:bottom w:val="single" w:sz="6" w:space="0" w:color="828282"/>
                            <w:right w:val="single" w:sz="6" w:space="0" w:color="828282"/>
                          </w:divBdr>
                          <w:divsChild>
                            <w:div w:id="1431854314">
                              <w:marLeft w:val="0"/>
                              <w:marRight w:val="0"/>
                              <w:marTop w:val="0"/>
                              <w:marBottom w:val="0"/>
                              <w:divBdr>
                                <w:top w:val="none" w:sz="0" w:space="0" w:color="auto"/>
                                <w:left w:val="none" w:sz="0" w:space="0" w:color="auto"/>
                                <w:bottom w:val="none" w:sz="0" w:space="0" w:color="auto"/>
                                <w:right w:val="none" w:sz="0" w:space="0" w:color="auto"/>
                              </w:divBdr>
                              <w:divsChild>
                                <w:div w:id="815344905">
                                  <w:marLeft w:val="0"/>
                                  <w:marRight w:val="0"/>
                                  <w:marTop w:val="0"/>
                                  <w:marBottom w:val="0"/>
                                  <w:divBdr>
                                    <w:top w:val="none" w:sz="0" w:space="0" w:color="auto"/>
                                    <w:left w:val="none" w:sz="0" w:space="0" w:color="auto"/>
                                    <w:bottom w:val="none" w:sz="0" w:space="0" w:color="auto"/>
                                    <w:right w:val="none" w:sz="0" w:space="0" w:color="auto"/>
                                  </w:divBdr>
                                  <w:divsChild>
                                    <w:div w:id="84812266">
                                      <w:marLeft w:val="0"/>
                                      <w:marRight w:val="0"/>
                                      <w:marTop w:val="0"/>
                                      <w:marBottom w:val="0"/>
                                      <w:divBdr>
                                        <w:top w:val="none" w:sz="0" w:space="0" w:color="auto"/>
                                        <w:left w:val="none" w:sz="0" w:space="0" w:color="auto"/>
                                        <w:bottom w:val="none" w:sz="0" w:space="0" w:color="auto"/>
                                        <w:right w:val="none" w:sz="0" w:space="0" w:color="auto"/>
                                      </w:divBdr>
                                      <w:divsChild>
                                        <w:div w:id="928122527">
                                          <w:marLeft w:val="0"/>
                                          <w:marRight w:val="0"/>
                                          <w:marTop w:val="0"/>
                                          <w:marBottom w:val="0"/>
                                          <w:divBdr>
                                            <w:top w:val="none" w:sz="0" w:space="0" w:color="auto"/>
                                            <w:left w:val="none" w:sz="0" w:space="0" w:color="auto"/>
                                            <w:bottom w:val="none" w:sz="0" w:space="0" w:color="auto"/>
                                            <w:right w:val="none" w:sz="0" w:space="0" w:color="auto"/>
                                          </w:divBdr>
                                          <w:divsChild>
                                            <w:div w:id="269901855">
                                              <w:marLeft w:val="0"/>
                                              <w:marRight w:val="0"/>
                                              <w:marTop w:val="0"/>
                                              <w:marBottom w:val="0"/>
                                              <w:divBdr>
                                                <w:top w:val="none" w:sz="0" w:space="0" w:color="auto"/>
                                                <w:left w:val="none" w:sz="0" w:space="0" w:color="auto"/>
                                                <w:bottom w:val="none" w:sz="0" w:space="0" w:color="auto"/>
                                                <w:right w:val="none" w:sz="0" w:space="0" w:color="auto"/>
                                              </w:divBdr>
                                              <w:divsChild>
                                                <w:div w:id="12592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052613">
      <w:bodyDiv w:val="1"/>
      <w:marLeft w:val="0"/>
      <w:marRight w:val="0"/>
      <w:marTop w:val="0"/>
      <w:marBottom w:val="0"/>
      <w:divBdr>
        <w:top w:val="none" w:sz="0" w:space="0" w:color="auto"/>
        <w:left w:val="none" w:sz="0" w:space="0" w:color="auto"/>
        <w:bottom w:val="none" w:sz="0" w:space="0" w:color="auto"/>
        <w:right w:val="none" w:sz="0" w:space="0" w:color="auto"/>
      </w:divBdr>
      <w:divsChild>
        <w:div w:id="189757297">
          <w:marLeft w:val="0"/>
          <w:marRight w:val="0"/>
          <w:marTop w:val="0"/>
          <w:marBottom w:val="0"/>
          <w:divBdr>
            <w:top w:val="none" w:sz="0" w:space="0" w:color="auto"/>
            <w:left w:val="none" w:sz="0" w:space="0" w:color="auto"/>
            <w:bottom w:val="none" w:sz="0" w:space="0" w:color="auto"/>
            <w:right w:val="none" w:sz="0" w:space="0" w:color="auto"/>
          </w:divBdr>
          <w:divsChild>
            <w:div w:id="1396930545">
              <w:marLeft w:val="0"/>
              <w:marRight w:val="0"/>
              <w:marTop w:val="0"/>
              <w:marBottom w:val="0"/>
              <w:divBdr>
                <w:top w:val="none" w:sz="0" w:space="0" w:color="auto"/>
                <w:left w:val="none" w:sz="0" w:space="0" w:color="auto"/>
                <w:bottom w:val="none" w:sz="0" w:space="0" w:color="auto"/>
                <w:right w:val="none" w:sz="0" w:space="0" w:color="auto"/>
              </w:divBdr>
              <w:divsChild>
                <w:div w:id="404448942">
                  <w:marLeft w:val="0"/>
                  <w:marRight w:val="0"/>
                  <w:marTop w:val="0"/>
                  <w:marBottom w:val="0"/>
                  <w:divBdr>
                    <w:top w:val="none" w:sz="0" w:space="0" w:color="auto"/>
                    <w:left w:val="none" w:sz="0" w:space="0" w:color="auto"/>
                    <w:bottom w:val="none" w:sz="0" w:space="0" w:color="auto"/>
                    <w:right w:val="none" w:sz="0" w:space="0" w:color="auto"/>
                  </w:divBdr>
                  <w:divsChild>
                    <w:div w:id="1536189194">
                      <w:marLeft w:val="0"/>
                      <w:marRight w:val="0"/>
                      <w:marTop w:val="0"/>
                      <w:marBottom w:val="0"/>
                      <w:divBdr>
                        <w:top w:val="none" w:sz="0" w:space="0" w:color="auto"/>
                        <w:left w:val="none" w:sz="0" w:space="0" w:color="auto"/>
                        <w:bottom w:val="none" w:sz="0" w:space="0" w:color="auto"/>
                        <w:right w:val="none" w:sz="0" w:space="0" w:color="auto"/>
                      </w:divBdr>
                      <w:divsChild>
                        <w:div w:id="1719738429">
                          <w:marLeft w:val="0"/>
                          <w:marRight w:val="0"/>
                          <w:marTop w:val="0"/>
                          <w:marBottom w:val="0"/>
                          <w:divBdr>
                            <w:top w:val="single" w:sz="6" w:space="0" w:color="828282"/>
                            <w:left w:val="single" w:sz="6" w:space="0" w:color="828282"/>
                            <w:bottom w:val="single" w:sz="6" w:space="0" w:color="828282"/>
                            <w:right w:val="single" w:sz="6" w:space="0" w:color="828282"/>
                          </w:divBdr>
                          <w:divsChild>
                            <w:div w:id="293829420">
                              <w:marLeft w:val="0"/>
                              <w:marRight w:val="0"/>
                              <w:marTop w:val="0"/>
                              <w:marBottom w:val="0"/>
                              <w:divBdr>
                                <w:top w:val="none" w:sz="0" w:space="0" w:color="auto"/>
                                <w:left w:val="none" w:sz="0" w:space="0" w:color="auto"/>
                                <w:bottom w:val="none" w:sz="0" w:space="0" w:color="auto"/>
                                <w:right w:val="none" w:sz="0" w:space="0" w:color="auto"/>
                              </w:divBdr>
                              <w:divsChild>
                                <w:div w:id="514004734">
                                  <w:marLeft w:val="0"/>
                                  <w:marRight w:val="0"/>
                                  <w:marTop w:val="0"/>
                                  <w:marBottom w:val="0"/>
                                  <w:divBdr>
                                    <w:top w:val="none" w:sz="0" w:space="0" w:color="auto"/>
                                    <w:left w:val="none" w:sz="0" w:space="0" w:color="auto"/>
                                    <w:bottom w:val="none" w:sz="0" w:space="0" w:color="auto"/>
                                    <w:right w:val="none" w:sz="0" w:space="0" w:color="auto"/>
                                  </w:divBdr>
                                  <w:divsChild>
                                    <w:div w:id="1028412055">
                                      <w:marLeft w:val="0"/>
                                      <w:marRight w:val="0"/>
                                      <w:marTop w:val="0"/>
                                      <w:marBottom w:val="0"/>
                                      <w:divBdr>
                                        <w:top w:val="none" w:sz="0" w:space="0" w:color="auto"/>
                                        <w:left w:val="none" w:sz="0" w:space="0" w:color="auto"/>
                                        <w:bottom w:val="none" w:sz="0" w:space="0" w:color="auto"/>
                                        <w:right w:val="none" w:sz="0" w:space="0" w:color="auto"/>
                                      </w:divBdr>
                                      <w:divsChild>
                                        <w:div w:id="1349454066">
                                          <w:marLeft w:val="0"/>
                                          <w:marRight w:val="0"/>
                                          <w:marTop w:val="0"/>
                                          <w:marBottom w:val="0"/>
                                          <w:divBdr>
                                            <w:top w:val="none" w:sz="0" w:space="0" w:color="auto"/>
                                            <w:left w:val="none" w:sz="0" w:space="0" w:color="auto"/>
                                            <w:bottom w:val="none" w:sz="0" w:space="0" w:color="auto"/>
                                            <w:right w:val="none" w:sz="0" w:space="0" w:color="auto"/>
                                          </w:divBdr>
                                          <w:divsChild>
                                            <w:div w:id="1739859406">
                                              <w:marLeft w:val="0"/>
                                              <w:marRight w:val="0"/>
                                              <w:marTop w:val="0"/>
                                              <w:marBottom w:val="0"/>
                                              <w:divBdr>
                                                <w:top w:val="none" w:sz="0" w:space="0" w:color="auto"/>
                                                <w:left w:val="none" w:sz="0" w:space="0" w:color="auto"/>
                                                <w:bottom w:val="none" w:sz="0" w:space="0" w:color="auto"/>
                                                <w:right w:val="none" w:sz="0" w:space="0" w:color="auto"/>
                                              </w:divBdr>
                                              <w:divsChild>
                                                <w:div w:id="6160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2734359">
      <w:bodyDiv w:val="1"/>
      <w:marLeft w:val="0"/>
      <w:marRight w:val="0"/>
      <w:marTop w:val="0"/>
      <w:marBottom w:val="0"/>
      <w:divBdr>
        <w:top w:val="none" w:sz="0" w:space="0" w:color="auto"/>
        <w:left w:val="none" w:sz="0" w:space="0" w:color="auto"/>
        <w:bottom w:val="none" w:sz="0" w:space="0" w:color="auto"/>
        <w:right w:val="none" w:sz="0" w:space="0" w:color="auto"/>
      </w:divBdr>
      <w:divsChild>
        <w:div w:id="1194532912">
          <w:marLeft w:val="0"/>
          <w:marRight w:val="0"/>
          <w:marTop w:val="0"/>
          <w:marBottom w:val="0"/>
          <w:divBdr>
            <w:top w:val="none" w:sz="0" w:space="0" w:color="auto"/>
            <w:left w:val="none" w:sz="0" w:space="0" w:color="auto"/>
            <w:bottom w:val="none" w:sz="0" w:space="0" w:color="auto"/>
            <w:right w:val="none" w:sz="0" w:space="0" w:color="auto"/>
          </w:divBdr>
          <w:divsChild>
            <w:div w:id="1108350412">
              <w:marLeft w:val="0"/>
              <w:marRight w:val="0"/>
              <w:marTop w:val="0"/>
              <w:marBottom w:val="0"/>
              <w:divBdr>
                <w:top w:val="none" w:sz="0" w:space="0" w:color="auto"/>
                <w:left w:val="none" w:sz="0" w:space="0" w:color="auto"/>
                <w:bottom w:val="none" w:sz="0" w:space="0" w:color="auto"/>
                <w:right w:val="none" w:sz="0" w:space="0" w:color="auto"/>
              </w:divBdr>
              <w:divsChild>
                <w:div w:id="1988898988">
                  <w:marLeft w:val="0"/>
                  <w:marRight w:val="0"/>
                  <w:marTop w:val="0"/>
                  <w:marBottom w:val="0"/>
                  <w:divBdr>
                    <w:top w:val="none" w:sz="0" w:space="0" w:color="auto"/>
                    <w:left w:val="none" w:sz="0" w:space="0" w:color="auto"/>
                    <w:bottom w:val="none" w:sz="0" w:space="0" w:color="auto"/>
                    <w:right w:val="none" w:sz="0" w:space="0" w:color="auto"/>
                  </w:divBdr>
                  <w:divsChild>
                    <w:div w:id="681276053">
                      <w:marLeft w:val="0"/>
                      <w:marRight w:val="0"/>
                      <w:marTop w:val="0"/>
                      <w:marBottom w:val="0"/>
                      <w:divBdr>
                        <w:top w:val="none" w:sz="0" w:space="0" w:color="auto"/>
                        <w:left w:val="none" w:sz="0" w:space="0" w:color="auto"/>
                        <w:bottom w:val="none" w:sz="0" w:space="0" w:color="auto"/>
                        <w:right w:val="none" w:sz="0" w:space="0" w:color="auto"/>
                      </w:divBdr>
                      <w:divsChild>
                        <w:div w:id="1787650953">
                          <w:marLeft w:val="0"/>
                          <w:marRight w:val="0"/>
                          <w:marTop w:val="0"/>
                          <w:marBottom w:val="0"/>
                          <w:divBdr>
                            <w:top w:val="single" w:sz="6" w:space="0" w:color="828282"/>
                            <w:left w:val="single" w:sz="6" w:space="0" w:color="828282"/>
                            <w:bottom w:val="single" w:sz="6" w:space="0" w:color="828282"/>
                            <w:right w:val="single" w:sz="6" w:space="0" w:color="828282"/>
                          </w:divBdr>
                          <w:divsChild>
                            <w:div w:id="562376446">
                              <w:marLeft w:val="0"/>
                              <w:marRight w:val="0"/>
                              <w:marTop w:val="0"/>
                              <w:marBottom w:val="0"/>
                              <w:divBdr>
                                <w:top w:val="none" w:sz="0" w:space="0" w:color="auto"/>
                                <w:left w:val="none" w:sz="0" w:space="0" w:color="auto"/>
                                <w:bottom w:val="none" w:sz="0" w:space="0" w:color="auto"/>
                                <w:right w:val="none" w:sz="0" w:space="0" w:color="auto"/>
                              </w:divBdr>
                              <w:divsChild>
                                <w:div w:id="1641419895">
                                  <w:marLeft w:val="0"/>
                                  <w:marRight w:val="0"/>
                                  <w:marTop w:val="0"/>
                                  <w:marBottom w:val="0"/>
                                  <w:divBdr>
                                    <w:top w:val="none" w:sz="0" w:space="0" w:color="auto"/>
                                    <w:left w:val="none" w:sz="0" w:space="0" w:color="auto"/>
                                    <w:bottom w:val="none" w:sz="0" w:space="0" w:color="auto"/>
                                    <w:right w:val="none" w:sz="0" w:space="0" w:color="auto"/>
                                  </w:divBdr>
                                  <w:divsChild>
                                    <w:div w:id="155536869">
                                      <w:marLeft w:val="0"/>
                                      <w:marRight w:val="0"/>
                                      <w:marTop w:val="0"/>
                                      <w:marBottom w:val="0"/>
                                      <w:divBdr>
                                        <w:top w:val="none" w:sz="0" w:space="0" w:color="auto"/>
                                        <w:left w:val="none" w:sz="0" w:space="0" w:color="auto"/>
                                        <w:bottom w:val="none" w:sz="0" w:space="0" w:color="auto"/>
                                        <w:right w:val="none" w:sz="0" w:space="0" w:color="auto"/>
                                      </w:divBdr>
                                      <w:divsChild>
                                        <w:div w:id="2071924410">
                                          <w:marLeft w:val="0"/>
                                          <w:marRight w:val="0"/>
                                          <w:marTop w:val="0"/>
                                          <w:marBottom w:val="0"/>
                                          <w:divBdr>
                                            <w:top w:val="none" w:sz="0" w:space="0" w:color="auto"/>
                                            <w:left w:val="none" w:sz="0" w:space="0" w:color="auto"/>
                                            <w:bottom w:val="none" w:sz="0" w:space="0" w:color="auto"/>
                                            <w:right w:val="none" w:sz="0" w:space="0" w:color="auto"/>
                                          </w:divBdr>
                                          <w:divsChild>
                                            <w:div w:id="1919047939">
                                              <w:marLeft w:val="0"/>
                                              <w:marRight w:val="0"/>
                                              <w:marTop w:val="0"/>
                                              <w:marBottom w:val="0"/>
                                              <w:divBdr>
                                                <w:top w:val="none" w:sz="0" w:space="0" w:color="auto"/>
                                                <w:left w:val="none" w:sz="0" w:space="0" w:color="auto"/>
                                                <w:bottom w:val="none" w:sz="0" w:space="0" w:color="auto"/>
                                                <w:right w:val="none" w:sz="0" w:space="0" w:color="auto"/>
                                              </w:divBdr>
                                              <w:divsChild>
                                                <w:div w:id="12305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10134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Mayrhofer</dc:creator>
  <cp:keywords/>
  <dc:description/>
  <cp:lastModifiedBy>Tania Mayrhofer</cp:lastModifiedBy>
  <cp:revision>9</cp:revision>
  <dcterms:created xsi:type="dcterms:W3CDTF">2013-06-03T23:16:00Z</dcterms:created>
  <dcterms:modified xsi:type="dcterms:W3CDTF">2013-08-22T02:03:00Z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A3862905</vt:lpwstr>
  </property>
  <property fmtid="{D5CDD505-2E9C-101B-9397-08002B2CF9AE}" pid="4" name="Objective-Title">
    <vt:lpwstr>Amended ES in response to Senate Standing Committee - ASX MIRs Amendment 2013 (No 1) 20130805</vt:lpwstr>
  </property>
  <property fmtid="{D5CDD505-2E9C-101B-9397-08002B2CF9AE}" pid="5" name="Objective-Comment">
    <vt:lpwstr/>
  </property>
  <property fmtid="{D5CDD505-2E9C-101B-9397-08002B2CF9AE}" pid="6" name="Objective-CreationStamp">
    <vt:filetime>2013-06-03T23:21:58Z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2013-08-22T02:02:45Z</vt:filetime>
  </property>
  <property fmtid="{D5CDD505-2E9C-101B-9397-08002B2CF9AE}" pid="11" name="Objective-Owner">
    <vt:lpwstr>Tania Mayrhofer</vt:lpwstr>
  </property>
  <property fmtid="{D5CDD505-2E9C-101B-9397-08002B2CF9AE}" pid="12" name="Objective-Path">
    <vt:lpwstr>ASIC BCS:POLICY &amp; REGULATORY FRAMEWORK:Policy Development:Markets:Retail Market For Commonwealth Government Bonds:Competition MIRs:Competition &amp; ASX MIRs - Final:</vt:lpwstr>
  </property>
  <property fmtid="{D5CDD505-2E9C-101B-9397-08002B2CF9AE}" pid="13" name="Objective-Parent">
    <vt:lpwstr>Competition &amp; ASX MIRs - Final</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2011 - 005999</vt:lpwstr>
  </property>
  <property fmtid="{D5CDD505-2E9C-101B-9397-08002B2CF9AE}" pid="19" name="Objective-Classification">
    <vt:lpwstr>IN-CONFIDENCE</vt:lpwstr>
  </property>
  <property fmtid="{D5CDD505-2E9C-101B-9397-08002B2CF9AE}" pid="20" name="Objective-Caveats">
    <vt:lpwstr/>
  </property>
  <property fmtid="{D5CDD505-2E9C-101B-9397-08002B2CF9AE}" pid="21" name="Objective-Category [system]">
    <vt:lpwstr/>
  </property>
</Properties>
</file>