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70"/>
        <w:gridCol w:w="4082"/>
      </w:tblGrid>
      <w:tr w:rsidR="00090A6F" w:rsidRPr="0000292B" w:rsidTr="00D938B6">
        <w:tc>
          <w:tcPr>
            <w:tcW w:w="5670" w:type="dxa"/>
          </w:tcPr>
          <w:p w:rsidR="00090A6F" w:rsidRPr="0000292B" w:rsidRDefault="00364B30">
            <w:pPr>
              <w:pStyle w:val="CoverStandard"/>
            </w:pPr>
            <w:bookmarkStart w:id="0" w:name="_GoBack"/>
            <w:bookmarkEnd w:id="0"/>
            <w:r>
              <w:t>AASB</w:t>
            </w:r>
            <w:r w:rsidR="00831497">
              <w:t xml:space="preserve"> Standard</w:t>
            </w:r>
          </w:p>
        </w:tc>
        <w:tc>
          <w:tcPr>
            <w:tcW w:w="4082" w:type="dxa"/>
          </w:tcPr>
          <w:p w:rsidR="00090A6F" w:rsidRPr="0000292B" w:rsidRDefault="00831497">
            <w:pPr>
              <w:pStyle w:val="CoverNumber"/>
            </w:pPr>
            <w:r>
              <w:t>AASB</w:t>
            </w:r>
            <w:r w:rsidR="00090A6F" w:rsidRPr="0000292B">
              <w:t xml:space="preserve"> </w:t>
            </w:r>
            <w:bookmarkStart w:id="1" w:name="DocNo"/>
            <w:r w:rsidR="00147E70">
              <w:t>2013-</w:t>
            </w:r>
            <w:r w:rsidR="00A431A9">
              <w:t>2</w:t>
            </w:r>
            <w:bookmarkEnd w:id="1"/>
          </w:p>
          <w:p w:rsidR="00090A6F" w:rsidRPr="0000292B" w:rsidRDefault="005C2087" w:rsidP="00F262E1">
            <w:pPr>
              <w:pStyle w:val="CoverDate"/>
            </w:pPr>
            <w:bookmarkStart w:id="2" w:name="DocDate"/>
            <w:r>
              <w:t xml:space="preserve"> </w:t>
            </w:r>
            <w:r w:rsidR="00147E70">
              <w:t>March</w:t>
            </w:r>
            <w:r w:rsidR="00BF5770">
              <w:t xml:space="preserve"> 2013</w:t>
            </w:r>
            <w:bookmarkEnd w:id="2"/>
          </w:p>
        </w:tc>
      </w:tr>
    </w:tbl>
    <w:p w:rsidR="00090A6F" w:rsidRPr="0000292B" w:rsidRDefault="00831497">
      <w:pPr>
        <w:pStyle w:val="CoverTitle"/>
      </w:pPr>
      <w:r>
        <w:t xml:space="preserve">Amendments to </w:t>
      </w:r>
      <w:r w:rsidR="00D540F9">
        <w:t xml:space="preserve">AASB 1038 </w:t>
      </w:r>
      <w:r w:rsidR="00D904A5" w:rsidRPr="00BE3FF9">
        <w:rPr>
          <w:lang w:eastAsia="en-AU"/>
        </w:rPr>
        <w:t>–</w:t>
      </w:r>
      <w:r>
        <w:t xml:space="preserve"> </w:t>
      </w:r>
      <w:bookmarkStart w:id="3" w:name="ArisingNo"/>
      <w:bookmarkEnd w:id="3"/>
      <w:r w:rsidR="00D540F9">
        <w:t>Regulatory Capital</w:t>
      </w:r>
    </w:p>
    <w:p w:rsidR="00C5022C" w:rsidRPr="00C5022C" w:rsidRDefault="00C5022C" w:rsidP="00C5022C">
      <w:pPr>
        <w:pStyle w:val="CoverSubtitle"/>
      </w:pPr>
    </w:p>
    <w:p w:rsidR="00737714" w:rsidRPr="0000292B" w:rsidRDefault="00737714" w:rsidP="00737714"/>
    <w:p w:rsidR="00090A6F" w:rsidRPr="0000292B" w:rsidRDefault="008B643A">
      <w:pPr>
        <w:sectPr w:rsidR="00090A6F" w:rsidRPr="0000292B" w:rsidSect="00D938B6">
          <w:headerReference w:type="default" r:id="rId9"/>
          <w:pgSz w:w="11907" w:h="16840" w:code="9"/>
          <w:pgMar w:top="1134" w:right="1134" w:bottom="1134" w:left="1134" w:header="720" w:footer="720" w:gutter="0"/>
          <w:paperSrc w:first="1025" w:other="1025"/>
          <w:cols w:space="720"/>
        </w:sectPr>
      </w:pPr>
      <w:r>
        <w:rPr>
          <w:noProof/>
          <w:lang w:eastAsia="en-AU"/>
        </w:rPr>
        <w:drawing>
          <wp:anchor distT="0" distB="0" distL="114300" distR="114300" simplePos="0" relativeHeight="251657728" behindDoc="0" locked="1" layoutInCell="1" allowOverlap="1" wp14:anchorId="2E0D0DF1" wp14:editId="45DCABD2">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6D4700" w:rsidRDefault="006D4700" w:rsidP="006D4700">
      <w:pPr>
        <w:spacing w:before="2000"/>
      </w:pPr>
      <w:bookmarkStart w:id="4" w:name="CopyrightText"/>
      <w:r>
        <w:t>COPYRIGHT</w:t>
      </w:r>
    </w:p>
    <w:p w:rsidR="006D4700" w:rsidRDefault="006D4700" w:rsidP="006D4700"/>
    <w:p w:rsidR="006D4700" w:rsidRDefault="006D4700" w:rsidP="006D4700">
      <w:r>
        <w:t xml:space="preserve">© Commonwealth of Australia </w:t>
      </w:r>
      <w:bookmarkStart w:id="5" w:name="Year"/>
      <w:r w:rsidR="00BF5770">
        <w:t>2013</w:t>
      </w:r>
      <w:bookmarkEnd w:id="5"/>
    </w:p>
    <w:p w:rsidR="006D4700" w:rsidRDefault="006D4700" w:rsidP="006D4700"/>
    <w:p w:rsidR="006D4700" w:rsidRDefault="006D4700" w:rsidP="006D4700">
      <w:r>
        <w:t xml:space="preserve">This work is copyright.  Apart from any use as permitted under the </w:t>
      </w:r>
      <w:r w:rsidRPr="009615C6">
        <w:rPr>
          <w:i/>
        </w:rPr>
        <w:t>Copyright Act 1968</w:t>
      </w:r>
      <w:r>
        <w:t>, no part may be reproduced by any process without prior written permission.  Requests and enquiries concerning reproduction and rights should be addressed to The Director of Finance and Administration, Australian Accounting Standards Board, PO Box 204, Collins Street West, Victoria 8007.</w:t>
      </w:r>
    </w:p>
    <w:bookmarkEnd w:id="4"/>
    <w:p w:rsidR="006D4700" w:rsidRDefault="006D4700" w:rsidP="006D4700"/>
    <w:p w:rsidR="007455F0" w:rsidRPr="0000292B" w:rsidRDefault="006D4700" w:rsidP="006D4700">
      <w:r>
        <w:t xml:space="preserve">ISSN </w:t>
      </w:r>
      <w:bookmarkStart w:id="6" w:name="ISSN"/>
      <w:r w:rsidR="00BF5770">
        <w:t>1036-4803</w:t>
      </w:r>
      <w:bookmarkEnd w:id="6"/>
    </w:p>
    <w:p w:rsidR="00090A6F" w:rsidRPr="0000292B" w:rsidRDefault="00090A6F" w:rsidP="00D938B6">
      <w:pPr>
        <w:tabs>
          <w:tab w:val="left" w:pos="1701"/>
        </w:tabs>
        <w:sectPr w:rsidR="00090A6F" w:rsidRPr="0000292B" w:rsidSect="00D938B6">
          <w:footerReference w:type="default" r:id="rId11"/>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626E85">
        <w:t>2013-</w:t>
      </w:r>
      <w:r w:rsidR="00A431A9">
        <w:t>2</w:t>
      </w:r>
      <w:r w:rsidRPr="0000292B">
        <w:t xml:space="preserve"> </w:t>
      </w:r>
      <w:r w:rsidR="009C2479" w:rsidRPr="009C2479">
        <w:rPr>
          <w:i/>
        </w:rPr>
        <w:t xml:space="preserve">AmenDMENTS TO aUSTRALIAN aCCOUNTING </w:t>
      </w:r>
      <w:r w:rsidR="009C2479" w:rsidRPr="00BE5FC6">
        <w:rPr>
          <w:i/>
        </w:rPr>
        <w:t xml:space="preserve">sTANDARDS </w:t>
      </w:r>
      <w:r w:rsidR="00D904A5" w:rsidRPr="00BE5FC6">
        <w:rPr>
          <w:i/>
          <w:lang w:eastAsia="en-AU"/>
        </w:rPr>
        <w:t>–</w:t>
      </w:r>
      <w:r w:rsidR="00D904A5" w:rsidRPr="00BE5FC6">
        <w:rPr>
          <w:i/>
        </w:rPr>
        <w:t xml:space="preserve"> </w:t>
      </w:r>
      <w:r w:rsidR="00A245B8">
        <w:rPr>
          <w:i/>
        </w:rPr>
        <w:t>regulatory capital</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end"/>
      </w:r>
    </w:p>
    <w:p w:rsidR="002B7803" w:rsidRPr="002B7803" w:rsidRDefault="002B7803" w:rsidP="002B7803"/>
    <w:p w:rsidR="00090A6F" w:rsidRPr="0000292B" w:rsidRDefault="00090A6F" w:rsidP="00D938B6">
      <w:pPr>
        <w:pStyle w:val="ContentsParaHead"/>
        <w:ind w:right="1701"/>
      </w:pPr>
      <w:r w:rsidRPr="0000292B">
        <w:t>Paragraphs</w:t>
      </w:r>
    </w:p>
    <w:p w:rsidR="00090A6F" w:rsidRPr="0000292B" w:rsidRDefault="00090A6F" w:rsidP="00D938B6">
      <w:pPr>
        <w:pStyle w:val="ContentsLevel1"/>
        <w:tabs>
          <w:tab w:val="clear" w:pos="6237"/>
          <w:tab w:val="right" w:pos="7938"/>
        </w:tabs>
      </w:pPr>
      <w:bookmarkStart w:id="7" w:name="TOCRange"/>
      <w:r w:rsidRPr="0000292B">
        <w:t>Objective</w:t>
      </w:r>
      <w:r w:rsidRPr="0000292B">
        <w:tab/>
      </w:r>
      <w:r w:rsidR="00361D62">
        <w:t>1</w:t>
      </w:r>
    </w:p>
    <w:p w:rsidR="00090A6F" w:rsidRDefault="00090A6F" w:rsidP="00D938B6">
      <w:pPr>
        <w:pStyle w:val="ContentsLevel1"/>
        <w:tabs>
          <w:tab w:val="clear" w:pos="6237"/>
          <w:tab w:val="right" w:pos="7938"/>
        </w:tabs>
      </w:pPr>
      <w:r w:rsidRPr="0000292B">
        <w:t>Application</w:t>
      </w:r>
      <w:r w:rsidRPr="0000292B">
        <w:tab/>
      </w:r>
      <w:r w:rsidR="00361D62">
        <w:t xml:space="preserve">2 </w:t>
      </w:r>
      <w:r w:rsidR="00361D62" w:rsidRPr="00BE3FF9">
        <w:rPr>
          <w:lang w:eastAsia="en-AU"/>
        </w:rPr>
        <w:t>–</w:t>
      </w:r>
      <w:r w:rsidR="00361D62">
        <w:t xml:space="preserve"> 5</w:t>
      </w:r>
    </w:p>
    <w:p w:rsidR="00BF5770" w:rsidRDefault="00BF5770" w:rsidP="00D938B6">
      <w:pPr>
        <w:pStyle w:val="ContentsLevel1"/>
        <w:tabs>
          <w:tab w:val="clear" w:pos="6237"/>
          <w:tab w:val="right" w:pos="7938"/>
        </w:tabs>
      </w:pPr>
      <w:r>
        <w:t xml:space="preserve">Amendments to </w:t>
      </w:r>
      <w:r w:rsidR="00D540F9">
        <w:t xml:space="preserve">AASB </w:t>
      </w:r>
      <w:r>
        <w:t>1038</w:t>
      </w:r>
      <w:r>
        <w:tab/>
      </w:r>
      <w:r w:rsidR="00361D62">
        <w:t>6</w:t>
      </w:r>
    </w:p>
    <w:p w:rsidR="00090A6F" w:rsidRPr="0000292B" w:rsidRDefault="00090A6F">
      <w:bookmarkStart w:id="8" w:name="ContentsMarker"/>
      <w:bookmarkEnd w:id="8"/>
    </w:p>
    <w:bookmarkEnd w:id="7"/>
    <w:p w:rsidR="00090A6F" w:rsidRPr="0000292B" w:rsidRDefault="00090A6F">
      <w:pPr>
        <w:pStyle w:val="ContentsBox"/>
      </w:pPr>
      <w:r w:rsidRPr="0000292B">
        <w:t xml:space="preserve">Australian Accounting Standard AASB </w:t>
      </w:r>
      <w:r w:rsidR="00626E85">
        <w:t>2013-</w:t>
      </w:r>
      <w:r w:rsidR="00A431A9">
        <w:t>2</w:t>
      </w:r>
      <w:r w:rsidRPr="0000292B">
        <w:t xml:space="preserve"> </w:t>
      </w:r>
      <w:r w:rsidR="009C2479" w:rsidRPr="009C2479">
        <w:rPr>
          <w:i/>
        </w:rPr>
        <w:t xml:space="preserve">Amendments to Australian Accounting Standards </w:t>
      </w:r>
      <w:r w:rsidR="00361D62" w:rsidRPr="00361D62">
        <w:rPr>
          <w:i/>
          <w:lang w:eastAsia="en-AU"/>
        </w:rPr>
        <w:t>–</w:t>
      </w:r>
      <w:r w:rsidR="00361D62" w:rsidRPr="00361D62">
        <w:rPr>
          <w:i/>
        </w:rPr>
        <w:t xml:space="preserve"> </w:t>
      </w:r>
      <w:r w:rsidR="00A245B8">
        <w:rPr>
          <w:i/>
        </w:rPr>
        <w:t>Regulatory Capital</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end"/>
      </w:r>
      <w:r w:rsidRPr="0000292B">
        <w:rPr>
          <w:i/>
          <w:iCs/>
        </w:rPr>
        <w:t xml:space="preserve"> </w:t>
      </w:r>
      <w:r w:rsidRPr="0000292B">
        <w:t xml:space="preserve">is set out in paragraphs </w:t>
      </w:r>
      <w:r w:rsidR="00361D62">
        <w:t xml:space="preserve">1 </w:t>
      </w:r>
      <w:r w:rsidR="00361D62" w:rsidRPr="00BE3FF9">
        <w:rPr>
          <w:lang w:eastAsia="en-AU"/>
        </w:rPr>
        <w:t>–</w:t>
      </w:r>
      <w:r w:rsidR="00361D62">
        <w:t xml:space="preserve"> </w:t>
      </w:r>
      <w:r w:rsidR="001F1BC6">
        <w:t>6</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D938B6">
          <w:footerReference w:type="default" r:id="rId12"/>
          <w:pgSz w:w="11907" w:h="16840" w:code="9"/>
          <w:pgMar w:top="1134" w:right="1134" w:bottom="1134" w:left="1134" w:header="720" w:footer="720" w:gutter="0"/>
          <w:paperSrc w:first="1025" w:other="1025"/>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 xml:space="preserve">This Standard makes amendments to </w:t>
      </w:r>
      <w:r w:rsidR="00361D62">
        <w:t xml:space="preserve">Australian Accounting Standard AASB 1038 </w:t>
      </w:r>
      <w:r w:rsidR="00361D62" w:rsidRPr="00361D62">
        <w:rPr>
          <w:i/>
        </w:rPr>
        <w:t>Life Insurance Contracts</w:t>
      </w:r>
      <w:r w:rsidR="00361D62">
        <w:t>.</w:t>
      </w:r>
    </w:p>
    <w:p w:rsidR="00503AD1" w:rsidRDefault="00401ECA" w:rsidP="00401ECA">
      <w:pPr>
        <w:pStyle w:val="NoNumPlain1"/>
      </w:pPr>
      <w:r>
        <w:t xml:space="preserve">These </w:t>
      </w:r>
      <w:r w:rsidR="00460FBB">
        <w:t>a</w:t>
      </w:r>
      <w:r>
        <w:t>mendm</w:t>
      </w:r>
      <w:r w:rsidR="00361D62">
        <w:t xml:space="preserve">ents arise as a consequence of changes to the Australian Prudential Regulation Authority’s reporting requirements relating to </w:t>
      </w:r>
      <w:r w:rsidR="00D540F9">
        <w:t>life insurers</w:t>
      </w:r>
      <w:r w:rsidR="00361D62">
        <w:t>.</w:t>
      </w:r>
    </w:p>
    <w:p w:rsidR="00503AD1" w:rsidRPr="00091EBB" w:rsidRDefault="00503AD1" w:rsidP="00503AD1">
      <w:pPr>
        <w:pStyle w:val="Heading2"/>
      </w:pPr>
      <w:r w:rsidRPr="0038501C">
        <w:t>Main Features of this Standard</w:t>
      </w:r>
    </w:p>
    <w:p w:rsidR="00503AD1" w:rsidRPr="00091EBB" w:rsidRDefault="00503AD1" w:rsidP="00503AD1">
      <w:pPr>
        <w:pStyle w:val="Heading3"/>
      </w:pPr>
      <w:r w:rsidRPr="0038501C">
        <w:t>Application Date</w:t>
      </w:r>
    </w:p>
    <w:p w:rsidR="00E61094" w:rsidRPr="00E61094" w:rsidRDefault="00E61094">
      <w:pPr>
        <w:pStyle w:val="NoNumPlain1"/>
      </w:pPr>
      <w:r w:rsidRPr="00E61094">
        <w:t>This Standard applies to annual reporting periods ending on or after 31 March 2013.</w:t>
      </w:r>
      <w:r w:rsidRPr="009615C6">
        <w:t xml:space="preserve">  Early application is permitted for </w:t>
      </w:r>
      <w:r w:rsidRPr="00E61094">
        <w:t xml:space="preserve">annual reporting periods ending on or after 1 January 2013 but before </w:t>
      </w:r>
      <w:r w:rsidRPr="0045283F">
        <w:fldChar w:fldCharType="begin" w:fldLock="1"/>
      </w:r>
      <w:r w:rsidRPr="00E61094">
        <w:instrText xml:space="preserve"> REF ApplyDate  \* charformat  </w:instrText>
      </w:r>
      <w:r w:rsidRPr="009615C6">
        <w:instrText xml:space="preserve"> \* MERGEFORMAT </w:instrText>
      </w:r>
      <w:r w:rsidRPr="0045283F">
        <w:fldChar w:fldCharType="separate"/>
      </w:r>
      <w:r w:rsidRPr="00E61094">
        <w:t>31 March 2013</w:t>
      </w:r>
      <w:r w:rsidRPr="0045283F">
        <w:fldChar w:fldCharType="end"/>
      </w:r>
      <w:r w:rsidRPr="00E61094">
        <w:t>.</w:t>
      </w:r>
    </w:p>
    <w:p w:rsidR="00503AD1" w:rsidRPr="00091EBB" w:rsidRDefault="00503AD1" w:rsidP="00503AD1">
      <w:pPr>
        <w:pStyle w:val="Heading2"/>
      </w:pPr>
      <w:r w:rsidRPr="0038501C">
        <w:t>Main Requirements</w:t>
      </w:r>
    </w:p>
    <w:p w:rsidR="00B06F6D" w:rsidRPr="00091EBB" w:rsidRDefault="00B06F6D" w:rsidP="00503AD1">
      <w:pPr>
        <w:pStyle w:val="NoNumPlain1"/>
      </w:pPr>
      <w:r>
        <w:t xml:space="preserve">This Standard makes amendments to AASB 1038 as a consequence of changes to the Australian Prudential Regulation Authority’s reporting requirements relating to life insurers, </w:t>
      </w:r>
      <w:r>
        <w:rPr>
          <w:szCs w:val="16"/>
        </w:rPr>
        <w:t>particularly P</w:t>
      </w:r>
      <w:r w:rsidRPr="00690FCC">
        <w:rPr>
          <w:szCs w:val="16"/>
        </w:rPr>
        <w:t>rudential Standard LPS</w:t>
      </w:r>
      <w:r w:rsidR="00A24849">
        <w:rPr>
          <w:szCs w:val="16"/>
        </w:rPr>
        <w:t> </w:t>
      </w:r>
      <w:r w:rsidRPr="00690FCC">
        <w:rPr>
          <w:szCs w:val="16"/>
        </w:rPr>
        <w:t xml:space="preserve">110 </w:t>
      </w:r>
      <w:r w:rsidRPr="00E40099">
        <w:rPr>
          <w:i/>
          <w:szCs w:val="16"/>
        </w:rPr>
        <w:t>Capital Adequacy</w:t>
      </w:r>
      <w:r>
        <w:rPr>
          <w:szCs w:val="16"/>
        </w:rPr>
        <w:t xml:space="preserve">, </w:t>
      </w:r>
      <w:r w:rsidR="00FC496F">
        <w:rPr>
          <w:szCs w:val="16"/>
        </w:rPr>
        <w:t>applicable from 1</w:t>
      </w:r>
      <w:r w:rsidR="00A24849">
        <w:rPr>
          <w:szCs w:val="16"/>
        </w:rPr>
        <w:t> </w:t>
      </w:r>
      <w:r>
        <w:rPr>
          <w:szCs w:val="16"/>
        </w:rPr>
        <w:t>January</w:t>
      </w:r>
      <w:r w:rsidR="00A24849">
        <w:rPr>
          <w:szCs w:val="16"/>
        </w:rPr>
        <w:t> </w:t>
      </w:r>
      <w:r>
        <w:rPr>
          <w:szCs w:val="16"/>
        </w:rPr>
        <w:t>2013</w:t>
      </w:r>
      <w:r>
        <w:t>.</w:t>
      </w:r>
      <w:r w:rsidR="00FC496F">
        <w:t xml:space="preserve">  Primarily the amendments align terminology by changing references to ‘solvency’ in AASB 1038 to ‘capital’ and remove a related explanatory paragraph.</w:t>
      </w:r>
    </w:p>
    <w:p w:rsidR="00090A6F" w:rsidRPr="0000292B" w:rsidRDefault="00090A6F"/>
    <w:p w:rsidR="00090A6F" w:rsidRPr="0000292B" w:rsidRDefault="00090A6F">
      <w:pPr>
        <w:sectPr w:rsidR="00090A6F" w:rsidRPr="0000292B" w:rsidSect="00D938B6">
          <w:footerReference w:type="default" r:id="rId13"/>
          <w:pgSz w:w="11907" w:h="16840" w:code="9"/>
          <w:pgMar w:top="1134" w:right="1134" w:bottom="1134" w:left="1134" w:header="720" w:footer="720" w:gutter="0"/>
          <w:paperSrc w:first="1025" w:other="1025"/>
          <w:cols w:space="720"/>
        </w:sectPr>
      </w:pPr>
    </w:p>
    <w:p w:rsidR="001662B8" w:rsidRPr="0000292B" w:rsidRDefault="001662B8" w:rsidP="001662B8">
      <w:pPr>
        <w:pStyle w:val="Heading1"/>
      </w:pPr>
      <w:r w:rsidRPr="0000292B">
        <w:lastRenderedPageBreak/>
        <w:t xml:space="preserve">aCCOUNTING STANDARD AASB </w:t>
      </w:r>
      <w:r w:rsidR="00626E85">
        <w:t>2013-</w:t>
      </w:r>
      <w:r w:rsidR="00A431A9">
        <w:t>2</w:t>
      </w:r>
    </w:p>
    <w:p w:rsidR="001662B8" w:rsidRDefault="001662B8" w:rsidP="001662B8">
      <w:r>
        <w:t>The Australian Accounting Standards Board makes Accounting Standard AASB </w:t>
      </w:r>
      <w:r w:rsidR="00626E85">
        <w:t>2013-</w:t>
      </w:r>
      <w:r w:rsidR="00A431A9">
        <w:t>2</w:t>
      </w:r>
      <w:r>
        <w:t xml:space="preserve"> </w:t>
      </w:r>
      <w:r w:rsidRPr="001662B8">
        <w:rPr>
          <w:i/>
        </w:rPr>
        <w:t>Amendments to Australian A</w:t>
      </w:r>
      <w:r w:rsidR="002A5425">
        <w:rPr>
          <w:i/>
        </w:rPr>
        <w:t xml:space="preserve">ccounting </w:t>
      </w:r>
      <w:r w:rsidR="002A5425" w:rsidRPr="00BE5FC6">
        <w:rPr>
          <w:i/>
        </w:rPr>
        <w:t xml:space="preserve">Standards </w:t>
      </w:r>
      <w:r w:rsidR="002A5425" w:rsidRPr="00BE5FC6">
        <w:rPr>
          <w:i/>
          <w:lang w:eastAsia="en-AU"/>
        </w:rPr>
        <w:t>–</w:t>
      </w:r>
      <w:r w:rsidR="002A5425" w:rsidRPr="00BE5FC6">
        <w:rPr>
          <w:i/>
        </w:rPr>
        <w:t xml:space="preserve"> </w:t>
      </w:r>
      <w:r w:rsidR="00A245B8">
        <w:rPr>
          <w:i/>
        </w:rPr>
        <w:t>Regulatory Capital</w:t>
      </w:r>
      <w:r w:rsidRPr="00BE5FC6">
        <w:rPr>
          <w:i/>
        </w:rPr>
        <w:t xml:space="preserve"> </w:t>
      </w:r>
      <w:r w:rsidRPr="001662B8">
        <w:rPr>
          <w:i/>
          <w:iCs/>
        </w:rPr>
        <w:fldChar w:fldCharType="begin" w:fldLock="1"/>
      </w:r>
      <w:r w:rsidRPr="001662B8">
        <w:rPr>
          <w:i/>
          <w:iCs/>
        </w:rPr>
        <w:instrText xml:space="preserve"> REF ArisingNo  \* charformat </w:instrText>
      </w:r>
      <w:r w:rsidRPr="001662B8">
        <w:rPr>
          <w:i/>
          <w:iCs/>
        </w:rPr>
        <w:fldChar w:fldCharType="end"/>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7"/>
      </w:tblGrid>
      <w:tr w:rsidR="00C03C7B" w:rsidTr="00D938B6">
        <w:tc>
          <w:tcPr>
            <w:tcW w:w="3402" w:type="dxa"/>
          </w:tcPr>
          <w:p w:rsidR="00C03C7B" w:rsidRDefault="00C03C7B" w:rsidP="0048155F"/>
        </w:tc>
        <w:tc>
          <w:tcPr>
            <w:tcW w:w="6237" w:type="dxa"/>
          </w:tcPr>
          <w:p w:rsidR="00C03C7B" w:rsidRDefault="00C03C7B" w:rsidP="0048155F">
            <w:pPr>
              <w:jc w:val="right"/>
            </w:pPr>
            <w:r>
              <w:t xml:space="preserve">Kevin </w:t>
            </w:r>
            <w:r w:rsidR="000B733C">
              <w:t xml:space="preserve">M. </w:t>
            </w:r>
            <w:r>
              <w:t>Stevenson</w:t>
            </w:r>
          </w:p>
        </w:tc>
      </w:tr>
      <w:tr w:rsidR="00C03C7B" w:rsidTr="00D938B6">
        <w:tc>
          <w:tcPr>
            <w:tcW w:w="3402" w:type="dxa"/>
          </w:tcPr>
          <w:p w:rsidR="00C03C7B" w:rsidRDefault="00C03C7B" w:rsidP="0048155F">
            <w:r>
              <w:t xml:space="preserve">Dated </w:t>
            </w:r>
            <w:bookmarkStart w:id="9" w:name="DateSigned"/>
            <w:r w:rsidR="00FC13C4">
              <w:t>13</w:t>
            </w:r>
            <w:r w:rsidR="00BF5770">
              <w:t xml:space="preserve"> </w:t>
            </w:r>
            <w:r w:rsidR="00147E70">
              <w:t>March</w:t>
            </w:r>
            <w:r w:rsidR="00BF5770">
              <w:t xml:space="preserve"> 2013</w:t>
            </w:r>
            <w:bookmarkEnd w:id="9"/>
          </w:p>
        </w:tc>
        <w:tc>
          <w:tcPr>
            <w:tcW w:w="6237"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626E85">
        <w:t>2013-</w:t>
      </w:r>
      <w:r w:rsidR="00A431A9">
        <w:t>2</w:t>
      </w:r>
    </w:p>
    <w:p w:rsidR="00090A6F" w:rsidRDefault="001662B8">
      <w:pPr>
        <w:pStyle w:val="Heading1Italic"/>
      </w:pPr>
      <w:r>
        <w:t>AMENDMENTS TO AUSTRALIAN A</w:t>
      </w:r>
      <w:r w:rsidR="00361D62">
        <w:t xml:space="preserve">CCOUNTING STANDARDS </w:t>
      </w:r>
      <w:r w:rsidR="00361D62" w:rsidRPr="00BE3FF9">
        <w:rPr>
          <w:lang w:eastAsia="en-AU"/>
        </w:rPr>
        <w:t>–</w:t>
      </w:r>
      <w:r w:rsidR="00361D62">
        <w:t xml:space="preserve"> </w:t>
      </w:r>
      <w:r w:rsidR="00BF1ED9">
        <w:t>REGULATORY CAPITAL</w:t>
      </w:r>
      <w:r>
        <w:t xml:space="preserve">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0" w:name="TOCStart"/>
      <w:bookmarkEnd w:id="10"/>
      <w:r w:rsidRPr="0000292B">
        <w:t>Objective</w:t>
      </w:r>
    </w:p>
    <w:p w:rsidR="001662B8" w:rsidRPr="0000292B" w:rsidRDefault="001662B8" w:rsidP="002C3183">
      <w:pPr>
        <w:pStyle w:val="NumPlain1"/>
        <w:numPr>
          <w:ilvl w:val="0"/>
          <w:numId w:val="2"/>
        </w:numPr>
      </w:pPr>
      <w:r>
        <w:t xml:space="preserve">The </w:t>
      </w:r>
      <w:r w:rsidR="00460FBB">
        <w:t>o</w:t>
      </w:r>
      <w:r>
        <w:t>bjective of this St</w:t>
      </w:r>
      <w:r w:rsidR="002C3183">
        <w:t xml:space="preserve">andard is to make amendments to AASB </w:t>
      </w:r>
      <w:r w:rsidR="00BF5770">
        <w:t xml:space="preserve">1038 </w:t>
      </w:r>
      <w:r w:rsidR="00BF5770" w:rsidRPr="002C3183">
        <w:rPr>
          <w:i/>
        </w:rPr>
        <w:t>Life Insurance Contracts</w:t>
      </w:r>
      <w:r w:rsidR="002C3183">
        <w:rPr>
          <w:i/>
        </w:rPr>
        <w:t xml:space="preserve"> </w:t>
      </w:r>
      <w:r>
        <w:t>a</w:t>
      </w:r>
      <w:bookmarkStart w:id="11" w:name="StndObj"/>
      <w:bookmarkEnd w:id="11"/>
      <w:r>
        <w:t xml:space="preserve">s a consequence of </w:t>
      </w:r>
      <w:r w:rsidR="002C3183">
        <w:t xml:space="preserve">changes </w:t>
      </w:r>
      <w:r w:rsidR="00F67C00">
        <w:t xml:space="preserve">to the </w:t>
      </w:r>
      <w:r w:rsidR="002C3183">
        <w:t>Australian Prudential Regulation Authority</w:t>
      </w:r>
      <w:r w:rsidR="00F67C00">
        <w:t>’s</w:t>
      </w:r>
      <w:r w:rsidR="002C3183">
        <w:t xml:space="preserve"> reporting requirements</w:t>
      </w:r>
      <w:r w:rsidR="00F67C00">
        <w:t xml:space="preserve"> relating to </w:t>
      </w:r>
      <w:r w:rsidR="00D540F9">
        <w:t xml:space="preserve">life insurers, </w:t>
      </w:r>
      <w:r w:rsidR="00D540F9">
        <w:rPr>
          <w:szCs w:val="16"/>
        </w:rPr>
        <w:t>particularly P</w:t>
      </w:r>
      <w:r w:rsidR="0034023D">
        <w:rPr>
          <w:szCs w:val="16"/>
        </w:rPr>
        <w:t>rudential Standard LPS </w:t>
      </w:r>
      <w:r w:rsidR="00D540F9" w:rsidRPr="00690FCC">
        <w:rPr>
          <w:szCs w:val="16"/>
        </w:rPr>
        <w:t xml:space="preserve">110 </w:t>
      </w:r>
      <w:r w:rsidR="00D540F9" w:rsidRPr="009615C6">
        <w:rPr>
          <w:i/>
          <w:szCs w:val="16"/>
        </w:rPr>
        <w:t>Capital Adequacy</w:t>
      </w:r>
      <w:r w:rsidR="0034023D">
        <w:rPr>
          <w:szCs w:val="16"/>
        </w:rPr>
        <w:t xml:space="preserve">, </w:t>
      </w:r>
      <w:r w:rsidR="008649EF">
        <w:rPr>
          <w:szCs w:val="16"/>
        </w:rPr>
        <w:t>issued in</w:t>
      </w:r>
      <w:r w:rsidR="00D540F9">
        <w:rPr>
          <w:szCs w:val="16"/>
        </w:rPr>
        <w:t xml:space="preserve"> January 2013</w:t>
      </w:r>
      <w:r w:rsidR="002F23F1">
        <w:rPr>
          <w:szCs w:val="16"/>
        </w:rPr>
        <w:t>, as it relates to the prescribed capital amount</w:t>
      </w:r>
      <w:r w:rsidR="00D540F9">
        <w:t>.</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end"/>
      </w:r>
      <w:bookmarkStart w:id="12" w:name="ArisingTitle"/>
      <w:bookmarkStart w:id="13" w:name="ArisingDate"/>
      <w:bookmarkEnd w:id="12"/>
      <w:bookmarkEnd w:id="13"/>
    </w:p>
    <w:p w:rsidR="00090A6F" w:rsidRPr="0000292B" w:rsidRDefault="00090A6F">
      <w:pPr>
        <w:pStyle w:val="Heading2"/>
      </w:pPr>
      <w:r w:rsidRPr="0000292B">
        <w:t>Application</w:t>
      </w:r>
    </w:p>
    <w:p w:rsidR="00717B23" w:rsidRDefault="002C3183" w:rsidP="00717B23">
      <w:pPr>
        <w:pStyle w:val="NumBold1"/>
      </w:pPr>
      <w:r>
        <w:t>T</w:t>
      </w:r>
      <w:r w:rsidR="00717B23">
        <w:t>his Standard applies to each entity that is:</w:t>
      </w:r>
    </w:p>
    <w:p w:rsidR="00717B23" w:rsidRPr="00717B23" w:rsidRDefault="00717B23" w:rsidP="00717B23">
      <w:pPr>
        <w:pStyle w:val="NumPlain1"/>
        <w:numPr>
          <w:ilvl w:val="0"/>
          <w:numId w:val="0"/>
        </w:numPr>
        <w:ind w:left="1020" w:hanging="510"/>
        <w:rPr>
          <w:b/>
        </w:rPr>
      </w:pPr>
      <w:r w:rsidRPr="00717B23">
        <w:rPr>
          <w:b/>
        </w:rPr>
        <w:t>(a)</w:t>
      </w:r>
      <w:r w:rsidRPr="00717B23">
        <w:rPr>
          <w:b/>
        </w:rPr>
        <w:tab/>
      </w:r>
      <w:proofErr w:type="gramStart"/>
      <w:r w:rsidRPr="00D540F9">
        <w:rPr>
          <w:b/>
        </w:rPr>
        <w:t>a</w:t>
      </w:r>
      <w:proofErr w:type="gramEnd"/>
      <w:r w:rsidRPr="00D540F9">
        <w:rPr>
          <w:b/>
        </w:rPr>
        <w:t xml:space="preserve"> life insurer</w:t>
      </w:r>
      <w:r>
        <w:rPr>
          <w:b/>
        </w:rPr>
        <w:t>; or</w:t>
      </w:r>
    </w:p>
    <w:p w:rsidR="00717B23" w:rsidRPr="00717B23" w:rsidRDefault="00717B23" w:rsidP="00717B23">
      <w:pPr>
        <w:pStyle w:val="NumPlain1"/>
        <w:numPr>
          <w:ilvl w:val="0"/>
          <w:numId w:val="0"/>
        </w:numPr>
        <w:ind w:left="1020" w:hanging="510"/>
        <w:rPr>
          <w:b/>
        </w:rPr>
      </w:pPr>
      <w:r w:rsidRPr="00717B23">
        <w:rPr>
          <w:b/>
        </w:rPr>
        <w:t>(b)</w:t>
      </w:r>
      <w:r w:rsidRPr="00717B23">
        <w:rPr>
          <w:b/>
        </w:rPr>
        <w:tab/>
        <w:t>the parent in a grou</w:t>
      </w:r>
      <w:r>
        <w:rPr>
          <w:b/>
        </w:rPr>
        <w:t>p that includes a life insurer;</w:t>
      </w:r>
    </w:p>
    <w:p w:rsidR="00717B23" w:rsidRPr="00717B23" w:rsidRDefault="00717B23" w:rsidP="00717B23">
      <w:pPr>
        <w:pStyle w:val="NumPlain1"/>
        <w:numPr>
          <w:ilvl w:val="0"/>
          <w:numId w:val="0"/>
        </w:numPr>
        <w:ind w:left="510"/>
        <w:rPr>
          <w:b/>
        </w:rPr>
      </w:pPr>
      <w:r>
        <w:rPr>
          <w:b/>
        </w:rPr>
        <w:t>when the entity:</w:t>
      </w:r>
    </w:p>
    <w:p w:rsidR="00717B23" w:rsidRPr="00717B23" w:rsidRDefault="00717B23" w:rsidP="00717B23">
      <w:pPr>
        <w:pStyle w:val="NumPlain1"/>
        <w:numPr>
          <w:ilvl w:val="0"/>
          <w:numId w:val="0"/>
        </w:numPr>
        <w:ind w:left="1020" w:hanging="510"/>
        <w:rPr>
          <w:b/>
        </w:rPr>
      </w:pPr>
      <w:r w:rsidRPr="00717B23">
        <w:rPr>
          <w:b/>
        </w:rPr>
        <w:t>(c)</w:t>
      </w:r>
      <w:r w:rsidRPr="00717B23">
        <w:rPr>
          <w:b/>
        </w:rPr>
        <w:tab/>
        <w:t>is a reporting entity that is required to prepare financial reports in accordance with Part 2M.3 of the Corporations Act;</w:t>
      </w:r>
    </w:p>
    <w:p w:rsidR="00717B23" w:rsidRPr="00717B23" w:rsidRDefault="00717B23" w:rsidP="00717B23">
      <w:pPr>
        <w:pStyle w:val="NumPlain1"/>
        <w:numPr>
          <w:ilvl w:val="0"/>
          <w:numId w:val="0"/>
        </w:numPr>
        <w:ind w:left="1020" w:hanging="510"/>
        <w:rPr>
          <w:b/>
        </w:rPr>
      </w:pPr>
      <w:r w:rsidRPr="00717B23">
        <w:rPr>
          <w:b/>
        </w:rPr>
        <w:t>(</w:t>
      </w:r>
      <w:proofErr w:type="gramStart"/>
      <w:r w:rsidRPr="00717B23">
        <w:rPr>
          <w:b/>
        </w:rPr>
        <w:t>d</w:t>
      </w:r>
      <w:proofErr w:type="gramEnd"/>
      <w:r w:rsidRPr="00717B23">
        <w:rPr>
          <w:b/>
        </w:rPr>
        <w:t xml:space="preserve">) </w:t>
      </w:r>
      <w:r w:rsidRPr="00717B23">
        <w:rPr>
          <w:b/>
        </w:rPr>
        <w:tab/>
        <w:t>is an other reporting entity and prepares general purpose financial statements; or</w:t>
      </w:r>
    </w:p>
    <w:p w:rsidR="00717B23" w:rsidRPr="00717B23" w:rsidRDefault="00717B23" w:rsidP="00717B23">
      <w:pPr>
        <w:pStyle w:val="NumPlain1"/>
        <w:numPr>
          <w:ilvl w:val="0"/>
          <w:numId w:val="0"/>
        </w:numPr>
        <w:ind w:left="1020" w:hanging="510"/>
        <w:rPr>
          <w:b/>
        </w:rPr>
      </w:pPr>
      <w:r w:rsidRPr="00717B23">
        <w:rPr>
          <w:b/>
        </w:rPr>
        <w:t>(e)</w:t>
      </w:r>
      <w:r w:rsidRPr="00717B23">
        <w:rPr>
          <w:b/>
        </w:rPr>
        <w:tab/>
      </w:r>
      <w:proofErr w:type="gramStart"/>
      <w:r w:rsidRPr="00717B23">
        <w:rPr>
          <w:b/>
        </w:rPr>
        <w:t>prepares</w:t>
      </w:r>
      <w:proofErr w:type="gramEnd"/>
      <w:r w:rsidRPr="00717B23">
        <w:rPr>
          <w:b/>
        </w:rPr>
        <w:t xml:space="preserve"> financial statements that are, or are held out to be, general purpose financial statements.</w:t>
      </w:r>
    </w:p>
    <w:p w:rsidR="00090A6F" w:rsidRPr="00027E8B" w:rsidRDefault="00090A6F" w:rsidP="002C3183">
      <w:pPr>
        <w:pStyle w:val="NumBold1"/>
      </w:pPr>
      <w:r w:rsidRPr="00027E8B">
        <w:t xml:space="preserve">This Standard applies to annual reporting periods </w:t>
      </w:r>
      <w:bookmarkStart w:id="14" w:name="ApplyText"/>
      <w:r w:rsidR="00BF5770">
        <w:t>ending</w:t>
      </w:r>
      <w:bookmarkEnd w:id="14"/>
      <w:r w:rsidRPr="00027E8B">
        <w:t xml:space="preserve"> on or after </w:t>
      </w:r>
      <w:bookmarkStart w:id="15" w:name="ApplyDate"/>
      <w:r w:rsidR="00BF5770">
        <w:t>31 March 2013</w:t>
      </w:r>
      <w:bookmarkEnd w:id="15"/>
      <w:r w:rsidRPr="00027E8B">
        <w:t>.</w:t>
      </w:r>
    </w:p>
    <w:p w:rsidR="00090A6F" w:rsidRPr="0000292B" w:rsidRDefault="00090A6F" w:rsidP="00027E8B">
      <w:pPr>
        <w:pStyle w:val="NumBold1"/>
      </w:pPr>
      <w:bookmarkStart w:id="16" w:name="EarlyYesPara"/>
      <w:r w:rsidRPr="0000292B">
        <w:t xml:space="preserve">This Standard may be applied to annual reporting periods </w:t>
      </w:r>
      <w:bookmarkStart w:id="17" w:name="EarlyText"/>
      <w:r w:rsidR="00BF5770">
        <w:t>ending</w:t>
      </w:r>
      <w:bookmarkEnd w:id="17"/>
      <w:r w:rsidRPr="0000292B">
        <w:t xml:space="preserve"> on or after </w:t>
      </w:r>
      <w:bookmarkStart w:id="18" w:name="EarlyDate"/>
      <w:r w:rsidR="00BF5770">
        <w:t>1 January 2013</w:t>
      </w:r>
      <w:bookmarkEnd w:id="18"/>
      <w:r w:rsidR="0078116B" w:rsidRPr="0000292B">
        <w:t xml:space="preserve"> </w:t>
      </w:r>
      <w:bookmarkStart w:id="19" w:name="EarlyWord"/>
      <w:r w:rsidR="0078116B" w:rsidRPr="0000292B">
        <w:t>but</w:t>
      </w:r>
      <w:bookmarkEnd w:id="19"/>
      <w:r w:rsidR="0078116B" w:rsidRPr="0000292B">
        <w:t xml:space="preserve"> before </w:t>
      </w:r>
      <w:fldSimple w:instr=" REF ApplyDate  \* charformat  " w:fldLock="1">
        <w:r w:rsidR="00BF5770">
          <w:t>31 March 2013</w:t>
        </w:r>
      </w:fldSimple>
      <w:r w:rsidRPr="0000292B">
        <w:t xml:space="preserve">.  When an entity applies this Standard to </w:t>
      </w:r>
      <w:r w:rsidR="00590051">
        <w:t xml:space="preserve">such </w:t>
      </w:r>
      <w:r w:rsidRPr="0000292B">
        <w:t>an annual reporting period</w:t>
      </w:r>
      <w:r w:rsidR="00590051">
        <w:t>,</w:t>
      </w:r>
      <w:r w:rsidRPr="0000292B">
        <w:t xml:space="preserve"> it shall disclose that fact.</w:t>
      </w:r>
    </w:p>
    <w:bookmarkEnd w:id="16"/>
    <w:p w:rsidR="00090A6F" w:rsidRDefault="0048155F" w:rsidP="0048155F">
      <w:pPr>
        <w:pStyle w:val="NumBold1"/>
      </w:pPr>
      <w:r>
        <w:t>This Standard uses underlining, striking out and other typographical material to identify some of the amendments, in order to make the amendments more understandable.  However, the amendments made by this Standard do not include that underlining, striking out or other typographical material.</w:t>
      </w:r>
    </w:p>
    <w:p w:rsidR="00BF5770" w:rsidRDefault="00BF5770">
      <w:pPr>
        <w:pStyle w:val="Heading2"/>
      </w:pPr>
      <w:r>
        <w:t xml:space="preserve">Amendments to </w:t>
      </w:r>
      <w:bookmarkStart w:id="20" w:name="StndNo2"/>
      <w:r w:rsidR="00D540F9">
        <w:t xml:space="preserve">AASB </w:t>
      </w:r>
      <w:r>
        <w:t>1038</w:t>
      </w:r>
      <w:bookmarkEnd w:id="20"/>
    </w:p>
    <w:p w:rsidR="00D904A5" w:rsidRDefault="00D904A5" w:rsidP="00D904A5">
      <w:pPr>
        <w:pStyle w:val="NumPlain1"/>
      </w:pPr>
      <w:r>
        <w:t>The heading before paragraph 17.8 and paragraph</w:t>
      </w:r>
      <w:r w:rsidR="00951077">
        <w:t>s</w:t>
      </w:r>
      <w:r>
        <w:t xml:space="preserve"> 17.8</w:t>
      </w:r>
      <w:r w:rsidR="002A5425">
        <w:t xml:space="preserve"> and 17.10</w:t>
      </w:r>
      <w:r>
        <w:t xml:space="preserve"> are amended </w:t>
      </w:r>
      <w:r w:rsidR="00DC61BC">
        <w:t xml:space="preserve">as follows </w:t>
      </w:r>
      <w:r>
        <w:t>(new text is underlined and deleted text is struck through)</w:t>
      </w:r>
      <w:r w:rsidR="00DC61BC">
        <w:t xml:space="preserve"> and</w:t>
      </w:r>
      <w:r>
        <w:t xml:space="preserve"> </w:t>
      </w:r>
      <w:r w:rsidR="00DC61BC">
        <w:t>p</w:t>
      </w:r>
      <w:r>
        <w:t>aragraph 17.8.1 is deleted</w:t>
      </w:r>
      <w:r w:rsidR="00DC61BC">
        <w:t>:</w:t>
      </w:r>
    </w:p>
    <w:p w:rsidR="00A96A57" w:rsidRPr="00A96A57" w:rsidRDefault="00D904A5" w:rsidP="009615C6">
      <w:pPr>
        <w:pStyle w:val="Heading4"/>
        <w:ind w:left="510"/>
      </w:pPr>
      <w:r w:rsidRPr="00A96A57">
        <w:rPr>
          <w:strike/>
        </w:rPr>
        <w:t xml:space="preserve">Solvency </w:t>
      </w:r>
      <w:r w:rsidRPr="00A96A57">
        <w:rPr>
          <w:u w:val="single"/>
        </w:rPr>
        <w:t>Regulatory Capital</w:t>
      </w:r>
      <w:r w:rsidRPr="00A96A57">
        <w:t xml:space="preserve"> Information</w:t>
      </w:r>
    </w:p>
    <w:p w:rsidR="00A96A57" w:rsidRPr="00B33C3A" w:rsidRDefault="00D904A5" w:rsidP="009615C6">
      <w:pPr>
        <w:pStyle w:val="SubNumBold1"/>
      </w:pPr>
      <w:r w:rsidRPr="00503AD1">
        <w:t>1</w:t>
      </w:r>
      <w:r w:rsidRPr="00DC61BC">
        <w:t xml:space="preserve">7.8 </w:t>
      </w:r>
      <w:r w:rsidR="00A96A57" w:rsidRPr="00DC61BC">
        <w:tab/>
      </w:r>
      <w:r w:rsidRPr="00DC61BC">
        <w:t xml:space="preserve">A life insurer shall disclose the regulatory </w:t>
      </w:r>
      <w:r w:rsidRPr="00DC61BC">
        <w:rPr>
          <w:strike/>
        </w:rPr>
        <w:t>solvency</w:t>
      </w:r>
      <w:r w:rsidRPr="00DC61BC">
        <w:t xml:space="preserve"> </w:t>
      </w:r>
      <w:r w:rsidRPr="00DC61BC">
        <w:rPr>
          <w:u w:val="single"/>
        </w:rPr>
        <w:t>capital</w:t>
      </w:r>
      <w:r w:rsidRPr="00DC61BC">
        <w:t xml:space="preserve"> position of each statutory fund. </w:t>
      </w:r>
      <w:r w:rsidR="00253E15">
        <w:rPr>
          <w:u w:val="single"/>
        </w:rPr>
        <w:t xml:space="preserve">In consolidated financial </w:t>
      </w:r>
      <w:r w:rsidR="00253E15" w:rsidRPr="002A6395">
        <w:rPr>
          <w:u w:val="single"/>
        </w:rPr>
        <w:t>statements</w:t>
      </w:r>
      <w:r w:rsidR="00253E15" w:rsidRPr="008C0E84">
        <w:rPr>
          <w:strike/>
        </w:rPr>
        <w:t xml:space="preserve"> </w:t>
      </w:r>
      <w:r w:rsidRPr="008C0E84">
        <w:rPr>
          <w:strike/>
        </w:rPr>
        <w:t>A</w:t>
      </w:r>
      <w:r w:rsidRPr="00DC61BC">
        <w:t xml:space="preserve"> </w:t>
      </w:r>
      <w:proofErr w:type="spellStart"/>
      <w:r w:rsidR="00253E15" w:rsidRPr="008C0E84">
        <w:rPr>
          <w:u w:val="single"/>
        </w:rPr>
        <w:t>a</w:t>
      </w:r>
      <w:proofErr w:type="spellEnd"/>
      <w:r w:rsidR="00253E15">
        <w:t xml:space="preserve"> </w:t>
      </w:r>
      <w:r w:rsidRPr="00DC61BC">
        <w:t xml:space="preserve">group shall disclose the regulatory </w:t>
      </w:r>
      <w:r w:rsidRPr="00DC61BC">
        <w:rPr>
          <w:strike/>
        </w:rPr>
        <w:t>solvency</w:t>
      </w:r>
      <w:r w:rsidRPr="00DC61BC">
        <w:t xml:space="preserve"> </w:t>
      </w:r>
      <w:r w:rsidRPr="00DC61BC">
        <w:rPr>
          <w:u w:val="single"/>
        </w:rPr>
        <w:t>capital</w:t>
      </w:r>
      <w:r w:rsidRPr="00DC61BC">
        <w:t xml:space="preserve"> position of each life insurer in the group.</w:t>
      </w:r>
    </w:p>
    <w:p w:rsidR="00A96A57" w:rsidRDefault="00D904A5" w:rsidP="009615C6">
      <w:pPr>
        <w:pStyle w:val="Heading4"/>
        <w:ind w:left="510"/>
      </w:pPr>
      <w:r>
        <w:rPr>
          <w:bCs/>
        </w:rPr>
        <w:t xml:space="preserve">Actuarial Information </w:t>
      </w:r>
    </w:p>
    <w:p w:rsidR="00A96A57" w:rsidRDefault="00A96A57" w:rsidP="009615C6">
      <w:pPr>
        <w:pStyle w:val="SubNumBold1"/>
      </w:pPr>
      <w:r>
        <w:t>17.10</w:t>
      </w:r>
      <w:r w:rsidR="002C3183">
        <w:tab/>
      </w:r>
      <w:r w:rsidR="00D904A5">
        <w:t xml:space="preserve">The following shall be disclosed in notes: </w:t>
      </w:r>
    </w:p>
    <w:p w:rsidR="002C3183" w:rsidRDefault="00D904A5" w:rsidP="009615C6">
      <w:pPr>
        <w:pStyle w:val="SubNumBold2"/>
      </w:pPr>
      <w:r>
        <w:t xml:space="preserve">if other than the end of the reporting period, the effective date of the actuarial report on policy liabilities and </w:t>
      </w:r>
      <w:r w:rsidR="00801E13">
        <w:rPr>
          <w:u w:val="single"/>
        </w:rPr>
        <w:t>regulatory</w:t>
      </w:r>
      <w:r w:rsidR="00801E13" w:rsidRPr="00147E70">
        <w:t xml:space="preserve"> </w:t>
      </w:r>
      <w:r>
        <w:rPr>
          <w:strike/>
        </w:rPr>
        <w:t xml:space="preserve">solvency </w:t>
      </w:r>
      <w:r>
        <w:rPr>
          <w:u w:val="single"/>
        </w:rPr>
        <w:t>capital</w:t>
      </w:r>
      <w:r w:rsidR="00A96A57">
        <w:t xml:space="preserve"> reserves;</w:t>
      </w:r>
    </w:p>
    <w:p w:rsidR="00A96A57" w:rsidRDefault="001F1BC6" w:rsidP="009615C6">
      <w:pPr>
        <w:pStyle w:val="SubNumBold2"/>
      </w:pPr>
      <w:r>
        <w:t>…</w:t>
      </w:r>
    </w:p>
    <w:p w:rsidR="00BF5770" w:rsidRPr="00BC0794" w:rsidRDefault="00BF5770" w:rsidP="009615C6">
      <w:pPr>
        <w:pStyle w:val="BCHanging0"/>
        <w:ind w:left="0" w:firstLine="0"/>
      </w:pPr>
    </w:p>
    <w:sectPr w:rsidR="00BF5770" w:rsidRPr="00BC0794" w:rsidSect="00D938B6">
      <w:headerReference w:type="default" r:id="rId14"/>
      <w:footerReference w:type="default" r:id="rId15"/>
      <w:headerReference w:type="first" r:id="rId16"/>
      <w:footerReference w:type="first" r:id="rId17"/>
      <w:pgSz w:w="11907" w:h="16840" w:code="9"/>
      <w:pgMar w:top="1134" w:right="1134" w:bottom="1134" w:left="1134" w:header="720" w:footer="720" w:gutter="0"/>
      <w:paperSrc w:first="1025" w:other="1025"/>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47" w:rsidRDefault="00D31447">
      <w:r>
        <w:separator/>
      </w:r>
    </w:p>
  </w:endnote>
  <w:endnote w:type="continuationSeparator" w:id="0">
    <w:p w:rsidR="00D31447" w:rsidRDefault="00D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rsidP="00D938B6">
    <w:pPr>
      <w:pStyle w:val="Footer"/>
      <w:tabs>
        <w:tab w:val="clear" w:pos="3119"/>
        <w:tab w:val="clear" w:pos="6237"/>
        <w:tab w:val="center" w:pos="4820"/>
        <w:tab w:val="right" w:pos="9639"/>
      </w:tabs>
      <w:rPr>
        <w:b/>
      </w:rPr>
    </w:pPr>
    <w:r>
      <w:rPr>
        <w:b/>
      </w:rPr>
      <w:t xml:space="preserve">AASB </w:t>
    </w:r>
    <w:r w:rsidR="00626E85">
      <w:rPr>
        <w:b/>
      </w:rPr>
      <w:t>2013-</w:t>
    </w:r>
    <w:r w:rsidR="00A431A9">
      <w:rPr>
        <w:b/>
      </w:rPr>
      <w:t>2</w:t>
    </w:r>
    <w:r>
      <w:rPr>
        <w:b/>
      </w:rPr>
      <w:tab/>
    </w:r>
    <w:r>
      <w:fldChar w:fldCharType="begin"/>
    </w:r>
    <w:r>
      <w:instrText>PAGE</w:instrText>
    </w:r>
    <w:r>
      <w:fldChar w:fldCharType="separate"/>
    </w:r>
    <w:r w:rsidR="008649EF">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rsidP="00D938B6">
    <w:pPr>
      <w:pStyle w:val="Footer"/>
      <w:tabs>
        <w:tab w:val="clear" w:pos="3119"/>
        <w:tab w:val="clear" w:pos="6237"/>
        <w:tab w:val="left" w:pos="3690"/>
        <w:tab w:val="center" w:pos="4820"/>
        <w:tab w:val="right" w:pos="9639"/>
      </w:tabs>
      <w:rPr>
        <w:b/>
      </w:rPr>
    </w:pPr>
    <w:r>
      <w:rPr>
        <w:b/>
      </w:rPr>
      <w:t xml:space="preserve">AASB </w:t>
    </w:r>
    <w:r w:rsidR="00626E85">
      <w:rPr>
        <w:b/>
      </w:rPr>
      <w:t>2013-</w:t>
    </w:r>
    <w:r w:rsidR="00A431A9">
      <w:rPr>
        <w:b/>
      </w:rPr>
      <w:t>2</w:t>
    </w:r>
    <w:r>
      <w:rPr>
        <w:b/>
      </w:rPr>
      <w:tab/>
    </w:r>
    <w:r>
      <w:fldChar w:fldCharType="begin"/>
    </w:r>
    <w:r>
      <w:instrText>PAGE</w:instrText>
    </w:r>
    <w:r>
      <w:fldChar w:fldCharType="separate"/>
    </w:r>
    <w:r w:rsidR="008649EF">
      <w:rPr>
        <w:noProof/>
      </w:rPr>
      <w:t>3</w:t>
    </w:r>
    <w:r>
      <w:fldChar w:fldCharType="end"/>
    </w:r>
    <w:r>
      <w:tab/>
    </w:r>
    <w:r w:rsidR="00D938B6">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rsidP="00D938B6">
    <w:pPr>
      <w:pStyle w:val="Footer"/>
      <w:tabs>
        <w:tab w:val="clear" w:pos="3119"/>
        <w:tab w:val="clear" w:pos="6237"/>
        <w:tab w:val="center" w:pos="4820"/>
        <w:tab w:val="right" w:pos="9639"/>
      </w:tabs>
      <w:rPr>
        <w:b/>
      </w:rPr>
    </w:pPr>
    <w:r>
      <w:rPr>
        <w:b/>
      </w:rPr>
      <w:t xml:space="preserve">AASB </w:t>
    </w:r>
    <w:r w:rsidR="00626E85">
      <w:rPr>
        <w:b/>
      </w:rPr>
      <w:t>2013-</w:t>
    </w:r>
    <w:r w:rsidR="00A431A9">
      <w:rPr>
        <w:b/>
      </w:rPr>
      <w:t>2</w:t>
    </w:r>
    <w:r>
      <w:rPr>
        <w:b/>
      </w:rPr>
      <w:tab/>
    </w:r>
    <w:r>
      <w:fldChar w:fldCharType="begin"/>
    </w:r>
    <w:r>
      <w:instrText>PAGE</w:instrText>
    </w:r>
    <w:r>
      <w:fldChar w:fldCharType="separate"/>
    </w:r>
    <w:r w:rsidR="008649EF">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rsidP="00D938B6">
    <w:pPr>
      <w:pStyle w:val="Footer"/>
      <w:tabs>
        <w:tab w:val="clear" w:pos="3119"/>
        <w:tab w:val="clear" w:pos="6237"/>
        <w:tab w:val="left" w:pos="3945"/>
        <w:tab w:val="center" w:pos="4820"/>
        <w:tab w:val="right" w:pos="9639"/>
      </w:tabs>
      <w:rPr>
        <w:b/>
      </w:rPr>
    </w:pPr>
    <w:r>
      <w:rPr>
        <w:b/>
      </w:rPr>
      <w:t xml:space="preserve">AASB </w:t>
    </w:r>
    <w:r w:rsidR="00626E85">
      <w:rPr>
        <w:b/>
      </w:rPr>
      <w:t>2013-</w:t>
    </w:r>
    <w:r w:rsidR="00A431A9">
      <w:rPr>
        <w:b/>
      </w:rPr>
      <w:t>2</w:t>
    </w:r>
    <w:r>
      <w:rPr>
        <w:b/>
      </w:rPr>
      <w:tab/>
    </w:r>
    <w:r>
      <w:fldChar w:fldCharType="begin"/>
    </w:r>
    <w:r>
      <w:instrText>PAGE</w:instrText>
    </w:r>
    <w:r>
      <w:fldChar w:fldCharType="separate"/>
    </w:r>
    <w:r w:rsidR="008649EF">
      <w:rPr>
        <w:noProof/>
      </w:rPr>
      <w:t>5</w:t>
    </w:r>
    <w:r>
      <w:fldChar w:fldCharType="end"/>
    </w:r>
    <w:r>
      <w:tab/>
    </w:r>
    <w:r w:rsidR="00D938B6">
      <w:tab/>
    </w:r>
    <w:r>
      <w:rPr>
        <w:b/>
        <w:bCs/>
      </w:rPr>
      <w:t>STANDARD</w:t>
    </w:r>
  </w:p>
  <w:p w:rsidR="00092027" w:rsidRDefault="00092027" w:rsidP="00D938B6">
    <w:pPr>
      <w:tabs>
        <w:tab w:val="center" w:pos="4820"/>
        <w:tab w:val="right" w:pos="9639"/>
      </w:tabs>
    </w:pPr>
  </w:p>
  <w:p w:rsidR="00092027" w:rsidRDefault="000920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47" w:rsidRDefault="00D31447">
      <w:r>
        <w:separator/>
      </w:r>
    </w:p>
  </w:footnote>
  <w:footnote w:type="continuationSeparator" w:id="0">
    <w:p w:rsidR="00D31447" w:rsidRDefault="00D31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rsidP="000F78C9">
    <w:pPr>
      <w:pStyle w:val="Header"/>
      <w:jc w:val="center"/>
    </w:pPr>
    <w:r>
      <w:rPr>
        <w:b/>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7" w:rsidRDefault="00951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7">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8">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4"/>
  </w:num>
  <w:num w:numId="8">
    <w:abstractNumId w:val="5"/>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8913">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70"/>
    <w:rsid w:val="0000292B"/>
    <w:rsid w:val="00027E8B"/>
    <w:rsid w:val="0004455B"/>
    <w:rsid w:val="00074133"/>
    <w:rsid w:val="00090A6F"/>
    <w:rsid w:val="00092027"/>
    <w:rsid w:val="00096027"/>
    <w:rsid w:val="000B115A"/>
    <w:rsid w:val="000B733C"/>
    <w:rsid w:val="000C3EB0"/>
    <w:rsid w:val="000D798D"/>
    <w:rsid w:val="000D7B40"/>
    <w:rsid w:val="000F64CC"/>
    <w:rsid w:val="000F78C9"/>
    <w:rsid w:val="00110B96"/>
    <w:rsid w:val="001162C5"/>
    <w:rsid w:val="001206CF"/>
    <w:rsid w:val="00147E70"/>
    <w:rsid w:val="00163664"/>
    <w:rsid w:val="001662B8"/>
    <w:rsid w:val="00171F51"/>
    <w:rsid w:val="001761C6"/>
    <w:rsid w:val="001864D4"/>
    <w:rsid w:val="0019286F"/>
    <w:rsid w:val="001B33A5"/>
    <w:rsid w:val="001C225F"/>
    <w:rsid w:val="001F1BC6"/>
    <w:rsid w:val="001F78DF"/>
    <w:rsid w:val="0022022E"/>
    <w:rsid w:val="00253E15"/>
    <w:rsid w:val="0028086D"/>
    <w:rsid w:val="00283482"/>
    <w:rsid w:val="0029647E"/>
    <w:rsid w:val="002A201D"/>
    <w:rsid w:val="002A5425"/>
    <w:rsid w:val="002A6395"/>
    <w:rsid w:val="002B7803"/>
    <w:rsid w:val="002C3183"/>
    <w:rsid w:val="002D4105"/>
    <w:rsid w:val="002F1CD0"/>
    <w:rsid w:val="002F23F1"/>
    <w:rsid w:val="00307F26"/>
    <w:rsid w:val="003251D8"/>
    <w:rsid w:val="0033581C"/>
    <w:rsid w:val="0034023D"/>
    <w:rsid w:val="00361D62"/>
    <w:rsid w:val="00364B30"/>
    <w:rsid w:val="00367DC9"/>
    <w:rsid w:val="00377B8D"/>
    <w:rsid w:val="00382796"/>
    <w:rsid w:val="0039009E"/>
    <w:rsid w:val="003A488F"/>
    <w:rsid w:val="003B0CAA"/>
    <w:rsid w:val="003B0E71"/>
    <w:rsid w:val="003D1DD4"/>
    <w:rsid w:val="003E0A68"/>
    <w:rsid w:val="00401ECA"/>
    <w:rsid w:val="004150BD"/>
    <w:rsid w:val="00422E4D"/>
    <w:rsid w:val="00426876"/>
    <w:rsid w:val="00434D86"/>
    <w:rsid w:val="00436A2D"/>
    <w:rsid w:val="0044702C"/>
    <w:rsid w:val="0045283F"/>
    <w:rsid w:val="00460FBB"/>
    <w:rsid w:val="00470CE9"/>
    <w:rsid w:val="0047683E"/>
    <w:rsid w:val="0048155F"/>
    <w:rsid w:val="00487CF6"/>
    <w:rsid w:val="004961F8"/>
    <w:rsid w:val="004A417F"/>
    <w:rsid w:val="004B038C"/>
    <w:rsid w:val="004B736C"/>
    <w:rsid w:val="004C5BDE"/>
    <w:rsid w:val="004D3809"/>
    <w:rsid w:val="004D4D1C"/>
    <w:rsid w:val="004F55FE"/>
    <w:rsid w:val="00500E80"/>
    <w:rsid w:val="00503AD1"/>
    <w:rsid w:val="00511C34"/>
    <w:rsid w:val="005166B2"/>
    <w:rsid w:val="0053452C"/>
    <w:rsid w:val="00535EC5"/>
    <w:rsid w:val="005431D2"/>
    <w:rsid w:val="005453AB"/>
    <w:rsid w:val="00546377"/>
    <w:rsid w:val="0056274D"/>
    <w:rsid w:val="00577065"/>
    <w:rsid w:val="0058004D"/>
    <w:rsid w:val="00590051"/>
    <w:rsid w:val="005A2514"/>
    <w:rsid w:val="005A33C9"/>
    <w:rsid w:val="005B146F"/>
    <w:rsid w:val="005C2087"/>
    <w:rsid w:val="005E6BE4"/>
    <w:rsid w:val="00602261"/>
    <w:rsid w:val="00626E85"/>
    <w:rsid w:val="00641282"/>
    <w:rsid w:val="00652DF8"/>
    <w:rsid w:val="006A3AE9"/>
    <w:rsid w:val="006A40E5"/>
    <w:rsid w:val="006B0CD6"/>
    <w:rsid w:val="006B5D88"/>
    <w:rsid w:val="006C2E37"/>
    <w:rsid w:val="006D055E"/>
    <w:rsid w:val="006D134A"/>
    <w:rsid w:val="006D4700"/>
    <w:rsid w:val="006D7679"/>
    <w:rsid w:val="006E2C39"/>
    <w:rsid w:val="00714340"/>
    <w:rsid w:val="00717B23"/>
    <w:rsid w:val="007333C2"/>
    <w:rsid w:val="00737714"/>
    <w:rsid w:val="00742E4B"/>
    <w:rsid w:val="007455F0"/>
    <w:rsid w:val="00751F6A"/>
    <w:rsid w:val="007554ED"/>
    <w:rsid w:val="00755E40"/>
    <w:rsid w:val="00756FF6"/>
    <w:rsid w:val="0076127E"/>
    <w:rsid w:val="00774DF1"/>
    <w:rsid w:val="0078116B"/>
    <w:rsid w:val="007A6BC3"/>
    <w:rsid w:val="007F1D3D"/>
    <w:rsid w:val="00801E13"/>
    <w:rsid w:val="00810A9D"/>
    <w:rsid w:val="00812637"/>
    <w:rsid w:val="00813227"/>
    <w:rsid w:val="00820794"/>
    <w:rsid w:val="00831497"/>
    <w:rsid w:val="00840A69"/>
    <w:rsid w:val="00842088"/>
    <w:rsid w:val="008459E8"/>
    <w:rsid w:val="008649EF"/>
    <w:rsid w:val="00864ADE"/>
    <w:rsid w:val="00871A12"/>
    <w:rsid w:val="00881BBE"/>
    <w:rsid w:val="008A6182"/>
    <w:rsid w:val="008B1D94"/>
    <w:rsid w:val="008B643A"/>
    <w:rsid w:val="008C0E84"/>
    <w:rsid w:val="008C4156"/>
    <w:rsid w:val="008C60B1"/>
    <w:rsid w:val="008C6BD0"/>
    <w:rsid w:val="008D2EBD"/>
    <w:rsid w:val="008E09B5"/>
    <w:rsid w:val="008F0A81"/>
    <w:rsid w:val="008F5963"/>
    <w:rsid w:val="00917717"/>
    <w:rsid w:val="00923261"/>
    <w:rsid w:val="009256B7"/>
    <w:rsid w:val="009313F6"/>
    <w:rsid w:val="00951077"/>
    <w:rsid w:val="009615C6"/>
    <w:rsid w:val="00970C7A"/>
    <w:rsid w:val="009721DB"/>
    <w:rsid w:val="009B6535"/>
    <w:rsid w:val="009C2479"/>
    <w:rsid w:val="009D06F8"/>
    <w:rsid w:val="009D0F67"/>
    <w:rsid w:val="009D73F1"/>
    <w:rsid w:val="00A05041"/>
    <w:rsid w:val="00A13F82"/>
    <w:rsid w:val="00A16664"/>
    <w:rsid w:val="00A1746F"/>
    <w:rsid w:val="00A245B8"/>
    <w:rsid w:val="00A24849"/>
    <w:rsid w:val="00A41ED3"/>
    <w:rsid w:val="00A431A9"/>
    <w:rsid w:val="00A47FA2"/>
    <w:rsid w:val="00A55F4F"/>
    <w:rsid w:val="00A748BA"/>
    <w:rsid w:val="00A83862"/>
    <w:rsid w:val="00A8486C"/>
    <w:rsid w:val="00A96702"/>
    <w:rsid w:val="00A96A57"/>
    <w:rsid w:val="00A97EB2"/>
    <w:rsid w:val="00AA14A9"/>
    <w:rsid w:val="00AB780A"/>
    <w:rsid w:val="00AC4315"/>
    <w:rsid w:val="00AD42DA"/>
    <w:rsid w:val="00AF61B8"/>
    <w:rsid w:val="00B06F6D"/>
    <w:rsid w:val="00B110AD"/>
    <w:rsid w:val="00B271BA"/>
    <w:rsid w:val="00B33C3A"/>
    <w:rsid w:val="00B3429E"/>
    <w:rsid w:val="00B74237"/>
    <w:rsid w:val="00B75B45"/>
    <w:rsid w:val="00BA3AB4"/>
    <w:rsid w:val="00BA4622"/>
    <w:rsid w:val="00BB4C9F"/>
    <w:rsid w:val="00BC0794"/>
    <w:rsid w:val="00BC0D5D"/>
    <w:rsid w:val="00BE2F68"/>
    <w:rsid w:val="00BE38FC"/>
    <w:rsid w:val="00BE5FC6"/>
    <w:rsid w:val="00BF1ED9"/>
    <w:rsid w:val="00BF5770"/>
    <w:rsid w:val="00C03C7B"/>
    <w:rsid w:val="00C3493B"/>
    <w:rsid w:val="00C37458"/>
    <w:rsid w:val="00C438DD"/>
    <w:rsid w:val="00C43CD1"/>
    <w:rsid w:val="00C45020"/>
    <w:rsid w:val="00C5022C"/>
    <w:rsid w:val="00C552FD"/>
    <w:rsid w:val="00C63573"/>
    <w:rsid w:val="00C95D8A"/>
    <w:rsid w:val="00CB719A"/>
    <w:rsid w:val="00CC6FCD"/>
    <w:rsid w:val="00CD5D1C"/>
    <w:rsid w:val="00CE2510"/>
    <w:rsid w:val="00CE2F8C"/>
    <w:rsid w:val="00CF75CA"/>
    <w:rsid w:val="00CF7B67"/>
    <w:rsid w:val="00D00FD5"/>
    <w:rsid w:val="00D31447"/>
    <w:rsid w:val="00D52086"/>
    <w:rsid w:val="00D540F9"/>
    <w:rsid w:val="00D54F5C"/>
    <w:rsid w:val="00D67336"/>
    <w:rsid w:val="00D74038"/>
    <w:rsid w:val="00D904A5"/>
    <w:rsid w:val="00D938B6"/>
    <w:rsid w:val="00D942EB"/>
    <w:rsid w:val="00D96103"/>
    <w:rsid w:val="00D96A64"/>
    <w:rsid w:val="00DA2A7B"/>
    <w:rsid w:val="00DC61BC"/>
    <w:rsid w:val="00DC7E1B"/>
    <w:rsid w:val="00DD1DDC"/>
    <w:rsid w:val="00DD2048"/>
    <w:rsid w:val="00DD7E7A"/>
    <w:rsid w:val="00DF39E3"/>
    <w:rsid w:val="00DF4A32"/>
    <w:rsid w:val="00E06C2F"/>
    <w:rsid w:val="00E168A5"/>
    <w:rsid w:val="00E24399"/>
    <w:rsid w:val="00E274C6"/>
    <w:rsid w:val="00E41399"/>
    <w:rsid w:val="00E61094"/>
    <w:rsid w:val="00E63279"/>
    <w:rsid w:val="00E74BD5"/>
    <w:rsid w:val="00E7592A"/>
    <w:rsid w:val="00E839DA"/>
    <w:rsid w:val="00E90B4F"/>
    <w:rsid w:val="00E915E3"/>
    <w:rsid w:val="00E94DA2"/>
    <w:rsid w:val="00E97B4B"/>
    <w:rsid w:val="00EB07B2"/>
    <w:rsid w:val="00EB4197"/>
    <w:rsid w:val="00EB4756"/>
    <w:rsid w:val="00EC4AFD"/>
    <w:rsid w:val="00ED06E4"/>
    <w:rsid w:val="00EE2509"/>
    <w:rsid w:val="00EE3D03"/>
    <w:rsid w:val="00EE740D"/>
    <w:rsid w:val="00F14BDB"/>
    <w:rsid w:val="00F1645A"/>
    <w:rsid w:val="00F20C34"/>
    <w:rsid w:val="00F262E1"/>
    <w:rsid w:val="00F2677A"/>
    <w:rsid w:val="00F27D29"/>
    <w:rsid w:val="00F424C9"/>
    <w:rsid w:val="00F66B41"/>
    <w:rsid w:val="00F67C00"/>
    <w:rsid w:val="00F970FB"/>
    <w:rsid w:val="00FB39CB"/>
    <w:rsid w:val="00FC13C4"/>
    <w:rsid w:val="00FC2254"/>
    <w:rsid w:val="00FC496F"/>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BF5770"/>
    <w:rPr>
      <w:lang w:eastAsia="en-US"/>
    </w:rPr>
  </w:style>
  <w:style w:type="character" w:customStyle="1" w:styleId="PlainHanging1Char">
    <w:name w:val="Plain Hanging1 Char"/>
    <w:basedOn w:val="DefaultParagraphFont"/>
    <w:link w:val="PlainHanging1"/>
    <w:rsid w:val="00A96A57"/>
    <w:rPr>
      <w:lang w:eastAsia="en-US"/>
    </w:rPr>
  </w:style>
  <w:style w:type="character" w:customStyle="1" w:styleId="PlainHanging0Char">
    <w:name w:val="Plain Hanging0 Char"/>
    <w:basedOn w:val="DefaultParagraphFont"/>
    <w:link w:val="PlainHanging0"/>
    <w:locked/>
    <w:rsid w:val="00A96A57"/>
    <w:rPr>
      <w:lang w:eastAsia="en-US"/>
    </w:rPr>
  </w:style>
  <w:style w:type="paragraph" w:customStyle="1" w:styleId="Default">
    <w:name w:val="Default"/>
    <w:rsid w:val="00717B23"/>
    <w:pPr>
      <w:autoSpaceDE w:val="0"/>
      <w:autoSpaceDN w:val="0"/>
      <w:adjustRightInd w:val="0"/>
    </w:pPr>
    <w:rPr>
      <w:color w:val="000000"/>
      <w:sz w:val="24"/>
      <w:szCs w:val="24"/>
    </w:rPr>
  </w:style>
  <w:style w:type="character" w:customStyle="1" w:styleId="HeaderChar">
    <w:name w:val="Header Char"/>
    <w:basedOn w:val="DefaultParagraphFont"/>
    <w:link w:val="Header"/>
    <w:rsid w:val="00361D62"/>
    <w:rPr>
      <w:lang w:eastAsia="en-US"/>
    </w:rPr>
  </w:style>
  <w:style w:type="paragraph" w:styleId="BalloonText">
    <w:name w:val="Balloon Text"/>
    <w:basedOn w:val="Normal"/>
    <w:link w:val="BalloonTextChar"/>
    <w:rsid w:val="00361D6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61D62"/>
    <w:rPr>
      <w:rFonts w:ascii="Tahoma" w:hAnsi="Tahoma" w:cs="Tahoma"/>
      <w:sz w:val="16"/>
      <w:szCs w:val="16"/>
      <w:lang w:eastAsia="en-US"/>
    </w:rPr>
  </w:style>
  <w:style w:type="character" w:styleId="FootnoteReference">
    <w:name w:val="footnote reference"/>
    <w:basedOn w:val="DefaultParagraphFont"/>
    <w:rsid w:val="009313F6"/>
    <w:rPr>
      <w:vertAlign w:val="superscript"/>
    </w:rPr>
  </w:style>
  <w:style w:type="character" w:customStyle="1" w:styleId="Heading2Char">
    <w:name w:val="Heading 2 Char"/>
    <w:basedOn w:val="DefaultParagraphFont"/>
    <w:link w:val="Heading2"/>
    <w:rsid w:val="00503AD1"/>
    <w:rPr>
      <w:rFonts w:cs="Arial"/>
      <w:b/>
      <w:iCs/>
      <w:sz w:val="28"/>
      <w:szCs w:val="28"/>
      <w:lang w:eastAsia="en-US"/>
    </w:rPr>
  </w:style>
  <w:style w:type="character" w:customStyle="1" w:styleId="FooterChar">
    <w:name w:val="Footer Char"/>
    <w:basedOn w:val="DefaultParagraphFont"/>
    <w:link w:val="Footer"/>
    <w:rsid w:val="00503AD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BF5770"/>
    <w:rPr>
      <w:lang w:eastAsia="en-US"/>
    </w:rPr>
  </w:style>
  <w:style w:type="character" w:customStyle="1" w:styleId="PlainHanging1Char">
    <w:name w:val="Plain Hanging1 Char"/>
    <w:basedOn w:val="DefaultParagraphFont"/>
    <w:link w:val="PlainHanging1"/>
    <w:rsid w:val="00A96A57"/>
    <w:rPr>
      <w:lang w:eastAsia="en-US"/>
    </w:rPr>
  </w:style>
  <w:style w:type="character" w:customStyle="1" w:styleId="PlainHanging0Char">
    <w:name w:val="Plain Hanging0 Char"/>
    <w:basedOn w:val="DefaultParagraphFont"/>
    <w:link w:val="PlainHanging0"/>
    <w:locked/>
    <w:rsid w:val="00A96A57"/>
    <w:rPr>
      <w:lang w:eastAsia="en-US"/>
    </w:rPr>
  </w:style>
  <w:style w:type="paragraph" w:customStyle="1" w:styleId="Default">
    <w:name w:val="Default"/>
    <w:rsid w:val="00717B23"/>
    <w:pPr>
      <w:autoSpaceDE w:val="0"/>
      <w:autoSpaceDN w:val="0"/>
      <w:adjustRightInd w:val="0"/>
    </w:pPr>
    <w:rPr>
      <w:color w:val="000000"/>
      <w:sz w:val="24"/>
      <w:szCs w:val="24"/>
    </w:rPr>
  </w:style>
  <w:style w:type="character" w:customStyle="1" w:styleId="HeaderChar">
    <w:name w:val="Header Char"/>
    <w:basedOn w:val="DefaultParagraphFont"/>
    <w:link w:val="Header"/>
    <w:rsid w:val="00361D62"/>
    <w:rPr>
      <w:lang w:eastAsia="en-US"/>
    </w:rPr>
  </w:style>
  <w:style w:type="paragraph" w:styleId="BalloonText">
    <w:name w:val="Balloon Text"/>
    <w:basedOn w:val="Normal"/>
    <w:link w:val="BalloonTextChar"/>
    <w:rsid w:val="00361D6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61D62"/>
    <w:rPr>
      <w:rFonts w:ascii="Tahoma" w:hAnsi="Tahoma" w:cs="Tahoma"/>
      <w:sz w:val="16"/>
      <w:szCs w:val="16"/>
      <w:lang w:eastAsia="en-US"/>
    </w:rPr>
  </w:style>
  <w:style w:type="character" w:styleId="FootnoteReference">
    <w:name w:val="footnote reference"/>
    <w:basedOn w:val="DefaultParagraphFont"/>
    <w:rsid w:val="009313F6"/>
    <w:rPr>
      <w:vertAlign w:val="superscript"/>
    </w:rPr>
  </w:style>
  <w:style w:type="character" w:customStyle="1" w:styleId="Heading2Char">
    <w:name w:val="Heading 2 Char"/>
    <w:basedOn w:val="DefaultParagraphFont"/>
    <w:link w:val="Heading2"/>
    <w:rsid w:val="00503AD1"/>
    <w:rPr>
      <w:rFonts w:cs="Arial"/>
      <w:b/>
      <w:iCs/>
      <w:sz w:val="28"/>
      <w:szCs w:val="28"/>
      <w:lang w:eastAsia="en-US"/>
    </w:rPr>
  </w:style>
  <w:style w:type="character" w:customStyle="1" w:styleId="FooterChar">
    <w:name w:val="Footer Char"/>
    <w:basedOn w:val="DefaultParagraphFont"/>
    <w:link w:val="Footer"/>
    <w:rsid w:val="00503A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139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9FB8-DE2E-4D8F-808F-3DDF26F3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Template>
  <TotalTime>54</TotalTime>
  <Pages>5</Pages>
  <Words>728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Sue Lightfoot</dc:creator>
  <cp:lastModifiedBy>Sue Lightfoot</cp:lastModifiedBy>
  <cp:revision>3</cp:revision>
  <cp:lastPrinted>2013-03-15T05:24:00Z</cp:lastPrinted>
  <dcterms:created xsi:type="dcterms:W3CDTF">2013-03-15T05:43:00Z</dcterms:created>
  <dcterms:modified xsi:type="dcterms:W3CDTF">2013-03-15T06:38:00Z</dcterms:modified>
</cp:coreProperties>
</file>