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69" w:rsidRPr="008B4C4C" w:rsidRDefault="004B5D69" w:rsidP="00462093">
      <w:pPr>
        <w:pStyle w:val="Paragraph"/>
        <w:jc w:val="center"/>
        <w:rPr>
          <w:b/>
          <w:u w:val="single"/>
        </w:rPr>
      </w:pPr>
      <w:r w:rsidRPr="008B4C4C">
        <w:rPr>
          <w:b/>
          <w:u w:val="single"/>
        </w:rPr>
        <w:t>EXPLANATORY STATEMENT</w:t>
      </w:r>
    </w:p>
    <w:p w:rsidR="004B5D69" w:rsidRPr="008B4C4C" w:rsidRDefault="004B5D69" w:rsidP="00462093">
      <w:pPr>
        <w:pStyle w:val="Paragraph"/>
        <w:jc w:val="center"/>
        <w:rPr>
          <w:rFonts w:ascii="Times" w:hAnsi="Times"/>
          <w:b/>
          <w:szCs w:val="24"/>
          <w:u w:val="single"/>
        </w:rPr>
      </w:pPr>
      <w:r w:rsidRPr="008B4C4C">
        <w:rPr>
          <w:rFonts w:ascii="Times" w:hAnsi="Times"/>
          <w:b/>
          <w:szCs w:val="24"/>
          <w:u w:val="single"/>
        </w:rPr>
        <w:t xml:space="preserve">Select Legislative Instrument </w:t>
      </w:r>
      <w:r w:rsidR="006C4526" w:rsidRPr="008B4C4C">
        <w:rPr>
          <w:rFonts w:ascii="Times" w:hAnsi="Times"/>
          <w:b/>
          <w:szCs w:val="24"/>
          <w:u w:val="single"/>
        </w:rPr>
        <w:t>201</w:t>
      </w:r>
      <w:r w:rsidR="002A30F6" w:rsidRPr="008B4C4C">
        <w:rPr>
          <w:rFonts w:ascii="Times" w:hAnsi="Times"/>
          <w:b/>
          <w:szCs w:val="24"/>
          <w:u w:val="single"/>
        </w:rPr>
        <w:t>3</w:t>
      </w:r>
      <w:r w:rsidRPr="008B4C4C">
        <w:rPr>
          <w:rFonts w:ascii="Times" w:hAnsi="Times"/>
          <w:b/>
          <w:szCs w:val="24"/>
          <w:u w:val="single"/>
        </w:rPr>
        <w:t xml:space="preserve"> No.</w:t>
      </w:r>
      <w:r w:rsidR="008B4C4C" w:rsidRPr="008B4C4C">
        <w:rPr>
          <w:rFonts w:ascii="Times" w:hAnsi="Times"/>
          <w:b/>
          <w:szCs w:val="24"/>
          <w:u w:val="single"/>
        </w:rPr>
        <w:t xml:space="preserve"> 40</w:t>
      </w:r>
    </w:p>
    <w:p w:rsidR="004B5D69" w:rsidRPr="008B4C4C" w:rsidRDefault="004B5D69" w:rsidP="00462093">
      <w:pPr>
        <w:pStyle w:val="Paragraph"/>
        <w:jc w:val="center"/>
        <w:rPr>
          <w:rFonts w:ascii="Times" w:hAnsi="Times"/>
          <w:szCs w:val="24"/>
        </w:rPr>
      </w:pPr>
      <w:r w:rsidRPr="008B4C4C">
        <w:rPr>
          <w:rFonts w:ascii="Times" w:hAnsi="Times"/>
          <w:szCs w:val="24"/>
        </w:rPr>
        <w:t xml:space="preserve">Issued by the authority of the </w:t>
      </w:r>
      <w:r w:rsidR="002A30F6" w:rsidRPr="008B4C4C">
        <w:rPr>
          <w:rFonts w:ascii="Times" w:hAnsi="Times"/>
          <w:szCs w:val="24"/>
        </w:rPr>
        <w:t xml:space="preserve">Minister for </w:t>
      </w:r>
      <w:r w:rsidR="0011052D" w:rsidRPr="008B4C4C">
        <w:rPr>
          <w:rFonts w:ascii="Times" w:hAnsi="Times"/>
          <w:szCs w:val="24"/>
        </w:rPr>
        <w:t>Justice</w:t>
      </w:r>
    </w:p>
    <w:p w:rsidR="004B5D69" w:rsidRPr="008B4C4C" w:rsidRDefault="004B5D69" w:rsidP="00462093">
      <w:pPr>
        <w:pStyle w:val="Paragraph"/>
        <w:jc w:val="center"/>
        <w:rPr>
          <w:rFonts w:ascii="Times" w:hAnsi="Times"/>
          <w:i/>
          <w:szCs w:val="24"/>
        </w:rPr>
      </w:pPr>
      <w:r w:rsidRPr="008B4C4C">
        <w:rPr>
          <w:rFonts w:ascii="Times" w:hAnsi="Times"/>
          <w:i/>
          <w:szCs w:val="24"/>
        </w:rPr>
        <w:t xml:space="preserve">Crimes Amendment Regulation </w:t>
      </w:r>
      <w:r w:rsidR="006C4526" w:rsidRPr="008B4C4C">
        <w:rPr>
          <w:rFonts w:ascii="Times" w:hAnsi="Times"/>
          <w:i/>
          <w:szCs w:val="24"/>
        </w:rPr>
        <w:t>201</w:t>
      </w:r>
      <w:r w:rsidR="002A30F6" w:rsidRPr="008B4C4C">
        <w:rPr>
          <w:rFonts w:ascii="Times" w:hAnsi="Times"/>
          <w:i/>
          <w:szCs w:val="24"/>
        </w:rPr>
        <w:t>3</w:t>
      </w:r>
      <w:r w:rsidR="008B4C4C" w:rsidRPr="008B4C4C">
        <w:rPr>
          <w:rFonts w:ascii="Times" w:hAnsi="Times"/>
          <w:i/>
          <w:szCs w:val="24"/>
        </w:rPr>
        <w:t xml:space="preserve"> (No. 1</w:t>
      </w:r>
      <w:r w:rsidRPr="008B4C4C">
        <w:rPr>
          <w:rFonts w:ascii="Times" w:hAnsi="Times"/>
          <w:i/>
          <w:szCs w:val="24"/>
        </w:rPr>
        <w:t>)</w:t>
      </w:r>
    </w:p>
    <w:p w:rsidR="00911AA8" w:rsidRPr="008B4C4C" w:rsidRDefault="00911AA8" w:rsidP="00911AA8">
      <w:pPr>
        <w:spacing w:before="0"/>
        <w:ind w:right="91"/>
      </w:pPr>
      <w:bookmarkStart w:id="0" w:name="OLE_LINK2"/>
    </w:p>
    <w:p w:rsidR="00911AA8" w:rsidRPr="008B4C4C" w:rsidRDefault="00911AA8" w:rsidP="00911AA8">
      <w:pPr>
        <w:spacing w:before="0"/>
        <w:ind w:right="91"/>
      </w:pPr>
      <w:r w:rsidRPr="008B4C4C">
        <w:t xml:space="preserve">Section 91 of the </w:t>
      </w:r>
      <w:bookmarkStart w:id="1" w:name="OLE_LINK7"/>
      <w:r w:rsidRPr="008B4C4C">
        <w:rPr>
          <w:i/>
        </w:rPr>
        <w:t>Crimes Act 1914</w:t>
      </w:r>
      <w:r w:rsidRPr="008B4C4C">
        <w:t xml:space="preserve"> </w:t>
      </w:r>
      <w:bookmarkEnd w:id="1"/>
      <w:r w:rsidRPr="008B4C4C">
        <w:t>(the Crimes Act) provides that the Governor</w:t>
      </w:r>
      <w:r w:rsidRPr="008B4C4C">
        <w:noBreakHyphen/>
        <w:t>General may make regulations, not inconsistent with the Crimes Act, prescribing all matters required or permitted by the Crimes Act to be prescribed, or necessary or convenient to be prescribed, for carrying out or giving effect to the Crimes Act.</w:t>
      </w:r>
    </w:p>
    <w:p w:rsidR="00911AA8" w:rsidRPr="008B4C4C" w:rsidRDefault="00911AA8" w:rsidP="00911AA8">
      <w:pPr>
        <w:spacing w:before="0"/>
        <w:ind w:right="91"/>
      </w:pPr>
    </w:p>
    <w:p w:rsidR="00894EE5" w:rsidRPr="008B4C4C" w:rsidRDefault="00894EE5" w:rsidP="00911AA8">
      <w:pPr>
        <w:spacing w:before="0"/>
        <w:ind w:right="91"/>
      </w:pPr>
      <w:r w:rsidRPr="008B4C4C">
        <w:t xml:space="preserve">A federal offender is a person convicted of an offence against a law of the Commonwealth.  State and territory courts exercise jurisdiction in relation to persons charged with offences against the laws of the Commonwealth under the </w:t>
      </w:r>
      <w:r w:rsidRPr="008B4C4C">
        <w:rPr>
          <w:i/>
        </w:rPr>
        <w:t>Judiciary Act 1903</w:t>
      </w:r>
      <w:r w:rsidRPr="008B4C4C">
        <w:t>.</w:t>
      </w:r>
    </w:p>
    <w:p w:rsidR="00894EE5" w:rsidRPr="008B4C4C" w:rsidRDefault="00894EE5" w:rsidP="00911AA8">
      <w:pPr>
        <w:spacing w:before="0"/>
        <w:ind w:right="91"/>
      </w:pPr>
    </w:p>
    <w:p w:rsidR="00894EE5" w:rsidRPr="008B4C4C" w:rsidRDefault="00894EE5" w:rsidP="00911AA8">
      <w:pPr>
        <w:spacing w:before="0"/>
        <w:ind w:right="91"/>
      </w:pPr>
      <w:r w:rsidRPr="008B4C4C">
        <w:t>Part 1B of the Crimes Act provides for the sentencing, imprisonment and release of federal offenders.  Part 1B sets out sentencing options for federal offenders, including custodial sentences, conditional release and suspended sentences.</w:t>
      </w:r>
    </w:p>
    <w:p w:rsidR="00894EE5" w:rsidRPr="008B4C4C" w:rsidRDefault="00894EE5" w:rsidP="00911AA8">
      <w:pPr>
        <w:spacing w:before="0"/>
        <w:ind w:right="91"/>
      </w:pPr>
    </w:p>
    <w:p w:rsidR="00911AA8" w:rsidRPr="008B4C4C" w:rsidRDefault="00894EE5" w:rsidP="00911AA8">
      <w:pPr>
        <w:spacing w:before="0"/>
        <w:ind w:right="91"/>
      </w:pPr>
      <w:r w:rsidRPr="008B4C4C">
        <w:t>However, s</w:t>
      </w:r>
      <w:r w:rsidR="00911AA8" w:rsidRPr="008B4C4C">
        <w:t>ection 20AB of the Crimes Act provides a mechanism for courts, when sentencing federal offenders</w:t>
      </w:r>
      <w:r w:rsidRPr="008B4C4C">
        <w:t xml:space="preserve"> in their jurisdiction</w:t>
      </w:r>
      <w:r w:rsidR="00911AA8" w:rsidRPr="008B4C4C">
        <w:t xml:space="preserve">, to access a number of sentencing options that are available </w:t>
      </w:r>
      <w:r w:rsidRPr="008B4C4C">
        <w:t>under the relevant state or territory law in their jurisdiction</w:t>
      </w:r>
      <w:r w:rsidR="00911AA8" w:rsidRPr="008B4C4C">
        <w:t xml:space="preserve">.  Some of these options are specifically identified in subsection 20AB(1) of the Crimes Act and further sentencing options are prescribed for the purposes of this subsection in regulation 6 of </w:t>
      </w:r>
      <w:r w:rsidR="002A30F6" w:rsidRPr="008B4C4C">
        <w:t xml:space="preserve">the </w:t>
      </w:r>
      <w:r w:rsidR="002A30F6" w:rsidRPr="008B4C4C">
        <w:rPr>
          <w:i/>
        </w:rPr>
        <w:t>Crimes Regulations 1990</w:t>
      </w:r>
      <w:r w:rsidR="002A30F6" w:rsidRPr="008B4C4C">
        <w:t xml:space="preserve"> (the Principal Regulations)</w:t>
      </w:r>
      <w:r w:rsidR="00911AA8" w:rsidRPr="008B4C4C">
        <w:t>.</w:t>
      </w:r>
    </w:p>
    <w:p w:rsidR="00911AA8" w:rsidRPr="008B4C4C" w:rsidRDefault="00911AA8" w:rsidP="00911AA8">
      <w:pPr>
        <w:spacing w:before="0"/>
        <w:ind w:right="91"/>
      </w:pPr>
    </w:p>
    <w:p w:rsidR="002A30F6" w:rsidRPr="008B4C4C" w:rsidRDefault="00894EE5" w:rsidP="002A30F6">
      <w:pPr>
        <w:spacing w:before="0"/>
        <w:ind w:right="91"/>
      </w:pPr>
      <w:r w:rsidRPr="008B4C4C">
        <w:t xml:space="preserve">The Northern Territory has introduced amendments to its sentencing regime.  The </w:t>
      </w:r>
      <w:r w:rsidR="002A30F6" w:rsidRPr="008B4C4C">
        <w:t xml:space="preserve">purpose of this Regulation is to amend regulation 6 to refer to current sentencing legislation in the Northern Territory.  This ensures that federal offenders </w:t>
      </w:r>
      <w:r w:rsidRPr="008B4C4C">
        <w:t xml:space="preserve">who are convicted in the Northern Territory </w:t>
      </w:r>
      <w:r w:rsidR="002A30F6" w:rsidRPr="008B4C4C">
        <w:t xml:space="preserve">are eligible to access </w:t>
      </w:r>
      <w:r w:rsidRPr="008B4C4C">
        <w:t>the sentencing options now available in that jurisdiction.</w:t>
      </w:r>
    </w:p>
    <w:p w:rsidR="00911AA8" w:rsidRPr="008B4C4C" w:rsidRDefault="00911AA8" w:rsidP="00911AA8">
      <w:pPr>
        <w:spacing w:before="0"/>
        <w:ind w:right="91"/>
      </w:pPr>
    </w:p>
    <w:p w:rsidR="00275D76" w:rsidRPr="008B4C4C" w:rsidRDefault="002A30F6" w:rsidP="002A30F6">
      <w:pPr>
        <w:spacing w:before="0"/>
        <w:ind w:right="91"/>
      </w:pPr>
      <w:r w:rsidRPr="008B4C4C">
        <w:t xml:space="preserve">The amendments insert references to community work orders, community based orders and community custody orders as prescribed sentencing options in the Northern Territory in regulation 6 of the Principal Regulations.  Community work orders, community based orders and community custody orders are all available as sentencing options in the Northern Territory under the </w:t>
      </w:r>
      <w:r w:rsidRPr="008B4C4C">
        <w:rPr>
          <w:i/>
        </w:rPr>
        <w:t>Sentencing Act </w:t>
      </w:r>
      <w:r w:rsidRPr="008B4C4C">
        <w:t xml:space="preserve">(NT).  </w:t>
      </w:r>
    </w:p>
    <w:p w:rsidR="00275D76" w:rsidRPr="008B4C4C" w:rsidRDefault="00275D76" w:rsidP="00911AA8">
      <w:pPr>
        <w:spacing w:before="0"/>
        <w:ind w:right="91"/>
      </w:pPr>
    </w:p>
    <w:p w:rsidR="00CF2F97" w:rsidRPr="008B4C4C" w:rsidRDefault="00CF2F97" w:rsidP="00CF2F97">
      <w:pPr>
        <w:keepNext/>
        <w:keepLines/>
        <w:ind w:right="91"/>
        <w:rPr>
          <w:u w:val="single"/>
        </w:rPr>
      </w:pPr>
      <w:r w:rsidRPr="008B4C4C">
        <w:rPr>
          <w:u w:val="single"/>
        </w:rPr>
        <w:t>Statement of Compatibility with Human Rights</w:t>
      </w:r>
    </w:p>
    <w:p w:rsidR="00CF2F97" w:rsidRPr="008B4C4C" w:rsidRDefault="00CF2F97" w:rsidP="00911AA8">
      <w:pPr>
        <w:spacing w:before="0"/>
        <w:ind w:right="91"/>
        <w:rPr>
          <w:color w:val="000000"/>
        </w:rPr>
      </w:pPr>
    </w:p>
    <w:p w:rsidR="00275D76" w:rsidRPr="008B4C4C" w:rsidRDefault="00275D76" w:rsidP="00275D76">
      <w:pPr>
        <w:spacing w:before="120" w:after="120"/>
        <w:jc w:val="center"/>
        <w:rPr>
          <w:szCs w:val="24"/>
        </w:rPr>
      </w:pPr>
      <w:r w:rsidRPr="008B4C4C">
        <w:rPr>
          <w:i/>
          <w:szCs w:val="24"/>
        </w:rPr>
        <w:t>Prepared in accordance with Part 3 of the Human Rights (Parliamentary Scrutiny) Act 2011</w:t>
      </w:r>
    </w:p>
    <w:p w:rsidR="00275D76" w:rsidRPr="008B4C4C" w:rsidRDefault="00275D76" w:rsidP="00275D76">
      <w:pPr>
        <w:spacing w:after="240"/>
        <w:jc w:val="center"/>
        <w:rPr>
          <w:b/>
          <w:bCs/>
          <w:szCs w:val="24"/>
        </w:rPr>
      </w:pPr>
      <w:r w:rsidRPr="008B4C4C">
        <w:rPr>
          <w:b/>
          <w:bCs/>
          <w:szCs w:val="24"/>
        </w:rPr>
        <w:t>Crimes Amendment Regulation 201</w:t>
      </w:r>
      <w:r w:rsidR="002A30F6" w:rsidRPr="008B4C4C">
        <w:rPr>
          <w:b/>
          <w:bCs/>
          <w:szCs w:val="24"/>
        </w:rPr>
        <w:t>3</w:t>
      </w:r>
      <w:r w:rsidR="008B4C4C" w:rsidRPr="008B4C4C">
        <w:rPr>
          <w:b/>
          <w:bCs/>
          <w:szCs w:val="24"/>
        </w:rPr>
        <w:t xml:space="preserve"> (No. 1)</w:t>
      </w:r>
    </w:p>
    <w:p w:rsidR="00275D76" w:rsidRPr="008B4C4C" w:rsidRDefault="00275D76" w:rsidP="00275D76">
      <w:pPr>
        <w:spacing w:before="0"/>
        <w:ind w:right="91"/>
        <w:rPr>
          <w:szCs w:val="24"/>
        </w:rPr>
      </w:pPr>
      <w:r w:rsidRPr="008B4C4C">
        <w:rPr>
          <w:szCs w:val="24"/>
        </w:rPr>
        <w:t xml:space="preserve">This legislative instrument is compatible with the human rights and freedoms recognised or declared in the international instruments listed in section 3 of the </w:t>
      </w:r>
      <w:r w:rsidRPr="008B4C4C">
        <w:rPr>
          <w:i/>
          <w:szCs w:val="24"/>
        </w:rPr>
        <w:t>Human Rights (Parliamentary Scrutiny) Act 2011</w:t>
      </w:r>
      <w:r w:rsidRPr="008B4C4C">
        <w:rPr>
          <w:szCs w:val="24"/>
        </w:rPr>
        <w:t>.</w:t>
      </w:r>
    </w:p>
    <w:p w:rsidR="00AF69C5" w:rsidRPr="008B4C4C" w:rsidRDefault="00AF69C5" w:rsidP="00275D76">
      <w:pPr>
        <w:spacing w:before="0"/>
        <w:ind w:right="91"/>
        <w:rPr>
          <w:szCs w:val="24"/>
        </w:rPr>
      </w:pPr>
    </w:p>
    <w:p w:rsidR="00275D76" w:rsidRPr="008B4C4C" w:rsidRDefault="00275D76" w:rsidP="00AF69C5">
      <w:pPr>
        <w:spacing w:before="0"/>
        <w:ind w:right="91"/>
        <w:rPr>
          <w:b/>
          <w:szCs w:val="24"/>
        </w:rPr>
      </w:pPr>
      <w:r w:rsidRPr="008B4C4C">
        <w:rPr>
          <w:b/>
          <w:szCs w:val="24"/>
        </w:rPr>
        <w:lastRenderedPageBreak/>
        <w:t>Overview of the Legislative Instrument</w:t>
      </w:r>
    </w:p>
    <w:p w:rsidR="00AF69C5" w:rsidRPr="008B4C4C" w:rsidRDefault="00AF69C5" w:rsidP="00AF69C5">
      <w:pPr>
        <w:spacing w:before="0"/>
        <w:ind w:right="91"/>
        <w:rPr>
          <w:szCs w:val="24"/>
        </w:rPr>
      </w:pPr>
    </w:p>
    <w:p w:rsidR="001272A0" w:rsidRPr="008B4C4C" w:rsidRDefault="005D246C" w:rsidP="00AF69C5">
      <w:pPr>
        <w:spacing w:before="0"/>
        <w:ind w:right="91"/>
        <w:rPr>
          <w:szCs w:val="24"/>
        </w:rPr>
      </w:pPr>
      <w:r w:rsidRPr="008B4C4C">
        <w:rPr>
          <w:szCs w:val="24"/>
        </w:rPr>
        <w:t xml:space="preserve">Federal offenders are prosecuted and sentenced in </w:t>
      </w:r>
      <w:r w:rsidR="00894EE5" w:rsidRPr="008B4C4C">
        <w:rPr>
          <w:szCs w:val="24"/>
        </w:rPr>
        <w:t>s</w:t>
      </w:r>
      <w:r w:rsidRPr="008B4C4C">
        <w:rPr>
          <w:szCs w:val="24"/>
        </w:rPr>
        <w:t xml:space="preserve">tate and </w:t>
      </w:r>
      <w:r w:rsidR="00894EE5" w:rsidRPr="008B4C4C">
        <w:rPr>
          <w:szCs w:val="24"/>
        </w:rPr>
        <w:t>t</w:t>
      </w:r>
      <w:r w:rsidRPr="008B4C4C">
        <w:rPr>
          <w:szCs w:val="24"/>
        </w:rPr>
        <w:t>erritory courts</w:t>
      </w:r>
      <w:r w:rsidR="002E27F3" w:rsidRPr="008B4C4C">
        <w:rPr>
          <w:szCs w:val="24"/>
        </w:rPr>
        <w:t xml:space="preserve"> and, if sentenced to imprisonment, are imprisoned in </w:t>
      </w:r>
      <w:r w:rsidR="00894EE5" w:rsidRPr="008B4C4C">
        <w:rPr>
          <w:szCs w:val="24"/>
        </w:rPr>
        <w:t>s</w:t>
      </w:r>
      <w:r w:rsidR="002E27F3" w:rsidRPr="008B4C4C">
        <w:rPr>
          <w:szCs w:val="24"/>
        </w:rPr>
        <w:t xml:space="preserve">tate and </w:t>
      </w:r>
      <w:r w:rsidR="00894EE5" w:rsidRPr="008B4C4C">
        <w:rPr>
          <w:szCs w:val="24"/>
        </w:rPr>
        <w:t>t</w:t>
      </w:r>
      <w:r w:rsidR="002E27F3" w:rsidRPr="008B4C4C">
        <w:rPr>
          <w:szCs w:val="24"/>
        </w:rPr>
        <w:t>erritory prisons</w:t>
      </w:r>
      <w:r w:rsidRPr="008B4C4C">
        <w:rPr>
          <w:szCs w:val="24"/>
        </w:rPr>
        <w:t xml:space="preserve">.  </w:t>
      </w:r>
      <w:r w:rsidR="00D6504F" w:rsidRPr="008B4C4C">
        <w:rPr>
          <w:szCs w:val="24"/>
        </w:rPr>
        <w:t>T</w:t>
      </w:r>
      <w:r w:rsidR="001272A0" w:rsidRPr="008B4C4C">
        <w:rPr>
          <w:szCs w:val="24"/>
        </w:rPr>
        <w:t xml:space="preserve">he Crimes Act </w:t>
      </w:r>
      <w:r w:rsidR="00845376" w:rsidRPr="008B4C4C">
        <w:t xml:space="preserve">provides for the sentencing of federal offenders, including custodial sentences, conditional release and suspended sentences.  However, the Crimes Act also </w:t>
      </w:r>
      <w:r w:rsidR="001272A0" w:rsidRPr="008B4C4C">
        <w:rPr>
          <w:szCs w:val="24"/>
        </w:rPr>
        <w:t xml:space="preserve">provides </w:t>
      </w:r>
      <w:r w:rsidR="00D96587" w:rsidRPr="008B4C4C">
        <w:rPr>
          <w:szCs w:val="24"/>
        </w:rPr>
        <w:t xml:space="preserve">a </w:t>
      </w:r>
      <w:r w:rsidR="001272A0" w:rsidRPr="008B4C4C">
        <w:rPr>
          <w:szCs w:val="24"/>
        </w:rPr>
        <w:t xml:space="preserve">mechanism for </w:t>
      </w:r>
      <w:r w:rsidR="00AE379F" w:rsidRPr="008B4C4C">
        <w:rPr>
          <w:szCs w:val="24"/>
        </w:rPr>
        <w:t>courts to consider</w:t>
      </w:r>
      <w:r w:rsidR="001F5E6D" w:rsidRPr="008B4C4C">
        <w:rPr>
          <w:szCs w:val="24"/>
        </w:rPr>
        <w:t xml:space="preserve"> </w:t>
      </w:r>
      <w:r w:rsidR="00845376" w:rsidRPr="008B4C4C">
        <w:rPr>
          <w:szCs w:val="24"/>
        </w:rPr>
        <w:t xml:space="preserve">alternative </w:t>
      </w:r>
      <w:r w:rsidR="001F5E6D" w:rsidRPr="008B4C4C">
        <w:rPr>
          <w:szCs w:val="24"/>
        </w:rPr>
        <w:t xml:space="preserve">sentencing </w:t>
      </w:r>
      <w:r w:rsidR="00845376" w:rsidRPr="008B4C4C">
        <w:rPr>
          <w:szCs w:val="24"/>
        </w:rPr>
        <w:t xml:space="preserve">orders </w:t>
      </w:r>
      <w:r w:rsidR="001F5E6D" w:rsidRPr="008B4C4C">
        <w:rPr>
          <w:szCs w:val="24"/>
        </w:rPr>
        <w:t xml:space="preserve">that are available in the relevant </w:t>
      </w:r>
      <w:r w:rsidR="00894EE5" w:rsidRPr="008B4C4C">
        <w:rPr>
          <w:szCs w:val="24"/>
        </w:rPr>
        <w:t>s</w:t>
      </w:r>
      <w:r w:rsidR="001F5E6D" w:rsidRPr="008B4C4C">
        <w:rPr>
          <w:szCs w:val="24"/>
        </w:rPr>
        <w:t xml:space="preserve">tate or </w:t>
      </w:r>
      <w:r w:rsidR="00894EE5" w:rsidRPr="008B4C4C">
        <w:rPr>
          <w:szCs w:val="24"/>
        </w:rPr>
        <w:t>t</w:t>
      </w:r>
      <w:r w:rsidR="001F5E6D" w:rsidRPr="008B4C4C">
        <w:rPr>
          <w:szCs w:val="24"/>
        </w:rPr>
        <w:t>erritory</w:t>
      </w:r>
      <w:r w:rsidR="00AE379F" w:rsidRPr="008B4C4C">
        <w:rPr>
          <w:szCs w:val="24"/>
        </w:rPr>
        <w:t xml:space="preserve"> when sentencing federal offenders.  </w:t>
      </w:r>
    </w:p>
    <w:p w:rsidR="00845376" w:rsidRPr="008B4C4C" w:rsidRDefault="00845376" w:rsidP="00AF69C5">
      <w:pPr>
        <w:spacing w:before="0"/>
        <w:ind w:right="91"/>
        <w:rPr>
          <w:szCs w:val="24"/>
        </w:rPr>
      </w:pPr>
    </w:p>
    <w:p w:rsidR="00845376" w:rsidRPr="008B4C4C" w:rsidRDefault="00845376" w:rsidP="00845376">
      <w:pPr>
        <w:spacing w:before="0"/>
        <w:ind w:right="91"/>
        <w:rPr>
          <w:szCs w:val="24"/>
        </w:rPr>
      </w:pPr>
      <w:r w:rsidRPr="008B4C4C">
        <w:rPr>
          <w:szCs w:val="24"/>
        </w:rPr>
        <w:t>Some of these alternative sentencing options are specifically identified in the Crimes Act, while others are prescribed in the Principal Regulations.  Alternative sentencing options are intended to cover sentencing op</w:t>
      </w:r>
      <w:r w:rsidR="00C86D13" w:rsidRPr="008B4C4C">
        <w:rPr>
          <w:szCs w:val="24"/>
        </w:rPr>
        <w:t>tions other than imprisonment—</w:t>
      </w:r>
      <w:r w:rsidRPr="008B4C4C">
        <w:rPr>
          <w:szCs w:val="24"/>
        </w:rPr>
        <w:t xml:space="preserve">such as community service orders, work orders, sentences of periodic detention, attendance centre orders, weekend detention and similar orders.  The policy rationale is that options available to </w:t>
      </w:r>
      <w:r w:rsidR="00894EE5" w:rsidRPr="008B4C4C">
        <w:rPr>
          <w:szCs w:val="24"/>
        </w:rPr>
        <w:t>s</w:t>
      </w:r>
      <w:r w:rsidR="007A3D58" w:rsidRPr="008B4C4C">
        <w:rPr>
          <w:szCs w:val="24"/>
        </w:rPr>
        <w:t xml:space="preserve">tate or </w:t>
      </w:r>
      <w:r w:rsidR="00894EE5" w:rsidRPr="008B4C4C">
        <w:rPr>
          <w:szCs w:val="24"/>
        </w:rPr>
        <w:t>t</w:t>
      </w:r>
      <w:r w:rsidR="007A3D58" w:rsidRPr="008B4C4C">
        <w:rPr>
          <w:szCs w:val="24"/>
        </w:rPr>
        <w:t>erritory offenders</w:t>
      </w:r>
      <w:r w:rsidRPr="008B4C4C">
        <w:rPr>
          <w:szCs w:val="24"/>
        </w:rPr>
        <w:t xml:space="preserve"> should also be available to federal offenders sentenced in that </w:t>
      </w:r>
      <w:r w:rsidR="00894EE5" w:rsidRPr="008B4C4C">
        <w:rPr>
          <w:szCs w:val="24"/>
        </w:rPr>
        <w:t>s</w:t>
      </w:r>
      <w:r w:rsidRPr="008B4C4C">
        <w:rPr>
          <w:szCs w:val="24"/>
        </w:rPr>
        <w:t xml:space="preserve">tate or </w:t>
      </w:r>
      <w:r w:rsidR="00894EE5" w:rsidRPr="008B4C4C">
        <w:rPr>
          <w:szCs w:val="24"/>
        </w:rPr>
        <w:t>t</w:t>
      </w:r>
      <w:r w:rsidRPr="008B4C4C">
        <w:rPr>
          <w:szCs w:val="24"/>
        </w:rPr>
        <w:t>erritory, apart from those orders specifically provided at federal level or options that the Commonwealth wants to exclude.</w:t>
      </w:r>
    </w:p>
    <w:p w:rsidR="00845376" w:rsidRPr="008B4C4C" w:rsidRDefault="00845376" w:rsidP="00845376">
      <w:pPr>
        <w:spacing w:before="0"/>
        <w:ind w:right="91"/>
        <w:rPr>
          <w:szCs w:val="24"/>
        </w:rPr>
      </w:pPr>
    </w:p>
    <w:p w:rsidR="00845376" w:rsidRPr="008B4C4C" w:rsidRDefault="00F272BE" w:rsidP="00845376">
      <w:pPr>
        <w:spacing w:before="0"/>
        <w:ind w:right="91"/>
        <w:rPr>
          <w:szCs w:val="24"/>
        </w:rPr>
      </w:pPr>
      <w:r w:rsidRPr="008B4C4C">
        <w:rPr>
          <w:szCs w:val="24"/>
        </w:rPr>
        <w:t>Regulation 6 of the Principal Regulations prescribe</w:t>
      </w:r>
      <w:r w:rsidR="00E53966" w:rsidRPr="008B4C4C">
        <w:rPr>
          <w:szCs w:val="24"/>
        </w:rPr>
        <w:t>s</w:t>
      </w:r>
      <w:r w:rsidRPr="008B4C4C">
        <w:rPr>
          <w:szCs w:val="24"/>
        </w:rPr>
        <w:t xml:space="preserve"> sentencing options that are available to federal offenders in the </w:t>
      </w:r>
      <w:r w:rsidR="00894EE5" w:rsidRPr="008B4C4C">
        <w:rPr>
          <w:szCs w:val="24"/>
        </w:rPr>
        <w:t>s</w:t>
      </w:r>
      <w:r w:rsidRPr="008B4C4C">
        <w:rPr>
          <w:szCs w:val="24"/>
        </w:rPr>
        <w:t xml:space="preserve">tates and </w:t>
      </w:r>
      <w:r w:rsidR="00894EE5" w:rsidRPr="008B4C4C">
        <w:rPr>
          <w:szCs w:val="24"/>
        </w:rPr>
        <w:t>t</w:t>
      </w:r>
      <w:r w:rsidRPr="008B4C4C">
        <w:rPr>
          <w:szCs w:val="24"/>
        </w:rPr>
        <w:t>erritories.</w:t>
      </w:r>
      <w:r w:rsidR="00845376" w:rsidRPr="008B4C4C">
        <w:rPr>
          <w:szCs w:val="24"/>
        </w:rPr>
        <w:t xml:space="preserve">  In relation to Northern Territory sentencing options, regulation 6 currently prescribes a home detention order made </w:t>
      </w:r>
      <w:r w:rsidR="00C86D13" w:rsidRPr="008B4C4C">
        <w:rPr>
          <w:szCs w:val="24"/>
        </w:rPr>
        <w:t>under Subdivision 2 of Division </w:t>
      </w:r>
      <w:r w:rsidR="00845376" w:rsidRPr="008B4C4C">
        <w:rPr>
          <w:szCs w:val="24"/>
        </w:rPr>
        <w:t xml:space="preserve">5 of Part 3 of the </w:t>
      </w:r>
      <w:r w:rsidR="00845376" w:rsidRPr="008B4C4C">
        <w:rPr>
          <w:i/>
          <w:szCs w:val="24"/>
        </w:rPr>
        <w:t>Sentencing Act</w:t>
      </w:r>
      <w:r w:rsidR="00845376" w:rsidRPr="008B4C4C">
        <w:rPr>
          <w:szCs w:val="24"/>
        </w:rPr>
        <w:t xml:space="preserve"> (NT).</w:t>
      </w:r>
    </w:p>
    <w:p w:rsidR="00F272BE" w:rsidRPr="008B4C4C" w:rsidRDefault="00F272BE" w:rsidP="00AF69C5">
      <w:pPr>
        <w:spacing w:before="0"/>
        <w:ind w:right="91"/>
        <w:rPr>
          <w:szCs w:val="24"/>
        </w:rPr>
      </w:pPr>
    </w:p>
    <w:p w:rsidR="00275D76" w:rsidRPr="008B4C4C" w:rsidRDefault="00E53966" w:rsidP="00AF69C5">
      <w:pPr>
        <w:spacing w:before="0"/>
        <w:ind w:right="91"/>
        <w:rPr>
          <w:szCs w:val="24"/>
        </w:rPr>
      </w:pPr>
      <w:r w:rsidRPr="008B4C4C">
        <w:rPr>
          <w:szCs w:val="24"/>
        </w:rPr>
        <w:t>This</w:t>
      </w:r>
      <w:r w:rsidR="00275D76" w:rsidRPr="008B4C4C">
        <w:rPr>
          <w:szCs w:val="24"/>
        </w:rPr>
        <w:t xml:space="preserve"> </w:t>
      </w:r>
      <w:r w:rsidR="00F45CF8" w:rsidRPr="008B4C4C">
        <w:rPr>
          <w:szCs w:val="24"/>
        </w:rPr>
        <w:t>R</w:t>
      </w:r>
      <w:r w:rsidR="00275D76" w:rsidRPr="008B4C4C">
        <w:rPr>
          <w:szCs w:val="24"/>
        </w:rPr>
        <w:t>egulation amend</w:t>
      </w:r>
      <w:r w:rsidRPr="008B4C4C">
        <w:rPr>
          <w:szCs w:val="24"/>
        </w:rPr>
        <w:t>s</w:t>
      </w:r>
      <w:r w:rsidR="00275D76" w:rsidRPr="008B4C4C">
        <w:rPr>
          <w:szCs w:val="24"/>
        </w:rPr>
        <w:t xml:space="preserve"> regulation</w:t>
      </w:r>
      <w:r w:rsidR="002A30F6" w:rsidRPr="008B4C4C">
        <w:rPr>
          <w:szCs w:val="24"/>
        </w:rPr>
        <w:t xml:space="preserve"> </w:t>
      </w:r>
      <w:r w:rsidR="00275D76" w:rsidRPr="008B4C4C">
        <w:rPr>
          <w:szCs w:val="24"/>
        </w:rPr>
        <w:t>6 of the Principal Regulations</w:t>
      </w:r>
      <w:r w:rsidR="005B47D2" w:rsidRPr="008B4C4C">
        <w:rPr>
          <w:szCs w:val="24"/>
        </w:rPr>
        <w:t xml:space="preserve"> to </w:t>
      </w:r>
      <w:r w:rsidRPr="008B4C4C">
        <w:rPr>
          <w:szCs w:val="24"/>
        </w:rPr>
        <w:t xml:space="preserve">reflect changes to sentencing options available in </w:t>
      </w:r>
      <w:r w:rsidR="002A30F6" w:rsidRPr="008B4C4C">
        <w:rPr>
          <w:szCs w:val="24"/>
        </w:rPr>
        <w:t>the Northern Territory</w:t>
      </w:r>
      <w:r w:rsidRPr="008B4C4C">
        <w:rPr>
          <w:szCs w:val="24"/>
        </w:rPr>
        <w:t xml:space="preserve"> as a result of amendments made to </w:t>
      </w:r>
      <w:r w:rsidR="005B47D2" w:rsidRPr="008B4C4C">
        <w:rPr>
          <w:szCs w:val="24"/>
        </w:rPr>
        <w:t xml:space="preserve">sentencing legislation in </w:t>
      </w:r>
      <w:r w:rsidR="002A30F6" w:rsidRPr="008B4C4C">
        <w:rPr>
          <w:szCs w:val="24"/>
        </w:rPr>
        <w:t>the Northern Territory</w:t>
      </w:r>
      <w:r w:rsidR="005B47D2" w:rsidRPr="008B4C4C">
        <w:rPr>
          <w:szCs w:val="24"/>
        </w:rPr>
        <w:t>.</w:t>
      </w:r>
    </w:p>
    <w:p w:rsidR="002A30F6" w:rsidRPr="008B4C4C" w:rsidRDefault="002A30F6" w:rsidP="00AF69C5">
      <w:pPr>
        <w:spacing w:before="0"/>
        <w:ind w:right="91"/>
        <w:rPr>
          <w:szCs w:val="24"/>
        </w:rPr>
      </w:pPr>
    </w:p>
    <w:p w:rsidR="002A30F6" w:rsidRPr="008B4C4C" w:rsidRDefault="002A30F6" w:rsidP="00AF69C5">
      <w:pPr>
        <w:spacing w:before="0"/>
        <w:ind w:right="91"/>
        <w:rPr>
          <w:szCs w:val="24"/>
        </w:rPr>
      </w:pPr>
      <w:r w:rsidRPr="008B4C4C">
        <w:t>The amendments insert references to community work orders, community based orders and community custody orders as prescribed sentencing options in the N</w:t>
      </w:r>
      <w:r w:rsidR="00C86D13" w:rsidRPr="008B4C4C">
        <w:t>orthern Territory in regulation </w:t>
      </w:r>
      <w:r w:rsidRPr="008B4C4C">
        <w:t xml:space="preserve">6 of the Principal Regulations.  This is because community work orders, community based orders and community custody orders are </w:t>
      </w:r>
      <w:r w:rsidR="00A27A8C" w:rsidRPr="008B4C4C">
        <w:t xml:space="preserve">now </w:t>
      </w:r>
      <w:r w:rsidRPr="008B4C4C">
        <w:t>available as sen</w:t>
      </w:r>
      <w:r w:rsidR="00C86D13" w:rsidRPr="008B4C4C">
        <w:t>tencing options in the Northern </w:t>
      </w:r>
      <w:r w:rsidRPr="008B4C4C">
        <w:t xml:space="preserve">Territory under the </w:t>
      </w:r>
      <w:r w:rsidRPr="008B4C4C">
        <w:rPr>
          <w:i/>
        </w:rPr>
        <w:t>Sentencing Act</w:t>
      </w:r>
      <w:r w:rsidRPr="008B4C4C">
        <w:t xml:space="preserve"> (NT).  </w:t>
      </w:r>
    </w:p>
    <w:p w:rsidR="00AF69C5" w:rsidRPr="008B4C4C" w:rsidRDefault="00AF69C5" w:rsidP="00AF69C5">
      <w:pPr>
        <w:spacing w:before="0"/>
        <w:ind w:right="91"/>
        <w:rPr>
          <w:szCs w:val="24"/>
        </w:rPr>
      </w:pPr>
    </w:p>
    <w:p w:rsidR="00275D76" w:rsidRPr="008B4C4C" w:rsidRDefault="00275D76" w:rsidP="00AF69C5">
      <w:pPr>
        <w:spacing w:before="0"/>
        <w:ind w:right="91"/>
        <w:rPr>
          <w:szCs w:val="24"/>
        </w:rPr>
      </w:pPr>
      <w:r w:rsidRPr="008B4C4C">
        <w:rPr>
          <w:szCs w:val="24"/>
        </w:rPr>
        <w:t xml:space="preserve">The </w:t>
      </w:r>
      <w:r w:rsidR="005500A1" w:rsidRPr="008B4C4C">
        <w:rPr>
          <w:szCs w:val="24"/>
        </w:rPr>
        <w:t>legislative i</w:t>
      </w:r>
      <w:r w:rsidR="007F2CE1" w:rsidRPr="008B4C4C">
        <w:rPr>
          <w:szCs w:val="24"/>
        </w:rPr>
        <w:t xml:space="preserve">nstrument does not make any substantive amendments to Commonwealth </w:t>
      </w:r>
      <w:r w:rsidR="005500A1" w:rsidRPr="008B4C4C">
        <w:rPr>
          <w:szCs w:val="24"/>
        </w:rPr>
        <w:t>law or policy</w:t>
      </w:r>
      <w:r w:rsidR="00DE034D" w:rsidRPr="008B4C4C">
        <w:rPr>
          <w:szCs w:val="24"/>
        </w:rPr>
        <w:t xml:space="preserve"> in relation to federal offenders</w:t>
      </w:r>
      <w:r w:rsidR="007F2CE1" w:rsidRPr="008B4C4C">
        <w:rPr>
          <w:szCs w:val="24"/>
        </w:rPr>
        <w:t xml:space="preserve">.  It reflects amendments to </w:t>
      </w:r>
      <w:r w:rsidR="002A30F6" w:rsidRPr="008B4C4C">
        <w:rPr>
          <w:szCs w:val="24"/>
        </w:rPr>
        <w:t>Northern Territory</w:t>
      </w:r>
      <w:r w:rsidR="007F2CE1" w:rsidRPr="008B4C4C">
        <w:rPr>
          <w:szCs w:val="24"/>
        </w:rPr>
        <w:t xml:space="preserve"> sentencing legislation </w:t>
      </w:r>
      <w:r w:rsidR="0070456B" w:rsidRPr="008B4C4C">
        <w:rPr>
          <w:szCs w:val="24"/>
        </w:rPr>
        <w:t xml:space="preserve">and ensures that federal offenders are eligible to access a range of sentencing options in accordance with </w:t>
      </w:r>
      <w:r w:rsidR="002A30F6" w:rsidRPr="008B4C4C">
        <w:rPr>
          <w:szCs w:val="24"/>
        </w:rPr>
        <w:t>Northern Territory</w:t>
      </w:r>
      <w:r w:rsidR="0070456B" w:rsidRPr="008B4C4C">
        <w:rPr>
          <w:szCs w:val="24"/>
        </w:rPr>
        <w:t xml:space="preserve"> sentencing legislation.</w:t>
      </w:r>
    </w:p>
    <w:p w:rsidR="00AF69C5" w:rsidRPr="008B4C4C" w:rsidRDefault="00AF69C5" w:rsidP="00AF69C5">
      <w:pPr>
        <w:spacing w:before="0"/>
        <w:ind w:right="91"/>
        <w:rPr>
          <w:szCs w:val="24"/>
        </w:rPr>
      </w:pPr>
    </w:p>
    <w:p w:rsidR="00275D76" w:rsidRPr="008B4C4C" w:rsidRDefault="00275D76" w:rsidP="00AF69C5">
      <w:pPr>
        <w:spacing w:before="0"/>
        <w:ind w:right="91"/>
        <w:rPr>
          <w:b/>
          <w:szCs w:val="24"/>
        </w:rPr>
      </w:pPr>
      <w:r w:rsidRPr="008B4C4C">
        <w:rPr>
          <w:b/>
          <w:szCs w:val="24"/>
        </w:rPr>
        <w:t>Human rights implications</w:t>
      </w:r>
    </w:p>
    <w:p w:rsidR="00AF69C5" w:rsidRPr="008B4C4C" w:rsidRDefault="00AF69C5" w:rsidP="00AF69C5">
      <w:pPr>
        <w:spacing w:before="0"/>
        <w:ind w:right="91"/>
        <w:rPr>
          <w:szCs w:val="24"/>
        </w:rPr>
      </w:pPr>
    </w:p>
    <w:p w:rsidR="00275D76" w:rsidRPr="008B4C4C" w:rsidRDefault="00275D76" w:rsidP="00AF69C5">
      <w:pPr>
        <w:spacing w:before="0"/>
        <w:ind w:right="91"/>
        <w:rPr>
          <w:szCs w:val="24"/>
        </w:rPr>
      </w:pPr>
      <w:r w:rsidRPr="008B4C4C">
        <w:rPr>
          <w:szCs w:val="24"/>
        </w:rPr>
        <w:t xml:space="preserve">This </w:t>
      </w:r>
      <w:r w:rsidR="005500A1" w:rsidRPr="008B4C4C">
        <w:rPr>
          <w:szCs w:val="24"/>
        </w:rPr>
        <w:t>l</w:t>
      </w:r>
      <w:r w:rsidR="005B47D2" w:rsidRPr="008B4C4C">
        <w:rPr>
          <w:szCs w:val="24"/>
        </w:rPr>
        <w:t xml:space="preserve">egislative </w:t>
      </w:r>
      <w:r w:rsidR="005500A1" w:rsidRPr="008B4C4C">
        <w:rPr>
          <w:szCs w:val="24"/>
        </w:rPr>
        <w:t>i</w:t>
      </w:r>
      <w:r w:rsidR="005B47D2" w:rsidRPr="008B4C4C">
        <w:rPr>
          <w:szCs w:val="24"/>
        </w:rPr>
        <w:t>nstrument</w:t>
      </w:r>
      <w:r w:rsidRPr="008B4C4C">
        <w:rPr>
          <w:szCs w:val="24"/>
        </w:rPr>
        <w:t xml:space="preserve"> does not engage any of the applicable rights or freedoms.</w:t>
      </w:r>
    </w:p>
    <w:p w:rsidR="00AF69C5" w:rsidRPr="008B4C4C" w:rsidRDefault="00AF69C5" w:rsidP="00AF69C5">
      <w:pPr>
        <w:spacing w:before="0"/>
        <w:ind w:right="91"/>
        <w:rPr>
          <w:szCs w:val="24"/>
        </w:rPr>
      </w:pPr>
    </w:p>
    <w:p w:rsidR="00275D76" w:rsidRPr="008B4C4C" w:rsidRDefault="00275D76" w:rsidP="00AF69C5">
      <w:pPr>
        <w:spacing w:before="0"/>
        <w:ind w:right="91"/>
        <w:rPr>
          <w:b/>
          <w:szCs w:val="24"/>
        </w:rPr>
      </w:pPr>
      <w:r w:rsidRPr="008B4C4C">
        <w:rPr>
          <w:b/>
          <w:szCs w:val="24"/>
        </w:rPr>
        <w:t>Conclusion</w:t>
      </w:r>
    </w:p>
    <w:p w:rsidR="00AF69C5" w:rsidRPr="008B4C4C" w:rsidRDefault="00AF69C5" w:rsidP="00AF69C5">
      <w:pPr>
        <w:spacing w:before="0"/>
        <w:ind w:right="91"/>
        <w:rPr>
          <w:b/>
          <w:szCs w:val="24"/>
        </w:rPr>
      </w:pPr>
    </w:p>
    <w:p w:rsidR="00275D76" w:rsidRPr="008B4C4C" w:rsidRDefault="00275D76" w:rsidP="00AF69C5">
      <w:pPr>
        <w:spacing w:before="0"/>
        <w:ind w:right="91"/>
        <w:rPr>
          <w:szCs w:val="24"/>
        </w:rPr>
      </w:pPr>
      <w:r w:rsidRPr="008B4C4C">
        <w:rPr>
          <w:szCs w:val="24"/>
        </w:rPr>
        <w:t xml:space="preserve">This </w:t>
      </w:r>
      <w:r w:rsidR="005500A1" w:rsidRPr="008B4C4C">
        <w:rPr>
          <w:szCs w:val="24"/>
        </w:rPr>
        <w:t>l</w:t>
      </w:r>
      <w:r w:rsidR="005B47D2" w:rsidRPr="008B4C4C">
        <w:rPr>
          <w:szCs w:val="24"/>
        </w:rPr>
        <w:t xml:space="preserve">egislative </w:t>
      </w:r>
      <w:r w:rsidR="005500A1" w:rsidRPr="008B4C4C">
        <w:rPr>
          <w:szCs w:val="24"/>
        </w:rPr>
        <w:t>i</w:t>
      </w:r>
      <w:r w:rsidR="005B47D2" w:rsidRPr="008B4C4C">
        <w:rPr>
          <w:szCs w:val="24"/>
        </w:rPr>
        <w:t>nstrument</w:t>
      </w:r>
      <w:r w:rsidRPr="008B4C4C">
        <w:rPr>
          <w:szCs w:val="24"/>
        </w:rPr>
        <w:t xml:space="preserve"> is compatible with human rights as it does not raise any human rights issues.</w:t>
      </w:r>
    </w:p>
    <w:p w:rsidR="00AF69C5" w:rsidRPr="008B4C4C" w:rsidRDefault="00AF69C5" w:rsidP="00275D76">
      <w:pPr>
        <w:spacing w:before="0"/>
        <w:ind w:right="91"/>
        <w:rPr>
          <w:b/>
          <w:szCs w:val="24"/>
        </w:rPr>
      </w:pPr>
    </w:p>
    <w:p w:rsidR="00275D76" w:rsidRPr="008B4C4C" w:rsidRDefault="00275D76" w:rsidP="00AF69C5">
      <w:pPr>
        <w:spacing w:before="0"/>
        <w:ind w:right="91"/>
        <w:jc w:val="center"/>
        <w:rPr>
          <w:b/>
          <w:szCs w:val="24"/>
        </w:rPr>
      </w:pPr>
      <w:r w:rsidRPr="008B4C4C">
        <w:rPr>
          <w:b/>
          <w:szCs w:val="24"/>
        </w:rPr>
        <w:t>[</w:t>
      </w:r>
      <w:r w:rsidR="005B47D2" w:rsidRPr="008B4C4C">
        <w:rPr>
          <w:b/>
          <w:szCs w:val="24"/>
        </w:rPr>
        <w:t xml:space="preserve">The Hon Jason Clare MP, Minister for </w:t>
      </w:r>
      <w:r w:rsidR="00ED0E70" w:rsidRPr="008B4C4C">
        <w:rPr>
          <w:b/>
          <w:szCs w:val="24"/>
        </w:rPr>
        <w:t>Justice</w:t>
      </w:r>
      <w:r w:rsidRPr="008B4C4C">
        <w:rPr>
          <w:b/>
          <w:szCs w:val="24"/>
        </w:rPr>
        <w:t>]</w:t>
      </w:r>
    </w:p>
    <w:p w:rsidR="0056588D" w:rsidRPr="008B4C4C" w:rsidRDefault="0056588D" w:rsidP="00462093">
      <w:pPr>
        <w:keepNext/>
        <w:keepLines/>
        <w:ind w:right="91"/>
        <w:rPr>
          <w:u w:val="single"/>
        </w:rPr>
      </w:pPr>
      <w:r w:rsidRPr="008B4C4C">
        <w:rPr>
          <w:u w:val="single"/>
        </w:rPr>
        <w:lastRenderedPageBreak/>
        <w:t>Other Issues</w:t>
      </w:r>
    </w:p>
    <w:p w:rsidR="00AB1D4C" w:rsidRPr="008B4C4C" w:rsidRDefault="0056588D" w:rsidP="00462093">
      <w:pPr>
        <w:pStyle w:val="Paragraph"/>
        <w:rPr>
          <w:rFonts w:ascii="Times" w:hAnsi="Times"/>
          <w:szCs w:val="24"/>
        </w:rPr>
      </w:pPr>
      <w:r w:rsidRPr="008B4C4C">
        <w:rPr>
          <w:rFonts w:ascii="Times" w:hAnsi="Times"/>
          <w:szCs w:val="24"/>
        </w:rPr>
        <w:t xml:space="preserve">The Commonwealth Director of Public Prosecution </w:t>
      </w:r>
      <w:r w:rsidR="00B03613" w:rsidRPr="008B4C4C">
        <w:rPr>
          <w:rFonts w:ascii="Times" w:hAnsi="Times"/>
          <w:szCs w:val="24"/>
        </w:rPr>
        <w:t xml:space="preserve">and the </w:t>
      </w:r>
      <w:r w:rsidR="002A30F6" w:rsidRPr="008B4C4C">
        <w:rPr>
          <w:rFonts w:ascii="Times" w:hAnsi="Times"/>
          <w:szCs w:val="24"/>
        </w:rPr>
        <w:t>Northern Territory Department of Correctional Services and Department of Attorney</w:t>
      </w:r>
      <w:r w:rsidR="002A30F6" w:rsidRPr="008B4C4C">
        <w:rPr>
          <w:rFonts w:ascii="Times" w:hAnsi="Times"/>
          <w:szCs w:val="24"/>
        </w:rPr>
        <w:noBreakHyphen/>
        <w:t xml:space="preserve">General and Justice </w:t>
      </w:r>
      <w:r w:rsidR="00B03613" w:rsidRPr="008B4C4C">
        <w:rPr>
          <w:rFonts w:ascii="Times" w:hAnsi="Times"/>
          <w:szCs w:val="24"/>
        </w:rPr>
        <w:t>have</w:t>
      </w:r>
      <w:r w:rsidR="00462093" w:rsidRPr="008B4C4C">
        <w:rPr>
          <w:rFonts w:ascii="Times" w:hAnsi="Times"/>
          <w:szCs w:val="24"/>
        </w:rPr>
        <w:t xml:space="preserve"> been </w:t>
      </w:r>
      <w:r w:rsidRPr="008B4C4C">
        <w:rPr>
          <w:rFonts w:ascii="Times" w:hAnsi="Times"/>
          <w:szCs w:val="24"/>
        </w:rPr>
        <w:t xml:space="preserve">consulted on </w:t>
      </w:r>
      <w:r w:rsidR="008B4C4C">
        <w:rPr>
          <w:rFonts w:ascii="Times" w:hAnsi="Times"/>
          <w:szCs w:val="24"/>
        </w:rPr>
        <w:t>the</w:t>
      </w:r>
      <w:r w:rsidR="00462093" w:rsidRPr="008B4C4C">
        <w:rPr>
          <w:rFonts w:ascii="Times" w:hAnsi="Times"/>
          <w:szCs w:val="24"/>
        </w:rPr>
        <w:t xml:space="preserve"> amendments</w:t>
      </w:r>
      <w:r w:rsidRPr="008B4C4C">
        <w:rPr>
          <w:rFonts w:ascii="Times" w:hAnsi="Times"/>
          <w:szCs w:val="24"/>
        </w:rPr>
        <w:t xml:space="preserve">.  </w:t>
      </w:r>
    </w:p>
    <w:p w:rsidR="0056588D" w:rsidRPr="008B4C4C" w:rsidRDefault="00AE0C46" w:rsidP="00462093">
      <w:pPr>
        <w:pStyle w:val="Paragraph"/>
        <w:rPr>
          <w:rFonts w:ascii="Times" w:hAnsi="Times"/>
          <w:szCs w:val="24"/>
        </w:rPr>
      </w:pPr>
      <w:r w:rsidRPr="008B4C4C">
        <w:rPr>
          <w:rFonts w:ascii="Times" w:hAnsi="Times"/>
          <w:szCs w:val="24"/>
        </w:rPr>
        <w:t>The R</w:t>
      </w:r>
      <w:r w:rsidR="0056588D" w:rsidRPr="008B4C4C">
        <w:rPr>
          <w:rFonts w:ascii="Times" w:hAnsi="Times"/>
          <w:szCs w:val="24"/>
        </w:rPr>
        <w:t>egulation</w:t>
      </w:r>
      <w:r w:rsidRPr="008B4C4C">
        <w:rPr>
          <w:rFonts w:ascii="Times" w:hAnsi="Times"/>
          <w:szCs w:val="24"/>
        </w:rPr>
        <w:t xml:space="preserve"> is</w:t>
      </w:r>
      <w:r w:rsidR="0056588D" w:rsidRPr="008B4C4C">
        <w:rPr>
          <w:rFonts w:ascii="Times" w:hAnsi="Times"/>
          <w:szCs w:val="24"/>
        </w:rPr>
        <w:t xml:space="preserve"> not likely to impact on business or restrict competition.</w:t>
      </w:r>
    </w:p>
    <w:p w:rsidR="004B5D69" w:rsidRPr="008B4C4C" w:rsidRDefault="00BC5408" w:rsidP="00462093">
      <w:pPr>
        <w:pStyle w:val="Paragraph"/>
        <w:rPr>
          <w:rFonts w:ascii="Times" w:hAnsi="Times"/>
          <w:szCs w:val="24"/>
        </w:rPr>
      </w:pPr>
      <w:r w:rsidRPr="008B4C4C">
        <w:rPr>
          <w:rFonts w:ascii="Times" w:hAnsi="Times"/>
          <w:szCs w:val="24"/>
        </w:rPr>
        <w:t>The Regulation</w:t>
      </w:r>
      <w:r w:rsidR="00AE0C46" w:rsidRPr="008B4C4C">
        <w:rPr>
          <w:rFonts w:ascii="Times" w:hAnsi="Times"/>
          <w:szCs w:val="24"/>
        </w:rPr>
        <w:t xml:space="preserve"> is a </w:t>
      </w:r>
      <w:r w:rsidR="004B5D69" w:rsidRPr="008B4C4C">
        <w:rPr>
          <w:rFonts w:ascii="Times" w:hAnsi="Times"/>
          <w:szCs w:val="24"/>
        </w:rPr>
        <w:t xml:space="preserve">legislative instrument for the purposes of the </w:t>
      </w:r>
      <w:r w:rsidR="00A7064A" w:rsidRPr="008B4C4C">
        <w:rPr>
          <w:rFonts w:ascii="Times" w:hAnsi="Times"/>
          <w:i/>
          <w:szCs w:val="24"/>
        </w:rPr>
        <w:t>Legislative Instruments Act </w:t>
      </w:r>
      <w:r w:rsidR="004B5D69" w:rsidRPr="008B4C4C">
        <w:rPr>
          <w:rFonts w:ascii="Times" w:hAnsi="Times"/>
          <w:i/>
          <w:szCs w:val="24"/>
        </w:rPr>
        <w:t>2003</w:t>
      </w:r>
      <w:r w:rsidR="004B5D69" w:rsidRPr="008B4C4C">
        <w:rPr>
          <w:rFonts w:ascii="Times" w:hAnsi="Times"/>
          <w:szCs w:val="24"/>
        </w:rPr>
        <w:t xml:space="preserve">. </w:t>
      </w:r>
    </w:p>
    <w:p w:rsidR="004B5D69" w:rsidRPr="008B4C4C" w:rsidRDefault="00625739" w:rsidP="00462093">
      <w:pPr>
        <w:pStyle w:val="Paragraph"/>
        <w:rPr>
          <w:rFonts w:ascii="Times" w:hAnsi="Times"/>
          <w:szCs w:val="24"/>
        </w:rPr>
      </w:pPr>
      <w:r w:rsidRPr="008B4C4C">
        <w:rPr>
          <w:rFonts w:ascii="Times" w:hAnsi="Times"/>
          <w:szCs w:val="24"/>
        </w:rPr>
        <w:t xml:space="preserve">The </w:t>
      </w:r>
      <w:r w:rsidR="00F45CF8" w:rsidRPr="008B4C4C">
        <w:rPr>
          <w:rFonts w:ascii="Times" w:hAnsi="Times"/>
          <w:szCs w:val="24"/>
        </w:rPr>
        <w:t>Regulation</w:t>
      </w:r>
      <w:r w:rsidR="004B5D69" w:rsidRPr="008B4C4C">
        <w:rPr>
          <w:rFonts w:ascii="Times" w:hAnsi="Times"/>
          <w:szCs w:val="24"/>
        </w:rPr>
        <w:t xml:space="preserve"> commence</w:t>
      </w:r>
      <w:r w:rsidR="00F45CF8" w:rsidRPr="008B4C4C">
        <w:rPr>
          <w:rFonts w:ascii="Times" w:hAnsi="Times"/>
          <w:szCs w:val="24"/>
        </w:rPr>
        <w:t>s</w:t>
      </w:r>
      <w:r w:rsidR="004B5D69" w:rsidRPr="008B4C4C">
        <w:rPr>
          <w:rFonts w:ascii="Times" w:hAnsi="Times"/>
          <w:szCs w:val="24"/>
        </w:rPr>
        <w:t xml:space="preserve"> on the day after </w:t>
      </w:r>
      <w:r w:rsidR="00F45CF8" w:rsidRPr="008B4C4C">
        <w:rPr>
          <w:rFonts w:ascii="Times" w:hAnsi="Times"/>
          <w:szCs w:val="24"/>
        </w:rPr>
        <w:t xml:space="preserve">it is </w:t>
      </w:r>
      <w:r w:rsidR="004B5D69" w:rsidRPr="008B4C4C">
        <w:rPr>
          <w:rFonts w:ascii="Times" w:hAnsi="Times"/>
          <w:szCs w:val="24"/>
        </w:rPr>
        <w:t>registered on the Federal Register of Legislativ</w:t>
      </w:r>
      <w:r w:rsidR="00BC5408" w:rsidRPr="008B4C4C">
        <w:rPr>
          <w:rFonts w:ascii="Times" w:hAnsi="Times"/>
          <w:szCs w:val="24"/>
        </w:rPr>
        <w:t>e Instruments</w:t>
      </w:r>
      <w:r w:rsidR="00B03613" w:rsidRPr="008B4C4C">
        <w:rPr>
          <w:rFonts w:ascii="Times" w:hAnsi="Times"/>
          <w:szCs w:val="24"/>
        </w:rPr>
        <w:t>.</w:t>
      </w:r>
    </w:p>
    <w:p w:rsidR="0056588D" w:rsidRPr="008B4C4C" w:rsidRDefault="0056588D" w:rsidP="00462093">
      <w:pPr>
        <w:pStyle w:val="Paragraph"/>
        <w:rPr>
          <w:rFonts w:ascii="Times" w:hAnsi="Times"/>
          <w:szCs w:val="24"/>
        </w:rPr>
      </w:pPr>
      <w:r w:rsidRPr="008B4C4C">
        <w:rPr>
          <w:rFonts w:ascii="Times" w:hAnsi="Times"/>
          <w:szCs w:val="24"/>
        </w:rPr>
        <w:t xml:space="preserve">Details of the Regulation are set out in the </w:t>
      </w:r>
      <w:r w:rsidRPr="008B4C4C">
        <w:rPr>
          <w:rFonts w:ascii="Times" w:hAnsi="Times"/>
          <w:szCs w:val="24"/>
          <w:u w:val="single"/>
        </w:rPr>
        <w:t>Attachment</w:t>
      </w:r>
      <w:r w:rsidRPr="008B4C4C">
        <w:rPr>
          <w:rFonts w:ascii="Times" w:hAnsi="Times"/>
          <w:szCs w:val="24"/>
        </w:rPr>
        <w:t>.</w:t>
      </w:r>
    </w:p>
    <w:p w:rsidR="00911AA8" w:rsidRPr="008B4C4C" w:rsidRDefault="00911AA8" w:rsidP="00462093">
      <w:pPr>
        <w:pStyle w:val="Paragraph"/>
        <w:rPr>
          <w:rFonts w:ascii="Times" w:hAnsi="Times"/>
          <w:szCs w:val="24"/>
        </w:rPr>
      </w:pPr>
    </w:p>
    <w:p w:rsidR="0056588D" w:rsidRPr="008B4C4C" w:rsidRDefault="0056588D" w:rsidP="00462093">
      <w:pPr>
        <w:pStyle w:val="Paragraph"/>
        <w:rPr>
          <w:rFonts w:ascii="Times" w:hAnsi="Times"/>
          <w:i/>
          <w:szCs w:val="24"/>
        </w:rPr>
      </w:pPr>
    </w:p>
    <w:p w:rsidR="004B5D69" w:rsidRPr="008B4C4C" w:rsidRDefault="004B5D69" w:rsidP="00462093">
      <w:pPr>
        <w:tabs>
          <w:tab w:val="left" w:pos="3105"/>
        </w:tabs>
        <w:sectPr w:rsidR="004B5D69" w:rsidRPr="008B4C4C" w:rsidSect="0068697B">
          <w:headerReference w:type="default" r:id="rId9"/>
          <w:pgSz w:w="11907" w:h="16840" w:code="9"/>
          <w:pgMar w:top="1418" w:right="851" w:bottom="1418" w:left="851" w:header="680" w:footer="567" w:gutter="567"/>
          <w:cols w:space="720"/>
          <w:titlePg/>
          <w:docGrid w:linePitch="326"/>
        </w:sectPr>
      </w:pPr>
      <w:bookmarkStart w:id="2" w:name="_GoBack"/>
      <w:bookmarkEnd w:id="0"/>
      <w:bookmarkEnd w:id="2"/>
    </w:p>
    <w:p w:rsidR="004B5D69" w:rsidRPr="008B4C4C" w:rsidRDefault="004B5D69" w:rsidP="00462093">
      <w:pPr>
        <w:pStyle w:val="Paragraph"/>
        <w:tabs>
          <w:tab w:val="left" w:pos="2415"/>
        </w:tabs>
        <w:jc w:val="right"/>
        <w:rPr>
          <w:rFonts w:ascii="Times" w:hAnsi="Times"/>
          <w:b/>
          <w:szCs w:val="24"/>
          <w:u w:val="single"/>
        </w:rPr>
      </w:pPr>
      <w:r w:rsidRPr="008B4C4C">
        <w:rPr>
          <w:rFonts w:ascii="Times" w:hAnsi="Times"/>
          <w:b/>
          <w:szCs w:val="24"/>
          <w:u w:val="single"/>
        </w:rPr>
        <w:lastRenderedPageBreak/>
        <w:t>ATTACHMENT</w:t>
      </w:r>
    </w:p>
    <w:p w:rsidR="0068697B" w:rsidRPr="008B4C4C" w:rsidRDefault="0068697B" w:rsidP="00462093">
      <w:pPr>
        <w:ind w:right="91"/>
        <w:rPr>
          <w:u w:val="single"/>
        </w:rPr>
      </w:pPr>
      <w:r w:rsidRPr="008B4C4C">
        <w:rPr>
          <w:b/>
          <w:u w:val="single"/>
        </w:rPr>
        <w:t xml:space="preserve">Details of the </w:t>
      </w:r>
      <w:r w:rsidRPr="008B4C4C">
        <w:rPr>
          <w:b/>
          <w:i/>
          <w:u w:val="single"/>
        </w:rPr>
        <w:t>Crimes Amendment Regulation 201</w:t>
      </w:r>
      <w:r w:rsidR="002A30F6" w:rsidRPr="008B4C4C">
        <w:rPr>
          <w:b/>
          <w:i/>
          <w:u w:val="single"/>
        </w:rPr>
        <w:t>3</w:t>
      </w:r>
      <w:r w:rsidR="008B4C4C" w:rsidRPr="008B4C4C">
        <w:rPr>
          <w:b/>
          <w:i/>
          <w:u w:val="single"/>
        </w:rPr>
        <w:t xml:space="preserve"> (No. 1</w:t>
      </w:r>
      <w:r w:rsidRPr="008B4C4C">
        <w:rPr>
          <w:b/>
          <w:i/>
          <w:u w:val="single"/>
        </w:rPr>
        <w:t>)</w:t>
      </w:r>
    </w:p>
    <w:p w:rsidR="00DA09B0" w:rsidRPr="008B4C4C" w:rsidRDefault="00DA09B0" w:rsidP="00DA09B0">
      <w:pPr>
        <w:spacing w:before="0"/>
        <w:ind w:right="91"/>
      </w:pPr>
    </w:p>
    <w:p w:rsidR="00407F4E" w:rsidRPr="008B4C4C" w:rsidRDefault="00407F4E" w:rsidP="00407F4E">
      <w:pPr>
        <w:spacing w:before="0"/>
        <w:ind w:right="91"/>
      </w:pPr>
      <w:r w:rsidRPr="008B4C4C">
        <w:rPr>
          <w:u w:val="single"/>
        </w:rPr>
        <w:t xml:space="preserve">Section 1 – Name of </w:t>
      </w:r>
      <w:r w:rsidR="00894EE5" w:rsidRPr="008B4C4C">
        <w:rPr>
          <w:u w:val="single"/>
        </w:rPr>
        <w:t>R</w:t>
      </w:r>
      <w:r w:rsidRPr="008B4C4C">
        <w:rPr>
          <w:u w:val="single"/>
        </w:rPr>
        <w:t>egulation</w:t>
      </w:r>
    </w:p>
    <w:p w:rsidR="00407F4E" w:rsidRPr="008B4C4C" w:rsidRDefault="00407F4E" w:rsidP="00407F4E">
      <w:pPr>
        <w:spacing w:before="0"/>
        <w:ind w:right="91"/>
      </w:pPr>
    </w:p>
    <w:p w:rsidR="00407F4E" w:rsidRPr="008B4C4C" w:rsidRDefault="00407F4E" w:rsidP="00407F4E">
      <w:pPr>
        <w:spacing w:before="0"/>
        <w:ind w:right="91"/>
      </w:pPr>
      <w:r w:rsidRPr="008B4C4C">
        <w:t xml:space="preserve">This section provides that the title of the </w:t>
      </w:r>
      <w:r w:rsidR="00894EE5" w:rsidRPr="008B4C4C">
        <w:t>R</w:t>
      </w:r>
      <w:r w:rsidRPr="008B4C4C">
        <w:t>egulation is the </w:t>
      </w:r>
      <w:r w:rsidRPr="008B4C4C">
        <w:rPr>
          <w:i/>
        </w:rPr>
        <w:t>Crimes </w:t>
      </w:r>
      <w:r w:rsidR="008B4C4C" w:rsidRPr="008B4C4C">
        <w:rPr>
          <w:i/>
        </w:rPr>
        <w:t>Amendment Regulation 2013 (No. 1</w:t>
      </w:r>
      <w:r w:rsidRPr="008B4C4C">
        <w:rPr>
          <w:i/>
        </w:rPr>
        <w:t>).</w:t>
      </w:r>
    </w:p>
    <w:p w:rsidR="00407F4E" w:rsidRPr="008B4C4C" w:rsidRDefault="00407F4E" w:rsidP="00407F4E">
      <w:pPr>
        <w:spacing w:before="0"/>
        <w:ind w:right="91"/>
      </w:pPr>
    </w:p>
    <w:p w:rsidR="00407F4E" w:rsidRPr="008B4C4C" w:rsidRDefault="00407F4E" w:rsidP="00407F4E">
      <w:pPr>
        <w:spacing w:before="0"/>
        <w:ind w:right="91"/>
        <w:rPr>
          <w:u w:val="single"/>
        </w:rPr>
      </w:pPr>
      <w:r w:rsidRPr="008B4C4C">
        <w:rPr>
          <w:u w:val="single"/>
        </w:rPr>
        <w:t>Section 2 – Commencement</w:t>
      </w:r>
    </w:p>
    <w:p w:rsidR="00407F4E" w:rsidRPr="008B4C4C" w:rsidRDefault="00407F4E" w:rsidP="00407F4E">
      <w:pPr>
        <w:spacing w:before="0"/>
        <w:ind w:right="91"/>
      </w:pPr>
    </w:p>
    <w:p w:rsidR="00407F4E" w:rsidRPr="008B4C4C" w:rsidRDefault="00407F4E" w:rsidP="00407F4E">
      <w:pPr>
        <w:spacing w:before="0"/>
        <w:ind w:right="91"/>
      </w:pPr>
      <w:r w:rsidRPr="008B4C4C">
        <w:t xml:space="preserve">This section provides that the </w:t>
      </w:r>
      <w:r w:rsidR="00894EE5" w:rsidRPr="008B4C4C">
        <w:t>R</w:t>
      </w:r>
      <w:r w:rsidRPr="008B4C4C">
        <w:t xml:space="preserve">egulation commences on the day after </w:t>
      </w:r>
      <w:r w:rsidR="00894EE5" w:rsidRPr="008B4C4C">
        <w:t>it</w:t>
      </w:r>
      <w:r w:rsidRPr="008B4C4C">
        <w:t xml:space="preserve"> is registered.</w:t>
      </w:r>
    </w:p>
    <w:p w:rsidR="00407F4E" w:rsidRPr="008B4C4C" w:rsidRDefault="00407F4E" w:rsidP="00407F4E">
      <w:pPr>
        <w:spacing w:before="0"/>
        <w:ind w:right="91"/>
      </w:pPr>
    </w:p>
    <w:p w:rsidR="00407F4E" w:rsidRPr="008B4C4C" w:rsidRDefault="00407F4E" w:rsidP="00407F4E">
      <w:pPr>
        <w:spacing w:before="0"/>
        <w:ind w:right="91"/>
      </w:pPr>
      <w:r w:rsidRPr="008B4C4C">
        <w:rPr>
          <w:u w:val="single"/>
        </w:rPr>
        <w:t xml:space="preserve">Section 3 – </w:t>
      </w:r>
      <w:r w:rsidR="00C00B75" w:rsidRPr="008B4C4C">
        <w:rPr>
          <w:u w:val="single"/>
        </w:rPr>
        <w:t>Authority</w:t>
      </w:r>
    </w:p>
    <w:p w:rsidR="00407F4E" w:rsidRPr="008B4C4C" w:rsidRDefault="00407F4E" w:rsidP="00407F4E">
      <w:pPr>
        <w:spacing w:before="0"/>
        <w:ind w:right="91"/>
      </w:pPr>
    </w:p>
    <w:p w:rsidR="00C00B75" w:rsidRPr="008B4C4C" w:rsidRDefault="00407F4E" w:rsidP="00C00B75">
      <w:pPr>
        <w:spacing w:before="0"/>
        <w:ind w:right="91"/>
      </w:pPr>
      <w:r w:rsidRPr="008B4C4C">
        <w:t xml:space="preserve">This section provides that the </w:t>
      </w:r>
      <w:r w:rsidR="00C00B75" w:rsidRPr="008B4C4C">
        <w:t xml:space="preserve">Regulation is made under the </w:t>
      </w:r>
      <w:r w:rsidR="00C00B75" w:rsidRPr="008B4C4C">
        <w:rPr>
          <w:i/>
        </w:rPr>
        <w:t>Crimes Act 1914</w:t>
      </w:r>
      <w:r w:rsidR="00C00B75" w:rsidRPr="008B4C4C">
        <w:t> (</w:t>
      </w:r>
      <w:proofErr w:type="spellStart"/>
      <w:r w:rsidR="00C00B75" w:rsidRPr="008B4C4C">
        <w:t>Cth</w:t>
      </w:r>
      <w:proofErr w:type="spellEnd"/>
      <w:r w:rsidR="00C00B75" w:rsidRPr="008B4C4C">
        <w:t>).</w:t>
      </w:r>
    </w:p>
    <w:p w:rsidR="00C00B75" w:rsidRPr="008B4C4C" w:rsidRDefault="00C00B75" w:rsidP="00C00B75">
      <w:pPr>
        <w:spacing w:before="0"/>
        <w:ind w:right="91"/>
      </w:pPr>
    </w:p>
    <w:p w:rsidR="00C00B75" w:rsidRPr="008B4C4C" w:rsidRDefault="00C00B75" w:rsidP="00C00B75">
      <w:pPr>
        <w:spacing w:before="0"/>
        <w:ind w:right="91"/>
      </w:pPr>
      <w:r w:rsidRPr="008B4C4C">
        <w:rPr>
          <w:u w:val="single"/>
        </w:rPr>
        <w:t>Section 4 – Schedule(s)</w:t>
      </w:r>
    </w:p>
    <w:p w:rsidR="00C00B75" w:rsidRPr="008B4C4C" w:rsidRDefault="00C00B75" w:rsidP="00C00B75">
      <w:pPr>
        <w:spacing w:before="0"/>
        <w:ind w:right="91"/>
      </w:pPr>
    </w:p>
    <w:p w:rsidR="00C00B75" w:rsidRPr="008B4C4C" w:rsidRDefault="00C00B75" w:rsidP="00C00B75">
      <w:pPr>
        <w:spacing w:before="0"/>
        <w:ind w:right="91"/>
      </w:pPr>
      <w:r w:rsidRPr="008B4C4C">
        <w:t>This section provides that the Principal Regulations are amended as set out in Schedule 1.</w:t>
      </w:r>
    </w:p>
    <w:p w:rsidR="00C00B75" w:rsidRPr="008B4C4C" w:rsidRDefault="00C00B75" w:rsidP="00407F4E">
      <w:pPr>
        <w:spacing w:before="0"/>
        <w:ind w:right="91"/>
      </w:pPr>
    </w:p>
    <w:p w:rsidR="00407F4E" w:rsidRPr="008B4C4C" w:rsidRDefault="00407F4E" w:rsidP="00407F4E">
      <w:pPr>
        <w:spacing w:before="0"/>
        <w:ind w:right="91"/>
        <w:rPr>
          <w:u w:val="single"/>
        </w:rPr>
      </w:pPr>
      <w:r w:rsidRPr="008B4C4C">
        <w:rPr>
          <w:u w:val="single"/>
        </w:rPr>
        <w:t>Schedule 1 – Amendment</w:t>
      </w:r>
      <w:r w:rsidR="00C00B75" w:rsidRPr="008B4C4C">
        <w:rPr>
          <w:u w:val="single"/>
        </w:rPr>
        <w:t>s</w:t>
      </w:r>
    </w:p>
    <w:p w:rsidR="00407F4E" w:rsidRPr="008B4C4C" w:rsidRDefault="00407F4E" w:rsidP="00407F4E">
      <w:pPr>
        <w:spacing w:before="0"/>
        <w:ind w:right="91"/>
      </w:pPr>
    </w:p>
    <w:p w:rsidR="00407F4E" w:rsidRPr="008B4C4C" w:rsidRDefault="00407F4E" w:rsidP="00407F4E">
      <w:pPr>
        <w:spacing w:before="0"/>
        <w:ind w:right="91"/>
      </w:pPr>
      <w:r w:rsidRPr="008B4C4C">
        <w:rPr>
          <w:b/>
        </w:rPr>
        <w:t>Item 1 – Regulation 6</w:t>
      </w:r>
      <w:r w:rsidR="00C00B75" w:rsidRPr="008B4C4C">
        <w:rPr>
          <w:b/>
        </w:rPr>
        <w:t xml:space="preserve"> (</w:t>
      </w:r>
      <w:r w:rsidRPr="008B4C4C">
        <w:rPr>
          <w:b/>
        </w:rPr>
        <w:t>table item 10</w:t>
      </w:r>
      <w:r w:rsidR="00C00B75" w:rsidRPr="008B4C4C">
        <w:rPr>
          <w:b/>
        </w:rPr>
        <w:t>)</w:t>
      </w:r>
    </w:p>
    <w:p w:rsidR="00407F4E" w:rsidRPr="008B4C4C" w:rsidRDefault="00407F4E" w:rsidP="00407F4E">
      <w:pPr>
        <w:spacing w:before="0"/>
        <w:ind w:right="91"/>
      </w:pPr>
    </w:p>
    <w:p w:rsidR="00407F4E" w:rsidRPr="008B4C4C" w:rsidRDefault="00407F4E" w:rsidP="00407F4E">
      <w:pPr>
        <w:spacing w:before="0"/>
        <w:ind w:right="91"/>
      </w:pPr>
      <w:r w:rsidRPr="008B4C4C">
        <w:t xml:space="preserve">Existing regulation 6 of the Principal Regulations prescribes a range of State and Territory sentencing alternatives as prescribed orders for the purposes of the enabling provision - that is, section 20AB of the Crimes Act.  </w:t>
      </w:r>
    </w:p>
    <w:p w:rsidR="00407F4E" w:rsidRPr="008B4C4C" w:rsidRDefault="00407F4E" w:rsidP="00407F4E">
      <w:pPr>
        <w:spacing w:before="0"/>
        <w:ind w:right="91"/>
      </w:pPr>
    </w:p>
    <w:p w:rsidR="00407F4E" w:rsidRPr="008B4C4C" w:rsidRDefault="00407F4E" w:rsidP="00407F4E">
      <w:pPr>
        <w:spacing w:before="0"/>
        <w:ind w:right="91"/>
      </w:pPr>
      <w:r w:rsidRPr="008B4C4C">
        <w:t xml:space="preserve">There is only one reference to sentencing alternatives in the Northern Territory in the table in existing regulation 6.  This is a reference </w:t>
      </w:r>
      <w:r w:rsidR="00E35764" w:rsidRPr="008B4C4C">
        <w:t xml:space="preserve">in item 10 </w:t>
      </w:r>
      <w:r w:rsidRPr="008B4C4C">
        <w:t xml:space="preserve">to a home detention order, made under Subdivision 2 of Division 5 of Part 3 of the </w:t>
      </w:r>
      <w:r w:rsidRPr="008B4C4C">
        <w:rPr>
          <w:i/>
        </w:rPr>
        <w:t xml:space="preserve">Sentencing Act </w:t>
      </w:r>
      <w:r w:rsidRPr="008B4C4C">
        <w:t>(NT) (the Sentencing Act).</w:t>
      </w:r>
    </w:p>
    <w:p w:rsidR="00407F4E" w:rsidRPr="008B4C4C" w:rsidRDefault="00407F4E" w:rsidP="00407F4E">
      <w:pPr>
        <w:spacing w:before="0"/>
        <w:ind w:right="91"/>
      </w:pPr>
    </w:p>
    <w:p w:rsidR="00407F4E" w:rsidRPr="008B4C4C" w:rsidRDefault="00407F4E" w:rsidP="00407F4E">
      <w:pPr>
        <w:spacing w:before="0"/>
        <w:ind w:right="91"/>
      </w:pPr>
      <w:r w:rsidRPr="008B4C4C">
        <w:t xml:space="preserve">Item 1 </w:t>
      </w:r>
      <w:r w:rsidR="00E35764" w:rsidRPr="008B4C4C">
        <w:t xml:space="preserve">effectively retains the reference to a home detention order but also inserts </w:t>
      </w:r>
      <w:r w:rsidRPr="008B4C4C">
        <w:t>references to three further types of o</w:t>
      </w:r>
      <w:r w:rsidR="00C86D13" w:rsidRPr="008B4C4C">
        <w:t>rders available in the Northern </w:t>
      </w:r>
      <w:r w:rsidRPr="008B4C4C">
        <w:t xml:space="preserve">Territory under the Sentencing Act.  </w:t>
      </w:r>
    </w:p>
    <w:p w:rsidR="00407F4E" w:rsidRPr="008B4C4C" w:rsidRDefault="00407F4E" w:rsidP="00407F4E">
      <w:pPr>
        <w:spacing w:before="0"/>
        <w:ind w:right="91"/>
      </w:pPr>
    </w:p>
    <w:p w:rsidR="00407F4E" w:rsidRPr="008B4C4C" w:rsidRDefault="00407F4E" w:rsidP="00407F4E">
      <w:pPr>
        <w:spacing w:before="0"/>
        <w:ind w:right="91"/>
        <w:rPr>
          <w:szCs w:val="24"/>
        </w:rPr>
      </w:pPr>
      <w:r w:rsidRPr="008B4C4C">
        <w:rPr>
          <w:szCs w:val="24"/>
        </w:rPr>
        <w:t xml:space="preserve">The Sentencing Act was recently amended by the </w:t>
      </w:r>
      <w:r w:rsidRPr="008B4C4C">
        <w:rPr>
          <w:i/>
          <w:szCs w:val="24"/>
        </w:rPr>
        <w:t xml:space="preserve">Justice (Corrections) and Other Legislation Amendment Act 2011 </w:t>
      </w:r>
      <w:r w:rsidRPr="008B4C4C">
        <w:rPr>
          <w:szCs w:val="24"/>
        </w:rPr>
        <w:t xml:space="preserve">(NT).  Relevantly, the amendments introduced community </w:t>
      </w:r>
      <w:r w:rsidRPr="008B4C4C">
        <w:t>based</w:t>
      </w:r>
      <w:r w:rsidRPr="008B4C4C">
        <w:rPr>
          <w:szCs w:val="24"/>
        </w:rPr>
        <w:t xml:space="preserve"> orders (new Division 4A of Part 3) and community custody orders (new </w:t>
      </w:r>
      <w:r w:rsidRPr="008B4C4C">
        <w:t>Subdivision</w:t>
      </w:r>
      <w:r w:rsidRPr="008B4C4C">
        <w:rPr>
          <w:szCs w:val="24"/>
        </w:rPr>
        <w:t xml:space="preserve"> 2A of Division 5 of Part 3).  In addition, the sentencing option for community work orders (Division 4 of Part 3) is not currently prescribed for the purposes of regulation 6 of the Crimes Regulations.</w:t>
      </w:r>
    </w:p>
    <w:p w:rsidR="00407F4E" w:rsidRPr="008B4C4C" w:rsidRDefault="00407F4E" w:rsidP="00407F4E">
      <w:pPr>
        <w:spacing w:before="0"/>
        <w:ind w:right="91"/>
      </w:pPr>
    </w:p>
    <w:p w:rsidR="00E35764" w:rsidRPr="008B4C4C" w:rsidRDefault="00E35764" w:rsidP="00E35764">
      <w:pPr>
        <w:spacing w:before="0"/>
        <w:ind w:right="91"/>
      </w:pPr>
      <w:r w:rsidRPr="008B4C4C">
        <w:t>New item 10 in the table in regulation 6 of the Principal Regulations prescribes a community based order made under Division 4A of Part 3 of the Sentencing Act as a sentencing option for the purposes of section 20AB of the Crimes Act.  This will allow courts to sentence federal offenders prosecuted in the Northern Territory to community based orders.</w:t>
      </w:r>
    </w:p>
    <w:p w:rsidR="00E35764" w:rsidRPr="008B4C4C" w:rsidRDefault="00E35764" w:rsidP="00407F4E">
      <w:pPr>
        <w:spacing w:before="0"/>
        <w:ind w:right="91"/>
      </w:pPr>
    </w:p>
    <w:p w:rsidR="00E35764" w:rsidRPr="008B4C4C" w:rsidRDefault="00407F4E" w:rsidP="00E35764">
      <w:pPr>
        <w:spacing w:before="0"/>
        <w:ind w:right="91"/>
      </w:pPr>
      <w:r w:rsidRPr="008B4C4C">
        <w:t xml:space="preserve">New item 11 in the table in regulation 6 of the Principal Regulations prescribes </w:t>
      </w:r>
      <w:r w:rsidR="00E35764" w:rsidRPr="008B4C4C">
        <w:t>a community custody order made under Subdivision 2A of Division 5 of Part 3 of the Sentencing Act as a sentencing option for the purposes of section 20AB of the Crimes Act.  This will allow courts to sentence federal offenders prosecuted in the Northern Territory to community custody orders.</w:t>
      </w:r>
    </w:p>
    <w:p w:rsidR="00E35764" w:rsidRPr="008B4C4C" w:rsidRDefault="00E35764" w:rsidP="00407F4E">
      <w:pPr>
        <w:spacing w:before="0"/>
        <w:ind w:right="91"/>
      </w:pPr>
    </w:p>
    <w:p w:rsidR="00E35764" w:rsidRPr="008B4C4C" w:rsidRDefault="00E35764" w:rsidP="00E35764">
      <w:pPr>
        <w:spacing w:before="0"/>
        <w:ind w:right="91"/>
      </w:pPr>
      <w:r w:rsidRPr="008B4C4C">
        <w:t xml:space="preserve">New item 12 in the table in regulation 6 of the Principal Regulations prescribes a </w:t>
      </w:r>
    </w:p>
    <w:p w:rsidR="00407F4E" w:rsidRPr="008B4C4C" w:rsidRDefault="00407F4E" w:rsidP="00407F4E">
      <w:pPr>
        <w:spacing w:before="0"/>
        <w:ind w:right="91"/>
      </w:pPr>
      <w:r w:rsidRPr="008B4C4C">
        <w:t>community work order made under Division 4 of Part 3 of the Sentencing Act as a sentencing option for the purposes of section 20AB of the Crimes Act.  This will allow courts to sentence federal offenders prosecuted in the</w:t>
      </w:r>
      <w:r w:rsidR="00C86D13" w:rsidRPr="008B4C4C">
        <w:t xml:space="preserve"> Northern </w:t>
      </w:r>
      <w:r w:rsidRPr="008B4C4C">
        <w:t>Territory to community work orders.</w:t>
      </w:r>
    </w:p>
    <w:p w:rsidR="00407F4E" w:rsidRPr="008B4C4C" w:rsidRDefault="00407F4E" w:rsidP="00407F4E">
      <w:pPr>
        <w:spacing w:before="0"/>
        <w:ind w:right="91"/>
      </w:pPr>
    </w:p>
    <w:p w:rsidR="00407F4E" w:rsidRPr="008B4C4C" w:rsidRDefault="00407F4E" w:rsidP="00407F4E">
      <w:pPr>
        <w:spacing w:before="0"/>
        <w:ind w:right="91"/>
      </w:pPr>
      <w:r w:rsidRPr="008B4C4C">
        <w:t xml:space="preserve">New item 13 in the table in regulation 6 of the Principal Regulations prescribes </w:t>
      </w:r>
      <w:r w:rsidR="00E35764" w:rsidRPr="008B4C4C">
        <w:t>a home detention order made under Subdivision 2 of Division 5 of Part 3 of the Sentencing Act as a sentencing option for the purposes of section 20AB of the Crimes Act.  This will continue to allow courts to sentence federal offenders prosecuted in the Northern Territory to home detention orders.</w:t>
      </w:r>
    </w:p>
    <w:p w:rsidR="00E35764" w:rsidRPr="008B4C4C" w:rsidRDefault="00E35764" w:rsidP="00407F4E">
      <w:pPr>
        <w:spacing w:before="0"/>
        <w:ind w:right="91"/>
      </w:pPr>
    </w:p>
    <w:p w:rsidR="00407F4E" w:rsidRDefault="00407F4E" w:rsidP="00407F4E">
      <w:pPr>
        <w:spacing w:before="0"/>
        <w:ind w:right="91"/>
      </w:pPr>
      <w:r w:rsidRPr="008B4C4C">
        <w:t>These amendments ensure</w:t>
      </w:r>
      <w:r w:rsidR="00C86D13" w:rsidRPr="008B4C4C">
        <w:t xml:space="preserve"> that current relevant Northern </w:t>
      </w:r>
      <w:r w:rsidRPr="008B4C4C">
        <w:t>Territory sentencing orders are prescribed in the Principal Regulations.</w:t>
      </w:r>
    </w:p>
    <w:p w:rsidR="00F24F11" w:rsidRPr="00433F2D" w:rsidRDefault="00F24F11" w:rsidP="00462093">
      <w:pPr>
        <w:ind w:right="91"/>
      </w:pPr>
    </w:p>
    <w:p w:rsidR="004B5D69" w:rsidRPr="00965D2F" w:rsidRDefault="004B5D69" w:rsidP="00E40280">
      <w:pPr>
        <w:ind w:right="91"/>
      </w:pPr>
    </w:p>
    <w:sectPr w:rsidR="004B5D69" w:rsidRPr="00965D2F" w:rsidSect="00B37984">
      <w:pgSz w:w="11906" w:h="16838" w:code="9"/>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215" w:rsidRDefault="002C5215" w:rsidP="0028549E">
      <w:r>
        <w:separator/>
      </w:r>
    </w:p>
  </w:endnote>
  <w:endnote w:type="continuationSeparator" w:id="0">
    <w:p w:rsidR="002C5215" w:rsidRDefault="002C5215" w:rsidP="0028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215" w:rsidRDefault="002C5215" w:rsidP="0028549E">
      <w:r>
        <w:separator/>
      </w:r>
    </w:p>
  </w:footnote>
  <w:footnote w:type="continuationSeparator" w:id="0">
    <w:p w:rsidR="002C5215" w:rsidRDefault="002C5215" w:rsidP="0028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37" w:rsidRDefault="008A6B37" w:rsidP="00735D22">
    <w:pPr>
      <w:pStyle w:val="Header"/>
      <w:jc w:val="center"/>
    </w:pPr>
    <w:r>
      <w:t xml:space="preserve">- </w:t>
    </w:r>
    <w:r>
      <w:fldChar w:fldCharType="begin"/>
    </w:r>
    <w:r>
      <w:instrText xml:space="preserve"> PAGE   \* MERGEFORMAT </w:instrText>
    </w:r>
    <w:r>
      <w:fldChar w:fldCharType="separate"/>
    </w:r>
    <w:r w:rsidR="008B4C4C">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423D"/>
    <w:multiLevelType w:val="hybridMultilevel"/>
    <w:tmpl w:val="37E1BE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2E6A73"/>
    <w:multiLevelType w:val="hybridMultilevel"/>
    <w:tmpl w:val="98A0AE1E"/>
    <w:lvl w:ilvl="0" w:tplc="067AEB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7C84AFD"/>
    <w:multiLevelType w:val="hybridMultilevel"/>
    <w:tmpl w:val="88408142"/>
    <w:lvl w:ilvl="0" w:tplc="BBC40866">
      <w:start w:val="91"/>
      <w:numFmt w:val="bullet"/>
      <w:lvlText w:val="-"/>
      <w:lvlJc w:val="left"/>
      <w:pPr>
        <w:tabs>
          <w:tab w:val="num" w:pos="720"/>
        </w:tabs>
        <w:ind w:left="720" w:hanging="360"/>
      </w:pPr>
      <w:rPr>
        <w:rFonts w:ascii="Times" w:eastAsia="Times New Roman" w:hAnsi="Times" w:cs="Time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2D70D84"/>
    <w:multiLevelType w:val="hybridMultilevel"/>
    <w:tmpl w:val="98A0AE1E"/>
    <w:lvl w:ilvl="0" w:tplc="067AEB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97B5458"/>
    <w:multiLevelType w:val="singleLevel"/>
    <w:tmpl w:val="3732C6CA"/>
    <w:lvl w:ilvl="0">
      <w:start w:val="1"/>
      <w:numFmt w:val="bullet"/>
      <w:pStyle w:val="dotpoint"/>
      <w:lvlText w:val=""/>
      <w:lvlJc w:val="left"/>
      <w:pPr>
        <w:tabs>
          <w:tab w:val="num" w:pos="720"/>
        </w:tabs>
        <w:ind w:left="720" w:hanging="720"/>
      </w:pPr>
      <w:rPr>
        <w:rFonts w:ascii="Symbol" w:hAnsi="Symbol" w:hint="default"/>
        <w:sz w:val="20"/>
      </w:rPr>
    </w:lvl>
  </w:abstractNum>
  <w:abstractNum w:abstractNumId="5">
    <w:nsid w:val="3DF928EA"/>
    <w:multiLevelType w:val="hybridMultilevel"/>
    <w:tmpl w:val="85C8F408"/>
    <w:lvl w:ilvl="0" w:tplc="0C090001">
      <w:start w:val="1"/>
      <w:numFmt w:val="bullet"/>
      <w:lvlText w:val=""/>
      <w:lvlJc w:val="left"/>
      <w:pPr>
        <w:ind w:left="927" w:hanging="360"/>
      </w:pPr>
      <w:rPr>
        <w:rFonts w:ascii="Symbol" w:hAnsi="Symbol" w:hint="default"/>
        <w:i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nsid w:val="4B25139C"/>
    <w:multiLevelType w:val="hybridMultilevel"/>
    <w:tmpl w:val="4D005524"/>
    <w:lvl w:ilvl="0" w:tplc="A4ACF6AA">
      <w:start w:val="2"/>
      <w:numFmt w:val="decimal"/>
      <w:lvlText w:val="%1."/>
      <w:lvlJc w:val="left"/>
      <w:pPr>
        <w:tabs>
          <w:tab w:val="num" w:pos="567"/>
        </w:tabs>
        <w:ind w:left="0" w:firstLine="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2E0478"/>
    <w:multiLevelType w:val="singleLevel"/>
    <w:tmpl w:val="63B22CA6"/>
    <w:lvl w:ilvl="0">
      <w:start w:val="1"/>
      <w:numFmt w:val="decimal"/>
      <w:pStyle w:val="Paragraphnumbered"/>
      <w:lvlText w:val="%1."/>
      <w:legacy w:legacy="1" w:legacySpace="0" w:legacyIndent="567"/>
      <w:lvlJc w:val="left"/>
      <w:pPr>
        <w:ind w:left="567" w:hanging="567"/>
      </w:pPr>
    </w:lvl>
  </w:abstractNum>
  <w:abstractNum w:abstractNumId="8">
    <w:nsid w:val="505170E4"/>
    <w:multiLevelType w:val="hybridMultilevel"/>
    <w:tmpl w:val="CFC689C6"/>
    <w:lvl w:ilvl="0" w:tplc="E50A53A8">
      <w:start w:val="2"/>
      <w:numFmt w:val="decimal"/>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40133D5"/>
    <w:multiLevelType w:val="hybridMultilevel"/>
    <w:tmpl w:val="5DAE4E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1">
    <w:nsid w:val="6FC76DAD"/>
    <w:multiLevelType w:val="multilevel"/>
    <w:tmpl w:val="88408142"/>
    <w:lvl w:ilvl="0">
      <w:start w:val="91"/>
      <w:numFmt w:val="bullet"/>
      <w:lvlText w:val="-"/>
      <w:lvlJc w:val="left"/>
      <w:pPr>
        <w:tabs>
          <w:tab w:val="num" w:pos="720"/>
        </w:tabs>
        <w:ind w:left="720" w:hanging="360"/>
      </w:pPr>
      <w:rPr>
        <w:rFonts w:ascii="Times" w:eastAsia="Times New Roman" w:hAnsi="Times" w:cs="Time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7A555B0"/>
    <w:multiLevelType w:val="hybridMultilevel"/>
    <w:tmpl w:val="2530FA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A51358C"/>
    <w:multiLevelType w:val="hybridMultilevel"/>
    <w:tmpl w:val="98A0AE1E"/>
    <w:lvl w:ilvl="0" w:tplc="067AEB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7"/>
    <w:lvlOverride w:ilvl="0">
      <w:startOverride w:val="1"/>
    </w:lvlOverride>
  </w:num>
  <w:num w:numId="5">
    <w:abstractNumId w:val="2"/>
  </w:num>
  <w:num w:numId="6">
    <w:abstractNumId w:val="12"/>
  </w:num>
  <w:num w:numId="7">
    <w:abstractNumId w:val="6"/>
  </w:num>
  <w:num w:numId="8">
    <w:abstractNumId w:val="11"/>
  </w:num>
  <w:num w:numId="9">
    <w:abstractNumId w:val="9"/>
  </w:num>
  <w:num w:numId="10">
    <w:abstractNumId w:val="0"/>
  </w:num>
  <w:num w:numId="11">
    <w:abstractNumId w:val="3"/>
  </w:num>
  <w:num w:numId="12">
    <w:abstractNumId w:val="1"/>
  </w:num>
  <w:num w:numId="13">
    <w:abstractNumId w:val="1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82E"/>
    <w:rsid w:val="00001207"/>
    <w:rsid w:val="00005013"/>
    <w:rsid w:val="00014661"/>
    <w:rsid w:val="00022436"/>
    <w:rsid w:val="00030659"/>
    <w:rsid w:val="000400BA"/>
    <w:rsid w:val="000466CE"/>
    <w:rsid w:val="00056AFA"/>
    <w:rsid w:val="00061BE5"/>
    <w:rsid w:val="00061DF8"/>
    <w:rsid w:val="00061E39"/>
    <w:rsid w:val="00065CCF"/>
    <w:rsid w:val="00076D1B"/>
    <w:rsid w:val="00081C6C"/>
    <w:rsid w:val="00081DB2"/>
    <w:rsid w:val="00086C5A"/>
    <w:rsid w:val="000966F0"/>
    <w:rsid w:val="000B2436"/>
    <w:rsid w:val="000B4979"/>
    <w:rsid w:val="000B4CA0"/>
    <w:rsid w:val="000C0C6F"/>
    <w:rsid w:val="000C1182"/>
    <w:rsid w:val="000C3B11"/>
    <w:rsid w:val="000C5A87"/>
    <w:rsid w:val="000D44BF"/>
    <w:rsid w:val="000D4F3C"/>
    <w:rsid w:val="000D4F51"/>
    <w:rsid w:val="000E1C81"/>
    <w:rsid w:val="000E4B64"/>
    <w:rsid w:val="000F0CE0"/>
    <w:rsid w:val="000F7F1E"/>
    <w:rsid w:val="001010B2"/>
    <w:rsid w:val="001068E7"/>
    <w:rsid w:val="00107699"/>
    <w:rsid w:val="001102B5"/>
    <w:rsid w:val="0011052D"/>
    <w:rsid w:val="0011110A"/>
    <w:rsid w:val="00113F66"/>
    <w:rsid w:val="00117B0A"/>
    <w:rsid w:val="00124564"/>
    <w:rsid w:val="001272A0"/>
    <w:rsid w:val="0013064E"/>
    <w:rsid w:val="00137EED"/>
    <w:rsid w:val="001443A7"/>
    <w:rsid w:val="0014516B"/>
    <w:rsid w:val="0016078E"/>
    <w:rsid w:val="00160CF0"/>
    <w:rsid w:val="0016252B"/>
    <w:rsid w:val="00163421"/>
    <w:rsid w:val="00164524"/>
    <w:rsid w:val="00180187"/>
    <w:rsid w:val="00180D84"/>
    <w:rsid w:val="00184900"/>
    <w:rsid w:val="00184BEE"/>
    <w:rsid w:val="001911EF"/>
    <w:rsid w:val="00193562"/>
    <w:rsid w:val="001A40C5"/>
    <w:rsid w:val="001A42EB"/>
    <w:rsid w:val="001A60FC"/>
    <w:rsid w:val="001B1076"/>
    <w:rsid w:val="001B780B"/>
    <w:rsid w:val="001B787B"/>
    <w:rsid w:val="001B7A90"/>
    <w:rsid w:val="001C6993"/>
    <w:rsid w:val="001C6FF6"/>
    <w:rsid w:val="001D1AA4"/>
    <w:rsid w:val="001D6D3C"/>
    <w:rsid w:val="001E1E8B"/>
    <w:rsid w:val="001E38B2"/>
    <w:rsid w:val="001F5E6D"/>
    <w:rsid w:val="001F6BF1"/>
    <w:rsid w:val="001F6FE6"/>
    <w:rsid w:val="00202244"/>
    <w:rsid w:val="00204288"/>
    <w:rsid w:val="0021662F"/>
    <w:rsid w:val="00222027"/>
    <w:rsid w:val="0023099D"/>
    <w:rsid w:val="0023285E"/>
    <w:rsid w:val="002362A5"/>
    <w:rsid w:val="0023684A"/>
    <w:rsid w:val="002401B9"/>
    <w:rsid w:val="0024287E"/>
    <w:rsid w:val="002457D0"/>
    <w:rsid w:val="002532E9"/>
    <w:rsid w:val="0025684B"/>
    <w:rsid w:val="00256D44"/>
    <w:rsid w:val="00262CDD"/>
    <w:rsid w:val="002713BC"/>
    <w:rsid w:val="00273346"/>
    <w:rsid w:val="00274379"/>
    <w:rsid w:val="00275D76"/>
    <w:rsid w:val="00277AE5"/>
    <w:rsid w:val="0028549E"/>
    <w:rsid w:val="002938C0"/>
    <w:rsid w:val="002A30F6"/>
    <w:rsid w:val="002A6927"/>
    <w:rsid w:val="002B1820"/>
    <w:rsid w:val="002B1F92"/>
    <w:rsid w:val="002C04F1"/>
    <w:rsid w:val="002C0E2E"/>
    <w:rsid w:val="002C2B0E"/>
    <w:rsid w:val="002C3CE8"/>
    <w:rsid w:val="002C47D0"/>
    <w:rsid w:val="002C5215"/>
    <w:rsid w:val="002D108F"/>
    <w:rsid w:val="002D2578"/>
    <w:rsid w:val="002D5DE6"/>
    <w:rsid w:val="002E21D8"/>
    <w:rsid w:val="002E27F3"/>
    <w:rsid w:val="002F7C7D"/>
    <w:rsid w:val="00307C91"/>
    <w:rsid w:val="0031622D"/>
    <w:rsid w:val="003163BF"/>
    <w:rsid w:val="0032004D"/>
    <w:rsid w:val="00332857"/>
    <w:rsid w:val="003445E8"/>
    <w:rsid w:val="00346A76"/>
    <w:rsid w:val="00351937"/>
    <w:rsid w:val="00352482"/>
    <w:rsid w:val="00357177"/>
    <w:rsid w:val="00364E3F"/>
    <w:rsid w:val="0037007B"/>
    <w:rsid w:val="0037138C"/>
    <w:rsid w:val="00376A66"/>
    <w:rsid w:val="00377F72"/>
    <w:rsid w:val="003827E3"/>
    <w:rsid w:val="00396C4B"/>
    <w:rsid w:val="003A0C62"/>
    <w:rsid w:val="003A33D6"/>
    <w:rsid w:val="003A3ED4"/>
    <w:rsid w:val="003A53AE"/>
    <w:rsid w:val="003B681C"/>
    <w:rsid w:val="003B6A59"/>
    <w:rsid w:val="003C28BF"/>
    <w:rsid w:val="003C342A"/>
    <w:rsid w:val="003C450E"/>
    <w:rsid w:val="003C625D"/>
    <w:rsid w:val="003C6777"/>
    <w:rsid w:val="003D07A9"/>
    <w:rsid w:val="003D430D"/>
    <w:rsid w:val="003D6206"/>
    <w:rsid w:val="003D7A58"/>
    <w:rsid w:val="003D7CBD"/>
    <w:rsid w:val="003D7F70"/>
    <w:rsid w:val="003E1368"/>
    <w:rsid w:val="003E32C5"/>
    <w:rsid w:val="003F3EE7"/>
    <w:rsid w:val="003F5C66"/>
    <w:rsid w:val="00400CF2"/>
    <w:rsid w:val="004017BA"/>
    <w:rsid w:val="00405F0E"/>
    <w:rsid w:val="00407F4E"/>
    <w:rsid w:val="0041056A"/>
    <w:rsid w:val="00412647"/>
    <w:rsid w:val="00417CE1"/>
    <w:rsid w:val="00421B1B"/>
    <w:rsid w:val="00426AF4"/>
    <w:rsid w:val="00430B0D"/>
    <w:rsid w:val="00432885"/>
    <w:rsid w:val="0043341A"/>
    <w:rsid w:val="00437EF2"/>
    <w:rsid w:val="0044033E"/>
    <w:rsid w:val="00441DD0"/>
    <w:rsid w:val="0044528D"/>
    <w:rsid w:val="00451203"/>
    <w:rsid w:val="004533B7"/>
    <w:rsid w:val="004541B4"/>
    <w:rsid w:val="004543AF"/>
    <w:rsid w:val="004610A4"/>
    <w:rsid w:val="00462093"/>
    <w:rsid w:val="0046714B"/>
    <w:rsid w:val="0047047F"/>
    <w:rsid w:val="0047059C"/>
    <w:rsid w:val="004733A5"/>
    <w:rsid w:val="0048611E"/>
    <w:rsid w:val="004923B8"/>
    <w:rsid w:val="004951BF"/>
    <w:rsid w:val="00497D90"/>
    <w:rsid w:val="004A1AD5"/>
    <w:rsid w:val="004A40EB"/>
    <w:rsid w:val="004A4A34"/>
    <w:rsid w:val="004A680F"/>
    <w:rsid w:val="004A7CBB"/>
    <w:rsid w:val="004B18EA"/>
    <w:rsid w:val="004B5D69"/>
    <w:rsid w:val="004D2AD3"/>
    <w:rsid w:val="004D5870"/>
    <w:rsid w:val="004D58E5"/>
    <w:rsid w:val="004E2E58"/>
    <w:rsid w:val="004F2144"/>
    <w:rsid w:val="004F4B87"/>
    <w:rsid w:val="004F786E"/>
    <w:rsid w:val="00502BD7"/>
    <w:rsid w:val="005058EC"/>
    <w:rsid w:val="00505C7F"/>
    <w:rsid w:val="005100C0"/>
    <w:rsid w:val="005129BB"/>
    <w:rsid w:val="00513B86"/>
    <w:rsid w:val="005162A7"/>
    <w:rsid w:val="00521A31"/>
    <w:rsid w:val="00523506"/>
    <w:rsid w:val="00523C0B"/>
    <w:rsid w:val="0053635C"/>
    <w:rsid w:val="00541915"/>
    <w:rsid w:val="00541EFB"/>
    <w:rsid w:val="00542B6D"/>
    <w:rsid w:val="00546072"/>
    <w:rsid w:val="00546F16"/>
    <w:rsid w:val="00550082"/>
    <w:rsid w:val="005500A1"/>
    <w:rsid w:val="00550686"/>
    <w:rsid w:val="00553C98"/>
    <w:rsid w:val="005576B5"/>
    <w:rsid w:val="00562FFC"/>
    <w:rsid w:val="0056588D"/>
    <w:rsid w:val="0057170D"/>
    <w:rsid w:val="005720D6"/>
    <w:rsid w:val="00572A80"/>
    <w:rsid w:val="00577B1B"/>
    <w:rsid w:val="00580C24"/>
    <w:rsid w:val="00585C44"/>
    <w:rsid w:val="00593031"/>
    <w:rsid w:val="005972CF"/>
    <w:rsid w:val="005A2B38"/>
    <w:rsid w:val="005A4D44"/>
    <w:rsid w:val="005B2378"/>
    <w:rsid w:val="005B47D2"/>
    <w:rsid w:val="005B586B"/>
    <w:rsid w:val="005B5AC8"/>
    <w:rsid w:val="005B5D09"/>
    <w:rsid w:val="005B62B6"/>
    <w:rsid w:val="005B63CB"/>
    <w:rsid w:val="005B75B6"/>
    <w:rsid w:val="005C19DA"/>
    <w:rsid w:val="005C4020"/>
    <w:rsid w:val="005C526A"/>
    <w:rsid w:val="005D010C"/>
    <w:rsid w:val="005D246C"/>
    <w:rsid w:val="005D6CB2"/>
    <w:rsid w:val="005D77B7"/>
    <w:rsid w:val="005E076F"/>
    <w:rsid w:val="005E2764"/>
    <w:rsid w:val="005E5DFB"/>
    <w:rsid w:val="005F58A8"/>
    <w:rsid w:val="00601AC7"/>
    <w:rsid w:val="006023BE"/>
    <w:rsid w:val="00606451"/>
    <w:rsid w:val="006145CD"/>
    <w:rsid w:val="0061670F"/>
    <w:rsid w:val="00617413"/>
    <w:rsid w:val="00621CB1"/>
    <w:rsid w:val="00621D05"/>
    <w:rsid w:val="00625739"/>
    <w:rsid w:val="006357F2"/>
    <w:rsid w:val="00636DD8"/>
    <w:rsid w:val="00637B33"/>
    <w:rsid w:val="0064364E"/>
    <w:rsid w:val="00645494"/>
    <w:rsid w:val="00645769"/>
    <w:rsid w:val="006468C1"/>
    <w:rsid w:val="006543F1"/>
    <w:rsid w:val="0065679B"/>
    <w:rsid w:val="00660A1D"/>
    <w:rsid w:val="00664764"/>
    <w:rsid w:val="00664FF3"/>
    <w:rsid w:val="00665A78"/>
    <w:rsid w:val="00670895"/>
    <w:rsid w:val="00671F1D"/>
    <w:rsid w:val="0067659F"/>
    <w:rsid w:val="006771CE"/>
    <w:rsid w:val="0068625C"/>
    <w:rsid w:val="0068697B"/>
    <w:rsid w:val="00686A5A"/>
    <w:rsid w:val="00687961"/>
    <w:rsid w:val="00691AD7"/>
    <w:rsid w:val="006A3C73"/>
    <w:rsid w:val="006B09E6"/>
    <w:rsid w:val="006B1A3E"/>
    <w:rsid w:val="006B3768"/>
    <w:rsid w:val="006B7027"/>
    <w:rsid w:val="006B7D3B"/>
    <w:rsid w:val="006C0B13"/>
    <w:rsid w:val="006C3A32"/>
    <w:rsid w:val="006C4526"/>
    <w:rsid w:val="006C4F43"/>
    <w:rsid w:val="006D257E"/>
    <w:rsid w:val="006D6E63"/>
    <w:rsid w:val="006E5F50"/>
    <w:rsid w:val="006F0662"/>
    <w:rsid w:val="0070051B"/>
    <w:rsid w:val="00700D47"/>
    <w:rsid w:val="0070456B"/>
    <w:rsid w:val="007116DE"/>
    <w:rsid w:val="00712F10"/>
    <w:rsid w:val="007131B0"/>
    <w:rsid w:val="00713B5D"/>
    <w:rsid w:val="007156C8"/>
    <w:rsid w:val="00717387"/>
    <w:rsid w:val="00735D22"/>
    <w:rsid w:val="00736C12"/>
    <w:rsid w:val="00737F15"/>
    <w:rsid w:val="007439B7"/>
    <w:rsid w:val="00747FC1"/>
    <w:rsid w:val="007502ED"/>
    <w:rsid w:val="00754A13"/>
    <w:rsid w:val="00754E43"/>
    <w:rsid w:val="007663AD"/>
    <w:rsid w:val="0077270C"/>
    <w:rsid w:val="00773061"/>
    <w:rsid w:val="0078656B"/>
    <w:rsid w:val="00792251"/>
    <w:rsid w:val="00793589"/>
    <w:rsid w:val="007961A7"/>
    <w:rsid w:val="007A376F"/>
    <w:rsid w:val="007A3D58"/>
    <w:rsid w:val="007B3427"/>
    <w:rsid w:val="007B3F80"/>
    <w:rsid w:val="007B4041"/>
    <w:rsid w:val="007C025C"/>
    <w:rsid w:val="007C13ED"/>
    <w:rsid w:val="007C1DE1"/>
    <w:rsid w:val="007C2742"/>
    <w:rsid w:val="007C79FE"/>
    <w:rsid w:val="007D6D1F"/>
    <w:rsid w:val="007E6FEB"/>
    <w:rsid w:val="007F2CE1"/>
    <w:rsid w:val="007F705D"/>
    <w:rsid w:val="008008DF"/>
    <w:rsid w:val="008009CD"/>
    <w:rsid w:val="00803902"/>
    <w:rsid w:val="008041E6"/>
    <w:rsid w:val="00810755"/>
    <w:rsid w:val="00820A8C"/>
    <w:rsid w:val="00820D13"/>
    <w:rsid w:val="0082134A"/>
    <w:rsid w:val="008226C7"/>
    <w:rsid w:val="00823D56"/>
    <w:rsid w:val="00825BC2"/>
    <w:rsid w:val="008349AD"/>
    <w:rsid w:val="00834BB7"/>
    <w:rsid w:val="00835957"/>
    <w:rsid w:val="0084131E"/>
    <w:rsid w:val="00845376"/>
    <w:rsid w:val="00851AFF"/>
    <w:rsid w:val="00851BE1"/>
    <w:rsid w:val="008639C6"/>
    <w:rsid w:val="008641E7"/>
    <w:rsid w:val="00867E2E"/>
    <w:rsid w:val="00876598"/>
    <w:rsid w:val="008839AF"/>
    <w:rsid w:val="0089208F"/>
    <w:rsid w:val="00894539"/>
    <w:rsid w:val="00894EE5"/>
    <w:rsid w:val="00896289"/>
    <w:rsid w:val="008A30A0"/>
    <w:rsid w:val="008A6B37"/>
    <w:rsid w:val="008B4C4C"/>
    <w:rsid w:val="008B588D"/>
    <w:rsid w:val="008B7362"/>
    <w:rsid w:val="008B781E"/>
    <w:rsid w:val="008C166C"/>
    <w:rsid w:val="008D1B50"/>
    <w:rsid w:val="008D2BD0"/>
    <w:rsid w:val="008D6886"/>
    <w:rsid w:val="008E1DFC"/>
    <w:rsid w:val="008E402F"/>
    <w:rsid w:val="008E60B5"/>
    <w:rsid w:val="008E7E6E"/>
    <w:rsid w:val="008F05DC"/>
    <w:rsid w:val="00900E47"/>
    <w:rsid w:val="0090360C"/>
    <w:rsid w:val="009054B2"/>
    <w:rsid w:val="009075AB"/>
    <w:rsid w:val="00911AA8"/>
    <w:rsid w:val="00917781"/>
    <w:rsid w:val="00924B70"/>
    <w:rsid w:val="00932488"/>
    <w:rsid w:val="00934456"/>
    <w:rsid w:val="00936711"/>
    <w:rsid w:val="00947010"/>
    <w:rsid w:val="00947398"/>
    <w:rsid w:val="00952A68"/>
    <w:rsid w:val="00954052"/>
    <w:rsid w:val="0096090D"/>
    <w:rsid w:val="00965D2F"/>
    <w:rsid w:val="00967768"/>
    <w:rsid w:val="009732A7"/>
    <w:rsid w:val="00977BA1"/>
    <w:rsid w:val="00981A35"/>
    <w:rsid w:val="0098382E"/>
    <w:rsid w:val="00986256"/>
    <w:rsid w:val="00990617"/>
    <w:rsid w:val="0099456D"/>
    <w:rsid w:val="009959C8"/>
    <w:rsid w:val="009A0123"/>
    <w:rsid w:val="009A0EA6"/>
    <w:rsid w:val="009A36BB"/>
    <w:rsid w:val="009B07EC"/>
    <w:rsid w:val="009B5ACE"/>
    <w:rsid w:val="009B7026"/>
    <w:rsid w:val="009C00AB"/>
    <w:rsid w:val="009C314F"/>
    <w:rsid w:val="009C34A9"/>
    <w:rsid w:val="009C45A9"/>
    <w:rsid w:val="009C61E4"/>
    <w:rsid w:val="009E519A"/>
    <w:rsid w:val="009E6209"/>
    <w:rsid w:val="009F4A74"/>
    <w:rsid w:val="009F50FE"/>
    <w:rsid w:val="009F6F97"/>
    <w:rsid w:val="00A06298"/>
    <w:rsid w:val="00A13984"/>
    <w:rsid w:val="00A16409"/>
    <w:rsid w:val="00A253FB"/>
    <w:rsid w:val="00A25972"/>
    <w:rsid w:val="00A27A8C"/>
    <w:rsid w:val="00A37C98"/>
    <w:rsid w:val="00A37F82"/>
    <w:rsid w:val="00A42ADB"/>
    <w:rsid w:val="00A448E8"/>
    <w:rsid w:val="00A63854"/>
    <w:rsid w:val="00A661DC"/>
    <w:rsid w:val="00A7064A"/>
    <w:rsid w:val="00A7127B"/>
    <w:rsid w:val="00A75DFD"/>
    <w:rsid w:val="00A75FBE"/>
    <w:rsid w:val="00A763AA"/>
    <w:rsid w:val="00A863C4"/>
    <w:rsid w:val="00A87B6F"/>
    <w:rsid w:val="00A90ADE"/>
    <w:rsid w:val="00A91325"/>
    <w:rsid w:val="00A9186C"/>
    <w:rsid w:val="00AA1687"/>
    <w:rsid w:val="00AA5561"/>
    <w:rsid w:val="00AA6572"/>
    <w:rsid w:val="00AB1D4C"/>
    <w:rsid w:val="00AB3062"/>
    <w:rsid w:val="00AD0AE7"/>
    <w:rsid w:val="00AD2F13"/>
    <w:rsid w:val="00AD30AD"/>
    <w:rsid w:val="00AE0C46"/>
    <w:rsid w:val="00AE379F"/>
    <w:rsid w:val="00AE42F0"/>
    <w:rsid w:val="00AF66DB"/>
    <w:rsid w:val="00AF69C5"/>
    <w:rsid w:val="00B03613"/>
    <w:rsid w:val="00B042DB"/>
    <w:rsid w:val="00B07007"/>
    <w:rsid w:val="00B14E7E"/>
    <w:rsid w:val="00B222EB"/>
    <w:rsid w:val="00B37984"/>
    <w:rsid w:val="00B403B6"/>
    <w:rsid w:val="00B429B9"/>
    <w:rsid w:val="00B43769"/>
    <w:rsid w:val="00B551BB"/>
    <w:rsid w:val="00B56CAE"/>
    <w:rsid w:val="00B60642"/>
    <w:rsid w:val="00B66F4D"/>
    <w:rsid w:val="00B71359"/>
    <w:rsid w:val="00B76E61"/>
    <w:rsid w:val="00B850FE"/>
    <w:rsid w:val="00B8529D"/>
    <w:rsid w:val="00B8587A"/>
    <w:rsid w:val="00BA7A1E"/>
    <w:rsid w:val="00BB11A3"/>
    <w:rsid w:val="00BB25A8"/>
    <w:rsid w:val="00BB5F19"/>
    <w:rsid w:val="00BB6060"/>
    <w:rsid w:val="00BC0902"/>
    <w:rsid w:val="00BC0F0D"/>
    <w:rsid w:val="00BC37C9"/>
    <w:rsid w:val="00BC4C01"/>
    <w:rsid w:val="00BC5408"/>
    <w:rsid w:val="00BC7C8E"/>
    <w:rsid w:val="00BD4B54"/>
    <w:rsid w:val="00BD4ED3"/>
    <w:rsid w:val="00BD5BE1"/>
    <w:rsid w:val="00BE1E13"/>
    <w:rsid w:val="00BE30C3"/>
    <w:rsid w:val="00BF2662"/>
    <w:rsid w:val="00BF3D76"/>
    <w:rsid w:val="00BF6B7F"/>
    <w:rsid w:val="00BF7208"/>
    <w:rsid w:val="00C00B75"/>
    <w:rsid w:val="00C01EA4"/>
    <w:rsid w:val="00C05D2E"/>
    <w:rsid w:val="00C1117E"/>
    <w:rsid w:val="00C150E0"/>
    <w:rsid w:val="00C168A3"/>
    <w:rsid w:val="00C314A1"/>
    <w:rsid w:val="00C335B2"/>
    <w:rsid w:val="00C3382E"/>
    <w:rsid w:val="00C3585F"/>
    <w:rsid w:val="00C407E9"/>
    <w:rsid w:val="00C431A2"/>
    <w:rsid w:val="00C473AA"/>
    <w:rsid w:val="00C47FDA"/>
    <w:rsid w:val="00C513AE"/>
    <w:rsid w:val="00C55E7E"/>
    <w:rsid w:val="00C6298C"/>
    <w:rsid w:val="00C64B1D"/>
    <w:rsid w:val="00C748D9"/>
    <w:rsid w:val="00C76684"/>
    <w:rsid w:val="00C82CB3"/>
    <w:rsid w:val="00C84FC3"/>
    <w:rsid w:val="00C86D13"/>
    <w:rsid w:val="00C87D19"/>
    <w:rsid w:val="00C93A5A"/>
    <w:rsid w:val="00CA1EC1"/>
    <w:rsid w:val="00CB4EB2"/>
    <w:rsid w:val="00CB73A0"/>
    <w:rsid w:val="00CB7F62"/>
    <w:rsid w:val="00CC171F"/>
    <w:rsid w:val="00CC2129"/>
    <w:rsid w:val="00CD3510"/>
    <w:rsid w:val="00CD3AFE"/>
    <w:rsid w:val="00CF2F97"/>
    <w:rsid w:val="00CF4A43"/>
    <w:rsid w:val="00D00239"/>
    <w:rsid w:val="00D06A4E"/>
    <w:rsid w:val="00D107AC"/>
    <w:rsid w:val="00D10C70"/>
    <w:rsid w:val="00D127CA"/>
    <w:rsid w:val="00D13536"/>
    <w:rsid w:val="00D20204"/>
    <w:rsid w:val="00D20BF3"/>
    <w:rsid w:val="00D26380"/>
    <w:rsid w:val="00D30CFF"/>
    <w:rsid w:val="00D31233"/>
    <w:rsid w:val="00D324E6"/>
    <w:rsid w:val="00D32C24"/>
    <w:rsid w:val="00D32ED9"/>
    <w:rsid w:val="00D33B76"/>
    <w:rsid w:val="00D4098B"/>
    <w:rsid w:val="00D40E67"/>
    <w:rsid w:val="00D41B68"/>
    <w:rsid w:val="00D471FD"/>
    <w:rsid w:val="00D52CE8"/>
    <w:rsid w:val="00D53C3A"/>
    <w:rsid w:val="00D54195"/>
    <w:rsid w:val="00D6310D"/>
    <w:rsid w:val="00D63AA2"/>
    <w:rsid w:val="00D6504F"/>
    <w:rsid w:val="00D7480E"/>
    <w:rsid w:val="00D75445"/>
    <w:rsid w:val="00D75783"/>
    <w:rsid w:val="00D807DD"/>
    <w:rsid w:val="00D817AC"/>
    <w:rsid w:val="00D837B5"/>
    <w:rsid w:val="00D936FD"/>
    <w:rsid w:val="00D96587"/>
    <w:rsid w:val="00DA09B0"/>
    <w:rsid w:val="00DA149E"/>
    <w:rsid w:val="00DA32DF"/>
    <w:rsid w:val="00DC1064"/>
    <w:rsid w:val="00DC741F"/>
    <w:rsid w:val="00DD0959"/>
    <w:rsid w:val="00DD1BC7"/>
    <w:rsid w:val="00DD51D8"/>
    <w:rsid w:val="00DD6ED8"/>
    <w:rsid w:val="00DE034D"/>
    <w:rsid w:val="00DE1041"/>
    <w:rsid w:val="00DE2F82"/>
    <w:rsid w:val="00DE3A39"/>
    <w:rsid w:val="00DE59AD"/>
    <w:rsid w:val="00DE6ACE"/>
    <w:rsid w:val="00DF0193"/>
    <w:rsid w:val="00DF01F1"/>
    <w:rsid w:val="00DF03DA"/>
    <w:rsid w:val="00DF762C"/>
    <w:rsid w:val="00E02411"/>
    <w:rsid w:val="00E03E4C"/>
    <w:rsid w:val="00E232FC"/>
    <w:rsid w:val="00E27747"/>
    <w:rsid w:val="00E30C58"/>
    <w:rsid w:val="00E35764"/>
    <w:rsid w:val="00E40280"/>
    <w:rsid w:val="00E4203D"/>
    <w:rsid w:val="00E42986"/>
    <w:rsid w:val="00E514A9"/>
    <w:rsid w:val="00E53966"/>
    <w:rsid w:val="00E5698F"/>
    <w:rsid w:val="00E6401E"/>
    <w:rsid w:val="00E72DCC"/>
    <w:rsid w:val="00E739F0"/>
    <w:rsid w:val="00E778DA"/>
    <w:rsid w:val="00E8149F"/>
    <w:rsid w:val="00E8278D"/>
    <w:rsid w:val="00E85DF7"/>
    <w:rsid w:val="00E877F5"/>
    <w:rsid w:val="00E90780"/>
    <w:rsid w:val="00EA2F53"/>
    <w:rsid w:val="00EA3ACC"/>
    <w:rsid w:val="00EB58DB"/>
    <w:rsid w:val="00EB5CFC"/>
    <w:rsid w:val="00EB6C98"/>
    <w:rsid w:val="00EC1C61"/>
    <w:rsid w:val="00EC5032"/>
    <w:rsid w:val="00EC525F"/>
    <w:rsid w:val="00ED0E70"/>
    <w:rsid w:val="00ED4F4C"/>
    <w:rsid w:val="00EE067E"/>
    <w:rsid w:val="00EE13FD"/>
    <w:rsid w:val="00EE21AC"/>
    <w:rsid w:val="00EE4BA8"/>
    <w:rsid w:val="00EE4FEA"/>
    <w:rsid w:val="00EF07ED"/>
    <w:rsid w:val="00EF4596"/>
    <w:rsid w:val="00EF723E"/>
    <w:rsid w:val="00F00F85"/>
    <w:rsid w:val="00F013D7"/>
    <w:rsid w:val="00F06D6E"/>
    <w:rsid w:val="00F07ADD"/>
    <w:rsid w:val="00F1080A"/>
    <w:rsid w:val="00F10EB9"/>
    <w:rsid w:val="00F14F2A"/>
    <w:rsid w:val="00F151B5"/>
    <w:rsid w:val="00F16CE5"/>
    <w:rsid w:val="00F171F6"/>
    <w:rsid w:val="00F222BD"/>
    <w:rsid w:val="00F23AF9"/>
    <w:rsid w:val="00F24F11"/>
    <w:rsid w:val="00F252CE"/>
    <w:rsid w:val="00F2625E"/>
    <w:rsid w:val="00F26B76"/>
    <w:rsid w:val="00F272BE"/>
    <w:rsid w:val="00F33984"/>
    <w:rsid w:val="00F34A35"/>
    <w:rsid w:val="00F35B40"/>
    <w:rsid w:val="00F45CF8"/>
    <w:rsid w:val="00F46B06"/>
    <w:rsid w:val="00F54CAD"/>
    <w:rsid w:val="00F60E13"/>
    <w:rsid w:val="00F642F7"/>
    <w:rsid w:val="00F7122B"/>
    <w:rsid w:val="00F73B12"/>
    <w:rsid w:val="00F75157"/>
    <w:rsid w:val="00F75ADF"/>
    <w:rsid w:val="00F76D44"/>
    <w:rsid w:val="00F83E64"/>
    <w:rsid w:val="00F83F7D"/>
    <w:rsid w:val="00F86903"/>
    <w:rsid w:val="00F87B8A"/>
    <w:rsid w:val="00F92662"/>
    <w:rsid w:val="00F93A31"/>
    <w:rsid w:val="00F94CAD"/>
    <w:rsid w:val="00F96FFD"/>
    <w:rsid w:val="00F97EDC"/>
    <w:rsid w:val="00FA2738"/>
    <w:rsid w:val="00FA358D"/>
    <w:rsid w:val="00FA50C6"/>
    <w:rsid w:val="00FA6F29"/>
    <w:rsid w:val="00FB029B"/>
    <w:rsid w:val="00FB076B"/>
    <w:rsid w:val="00FB4486"/>
    <w:rsid w:val="00FC077D"/>
    <w:rsid w:val="00FC3D82"/>
    <w:rsid w:val="00FD2FC2"/>
    <w:rsid w:val="00FD3CCD"/>
    <w:rsid w:val="00FD4F6E"/>
    <w:rsid w:val="00FE22CB"/>
    <w:rsid w:val="00FE7DDE"/>
    <w:rsid w:val="00FF2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C2"/>
    <w:pPr>
      <w:spacing w:before="240"/>
    </w:pPr>
    <w:rPr>
      <w:sz w:val="24"/>
    </w:rPr>
  </w:style>
  <w:style w:type="paragraph" w:styleId="Heading4">
    <w:name w:val="heading 4"/>
    <w:basedOn w:val="Normal"/>
    <w:next w:val="Normal"/>
    <w:qFormat/>
    <w:rsid w:val="0098382E"/>
    <w:pPr>
      <w:keepNext/>
      <w:ind w:right="91"/>
      <w:jc w:val="right"/>
      <w:outlineLvl w:val="3"/>
    </w:pPr>
  </w:style>
  <w:style w:type="paragraph" w:styleId="Heading6">
    <w:name w:val="heading 6"/>
    <w:basedOn w:val="Normal"/>
    <w:next w:val="Normal"/>
    <w:qFormat/>
    <w:rsid w:val="0098382E"/>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
    <w:name w:val="dotpoint"/>
    <w:basedOn w:val="Normal"/>
    <w:rsid w:val="0098382E"/>
    <w:pPr>
      <w:numPr>
        <w:numId w:val="1"/>
      </w:numPr>
      <w:spacing w:before="180"/>
    </w:pPr>
  </w:style>
  <w:style w:type="paragraph" w:styleId="Header">
    <w:name w:val="header"/>
    <w:basedOn w:val="Normal"/>
    <w:link w:val="HeaderChar"/>
    <w:uiPriority w:val="99"/>
    <w:rsid w:val="0098382E"/>
    <w:pPr>
      <w:tabs>
        <w:tab w:val="center" w:pos="4153"/>
        <w:tab w:val="right" w:pos="8306"/>
      </w:tabs>
    </w:pPr>
  </w:style>
  <w:style w:type="paragraph" w:styleId="Footer">
    <w:name w:val="footer"/>
    <w:basedOn w:val="Normal"/>
    <w:rsid w:val="0098382E"/>
    <w:pPr>
      <w:tabs>
        <w:tab w:val="center" w:pos="4153"/>
        <w:tab w:val="right" w:pos="8306"/>
      </w:tabs>
    </w:pPr>
  </w:style>
  <w:style w:type="character" w:styleId="PageNumber">
    <w:name w:val="page number"/>
    <w:basedOn w:val="DefaultParagraphFont"/>
    <w:rsid w:val="0098382E"/>
  </w:style>
  <w:style w:type="paragraph" w:customStyle="1" w:styleId="Paragraphnumbered">
    <w:name w:val="Paragraph (numbered)"/>
    <w:basedOn w:val="Normal"/>
    <w:uiPriority w:val="99"/>
    <w:rsid w:val="0014516B"/>
    <w:pPr>
      <w:numPr>
        <w:numId w:val="3"/>
      </w:numPr>
      <w:ind w:left="0" w:firstLine="0"/>
    </w:pPr>
    <w:rPr>
      <w:szCs w:val="24"/>
    </w:rPr>
  </w:style>
  <w:style w:type="paragraph" w:customStyle="1" w:styleId="CharCharChar">
    <w:name w:val="Char Char Char"/>
    <w:basedOn w:val="Normal"/>
    <w:rsid w:val="008009CD"/>
    <w:pPr>
      <w:spacing w:before="0"/>
    </w:pPr>
    <w:rPr>
      <w:rFonts w:ascii="Arial" w:hAnsi="Arial" w:cs="Arial"/>
      <w:sz w:val="22"/>
      <w:szCs w:val="22"/>
      <w:lang w:eastAsia="en-US"/>
    </w:rPr>
  </w:style>
  <w:style w:type="character" w:styleId="CommentReference">
    <w:name w:val="annotation reference"/>
    <w:basedOn w:val="DefaultParagraphFont"/>
    <w:semiHidden/>
    <w:rsid w:val="00505C7F"/>
    <w:rPr>
      <w:sz w:val="16"/>
      <w:szCs w:val="16"/>
    </w:rPr>
  </w:style>
  <w:style w:type="paragraph" w:styleId="CommentText">
    <w:name w:val="annotation text"/>
    <w:basedOn w:val="Normal"/>
    <w:semiHidden/>
    <w:rsid w:val="00505C7F"/>
    <w:rPr>
      <w:sz w:val="20"/>
    </w:rPr>
  </w:style>
  <w:style w:type="paragraph" w:styleId="CommentSubject">
    <w:name w:val="annotation subject"/>
    <w:basedOn w:val="CommentText"/>
    <w:next w:val="CommentText"/>
    <w:semiHidden/>
    <w:rsid w:val="00505C7F"/>
    <w:rPr>
      <w:b/>
      <w:bCs/>
    </w:rPr>
  </w:style>
  <w:style w:type="paragraph" w:styleId="BalloonText">
    <w:name w:val="Balloon Text"/>
    <w:basedOn w:val="Normal"/>
    <w:semiHidden/>
    <w:rsid w:val="00505C7F"/>
    <w:rPr>
      <w:rFonts w:ascii="Tahoma" w:hAnsi="Tahoma" w:cs="Tahoma"/>
      <w:sz w:val="16"/>
      <w:szCs w:val="16"/>
    </w:rPr>
  </w:style>
  <w:style w:type="paragraph" w:customStyle="1" w:styleId="Classification">
    <w:name w:val="Classification"/>
    <w:basedOn w:val="Normal"/>
    <w:rsid w:val="00637B33"/>
    <w:pPr>
      <w:spacing w:before="60" w:after="60"/>
      <w:jc w:val="center"/>
    </w:pPr>
    <w:rPr>
      <w:rFonts w:ascii="Arial" w:hAnsi="Arial"/>
      <w:b/>
      <w:caps/>
      <w:color w:val="FF0000"/>
      <w:sz w:val="28"/>
    </w:rPr>
  </w:style>
  <w:style w:type="paragraph" w:customStyle="1" w:styleId="Paragraph">
    <w:name w:val="Paragraph"/>
    <w:basedOn w:val="Paragraphnumbered"/>
    <w:rsid w:val="00637B33"/>
    <w:pPr>
      <w:numPr>
        <w:ilvl w:val="12"/>
        <w:numId w:val="0"/>
      </w:numPr>
    </w:pPr>
    <w:rPr>
      <w:szCs w:val="20"/>
    </w:rPr>
  </w:style>
  <w:style w:type="paragraph" w:customStyle="1" w:styleId="CharCharCharCharCharChar">
    <w:name w:val="Char Char Char Char Char Char"/>
    <w:basedOn w:val="Normal"/>
    <w:rsid w:val="00637B33"/>
    <w:pPr>
      <w:spacing w:before="0"/>
    </w:pPr>
    <w:rPr>
      <w:rFonts w:ascii="Arial" w:hAnsi="Arial"/>
      <w:sz w:val="22"/>
      <w:szCs w:val="24"/>
      <w:lang w:eastAsia="en-US"/>
    </w:rPr>
  </w:style>
  <w:style w:type="paragraph" w:customStyle="1" w:styleId="CharChar">
    <w:name w:val="Char Char"/>
    <w:basedOn w:val="Normal"/>
    <w:rsid w:val="009B07EC"/>
    <w:pPr>
      <w:spacing w:before="0"/>
    </w:pPr>
    <w:rPr>
      <w:rFonts w:ascii="Arial" w:hAnsi="Arial"/>
      <w:sz w:val="22"/>
      <w:lang w:eastAsia="en-US"/>
    </w:rPr>
  </w:style>
  <w:style w:type="paragraph" w:customStyle="1" w:styleId="Default">
    <w:name w:val="Default"/>
    <w:rsid w:val="00C47FD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735D22"/>
    <w:rPr>
      <w:sz w:val="24"/>
    </w:rPr>
  </w:style>
  <w:style w:type="character" w:styleId="Hyperlink">
    <w:name w:val="Hyperlink"/>
    <w:basedOn w:val="DefaultParagraphFont"/>
    <w:rsid w:val="00E40280"/>
    <w:rPr>
      <w:color w:val="0000FF"/>
      <w:u w:val="single"/>
    </w:rPr>
  </w:style>
  <w:style w:type="paragraph" w:styleId="ListParagraph">
    <w:name w:val="List Paragraph"/>
    <w:basedOn w:val="Normal"/>
    <w:uiPriority w:val="34"/>
    <w:qFormat/>
    <w:rsid w:val="00845376"/>
    <w:pPr>
      <w:spacing w:before="0" w:after="200" w:line="276" w:lineRule="auto"/>
      <w:ind w:left="720"/>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C2"/>
    <w:pPr>
      <w:spacing w:before="240"/>
    </w:pPr>
    <w:rPr>
      <w:sz w:val="24"/>
    </w:rPr>
  </w:style>
  <w:style w:type="paragraph" w:styleId="Heading4">
    <w:name w:val="heading 4"/>
    <w:basedOn w:val="Normal"/>
    <w:next w:val="Normal"/>
    <w:qFormat/>
    <w:rsid w:val="0098382E"/>
    <w:pPr>
      <w:keepNext/>
      <w:ind w:right="91"/>
      <w:jc w:val="right"/>
      <w:outlineLvl w:val="3"/>
    </w:pPr>
  </w:style>
  <w:style w:type="paragraph" w:styleId="Heading6">
    <w:name w:val="heading 6"/>
    <w:basedOn w:val="Normal"/>
    <w:next w:val="Normal"/>
    <w:qFormat/>
    <w:rsid w:val="0098382E"/>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
    <w:name w:val="dotpoint"/>
    <w:basedOn w:val="Normal"/>
    <w:rsid w:val="0098382E"/>
    <w:pPr>
      <w:numPr>
        <w:numId w:val="1"/>
      </w:numPr>
      <w:spacing w:before="180"/>
    </w:pPr>
  </w:style>
  <w:style w:type="paragraph" w:styleId="Header">
    <w:name w:val="header"/>
    <w:basedOn w:val="Normal"/>
    <w:link w:val="HeaderChar"/>
    <w:uiPriority w:val="99"/>
    <w:rsid w:val="0098382E"/>
    <w:pPr>
      <w:tabs>
        <w:tab w:val="center" w:pos="4153"/>
        <w:tab w:val="right" w:pos="8306"/>
      </w:tabs>
    </w:pPr>
  </w:style>
  <w:style w:type="paragraph" w:styleId="Footer">
    <w:name w:val="footer"/>
    <w:basedOn w:val="Normal"/>
    <w:rsid w:val="0098382E"/>
    <w:pPr>
      <w:tabs>
        <w:tab w:val="center" w:pos="4153"/>
        <w:tab w:val="right" w:pos="8306"/>
      </w:tabs>
    </w:pPr>
  </w:style>
  <w:style w:type="character" w:styleId="PageNumber">
    <w:name w:val="page number"/>
    <w:basedOn w:val="DefaultParagraphFont"/>
    <w:rsid w:val="0098382E"/>
  </w:style>
  <w:style w:type="paragraph" w:customStyle="1" w:styleId="Paragraphnumbered">
    <w:name w:val="Paragraph (numbered)"/>
    <w:basedOn w:val="Normal"/>
    <w:uiPriority w:val="99"/>
    <w:rsid w:val="0014516B"/>
    <w:pPr>
      <w:numPr>
        <w:numId w:val="3"/>
      </w:numPr>
      <w:ind w:left="0" w:firstLine="0"/>
    </w:pPr>
    <w:rPr>
      <w:szCs w:val="24"/>
    </w:rPr>
  </w:style>
  <w:style w:type="paragraph" w:customStyle="1" w:styleId="CharCharChar">
    <w:name w:val="Char Char Char"/>
    <w:basedOn w:val="Normal"/>
    <w:rsid w:val="008009CD"/>
    <w:pPr>
      <w:spacing w:before="0"/>
    </w:pPr>
    <w:rPr>
      <w:rFonts w:ascii="Arial" w:hAnsi="Arial" w:cs="Arial"/>
      <w:sz w:val="22"/>
      <w:szCs w:val="22"/>
      <w:lang w:eastAsia="en-US"/>
    </w:rPr>
  </w:style>
  <w:style w:type="character" w:styleId="CommentReference">
    <w:name w:val="annotation reference"/>
    <w:basedOn w:val="DefaultParagraphFont"/>
    <w:semiHidden/>
    <w:rsid w:val="00505C7F"/>
    <w:rPr>
      <w:sz w:val="16"/>
      <w:szCs w:val="16"/>
    </w:rPr>
  </w:style>
  <w:style w:type="paragraph" w:styleId="CommentText">
    <w:name w:val="annotation text"/>
    <w:basedOn w:val="Normal"/>
    <w:semiHidden/>
    <w:rsid w:val="00505C7F"/>
    <w:rPr>
      <w:sz w:val="20"/>
    </w:rPr>
  </w:style>
  <w:style w:type="paragraph" w:styleId="CommentSubject">
    <w:name w:val="annotation subject"/>
    <w:basedOn w:val="CommentText"/>
    <w:next w:val="CommentText"/>
    <w:semiHidden/>
    <w:rsid w:val="00505C7F"/>
    <w:rPr>
      <w:b/>
      <w:bCs/>
    </w:rPr>
  </w:style>
  <w:style w:type="paragraph" w:styleId="BalloonText">
    <w:name w:val="Balloon Text"/>
    <w:basedOn w:val="Normal"/>
    <w:semiHidden/>
    <w:rsid w:val="00505C7F"/>
    <w:rPr>
      <w:rFonts w:ascii="Tahoma" w:hAnsi="Tahoma" w:cs="Tahoma"/>
      <w:sz w:val="16"/>
      <w:szCs w:val="16"/>
    </w:rPr>
  </w:style>
  <w:style w:type="paragraph" w:customStyle="1" w:styleId="Classification">
    <w:name w:val="Classification"/>
    <w:basedOn w:val="Normal"/>
    <w:rsid w:val="00637B33"/>
    <w:pPr>
      <w:spacing w:before="60" w:after="60"/>
      <w:jc w:val="center"/>
    </w:pPr>
    <w:rPr>
      <w:rFonts w:ascii="Arial" w:hAnsi="Arial"/>
      <w:b/>
      <w:caps/>
      <w:color w:val="FF0000"/>
      <w:sz w:val="28"/>
    </w:rPr>
  </w:style>
  <w:style w:type="paragraph" w:customStyle="1" w:styleId="Paragraph">
    <w:name w:val="Paragraph"/>
    <w:basedOn w:val="Paragraphnumbered"/>
    <w:rsid w:val="00637B33"/>
    <w:pPr>
      <w:numPr>
        <w:ilvl w:val="12"/>
        <w:numId w:val="0"/>
      </w:numPr>
    </w:pPr>
    <w:rPr>
      <w:szCs w:val="20"/>
    </w:rPr>
  </w:style>
  <w:style w:type="paragraph" w:customStyle="1" w:styleId="CharCharCharCharCharChar">
    <w:name w:val="Char Char Char Char Char Char"/>
    <w:basedOn w:val="Normal"/>
    <w:rsid w:val="00637B33"/>
    <w:pPr>
      <w:spacing w:before="0"/>
    </w:pPr>
    <w:rPr>
      <w:rFonts w:ascii="Arial" w:hAnsi="Arial"/>
      <w:sz w:val="22"/>
      <w:szCs w:val="24"/>
      <w:lang w:eastAsia="en-US"/>
    </w:rPr>
  </w:style>
  <w:style w:type="paragraph" w:customStyle="1" w:styleId="CharChar">
    <w:name w:val="Char Char"/>
    <w:basedOn w:val="Normal"/>
    <w:rsid w:val="009B07EC"/>
    <w:pPr>
      <w:spacing w:before="0"/>
    </w:pPr>
    <w:rPr>
      <w:rFonts w:ascii="Arial" w:hAnsi="Arial"/>
      <w:sz w:val="22"/>
      <w:lang w:eastAsia="en-US"/>
    </w:rPr>
  </w:style>
  <w:style w:type="paragraph" w:customStyle="1" w:styleId="Default">
    <w:name w:val="Default"/>
    <w:rsid w:val="00C47FD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735D22"/>
    <w:rPr>
      <w:sz w:val="24"/>
    </w:rPr>
  </w:style>
  <w:style w:type="character" w:styleId="Hyperlink">
    <w:name w:val="Hyperlink"/>
    <w:basedOn w:val="DefaultParagraphFont"/>
    <w:rsid w:val="00E40280"/>
    <w:rPr>
      <w:color w:val="0000FF"/>
      <w:u w:val="single"/>
    </w:rPr>
  </w:style>
  <w:style w:type="paragraph" w:styleId="ListParagraph">
    <w:name w:val="List Paragraph"/>
    <w:basedOn w:val="Normal"/>
    <w:uiPriority w:val="34"/>
    <w:qFormat/>
    <w:rsid w:val="00845376"/>
    <w:pPr>
      <w:spacing w:before="0"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80E45-F4AB-463A-A5DF-FCB1EF54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1457</Words>
  <Characters>7887</Characters>
  <Application>Microsoft Office Word</Application>
  <DocSecurity>0</DocSecurity>
  <Lines>281</Lines>
  <Paragraphs>207</Paragraphs>
  <ScaleCrop>false</ScaleCrop>
  <HeadingPairs>
    <vt:vector size="2" baseType="variant">
      <vt:variant>
        <vt:lpstr>Title</vt:lpstr>
      </vt:variant>
      <vt:variant>
        <vt:i4>1</vt:i4>
      </vt:variant>
    </vt:vector>
  </HeadingPairs>
  <TitlesOfParts>
    <vt:vector size="1" baseType="lpstr">
      <vt:lpstr>EXAMPLE OF EXPLANATORY MEMORANDUM FOR REGULATIONS</vt:lpstr>
    </vt:vector>
  </TitlesOfParts>
  <Company>Department of the Prime Minister and Cabinet</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EXPLANATORY MEMORANDUM FOR REGULATIONS</dc:title>
  <dc:creator>smitdo</dc:creator>
  <cp:lastModifiedBy>Hilhorst, Matt</cp:lastModifiedBy>
  <cp:revision>2</cp:revision>
  <cp:lastPrinted>2013-01-14T01:00:00Z</cp:lastPrinted>
  <dcterms:created xsi:type="dcterms:W3CDTF">2013-03-26T04:20:00Z</dcterms:created>
  <dcterms:modified xsi:type="dcterms:W3CDTF">2013-03-26T04:20:00Z</dcterms:modified>
</cp:coreProperties>
</file>