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75" w:rsidRPr="00CF0656" w:rsidRDefault="00194875" w:rsidP="001A610B">
      <w:pPr>
        <w:keepLines/>
        <w:spacing w:before="0"/>
        <w:ind w:right="91"/>
        <w:jc w:val="center"/>
      </w:pPr>
      <w:r w:rsidRPr="00CF0656">
        <w:rPr>
          <w:b/>
          <w:u w:val="single"/>
        </w:rPr>
        <w:t xml:space="preserve">EXPLANATORY </w:t>
      </w:r>
      <w:r w:rsidR="004E587E">
        <w:rPr>
          <w:b/>
          <w:u w:val="single"/>
        </w:rPr>
        <w:t>STATEMENT</w:t>
      </w:r>
    </w:p>
    <w:p w:rsidR="00FB51B7" w:rsidRPr="00F256E1" w:rsidRDefault="00FB51B7" w:rsidP="00FB51B7">
      <w:pPr>
        <w:keepLines/>
        <w:jc w:val="center"/>
        <w:rPr>
          <w:b/>
          <w:color w:val="000000" w:themeColor="text1"/>
          <w:u w:val="single"/>
        </w:rPr>
      </w:pPr>
      <w:r w:rsidRPr="00F256E1">
        <w:rPr>
          <w:b/>
          <w:color w:val="000000" w:themeColor="text1"/>
          <w:u w:val="single"/>
        </w:rPr>
        <w:t xml:space="preserve">Select Legislative Instrument 2013 No. </w:t>
      </w:r>
      <w:r w:rsidR="00F256E1" w:rsidRPr="00F256E1">
        <w:rPr>
          <w:b/>
          <w:color w:val="000000" w:themeColor="text1"/>
          <w:u w:val="single"/>
        </w:rPr>
        <w:t>50</w:t>
      </w:r>
    </w:p>
    <w:p w:rsidR="00FB51B7" w:rsidRPr="00F256E1" w:rsidRDefault="00FB51B7" w:rsidP="001A610B">
      <w:pPr>
        <w:pStyle w:val="Heading6"/>
        <w:keepLines/>
        <w:spacing w:before="0"/>
        <w:rPr>
          <w:b/>
        </w:rPr>
      </w:pPr>
    </w:p>
    <w:p w:rsidR="00A1256F" w:rsidRDefault="00194875" w:rsidP="00D33958">
      <w:pPr>
        <w:keepLines/>
        <w:tabs>
          <w:tab w:val="left" w:pos="993"/>
        </w:tabs>
        <w:spacing w:before="0"/>
        <w:ind w:right="91"/>
        <w:rPr>
          <w:i/>
        </w:rPr>
      </w:pPr>
      <w:r w:rsidRPr="00CF0656">
        <w:t>Subject -</w:t>
      </w:r>
      <w:r w:rsidRPr="00CF0656">
        <w:tab/>
      </w:r>
      <w:r w:rsidRPr="00CF0656">
        <w:rPr>
          <w:i/>
        </w:rPr>
        <w:t>Financial Management and Accountability Act 1997</w:t>
      </w:r>
    </w:p>
    <w:p w:rsidR="00194875" w:rsidRPr="00CF0656" w:rsidRDefault="00194875" w:rsidP="00FB51B7">
      <w:pPr>
        <w:keepLines/>
        <w:tabs>
          <w:tab w:val="left" w:pos="993"/>
        </w:tabs>
        <w:spacing w:before="0"/>
        <w:ind w:left="993" w:right="-476"/>
        <w:rPr>
          <w:i/>
        </w:rPr>
      </w:pPr>
      <w:r w:rsidRPr="00CF0656">
        <w:rPr>
          <w:i/>
        </w:rPr>
        <w:t xml:space="preserve">Financial Management and Accountability Amendment </w:t>
      </w:r>
      <w:r w:rsidR="00F256E1">
        <w:rPr>
          <w:i/>
        </w:rPr>
        <w:t>Regulation 2013 (No. 2</w:t>
      </w:r>
      <w:r w:rsidRPr="00CF0656">
        <w:rPr>
          <w:i/>
        </w:rPr>
        <w:t>)</w:t>
      </w:r>
    </w:p>
    <w:p w:rsidR="00194875" w:rsidRPr="00CF0656" w:rsidRDefault="00194875" w:rsidP="001A610B">
      <w:pPr>
        <w:keepLines/>
        <w:spacing w:before="0"/>
        <w:ind w:right="91"/>
      </w:pPr>
    </w:p>
    <w:p w:rsidR="00A1256F" w:rsidRPr="00D33958" w:rsidRDefault="00194875" w:rsidP="00D33958">
      <w:pPr>
        <w:keepLines/>
        <w:spacing w:before="0" w:after="180"/>
        <w:ind w:right="-476"/>
        <w:rPr>
          <w:color w:val="000000" w:themeColor="text1"/>
        </w:rPr>
      </w:pPr>
      <w:r w:rsidRPr="00D33958">
        <w:rPr>
          <w:color w:val="000000" w:themeColor="text1"/>
        </w:rPr>
        <w:t xml:space="preserve">The </w:t>
      </w:r>
      <w:r w:rsidRPr="00D33958">
        <w:rPr>
          <w:i/>
          <w:color w:val="000000" w:themeColor="text1"/>
        </w:rPr>
        <w:t>Financial Management and Accountability Act 1997</w:t>
      </w:r>
      <w:r w:rsidRPr="00D33958">
        <w:rPr>
          <w:color w:val="000000" w:themeColor="text1"/>
        </w:rPr>
        <w:t xml:space="preserve"> (the FMA Act) provides a framework of rules for the proper management of publ</w:t>
      </w:r>
      <w:r w:rsidR="002214FC">
        <w:rPr>
          <w:color w:val="000000" w:themeColor="text1"/>
        </w:rPr>
        <w:t>ic money and public property by </w:t>
      </w:r>
      <w:r w:rsidRPr="00D33958">
        <w:rPr>
          <w:color w:val="000000" w:themeColor="text1"/>
        </w:rPr>
        <w:t xml:space="preserve">Chief Executives and officials of FMA Act agencies.  </w:t>
      </w:r>
    </w:p>
    <w:p w:rsidR="00A1256F" w:rsidRPr="00D33958" w:rsidRDefault="00194875" w:rsidP="00D33958">
      <w:pPr>
        <w:pStyle w:val="ParaNumbering"/>
        <w:keepLines/>
        <w:tabs>
          <w:tab w:val="clear" w:pos="360"/>
          <w:tab w:val="clear" w:pos="567"/>
        </w:tabs>
        <w:spacing w:after="180" w:line="240" w:lineRule="auto"/>
        <w:ind w:right="-476"/>
        <w:rPr>
          <w:color w:val="000000" w:themeColor="text1"/>
          <w:lang w:eastAsia="en-AU"/>
        </w:rPr>
      </w:pPr>
      <w:r w:rsidRPr="00D33958">
        <w:rPr>
          <w:color w:val="000000" w:themeColor="text1"/>
          <w:lang w:eastAsia="en-AU"/>
        </w:rPr>
        <w:t>Subsection 65(1) of the FMA Act provides that the Governor-General may make regulations prescribing matters required or permitted by that Act to be prescribed, or necessary or convenient to be prescribed for carrying out or giving effect to that Act.</w:t>
      </w:r>
    </w:p>
    <w:p w:rsidR="00C356AF" w:rsidRPr="00D33958" w:rsidRDefault="00194875" w:rsidP="00D33958">
      <w:pPr>
        <w:keepLines/>
        <w:spacing w:before="0" w:after="120"/>
        <w:ind w:right="-476"/>
        <w:rPr>
          <w:color w:val="000000" w:themeColor="text1"/>
        </w:rPr>
      </w:pPr>
      <w:r w:rsidRPr="00D33958">
        <w:rPr>
          <w:color w:val="000000" w:themeColor="text1"/>
        </w:rPr>
        <w:t>The Regulation amend</w:t>
      </w:r>
      <w:r w:rsidR="00FB51B7" w:rsidRPr="00D33958">
        <w:rPr>
          <w:color w:val="000000" w:themeColor="text1"/>
        </w:rPr>
        <w:t>s</w:t>
      </w:r>
      <w:r w:rsidRPr="00D33958">
        <w:rPr>
          <w:color w:val="000000" w:themeColor="text1"/>
        </w:rPr>
        <w:t xml:space="preserve"> the </w:t>
      </w:r>
      <w:r w:rsidR="00D33958" w:rsidRPr="00D33958">
        <w:rPr>
          <w:i/>
          <w:color w:val="000000" w:themeColor="text1"/>
        </w:rPr>
        <w:t>Financial Management and Accountability Regulations 1997</w:t>
      </w:r>
      <w:r w:rsidR="00D33958" w:rsidRPr="00D33958">
        <w:rPr>
          <w:color w:val="000000" w:themeColor="text1"/>
        </w:rPr>
        <w:t xml:space="preserve"> (the Principal Regulations) </w:t>
      </w:r>
      <w:r w:rsidRPr="00D33958">
        <w:rPr>
          <w:color w:val="000000" w:themeColor="text1"/>
        </w:rPr>
        <w:t>to</w:t>
      </w:r>
      <w:r w:rsidR="00C356AF" w:rsidRPr="00D33958">
        <w:rPr>
          <w:color w:val="000000" w:themeColor="text1"/>
        </w:rPr>
        <w:t>:</w:t>
      </w:r>
    </w:p>
    <w:p w:rsidR="0099084F" w:rsidRPr="00557DDA" w:rsidRDefault="00CE68D0" w:rsidP="00557DDA">
      <w:pPr>
        <w:pStyle w:val="ListParagraph"/>
        <w:keepLines/>
        <w:numPr>
          <w:ilvl w:val="0"/>
          <w:numId w:val="10"/>
        </w:numPr>
        <w:spacing w:after="120" w:line="240" w:lineRule="auto"/>
        <w:ind w:left="765" w:right="-476" w:hanging="357"/>
        <w:contextualSpacing w:val="0"/>
        <w:rPr>
          <w:color w:val="000000" w:themeColor="text1"/>
          <w:szCs w:val="24"/>
        </w:rPr>
      </w:pPr>
      <w:r>
        <w:rPr>
          <w:color w:val="000000" w:themeColor="text1"/>
          <w:szCs w:val="24"/>
        </w:rPr>
        <w:t xml:space="preserve">rename </w:t>
      </w:r>
      <w:r w:rsidR="009E6B6F">
        <w:rPr>
          <w:color w:val="000000" w:themeColor="text1"/>
          <w:szCs w:val="24"/>
        </w:rPr>
        <w:t xml:space="preserve">Fair Work Australia </w:t>
      </w:r>
      <w:r w:rsidR="00ED6ECE">
        <w:rPr>
          <w:color w:val="000000" w:themeColor="text1"/>
          <w:szCs w:val="24"/>
        </w:rPr>
        <w:t xml:space="preserve">in Schedule 1 </w:t>
      </w:r>
      <w:r w:rsidR="00D33958">
        <w:rPr>
          <w:color w:val="000000" w:themeColor="text1"/>
          <w:szCs w:val="24"/>
        </w:rPr>
        <w:t xml:space="preserve">to the </w:t>
      </w:r>
      <w:r w:rsidR="00D33958" w:rsidRPr="00D33958">
        <w:rPr>
          <w:color w:val="000000" w:themeColor="text1"/>
          <w:szCs w:val="20"/>
        </w:rPr>
        <w:t>Principal Regulations</w:t>
      </w:r>
      <w:r w:rsidR="00D33958">
        <w:rPr>
          <w:color w:val="000000" w:themeColor="text1"/>
          <w:szCs w:val="24"/>
        </w:rPr>
        <w:t xml:space="preserve"> </w:t>
      </w:r>
      <w:r w:rsidR="002214FC">
        <w:rPr>
          <w:color w:val="000000" w:themeColor="text1"/>
          <w:szCs w:val="24"/>
        </w:rPr>
        <w:t>as the Fair </w:t>
      </w:r>
      <w:r w:rsidR="009E6B6F">
        <w:rPr>
          <w:color w:val="000000" w:themeColor="text1"/>
          <w:szCs w:val="24"/>
        </w:rPr>
        <w:t>Work Commission</w:t>
      </w:r>
      <w:r w:rsidR="0099084F" w:rsidRPr="00557DDA">
        <w:rPr>
          <w:color w:val="000000" w:themeColor="text1"/>
          <w:szCs w:val="24"/>
        </w:rPr>
        <w:t>; and</w:t>
      </w:r>
    </w:p>
    <w:p w:rsidR="0099084F" w:rsidRPr="009E6B6F" w:rsidRDefault="0099084F" w:rsidP="00D33958">
      <w:pPr>
        <w:pStyle w:val="ListParagraph"/>
        <w:keepLines/>
        <w:numPr>
          <w:ilvl w:val="0"/>
          <w:numId w:val="10"/>
        </w:numPr>
        <w:spacing w:after="180" w:line="240" w:lineRule="auto"/>
        <w:ind w:left="765" w:right="-476" w:hanging="357"/>
        <w:contextualSpacing w:val="0"/>
        <w:rPr>
          <w:color w:val="000000" w:themeColor="text1"/>
          <w:szCs w:val="24"/>
        </w:rPr>
      </w:pPr>
      <w:r>
        <w:rPr>
          <w:szCs w:val="24"/>
        </w:rPr>
        <w:t xml:space="preserve">amend </w:t>
      </w:r>
      <w:r w:rsidR="00D33958">
        <w:rPr>
          <w:szCs w:val="24"/>
        </w:rPr>
        <w:t>a</w:t>
      </w:r>
      <w:r>
        <w:rPr>
          <w:szCs w:val="24"/>
        </w:rPr>
        <w:t xml:space="preserve"> program description and </w:t>
      </w:r>
      <w:r w:rsidRPr="00E5615C">
        <w:rPr>
          <w:szCs w:val="24"/>
        </w:rPr>
        <w:t xml:space="preserve">add </w:t>
      </w:r>
      <w:r w:rsidR="00D33958">
        <w:rPr>
          <w:szCs w:val="24"/>
        </w:rPr>
        <w:t>a</w:t>
      </w:r>
      <w:r w:rsidRPr="00E5615C">
        <w:rPr>
          <w:szCs w:val="24"/>
        </w:rPr>
        <w:t xml:space="preserve"> new program </w:t>
      </w:r>
      <w:r w:rsidR="00D33958">
        <w:rPr>
          <w:szCs w:val="24"/>
        </w:rPr>
        <w:t xml:space="preserve">to </w:t>
      </w:r>
      <w:r w:rsidRPr="00E5615C">
        <w:rPr>
          <w:szCs w:val="24"/>
        </w:rPr>
        <w:t>Schedule 1AA to ensure there is legislative authority for spending under th</w:t>
      </w:r>
      <w:r w:rsidR="00D33958">
        <w:rPr>
          <w:szCs w:val="24"/>
        </w:rPr>
        <w:t>o</w:t>
      </w:r>
      <w:r>
        <w:rPr>
          <w:szCs w:val="24"/>
        </w:rPr>
        <w:t>se</w:t>
      </w:r>
      <w:r w:rsidRPr="00E5615C">
        <w:rPr>
          <w:szCs w:val="24"/>
        </w:rPr>
        <w:t xml:space="preserve"> program</w:t>
      </w:r>
      <w:r>
        <w:rPr>
          <w:szCs w:val="24"/>
        </w:rPr>
        <w:t>s</w:t>
      </w:r>
      <w:r>
        <w:rPr>
          <w:color w:val="000000" w:themeColor="text1"/>
          <w:szCs w:val="24"/>
        </w:rPr>
        <w:t>.</w:t>
      </w:r>
      <w:r w:rsidRPr="0099084F">
        <w:rPr>
          <w:color w:val="000000" w:themeColor="text1"/>
          <w:szCs w:val="24"/>
        </w:rPr>
        <w:t xml:space="preserve"> </w:t>
      </w:r>
    </w:p>
    <w:p w:rsidR="00A1256F" w:rsidRPr="0099084F" w:rsidRDefault="0099084F" w:rsidP="00D33958">
      <w:pPr>
        <w:keepLines/>
        <w:spacing w:before="0" w:after="180"/>
        <w:ind w:right="-476"/>
        <w:rPr>
          <w:color w:val="000000" w:themeColor="text1"/>
          <w:szCs w:val="24"/>
        </w:rPr>
      </w:pPr>
      <w:r w:rsidRPr="003C7301">
        <w:rPr>
          <w:color w:val="000000" w:themeColor="text1"/>
          <w:szCs w:val="24"/>
        </w:rPr>
        <w:t xml:space="preserve">Further details on </w:t>
      </w:r>
      <w:r w:rsidR="00194875" w:rsidRPr="0099084F">
        <w:rPr>
          <w:color w:val="000000" w:themeColor="text1"/>
          <w:szCs w:val="24"/>
        </w:rPr>
        <w:t xml:space="preserve">the Regulation are set out in the </w:t>
      </w:r>
      <w:r w:rsidR="00194875" w:rsidRPr="0099084F">
        <w:rPr>
          <w:color w:val="000000" w:themeColor="text1"/>
          <w:szCs w:val="24"/>
          <w:u w:val="single"/>
        </w:rPr>
        <w:t>Attachment</w:t>
      </w:r>
      <w:r w:rsidR="00194875" w:rsidRPr="0099084F">
        <w:rPr>
          <w:color w:val="000000" w:themeColor="text1"/>
          <w:szCs w:val="24"/>
        </w:rPr>
        <w:t>.</w:t>
      </w:r>
    </w:p>
    <w:p w:rsidR="00A1256F" w:rsidRDefault="00194875" w:rsidP="00D33958">
      <w:pPr>
        <w:pStyle w:val="ParaNumbering"/>
        <w:keepLines/>
        <w:tabs>
          <w:tab w:val="clear" w:pos="360"/>
          <w:tab w:val="clear" w:pos="567"/>
        </w:tabs>
        <w:spacing w:after="180" w:line="240" w:lineRule="auto"/>
        <w:ind w:right="-476"/>
        <w:rPr>
          <w:i/>
          <w:iCs/>
          <w:szCs w:val="24"/>
        </w:rPr>
      </w:pPr>
      <w:r w:rsidRPr="00CF0656">
        <w:rPr>
          <w:szCs w:val="24"/>
        </w:rPr>
        <w:t xml:space="preserve">The Regulation </w:t>
      </w:r>
      <w:r w:rsidR="0099084F">
        <w:rPr>
          <w:szCs w:val="24"/>
        </w:rPr>
        <w:t>is</w:t>
      </w:r>
      <w:r w:rsidRPr="00CF0656">
        <w:rPr>
          <w:szCs w:val="24"/>
        </w:rPr>
        <w:t xml:space="preserve"> a legislative instrument for the purposes of the</w:t>
      </w:r>
      <w:r w:rsidRPr="00CF0656">
        <w:rPr>
          <w:i/>
          <w:iCs/>
          <w:szCs w:val="24"/>
        </w:rPr>
        <w:t xml:space="preserve"> Legislative Instruments Act 2003.</w:t>
      </w:r>
      <w:r w:rsidR="0099084F" w:rsidRPr="0099084F">
        <w:rPr>
          <w:color w:val="000000" w:themeColor="text1"/>
          <w:szCs w:val="24"/>
        </w:rPr>
        <w:t xml:space="preserve"> </w:t>
      </w:r>
      <w:r w:rsidR="0099084F">
        <w:rPr>
          <w:color w:val="000000" w:themeColor="text1"/>
          <w:szCs w:val="24"/>
        </w:rPr>
        <w:t xml:space="preserve"> </w:t>
      </w:r>
      <w:r w:rsidR="0099084F" w:rsidRPr="00CF0656">
        <w:rPr>
          <w:color w:val="000000" w:themeColor="text1"/>
          <w:szCs w:val="24"/>
        </w:rPr>
        <w:t xml:space="preserve">The </w:t>
      </w:r>
      <w:r w:rsidR="0099084F">
        <w:rPr>
          <w:color w:val="000000" w:themeColor="text1"/>
          <w:szCs w:val="24"/>
        </w:rPr>
        <w:t xml:space="preserve">amendments </w:t>
      </w:r>
      <w:r w:rsidR="0099084F" w:rsidRPr="00CF0656">
        <w:rPr>
          <w:color w:val="000000" w:themeColor="text1"/>
          <w:szCs w:val="24"/>
        </w:rPr>
        <w:t xml:space="preserve">commence </w:t>
      </w:r>
      <w:r w:rsidR="0099084F" w:rsidRPr="00B8771D">
        <w:rPr>
          <w:color w:val="000000" w:themeColor="text1"/>
          <w:szCs w:val="24"/>
        </w:rPr>
        <w:t xml:space="preserve">on the day after </w:t>
      </w:r>
      <w:r w:rsidR="00D33958">
        <w:rPr>
          <w:color w:val="000000" w:themeColor="text1"/>
          <w:szCs w:val="24"/>
        </w:rPr>
        <w:t xml:space="preserve">the Regulation is </w:t>
      </w:r>
      <w:r w:rsidR="0099084F" w:rsidRPr="00B8771D">
        <w:rPr>
          <w:color w:val="000000" w:themeColor="text1"/>
          <w:szCs w:val="24"/>
        </w:rPr>
        <w:t>regist</w:t>
      </w:r>
      <w:r w:rsidR="00D33958">
        <w:rPr>
          <w:color w:val="000000" w:themeColor="text1"/>
          <w:szCs w:val="24"/>
        </w:rPr>
        <w:t>ered</w:t>
      </w:r>
      <w:r w:rsidR="0099084F" w:rsidRPr="00B8771D">
        <w:rPr>
          <w:color w:val="000000" w:themeColor="text1"/>
          <w:szCs w:val="24"/>
        </w:rPr>
        <w:t xml:space="preserve"> on the Federal Register of Legislative Instruments</w:t>
      </w:r>
      <w:r w:rsidR="0099084F">
        <w:rPr>
          <w:color w:val="000000" w:themeColor="text1"/>
          <w:szCs w:val="24"/>
        </w:rPr>
        <w:t xml:space="preserve">. </w:t>
      </w:r>
    </w:p>
    <w:p w:rsidR="00D33958" w:rsidRPr="003C7301" w:rsidRDefault="00D33958" w:rsidP="00D33958">
      <w:pPr>
        <w:keepNext/>
        <w:keepLines/>
        <w:spacing w:before="0" w:after="120"/>
        <w:ind w:right="-476"/>
        <w:rPr>
          <w:szCs w:val="24"/>
        </w:rPr>
      </w:pPr>
      <w:r w:rsidRPr="003C7301">
        <w:rPr>
          <w:b/>
          <w:bCs/>
          <w:szCs w:val="24"/>
        </w:rPr>
        <w:t>Consultation</w:t>
      </w:r>
    </w:p>
    <w:p w:rsidR="00D33958" w:rsidRPr="003C7301" w:rsidRDefault="00D33958" w:rsidP="00D33958">
      <w:pPr>
        <w:keepLines/>
        <w:spacing w:before="0" w:after="180"/>
        <w:ind w:right="-476"/>
        <w:rPr>
          <w:color w:val="000000" w:themeColor="text1"/>
          <w:szCs w:val="24"/>
        </w:rPr>
      </w:pPr>
      <w:r w:rsidRPr="003C7301">
        <w:rPr>
          <w:color w:val="000000" w:themeColor="text1"/>
          <w:szCs w:val="24"/>
        </w:rPr>
        <w:t xml:space="preserve">In accordance with section 17 of the </w:t>
      </w:r>
      <w:r w:rsidRPr="003C7301">
        <w:rPr>
          <w:i/>
          <w:iCs/>
          <w:color w:val="000000" w:themeColor="text1"/>
          <w:szCs w:val="24"/>
        </w:rPr>
        <w:t>Legislative Instruments Act 2003</w:t>
      </w:r>
      <w:r w:rsidRPr="003C7301">
        <w:rPr>
          <w:color w:val="000000" w:themeColor="text1"/>
          <w:szCs w:val="24"/>
        </w:rPr>
        <w:t xml:space="preserve">, consultation has taken place with </w:t>
      </w:r>
      <w:r>
        <w:rPr>
          <w:color w:val="000000" w:themeColor="text1"/>
          <w:szCs w:val="24"/>
        </w:rPr>
        <w:t>the relevant parts of the Department of Education, Employment and Workplace Relation</w:t>
      </w:r>
      <w:r w:rsidR="00400347">
        <w:rPr>
          <w:color w:val="000000" w:themeColor="text1"/>
          <w:szCs w:val="24"/>
        </w:rPr>
        <w:t>s</w:t>
      </w:r>
      <w:r>
        <w:rPr>
          <w:color w:val="000000" w:themeColor="text1"/>
          <w:szCs w:val="24"/>
        </w:rPr>
        <w:t xml:space="preserve"> and the </w:t>
      </w:r>
      <w:r w:rsidRPr="00E2525D">
        <w:rPr>
          <w:color w:val="000000" w:themeColor="text1"/>
        </w:rPr>
        <w:t>Department of Families, Housing, Community Services and Indigenous Affairs</w:t>
      </w:r>
      <w:r>
        <w:rPr>
          <w:color w:val="000000" w:themeColor="text1"/>
        </w:rPr>
        <w:t xml:space="preserve"> (FaHCSIA)</w:t>
      </w:r>
      <w:r>
        <w:rPr>
          <w:color w:val="000000" w:themeColor="text1"/>
          <w:szCs w:val="24"/>
        </w:rPr>
        <w:t xml:space="preserve">.  </w:t>
      </w:r>
      <w:r w:rsidRPr="003C7301">
        <w:rPr>
          <w:color w:val="000000" w:themeColor="text1"/>
          <w:szCs w:val="24"/>
        </w:rPr>
        <w:t>The Australian Government Solicitor also p</w:t>
      </w:r>
      <w:r>
        <w:rPr>
          <w:color w:val="000000" w:themeColor="text1"/>
          <w:szCs w:val="24"/>
        </w:rPr>
        <w:t>rovided advice on the amendments</w:t>
      </w:r>
      <w:r w:rsidRPr="003C7301">
        <w:rPr>
          <w:color w:val="000000" w:themeColor="text1"/>
          <w:szCs w:val="24"/>
        </w:rPr>
        <w:t xml:space="preserve"> to Schedule</w:t>
      </w:r>
      <w:r>
        <w:rPr>
          <w:color w:val="000000" w:themeColor="text1"/>
          <w:szCs w:val="24"/>
        </w:rPr>
        <w:t> </w:t>
      </w:r>
      <w:r w:rsidRPr="003C7301">
        <w:rPr>
          <w:color w:val="000000" w:themeColor="text1"/>
          <w:szCs w:val="24"/>
        </w:rPr>
        <w:t xml:space="preserve">1AA </w:t>
      </w:r>
      <w:r w:rsidR="00977345">
        <w:rPr>
          <w:color w:val="000000" w:themeColor="text1"/>
          <w:szCs w:val="24"/>
        </w:rPr>
        <w:t>to</w:t>
      </w:r>
      <w:r w:rsidRPr="003C7301">
        <w:rPr>
          <w:color w:val="000000" w:themeColor="text1"/>
          <w:szCs w:val="24"/>
        </w:rPr>
        <w:t xml:space="preserve"> the </w:t>
      </w:r>
      <w:r>
        <w:rPr>
          <w:color w:val="000000" w:themeColor="text1"/>
          <w:szCs w:val="24"/>
        </w:rPr>
        <w:t xml:space="preserve">Principal </w:t>
      </w:r>
      <w:r w:rsidRPr="003C7301">
        <w:rPr>
          <w:color w:val="000000" w:themeColor="text1"/>
          <w:szCs w:val="24"/>
        </w:rPr>
        <w:t>Regulation</w:t>
      </w:r>
      <w:r>
        <w:rPr>
          <w:color w:val="000000" w:themeColor="text1"/>
          <w:szCs w:val="24"/>
        </w:rPr>
        <w:t>s</w:t>
      </w:r>
      <w:r w:rsidRPr="003C7301">
        <w:rPr>
          <w:color w:val="000000" w:themeColor="text1"/>
          <w:szCs w:val="24"/>
        </w:rPr>
        <w:t>.</w:t>
      </w:r>
    </w:p>
    <w:p w:rsidR="00D33958" w:rsidRDefault="00D33958" w:rsidP="00D33958">
      <w:pPr>
        <w:pStyle w:val="ParaNumbering"/>
        <w:keepLines/>
        <w:tabs>
          <w:tab w:val="clear" w:pos="360"/>
          <w:tab w:val="clear" w:pos="567"/>
        </w:tabs>
        <w:spacing w:after="180" w:line="240" w:lineRule="auto"/>
        <w:ind w:right="-476"/>
        <w:rPr>
          <w:iCs/>
          <w:szCs w:val="24"/>
        </w:rPr>
      </w:pPr>
      <w:r w:rsidRPr="003C7301">
        <w:rPr>
          <w:iCs/>
          <w:szCs w:val="24"/>
        </w:rPr>
        <w:t>A regulation impact statement is not required as the Regulation only applies to FMA</w:t>
      </w:r>
      <w:r>
        <w:rPr>
          <w:iCs/>
          <w:szCs w:val="24"/>
        </w:rPr>
        <w:t> </w:t>
      </w:r>
      <w:r w:rsidR="00977345">
        <w:rPr>
          <w:iCs/>
          <w:szCs w:val="24"/>
        </w:rPr>
        <w:t>Act a</w:t>
      </w:r>
      <w:r w:rsidRPr="003C7301">
        <w:rPr>
          <w:iCs/>
          <w:szCs w:val="24"/>
        </w:rPr>
        <w:t xml:space="preserve">gencies, and does not </w:t>
      </w:r>
      <w:r>
        <w:rPr>
          <w:iCs/>
          <w:szCs w:val="24"/>
        </w:rPr>
        <w:t xml:space="preserve">adversely </w:t>
      </w:r>
      <w:r w:rsidRPr="003C7301">
        <w:rPr>
          <w:iCs/>
          <w:szCs w:val="24"/>
        </w:rPr>
        <w:t>affect the private sector.</w:t>
      </w:r>
    </w:p>
    <w:p w:rsidR="00D33958" w:rsidRPr="00D33958" w:rsidRDefault="00D33958" w:rsidP="00D33958">
      <w:pPr>
        <w:keepNext/>
        <w:keepLines/>
        <w:spacing w:before="0" w:after="120"/>
        <w:ind w:right="-476"/>
        <w:rPr>
          <w:b/>
          <w:bCs/>
          <w:szCs w:val="24"/>
        </w:rPr>
      </w:pPr>
      <w:r w:rsidRPr="003C7301">
        <w:rPr>
          <w:b/>
          <w:bCs/>
          <w:szCs w:val="24"/>
        </w:rPr>
        <w:t>Statement of Compatibility with Human Rights</w:t>
      </w:r>
    </w:p>
    <w:p w:rsidR="00D33958" w:rsidRPr="003C7301" w:rsidRDefault="00D33958" w:rsidP="00D33958">
      <w:pPr>
        <w:keepLines/>
        <w:spacing w:before="0" w:after="180"/>
        <w:ind w:right="-476"/>
        <w:rPr>
          <w:color w:val="000000" w:themeColor="text1"/>
          <w:szCs w:val="24"/>
        </w:rPr>
      </w:pPr>
      <w:r w:rsidRPr="003C7301">
        <w:rPr>
          <w:color w:val="000000" w:themeColor="text1"/>
          <w:szCs w:val="24"/>
        </w:rPr>
        <w:t>The Regulation is compatible with the human rights and freedoms recognised or declared in the international instruments listed in section 3 of the</w:t>
      </w:r>
      <w:r w:rsidRPr="00D33958">
        <w:rPr>
          <w:color w:val="000000" w:themeColor="text1"/>
          <w:szCs w:val="24"/>
        </w:rPr>
        <w:t xml:space="preserve"> </w:t>
      </w:r>
      <w:r w:rsidRPr="00400347">
        <w:rPr>
          <w:i/>
          <w:color w:val="000000" w:themeColor="text1"/>
          <w:szCs w:val="24"/>
        </w:rPr>
        <w:t>Human Rights (Parliamentary Scrutiny) Act 2011</w:t>
      </w:r>
      <w:r w:rsidRPr="00D33958">
        <w:rPr>
          <w:color w:val="000000" w:themeColor="text1"/>
          <w:szCs w:val="24"/>
        </w:rPr>
        <w:t xml:space="preserve"> (Human Rights Act)</w:t>
      </w:r>
      <w:r w:rsidRPr="003C7301">
        <w:rPr>
          <w:color w:val="000000" w:themeColor="text1"/>
          <w:szCs w:val="24"/>
        </w:rPr>
        <w:t xml:space="preserve">.  </w:t>
      </w:r>
    </w:p>
    <w:p w:rsidR="00D33958" w:rsidRPr="003C7301" w:rsidRDefault="00D33958" w:rsidP="00D33958">
      <w:pPr>
        <w:keepLines/>
        <w:spacing w:before="0" w:after="180"/>
        <w:ind w:right="-476"/>
        <w:rPr>
          <w:color w:val="000000" w:themeColor="text1"/>
          <w:szCs w:val="24"/>
        </w:rPr>
      </w:pPr>
      <w:r w:rsidRPr="003C7301">
        <w:rPr>
          <w:color w:val="000000" w:themeColor="text1"/>
          <w:szCs w:val="24"/>
        </w:rPr>
        <w:t xml:space="preserve">The amendments do not engage any of the rights or freedoms outlined in the </w:t>
      </w:r>
      <w:r w:rsidRPr="00D33958">
        <w:rPr>
          <w:color w:val="000000" w:themeColor="text1"/>
          <w:szCs w:val="24"/>
        </w:rPr>
        <w:t>Human Rights Act</w:t>
      </w:r>
      <w:r w:rsidRPr="003C7301">
        <w:rPr>
          <w:color w:val="000000" w:themeColor="text1"/>
          <w:szCs w:val="24"/>
        </w:rPr>
        <w:t xml:space="preserve">, such as encompassed in the </w:t>
      </w:r>
      <w:r w:rsidRPr="00D33958">
        <w:rPr>
          <w:color w:val="000000" w:themeColor="text1"/>
          <w:szCs w:val="24"/>
        </w:rPr>
        <w:t xml:space="preserve">International Covenant on Civil and Political Rights (ICCPR).  </w:t>
      </w:r>
      <w:r w:rsidRPr="003C7301">
        <w:rPr>
          <w:color w:val="000000" w:themeColor="text1"/>
          <w:szCs w:val="24"/>
        </w:rPr>
        <w:t>The amendments do not limit any human rights, nor establish any new offences or penalties.</w:t>
      </w:r>
    </w:p>
    <w:p w:rsidR="00A1256F" w:rsidRDefault="00194875" w:rsidP="00D33958">
      <w:pPr>
        <w:pStyle w:val="ParaNumbering"/>
        <w:keepLines/>
        <w:tabs>
          <w:tab w:val="clear" w:pos="360"/>
          <w:tab w:val="clear" w:pos="567"/>
        </w:tabs>
        <w:spacing w:after="0"/>
        <w:ind w:left="3544" w:right="-476" w:hanging="1416"/>
        <w:rPr>
          <w:i/>
          <w:szCs w:val="24"/>
        </w:rPr>
      </w:pPr>
      <w:r w:rsidRPr="00CF0656">
        <w:rPr>
          <w:szCs w:val="24"/>
          <w:u w:val="single"/>
        </w:rPr>
        <w:t>Authority</w:t>
      </w:r>
      <w:r w:rsidRPr="00CF0656">
        <w:rPr>
          <w:szCs w:val="24"/>
        </w:rPr>
        <w:t>:</w:t>
      </w:r>
      <w:r w:rsidRPr="00CF0656">
        <w:rPr>
          <w:szCs w:val="24"/>
        </w:rPr>
        <w:tab/>
        <w:t xml:space="preserve">Subsection 65(1) of the </w:t>
      </w:r>
      <w:r w:rsidR="00B312BE" w:rsidRPr="00CF0656">
        <w:rPr>
          <w:i/>
          <w:szCs w:val="24"/>
        </w:rPr>
        <w:t>Financial</w:t>
      </w:r>
      <w:r w:rsidR="00B312BE">
        <w:rPr>
          <w:i/>
          <w:szCs w:val="24"/>
        </w:rPr>
        <w:t xml:space="preserve"> </w:t>
      </w:r>
      <w:r w:rsidR="00B312BE" w:rsidRPr="00CF0656">
        <w:rPr>
          <w:i/>
          <w:szCs w:val="24"/>
        </w:rPr>
        <w:t>Management</w:t>
      </w:r>
      <w:r w:rsidR="00B312BE">
        <w:rPr>
          <w:i/>
          <w:szCs w:val="24"/>
        </w:rPr>
        <w:t xml:space="preserve"> </w:t>
      </w:r>
      <w:r w:rsidRPr="00CF0656">
        <w:rPr>
          <w:i/>
          <w:szCs w:val="24"/>
        </w:rPr>
        <w:t>and</w:t>
      </w:r>
      <w:r w:rsidR="00B312BE">
        <w:rPr>
          <w:i/>
          <w:szCs w:val="24"/>
        </w:rPr>
        <w:t xml:space="preserve"> </w:t>
      </w:r>
      <w:r w:rsidRPr="00CF0656">
        <w:rPr>
          <w:i/>
          <w:szCs w:val="24"/>
        </w:rPr>
        <w:t>Accountability Act 1997</w:t>
      </w:r>
    </w:p>
    <w:p w:rsidR="00F25A90" w:rsidRPr="00F25A90" w:rsidRDefault="00F25A90" w:rsidP="00D33958">
      <w:pPr>
        <w:pStyle w:val="ParaNumbering"/>
        <w:keepLines/>
        <w:tabs>
          <w:tab w:val="clear" w:pos="360"/>
          <w:tab w:val="clear" w:pos="567"/>
        </w:tabs>
        <w:spacing w:after="0"/>
        <w:ind w:left="4820" w:right="-476"/>
        <w:rPr>
          <w:szCs w:val="24"/>
        </w:rPr>
      </w:pPr>
    </w:p>
    <w:p w:rsidR="00F25A90" w:rsidRPr="00CF0656" w:rsidRDefault="00F25A90" w:rsidP="001A610B">
      <w:pPr>
        <w:keepLines/>
        <w:spacing w:before="0"/>
        <w:rPr>
          <w:i/>
          <w:szCs w:val="24"/>
          <w:lang w:eastAsia="en-US"/>
        </w:rPr>
        <w:sectPr w:rsidR="00F25A90" w:rsidRPr="00CF0656" w:rsidSect="00B312BE">
          <w:headerReference w:type="default" r:id="rId8"/>
          <w:footerReference w:type="first" r:id="rId9"/>
          <w:pgSz w:w="11907" w:h="16840" w:code="9"/>
          <w:pgMar w:top="1134" w:right="1797" w:bottom="851" w:left="1797" w:header="720" w:footer="720" w:gutter="0"/>
          <w:cols w:space="720"/>
          <w:titlePg/>
          <w:docGrid w:linePitch="326"/>
        </w:sectPr>
      </w:pPr>
    </w:p>
    <w:p w:rsidR="00194875" w:rsidRPr="00CF0656" w:rsidRDefault="00194875" w:rsidP="001A610B">
      <w:pPr>
        <w:keepLines/>
        <w:spacing w:before="0"/>
        <w:rPr>
          <w:i/>
          <w:szCs w:val="24"/>
          <w:lang w:eastAsia="en-US"/>
        </w:rPr>
      </w:pPr>
    </w:p>
    <w:p w:rsidR="00194875" w:rsidRPr="00CF0656" w:rsidRDefault="00194875" w:rsidP="001A610B">
      <w:pPr>
        <w:pStyle w:val="ParaNumbering"/>
        <w:keepLines/>
        <w:tabs>
          <w:tab w:val="clear" w:pos="360"/>
          <w:tab w:val="clear" w:pos="567"/>
        </w:tabs>
        <w:spacing w:before="120" w:line="240" w:lineRule="auto"/>
        <w:ind w:left="3600" w:hanging="1440"/>
        <w:jc w:val="right"/>
        <w:rPr>
          <w:b/>
          <w:color w:val="000000" w:themeColor="text1"/>
          <w:szCs w:val="24"/>
          <w:u w:val="single"/>
        </w:rPr>
      </w:pPr>
      <w:r w:rsidRPr="00CF0656">
        <w:rPr>
          <w:b/>
          <w:color w:val="000000" w:themeColor="text1"/>
          <w:szCs w:val="24"/>
          <w:u w:val="single"/>
        </w:rPr>
        <w:t xml:space="preserve">ATTACHMENT </w:t>
      </w:r>
    </w:p>
    <w:p w:rsidR="00194875" w:rsidRPr="00CF0656" w:rsidRDefault="00194875" w:rsidP="001A610B">
      <w:pPr>
        <w:pStyle w:val="Heading1"/>
        <w:keepLines/>
        <w:numPr>
          <w:ilvl w:val="0"/>
          <w:numId w:val="0"/>
        </w:numPr>
        <w:rPr>
          <w:bCs/>
          <w:i/>
          <w:caps w:val="0"/>
          <w:color w:val="000000" w:themeColor="text1"/>
          <w:szCs w:val="24"/>
          <w:u w:val="single"/>
        </w:rPr>
      </w:pPr>
      <w:r w:rsidRPr="00CF0656">
        <w:rPr>
          <w:bCs/>
          <w:caps w:val="0"/>
          <w:color w:val="000000" w:themeColor="text1"/>
          <w:szCs w:val="24"/>
          <w:u w:val="single"/>
        </w:rPr>
        <w:t xml:space="preserve">Details of the </w:t>
      </w:r>
      <w:r w:rsidRPr="00CF0656">
        <w:rPr>
          <w:bCs/>
          <w:i/>
          <w:caps w:val="0"/>
          <w:color w:val="000000" w:themeColor="text1"/>
          <w:szCs w:val="24"/>
          <w:u w:val="single"/>
        </w:rPr>
        <w:t xml:space="preserve">Financial Management and Accountability Amendment Regulation 2013 (No. </w:t>
      </w:r>
      <w:r w:rsidR="00F256E1">
        <w:rPr>
          <w:bCs/>
          <w:i/>
          <w:caps w:val="0"/>
          <w:color w:val="000000" w:themeColor="text1"/>
          <w:szCs w:val="24"/>
          <w:u w:val="single"/>
        </w:rPr>
        <w:t>2</w:t>
      </w:r>
      <w:r w:rsidRPr="00CF0656">
        <w:rPr>
          <w:bCs/>
          <w:i/>
          <w:caps w:val="0"/>
          <w:color w:val="000000" w:themeColor="text1"/>
          <w:szCs w:val="24"/>
          <w:u w:val="single"/>
        </w:rPr>
        <w:t>)</w:t>
      </w:r>
    </w:p>
    <w:p w:rsidR="00194875" w:rsidRPr="00CF0656" w:rsidRDefault="00194875" w:rsidP="002D7461">
      <w:pPr>
        <w:spacing w:before="0"/>
        <w:rPr>
          <w:color w:val="000000" w:themeColor="text1"/>
          <w:szCs w:val="24"/>
          <w:u w:val="single"/>
        </w:rPr>
      </w:pPr>
    </w:p>
    <w:p w:rsidR="00194875" w:rsidRPr="00CF0656" w:rsidRDefault="00194875" w:rsidP="002D7461">
      <w:pPr>
        <w:spacing w:before="0"/>
        <w:rPr>
          <w:color w:val="000000" w:themeColor="text1"/>
          <w:szCs w:val="24"/>
          <w:u w:val="single"/>
        </w:rPr>
      </w:pPr>
      <w:r w:rsidRPr="00CF0656">
        <w:rPr>
          <w:color w:val="000000" w:themeColor="text1"/>
          <w:szCs w:val="24"/>
          <w:u w:val="single"/>
        </w:rPr>
        <w:t xml:space="preserve">Section 1 – Name of </w:t>
      </w:r>
      <w:r w:rsidR="00D33958">
        <w:rPr>
          <w:color w:val="000000" w:themeColor="text1"/>
          <w:szCs w:val="24"/>
          <w:u w:val="single"/>
        </w:rPr>
        <w:t>R</w:t>
      </w:r>
      <w:r w:rsidR="00856AFE" w:rsidRPr="00CF0656">
        <w:rPr>
          <w:color w:val="000000" w:themeColor="text1"/>
          <w:szCs w:val="24"/>
          <w:u w:val="single"/>
        </w:rPr>
        <w:t>egulation</w:t>
      </w:r>
    </w:p>
    <w:p w:rsidR="00194875" w:rsidRPr="00CF0656" w:rsidRDefault="00194875" w:rsidP="002D7461">
      <w:pPr>
        <w:spacing w:before="0"/>
        <w:rPr>
          <w:color w:val="000000" w:themeColor="text1"/>
          <w:szCs w:val="24"/>
        </w:rPr>
      </w:pPr>
    </w:p>
    <w:p w:rsidR="00194875" w:rsidRPr="00D1292D" w:rsidRDefault="00F20C6A" w:rsidP="002D7461">
      <w:pPr>
        <w:spacing w:before="0"/>
        <w:rPr>
          <w:color w:val="000000" w:themeColor="text1"/>
          <w:szCs w:val="24"/>
        </w:rPr>
      </w:pPr>
      <w:r>
        <w:rPr>
          <w:color w:val="000000" w:themeColor="text1"/>
          <w:szCs w:val="24"/>
        </w:rPr>
        <w:t>This section provides that</w:t>
      </w:r>
      <w:r w:rsidR="00194875" w:rsidRPr="00CF0656">
        <w:rPr>
          <w:color w:val="000000" w:themeColor="text1"/>
          <w:szCs w:val="24"/>
        </w:rPr>
        <w:t xml:space="preserve"> the title of the Regulation </w:t>
      </w:r>
      <w:r>
        <w:rPr>
          <w:color w:val="000000" w:themeColor="text1"/>
          <w:szCs w:val="24"/>
        </w:rPr>
        <w:t>is</w:t>
      </w:r>
      <w:r w:rsidR="00194875" w:rsidRPr="00CF0656">
        <w:rPr>
          <w:color w:val="000000" w:themeColor="text1"/>
          <w:szCs w:val="24"/>
        </w:rPr>
        <w:t xml:space="preserve"> the </w:t>
      </w:r>
      <w:r w:rsidR="00194875" w:rsidRPr="00CF0656">
        <w:rPr>
          <w:i/>
          <w:color w:val="000000" w:themeColor="text1"/>
          <w:szCs w:val="24"/>
        </w:rPr>
        <w:t xml:space="preserve">Financial Management and Accountability Amendment Regulation </w:t>
      </w:r>
      <w:r w:rsidR="00380141" w:rsidRPr="00CF0656">
        <w:rPr>
          <w:i/>
          <w:color w:val="000000" w:themeColor="text1"/>
          <w:szCs w:val="24"/>
        </w:rPr>
        <w:t>201</w:t>
      </w:r>
      <w:r w:rsidR="00380141">
        <w:rPr>
          <w:i/>
          <w:color w:val="000000" w:themeColor="text1"/>
          <w:szCs w:val="24"/>
        </w:rPr>
        <w:t>3</w:t>
      </w:r>
      <w:r w:rsidR="00380141" w:rsidRPr="00CF0656">
        <w:rPr>
          <w:i/>
          <w:color w:val="000000" w:themeColor="text1"/>
          <w:szCs w:val="24"/>
        </w:rPr>
        <w:t xml:space="preserve"> </w:t>
      </w:r>
      <w:r w:rsidR="00F256E1">
        <w:rPr>
          <w:i/>
          <w:color w:val="000000" w:themeColor="text1"/>
          <w:szCs w:val="24"/>
        </w:rPr>
        <w:t>(No. 2</w:t>
      </w:r>
      <w:bookmarkStart w:id="0" w:name="_GoBack"/>
      <w:bookmarkEnd w:id="0"/>
      <w:r w:rsidR="00194875" w:rsidRPr="00CF0656">
        <w:rPr>
          <w:i/>
          <w:color w:val="000000" w:themeColor="text1"/>
          <w:szCs w:val="24"/>
        </w:rPr>
        <w:t>)</w:t>
      </w:r>
      <w:r w:rsidR="00D1292D">
        <w:rPr>
          <w:color w:val="000000" w:themeColor="text1"/>
          <w:szCs w:val="24"/>
        </w:rPr>
        <w:t>.</w:t>
      </w:r>
    </w:p>
    <w:p w:rsidR="00194875" w:rsidRPr="00CF0656" w:rsidRDefault="00194875" w:rsidP="002D7461">
      <w:pPr>
        <w:spacing w:before="0"/>
        <w:rPr>
          <w:color w:val="000000" w:themeColor="text1"/>
          <w:szCs w:val="24"/>
        </w:rPr>
      </w:pPr>
    </w:p>
    <w:p w:rsidR="00194875" w:rsidRPr="00CF0656" w:rsidRDefault="00194875" w:rsidP="002D7461">
      <w:pPr>
        <w:spacing w:before="0"/>
        <w:rPr>
          <w:color w:val="000000" w:themeColor="text1"/>
          <w:szCs w:val="24"/>
          <w:u w:val="single"/>
        </w:rPr>
      </w:pPr>
      <w:r w:rsidRPr="00CF0656">
        <w:rPr>
          <w:color w:val="000000" w:themeColor="text1"/>
          <w:szCs w:val="24"/>
          <w:u w:val="single"/>
        </w:rPr>
        <w:t xml:space="preserve">Section 2 – Commencement </w:t>
      </w:r>
    </w:p>
    <w:p w:rsidR="00194875" w:rsidRPr="00CF0656" w:rsidRDefault="00194875" w:rsidP="002D7461">
      <w:pPr>
        <w:spacing w:before="0"/>
        <w:rPr>
          <w:color w:val="000000" w:themeColor="text1"/>
          <w:szCs w:val="24"/>
        </w:rPr>
      </w:pPr>
    </w:p>
    <w:p w:rsidR="00194875" w:rsidRPr="00CF0656" w:rsidRDefault="00194875" w:rsidP="002D7461">
      <w:pPr>
        <w:spacing w:before="0"/>
        <w:rPr>
          <w:color w:val="000000" w:themeColor="text1"/>
          <w:szCs w:val="24"/>
        </w:rPr>
      </w:pPr>
      <w:r w:rsidRPr="00CF0656">
        <w:rPr>
          <w:color w:val="000000" w:themeColor="text1"/>
          <w:szCs w:val="24"/>
        </w:rPr>
        <w:t xml:space="preserve">This section provides that the </w:t>
      </w:r>
      <w:r w:rsidR="005305E9" w:rsidRPr="00D77537">
        <w:rPr>
          <w:color w:val="000000" w:themeColor="text1"/>
          <w:szCs w:val="24"/>
        </w:rPr>
        <w:t>amendment</w:t>
      </w:r>
      <w:r w:rsidR="00557DDA">
        <w:rPr>
          <w:color w:val="000000" w:themeColor="text1"/>
          <w:szCs w:val="24"/>
        </w:rPr>
        <w:t>s</w:t>
      </w:r>
      <w:r w:rsidR="005305E9" w:rsidRPr="00D77537">
        <w:rPr>
          <w:color w:val="000000" w:themeColor="text1"/>
          <w:szCs w:val="24"/>
        </w:rPr>
        <w:t xml:space="preserve"> </w:t>
      </w:r>
      <w:r w:rsidR="005305E9" w:rsidRPr="006063C1">
        <w:rPr>
          <w:color w:val="000000" w:themeColor="text1"/>
          <w:szCs w:val="24"/>
        </w:rPr>
        <w:t xml:space="preserve">commence on </w:t>
      </w:r>
      <w:r w:rsidR="00ED3246" w:rsidRPr="006063C1">
        <w:rPr>
          <w:color w:val="000000" w:themeColor="text1"/>
          <w:szCs w:val="24"/>
        </w:rPr>
        <w:t>the day after the Regulation is registered on the Federal Register of Legislative Instruments</w:t>
      </w:r>
      <w:r w:rsidR="00D77537" w:rsidRPr="006063C1">
        <w:rPr>
          <w:color w:val="000000" w:themeColor="text1"/>
          <w:szCs w:val="24"/>
        </w:rPr>
        <w:t xml:space="preserve">.  </w:t>
      </w:r>
    </w:p>
    <w:p w:rsidR="00194875" w:rsidRPr="00CF0656" w:rsidRDefault="00194875" w:rsidP="002D7461">
      <w:pPr>
        <w:spacing w:before="0"/>
        <w:rPr>
          <w:color w:val="000000" w:themeColor="text1"/>
          <w:szCs w:val="24"/>
        </w:rPr>
      </w:pPr>
    </w:p>
    <w:p w:rsidR="00194875" w:rsidRPr="00CF0656" w:rsidRDefault="00194875" w:rsidP="002D7461">
      <w:pPr>
        <w:spacing w:before="0"/>
        <w:rPr>
          <w:i/>
          <w:color w:val="000000" w:themeColor="text1"/>
          <w:szCs w:val="24"/>
          <w:u w:val="single"/>
        </w:rPr>
      </w:pPr>
      <w:r w:rsidRPr="00CF0656">
        <w:rPr>
          <w:color w:val="000000" w:themeColor="text1"/>
          <w:szCs w:val="24"/>
          <w:u w:val="single"/>
        </w:rPr>
        <w:t xml:space="preserve">Section 3 – </w:t>
      </w:r>
      <w:r>
        <w:rPr>
          <w:color w:val="000000" w:themeColor="text1"/>
          <w:szCs w:val="24"/>
          <w:u w:val="single"/>
        </w:rPr>
        <w:t>Authority</w:t>
      </w:r>
      <w:r w:rsidRPr="00CF0656">
        <w:rPr>
          <w:i/>
          <w:color w:val="000000" w:themeColor="text1"/>
          <w:szCs w:val="24"/>
          <w:u w:val="single"/>
        </w:rPr>
        <w:t xml:space="preserve"> </w:t>
      </w:r>
    </w:p>
    <w:p w:rsidR="00194875" w:rsidRPr="00CF0656" w:rsidRDefault="00194875" w:rsidP="002D7461">
      <w:pPr>
        <w:spacing w:before="0"/>
        <w:rPr>
          <w:color w:val="000000" w:themeColor="text1"/>
          <w:szCs w:val="24"/>
        </w:rPr>
      </w:pPr>
    </w:p>
    <w:p w:rsidR="00194875" w:rsidRDefault="00194875" w:rsidP="002D7461">
      <w:pPr>
        <w:spacing w:before="0"/>
        <w:rPr>
          <w:color w:val="000000" w:themeColor="text1"/>
          <w:szCs w:val="24"/>
        </w:rPr>
      </w:pPr>
      <w:r w:rsidRPr="00CF0656">
        <w:rPr>
          <w:color w:val="000000" w:themeColor="text1"/>
          <w:szCs w:val="24"/>
        </w:rPr>
        <w:t xml:space="preserve">This section provides that </w:t>
      </w:r>
      <w:r>
        <w:rPr>
          <w:color w:val="000000" w:themeColor="text1"/>
          <w:szCs w:val="24"/>
        </w:rPr>
        <w:t xml:space="preserve">the Regulation </w:t>
      </w:r>
      <w:r w:rsidR="00F20C6A">
        <w:rPr>
          <w:color w:val="000000" w:themeColor="text1"/>
          <w:szCs w:val="24"/>
        </w:rPr>
        <w:t>is</w:t>
      </w:r>
      <w:r>
        <w:rPr>
          <w:color w:val="000000" w:themeColor="text1"/>
          <w:szCs w:val="24"/>
        </w:rPr>
        <w:t xml:space="preserve"> made under </w:t>
      </w:r>
      <w:r w:rsidR="00856AFE" w:rsidRPr="00CF0656">
        <w:rPr>
          <w:color w:val="000000" w:themeColor="text1"/>
          <w:szCs w:val="24"/>
        </w:rPr>
        <w:t xml:space="preserve">section 65 of the </w:t>
      </w:r>
      <w:r w:rsidR="00856AFE" w:rsidRPr="00CF0656">
        <w:rPr>
          <w:i/>
          <w:color w:val="000000" w:themeColor="text1"/>
          <w:szCs w:val="24"/>
        </w:rPr>
        <w:t>Financial Management and Accountability Act 1997</w:t>
      </w:r>
      <w:r w:rsidR="00856AFE" w:rsidRPr="00CF0656">
        <w:rPr>
          <w:color w:val="000000" w:themeColor="text1"/>
          <w:szCs w:val="24"/>
        </w:rPr>
        <w:t xml:space="preserve"> (the FMA Act).</w:t>
      </w:r>
    </w:p>
    <w:p w:rsidR="00194875" w:rsidRPr="00CF0656" w:rsidRDefault="00194875" w:rsidP="002D7461">
      <w:pPr>
        <w:spacing w:before="0"/>
        <w:rPr>
          <w:color w:val="000000" w:themeColor="text1"/>
          <w:szCs w:val="24"/>
        </w:rPr>
      </w:pPr>
    </w:p>
    <w:p w:rsidR="00194875" w:rsidRPr="00FB5F18" w:rsidRDefault="00194875" w:rsidP="002D7461">
      <w:pPr>
        <w:spacing w:before="0"/>
        <w:rPr>
          <w:color w:val="000000" w:themeColor="text1"/>
          <w:szCs w:val="24"/>
          <w:u w:val="single"/>
        </w:rPr>
      </w:pPr>
      <w:r w:rsidRPr="00CF0656">
        <w:rPr>
          <w:color w:val="000000" w:themeColor="text1"/>
          <w:szCs w:val="24"/>
          <w:u w:val="single"/>
        </w:rPr>
        <w:t>Section </w:t>
      </w:r>
      <w:r w:rsidR="00832AA9">
        <w:rPr>
          <w:color w:val="000000" w:themeColor="text1"/>
          <w:szCs w:val="24"/>
          <w:u w:val="single"/>
        </w:rPr>
        <w:t>4</w:t>
      </w:r>
      <w:r w:rsidRPr="00CF0656">
        <w:rPr>
          <w:color w:val="000000" w:themeColor="text1"/>
          <w:szCs w:val="24"/>
          <w:u w:val="single"/>
        </w:rPr>
        <w:t xml:space="preserve"> – </w:t>
      </w:r>
      <w:r>
        <w:rPr>
          <w:color w:val="000000" w:themeColor="text1"/>
          <w:szCs w:val="24"/>
          <w:u w:val="single"/>
        </w:rPr>
        <w:t>Schedule(s)</w:t>
      </w:r>
      <w:r w:rsidRPr="00CF0656">
        <w:rPr>
          <w:i/>
          <w:color w:val="000000" w:themeColor="text1"/>
          <w:szCs w:val="24"/>
          <w:u w:val="single"/>
        </w:rPr>
        <w:t xml:space="preserve"> </w:t>
      </w:r>
    </w:p>
    <w:p w:rsidR="00194875" w:rsidRPr="00CF0656" w:rsidRDefault="00194875" w:rsidP="002D7461">
      <w:pPr>
        <w:spacing w:before="0"/>
        <w:rPr>
          <w:color w:val="000000" w:themeColor="text1"/>
          <w:szCs w:val="24"/>
        </w:rPr>
      </w:pPr>
    </w:p>
    <w:p w:rsidR="00194875" w:rsidRPr="00CF0656" w:rsidRDefault="00194875" w:rsidP="002D7461">
      <w:pPr>
        <w:spacing w:before="0"/>
        <w:rPr>
          <w:color w:val="000000" w:themeColor="text1"/>
          <w:szCs w:val="24"/>
        </w:rPr>
      </w:pPr>
      <w:r w:rsidRPr="00CF0656">
        <w:rPr>
          <w:color w:val="000000" w:themeColor="text1"/>
          <w:szCs w:val="24"/>
        </w:rPr>
        <w:t xml:space="preserve">This section provides that the </w:t>
      </w:r>
      <w:r w:rsidR="006063C1" w:rsidRPr="00CF0656">
        <w:rPr>
          <w:i/>
          <w:color w:val="000000" w:themeColor="text1"/>
          <w:szCs w:val="24"/>
        </w:rPr>
        <w:t>Financial Management and Accountability Regulations 1997</w:t>
      </w:r>
      <w:r w:rsidR="006063C1" w:rsidRPr="00CF0656">
        <w:rPr>
          <w:color w:val="000000" w:themeColor="text1"/>
          <w:szCs w:val="24"/>
        </w:rPr>
        <w:t xml:space="preserve"> (the Principal Regulations)</w:t>
      </w:r>
      <w:r w:rsidR="006063C1">
        <w:rPr>
          <w:color w:val="000000" w:themeColor="text1"/>
          <w:szCs w:val="24"/>
        </w:rPr>
        <w:t xml:space="preserve"> </w:t>
      </w:r>
      <w:r w:rsidR="00F20C6A">
        <w:rPr>
          <w:color w:val="000000" w:themeColor="text1"/>
          <w:szCs w:val="24"/>
        </w:rPr>
        <w:t>is</w:t>
      </w:r>
      <w:r w:rsidRPr="00CF0656">
        <w:rPr>
          <w:color w:val="000000" w:themeColor="text1"/>
          <w:szCs w:val="24"/>
        </w:rPr>
        <w:t xml:space="preserve"> amended as set out in </w:t>
      </w:r>
      <w:r w:rsidR="00F20C6A">
        <w:rPr>
          <w:color w:val="000000" w:themeColor="text1"/>
          <w:szCs w:val="24"/>
        </w:rPr>
        <w:t>Schedule </w:t>
      </w:r>
      <w:r w:rsidRPr="006063C1">
        <w:rPr>
          <w:color w:val="000000" w:themeColor="text1"/>
          <w:szCs w:val="24"/>
        </w:rPr>
        <w:t>1</w:t>
      </w:r>
      <w:r w:rsidR="002D7461">
        <w:rPr>
          <w:color w:val="000000" w:themeColor="text1"/>
          <w:szCs w:val="24"/>
        </w:rPr>
        <w:t xml:space="preserve"> </w:t>
      </w:r>
      <w:r w:rsidR="004C6AA7">
        <w:rPr>
          <w:color w:val="000000" w:themeColor="text1"/>
          <w:szCs w:val="24"/>
        </w:rPr>
        <w:t>t</w:t>
      </w:r>
      <w:r w:rsidRPr="006063C1">
        <w:rPr>
          <w:color w:val="000000" w:themeColor="text1"/>
          <w:szCs w:val="24"/>
        </w:rPr>
        <w:t>o the</w:t>
      </w:r>
      <w:r>
        <w:rPr>
          <w:color w:val="000000" w:themeColor="text1"/>
          <w:szCs w:val="24"/>
        </w:rPr>
        <w:t xml:space="preserve"> Regulation</w:t>
      </w:r>
      <w:r w:rsidRPr="00CF0656">
        <w:rPr>
          <w:color w:val="000000" w:themeColor="text1"/>
          <w:szCs w:val="24"/>
        </w:rPr>
        <w:t>.</w:t>
      </w:r>
    </w:p>
    <w:p w:rsidR="00194875" w:rsidRPr="00CF0656" w:rsidRDefault="00194875" w:rsidP="002D7461">
      <w:pPr>
        <w:spacing w:before="0"/>
        <w:rPr>
          <w:color w:val="000000" w:themeColor="text1"/>
          <w:szCs w:val="24"/>
        </w:rPr>
      </w:pPr>
    </w:p>
    <w:p w:rsidR="002C3854" w:rsidRPr="00CF0656" w:rsidRDefault="002C3854" w:rsidP="002D7461">
      <w:pPr>
        <w:spacing w:before="0"/>
        <w:rPr>
          <w:color w:val="000000" w:themeColor="text1"/>
          <w:szCs w:val="24"/>
          <w:u w:val="single"/>
        </w:rPr>
      </w:pPr>
      <w:r w:rsidRPr="006063C1">
        <w:rPr>
          <w:color w:val="000000" w:themeColor="text1"/>
          <w:szCs w:val="24"/>
          <w:u w:val="single"/>
        </w:rPr>
        <w:t xml:space="preserve">Schedule </w:t>
      </w:r>
      <w:r w:rsidR="006063C1" w:rsidRPr="006063C1">
        <w:rPr>
          <w:color w:val="000000" w:themeColor="text1"/>
          <w:szCs w:val="24"/>
          <w:u w:val="single"/>
        </w:rPr>
        <w:t>1</w:t>
      </w:r>
      <w:r w:rsidRPr="006063C1">
        <w:rPr>
          <w:color w:val="000000" w:themeColor="text1"/>
          <w:szCs w:val="24"/>
          <w:u w:val="single"/>
        </w:rPr>
        <w:t xml:space="preserve"> – Amendments commencing on day after registration</w:t>
      </w:r>
    </w:p>
    <w:p w:rsidR="002D7461" w:rsidRDefault="002D7461" w:rsidP="002D7461">
      <w:pPr>
        <w:spacing w:before="0"/>
        <w:rPr>
          <w:b/>
          <w:color w:val="000000" w:themeColor="text1"/>
        </w:rPr>
      </w:pPr>
    </w:p>
    <w:p w:rsidR="00194875" w:rsidRPr="00CF0656" w:rsidRDefault="00194875" w:rsidP="002D7461">
      <w:pPr>
        <w:spacing w:before="0"/>
        <w:rPr>
          <w:b/>
          <w:color w:val="000000" w:themeColor="text1"/>
        </w:rPr>
      </w:pPr>
      <w:r w:rsidRPr="00CF0656">
        <w:rPr>
          <w:b/>
          <w:color w:val="000000" w:themeColor="text1"/>
        </w:rPr>
        <w:t>Item [</w:t>
      </w:r>
      <w:r w:rsidR="006063C1">
        <w:rPr>
          <w:b/>
          <w:color w:val="000000" w:themeColor="text1"/>
        </w:rPr>
        <w:t>1</w:t>
      </w:r>
      <w:r w:rsidRPr="00CF0656">
        <w:rPr>
          <w:b/>
          <w:color w:val="000000" w:themeColor="text1"/>
        </w:rPr>
        <w:t xml:space="preserve">] – </w:t>
      </w:r>
      <w:r w:rsidR="00292C81">
        <w:rPr>
          <w:b/>
          <w:color w:val="000000" w:themeColor="text1"/>
        </w:rPr>
        <w:t xml:space="preserve">Table </w:t>
      </w:r>
      <w:r w:rsidR="006063C1" w:rsidRPr="006063C1">
        <w:rPr>
          <w:b/>
          <w:bCs/>
          <w:color w:val="000000" w:themeColor="text1"/>
        </w:rPr>
        <w:t>Item 1</w:t>
      </w:r>
      <w:r w:rsidR="001302BA">
        <w:rPr>
          <w:b/>
          <w:bCs/>
          <w:color w:val="000000" w:themeColor="text1"/>
        </w:rPr>
        <w:t>41 of Schedule 1</w:t>
      </w:r>
    </w:p>
    <w:p w:rsidR="002D7461" w:rsidRDefault="002D7461" w:rsidP="002D7461">
      <w:pPr>
        <w:spacing w:before="0"/>
        <w:ind w:right="91"/>
      </w:pPr>
    </w:p>
    <w:p w:rsidR="002D7461" w:rsidRDefault="002D7461" w:rsidP="002D7461">
      <w:pPr>
        <w:spacing w:before="0"/>
        <w:ind w:right="91"/>
        <w:rPr>
          <w:szCs w:val="24"/>
        </w:rPr>
      </w:pPr>
      <w:r w:rsidRPr="00CF0656">
        <w:t xml:space="preserve">The </w:t>
      </w:r>
      <w:r w:rsidRPr="00CF0656">
        <w:rPr>
          <w:i/>
        </w:rPr>
        <w:t>Financial Management and Accountability Act 1997</w:t>
      </w:r>
      <w:r w:rsidRPr="00CF0656">
        <w:t xml:space="preserve"> (the FMA Act) </w:t>
      </w:r>
      <w:r w:rsidRPr="00CF0656">
        <w:rPr>
          <w:szCs w:val="24"/>
        </w:rPr>
        <w:t>provides a framework of rules for the proper management of public money and public property by Chief Executives and officials of FMA Act agencies.  The FMA Act applies to Commonwealth Departments of State and their staff, parliamentary departments and their staff, and prescribed agencies.</w:t>
      </w:r>
    </w:p>
    <w:p w:rsidR="002D7461" w:rsidRDefault="002D7461" w:rsidP="002D7461">
      <w:pPr>
        <w:spacing w:before="0"/>
        <w:ind w:right="91"/>
      </w:pPr>
    </w:p>
    <w:p w:rsidR="00FB51B7" w:rsidRDefault="00FB51B7" w:rsidP="002D74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color w:val="000000" w:themeColor="text1"/>
        </w:rPr>
      </w:pPr>
      <w:r w:rsidRPr="00FB51B7">
        <w:rPr>
          <w:color w:val="000000" w:themeColor="text1"/>
        </w:rPr>
        <w:t xml:space="preserve">Section 5 of the FMA Act provides that, for the purposes of the FMA Act, a prescribed agency means a body, organisation or group of persons prescribed by the regulations for the purposes of that definition.  Agencies are prescribed in Schedule 1 to the </w:t>
      </w:r>
      <w:r>
        <w:rPr>
          <w:color w:val="000000" w:themeColor="text1"/>
        </w:rPr>
        <w:t>Principal Regulations</w:t>
      </w:r>
      <w:r w:rsidRPr="00FB51B7">
        <w:rPr>
          <w:color w:val="000000" w:themeColor="text1"/>
        </w:rPr>
        <w:t>.</w:t>
      </w:r>
    </w:p>
    <w:p w:rsidR="002D7461" w:rsidRPr="00FB51B7" w:rsidRDefault="002D7461" w:rsidP="002D74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color w:val="000000" w:themeColor="text1"/>
        </w:rPr>
      </w:pPr>
    </w:p>
    <w:p w:rsidR="00A94B09" w:rsidRDefault="00194875" w:rsidP="002D74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 w:rsidRPr="00CF0656">
        <w:rPr>
          <w:color w:val="000000" w:themeColor="text1"/>
        </w:rPr>
        <w:t>This item amend</w:t>
      </w:r>
      <w:r w:rsidR="00F20C6A">
        <w:rPr>
          <w:color w:val="000000" w:themeColor="text1"/>
        </w:rPr>
        <w:t>s</w:t>
      </w:r>
      <w:r w:rsidRPr="00CF0656">
        <w:rPr>
          <w:color w:val="000000" w:themeColor="text1"/>
        </w:rPr>
        <w:t xml:space="preserve"> </w:t>
      </w:r>
      <w:r w:rsidR="0020020D" w:rsidRPr="00CF0656">
        <w:rPr>
          <w:color w:val="000000" w:themeColor="text1"/>
        </w:rPr>
        <w:t>item</w:t>
      </w:r>
      <w:r w:rsidR="004336B9">
        <w:rPr>
          <w:color w:val="000000" w:themeColor="text1"/>
        </w:rPr>
        <w:t> </w:t>
      </w:r>
      <w:r w:rsidR="0020020D" w:rsidRPr="00CF0656">
        <w:rPr>
          <w:color w:val="000000" w:themeColor="text1"/>
        </w:rPr>
        <w:t>1</w:t>
      </w:r>
      <w:r w:rsidR="0020020D">
        <w:rPr>
          <w:color w:val="000000" w:themeColor="text1"/>
        </w:rPr>
        <w:t>4</w:t>
      </w:r>
      <w:r w:rsidR="0020020D" w:rsidRPr="00CF0656">
        <w:rPr>
          <w:color w:val="000000" w:themeColor="text1"/>
        </w:rPr>
        <w:t>1</w:t>
      </w:r>
      <w:r w:rsidR="0020020D">
        <w:rPr>
          <w:color w:val="000000" w:themeColor="text1"/>
        </w:rPr>
        <w:t xml:space="preserve"> of </w:t>
      </w:r>
      <w:r w:rsidRPr="00CF0656">
        <w:rPr>
          <w:color w:val="000000" w:themeColor="text1"/>
        </w:rPr>
        <w:t>Schedule</w:t>
      </w:r>
      <w:r w:rsidR="001302BA">
        <w:rPr>
          <w:color w:val="000000" w:themeColor="text1"/>
        </w:rPr>
        <w:t> </w:t>
      </w:r>
      <w:r w:rsidRPr="00CF0656">
        <w:rPr>
          <w:color w:val="000000" w:themeColor="text1"/>
        </w:rPr>
        <w:t>1</w:t>
      </w:r>
      <w:r w:rsidR="006063C1">
        <w:rPr>
          <w:color w:val="000000" w:themeColor="text1"/>
        </w:rPr>
        <w:t xml:space="preserve"> </w:t>
      </w:r>
      <w:r w:rsidR="004C6AA7">
        <w:rPr>
          <w:color w:val="000000" w:themeColor="text1"/>
        </w:rPr>
        <w:t>t</w:t>
      </w:r>
      <w:r w:rsidRPr="00CF0656">
        <w:rPr>
          <w:color w:val="000000" w:themeColor="text1"/>
        </w:rPr>
        <w:t xml:space="preserve">o the Principal Regulations </w:t>
      </w:r>
      <w:r w:rsidR="0020020D">
        <w:rPr>
          <w:color w:val="000000" w:themeColor="text1"/>
        </w:rPr>
        <w:t>to</w:t>
      </w:r>
      <w:r w:rsidR="0020020D" w:rsidRPr="00CF0656">
        <w:rPr>
          <w:color w:val="000000" w:themeColor="text1"/>
        </w:rPr>
        <w:t xml:space="preserve"> </w:t>
      </w:r>
      <w:r w:rsidR="0020020D">
        <w:rPr>
          <w:color w:val="000000" w:themeColor="text1"/>
        </w:rPr>
        <w:t>rename</w:t>
      </w:r>
      <w:r w:rsidR="0020020D" w:rsidRPr="00CF0656">
        <w:rPr>
          <w:color w:val="000000" w:themeColor="text1"/>
        </w:rPr>
        <w:t xml:space="preserve"> </w:t>
      </w:r>
      <w:r w:rsidR="009E0F86">
        <w:rPr>
          <w:color w:val="000000" w:themeColor="text1"/>
        </w:rPr>
        <w:t>Fair </w:t>
      </w:r>
      <w:r w:rsidR="001302BA">
        <w:rPr>
          <w:color w:val="000000" w:themeColor="text1"/>
        </w:rPr>
        <w:t>Work Australia</w:t>
      </w:r>
      <w:r w:rsidRPr="00CF0656">
        <w:rPr>
          <w:color w:val="000000" w:themeColor="text1"/>
        </w:rPr>
        <w:t xml:space="preserve"> </w:t>
      </w:r>
      <w:r w:rsidR="001302BA">
        <w:rPr>
          <w:color w:val="000000" w:themeColor="text1"/>
        </w:rPr>
        <w:t xml:space="preserve">as </w:t>
      </w:r>
      <w:r w:rsidR="002D7461">
        <w:rPr>
          <w:color w:val="000000" w:themeColor="text1"/>
        </w:rPr>
        <w:t xml:space="preserve">the </w:t>
      </w:r>
      <w:r w:rsidR="001302BA">
        <w:rPr>
          <w:color w:val="000000" w:themeColor="text1"/>
        </w:rPr>
        <w:t>Fair Work Commission</w:t>
      </w:r>
      <w:r w:rsidR="009F5D92">
        <w:rPr>
          <w:color w:val="000000" w:themeColor="text1"/>
        </w:rPr>
        <w:t xml:space="preserve"> to </w:t>
      </w:r>
      <w:r w:rsidR="0020020D">
        <w:rPr>
          <w:color w:val="000000" w:themeColor="text1"/>
        </w:rPr>
        <w:t>reflect</w:t>
      </w:r>
      <w:r w:rsidR="009F5D92">
        <w:rPr>
          <w:color w:val="000000" w:themeColor="text1"/>
        </w:rPr>
        <w:t xml:space="preserve"> reforms </w:t>
      </w:r>
      <w:r w:rsidR="00A94B09">
        <w:rPr>
          <w:color w:val="000000" w:themeColor="text1"/>
        </w:rPr>
        <w:t xml:space="preserve">made by the </w:t>
      </w:r>
      <w:r w:rsidR="00A94B09" w:rsidRPr="00CD4103">
        <w:rPr>
          <w:i/>
        </w:rPr>
        <w:t>Fair Work Amendment Act 2012</w:t>
      </w:r>
      <w:r w:rsidR="00A94B09">
        <w:rPr>
          <w:i/>
        </w:rPr>
        <w:t xml:space="preserve"> </w:t>
      </w:r>
      <w:r w:rsidR="00A94B09" w:rsidRPr="00A94B09">
        <w:t>to the</w:t>
      </w:r>
      <w:r w:rsidR="00A94B09">
        <w:rPr>
          <w:i/>
        </w:rPr>
        <w:t xml:space="preserve"> Fair Work Act 2009</w:t>
      </w:r>
      <w:r w:rsidR="00A94B09">
        <w:t xml:space="preserve">. </w:t>
      </w:r>
    </w:p>
    <w:p w:rsidR="002D7461" w:rsidRDefault="002D7461" w:rsidP="002D74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p>
    <w:p w:rsidR="00F20C6A" w:rsidRDefault="00F20C6A" w:rsidP="002D74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
        <w:t xml:space="preserve">The change of name to </w:t>
      </w:r>
      <w:r w:rsidR="002D7461">
        <w:t xml:space="preserve">the </w:t>
      </w:r>
      <w:r>
        <w:t xml:space="preserve">Fair Work Commission arose from the recommendations in relation to the review of the </w:t>
      </w:r>
      <w:r>
        <w:rPr>
          <w:i/>
        </w:rPr>
        <w:t xml:space="preserve">Fair Work Act 2009 </w:t>
      </w:r>
      <w:r>
        <w:t xml:space="preserve">published in June 2012, </w:t>
      </w:r>
      <w:r>
        <w:rPr>
          <w:i/>
        </w:rPr>
        <w:t>Towards more productive and equitable workplaces: An evaluation of the fair work legislation.</w:t>
      </w:r>
      <w:r w:rsidRPr="00CD4103">
        <w:t xml:space="preserve"> </w:t>
      </w:r>
    </w:p>
    <w:p w:rsidR="002D7461" w:rsidRPr="009F5D92" w:rsidRDefault="002D7461" w:rsidP="002D74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color w:val="000000" w:themeColor="text1"/>
        </w:rPr>
      </w:pPr>
    </w:p>
    <w:p w:rsidR="002D7461" w:rsidRDefault="002D7461">
      <w:pPr>
        <w:spacing w:before="0" w:after="200" w:line="276" w:lineRule="auto"/>
        <w:rPr>
          <w:b/>
          <w:color w:val="000000" w:themeColor="text1"/>
        </w:rPr>
      </w:pPr>
      <w:r>
        <w:rPr>
          <w:b/>
          <w:color w:val="000000" w:themeColor="text1"/>
        </w:rPr>
        <w:br w:type="page"/>
      </w:r>
    </w:p>
    <w:p w:rsidR="003C333E" w:rsidRPr="00CF0656" w:rsidRDefault="003C333E" w:rsidP="002D7461">
      <w:pPr>
        <w:spacing w:before="0"/>
        <w:rPr>
          <w:b/>
          <w:color w:val="000000" w:themeColor="text1"/>
        </w:rPr>
      </w:pPr>
      <w:r w:rsidRPr="00CF0656">
        <w:rPr>
          <w:b/>
          <w:color w:val="000000" w:themeColor="text1"/>
        </w:rPr>
        <w:lastRenderedPageBreak/>
        <w:t>Item</w:t>
      </w:r>
      <w:r w:rsidR="007C274A">
        <w:rPr>
          <w:b/>
          <w:color w:val="000000" w:themeColor="text1"/>
        </w:rPr>
        <w:t>s</w:t>
      </w:r>
      <w:r w:rsidRPr="00CF0656">
        <w:rPr>
          <w:b/>
          <w:color w:val="000000" w:themeColor="text1"/>
        </w:rPr>
        <w:t xml:space="preserve"> [</w:t>
      </w:r>
      <w:r w:rsidR="002265C0">
        <w:rPr>
          <w:b/>
          <w:color w:val="000000" w:themeColor="text1"/>
        </w:rPr>
        <w:t>2</w:t>
      </w:r>
      <w:r w:rsidRPr="00CF0656">
        <w:rPr>
          <w:b/>
          <w:color w:val="000000" w:themeColor="text1"/>
        </w:rPr>
        <w:t xml:space="preserve">] </w:t>
      </w:r>
      <w:r w:rsidR="007C274A">
        <w:rPr>
          <w:b/>
          <w:color w:val="000000" w:themeColor="text1"/>
        </w:rPr>
        <w:t xml:space="preserve">and [3] </w:t>
      </w:r>
      <w:r w:rsidRPr="00CF0656">
        <w:rPr>
          <w:b/>
          <w:color w:val="000000" w:themeColor="text1"/>
        </w:rPr>
        <w:t xml:space="preserve">– </w:t>
      </w:r>
      <w:r w:rsidR="00B56B84">
        <w:rPr>
          <w:b/>
          <w:bCs/>
          <w:color w:val="000000"/>
        </w:rPr>
        <w:t>Schedule 1AA (</w:t>
      </w:r>
      <w:r w:rsidR="00292C81">
        <w:rPr>
          <w:b/>
          <w:bCs/>
          <w:color w:val="000000"/>
        </w:rPr>
        <w:t>Table I</w:t>
      </w:r>
      <w:r w:rsidRPr="00CF0656">
        <w:rPr>
          <w:b/>
          <w:bCs/>
          <w:color w:val="000000"/>
        </w:rPr>
        <w:t>tem 410.016</w:t>
      </w:r>
      <w:r w:rsidR="00B56B84">
        <w:rPr>
          <w:b/>
          <w:bCs/>
          <w:color w:val="000000"/>
        </w:rPr>
        <w:t>)</w:t>
      </w:r>
    </w:p>
    <w:p w:rsidR="00310055" w:rsidRDefault="00310055" w:rsidP="002D7461">
      <w:pPr>
        <w:spacing w:before="0"/>
        <w:ind w:right="-334"/>
        <w:rPr>
          <w:color w:val="000000" w:themeColor="text1"/>
          <w:szCs w:val="24"/>
        </w:rPr>
      </w:pPr>
    </w:p>
    <w:p w:rsidR="009F5D92" w:rsidRDefault="007C274A" w:rsidP="002D7461">
      <w:pPr>
        <w:spacing w:before="0"/>
        <w:ind w:right="-334"/>
      </w:pPr>
      <w:r>
        <w:rPr>
          <w:color w:val="000000" w:themeColor="text1"/>
          <w:szCs w:val="24"/>
        </w:rPr>
        <w:t xml:space="preserve">These </w:t>
      </w:r>
      <w:r w:rsidR="00310055">
        <w:rPr>
          <w:color w:val="000000" w:themeColor="text1"/>
          <w:szCs w:val="24"/>
        </w:rPr>
        <w:t>item</w:t>
      </w:r>
      <w:r>
        <w:rPr>
          <w:color w:val="000000" w:themeColor="text1"/>
          <w:szCs w:val="24"/>
        </w:rPr>
        <w:t>s</w:t>
      </w:r>
      <w:r w:rsidR="00310055">
        <w:rPr>
          <w:color w:val="000000" w:themeColor="text1"/>
          <w:szCs w:val="24"/>
        </w:rPr>
        <w:t xml:space="preserve"> make minor</w:t>
      </w:r>
      <w:r w:rsidR="00A71647">
        <w:rPr>
          <w:color w:val="000000" w:themeColor="text1"/>
          <w:szCs w:val="24"/>
        </w:rPr>
        <w:t xml:space="preserve"> amendment</w:t>
      </w:r>
      <w:r>
        <w:rPr>
          <w:color w:val="000000" w:themeColor="text1"/>
          <w:szCs w:val="24"/>
        </w:rPr>
        <w:t>s</w:t>
      </w:r>
      <w:r w:rsidR="00A71647">
        <w:rPr>
          <w:color w:val="000000" w:themeColor="text1"/>
          <w:szCs w:val="24"/>
        </w:rPr>
        <w:t xml:space="preserve"> to </w:t>
      </w:r>
      <w:r w:rsidR="00CD4103">
        <w:rPr>
          <w:color w:val="000000" w:themeColor="text1"/>
          <w:szCs w:val="24"/>
        </w:rPr>
        <w:t xml:space="preserve">a </w:t>
      </w:r>
      <w:r w:rsidR="00310055">
        <w:t>spending activity</w:t>
      </w:r>
      <w:r w:rsidR="002D7461">
        <w:t xml:space="preserve"> by the Department of Families, Housing, Community Services and Indigenous Affairs (FaHCSIA)</w:t>
      </w:r>
      <w:r w:rsidR="00310055">
        <w:t xml:space="preserve">, </w:t>
      </w:r>
      <w:r w:rsidR="009F5D92">
        <w:t>“</w:t>
      </w:r>
      <w:r w:rsidR="00310055">
        <w:t>Economic Development and Participation</w:t>
      </w:r>
      <w:r w:rsidR="009F5D92">
        <w:t>”</w:t>
      </w:r>
      <w:r w:rsidR="00310055">
        <w:t xml:space="preserve">, </w:t>
      </w:r>
      <w:r w:rsidR="00A71647" w:rsidRPr="0068613C">
        <w:t>in</w:t>
      </w:r>
      <w:r w:rsidR="00310055">
        <w:t xml:space="preserve"> item 410.016 of Part 4 of</w:t>
      </w:r>
      <w:r w:rsidR="009F5D92">
        <w:t xml:space="preserve"> Schedule 1AA</w:t>
      </w:r>
      <w:r>
        <w:t xml:space="preserve"> to the Principal Regulations to clarify the scope of that spending activity</w:t>
      </w:r>
      <w:r w:rsidR="00310055">
        <w:t xml:space="preserve">. </w:t>
      </w:r>
    </w:p>
    <w:p w:rsidR="009F5D92" w:rsidRDefault="009F5D92" w:rsidP="002D7461">
      <w:pPr>
        <w:spacing w:before="0"/>
        <w:ind w:right="-334"/>
      </w:pPr>
    </w:p>
    <w:p w:rsidR="0045206B" w:rsidRDefault="007C274A" w:rsidP="002D7461">
      <w:pPr>
        <w:spacing w:before="0"/>
        <w:ind w:right="-334"/>
      </w:pPr>
      <w:r>
        <w:t xml:space="preserve">The </w:t>
      </w:r>
      <w:r w:rsidR="00310055">
        <w:t>amendment</w:t>
      </w:r>
      <w:r>
        <w:t>s</w:t>
      </w:r>
      <w:r w:rsidR="00A71647" w:rsidRPr="0068613C">
        <w:t xml:space="preserve"> </w:t>
      </w:r>
      <w:r w:rsidR="00A71647">
        <w:t>would</w:t>
      </w:r>
      <w:r w:rsidR="00854030">
        <w:t xml:space="preserve"> </w:t>
      </w:r>
      <w:r w:rsidR="00310055">
        <w:t>clarify that the objective of this spending activity is to make payment</w:t>
      </w:r>
      <w:r w:rsidR="002D7461">
        <w:t>s</w:t>
      </w:r>
      <w:r w:rsidR="0045206B">
        <w:t xml:space="preserve"> through the Community Development Fund </w:t>
      </w:r>
      <w:r w:rsidR="00310055">
        <w:t xml:space="preserve">to </w:t>
      </w:r>
      <w:r w:rsidR="0045206B">
        <w:t>provide benefit</w:t>
      </w:r>
      <w:r w:rsidR="00505D60">
        <w:t>s</w:t>
      </w:r>
      <w:r w:rsidR="0045206B">
        <w:t xml:space="preserve"> to Indigenous people and support the creation of jobs and employment related participation opport</w:t>
      </w:r>
      <w:r w:rsidR="002D7461">
        <w:t>unities for Indigenous and non-I</w:t>
      </w:r>
      <w:r w:rsidR="0045206B">
        <w:t>ndigenous job seekers.</w:t>
      </w:r>
    </w:p>
    <w:p w:rsidR="003C333E" w:rsidRPr="00CF0656" w:rsidRDefault="003C333E" w:rsidP="002D7461">
      <w:pPr>
        <w:spacing w:before="0"/>
        <w:ind w:right="-334"/>
        <w:rPr>
          <w:color w:val="000000" w:themeColor="text1"/>
          <w:szCs w:val="24"/>
        </w:rPr>
      </w:pPr>
    </w:p>
    <w:p w:rsidR="00310055" w:rsidRPr="00310055" w:rsidRDefault="007C274A" w:rsidP="002D7461">
      <w:pPr>
        <w:pStyle w:val="paranumbering0"/>
        <w:spacing w:before="0" w:beforeAutospacing="0" w:after="0" w:afterAutospacing="0"/>
        <w:rPr>
          <w:color w:val="000000" w:themeColor="text1"/>
        </w:rPr>
      </w:pPr>
      <w:r>
        <w:rPr>
          <w:color w:val="000000" w:themeColor="text1"/>
        </w:rPr>
        <w:t>F</w:t>
      </w:r>
      <w:r w:rsidR="003C333E" w:rsidRPr="00CF0656">
        <w:rPr>
          <w:color w:val="000000" w:themeColor="text1"/>
        </w:rPr>
        <w:t>urther information about the Economic Development and Participation program</w:t>
      </w:r>
      <w:r>
        <w:rPr>
          <w:color w:val="000000" w:themeColor="text1"/>
        </w:rPr>
        <w:t xml:space="preserve"> is at</w:t>
      </w:r>
      <w:r w:rsidR="003C333E" w:rsidRPr="00CF0656">
        <w:rPr>
          <w:color w:val="000000" w:themeColor="text1"/>
        </w:rPr>
        <w:t xml:space="preserve"> page</w:t>
      </w:r>
      <w:r>
        <w:rPr>
          <w:color w:val="000000" w:themeColor="text1"/>
        </w:rPr>
        <w:t>s </w:t>
      </w:r>
      <w:r w:rsidR="002D7461">
        <w:rPr>
          <w:color w:val="000000" w:themeColor="text1"/>
        </w:rPr>
        <w:t xml:space="preserve">213 to </w:t>
      </w:r>
      <w:r w:rsidR="003C333E" w:rsidRPr="00CF0656">
        <w:rPr>
          <w:color w:val="000000" w:themeColor="text1"/>
        </w:rPr>
        <w:t xml:space="preserve">214 of </w:t>
      </w:r>
      <w:r w:rsidR="002D7461">
        <w:rPr>
          <w:color w:val="000000" w:themeColor="text1"/>
        </w:rPr>
        <w:t xml:space="preserve">the </w:t>
      </w:r>
      <w:r w:rsidR="003C333E" w:rsidRPr="00CF0656">
        <w:rPr>
          <w:i/>
          <w:color w:val="000000" w:themeColor="text1"/>
        </w:rPr>
        <w:t>2012-13</w:t>
      </w:r>
      <w:r w:rsidR="003C333E" w:rsidRPr="00CF0656">
        <w:rPr>
          <w:color w:val="000000" w:themeColor="text1"/>
        </w:rPr>
        <w:t xml:space="preserve"> </w:t>
      </w:r>
      <w:r w:rsidR="003C333E" w:rsidRPr="00CF0656">
        <w:rPr>
          <w:i/>
          <w:iCs/>
          <w:color w:val="000000" w:themeColor="text1"/>
        </w:rPr>
        <w:t>Mid-Year Economic and Fiscal Outlook</w:t>
      </w:r>
      <w:r w:rsidR="003C333E" w:rsidRPr="00CF0656">
        <w:rPr>
          <w:color w:val="000000" w:themeColor="text1"/>
        </w:rPr>
        <w:t>.</w:t>
      </w:r>
    </w:p>
    <w:p w:rsidR="00310055" w:rsidRPr="00CF0656" w:rsidRDefault="00310055" w:rsidP="002D7461">
      <w:pPr>
        <w:spacing w:before="0"/>
        <w:ind w:right="-334"/>
        <w:rPr>
          <w:color w:val="000000" w:themeColor="text1"/>
          <w:szCs w:val="24"/>
        </w:rPr>
      </w:pPr>
    </w:p>
    <w:p w:rsidR="003C333E" w:rsidRPr="00CF0656" w:rsidRDefault="003C333E" w:rsidP="002D7461">
      <w:pPr>
        <w:spacing w:before="0"/>
        <w:rPr>
          <w:b/>
          <w:color w:val="000000" w:themeColor="text1"/>
        </w:rPr>
      </w:pPr>
      <w:r w:rsidRPr="00CF0656">
        <w:rPr>
          <w:b/>
          <w:color w:val="000000" w:themeColor="text1"/>
        </w:rPr>
        <w:t>Item [</w:t>
      </w:r>
      <w:r w:rsidR="007C274A">
        <w:rPr>
          <w:b/>
          <w:color w:val="000000" w:themeColor="text1"/>
        </w:rPr>
        <w:t>4</w:t>
      </w:r>
      <w:r w:rsidRPr="00CF0656">
        <w:rPr>
          <w:b/>
          <w:color w:val="000000" w:themeColor="text1"/>
        </w:rPr>
        <w:t xml:space="preserve">] – </w:t>
      </w:r>
      <w:r w:rsidR="00B56B84">
        <w:rPr>
          <w:b/>
          <w:color w:val="000000" w:themeColor="text1"/>
        </w:rPr>
        <w:t xml:space="preserve">After </w:t>
      </w:r>
      <w:r w:rsidR="00292C81">
        <w:rPr>
          <w:b/>
          <w:color w:val="000000" w:themeColor="text1"/>
        </w:rPr>
        <w:t>Table I</w:t>
      </w:r>
      <w:r w:rsidR="00B56B84">
        <w:rPr>
          <w:b/>
          <w:color w:val="000000" w:themeColor="text1"/>
        </w:rPr>
        <w:t xml:space="preserve">tem </w:t>
      </w:r>
      <w:r w:rsidRPr="00CF0656">
        <w:rPr>
          <w:b/>
          <w:bCs/>
          <w:color w:val="000000"/>
        </w:rPr>
        <w:t>410.02</w:t>
      </w:r>
      <w:r w:rsidR="00B56B84">
        <w:rPr>
          <w:b/>
          <w:bCs/>
          <w:color w:val="000000"/>
        </w:rPr>
        <w:t>5 of Schedule 1AA</w:t>
      </w:r>
    </w:p>
    <w:p w:rsidR="003C333E" w:rsidRPr="00CF0656" w:rsidRDefault="003C333E" w:rsidP="002D7461">
      <w:pPr>
        <w:spacing w:before="0"/>
        <w:ind w:right="-334"/>
        <w:rPr>
          <w:color w:val="000000" w:themeColor="text1"/>
          <w:szCs w:val="24"/>
        </w:rPr>
      </w:pPr>
    </w:p>
    <w:p w:rsidR="004E587E" w:rsidRPr="00CF0656" w:rsidRDefault="004E587E" w:rsidP="002D7461">
      <w:pPr>
        <w:spacing w:before="0"/>
        <w:ind w:right="-334"/>
      </w:pPr>
      <w:r w:rsidRPr="00CF0656">
        <w:rPr>
          <w:color w:val="000000" w:themeColor="text1"/>
          <w:szCs w:val="24"/>
        </w:rPr>
        <w:t xml:space="preserve">This item would add a new program to </w:t>
      </w:r>
      <w:r>
        <w:rPr>
          <w:color w:val="000000" w:themeColor="text1"/>
          <w:szCs w:val="24"/>
        </w:rPr>
        <w:t xml:space="preserve">Part 4 of </w:t>
      </w:r>
      <w:r w:rsidRPr="00CF0656">
        <w:rPr>
          <w:color w:val="000000" w:themeColor="text1"/>
          <w:szCs w:val="24"/>
        </w:rPr>
        <w:t xml:space="preserve">Schedule 1AA </w:t>
      </w:r>
      <w:r>
        <w:rPr>
          <w:color w:val="000000" w:themeColor="text1"/>
          <w:szCs w:val="24"/>
        </w:rPr>
        <w:t>to establish</w:t>
      </w:r>
      <w:r w:rsidRPr="00CF0656">
        <w:rPr>
          <w:color w:val="000000" w:themeColor="text1"/>
          <w:szCs w:val="24"/>
        </w:rPr>
        <w:t xml:space="preserve"> legislative authority </w:t>
      </w:r>
      <w:r>
        <w:rPr>
          <w:color w:val="000000" w:themeColor="text1"/>
          <w:szCs w:val="24"/>
        </w:rPr>
        <w:t xml:space="preserve">for FaHCSIA </w:t>
      </w:r>
      <w:r w:rsidRPr="00CF0656">
        <w:rPr>
          <w:color w:val="000000" w:themeColor="text1"/>
          <w:szCs w:val="24"/>
        </w:rPr>
        <w:t xml:space="preserve">to make payments </w:t>
      </w:r>
      <w:r w:rsidR="00EF300D">
        <w:rPr>
          <w:color w:val="000000" w:themeColor="text1"/>
          <w:szCs w:val="24"/>
        </w:rPr>
        <w:t>from</w:t>
      </w:r>
      <w:r w:rsidRPr="00CF0656">
        <w:rPr>
          <w:color w:val="000000" w:themeColor="text1"/>
          <w:szCs w:val="24"/>
        </w:rPr>
        <w:t xml:space="preserve"> the Community </w:t>
      </w:r>
      <w:r w:rsidRPr="00CF0656">
        <w:t xml:space="preserve">Development Fund </w:t>
      </w:r>
      <w:r w:rsidR="002D7461">
        <w:t>(new </w:t>
      </w:r>
      <w:r>
        <w:t>item </w:t>
      </w:r>
      <w:r w:rsidRPr="00CF0656">
        <w:t>410.02</w:t>
      </w:r>
      <w:r>
        <w:t>6</w:t>
      </w:r>
      <w:r w:rsidRPr="00CF0656">
        <w:t>)</w:t>
      </w:r>
      <w:r>
        <w:t xml:space="preserve"> that has been established under the existing Remote Jobs and Communities Program </w:t>
      </w:r>
      <w:r w:rsidRPr="00CF0656">
        <w:rPr>
          <w:color w:val="000000" w:themeColor="text1"/>
          <w:szCs w:val="24"/>
        </w:rPr>
        <w:t xml:space="preserve">managed jointly </w:t>
      </w:r>
      <w:r>
        <w:rPr>
          <w:color w:val="000000" w:themeColor="text1"/>
          <w:szCs w:val="24"/>
        </w:rPr>
        <w:t xml:space="preserve">by FaHCSIA </w:t>
      </w:r>
      <w:r w:rsidRPr="00CF0656">
        <w:rPr>
          <w:color w:val="000000" w:themeColor="text1"/>
          <w:szCs w:val="24"/>
        </w:rPr>
        <w:t>and the Department of Education, Employment and Workpl</w:t>
      </w:r>
      <w:r>
        <w:rPr>
          <w:color w:val="000000" w:themeColor="text1"/>
          <w:szCs w:val="24"/>
        </w:rPr>
        <w:t>ace Relations</w:t>
      </w:r>
      <w:r w:rsidRPr="00CF0656">
        <w:t>.</w:t>
      </w:r>
    </w:p>
    <w:p w:rsidR="004E587E" w:rsidRPr="00CF0656" w:rsidRDefault="004E587E" w:rsidP="002D7461">
      <w:pPr>
        <w:spacing w:before="0"/>
        <w:ind w:right="-334"/>
      </w:pPr>
    </w:p>
    <w:p w:rsidR="00B81E05" w:rsidRDefault="00B81E05" w:rsidP="002D7461">
      <w:pPr>
        <w:spacing w:before="0"/>
        <w:ind w:right="-334"/>
      </w:pPr>
      <w:r w:rsidRPr="00CF0656">
        <w:t>Th</w:t>
      </w:r>
      <w:r>
        <w:t xml:space="preserve">e </w:t>
      </w:r>
      <w:r w:rsidRPr="00CF0656">
        <w:rPr>
          <w:color w:val="000000" w:themeColor="text1"/>
          <w:szCs w:val="24"/>
        </w:rPr>
        <w:t xml:space="preserve">Community </w:t>
      </w:r>
      <w:r w:rsidRPr="00CF0656">
        <w:t xml:space="preserve">Development </w:t>
      </w:r>
      <w:r>
        <w:t xml:space="preserve">Fund would </w:t>
      </w:r>
      <w:r w:rsidRPr="00CF0656">
        <w:t>provide funding of $237.5 millio</w:t>
      </w:r>
      <w:r w:rsidR="00292C81">
        <w:t>n over five </w:t>
      </w:r>
      <w:r w:rsidRPr="00CF0656">
        <w:t xml:space="preserve">years to support social and economic participation across the </w:t>
      </w:r>
      <w:r>
        <w:t xml:space="preserve">59 </w:t>
      </w:r>
      <w:r w:rsidRPr="00CF0656">
        <w:t>remote regions</w:t>
      </w:r>
      <w:r>
        <w:t xml:space="preserve"> of the Remote </w:t>
      </w:r>
      <w:r w:rsidR="00FB5F18">
        <w:t xml:space="preserve">Jobs and Communities Program.  </w:t>
      </w:r>
      <w:r w:rsidRPr="00976004">
        <w:t>The Community Development Fund would fund activities or services that provide benefit</w:t>
      </w:r>
      <w:r>
        <w:t>s</w:t>
      </w:r>
      <w:r w:rsidRPr="00976004">
        <w:t xml:space="preserve"> to Indigenous people and support the creation of jobs and employment related participation opportunities for Indigenous and non-Indigenous job seekers participating in Remote Jo</w:t>
      </w:r>
      <w:r w:rsidR="002D7461">
        <w:t>bs and Communities Program.  To </w:t>
      </w:r>
      <w:r w:rsidRPr="00976004">
        <w:t>do this, the Community Development Fund will fund activities or services that provide benefit</w:t>
      </w:r>
      <w:r>
        <w:t>s</w:t>
      </w:r>
      <w:r w:rsidRPr="00976004">
        <w:t xml:space="preserve"> to job seekers in the remote regions by creating employment opportunities and innovative approaches to recruiting, employing and retaining jobseekers, particularly for Indigenous people and Indigenous communities.</w:t>
      </w:r>
    </w:p>
    <w:p w:rsidR="00B81E05" w:rsidRDefault="00B81E05" w:rsidP="002D7461">
      <w:pPr>
        <w:spacing w:before="0"/>
        <w:ind w:right="-334"/>
      </w:pPr>
    </w:p>
    <w:p w:rsidR="004E587E" w:rsidRPr="00C71952" w:rsidRDefault="004E587E" w:rsidP="002D7461">
      <w:pPr>
        <w:spacing w:before="0"/>
        <w:ind w:right="-334"/>
      </w:pPr>
      <w:r w:rsidRPr="00C71952">
        <w:t>Allocations of funding w</w:t>
      </w:r>
      <w:r>
        <w:t>ould</w:t>
      </w:r>
      <w:r w:rsidRPr="00C71952">
        <w:t xml:space="preserve"> be decided according to an open selection process and </w:t>
      </w:r>
      <w:r>
        <w:t>would be</w:t>
      </w:r>
      <w:r w:rsidRPr="00C71952">
        <w:t xml:space="preserve"> open to a broad range of entities including community organisations, local Indigenous and non-Indigenous organisations, local government entities, social enterprises, </w:t>
      </w:r>
      <w:r>
        <w:t xml:space="preserve">and </w:t>
      </w:r>
      <w:r w:rsidRPr="00C71952">
        <w:t xml:space="preserve">large and small private sector and commercial enterprises. </w:t>
      </w:r>
    </w:p>
    <w:p w:rsidR="004E587E" w:rsidRPr="00C71952" w:rsidRDefault="004E587E" w:rsidP="002D7461">
      <w:pPr>
        <w:spacing w:before="0"/>
        <w:ind w:right="-334"/>
      </w:pPr>
    </w:p>
    <w:p w:rsidR="004E587E" w:rsidRDefault="004E587E" w:rsidP="002D7461">
      <w:pPr>
        <w:spacing w:before="0"/>
        <w:ind w:right="-334"/>
      </w:pPr>
      <w:r w:rsidRPr="002C372D">
        <w:t xml:space="preserve">The </w:t>
      </w:r>
      <w:r w:rsidR="00B74CF7" w:rsidRPr="00B74CF7">
        <w:t xml:space="preserve">Community Development </w:t>
      </w:r>
      <w:r w:rsidRPr="002C372D">
        <w:t xml:space="preserve">Guidelines </w:t>
      </w:r>
      <w:r w:rsidR="0045276E">
        <w:t xml:space="preserve">will </w:t>
      </w:r>
      <w:r>
        <w:t xml:space="preserve">establish </w:t>
      </w:r>
      <w:r w:rsidRPr="002C372D">
        <w:t>the following selection criteria</w:t>
      </w:r>
      <w:r>
        <w:t xml:space="preserve"> for </w:t>
      </w:r>
      <w:r w:rsidRPr="00CF0656">
        <w:rPr>
          <w:color w:val="000000" w:themeColor="text1"/>
          <w:szCs w:val="24"/>
        </w:rPr>
        <w:t xml:space="preserve">payments </w:t>
      </w:r>
      <w:r>
        <w:rPr>
          <w:color w:val="000000" w:themeColor="text1"/>
          <w:szCs w:val="24"/>
        </w:rPr>
        <w:t>from</w:t>
      </w:r>
      <w:r w:rsidRPr="00CF0656">
        <w:rPr>
          <w:color w:val="000000" w:themeColor="text1"/>
          <w:szCs w:val="24"/>
        </w:rPr>
        <w:t xml:space="preserve"> the Community </w:t>
      </w:r>
      <w:r w:rsidRPr="00CF0656">
        <w:t>Development Fund</w:t>
      </w:r>
      <w:r w:rsidRPr="002C372D">
        <w:t xml:space="preserve">: </w:t>
      </w:r>
    </w:p>
    <w:p w:rsidR="004E587E" w:rsidRDefault="004E587E" w:rsidP="002D7461">
      <w:pPr>
        <w:pStyle w:val="ListParagraph"/>
        <w:numPr>
          <w:ilvl w:val="0"/>
          <w:numId w:val="10"/>
        </w:numPr>
        <w:spacing w:after="0" w:line="240" w:lineRule="auto"/>
        <w:ind w:left="765" w:hanging="357"/>
        <w:contextualSpacing w:val="0"/>
      </w:pPr>
      <w:r>
        <w:t>a</w:t>
      </w:r>
      <w:r w:rsidRPr="002C372D">
        <w:t>cceptance of the proposal by the Indigenous communities and alignment with the Community Action Plan</w:t>
      </w:r>
      <w:r>
        <w:t xml:space="preserve"> for the Remote </w:t>
      </w:r>
      <w:r w:rsidR="00B74CF7">
        <w:t>Region</w:t>
      </w:r>
      <w:r w:rsidRPr="002C372D">
        <w:t>;</w:t>
      </w:r>
    </w:p>
    <w:p w:rsidR="004E587E" w:rsidRDefault="004E587E" w:rsidP="002D7461">
      <w:pPr>
        <w:pStyle w:val="ListParagraph"/>
        <w:numPr>
          <w:ilvl w:val="0"/>
          <w:numId w:val="10"/>
        </w:numPr>
        <w:spacing w:after="0" w:line="240" w:lineRule="auto"/>
        <w:ind w:left="765" w:hanging="357"/>
        <w:contextualSpacing w:val="0"/>
      </w:pPr>
      <w:r>
        <w:t>d</w:t>
      </w:r>
      <w:r w:rsidRPr="002C372D">
        <w:t>emonstrated experience and capacity of organisations, including any sub</w:t>
      </w:r>
      <w:r>
        <w:noBreakHyphen/>
      </w:r>
      <w:r w:rsidRPr="002C372D">
        <w:t xml:space="preserve">contractors or related entities involved in the service/activity, to work with Indigenous communities; </w:t>
      </w:r>
    </w:p>
    <w:p w:rsidR="004E587E" w:rsidRDefault="004E587E" w:rsidP="002D7461">
      <w:pPr>
        <w:pStyle w:val="ListParagraph"/>
        <w:numPr>
          <w:ilvl w:val="0"/>
          <w:numId w:val="10"/>
        </w:numPr>
        <w:spacing w:after="0" w:line="240" w:lineRule="auto"/>
        <w:ind w:left="765" w:hanging="357"/>
        <w:contextualSpacing w:val="0"/>
      </w:pPr>
      <w:r>
        <w:t>d</w:t>
      </w:r>
      <w:r w:rsidRPr="002C372D">
        <w:t>eliverability, value for money and any whole-of-life considerations, such as the continuing impact of the proposal on the region after the funding period has ended and how the successful results of the project</w:t>
      </w:r>
      <w:r w:rsidRPr="002C372D">
        <w:rPr>
          <w:rFonts w:ascii="Calibri" w:hAnsi="Calibri"/>
          <w:b/>
          <w:bCs/>
          <w:color w:val="002060"/>
        </w:rPr>
        <w:t xml:space="preserve"> </w:t>
      </w:r>
      <w:r w:rsidRPr="002C372D">
        <w:t>and any assets and tangible outcomes will be managed for the duration of their life</w:t>
      </w:r>
      <w:r>
        <w:t>; and</w:t>
      </w:r>
    </w:p>
    <w:p w:rsidR="004E587E" w:rsidRDefault="004E587E" w:rsidP="002D7461">
      <w:pPr>
        <w:pStyle w:val="ListParagraph"/>
        <w:numPr>
          <w:ilvl w:val="0"/>
          <w:numId w:val="10"/>
        </w:numPr>
        <w:spacing w:after="0" w:line="240" w:lineRule="auto"/>
        <w:ind w:left="765" w:hanging="357"/>
        <w:contextualSpacing w:val="0"/>
      </w:pPr>
      <w:r>
        <w:t>e</w:t>
      </w:r>
      <w:r w:rsidRPr="002C372D">
        <w:t>valuation of the success of the service</w:t>
      </w:r>
      <w:r>
        <w:t xml:space="preserve"> or </w:t>
      </w:r>
      <w:r w:rsidRPr="002C372D">
        <w:t>activity</w:t>
      </w:r>
      <w:r>
        <w:t>.</w:t>
      </w:r>
    </w:p>
    <w:p w:rsidR="00B81E05" w:rsidRDefault="002D7461" w:rsidP="002D7461">
      <w:pPr>
        <w:spacing w:before="0"/>
        <w:ind w:right="-334"/>
      </w:pPr>
      <w:r>
        <w:lastRenderedPageBreak/>
        <w:t>The decision-</w:t>
      </w:r>
      <w:r w:rsidR="00B81E05" w:rsidRPr="00C71952">
        <w:t xml:space="preserve">maker for the </w:t>
      </w:r>
      <w:r w:rsidR="00B81E05">
        <w:t>Community Development Fund</w:t>
      </w:r>
      <w:r w:rsidR="00B81E05" w:rsidRPr="00C71952">
        <w:t xml:space="preserve"> </w:t>
      </w:r>
      <w:r w:rsidR="00B81E05">
        <w:t>would be</w:t>
      </w:r>
      <w:r w:rsidR="00B81E05" w:rsidRPr="00C71952">
        <w:t xml:space="preserve"> the Minister for Families, Community Services and Indigenous Affairs.  Where the </w:t>
      </w:r>
      <w:r w:rsidR="00B81E05">
        <w:t xml:space="preserve">value of the </w:t>
      </w:r>
      <w:r w:rsidR="00B81E05" w:rsidRPr="00C71952">
        <w:t>grant is l</w:t>
      </w:r>
      <w:r>
        <w:t>ess than $100,000 this decision-</w:t>
      </w:r>
      <w:r w:rsidR="00B81E05" w:rsidRPr="00C71952">
        <w:t xml:space="preserve">making power may be delegated to the </w:t>
      </w:r>
      <w:r w:rsidR="00B81E05">
        <w:t>officers of FaHCSIA</w:t>
      </w:r>
      <w:r w:rsidR="00B81E05" w:rsidRPr="00C71952">
        <w:t xml:space="preserve">. </w:t>
      </w:r>
    </w:p>
    <w:p w:rsidR="00B81E05" w:rsidRPr="00C71952" w:rsidRDefault="00B81E05" w:rsidP="002D7461">
      <w:pPr>
        <w:spacing w:before="0"/>
        <w:ind w:right="-334"/>
      </w:pPr>
    </w:p>
    <w:p w:rsidR="004E587E" w:rsidRDefault="004E587E" w:rsidP="002D7461">
      <w:pPr>
        <w:spacing w:before="0"/>
        <w:ind w:right="-334"/>
        <w:rPr>
          <w:color w:val="002060"/>
        </w:rPr>
      </w:pPr>
      <w:r w:rsidRPr="00C71952">
        <w:t xml:space="preserve">Applications to the </w:t>
      </w:r>
      <w:r>
        <w:t>Community Development Fund</w:t>
      </w:r>
      <w:r w:rsidRPr="00C71952">
        <w:t xml:space="preserve"> w</w:t>
      </w:r>
      <w:r>
        <w:t>ou</w:t>
      </w:r>
      <w:r w:rsidRPr="00C71952">
        <w:t>l</w:t>
      </w:r>
      <w:r>
        <w:t>d</w:t>
      </w:r>
      <w:r w:rsidRPr="00C71952">
        <w:t xml:space="preserve"> be assessed on the merits of their proposal against each selection criteria.  This assessment of applications w</w:t>
      </w:r>
      <w:r>
        <w:t>ou</w:t>
      </w:r>
      <w:r w:rsidRPr="00C71952">
        <w:t>l</w:t>
      </w:r>
      <w:r>
        <w:t>d</w:t>
      </w:r>
      <w:r w:rsidRPr="00C71952">
        <w:t xml:space="preserve"> be conducted in accordance with the Commonwealth Grants Guidelines and consideration will be given to the availability of funding and the spread of funding across the 59</w:t>
      </w:r>
      <w:r>
        <w:rPr>
          <w:b/>
        </w:rPr>
        <w:t> </w:t>
      </w:r>
      <w:r w:rsidRPr="00C71952">
        <w:t>remote regions of the R</w:t>
      </w:r>
      <w:r>
        <w:t xml:space="preserve">emote </w:t>
      </w:r>
      <w:r w:rsidRPr="00C71952">
        <w:t>J</w:t>
      </w:r>
      <w:r>
        <w:t xml:space="preserve">obs and </w:t>
      </w:r>
      <w:r w:rsidRPr="00C71952">
        <w:t>C</w:t>
      </w:r>
      <w:r>
        <w:t xml:space="preserve">ommunities </w:t>
      </w:r>
      <w:r w:rsidRPr="00C71952">
        <w:t>P</w:t>
      </w:r>
      <w:r>
        <w:t>rogram</w:t>
      </w:r>
      <w:r w:rsidRPr="00C71952">
        <w:t>.</w:t>
      </w:r>
      <w:r>
        <w:rPr>
          <w:color w:val="002060"/>
        </w:rPr>
        <w:t xml:space="preserve"> </w:t>
      </w:r>
    </w:p>
    <w:p w:rsidR="004E587E" w:rsidRDefault="004E587E" w:rsidP="002D7461">
      <w:pPr>
        <w:spacing w:before="0"/>
        <w:ind w:right="-334"/>
        <w:rPr>
          <w:color w:val="002060"/>
        </w:rPr>
      </w:pPr>
    </w:p>
    <w:p w:rsidR="004E587E" w:rsidRPr="00E409C1" w:rsidRDefault="002214FC" w:rsidP="002D7461">
      <w:pPr>
        <w:spacing w:before="0"/>
        <w:ind w:right="-334"/>
        <w:rPr>
          <w:color w:val="000000" w:themeColor="text1"/>
        </w:rPr>
      </w:pPr>
      <w:r>
        <w:rPr>
          <w:color w:val="000000" w:themeColor="text1"/>
        </w:rPr>
        <w:t>A</w:t>
      </w:r>
      <w:r w:rsidR="004E587E" w:rsidRPr="00A1256F">
        <w:rPr>
          <w:color w:val="000000" w:themeColor="text1"/>
        </w:rPr>
        <w:t>pplicants to the C</w:t>
      </w:r>
      <w:r w:rsidR="004E587E">
        <w:rPr>
          <w:color w:val="000000" w:themeColor="text1"/>
        </w:rPr>
        <w:t xml:space="preserve">ommunity </w:t>
      </w:r>
      <w:r w:rsidR="004E587E" w:rsidRPr="00A1256F">
        <w:rPr>
          <w:color w:val="000000" w:themeColor="text1"/>
        </w:rPr>
        <w:t>D</w:t>
      </w:r>
      <w:r w:rsidR="004E587E">
        <w:rPr>
          <w:color w:val="000000" w:themeColor="text1"/>
        </w:rPr>
        <w:t xml:space="preserve">evelopment </w:t>
      </w:r>
      <w:r w:rsidR="004E587E" w:rsidRPr="00A1256F">
        <w:rPr>
          <w:color w:val="000000" w:themeColor="text1"/>
        </w:rPr>
        <w:t>F</w:t>
      </w:r>
      <w:r w:rsidR="004E587E">
        <w:rPr>
          <w:color w:val="000000" w:themeColor="text1"/>
        </w:rPr>
        <w:t>und</w:t>
      </w:r>
      <w:r w:rsidR="004E587E" w:rsidRPr="00A1256F">
        <w:rPr>
          <w:color w:val="000000" w:themeColor="text1"/>
        </w:rPr>
        <w:t xml:space="preserve"> </w:t>
      </w:r>
      <w:r>
        <w:rPr>
          <w:color w:val="000000" w:themeColor="text1"/>
        </w:rPr>
        <w:t xml:space="preserve">would be able </w:t>
      </w:r>
      <w:r w:rsidR="004E587E" w:rsidRPr="00A1256F">
        <w:rPr>
          <w:color w:val="000000" w:themeColor="text1"/>
        </w:rPr>
        <w:t>to make a complaint about the assessment process</w:t>
      </w:r>
      <w:r w:rsidR="004E587E">
        <w:rPr>
          <w:color w:val="000000" w:themeColor="text1"/>
        </w:rPr>
        <w:t xml:space="preserve">. </w:t>
      </w:r>
      <w:r w:rsidR="004E587E" w:rsidRPr="00A1256F">
        <w:rPr>
          <w:color w:val="000000" w:themeColor="text1"/>
        </w:rPr>
        <w:t xml:space="preserve"> </w:t>
      </w:r>
      <w:r w:rsidR="004E587E">
        <w:rPr>
          <w:color w:val="000000" w:themeColor="text1"/>
        </w:rPr>
        <w:t>I</w:t>
      </w:r>
      <w:r w:rsidR="004E587E" w:rsidRPr="00A1256F">
        <w:rPr>
          <w:color w:val="000000" w:themeColor="text1"/>
        </w:rPr>
        <w:t xml:space="preserve">f </w:t>
      </w:r>
      <w:r w:rsidR="004E587E">
        <w:rPr>
          <w:color w:val="000000" w:themeColor="text1"/>
        </w:rPr>
        <w:t xml:space="preserve">an applicant is </w:t>
      </w:r>
      <w:r w:rsidR="004E587E" w:rsidRPr="00A1256F">
        <w:rPr>
          <w:color w:val="000000" w:themeColor="text1"/>
        </w:rPr>
        <w:t>dissatisfied with the Department’s handling of a complaint</w:t>
      </w:r>
      <w:r w:rsidR="004E587E">
        <w:rPr>
          <w:color w:val="000000" w:themeColor="text1"/>
        </w:rPr>
        <w:t>, they would also be able to</w:t>
      </w:r>
      <w:r w:rsidR="004E587E" w:rsidRPr="00A1256F">
        <w:rPr>
          <w:color w:val="000000" w:themeColor="text1"/>
        </w:rPr>
        <w:t xml:space="preserve"> contact the Commonwealth Ombudsman. </w:t>
      </w:r>
    </w:p>
    <w:p w:rsidR="004E587E" w:rsidRPr="00A1256F" w:rsidRDefault="004E587E" w:rsidP="002D7461">
      <w:pPr>
        <w:spacing w:before="0"/>
        <w:ind w:right="-334"/>
        <w:rPr>
          <w:color w:val="000000" w:themeColor="text1"/>
        </w:rPr>
      </w:pPr>
    </w:p>
    <w:p w:rsidR="004E587E" w:rsidRPr="00A1256F" w:rsidRDefault="004E587E" w:rsidP="002D7461">
      <w:pPr>
        <w:spacing w:before="0"/>
        <w:ind w:right="-334"/>
        <w:rPr>
          <w:color w:val="000000" w:themeColor="text1"/>
        </w:rPr>
      </w:pPr>
      <w:r w:rsidRPr="00A1256F">
        <w:rPr>
          <w:color w:val="000000" w:themeColor="text1"/>
        </w:rPr>
        <w:t>In addition, government decisions to spend public money are subject to rules in the FMA</w:t>
      </w:r>
      <w:r>
        <w:rPr>
          <w:color w:val="000000" w:themeColor="text1"/>
        </w:rPr>
        <w:t> </w:t>
      </w:r>
      <w:r w:rsidRPr="00A1256F">
        <w:rPr>
          <w:color w:val="000000" w:themeColor="text1"/>
        </w:rPr>
        <w:t xml:space="preserve">Act and the </w:t>
      </w:r>
      <w:r>
        <w:rPr>
          <w:color w:val="000000"/>
        </w:rPr>
        <w:t>Principal Regulations</w:t>
      </w:r>
      <w:r w:rsidRPr="00A1256F">
        <w:rPr>
          <w:color w:val="000000" w:themeColor="text1"/>
        </w:rPr>
        <w:t xml:space="preserve">.  This includes, where applicable, the requirements in the Commonwealth Procurement Rules or Commonwealth Grants Guidelines.  The review and audit process undertaken by the Australian National Audit Office also provides a mechanism to review Government spending decisions and report any concerns to Parliament.  These requirements and mechanisms not only help to ensure the proper use of Commonwealth resources, but also </w:t>
      </w:r>
      <w:r>
        <w:rPr>
          <w:color w:val="000000" w:themeColor="text1"/>
        </w:rPr>
        <w:t xml:space="preserve">ensure </w:t>
      </w:r>
      <w:r w:rsidRPr="00A1256F">
        <w:rPr>
          <w:color w:val="000000" w:themeColor="text1"/>
        </w:rPr>
        <w:t xml:space="preserve">that there is appropriate transparency around decisions relating to making, varying or administering arrangements to spend public money.  </w:t>
      </w:r>
    </w:p>
    <w:p w:rsidR="004E587E" w:rsidRDefault="004E587E" w:rsidP="002D7461">
      <w:pPr>
        <w:spacing w:before="0"/>
        <w:rPr>
          <w:color w:val="000000" w:themeColor="text1"/>
        </w:rPr>
      </w:pPr>
    </w:p>
    <w:p w:rsidR="004E587E" w:rsidRPr="00E409C1" w:rsidRDefault="004E587E" w:rsidP="002D7461">
      <w:pPr>
        <w:spacing w:before="0"/>
        <w:rPr>
          <w:color w:val="000000" w:themeColor="text1"/>
        </w:rPr>
      </w:pPr>
      <w:r w:rsidRPr="00E409C1">
        <w:rPr>
          <w:color w:val="000000" w:themeColor="text1"/>
        </w:rPr>
        <w:t xml:space="preserve">Decisions under this program </w:t>
      </w:r>
      <w:r>
        <w:rPr>
          <w:color w:val="000000" w:themeColor="text1"/>
        </w:rPr>
        <w:t>would</w:t>
      </w:r>
      <w:r w:rsidRPr="00E409C1">
        <w:rPr>
          <w:color w:val="000000" w:themeColor="text1"/>
        </w:rPr>
        <w:t xml:space="preserve"> not </w:t>
      </w:r>
      <w:r>
        <w:rPr>
          <w:color w:val="000000" w:themeColor="text1"/>
        </w:rPr>
        <w:t xml:space="preserve">be </w:t>
      </w:r>
      <w:r w:rsidRPr="00E409C1">
        <w:rPr>
          <w:color w:val="000000" w:themeColor="text1"/>
        </w:rPr>
        <w:t xml:space="preserve">subject to judicial review under the </w:t>
      </w:r>
      <w:r w:rsidRPr="00E409C1">
        <w:rPr>
          <w:i/>
          <w:color w:val="000000" w:themeColor="text1"/>
        </w:rPr>
        <w:t>Administrative Decisions (Judicial Review) Act 1977</w:t>
      </w:r>
      <w:r w:rsidRPr="00E409C1">
        <w:rPr>
          <w:color w:val="000000" w:themeColor="text1"/>
        </w:rPr>
        <w:t xml:space="preserve"> (ADJR Act).  The Explanatory Memorandum to the </w:t>
      </w:r>
      <w:r w:rsidRPr="00E409C1">
        <w:rPr>
          <w:i/>
          <w:color w:val="000000" w:themeColor="text1"/>
        </w:rPr>
        <w:t>Financial Framework Legislation Amendment Act (No</w:t>
      </w:r>
      <w:r w:rsidR="002D7461">
        <w:rPr>
          <w:i/>
          <w:color w:val="000000" w:themeColor="text1"/>
        </w:rPr>
        <w:t>.</w:t>
      </w:r>
      <w:r w:rsidRPr="00E409C1">
        <w:rPr>
          <w:i/>
          <w:color w:val="000000" w:themeColor="text1"/>
        </w:rPr>
        <w:t xml:space="preserve"> 3) 2012</w:t>
      </w:r>
      <w:r w:rsidRPr="00E409C1">
        <w:rPr>
          <w:color w:val="000000" w:themeColor="text1"/>
        </w:rPr>
        <w:t xml:space="preserve"> sets out the policy reasons for excluding ADJR Act review of decisions made in relation to activities which are listed in Schedule 1AA of the </w:t>
      </w:r>
      <w:r>
        <w:rPr>
          <w:color w:val="000000"/>
        </w:rPr>
        <w:t>Principal Regulations</w:t>
      </w:r>
      <w:r w:rsidRPr="00E409C1">
        <w:rPr>
          <w:color w:val="000000" w:themeColor="text1"/>
        </w:rPr>
        <w:t>.</w:t>
      </w:r>
    </w:p>
    <w:p w:rsidR="004E587E" w:rsidRDefault="004E587E" w:rsidP="002D7461">
      <w:pPr>
        <w:spacing w:before="0"/>
        <w:ind w:right="-334"/>
        <w:rPr>
          <w:color w:val="000000" w:themeColor="text1"/>
          <w:szCs w:val="24"/>
        </w:rPr>
      </w:pPr>
    </w:p>
    <w:p w:rsidR="002F5FA5" w:rsidRPr="00022BDD" w:rsidRDefault="002F5FA5" w:rsidP="002D7461">
      <w:pPr>
        <w:spacing w:before="0"/>
        <w:ind w:right="-334"/>
        <w:rPr>
          <w:color w:val="000000" w:themeColor="text1"/>
          <w:szCs w:val="24"/>
        </w:rPr>
      </w:pPr>
      <w:r w:rsidRPr="00022BDD">
        <w:rPr>
          <w:color w:val="000000" w:themeColor="text1"/>
          <w:szCs w:val="24"/>
        </w:rPr>
        <w:t xml:space="preserve">Further information about the </w:t>
      </w:r>
      <w:r>
        <w:t>Community Development Fund</w:t>
      </w:r>
      <w:r w:rsidRPr="00C71952">
        <w:t xml:space="preserve"> </w:t>
      </w:r>
      <w:r>
        <w:t xml:space="preserve">and the Remote Jobs and Communities </w:t>
      </w:r>
      <w:r w:rsidRPr="002C372D">
        <w:t xml:space="preserve">Program </w:t>
      </w:r>
      <w:r>
        <w:t>is at page</w:t>
      </w:r>
      <w:r w:rsidR="002D7461">
        <w:t xml:space="preserve">s 1 to </w:t>
      </w:r>
      <w:r>
        <w:t xml:space="preserve">38 of </w:t>
      </w:r>
      <w:r w:rsidRPr="00A62B3E">
        <w:rPr>
          <w:i/>
        </w:rPr>
        <w:t>Budget Paper No.</w:t>
      </w:r>
      <w:r w:rsidR="002D7461">
        <w:rPr>
          <w:i/>
        </w:rPr>
        <w:t xml:space="preserve"> </w:t>
      </w:r>
      <w:r w:rsidRPr="00A62B3E">
        <w:rPr>
          <w:i/>
        </w:rPr>
        <w:t>1</w:t>
      </w:r>
      <w:r>
        <w:rPr>
          <w:i/>
        </w:rPr>
        <w:t xml:space="preserve"> – B</w:t>
      </w:r>
      <w:r w:rsidRPr="00A62B3E">
        <w:rPr>
          <w:i/>
        </w:rPr>
        <w:t>udget Strategy</w:t>
      </w:r>
      <w:r>
        <w:t xml:space="preserve"> and also page 18 of </w:t>
      </w:r>
      <w:r w:rsidR="002D7461">
        <w:t xml:space="preserve">the </w:t>
      </w:r>
      <w:r>
        <w:t xml:space="preserve">statement by the Minister for </w:t>
      </w:r>
      <w:r w:rsidRPr="00E2525D">
        <w:rPr>
          <w:color w:val="000000" w:themeColor="text1"/>
        </w:rPr>
        <w:t>Families, Community Services and Indigenous Affairs</w:t>
      </w:r>
      <w:r>
        <w:rPr>
          <w:color w:val="000000" w:themeColor="text1"/>
        </w:rPr>
        <w:t xml:space="preserve"> for the </w:t>
      </w:r>
      <w:r>
        <w:t>2012-13 Budget</w:t>
      </w:r>
      <w:r>
        <w:rPr>
          <w:color w:val="000000" w:themeColor="text1"/>
        </w:rPr>
        <w:t xml:space="preserve">, </w:t>
      </w:r>
      <w:r w:rsidRPr="00A62B3E">
        <w:rPr>
          <w:i/>
        </w:rPr>
        <w:t>Continuing our Efforts to Close the Gap</w:t>
      </w:r>
      <w:r>
        <w:t>.</w:t>
      </w:r>
    </w:p>
    <w:p w:rsidR="002F5FA5" w:rsidRPr="00CF0656" w:rsidRDefault="002F5FA5" w:rsidP="002D7461">
      <w:pPr>
        <w:spacing w:before="0"/>
        <w:ind w:right="-334"/>
        <w:rPr>
          <w:color w:val="000000" w:themeColor="text1"/>
          <w:szCs w:val="24"/>
        </w:rPr>
      </w:pPr>
    </w:p>
    <w:p w:rsidR="00194875" w:rsidRPr="00CF0656" w:rsidRDefault="00194875" w:rsidP="002D7461">
      <w:pPr>
        <w:spacing w:before="0"/>
        <w:ind w:right="-51"/>
        <w:rPr>
          <w:color w:val="000000" w:themeColor="text1"/>
        </w:rPr>
      </w:pPr>
    </w:p>
    <w:sectPr w:rsidR="00194875" w:rsidRPr="00CF0656" w:rsidSect="003D241B">
      <w:headerReference w:type="default" r:id="rId10"/>
      <w:pgSz w:w="11907" w:h="16840" w:code="9"/>
      <w:pgMar w:top="1134" w:right="1797" w:bottom="1134" w:left="179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58" w:rsidRPr="00333575" w:rsidRDefault="00D33958" w:rsidP="00E85888">
      <w:pPr>
        <w:spacing w:before="0"/>
        <w:rPr>
          <w:sz w:val="16"/>
        </w:rPr>
      </w:pPr>
      <w:r>
        <w:separator/>
      </w:r>
    </w:p>
  </w:endnote>
  <w:endnote w:type="continuationSeparator" w:id="0">
    <w:p w:rsidR="00D33958" w:rsidRPr="00333575" w:rsidRDefault="00D33958" w:rsidP="00E85888">
      <w:pPr>
        <w:spacing w:before="0"/>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58" w:rsidRDefault="00D33958" w:rsidP="003D24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58" w:rsidRPr="00333575" w:rsidRDefault="00D33958" w:rsidP="00E85888">
      <w:pPr>
        <w:spacing w:before="0"/>
        <w:rPr>
          <w:sz w:val="16"/>
        </w:rPr>
      </w:pPr>
      <w:r>
        <w:separator/>
      </w:r>
    </w:p>
  </w:footnote>
  <w:footnote w:type="continuationSeparator" w:id="0">
    <w:p w:rsidR="00D33958" w:rsidRPr="00333575" w:rsidRDefault="00D33958" w:rsidP="00E85888">
      <w:pPr>
        <w:spacing w:before="0"/>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939"/>
      <w:docPartObj>
        <w:docPartGallery w:val="Page Numbers (Top of Page)"/>
        <w:docPartUnique/>
      </w:docPartObj>
    </w:sdtPr>
    <w:sdtEndPr/>
    <w:sdtContent>
      <w:p w:rsidR="00D33958" w:rsidRDefault="00F256E1">
        <w:pPr>
          <w:pStyle w:val="Header"/>
          <w:jc w:val="center"/>
        </w:pPr>
        <w:r>
          <w:fldChar w:fldCharType="begin"/>
        </w:r>
        <w:r>
          <w:instrText xml:space="preserve"> PAGE   \* MERGEFORMAT </w:instrText>
        </w:r>
        <w:r>
          <w:fldChar w:fldCharType="separate"/>
        </w:r>
        <w:r w:rsidR="00557DDA">
          <w:rPr>
            <w:noProof/>
          </w:rPr>
          <w:t>2</w:t>
        </w:r>
        <w:r>
          <w:rPr>
            <w:noProof/>
          </w:rPr>
          <w:fldChar w:fldCharType="end"/>
        </w:r>
      </w:p>
      <w:p w:rsidR="00D33958" w:rsidRDefault="00F256E1" w:rsidP="003D241B">
        <w:pPr>
          <w:pStyle w:val="Header"/>
          <w:spacing w:before="0"/>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943"/>
      <w:docPartObj>
        <w:docPartGallery w:val="Page Numbers (Top of Page)"/>
        <w:docPartUnique/>
      </w:docPartObj>
    </w:sdtPr>
    <w:sdtEndPr/>
    <w:sdtContent>
      <w:p w:rsidR="00D33958" w:rsidRDefault="00F256E1">
        <w:pPr>
          <w:pStyle w:val="Header"/>
          <w:jc w:val="center"/>
        </w:pPr>
        <w:r>
          <w:fldChar w:fldCharType="begin"/>
        </w:r>
        <w:r>
          <w:instrText xml:space="preserve"> PAGE   \* MERGEFORMAT </w:instrText>
        </w:r>
        <w:r>
          <w:fldChar w:fldCharType="separate"/>
        </w:r>
        <w:r>
          <w:rPr>
            <w:noProof/>
          </w:rPr>
          <w:t>2</w:t>
        </w:r>
        <w:r>
          <w:rPr>
            <w:noProof/>
          </w:rPr>
          <w:fldChar w:fldCharType="end"/>
        </w:r>
      </w:p>
      <w:p w:rsidR="00D33958" w:rsidRDefault="00F256E1" w:rsidP="003D241B">
        <w:pPr>
          <w:pStyle w:val="Header"/>
          <w:spacing w:before="0"/>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A17"/>
    <w:multiLevelType w:val="hybridMultilevel"/>
    <w:tmpl w:val="C03A0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E2C6A29"/>
    <w:multiLevelType w:val="hybridMultilevel"/>
    <w:tmpl w:val="EB72118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16641D4C"/>
    <w:multiLevelType w:val="hybridMultilevel"/>
    <w:tmpl w:val="2DB83BC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1B147BD1"/>
    <w:multiLevelType w:val="hybridMultilevel"/>
    <w:tmpl w:val="E5904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AB14C9"/>
    <w:multiLevelType w:val="hybridMultilevel"/>
    <w:tmpl w:val="FB86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B04571"/>
    <w:multiLevelType w:val="hybridMultilevel"/>
    <w:tmpl w:val="9CBC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4209C4"/>
    <w:multiLevelType w:val="hybridMultilevel"/>
    <w:tmpl w:val="C194EC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70189D"/>
    <w:multiLevelType w:val="hybridMultilevel"/>
    <w:tmpl w:val="D286D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BC25CF7"/>
    <w:multiLevelType w:val="hybridMultilevel"/>
    <w:tmpl w:val="8F32D6B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539F3D15"/>
    <w:multiLevelType w:val="hybridMultilevel"/>
    <w:tmpl w:val="0CD49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352150"/>
    <w:multiLevelType w:val="hybridMultilevel"/>
    <w:tmpl w:val="75FCA1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2">
    <w:nsid w:val="6C8E4B9E"/>
    <w:multiLevelType w:val="multilevel"/>
    <w:tmpl w:val="D9A87B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14B1B30"/>
    <w:multiLevelType w:val="hybridMultilevel"/>
    <w:tmpl w:val="61E27F98"/>
    <w:lvl w:ilvl="0" w:tplc="0C090011">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4">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6"/>
  </w:num>
  <w:num w:numId="3">
    <w:abstractNumId w:val="4"/>
  </w:num>
  <w:num w:numId="4">
    <w:abstractNumId w:val="7"/>
  </w:num>
  <w:num w:numId="5">
    <w:abstractNumId w:val="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75"/>
    <w:rsid w:val="0000207D"/>
    <w:rsid w:val="00004AA9"/>
    <w:rsid w:val="000A3E30"/>
    <w:rsid w:val="000C6B19"/>
    <w:rsid w:val="001151C3"/>
    <w:rsid w:val="001239FB"/>
    <w:rsid w:val="00125854"/>
    <w:rsid w:val="001302BA"/>
    <w:rsid w:val="00142723"/>
    <w:rsid w:val="00164208"/>
    <w:rsid w:val="0019241E"/>
    <w:rsid w:val="00194875"/>
    <w:rsid w:val="001A610B"/>
    <w:rsid w:val="001B67B9"/>
    <w:rsid w:val="001D1A3A"/>
    <w:rsid w:val="001D3D33"/>
    <w:rsid w:val="0020020D"/>
    <w:rsid w:val="00203D83"/>
    <w:rsid w:val="0020445B"/>
    <w:rsid w:val="00212F6C"/>
    <w:rsid w:val="002214FC"/>
    <w:rsid w:val="002265C0"/>
    <w:rsid w:val="002378B0"/>
    <w:rsid w:val="00244B9E"/>
    <w:rsid w:val="00246D4B"/>
    <w:rsid w:val="00274182"/>
    <w:rsid w:val="00292C81"/>
    <w:rsid w:val="002A013B"/>
    <w:rsid w:val="002A40C7"/>
    <w:rsid w:val="002C372D"/>
    <w:rsid w:val="002C3854"/>
    <w:rsid w:val="002C476B"/>
    <w:rsid w:val="002D7461"/>
    <w:rsid w:val="002E4977"/>
    <w:rsid w:val="002F5FA5"/>
    <w:rsid w:val="003028E4"/>
    <w:rsid w:val="00310055"/>
    <w:rsid w:val="00380141"/>
    <w:rsid w:val="0039680C"/>
    <w:rsid w:val="003B75FF"/>
    <w:rsid w:val="003C333E"/>
    <w:rsid w:val="003D241B"/>
    <w:rsid w:val="003E612A"/>
    <w:rsid w:val="00400347"/>
    <w:rsid w:val="00414CCD"/>
    <w:rsid w:val="00423BA9"/>
    <w:rsid w:val="004336B9"/>
    <w:rsid w:val="004408DA"/>
    <w:rsid w:val="0045206B"/>
    <w:rsid w:val="0045276E"/>
    <w:rsid w:val="00452BA5"/>
    <w:rsid w:val="00490C87"/>
    <w:rsid w:val="004C6AA7"/>
    <w:rsid w:val="004D38F8"/>
    <w:rsid w:val="004E22CB"/>
    <w:rsid w:val="004E587E"/>
    <w:rsid w:val="004E7B78"/>
    <w:rsid w:val="00502E54"/>
    <w:rsid w:val="00505D60"/>
    <w:rsid w:val="00524E22"/>
    <w:rsid w:val="005305E9"/>
    <w:rsid w:val="00545E65"/>
    <w:rsid w:val="00557DDA"/>
    <w:rsid w:val="005723CB"/>
    <w:rsid w:val="00584316"/>
    <w:rsid w:val="005A2DFB"/>
    <w:rsid w:val="005C09D0"/>
    <w:rsid w:val="005F59E4"/>
    <w:rsid w:val="006063C1"/>
    <w:rsid w:val="006A63E6"/>
    <w:rsid w:val="006E6CA9"/>
    <w:rsid w:val="00714784"/>
    <w:rsid w:val="007162A3"/>
    <w:rsid w:val="00734584"/>
    <w:rsid w:val="007460B9"/>
    <w:rsid w:val="00757892"/>
    <w:rsid w:val="00766E8A"/>
    <w:rsid w:val="00780DC5"/>
    <w:rsid w:val="007C274A"/>
    <w:rsid w:val="007C6D6D"/>
    <w:rsid w:val="007D093E"/>
    <w:rsid w:val="007F4379"/>
    <w:rsid w:val="00832AA9"/>
    <w:rsid w:val="00854030"/>
    <w:rsid w:val="00856AFE"/>
    <w:rsid w:val="00884988"/>
    <w:rsid w:val="008A54E8"/>
    <w:rsid w:val="008B7F25"/>
    <w:rsid w:val="00902916"/>
    <w:rsid w:val="00915A32"/>
    <w:rsid w:val="00946F0D"/>
    <w:rsid w:val="00961936"/>
    <w:rsid w:val="00977345"/>
    <w:rsid w:val="0099084F"/>
    <w:rsid w:val="00992E21"/>
    <w:rsid w:val="009A1440"/>
    <w:rsid w:val="009A5334"/>
    <w:rsid w:val="009B759B"/>
    <w:rsid w:val="009C35C6"/>
    <w:rsid w:val="009C4D6E"/>
    <w:rsid w:val="009D1220"/>
    <w:rsid w:val="009D1F0C"/>
    <w:rsid w:val="009D326A"/>
    <w:rsid w:val="009E0F86"/>
    <w:rsid w:val="009E4F2A"/>
    <w:rsid w:val="009E6B6F"/>
    <w:rsid w:val="009F106F"/>
    <w:rsid w:val="009F5D92"/>
    <w:rsid w:val="00A05F56"/>
    <w:rsid w:val="00A1256F"/>
    <w:rsid w:val="00A15537"/>
    <w:rsid w:val="00A35F3E"/>
    <w:rsid w:val="00A469F1"/>
    <w:rsid w:val="00A71647"/>
    <w:rsid w:val="00A83F86"/>
    <w:rsid w:val="00A948C1"/>
    <w:rsid w:val="00A94B09"/>
    <w:rsid w:val="00AD24D3"/>
    <w:rsid w:val="00AE5D81"/>
    <w:rsid w:val="00B012C6"/>
    <w:rsid w:val="00B06B86"/>
    <w:rsid w:val="00B312BE"/>
    <w:rsid w:val="00B40379"/>
    <w:rsid w:val="00B45513"/>
    <w:rsid w:val="00B56B84"/>
    <w:rsid w:val="00B65024"/>
    <w:rsid w:val="00B74CF7"/>
    <w:rsid w:val="00B81E05"/>
    <w:rsid w:val="00B8771D"/>
    <w:rsid w:val="00B91469"/>
    <w:rsid w:val="00BA1001"/>
    <w:rsid w:val="00BA5EEF"/>
    <w:rsid w:val="00BC0643"/>
    <w:rsid w:val="00BC7773"/>
    <w:rsid w:val="00C04BCC"/>
    <w:rsid w:val="00C3440E"/>
    <w:rsid w:val="00C356AF"/>
    <w:rsid w:val="00C50273"/>
    <w:rsid w:val="00C56308"/>
    <w:rsid w:val="00C71952"/>
    <w:rsid w:val="00CA7472"/>
    <w:rsid w:val="00CB6093"/>
    <w:rsid w:val="00CC57BD"/>
    <w:rsid w:val="00CD4103"/>
    <w:rsid w:val="00CE68D0"/>
    <w:rsid w:val="00CF1506"/>
    <w:rsid w:val="00D019DF"/>
    <w:rsid w:val="00D1292D"/>
    <w:rsid w:val="00D24459"/>
    <w:rsid w:val="00D25F31"/>
    <w:rsid w:val="00D33958"/>
    <w:rsid w:val="00D42043"/>
    <w:rsid w:val="00D56028"/>
    <w:rsid w:val="00D657CC"/>
    <w:rsid w:val="00D77537"/>
    <w:rsid w:val="00D82434"/>
    <w:rsid w:val="00E20D36"/>
    <w:rsid w:val="00E2525D"/>
    <w:rsid w:val="00E409C1"/>
    <w:rsid w:val="00E77257"/>
    <w:rsid w:val="00E85888"/>
    <w:rsid w:val="00ED0F56"/>
    <w:rsid w:val="00ED2279"/>
    <w:rsid w:val="00ED3246"/>
    <w:rsid w:val="00ED6ECE"/>
    <w:rsid w:val="00EF300D"/>
    <w:rsid w:val="00F05C8E"/>
    <w:rsid w:val="00F101D1"/>
    <w:rsid w:val="00F20C6A"/>
    <w:rsid w:val="00F256E1"/>
    <w:rsid w:val="00F25A90"/>
    <w:rsid w:val="00F25F7F"/>
    <w:rsid w:val="00F91296"/>
    <w:rsid w:val="00F97FB9"/>
    <w:rsid w:val="00FB51B7"/>
    <w:rsid w:val="00FB5F18"/>
    <w:rsid w:val="00FC4B99"/>
    <w:rsid w:val="00FC6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75"/>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194875"/>
    <w:pPr>
      <w:keepNext/>
      <w:numPr>
        <w:numId w:val="1"/>
      </w:numPr>
      <w:spacing w:before="0"/>
      <w:outlineLvl w:val="0"/>
    </w:pPr>
    <w:rPr>
      <w:b/>
      <w:caps/>
    </w:rPr>
  </w:style>
  <w:style w:type="paragraph" w:styleId="Heading2">
    <w:name w:val="heading 2"/>
    <w:basedOn w:val="Normal"/>
    <w:next w:val="Normal"/>
    <w:link w:val="Heading2Char"/>
    <w:uiPriority w:val="9"/>
    <w:qFormat/>
    <w:rsid w:val="00194875"/>
    <w:pPr>
      <w:keepNext/>
      <w:numPr>
        <w:ilvl w:val="1"/>
        <w:numId w:val="1"/>
      </w:numPr>
      <w:spacing w:before="360" w:after="60"/>
      <w:outlineLvl w:val="1"/>
    </w:pPr>
    <w:rPr>
      <w:b/>
    </w:rPr>
  </w:style>
  <w:style w:type="paragraph" w:styleId="Heading3">
    <w:name w:val="heading 3"/>
    <w:basedOn w:val="Normal"/>
    <w:next w:val="Normal"/>
    <w:link w:val="Heading3Char"/>
    <w:uiPriority w:val="9"/>
    <w:semiHidden/>
    <w:unhideWhenUsed/>
    <w:qFormat/>
    <w:rsid w:val="00C7195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9487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875"/>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194875"/>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1948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194875"/>
    <w:pPr>
      <w:tabs>
        <w:tab w:val="center" w:pos="4153"/>
        <w:tab w:val="right" w:pos="8306"/>
      </w:tabs>
    </w:pPr>
  </w:style>
  <w:style w:type="character" w:customStyle="1" w:styleId="FooterChar">
    <w:name w:val="Footer Char"/>
    <w:basedOn w:val="DefaultParagraphFont"/>
    <w:link w:val="Footer"/>
    <w:uiPriority w:val="99"/>
    <w:rsid w:val="00194875"/>
    <w:rPr>
      <w:rFonts w:ascii="Times New Roman" w:eastAsia="Times New Roman" w:hAnsi="Times New Roman" w:cs="Times New Roman"/>
      <w:sz w:val="24"/>
      <w:szCs w:val="20"/>
      <w:lang w:eastAsia="en-AU"/>
    </w:rPr>
  </w:style>
  <w:style w:type="paragraph" w:customStyle="1" w:styleId="HB-Paragraph">
    <w:name w:val="HB - Paragraph"/>
    <w:basedOn w:val="Normal"/>
    <w:rsid w:val="00194875"/>
    <w:pPr>
      <w:numPr>
        <w:ilvl w:val="2"/>
        <w:numId w:val="1"/>
      </w:numPr>
      <w:spacing w:before="120" w:after="120"/>
    </w:pPr>
  </w:style>
  <w:style w:type="paragraph" w:styleId="Header">
    <w:name w:val="header"/>
    <w:basedOn w:val="Normal"/>
    <w:link w:val="HeaderChar"/>
    <w:uiPriority w:val="99"/>
    <w:rsid w:val="00194875"/>
    <w:pPr>
      <w:tabs>
        <w:tab w:val="center" w:pos="4153"/>
        <w:tab w:val="right" w:pos="8306"/>
      </w:tabs>
    </w:pPr>
  </w:style>
  <w:style w:type="character" w:customStyle="1" w:styleId="HeaderChar">
    <w:name w:val="Header Char"/>
    <w:basedOn w:val="DefaultParagraphFont"/>
    <w:link w:val="Header"/>
    <w:uiPriority w:val="99"/>
    <w:rsid w:val="00194875"/>
    <w:rPr>
      <w:rFonts w:ascii="Times New Roman" w:eastAsia="Times New Roman" w:hAnsi="Times New Roman" w:cs="Times New Roman"/>
      <w:sz w:val="24"/>
      <w:szCs w:val="20"/>
      <w:lang w:eastAsia="en-AU"/>
    </w:rPr>
  </w:style>
  <w:style w:type="paragraph" w:styleId="NormalWeb">
    <w:name w:val="Normal (Web)"/>
    <w:basedOn w:val="Normal"/>
    <w:uiPriority w:val="99"/>
    <w:rsid w:val="00194875"/>
    <w:pPr>
      <w:spacing w:before="100" w:beforeAutospacing="1" w:after="100" w:afterAutospacing="1"/>
      <w:ind w:left="300"/>
    </w:pPr>
    <w:rPr>
      <w:szCs w:val="24"/>
    </w:rPr>
  </w:style>
  <w:style w:type="paragraph" w:customStyle="1" w:styleId="ParaNumbering">
    <w:name w:val="Para Numbering"/>
    <w:basedOn w:val="Normal"/>
    <w:rsid w:val="00194875"/>
    <w:pPr>
      <w:tabs>
        <w:tab w:val="num" w:pos="360"/>
        <w:tab w:val="left" w:pos="567"/>
      </w:tabs>
      <w:spacing w:before="0" w:after="240" w:line="240" w:lineRule="atLeast"/>
    </w:pPr>
    <w:rPr>
      <w:lang w:eastAsia="en-US"/>
    </w:rPr>
  </w:style>
  <w:style w:type="paragraph" w:styleId="ListParagraph">
    <w:name w:val="List Paragraph"/>
    <w:basedOn w:val="Normal"/>
    <w:uiPriority w:val="34"/>
    <w:qFormat/>
    <w:rsid w:val="00194875"/>
    <w:pPr>
      <w:spacing w:before="0"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194875"/>
    <w:pPr>
      <w:spacing w:before="100" w:beforeAutospacing="1" w:after="100" w:afterAutospacing="1"/>
    </w:pPr>
    <w:rPr>
      <w:rFonts w:eastAsiaTheme="minorHAnsi"/>
      <w:szCs w:val="24"/>
    </w:rPr>
  </w:style>
  <w:style w:type="paragraph" w:styleId="BalloonText">
    <w:name w:val="Balloon Text"/>
    <w:basedOn w:val="Normal"/>
    <w:link w:val="BalloonTextChar"/>
    <w:uiPriority w:val="99"/>
    <w:semiHidden/>
    <w:unhideWhenUsed/>
    <w:rsid w:val="00E20D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36"/>
    <w:rPr>
      <w:rFonts w:ascii="Tahoma" w:eastAsia="Times New Roman" w:hAnsi="Tahoma" w:cs="Tahoma"/>
      <w:sz w:val="16"/>
      <w:szCs w:val="16"/>
      <w:lang w:eastAsia="en-AU"/>
    </w:rPr>
  </w:style>
  <w:style w:type="paragraph" w:customStyle="1" w:styleId="TableText">
    <w:name w:val="TableText"/>
    <w:basedOn w:val="Normal"/>
    <w:uiPriority w:val="99"/>
    <w:rsid w:val="009E6B6F"/>
    <w:pPr>
      <w:spacing w:before="60" w:after="60" w:line="240" w:lineRule="exact"/>
    </w:pPr>
    <w:rPr>
      <w:rFonts w:eastAsiaTheme="minorHAnsi"/>
      <w:sz w:val="22"/>
      <w:szCs w:val="22"/>
    </w:rPr>
  </w:style>
  <w:style w:type="character" w:styleId="CommentReference">
    <w:name w:val="annotation reference"/>
    <w:basedOn w:val="DefaultParagraphFont"/>
    <w:uiPriority w:val="99"/>
    <w:semiHidden/>
    <w:unhideWhenUsed/>
    <w:rsid w:val="009E6B6F"/>
  </w:style>
  <w:style w:type="paragraph" w:customStyle="1" w:styleId="NumberList">
    <w:name w:val="Number List"/>
    <w:basedOn w:val="Normal"/>
    <w:rsid w:val="009E6B6F"/>
    <w:pPr>
      <w:numPr>
        <w:numId w:val="14"/>
      </w:numPr>
      <w:tabs>
        <w:tab w:val="left" w:pos="1985"/>
      </w:tabs>
      <w:spacing w:line="240" w:lineRule="atLeast"/>
    </w:pPr>
    <w:rPr>
      <w:szCs w:val="24"/>
      <w:lang w:eastAsia="en-US"/>
    </w:rPr>
  </w:style>
  <w:style w:type="paragraph" w:customStyle="1" w:styleId="NumberListSub">
    <w:name w:val="Number List Sub"/>
    <w:basedOn w:val="NumberList"/>
    <w:rsid w:val="009E6B6F"/>
    <w:pPr>
      <w:numPr>
        <w:ilvl w:val="1"/>
      </w:numPr>
      <w:tabs>
        <w:tab w:val="left" w:pos="2552"/>
      </w:tabs>
    </w:pPr>
  </w:style>
  <w:style w:type="character" w:customStyle="1" w:styleId="Heading3Char">
    <w:name w:val="Heading 3 Char"/>
    <w:basedOn w:val="DefaultParagraphFont"/>
    <w:link w:val="Heading3"/>
    <w:uiPriority w:val="9"/>
    <w:semiHidden/>
    <w:rsid w:val="00C71952"/>
    <w:rPr>
      <w:rFonts w:asciiTheme="majorHAnsi" w:eastAsiaTheme="majorEastAsia" w:hAnsiTheme="majorHAnsi" w:cstheme="majorBidi"/>
      <w:b/>
      <w:bCs/>
      <w:color w:val="4F81BD" w:themeColor="accent1"/>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75"/>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194875"/>
    <w:pPr>
      <w:keepNext/>
      <w:numPr>
        <w:numId w:val="1"/>
      </w:numPr>
      <w:spacing w:before="0"/>
      <w:outlineLvl w:val="0"/>
    </w:pPr>
    <w:rPr>
      <w:b/>
      <w:caps/>
    </w:rPr>
  </w:style>
  <w:style w:type="paragraph" w:styleId="Heading2">
    <w:name w:val="heading 2"/>
    <w:basedOn w:val="Normal"/>
    <w:next w:val="Normal"/>
    <w:link w:val="Heading2Char"/>
    <w:uiPriority w:val="9"/>
    <w:qFormat/>
    <w:rsid w:val="00194875"/>
    <w:pPr>
      <w:keepNext/>
      <w:numPr>
        <w:ilvl w:val="1"/>
        <w:numId w:val="1"/>
      </w:numPr>
      <w:spacing w:before="360" w:after="60"/>
      <w:outlineLvl w:val="1"/>
    </w:pPr>
    <w:rPr>
      <w:b/>
    </w:rPr>
  </w:style>
  <w:style w:type="paragraph" w:styleId="Heading3">
    <w:name w:val="heading 3"/>
    <w:basedOn w:val="Normal"/>
    <w:next w:val="Normal"/>
    <w:link w:val="Heading3Char"/>
    <w:uiPriority w:val="9"/>
    <w:semiHidden/>
    <w:unhideWhenUsed/>
    <w:qFormat/>
    <w:rsid w:val="00C7195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9487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875"/>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194875"/>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1948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194875"/>
    <w:pPr>
      <w:tabs>
        <w:tab w:val="center" w:pos="4153"/>
        <w:tab w:val="right" w:pos="8306"/>
      </w:tabs>
    </w:pPr>
  </w:style>
  <w:style w:type="character" w:customStyle="1" w:styleId="FooterChar">
    <w:name w:val="Footer Char"/>
    <w:basedOn w:val="DefaultParagraphFont"/>
    <w:link w:val="Footer"/>
    <w:uiPriority w:val="99"/>
    <w:rsid w:val="00194875"/>
    <w:rPr>
      <w:rFonts w:ascii="Times New Roman" w:eastAsia="Times New Roman" w:hAnsi="Times New Roman" w:cs="Times New Roman"/>
      <w:sz w:val="24"/>
      <w:szCs w:val="20"/>
      <w:lang w:eastAsia="en-AU"/>
    </w:rPr>
  </w:style>
  <w:style w:type="paragraph" w:customStyle="1" w:styleId="HB-Paragraph">
    <w:name w:val="HB - Paragraph"/>
    <w:basedOn w:val="Normal"/>
    <w:rsid w:val="00194875"/>
    <w:pPr>
      <w:numPr>
        <w:ilvl w:val="2"/>
        <w:numId w:val="1"/>
      </w:numPr>
      <w:spacing w:before="120" w:after="120"/>
    </w:pPr>
  </w:style>
  <w:style w:type="paragraph" w:styleId="Header">
    <w:name w:val="header"/>
    <w:basedOn w:val="Normal"/>
    <w:link w:val="HeaderChar"/>
    <w:uiPriority w:val="99"/>
    <w:rsid w:val="00194875"/>
    <w:pPr>
      <w:tabs>
        <w:tab w:val="center" w:pos="4153"/>
        <w:tab w:val="right" w:pos="8306"/>
      </w:tabs>
    </w:pPr>
  </w:style>
  <w:style w:type="character" w:customStyle="1" w:styleId="HeaderChar">
    <w:name w:val="Header Char"/>
    <w:basedOn w:val="DefaultParagraphFont"/>
    <w:link w:val="Header"/>
    <w:uiPriority w:val="99"/>
    <w:rsid w:val="00194875"/>
    <w:rPr>
      <w:rFonts w:ascii="Times New Roman" w:eastAsia="Times New Roman" w:hAnsi="Times New Roman" w:cs="Times New Roman"/>
      <w:sz w:val="24"/>
      <w:szCs w:val="20"/>
      <w:lang w:eastAsia="en-AU"/>
    </w:rPr>
  </w:style>
  <w:style w:type="paragraph" w:styleId="NormalWeb">
    <w:name w:val="Normal (Web)"/>
    <w:basedOn w:val="Normal"/>
    <w:uiPriority w:val="99"/>
    <w:rsid w:val="00194875"/>
    <w:pPr>
      <w:spacing w:before="100" w:beforeAutospacing="1" w:after="100" w:afterAutospacing="1"/>
      <w:ind w:left="300"/>
    </w:pPr>
    <w:rPr>
      <w:szCs w:val="24"/>
    </w:rPr>
  </w:style>
  <w:style w:type="paragraph" w:customStyle="1" w:styleId="ParaNumbering">
    <w:name w:val="Para Numbering"/>
    <w:basedOn w:val="Normal"/>
    <w:rsid w:val="00194875"/>
    <w:pPr>
      <w:tabs>
        <w:tab w:val="num" w:pos="360"/>
        <w:tab w:val="left" w:pos="567"/>
      </w:tabs>
      <w:spacing w:before="0" w:after="240" w:line="240" w:lineRule="atLeast"/>
    </w:pPr>
    <w:rPr>
      <w:lang w:eastAsia="en-US"/>
    </w:rPr>
  </w:style>
  <w:style w:type="paragraph" w:styleId="ListParagraph">
    <w:name w:val="List Paragraph"/>
    <w:basedOn w:val="Normal"/>
    <w:uiPriority w:val="34"/>
    <w:qFormat/>
    <w:rsid w:val="00194875"/>
    <w:pPr>
      <w:spacing w:before="0"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194875"/>
    <w:pPr>
      <w:spacing w:before="100" w:beforeAutospacing="1" w:after="100" w:afterAutospacing="1"/>
    </w:pPr>
    <w:rPr>
      <w:rFonts w:eastAsiaTheme="minorHAnsi"/>
      <w:szCs w:val="24"/>
    </w:rPr>
  </w:style>
  <w:style w:type="paragraph" w:styleId="BalloonText">
    <w:name w:val="Balloon Text"/>
    <w:basedOn w:val="Normal"/>
    <w:link w:val="BalloonTextChar"/>
    <w:uiPriority w:val="99"/>
    <w:semiHidden/>
    <w:unhideWhenUsed/>
    <w:rsid w:val="00E20D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36"/>
    <w:rPr>
      <w:rFonts w:ascii="Tahoma" w:eastAsia="Times New Roman" w:hAnsi="Tahoma" w:cs="Tahoma"/>
      <w:sz w:val="16"/>
      <w:szCs w:val="16"/>
      <w:lang w:eastAsia="en-AU"/>
    </w:rPr>
  </w:style>
  <w:style w:type="paragraph" w:customStyle="1" w:styleId="TableText">
    <w:name w:val="TableText"/>
    <w:basedOn w:val="Normal"/>
    <w:uiPriority w:val="99"/>
    <w:rsid w:val="009E6B6F"/>
    <w:pPr>
      <w:spacing w:before="60" w:after="60" w:line="240" w:lineRule="exact"/>
    </w:pPr>
    <w:rPr>
      <w:rFonts w:eastAsiaTheme="minorHAnsi"/>
      <w:sz w:val="22"/>
      <w:szCs w:val="22"/>
    </w:rPr>
  </w:style>
  <w:style w:type="character" w:styleId="CommentReference">
    <w:name w:val="annotation reference"/>
    <w:basedOn w:val="DefaultParagraphFont"/>
    <w:uiPriority w:val="99"/>
    <w:semiHidden/>
    <w:unhideWhenUsed/>
    <w:rsid w:val="009E6B6F"/>
  </w:style>
  <w:style w:type="paragraph" w:customStyle="1" w:styleId="NumberList">
    <w:name w:val="Number List"/>
    <w:basedOn w:val="Normal"/>
    <w:rsid w:val="009E6B6F"/>
    <w:pPr>
      <w:numPr>
        <w:numId w:val="14"/>
      </w:numPr>
      <w:tabs>
        <w:tab w:val="left" w:pos="1985"/>
      </w:tabs>
      <w:spacing w:line="240" w:lineRule="atLeast"/>
    </w:pPr>
    <w:rPr>
      <w:szCs w:val="24"/>
      <w:lang w:eastAsia="en-US"/>
    </w:rPr>
  </w:style>
  <w:style w:type="paragraph" w:customStyle="1" w:styleId="NumberListSub">
    <w:name w:val="Number List Sub"/>
    <w:basedOn w:val="NumberList"/>
    <w:rsid w:val="009E6B6F"/>
    <w:pPr>
      <w:numPr>
        <w:ilvl w:val="1"/>
      </w:numPr>
      <w:tabs>
        <w:tab w:val="left" w:pos="2552"/>
      </w:tabs>
    </w:pPr>
  </w:style>
  <w:style w:type="character" w:customStyle="1" w:styleId="Heading3Char">
    <w:name w:val="Heading 3 Char"/>
    <w:basedOn w:val="DefaultParagraphFont"/>
    <w:link w:val="Heading3"/>
    <w:uiPriority w:val="9"/>
    <w:semiHidden/>
    <w:rsid w:val="00C71952"/>
    <w:rPr>
      <w:rFonts w:asciiTheme="majorHAnsi" w:eastAsiaTheme="majorEastAsia" w:hAnsiTheme="majorHAnsi" w:cstheme="majorBidi"/>
      <w:b/>
      <w:bCs/>
      <w:color w:val="4F81BD" w:themeColor="accent1"/>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5209">
      <w:bodyDiv w:val="1"/>
      <w:marLeft w:val="0"/>
      <w:marRight w:val="0"/>
      <w:marTop w:val="0"/>
      <w:marBottom w:val="0"/>
      <w:divBdr>
        <w:top w:val="none" w:sz="0" w:space="0" w:color="auto"/>
        <w:left w:val="none" w:sz="0" w:space="0" w:color="auto"/>
        <w:bottom w:val="none" w:sz="0" w:space="0" w:color="auto"/>
        <w:right w:val="none" w:sz="0" w:space="0" w:color="auto"/>
      </w:divBdr>
    </w:div>
    <w:div w:id="612052059">
      <w:bodyDiv w:val="1"/>
      <w:marLeft w:val="0"/>
      <w:marRight w:val="0"/>
      <w:marTop w:val="0"/>
      <w:marBottom w:val="0"/>
      <w:divBdr>
        <w:top w:val="none" w:sz="0" w:space="0" w:color="auto"/>
        <w:left w:val="none" w:sz="0" w:space="0" w:color="auto"/>
        <w:bottom w:val="none" w:sz="0" w:space="0" w:color="auto"/>
        <w:right w:val="none" w:sz="0" w:space="0" w:color="auto"/>
      </w:divBdr>
      <w:divsChild>
        <w:div w:id="1968968386">
          <w:marLeft w:val="0"/>
          <w:marRight w:val="0"/>
          <w:marTop w:val="0"/>
          <w:marBottom w:val="0"/>
          <w:divBdr>
            <w:top w:val="none" w:sz="0" w:space="0" w:color="auto"/>
            <w:left w:val="none" w:sz="0" w:space="0" w:color="auto"/>
            <w:bottom w:val="none" w:sz="0" w:space="0" w:color="auto"/>
            <w:right w:val="none" w:sz="0" w:space="0" w:color="auto"/>
          </w:divBdr>
          <w:divsChild>
            <w:div w:id="1554268171">
              <w:marLeft w:val="0"/>
              <w:marRight w:val="0"/>
              <w:marTop w:val="0"/>
              <w:marBottom w:val="0"/>
              <w:divBdr>
                <w:top w:val="none" w:sz="0" w:space="0" w:color="auto"/>
                <w:left w:val="none" w:sz="0" w:space="0" w:color="auto"/>
                <w:bottom w:val="none" w:sz="0" w:space="0" w:color="auto"/>
                <w:right w:val="none" w:sz="0" w:space="0" w:color="auto"/>
              </w:divBdr>
              <w:divsChild>
                <w:div w:id="109714446">
                  <w:marLeft w:val="13"/>
                  <w:marRight w:val="13"/>
                  <w:marTop w:val="0"/>
                  <w:marBottom w:val="0"/>
                  <w:divBdr>
                    <w:top w:val="single" w:sz="4" w:space="0" w:color="FFFFFF"/>
                    <w:left w:val="single" w:sz="4" w:space="0" w:color="FFFFFF"/>
                    <w:bottom w:val="single" w:sz="4" w:space="9" w:color="FFFFFF"/>
                    <w:right w:val="single" w:sz="4" w:space="0" w:color="FFFFFF"/>
                  </w:divBdr>
                  <w:divsChild>
                    <w:div w:id="1597130587">
                      <w:marLeft w:val="250"/>
                      <w:marRight w:val="250"/>
                      <w:marTop w:val="250"/>
                      <w:marBottom w:val="0"/>
                      <w:divBdr>
                        <w:top w:val="none" w:sz="0" w:space="0" w:color="auto"/>
                        <w:left w:val="none" w:sz="0" w:space="0" w:color="auto"/>
                        <w:bottom w:val="none" w:sz="0" w:space="0" w:color="auto"/>
                        <w:right w:val="none" w:sz="0" w:space="0" w:color="auto"/>
                      </w:divBdr>
                      <w:divsChild>
                        <w:div w:id="118964031">
                          <w:marLeft w:val="0"/>
                          <w:marRight w:val="0"/>
                          <w:marTop w:val="0"/>
                          <w:marBottom w:val="13"/>
                          <w:divBdr>
                            <w:top w:val="single" w:sz="4" w:space="12" w:color="C8C8C8"/>
                            <w:left w:val="single" w:sz="4" w:space="13" w:color="C8C8C8"/>
                            <w:bottom w:val="single" w:sz="4" w:space="0" w:color="C8C8C8"/>
                            <w:right w:val="single" w:sz="4" w:space="13" w:color="C8C8C8"/>
                          </w:divBdr>
                          <w:divsChild>
                            <w:div w:id="1801651342">
                              <w:marLeft w:val="0"/>
                              <w:marRight w:val="0"/>
                              <w:marTop w:val="0"/>
                              <w:marBottom w:val="0"/>
                              <w:divBdr>
                                <w:top w:val="none" w:sz="0" w:space="0" w:color="auto"/>
                                <w:left w:val="none" w:sz="0" w:space="0" w:color="auto"/>
                                <w:bottom w:val="none" w:sz="0" w:space="0" w:color="auto"/>
                                <w:right w:val="none" w:sz="0" w:space="0" w:color="auto"/>
                              </w:divBdr>
                            </w:div>
                            <w:div w:id="14668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0927">
      <w:bodyDiv w:val="1"/>
      <w:marLeft w:val="0"/>
      <w:marRight w:val="0"/>
      <w:marTop w:val="0"/>
      <w:marBottom w:val="0"/>
      <w:divBdr>
        <w:top w:val="none" w:sz="0" w:space="0" w:color="auto"/>
        <w:left w:val="none" w:sz="0" w:space="0" w:color="auto"/>
        <w:bottom w:val="none" w:sz="0" w:space="0" w:color="auto"/>
        <w:right w:val="none" w:sz="0" w:space="0" w:color="auto"/>
      </w:divBdr>
    </w:div>
    <w:div w:id="1452477517">
      <w:bodyDiv w:val="1"/>
      <w:marLeft w:val="0"/>
      <w:marRight w:val="0"/>
      <w:marTop w:val="0"/>
      <w:marBottom w:val="0"/>
      <w:divBdr>
        <w:top w:val="none" w:sz="0" w:space="0" w:color="auto"/>
        <w:left w:val="none" w:sz="0" w:space="0" w:color="auto"/>
        <w:bottom w:val="none" w:sz="0" w:space="0" w:color="auto"/>
        <w:right w:val="none" w:sz="0" w:space="0" w:color="auto"/>
      </w:divBdr>
    </w:div>
    <w:div w:id="1504854705">
      <w:bodyDiv w:val="1"/>
      <w:marLeft w:val="0"/>
      <w:marRight w:val="0"/>
      <w:marTop w:val="0"/>
      <w:marBottom w:val="0"/>
      <w:divBdr>
        <w:top w:val="none" w:sz="0" w:space="0" w:color="auto"/>
        <w:left w:val="none" w:sz="0" w:space="0" w:color="auto"/>
        <w:bottom w:val="none" w:sz="0" w:space="0" w:color="auto"/>
        <w:right w:val="none" w:sz="0" w:space="0" w:color="auto"/>
      </w:divBdr>
      <w:divsChild>
        <w:div w:id="1923758019">
          <w:marLeft w:val="0"/>
          <w:marRight w:val="0"/>
          <w:marTop w:val="0"/>
          <w:marBottom w:val="0"/>
          <w:divBdr>
            <w:top w:val="none" w:sz="0" w:space="0" w:color="auto"/>
            <w:left w:val="none" w:sz="0" w:space="0" w:color="auto"/>
            <w:bottom w:val="none" w:sz="0" w:space="0" w:color="auto"/>
            <w:right w:val="none" w:sz="0" w:space="0" w:color="auto"/>
          </w:divBdr>
          <w:divsChild>
            <w:div w:id="720789534">
              <w:marLeft w:val="0"/>
              <w:marRight w:val="0"/>
              <w:marTop w:val="0"/>
              <w:marBottom w:val="0"/>
              <w:divBdr>
                <w:top w:val="none" w:sz="0" w:space="0" w:color="auto"/>
                <w:left w:val="none" w:sz="0" w:space="0" w:color="auto"/>
                <w:bottom w:val="none" w:sz="0" w:space="0" w:color="auto"/>
                <w:right w:val="none" w:sz="0" w:space="0" w:color="auto"/>
              </w:divBdr>
              <w:divsChild>
                <w:div w:id="979770514">
                  <w:marLeft w:val="13"/>
                  <w:marRight w:val="13"/>
                  <w:marTop w:val="0"/>
                  <w:marBottom w:val="0"/>
                  <w:divBdr>
                    <w:top w:val="single" w:sz="4" w:space="0" w:color="FFFFFF"/>
                    <w:left w:val="single" w:sz="4" w:space="0" w:color="FFFFFF"/>
                    <w:bottom w:val="single" w:sz="4" w:space="9" w:color="FFFFFF"/>
                    <w:right w:val="single" w:sz="4" w:space="0" w:color="FFFFFF"/>
                  </w:divBdr>
                  <w:divsChild>
                    <w:div w:id="857542662">
                      <w:marLeft w:val="250"/>
                      <w:marRight w:val="250"/>
                      <w:marTop w:val="250"/>
                      <w:marBottom w:val="0"/>
                      <w:divBdr>
                        <w:top w:val="none" w:sz="0" w:space="0" w:color="auto"/>
                        <w:left w:val="none" w:sz="0" w:space="0" w:color="auto"/>
                        <w:bottom w:val="none" w:sz="0" w:space="0" w:color="auto"/>
                        <w:right w:val="none" w:sz="0" w:space="0" w:color="auto"/>
                      </w:divBdr>
                      <w:divsChild>
                        <w:div w:id="489952402">
                          <w:marLeft w:val="0"/>
                          <w:marRight w:val="0"/>
                          <w:marTop w:val="0"/>
                          <w:marBottom w:val="13"/>
                          <w:divBdr>
                            <w:top w:val="single" w:sz="4" w:space="12" w:color="C8C8C8"/>
                            <w:left w:val="single" w:sz="4" w:space="13" w:color="C8C8C8"/>
                            <w:bottom w:val="single" w:sz="4" w:space="0" w:color="C8C8C8"/>
                            <w:right w:val="single" w:sz="4" w:space="13" w:color="C8C8C8"/>
                          </w:divBdr>
                          <w:divsChild>
                            <w:div w:id="1398816759">
                              <w:marLeft w:val="0"/>
                              <w:marRight w:val="0"/>
                              <w:marTop w:val="0"/>
                              <w:marBottom w:val="0"/>
                              <w:divBdr>
                                <w:top w:val="none" w:sz="0" w:space="0" w:color="auto"/>
                                <w:left w:val="none" w:sz="0" w:space="0" w:color="auto"/>
                                <w:bottom w:val="none" w:sz="0" w:space="0" w:color="auto"/>
                                <w:right w:val="none" w:sz="0" w:space="0" w:color="auto"/>
                              </w:divBdr>
                            </w:div>
                            <w:div w:id="21108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9618">
      <w:bodyDiv w:val="1"/>
      <w:marLeft w:val="0"/>
      <w:marRight w:val="0"/>
      <w:marTop w:val="0"/>
      <w:marBottom w:val="0"/>
      <w:divBdr>
        <w:top w:val="none" w:sz="0" w:space="0" w:color="auto"/>
        <w:left w:val="none" w:sz="0" w:space="0" w:color="auto"/>
        <w:bottom w:val="none" w:sz="0" w:space="0" w:color="auto"/>
        <w:right w:val="none" w:sz="0" w:space="0" w:color="auto"/>
      </w:divBdr>
    </w:div>
    <w:div w:id="1699693739">
      <w:bodyDiv w:val="1"/>
      <w:marLeft w:val="0"/>
      <w:marRight w:val="0"/>
      <w:marTop w:val="0"/>
      <w:marBottom w:val="0"/>
      <w:divBdr>
        <w:top w:val="none" w:sz="0" w:space="0" w:color="auto"/>
        <w:left w:val="none" w:sz="0" w:space="0" w:color="auto"/>
        <w:bottom w:val="none" w:sz="0" w:space="0" w:color="auto"/>
        <w:right w:val="none" w:sz="0" w:space="0" w:color="auto"/>
      </w:divBdr>
    </w:div>
    <w:div w:id="19525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Ravsan</dc:creator>
  <cp:lastModifiedBy>Hilhorst, Matt</cp:lastModifiedBy>
  <cp:revision>2</cp:revision>
  <cp:lastPrinted>2013-03-20T06:28:00Z</cp:lastPrinted>
  <dcterms:created xsi:type="dcterms:W3CDTF">2013-03-27T02:46:00Z</dcterms:created>
  <dcterms:modified xsi:type="dcterms:W3CDTF">2013-03-27T02:46:00Z</dcterms:modified>
</cp:coreProperties>
</file>