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1A" w:rsidRPr="001C34C1" w:rsidRDefault="003D361A" w:rsidP="003D361A">
      <w:pPr>
        <w:pStyle w:val="Paragraph"/>
        <w:spacing w:before="0" w:after="0"/>
        <w:jc w:val="center"/>
        <w:rPr>
          <w:b/>
          <w:u w:val="single"/>
        </w:rPr>
      </w:pPr>
      <w:r w:rsidRPr="001C34C1">
        <w:rPr>
          <w:b/>
          <w:u w:val="single"/>
        </w:rPr>
        <w:t>EXPLANATORY STATEMENT</w:t>
      </w:r>
    </w:p>
    <w:p w:rsidR="003D361A" w:rsidRPr="001C34C1" w:rsidRDefault="003D361A" w:rsidP="003D361A">
      <w:pPr>
        <w:pStyle w:val="Paragraph"/>
        <w:spacing w:before="0" w:after="0"/>
        <w:jc w:val="center"/>
        <w:rPr>
          <w:b/>
          <w:u w:val="single"/>
        </w:rPr>
      </w:pPr>
    </w:p>
    <w:p w:rsidR="00CC03C0" w:rsidRPr="001C34C1" w:rsidRDefault="00CC03C0" w:rsidP="003D361A">
      <w:pPr>
        <w:pStyle w:val="Paragraph"/>
        <w:spacing w:before="0" w:after="0"/>
        <w:jc w:val="center"/>
        <w:rPr>
          <w:b/>
          <w:u w:val="single"/>
        </w:rPr>
      </w:pPr>
    </w:p>
    <w:p w:rsidR="003D361A" w:rsidRPr="001C34C1" w:rsidRDefault="00CC03C0" w:rsidP="00CC03C0">
      <w:pPr>
        <w:spacing w:before="240" w:after="0" w:line="240" w:lineRule="auto"/>
        <w:ind w:left="1418" w:right="91" w:hanging="1418"/>
        <w:rPr>
          <w:rFonts w:ascii="Times New Roman" w:eastAsia="Times New Roman" w:hAnsi="Times New Roman"/>
          <w:sz w:val="24"/>
          <w:szCs w:val="20"/>
          <w:lang w:eastAsia="en-AU"/>
        </w:rPr>
      </w:pPr>
      <w:r w:rsidRPr="001C34C1">
        <w:rPr>
          <w:rFonts w:ascii="Times New Roman" w:eastAsia="Times New Roman" w:hAnsi="Times New Roman"/>
          <w:sz w:val="24"/>
          <w:szCs w:val="20"/>
          <w:lang w:eastAsia="en-AU"/>
        </w:rPr>
        <w:t>Subject</w:t>
      </w:r>
      <w:r w:rsidRPr="001C34C1">
        <w:rPr>
          <w:rFonts w:ascii="Times New Roman" w:eastAsia="Times New Roman" w:hAnsi="Times New Roman"/>
          <w:sz w:val="24"/>
          <w:szCs w:val="20"/>
          <w:lang w:eastAsia="en-AU"/>
        </w:rPr>
        <w:tab/>
      </w:r>
      <w:r w:rsidR="00AC01FF" w:rsidRPr="001C34C1">
        <w:rPr>
          <w:rFonts w:ascii="Times New Roman" w:eastAsia="Times New Roman" w:hAnsi="Times New Roman"/>
          <w:i/>
          <w:sz w:val="24"/>
          <w:szCs w:val="20"/>
          <w:lang w:eastAsia="en-AU"/>
        </w:rPr>
        <w:t xml:space="preserve">Courts Legislation Amendment (Judicial Complaints) Act 2012 </w:t>
      </w:r>
      <w:r w:rsidR="00AC2B85" w:rsidRPr="001C34C1">
        <w:rPr>
          <w:rFonts w:ascii="Times New Roman" w:eastAsia="Times New Roman" w:hAnsi="Times New Roman"/>
          <w:i/>
          <w:iCs/>
          <w:sz w:val="24"/>
          <w:szCs w:val="24"/>
          <w:lang w:eastAsia="en-AU"/>
        </w:rPr>
        <w:t>Judicial </w:t>
      </w:r>
      <w:r w:rsidR="00AC01FF" w:rsidRPr="001C34C1">
        <w:rPr>
          <w:rFonts w:ascii="Times New Roman" w:eastAsia="Times New Roman" w:hAnsi="Times New Roman"/>
          <w:i/>
          <w:iCs/>
          <w:sz w:val="24"/>
          <w:szCs w:val="24"/>
          <w:lang w:eastAsia="en-AU"/>
        </w:rPr>
        <w:t>Misbehaviour and Incapacity (Parliamentary Commissions) Act 2012</w:t>
      </w:r>
    </w:p>
    <w:p w:rsidR="002273E4" w:rsidRPr="001C34C1" w:rsidRDefault="003D361A" w:rsidP="00CC03C0">
      <w:pPr>
        <w:pStyle w:val="Paragraph"/>
        <w:spacing w:after="0"/>
        <w:ind w:firstLine="1418"/>
      </w:pPr>
      <w:r w:rsidRPr="001C34C1">
        <w:t>Proclamation</w:t>
      </w:r>
      <w:r w:rsidR="003C5688" w:rsidRPr="001C34C1">
        <w:t>s</w:t>
      </w:r>
    </w:p>
    <w:p w:rsidR="00CC03C0" w:rsidRPr="001C34C1" w:rsidRDefault="002273E4" w:rsidP="00CC03C0">
      <w:pPr>
        <w:pStyle w:val="Paragraph"/>
        <w:spacing w:after="0"/>
        <w:rPr>
          <w:szCs w:val="20"/>
          <w:lang w:eastAsia="en-AU"/>
        </w:rPr>
      </w:pPr>
      <w:r w:rsidRPr="001C34C1">
        <w:rPr>
          <w:szCs w:val="20"/>
          <w:lang w:eastAsia="en-AU"/>
        </w:rPr>
        <w:t>These</w:t>
      </w:r>
      <w:r w:rsidR="00F850CA">
        <w:rPr>
          <w:szCs w:val="20"/>
          <w:lang w:eastAsia="en-AU"/>
        </w:rPr>
        <w:t xml:space="preserve"> Proclamations set 12 April 2013</w:t>
      </w:r>
      <w:bookmarkStart w:id="0" w:name="_GoBack"/>
      <w:bookmarkEnd w:id="0"/>
      <w:r w:rsidRPr="001C34C1">
        <w:rPr>
          <w:szCs w:val="20"/>
          <w:lang w:eastAsia="en-AU"/>
        </w:rPr>
        <w:t xml:space="preserve"> as the date for commencement of Schedule 1 to the </w:t>
      </w:r>
      <w:r w:rsidRPr="001C34C1">
        <w:rPr>
          <w:i/>
          <w:szCs w:val="20"/>
          <w:lang w:eastAsia="en-AU"/>
        </w:rPr>
        <w:t>Courts Legislation Amendment (Judicial Complaints) Act 2012</w:t>
      </w:r>
      <w:r w:rsidR="00E056B1" w:rsidRPr="001C34C1">
        <w:rPr>
          <w:szCs w:val="20"/>
          <w:lang w:eastAsia="en-AU"/>
        </w:rPr>
        <w:t xml:space="preserve"> (Judicial Complaints Act) and sections </w:t>
      </w:r>
      <w:r w:rsidRPr="001C34C1">
        <w:rPr>
          <w:szCs w:val="20"/>
          <w:lang w:eastAsia="en-AU"/>
        </w:rPr>
        <w:t>3</w:t>
      </w:r>
      <w:r w:rsidR="005D2D17" w:rsidRPr="001C34C1">
        <w:rPr>
          <w:szCs w:val="20"/>
          <w:lang w:eastAsia="en-AU"/>
        </w:rPr>
        <w:t xml:space="preserve"> to </w:t>
      </w:r>
      <w:r w:rsidRPr="001C34C1">
        <w:rPr>
          <w:szCs w:val="20"/>
          <w:lang w:eastAsia="en-AU"/>
        </w:rPr>
        <w:t>83 of the</w:t>
      </w:r>
      <w:r w:rsidRPr="001C34C1">
        <w:rPr>
          <w:i/>
          <w:lang w:val="en-US" w:eastAsia="en-AU"/>
        </w:rPr>
        <w:t xml:space="preserve"> Judicial Misbehaviour and Incapacity (Parliamentary Commissions) Act 2012</w:t>
      </w:r>
      <w:r w:rsidR="00E056B1" w:rsidRPr="001C34C1">
        <w:rPr>
          <w:lang w:val="en-US" w:eastAsia="en-AU"/>
        </w:rPr>
        <w:t xml:space="preserve"> (</w:t>
      </w:r>
      <w:r w:rsidR="00F40555" w:rsidRPr="001C34C1">
        <w:rPr>
          <w:lang w:val="en-US" w:eastAsia="en-AU"/>
        </w:rPr>
        <w:t>Parliamentary</w:t>
      </w:r>
      <w:r w:rsidR="00E056B1" w:rsidRPr="001C34C1">
        <w:rPr>
          <w:lang w:val="en-US" w:eastAsia="en-AU"/>
        </w:rPr>
        <w:t xml:space="preserve"> Commissions Act)</w:t>
      </w:r>
      <w:r w:rsidRPr="001C34C1">
        <w:rPr>
          <w:szCs w:val="20"/>
          <w:lang w:eastAsia="en-AU"/>
        </w:rPr>
        <w:t>.</w:t>
      </w:r>
    </w:p>
    <w:p w:rsidR="002273E4" w:rsidRPr="001C34C1" w:rsidRDefault="00F40555" w:rsidP="00CC03C0">
      <w:pPr>
        <w:pStyle w:val="Paragraph"/>
        <w:spacing w:after="0"/>
        <w:rPr>
          <w:i/>
          <w:szCs w:val="20"/>
          <w:lang w:eastAsia="en-AU"/>
        </w:rPr>
      </w:pPr>
      <w:r w:rsidRPr="001C34C1">
        <w:t xml:space="preserve">It is proposed that both the Judicial Complaints Act and the Parliamentary Commissions Act commence on 12 April 2013. </w:t>
      </w:r>
      <w:r w:rsidR="00CC03C0" w:rsidRPr="001C34C1">
        <w:t xml:space="preserve"> </w:t>
      </w:r>
      <w:r w:rsidR="002273E4" w:rsidRPr="001C34C1">
        <w:rPr>
          <w:lang w:val="en-US" w:eastAsia="en-AU"/>
        </w:rPr>
        <w:t xml:space="preserve">Concurrent commencement dates will ensure practical steps necessary for implementation of the judicial complaints reforms can be jointly progressed, facilitating </w:t>
      </w:r>
      <w:r w:rsidR="002273E4" w:rsidRPr="001C34C1">
        <w:t>a smooth and coordinated transition to the new arrangements for the federal courts and other stakeholders.</w:t>
      </w:r>
    </w:p>
    <w:p w:rsidR="00C156F3" w:rsidRPr="001C34C1" w:rsidRDefault="00C156F3" w:rsidP="00CC03C0">
      <w:pPr>
        <w:pStyle w:val="Paragraph"/>
        <w:spacing w:after="0"/>
        <w:rPr>
          <w:i/>
          <w:szCs w:val="20"/>
          <w:lang w:eastAsia="en-AU"/>
        </w:rPr>
      </w:pPr>
      <w:r w:rsidRPr="001C34C1">
        <w:rPr>
          <w:i/>
          <w:szCs w:val="20"/>
          <w:lang w:eastAsia="en-AU"/>
        </w:rPr>
        <w:t>Courts Legislation Amendment (Judicial Complaints) Act 2012</w:t>
      </w:r>
    </w:p>
    <w:p w:rsidR="00CC03C0" w:rsidRPr="001C34C1" w:rsidRDefault="00815CE4" w:rsidP="00CC03C0">
      <w:pPr>
        <w:shd w:val="clear" w:color="auto" w:fill="FFFFFF"/>
        <w:spacing w:before="240" w:after="0" w:line="240" w:lineRule="auto"/>
        <w:rPr>
          <w:rFonts w:ascii="Times New Roman" w:eastAsia="Times New Roman" w:hAnsi="Times New Roman"/>
          <w:sz w:val="24"/>
          <w:szCs w:val="24"/>
          <w:lang w:val="en-US" w:eastAsia="en-AU"/>
        </w:rPr>
      </w:pPr>
      <w:bookmarkStart w:id="1" w:name="OLE_LINK3"/>
      <w:r w:rsidRPr="001C34C1">
        <w:rPr>
          <w:rFonts w:ascii="Times New Roman" w:eastAsia="Times New Roman" w:hAnsi="Times New Roman"/>
          <w:sz w:val="24"/>
          <w:szCs w:val="24"/>
          <w:lang w:val="en-US" w:eastAsia="en-AU"/>
        </w:rPr>
        <w:t>The Judicial Complaints Act, together with the Parliamentary Commissions Act will introduce greater transparency and accountability in handling of complaints about judicial officers in the federal courts other than the High Court of Australia.</w:t>
      </w:r>
      <w:r w:rsidR="005D2D17" w:rsidRPr="001C34C1">
        <w:rPr>
          <w:rFonts w:ascii="Times New Roman" w:eastAsia="Times New Roman" w:hAnsi="Times New Roman"/>
          <w:sz w:val="24"/>
          <w:szCs w:val="24"/>
          <w:lang w:val="en-US" w:eastAsia="en-AU"/>
        </w:rPr>
        <w:t xml:space="preserve">  A judicial officer is a person holding judicial office such as a Chief Justic</w:t>
      </w:r>
      <w:r w:rsidR="00CC03C0" w:rsidRPr="001C34C1">
        <w:rPr>
          <w:rFonts w:ascii="Times New Roman" w:eastAsia="Times New Roman" w:hAnsi="Times New Roman"/>
          <w:sz w:val="24"/>
          <w:szCs w:val="24"/>
          <w:lang w:val="en-US" w:eastAsia="en-AU"/>
        </w:rPr>
        <w:t>e, Judge or Federal Magistrate.</w:t>
      </w:r>
    </w:p>
    <w:p w:rsidR="00815CE4" w:rsidRPr="001C34C1" w:rsidRDefault="002259C9" w:rsidP="00CC03C0">
      <w:pPr>
        <w:shd w:val="clear" w:color="auto" w:fill="FFFFFF"/>
        <w:spacing w:before="240" w:after="0" w:line="240" w:lineRule="auto"/>
        <w:rPr>
          <w:rFonts w:ascii="Times New Roman" w:eastAsia="Times New Roman" w:hAnsi="Times New Roman"/>
          <w:lang w:val="en-US" w:eastAsia="en-AU"/>
        </w:rPr>
      </w:pPr>
      <w:r w:rsidRPr="001C34C1">
        <w:rPr>
          <w:rFonts w:ascii="Times New Roman" w:eastAsia="Times New Roman" w:hAnsi="Times New Roman"/>
          <w:sz w:val="24"/>
          <w:szCs w:val="24"/>
          <w:lang w:val="en-US" w:eastAsia="en-AU"/>
        </w:rPr>
        <w:t>Allegations of serious misconduct or incapacity rela</w:t>
      </w:r>
      <w:r w:rsidR="00CC03C0" w:rsidRPr="001C34C1">
        <w:rPr>
          <w:rFonts w:ascii="Times New Roman" w:eastAsia="Times New Roman" w:hAnsi="Times New Roman"/>
          <w:sz w:val="24"/>
          <w:szCs w:val="24"/>
          <w:lang w:val="en-US" w:eastAsia="en-AU"/>
        </w:rPr>
        <w:t>ting to a High Court Justice may be</w:t>
      </w:r>
      <w:r w:rsidRPr="001C34C1">
        <w:rPr>
          <w:rFonts w:ascii="Times New Roman" w:eastAsia="Times New Roman" w:hAnsi="Times New Roman"/>
          <w:sz w:val="24"/>
          <w:szCs w:val="24"/>
          <w:lang w:val="en-US" w:eastAsia="en-AU"/>
        </w:rPr>
        <w:t xml:space="preserve"> appropriately referred to Parliament</w:t>
      </w:r>
      <w:r w:rsidR="00CC03C0" w:rsidRPr="001C34C1">
        <w:rPr>
          <w:rFonts w:ascii="Times New Roman" w:eastAsia="Times New Roman" w:hAnsi="Times New Roman"/>
          <w:sz w:val="24"/>
          <w:szCs w:val="24"/>
          <w:lang w:val="en-US" w:eastAsia="en-AU"/>
        </w:rPr>
        <w:t xml:space="preserve"> for consi</w:t>
      </w:r>
      <w:r w:rsidR="003B3228">
        <w:rPr>
          <w:rFonts w:ascii="Times New Roman" w:eastAsia="Times New Roman" w:hAnsi="Times New Roman"/>
          <w:sz w:val="24"/>
          <w:szCs w:val="24"/>
          <w:lang w:val="en-US" w:eastAsia="en-AU"/>
        </w:rPr>
        <w:t xml:space="preserve">deration of removal from office </w:t>
      </w:r>
      <w:r w:rsidR="00CC03C0" w:rsidRPr="001C34C1">
        <w:rPr>
          <w:rFonts w:ascii="Times New Roman" w:eastAsia="Times New Roman" w:hAnsi="Times New Roman"/>
          <w:sz w:val="24"/>
          <w:szCs w:val="24"/>
          <w:lang w:val="en-US" w:eastAsia="en-AU"/>
        </w:rPr>
        <w:t>under section 72(ii) of the Constitution</w:t>
      </w:r>
      <w:r w:rsidRPr="001C34C1">
        <w:rPr>
          <w:rFonts w:ascii="Times New Roman" w:eastAsia="Times New Roman" w:hAnsi="Times New Roman"/>
          <w:sz w:val="24"/>
          <w:szCs w:val="24"/>
          <w:lang w:val="en-US" w:eastAsia="en-AU"/>
        </w:rPr>
        <w:t xml:space="preserve">, rather than being handled or investigated within the Court. </w:t>
      </w:r>
      <w:r w:rsidR="005D2D17" w:rsidRPr="001C34C1">
        <w:rPr>
          <w:rFonts w:ascii="Times New Roman" w:eastAsia="Times New Roman" w:hAnsi="Times New Roman"/>
          <w:sz w:val="24"/>
          <w:szCs w:val="24"/>
          <w:lang w:val="en-US" w:eastAsia="en-AU"/>
        </w:rPr>
        <w:t xml:space="preserve"> </w:t>
      </w:r>
      <w:r w:rsidR="00CC03C0" w:rsidRPr="001C34C1">
        <w:rPr>
          <w:rFonts w:ascii="Times New Roman" w:eastAsia="Times New Roman" w:hAnsi="Times New Roman"/>
          <w:sz w:val="24"/>
          <w:szCs w:val="24"/>
          <w:lang w:val="en-US" w:eastAsia="en-AU"/>
        </w:rPr>
        <w:t xml:space="preserve">This approach </w:t>
      </w:r>
      <w:r w:rsidR="00815CE4" w:rsidRPr="001C34C1">
        <w:rPr>
          <w:rFonts w:ascii="Times New Roman" w:eastAsia="Times New Roman" w:hAnsi="Times New Roman"/>
          <w:sz w:val="24"/>
          <w:szCs w:val="24"/>
          <w:lang w:val="en-US" w:eastAsia="en-AU"/>
        </w:rPr>
        <w:t xml:space="preserve">reflects the position of </w:t>
      </w:r>
      <w:r w:rsidR="00CC03C0" w:rsidRPr="001C34C1">
        <w:rPr>
          <w:rFonts w:ascii="Times New Roman" w:eastAsia="Times New Roman" w:hAnsi="Times New Roman"/>
          <w:sz w:val="24"/>
          <w:szCs w:val="24"/>
          <w:lang w:val="en-US" w:eastAsia="en-AU"/>
        </w:rPr>
        <w:t>the High Court as the apex of the Australian judicial</w:t>
      </w:r>
      <w:r w:rsidR="00815CE4" w:rsidRPr="001C34C1">
        <w:rPr>
          <w:rFonts w:ascii="Times New Roman" w:eastAsia="Times New Roman" w:hAnsi="Times New Roman"/>
          <w:sz w:val="24"/>
          <w:szCs w:val="24"/>
          <w:lang w:val="en-US" w:eastAsia="en-AU"/>
        </w:rPr>
        <w:t xml:space="preserve"> system and the </w:t>
      </w:r>
      <w:r w:rsidR="00CC03C0" w:rsidRPr="001C34C1">
        <w:rPr>
          <w:rFonts w:ascii="Times New Roman" w:eastAsia="Times New Roman" w:hAnsi="Times New Roman"/>
          <w:sz w:val="24"/>
          <w:szCs w:val="24"/>
          <w:lang w:val="en-US" w:eastAsia="en-AU"/>
        </w:rPr>
        <w:t>special nature of it</w:t>
      </w:r>
      <w:r w:rsidR="00815CE4" w:rsidRPr="001C34C1">
        <w:rPr>
          <w:rFonts w:ascii="Times New Roman" w:eastAsia="Times New Roman" w:hAnsi="Times New Roman"/>
          <w:sz w:val="24"/>
          <w:szCs w:val="24"/>
          <w:lang w:val="en-US" w:eastAsia="en-AU"/>
        </w:rPr>
        <w:t>s jurisdiction.</w:t>
      </w:r>
    </w:p>
    <w:p w:rsidR="00DB1AB4" w:rsidRPr="001C34C1" w:rsidRDefault="00DB1AB4" w:rsidP="00CC03C0">
      <w:pPr>
        <w:spacing w:before="240" w:after="0" w:line="240" w:lineRule="auto"/>
        <w:ind w:right="91"/>
        <w:rPr>
          <w:rFonts w:ascii="Times New Roman" w:eastAsia="Times New Roman" w:hAnsi="Times New Roman"/>
          <w:sz w:val="24"/>
          <w:szCs w:val="20"/>
          <w:lang w:eastAsia="en-AU"/>
        </w:rPr>
      </w:pPr>
      <w:r w:rsidRPr="001C34C1">
        <w:rPr>
          <w:rFonts w:ascii="Times New Roman" w:eastAsia="Times New Roman" w:hAnsi="Times New Roman"/>
          <w:sz w:val="24"/>
          <w:szCs w:val="20"/>
          <w:lang w:eastAsia="en-AU"/>
        </w:rPr>
        <w:t xml:space="preserve">Schedule 1 to the Act amends the </w:t>
      </w:r>
      <w:r w:rsidRPr="001C34C1">
        <w:rPr>
          <w:rFonts w:ascii="Times New Roman" w:eastAsia="Times New Roman" w:hAnsi="Times New Roman"/>
          <w:i/>
          <w:sz w:val="24"/>
          <w:szCs w:val="20"/>
          <w:lang w:eastAsia="en-AU"/>
        </w:rPr>
        <w:t>Family Law Act 1975</w:t>
      </w:r>
      <w:r w:rsidRPr="001C34C1">
        <w:rPr>
          <w:rFonts w:ascii="Times New Roman" w:eastAsia="Times New Roman" w:hAnsi="Times New Roman"/>
          <w:sz w:val="24"/>
          <w:szCs w:val="20"/>
          <w:lang w:eastAsia="en-AU"/>
        </w:rPr>
        <w:t xml:space="preserve">, the </w:t>
      </w:r>
      <w:r w:rsidRPr="001C34C1">
        <w:rPr>
          <w:rFonts w:ascii="Times New Roman" w:eastAsia="Times New Roman" w:hAnsi="Times New Roman"/>
          <w:i/>
          <w:sz w:val="24"/>
          <w:szCs w:val="20"/>
          <w:lang w:eastAsia="en-AU"/>
        </w:rPr>
        <w:t>Federal Court of Australia Act 1976</w:t>
      </w:r>
      <w:r w:rsidRPr="001C34C1">
        <w:rPr>
          <w:rFonts w:ascii="Times New Roman" w:eastAsia="Times New Roman" w:hAnsi="Times New Roman"/>
          <w:sz w:val="24"/>
          <w:szCs w:val="20"/>
          <w:lang w:eastAsia="en-AU"/>
        </w:rPr>
        <w:t xml:space="preserve">, the </w:t>
      </w:r>
      <w:r w:rsidRPr="001C34C1">
        <w:rPr>
          <w:rFonts w:ascii="Times New Roman" w:eastAsia="Times New Roman" w:hAnsi="Times New Roman"/>
          <w:i/>
          <w:sz w:val="24"/>
          <w:szCs w:val="20"/>
          <w:lang w:eastAsia="en-AU"/>
        </w:rPr>
        <w:t>Federal Magistrates Act 1999</w:t>
      </w:r>
      <w:r w:rsidRPr="001C34C1">
        <w:rPr>
          <w:rFonts w:ascii="Times New Roman" w:eastAsia="Times New Roman" w:hAnsi="Times New Roman"/>
          <w:sz w:val="24"/>
          <w:szCs w:val="20"/>
          <w:lang w:eastAsia="en-AU"/>
        </w:rPr>
        <w:t xml:space="preserve"> and the </w:t>
      </w:r>
      <w:r w:rsidRPr="001C34C1">
        <w:rPr>
          <w:rFonts w:ascii="Times New Roman" w:eastAsia="Times New Roman" w:hAnsi="Times New Roman"/>
          <w:i/>
          <w:sz w:val="24"/>
          <w:szCs w:val="20"/>
          <w:lang w:eastAsia="en-AU"/>
        </w:rPr>
        <w:t>Freedom of Information Act 1982</w:t>
      </w:r>
      <w:r w:rsidRPr="001C34C1">
        <w:rPr>
          <w:rFonts w:ascii="Times New Roman" w:eastAsia="Times New Roman" w:hAnsi="Times New Roman"/>
          <w:sz w:val="24"/>
          <w:szCs w:val="20"/>
          <w:lang w:eastAsia="en-AU"/>
        </w:rPr>
        <w:t xml:space="preserve"> to:</w:t>
      </w:r>
    </w:p>
    <w:p w:rsidR="00CC03C0" w:rsidRPr="001C34C1" w:rsidRDefault="00DB1AB4" w:rsidP="00CC03C0">
      <w:pPr>
        <w:numPr>
          <w:ilvl w:val="0"/>
          <w:numId w:val="3"/>
        </w:numPr>
        <w:shd w:val="clear" w:color="auto" w:fill="FFFFFF"/>
        <w:spacing w:before="240" w:after="0" w:line="240" w:lineRule="auto"/>
        <w:rPr>
          <w:rFonts w:ascii="Times New Roman" w:eastAsia="Times New Roman" w:hAnsi="Times New Roman"/>
          <w:sz w:val="24"/>
          <w:szCs w:val="24"/>
          <w:lang w:val="en-US" w:eastAsia="en-AU"/>
        </w:rPr>
      </w:pPr>
      <w:r w:rsidRPr="001C34C1">
        <w:rPr>
          <w:rFonts w:ascii="Times New Roman" w:eastAsia="Times New Roman" w:hAnsi="Times New Roman"/>
          <w:sz w:val="24"/>
          <w:szCs w:val="24"/>
          <w:lang w:val="en-US" w:eastAsia="en-AU"/>
        </w:rPr>
        <w:t xml:space="preserve">provide a statutory basis for </w:t>
      </w:r>
      <w:r w:rsidR="005D2D17" w:rsidRPr="001C34C1">
        <w:rPr>
          <w:rFonts w:ascii="Times New Roman" w:eastAsia="Times New Roman" w:hAnsi="Times New Roman"/>
          <w:sz w:val="24"/>
          <w:szCs w:val="24"/>
          <w:lang w:val="en-US" w:eastAsia="en-AU"/>
        </w:rPr>
        <w:t xml:space="preserve">the Chief Justice of the Federal Court, the Chief </w:t>
      </w:r>
      <w:r w:rsidR="00F40555" w:rsidRPr="001C34C1">
        <w:rPr>
          <w:rFonts w:ascii="Times New Roman" w:eastAsia="Times New Roman" w:hAnsi="Times New Roman"/>
          <w:sz w:val="24"/>
          <w:szCs w:val="24"/>
          <w:lang w:val="en-US" w:eastAsia="en-AU"/>
        </w:rPr>
        <w:t xml:space="preserve">Justice of the Family Court and the Chief Federal Magistrate </w:t>
      </w:r>
      <w:r w:rsidRPr="001C34C1">
        <w:rPr>
          <w:rFonts w:ascii="Times New Roman" w:eastAsia="Times New Roman" w:hAnsi="Times New Roman"/>
          <w:sz w:val="24"/>
          <w:szCs w:val="24"/>
          <w:lang w:val="en-US" w:eastAsia="en-AU"/>
        </w:rPr>
        <w:t>to deal with complaints about judicial officers</w:t>
      </w:r>
    </w:p>
    <w:p w:rsidR="00CC03C0" w:rsidRPr="001C34C1" w:rsidRDefault="00DB1AB4" w:rsidP="00CC03C0">
      <w:pPr>
        <w:numPr>
          <w:ilvl w:val="0"/>
          <w:numId w:val="3"/>
        </w:numPr>
        <w:shd w:val="clear" w:color="auto" w:fill="FFFFFF"/>
        <w:spacing w:before="240" w:after="0" w:line="240" w:lineRule="auto"/>
        <w:rPr>
          <w:rFonts w:ascii="Times New Roman" w:eastAsia="Times New Roman" w:hAnsi="Times New Roman"/>
          <w:sz w:val="24"/>
          <w:szCs w:val="24"/>
          <w:lang w:val="en-US" w:eastAsia="en-AU"/>
        </w:rPr>
      </w:pPr>
      <w:r w:rsidRPr="001C34C1">
        <w:rPr>
          <w:rFonts w:ascii="Times New Roman" w:eastAsia="Times New Roman" w:hAnsi="Times New Roman"/>
          <w:sz w:val="24"/>
          <w:szCs w:val="24"/>
          <w:lang w:val="en-US" w:eastAsia="en-AU"/>
        </w:rPr>
        <w:t xml:space="preserve">provide </w:t>
      </w:r>
      <w:r w:rsidR="005D2D17" w:rsidRPr="001C34C1">
        <w:rPr>
          <w:rFonts w:ascii="Times New Roman" w:eastAsia="Times New Roman" w:hAnsi="Times New Roman"/>
          <w:sz w:val="24"/>
          <w:szCs w:val="24"/>
          <w:lang w:val="en-US" w:eastAsia="en-AU"/>
        </w:rPr>
        <w:t>protection from civil proceedings that could arise from a complaints handling process for a Chief Justice or the Chief Federal Magistrate</w:t>
      </w:r>
      <w:r w:rsidRPr="001C34C1">
        <w:rPr>
          <w:rFonts w:ascii="Times New Roman" w:eastAsia="Times New Roman" w:hAnsi="Times New Roman"/>
          <w:sz w:val="24"/>
          <w:szCs w:val="24"/>
          <w:lang w:val="en-US" w:eastAsia="en-AU"/>
        </w:rPr>
        <w:t xml:space="preserve"> as well as participants assisting </w:t>
      </w:r>
      <w:r w:rsidR="002245EF" w:rsidRPr="001C34C1">
        <w:rPr>
          <w:rFonts w:ascii="Times New Roman" w:eastAsia="Times New Roman" w:hAnsi="Times New Roman"/>
          <w:sz w:val="24"/>
          <w:szCs w:val="24"/>
          <w:lang w:val="en-US" w:eastAsia="en-AU"/>
        </w:rPr>
        <w:t>them</w:t>
      </w:r>
      <w:r w:rsidRPr="001C34C1">
        <w:rPr>
          <w:rFonts w:ascii="Times New Roman" w:eastAsia="Times New Roman" w:hAnsi="Times New Roman"/>
          <w:sz w:val="24"/>
          <w:szCs w:val="24"/>
          <w:lang w:val="en-US" w:eastAsia="en-AU"/>
        </w:rPr>
        <w:t xml:space="preserve"> in the complaints handling process, and</w:t>
      </w:r>
    </w:p>
    <w:p w:rsidR="00B52DF4" w:rsidRPr="001C34C1" w:rsidRDefault="00DB1AB4" w:rsidP="00CC03C0">
      <w:pPr>
        <w:numPr>
          <w:ilvl w:val="0"/>
          <w:numId w:val="3"/>
        </w:numPr>
        <w:shd w:val="clear" w:color="auto" w:fill="FFFFFF"/>
        <w:spacing w:before="240" w:after="0" w:line="240" w:lineRule="auto"/>
        <w:rPr>
          <w:rFonts w:ascii="Times New Roman" w:eastAsia="Times New Roman" w:hAnsi="Times New Roman"/>
          <w:sz w:val="24"/>
          <w:szCs w:val="24"/>
          <w:lang w:val="en-US" w:eastAsia="en-AU"/>
        </w:rPr>
      </w:pPr>
      <w:r w:rsidRPr="001C34C1">
        <w:rPr>
          <w:rFonts w:ascii="Times New Roman" w:eastAsia="Times New Roman" w:hAnsi="Times New Roman"/>
          <w:sz w:val="24"/>
          <w:szCs w:val="24"/>
          <w:lang w:val="en-US" w:eastAsia="en-AU"/>
        </w:rPr>
        <w:t xml:space="preserve">exclude from the operation of the </w:t>
      </w:r>
      <w:r w:rsidRPr="001C34C1">
        <w:rPr>
          <w:rFonts w:ascii="Times New Roman" w:eastAsia="Times New Roman" w:hAnsi="Times New Roman"/>
          <w:i/>
          <w:sz w:val="24"/>
          <w:szCs w:val="24"/>
          <w:lang w:val="en-US" w:eastAsia="en-AU"/>
        </w:rPr>
        <w:t>Freedom of Information Act 1982</w:t>
      </w:r>
      <w:r w:rsidRPr="001C34C1">
        <w:rPr>
          <w:rFonts w:ascii="Times New Roman" w:eastAsia="Times New Roman" w:hAnsi="Times New Roman"/>
          <w:sz w:val="24"/>
          <w:szCs w:val="24"/>
          <w:lang w:val="en-US" w:eastAsia="en-AU"/>
        </w:rPr>
        <w:t xml:space="preserve"> documents arising in the context of consideration and handling of a complaint about a judicial officer. </w:t>
      </w:r>
    </w:p>
    <w:p w:rsidR="00C156F3" w:rsidRPr="001C34C1" w:rsidRDefault="00C156F3" w:rsidP="00CC03C0">
      <w:pPr>
        <w:pStyle w:val="Paragraph"/>
        <w:keepNext/>
        <w:spacing w:after="0"/>
        <w:rPr>
          <w:szCs w:val="20"/>
          <w:lang w:eastAsia="en-AU"/>
        </w:rPr>
      </w:pPr>
      <w:r w:rsidRPr="001C34C1">
        <w:rPr>
          <w:i/>
          <w:lang w:val="en-US" w:eastAsia="en-AU"/>
        </w:rPr>
        <w:lastRenderedPageBreak/>
        <w:t>Judicial Misbehaviour and Incapacity (Parliamentary Commissions) Act 2012</w:t>
      </w:r>
    </w:p>
    <w:p w:rsidR="00F40555" w:rsidRPr="001C34C1" w:rsidRDefault="003C5688" w:rsidP="00CC03C0">
      <w:pPr>
        <w:spacing w:before="240" w:after="0" w:line="240" w:lineRule="auto"/>
        <w:ind w:right="91"/>
        <w:rPr>
          <w:rFonts w:ascii="Times New Roman" w:eastAsia="Times New Roman" w:hAnsi="Times New Roman"/>
          <w:iCs/>
          <w:sz w:val="24"/>
          <w:szCs w:val="24"/>
          <w:lang w:eastAsia="en-AU"/>
        </w:rPr>
      </w:pPr>
      <w:r w:rsidRPr="001C34C1">
        <w:rPr>
          <w:rFonts w:ascii="Times New Roman" w:eastAsia="Times New Roman" w:hAnsi="Times New Roman"/>
          <w:sz w:val="24"/>
          <w:szCs w:val="24"/>
          <w:lang w:eastAsia="en-AU"/>
        </w:rPr>
        <w:t xml:space="preserve">The </w:t>
      </w:r>
      <w:r w:rsidRPr="001C34C1">
        <w:rPr>
          <w:rFonts w:ascii="Times New Roman" w:eastAsia="Times New Roman" w:hAnsi="Times New Roman"/>
          <w:iCs/>
          <w:sz w:val="24"/>
          <w:szCs w:val="24"/>
          <w:lang w:eastAsia="en-AU"/>
        </w:rPr>
        <w:t xml:space="preserve">Parliamentary Commissions Act provides a standard mechanism for parliamentary consideration of removal of a judge from office under </w:t>
      </w:r>
      <w:r w:rsidR="002245EF" w:rsidRPr="001C34C1">
        <w:rPr>
          <w:rFonts w:ascii="Times New Roman" w:eastAsia="Times New Roman" w:hAnsi="Times New Roman"/>
          <w:iCs/>
          <w:sz w:val="24"/>
          <w:szCs w:val="24"/>
          <w:lang w:eastAsia="en-AU"/>
        </w:rPr>
        <w:t>paragraph</w:t>
      </w:r>
      <w:r w:rsidRPr="001C34C1">
        <w:rPr>
          <w:rFonts w:ascii="Times New Roman" w:eastAsia="Times New Roman" w:hAnsi="Times New Roman"/>
          <w:iCs/>
          <w:sz w:val="24"/>
          <w:szCs w:val="24"/>
          <w:lang w:eastAsia="en-AU"/>
        </w:rPr>
        <w:t xml:space="preserve"> 72(ii) of the Constitution.</w:t>
      </w:r>
      <w:r w:rsidR="002273E4" w:rsidRPr="001C34C1">
        <w:rPr>
          <w:rFonts w:ascii="Times New Roman" w:eastAsia="Times New Roman" w:hAnsi="Times New Roman"/>
          <w:iCs/>
          <w:sz w:val="24"/>
          <w:szCs w:val="24"/>
          <w:lang w:eastAsia="en-AU"/>
        </w:rPr>
        <w:t xml:space="preserve"> </w:t>
      </w:r>
    </w:p>
    <w:p w:rsidR="00F40555" w:rsidRPr="001C34C1" w:rsidRDefault="00F40555" w:rsidP="00CC03C0">
      <w:pPr>
        <w:spacing w:before="240" w:after="0" w:line="240" w:lineRule="auto"/>
        <w:ind w:right="91"/>
        <w:rPr>
          <w:rFonts w:ascii="Times New Roman" w:eastAsia="Times New Roman" w:hAnsi="Times New Roman"/>
          <w:iCs/>
          <w:sz w:val="24"/>
          <w:szCs w:val="24"/>
          <w:lang w:eastAsia="en-AU"/>
        </w:rPr>
      </w:pPr>
      <w:r w:rsidRPr="001C34C1">
        <w:rPr>
          <w:rFonts w:ascii="Times New Roman" w:eastAsia="Times New Roman" w:hAnsi="Times New Roman"/>
          <w:sz w:val="24"/>
          <w:szCs w:val="24"/>
          <w:lang w:eastAsia="en-AU"/>
        </w:rPr>
        <w:t>Paragraph 72(ii) of the Constitution provides that Justices of the High Court and other courts created by the Parliament shall not be removed except by the Governor</w:t>
      </w:r>
      <w:r w:rsidRPr="001C34C1">
        <w:rPr>
          <w:rFonts w:ascii="Times New Roman" w:eastAsia="Times New Roman" w:hAnsi="Times New Roman"/>
          <w:sz w:val="24"/>
          <w:szCs w:val="24"/>
          <w:lang w:eastAsia="en-AU"/>
        </w:rPr>
        <w:noBreakHyphen/>
        <w:t xml:space="preserve">General in Council, on an address from both Houses of Parliament in the same session, praying for such removal on the ground of proved misbehaviour or incapacity.  Currently, there is no standard mechanism by which allegations about misbehaviour or incapacity against federal judicial officers would be investigated to assist Parliament’s consideration of removal of a federal judicial officer. </w:t>
      </w:r>
    </w:p>
    <w:p w:rsidR="00C041DD" w:rsidRPr="001C34C1" w:rsidRDefault="002273E4" w:rsidP="00CC03C0">
      <w:pPr>
        <w:spacing w:before="240" w:after="0" w:line="240" w:lineRule="auto"/>
        <w:ind w:right="91"/>
        <w:rPr>
          <w:rFonts w:ascii="Times New Roman" w:hAnsi="Times New Roman"/>
          <w:sz w:val="24"/>
          <w:szCs w:val="24"/>
        </w:rPr>
      </w:pPr>
      <w:r w:rsidRPr="001C34C1">
        <w:rPr>
          <w:rFonts w:ascii="Times New Roman" w:eastAsia="Times New Roman" w:hAnsi="Times New Roman"/>
          <w:iCs/>
          <w:sz w:val="24"/>
          <w:szCs w:val="24"/>
          <w:lang w:eastAsia="en-AU"/>
        </w:rPr>
        <w:t>The Act establishes a Parliamentary Commission (comprised of three members, at least one of whom would be a retired justice of a federal court or a judge or retired judge of a State o</w:t>
      </w:r>
      <w:r w:rsidR="00CC03C0" w:rsidRPr="001C34C1">
        <w:rPr>
          <w:rFonts w:ascii="Times New Roman" w:eastAsia="Times New Roman" w:hAnsi="Times New Roman"/>
          <w:iCs/>
          <w:sz w:val="24"/>
          <w:szCs w:val="24"/>
          <w:lang w:eastAsia="en-AU"/>
        </w:rPr>
        <w:t>r Territory Supreme Court).  A Commission will be able</w:t>
      </w:r>
      <w:r w:rsidRPr="001C34C1">
        <w:rPr>
          <w:rFonts w:ascii="Times New Roman" w:eastAsia="Times New Roman" w:hAnsi="Times New Roman"/>
          <w:iCs/>
          <w:sz w:val="24"/>
          <w:szCs w:val="24"/>
          <w:lang w:eastAsia="en-AU"/>
        </w:rPr>
        <w:t xml:space="preserve"> inquire into allegations of misconduct or incapacity and advise Parliament whether, in its opinion, facts amounting to proved misb</w:t>
      </w:r>
      <w:r w:rsidR="00F60EB3" w:rsidRPr="001C34C1">
        <w:rPr>
          <w:rFonts w:ascii="Times New Roman" w:eastAsia="Times New Roman" w:hAnsi="Times New Roman"/>
          <w:iCs/>
          <w:sz w:val="24"/>
          <w:szCs w:val="24"/>
          <w:lang w:eastAsia="en-AU"/>
        </w:rPr>
        <w:t>ehaviour or incapacity exist and</w:t>
      </w:r>
      <w:r w:rsidRPr="001C34C1">
        <w:rPr>
          <w:rFonts w:ascii="Times New Roman" w:eastAsia="Times New Roman" w:hAnsi="Times New Roman"/>
          <w:iCs/>
          <w:sz w:val="24"/>
          <w:szCs w:val="24"/>
          <w:lang w:eastAsia="en-AU"/>
        </w:rPr>
        <w:t xml:space="preserve"> would warrant consideration</w:t>
      </w:r>
      <w:r w:rsidR="00CF467F" w:rsidRPr="001C34C1">
        <w:rPr>
          <w:rFonts w:ascii="Times New Roman" w:eastAsia="Times New Roman" w:hAnsi="Times New Roman"/>
          <w:iCs/>
          <w:sz w:val="24"/>
          <w:szCs w:val="24"/>
          <w:lang w:eastAsia="en-AU"/>
        </w:rPr>
        <w:t xml:space="preserve"> by P</w:t>
      </w:r>
      <w:r w:rsidRPr="001C34C1">
        <w:rPr>
          <w:rFonts w:ascii="Times New Roman" w:eastAsia="Times New Roman" w:hAnsi="Times New Roman"/>
          <w:iCs/>
          <w:sz w:val="24"/>
          <w:szCs w:val="24"/>
          <w:lang w:eastAsia="en-AU"/>
        </w:rPr>
        <w:t xml:space="preserve">arliament of removal of the justice from office by means of the provisions of </w:t>
      </w:r>
      <w:r w:rsidR="002245EF" w:rsidRPr="001C34C1">
        <w:rPr>
          <w:rFonts w:ascii="Times New Roman" w:eastAsia="Times New Roman" w:hAnsi="Times New Roman"/>
          <w:iCs/>
          <w:sz w:val="24"/>
          <w:szCs w:val="24"/>
          <w:lang w:eastAsia="en-AU"/>
        </w:rPr>
        <w:t>paragraph</w:t>
      </w:r>
      <w:r w:rsidRPr="001C34C1">
        <w:rPr>
          <w:rFonts w:ascii="Times New Roman" w:eastAsia="Times New Roman" w:hAnsi="Times New Roman"/>
          <w:iCs/>
          <w:sz w:val="24"/>
          <w:szCs w:val="24"/>
          <w:lang w:eastAsia="en-AU"/>
        </w:rPr>
        <w:t xml:space="preserve"> 72(ii) of the Constitution.</w:t>
      </w:r>
      <w:r w:rsidRPr="001C34C1">
        <w:rPr>
          <w:rFonts w:ascii="Times New Roman" w:hAnsi="Times New Roman"/>
          <w:sz w:val="24"/>
          <w:szCs w:val="24"/>
        </w:rPr>
        <w:t xml:space="preserve">  </w:t>
      </w:r>
    </w:p>
    <w:p w:rsidR="00400CEE" w:rsidRPr="001C34C1" w:rsidRDefault="00400CEE" w:rsidP="00CC03C0">
      <w:pPr>
        <w:spacing w:before="240" w:after="0" w:line="240" w:lineRule="auto"/>
        <w:ind w:right="91"/>
        <w:rPr>
          <w:rFonts w:ascii="Times New Roman" w:eastAsia="Times New Roman" w:hAnsi="Times New Roman"/>
          <w:sz w:val="24"/>
          <w:szCs w:val="24"/>
          <w:lang w:eastAsia="en-AU"/>
        </w:rPr>
      </w:pPr>
      <w:r w:rsidRPr="001C34C1">
        <w:rPr>
          <w:rFonts w:ascii="Times New Roman" w:hAnsi="Times New Roman"/>
          <w:sz w:val="24"/>
          <w:szCs w:val="24"/>
        </w:rPr>
        <w:t>The Proclamations were drafted by the Office of Parliamentary Counsel.  No consultation was required given the administrative nature of the instruments.</w:t>
      </w:r>
    </w:p>
    <w:p w:rsidR="009375F1" w:rsidRPr="001C34C1" w:rsidRDefault="003D361A" w:rsidP="00F60EB3">
      <w:pPr>
        <w:pStyle w:val="Paragraph"/>
        <w:spacing w:after="0"/>
      </w:pPr>
      <w:r w:rsidRPr="001C34C1">
        <w:t>The Proclamation</w:t>
      </w:r>
      <w:r w:rsidR="00C156F3" w:rsidRPr="001C34C1">
        <w:t>s</w:t>
      </w:r>
      <w:r w:rsidRPr="001C34C1">
        <w:t xml:space="preserve"> </w:t>
      </w:r>
      <w:r w:rsidR="00C156F3" w:rsidRPr="001C34C1">
        <w:t xml:space="preserve">are </w:t>
      </w:r>
      <w:r w:rsidR="00A65FC1" w:rsidRPr="001C34C1">
        <w:t>registered on the Federal Register of Legislative Instruments</w:t>
      </w:r>
      <w:r w:rsidRPr="001C34C1">
        <w:t xml:space="preserve"> </w:t>
      </w:r>
      <w:r w:rsidR="00A65FC1" w:rsidRPr="001C34C1">
        <w:t>under</w:t>
      </w:r>
      <w:r w:rsidRPr="001C34C1">
        <w:t xml:space="preserve"> the </w:t>
      </w:r>
      <w:r w:rsidRPr="001C34C1">
        <w:rPr>
          <w:i/>
        </w:rPr>
        <w:t>Legislative Instruments Act 2003</w:t>
      </w:r>
      <w:r w:rsidRPr="001C34C1">
        <w:t>.</w:t>
      </w:r>
      <w:bookmarkEnd w:id="1"/>
    </w:p>
    <w:p w:rsidR="009375F1" w:rsidRPr="001C34C1" w:rsidRDefault="009375F1" w:rsidP="00F60EB3">
      <w:pPr>
        <w:pStyle w:val="Paragraph"/>
        <w:spacing w:after="0"/>
      </w:pPr>
    </w:p>
    <w:p w:rsidR="009375F1" w:rsidRPr="001C34C1" w:rsidRDefault="009375F1" w:rsidP="009375F1">
      <w:pPr>
        <w:tabs>
          <w:tab w:val="left" w:pos="1276"/>
        </w:tabs>
        <w:spacing w:before="240" w:after="0" w:line="240" w:lineRule="auto"/>
        <w:ind w:left="3402" w:right="91"/>
        <w:rPr>
          <w:rFonts w:ascii="Times New Roman" w:eastAsia="Times New Roman" w:hAnsi="Times New Roman"/>
          <w:sz w:val="24"/>
          <w:szCs w:val="20"/>
          <w:u w:val="single"/>
          <w:lang w:eastAsia="en-AU"/>
        </w:rPr>
      </w:pPr>
      <w:r w:rsidRPr="001C34C1">
        <w:rPr>
          <w:rFonts w:ascii="Times New Roman" w:eastAsia="Times New Roman" w:hAnsi="Times New Roman"/>
          <w:sz w:val="24"/>
          <w:szCs w:val="20"/>
          <w:u w:val="single"/>
          <w:lang w:eastAsia="en-AU"/>
        </w:rPr>
        <w:t>Authority</w:t>
      </w:r>
      <w:r w:rsidRPr="001C34C1">
        <w:rPr>
          <w:rFonts w:ascii="Times New Roman" w:eastAsia="Times New Roman" w:hAnsi="Times New Roman"/>
          <w:sz w:val="24"/>
          <w:szCs w:val="20"/>
          <w:lang w:eastAsia="en-AU"/>
        </w:rPr>
        <w:t xml:space="preserve">:  Subsection 2(1) of the </w:t>
      </w:r>
      <w:r w:rsidRPr="001C34C1">
        <w:rPr>
          <w:rFonts w:ascii="Times New Roman" w:eastAsia="Times New Roman" w:hAnsi="Times New Roman"/>
          <w:i/>
          <w:sz w:val="24"/>
          <w:szCs w:val="20"/>
          <w:lang w:eastAsia="en-AU"/>
        </w:rPr>
        <w:t>Courts Legislation Amendment (Judicial Complaints) Act 2012</w:t>
      </w:r>
      <w:r w:rsidRPr="001C34C1">
        <w:rPr>
          <w:rFonts w:ascii="Times New Roman" w:eastAsia="Times New Roman" w:hAnsi="Times New Roman"/>
          <w:sz w:val="24"/>
          <w:szCs w:val="20"/>
          <w:lang w:eastAsia="en-AU"/>
        </w:rPr>
        <w:br/>
      </w:r>
      <w:r w:rsidRPr="001C34C1">
        <w:rPr>
          <w:rFonts w:ascii="Times New Roman" w:eastAsia="Times New Roman" w:hAnsi="Times New Roman"/>
          <w:sz w:val="24"/>
          <w:szCs w:val="20"/>
          <w:lang w:eastAsia="en-AU"/>
        </w:rPr>
        <w:br/>
        <w:t xml:space="preserve">Subsection 2(1) of the </w:t>
      </w:r>
      <w:r w:rsidRPr="001C34C1">
        <w:rPr>
          <w:rFonts w:ascii="Times New Roman" w:eastAsia="Times New Roman" w:hAnsi="Times New Roman"/>
          <w:i/>
          <w:sz w:val="24"/>
          <w:szCs w:val="20"/>
          <w:lang w:eastAsia="en-AU"/>
        </w:rPr>
        <w:t>Judicial Misbehaviour and Incapacity (Parliamentary Commissions) Act 2012</w:t>
      </w:r>
    </w:p>
    <w:p w:rsidR="009375F1" w:rsidRPr="001C34C1" w:rsidRDefault="009375F1" w:rsidP="00F60EB3">
      <w:pPr>
        <w:pStyle w:val="Paragraph"/>
        <w:spacing w:after="0"/>
      </w:pPr>
    </w:p>
    <w:p w:rsidR="00891BEC" w:rsidRPr="001C34C1" w:rsidRDefault="008C3635" w:rsidP="00891BEC">
      <w:pPr>
        <w:spacing w:before="360" w:after="120"/>
        <w:jc w:val="center"/>
        <w:rPr>
          <w:rFonts w:ascii="Times New Roman" w:hAnsi="Times New Roman"/>
          <w:sz w:val="24"/>
          <w:szCs w:val="24"/>
        </w:rPr>
      </w:pPr>
      <w:r w:rsidRPr="001C34C1">
        <w:rPr>
          <w:rFonts w:ascii="Times New Roman" w:hAnsi="Times New Roman"/>
          <w:b/>
          <w:bCs/>
          <w:sz w:val="24"/>
          <w:szCs w:val="24"/>
        </w:rPr>
        <w:br w:type="page"/>
      </w:r>
      <w:r w:rsidR="00891BEC" w:rsidRPr="001C34C1">
        <w:rPr>
          <w:rFonts w:ascii="Times New Roman" w:hAnsi="Times New Roman"/>
          <w:b/>
          <w:bCs/>
          <w:sz w:val="24"/>
          <w:szCs w:val="24"/>
        </w:rPr>
        <w:lastRenderedPageBreak/>
        <w:t>Statement of Compatibility with Human Rights</w:t>
      </w:r>
    </w:p>
    <w:p w:rsidR="00891BEC" w:rsidRPr="001C34C1" w:rsidRDefault="00891BEC" w:rsidP="00891BEC">
      <w:pPr>
        <w:spacing w:before="120" w:after="120"/>
        <w:jc w:val="center"/>
        <w:rPr>
          <w:rFonts w:ascii="Times New Roman" w:hAnsi="Times New Roman"/>
          <w:sz w:val="24"/>
          <w:szCs w:val="24"/>
        </w:rPr>
      </w:pPr>
      <w:r w:rsidRPr="001C34C1">
        <w:rPr>
          <w:rFonts w:ascii="Times New Roman" w:hAnsi="Times New Roman"/>
          <w:i/>
          <w:iCs/>
          <w:sz w:val="24"/>
          <w:szCs w:val="24"/>
        </w:rPr>
        <w:t>Prepared in accordance with Part 3 of the Human Rights (Parliamentary Scrutiny) Act 2011</w:t>
      </w:r>
    </w:p>
    <w:p w:rsidR="00891BEC" w:rsidRPr="001C34C1" w:rsidRDefault="00C156F3" w:rsidP="00C156F3">
      <w:pPr>
        <w:pStyle w:val="Paragraph"/>
        <w:spacing w:before="0" w:after="0"/>
        <w:jc w:val="center"/>
        <w:rPr>
          <w:b/>
          <w:i/>
          <w:szCs w:val="20"/>
          <w:lang w:eastAsia="en-AU"/>
        </w:rPr>
      </w:pPr>
      <w:r w:rsidRPr="001C34C1">
        <w:rPr>
          <w:b/>
          <w:i/>
          <w:szCs w:val="20"/>
          <w:lang w:eastAsia="en-AU"/>
        </w:rPr>
        <w:t xml:space="preserve">Courts Legislation Amendment (Judicial Complaints) </w:t>
      </w:r>
      <w:r w:rsidRPr="001C34C1">
        <w:rPr>
          <w:b/>
          <w:bCs/>
        </w:rPr>
        <w:t xml:space="preserve">Commencement Proclamation </w:t>
      </w:r>
      <w:r w:rsidR="00891BEC" w:rsidRPr="001C34C1">
        <w:rPr>
          <w:b/>
          <w:bCs/>
        </w:rPr>
        <w:t>2013</w:t>
      </w:r>
      <w:r w:rsidRPr="001C34C1">
        <w:rPr>
          <w:b/>
          <w:bCs/>
        </w:rPr>
        <w:br/>
      </w:r>
      <w:r w:rsidRPr="001C34C1">
        <w:rPr>
          <w:b/>
          <w:i/>
          <w:lang w:val="en-US" w:eastAsia="en-AU"/>
        </w:rPr>
        <w:t xml:space="preserve">Judicial Misbehaviour and Incapacity (Parliamentary Commissions) </w:t>
      </w:r>
      <w:r w:rsidRPr="001C34C1">
        <w:rPr>
          <w:b/>
          <w:bCs/>
        </w:rPr>
        <w:t>Commencement Proclamation 2013</w:t>
      </w:r>
    </w:p>
    <w:p w:rsidR="00891BEC" w:rsidRPr="001C34C1" w:rsidRDefault="00891BEC" w:rsidP="00891BEC">
      <w:pPr>
        <w:spacing w:before="120" w:after="120" w:line="240" w:lineRule="auto"/>
        <w:rPr>
          <w:rFonts w:ascii="Times New Roman" w:hAnsi="Times New Roman"/>
          <w:sz w:val="24"/>
          <w:szCs w:val="24"/>
        </w:rPr>
      </w:pPr>
      <w:r w:rsidRPr="001C34C1">
        <w:rPr>
          <w:rFonts w:ascii="Times New Roman" w:hAnsi="Times New Roman"/>
          <w:sz w:val="24"/>
          <w:szCs w:val="24"/>
        </w:rPr>
        <w:t>Th</w:t>
      </w:r>
      <w:r w:rsidR="00C156F3" w:rsidRPr="001C34C1">
        <w:rPr>
          <w:rFonts w:ascii="Times New Roman" w:hAnsi="Times New Roman"/>
          <w:sz w:val="24"/>
          <w:szCs w:val="24"/>
        </w:rPr>
        <w:t xml:space="preserve">ese </w:t>
      </w:r>
      <w:r w:rsidRPr="001C34C1">
        <w:rPr>
          <w:rFonts w:ascii="Times New Roman" w:hAnsi="Times New Roman"/>
          <w:sz w:val="24"/>
          <w:szCs w:val="24"/>
        </w:rPr>
        <w:t>Legislative Instrument</w:t>
      </w:r>
      <w:r w:rsidR="00C156F3" w:rsidRPr="001C34C1">
        <w:rPr>
          <w:rFonts w:ascii="Times New Roman" w:hAnsi="Times New Roman"/>
          <w:sz w:val="24"/>
          <w:szCs w:val="24"/>
        </w:rPr>
        <w:t>s</w:t>
      </w:r>
      <w:r w:rsidRPr="001C34C1">
        <w:rPr>
          <w:rFonts w:ascii="Times New Roman" w:hAnsi="Times New Roman"/>
          <w:sz w:val="24"/>
          <w:szCs w:val="24"/>
        </w:rPr>
        <w:t xml:space="preserve"> </w:t>
      </w:r>
      <w:r w:rsidR="00C156F3" w:rsidRPr="001C34C1">
        <w:rPr>
          <w:rFonts w:ascii="Times New Roman" w:hAnsi="Times New Roman"/>
          <w:sz w:val="24"/>
          <w:szCs w:val="24"/>
        </w:rPr>
        <w:t>are</w:t>
      </w:r>
      <w:r w:rsidRPr="001C34C1">
        <w:rPr>
          <w:rFonts w:ascii="Times New Roman" w:hAnsi="Times New Roman"/>
          <w:sz w:val="24"/>
          <w:szCs w:val="24"/>
        </w:rPr>
        <w:t xml:space="preserve"> compatible with the human rights and freedoms recognised or declared in the international instruments listed in section 3 of the </w:t>
      </w:r>
      <w:r w:rsidRPr="001C34C1">
        <w:rPr>
          <w:rFonts w:ascii="Times New Roman" w:hAnsi="Times New Roman"/>
          <w:i/>
          <w:iCs/>
          <w:sz w:val="24"/>
          <w:szCs w:val="24"/>
        </w:rPr>
        <w:t>Human Rights (Parliamentary Scrutiny) Act 2011</w:t>
      </w:r>
      <w:r w:rsidRPr="001C34C1">
        <w:rPr>
          <w:rFonts w:ascii="Times New Roman" w:hAnsi="Times New Roman"/>
          <w:sz w:val="24"/>
          <w:szCs w:val="24"/>
        </w:rPr>
        <w:t>.</w:t>
      </w:r>
    </w:p>
    <w:p w:rsidR="00891BEC" w:rsidRPr="001C34C1" w:rsidRDefault="00891BEC" w:rsidP="00891BEC">
      <w:pPr>
        <w:spacing w:before="120" w:after="120"/>
        <w:jc w:val="both"/>
        <w:rPr>
          <w:rFonts w:ascii="Times New Roman" w:hAnsi="Times New Roman"/>
          <w:sz w:val="24"/>
          <w:szCs w:val="24"/>
        </w:rPr>
      </w:pPr>
      <w:r w:rsidRPr="001C34C1">
        <w:rPr>
          <w:rFonts w:ascii="Times New Roman" w:hAnsi="Times New Roman"/>
          <w:b/>
          <w:bCs/>
          <w:sz w:val="24"/>
          <w:szCs w:val="24"/>
        </w:rPr>
        <w:t>Overview of the Legislative Instrument</w:t>
      </w:r>
      <w:r w:rsidR="00C156F3" w:rsidRPr="001C34C1">
        <w:rPr>
          <w:rFonts w:ascii="Times New Roman" w:hAnsi="Times New Roman"/>
          <w:b/>
          <w:bCs/>
          <w:sz w:val="24"/>
          <w:szCs w:val="24"/>
        </w:rPr>
        <w:t>s</w:t>
      </w:r>
    </w:p>
    <w:p w:rsidR="00891BEC" w:rsidRPr="001C34C1" w:rsidRDefault="00891BEC" w:rsidP="00277B92">
      <w:pPr>
        <w:pStyle w:val="Paragraph"/>
        <w:spacing w:before="0"/>
      </w:pPr>
      <w:r w:rsidRPr="001C34C1">
        <w:rPr>
          <w:color w:val="000000"/>
        </w:rPr>
        <w:t xml:space="preserve">The Proclamation sets 12 April 2013 as the date for commencement of Schedule 1 to the </w:t>
      </w:r>
      <w:r w:rsidRPr="001C34C1">
        <w:rPr>
          <w:i/>
          <w:szCs w:val="20"/>
          <w:lang w:eastAsia="en-AU"/>
        </w:rPr>
        <w:t>Courts Legislation Amendment (Judicial Complaints) Act 2012</w:t>
      </w:r>
      <w:r w:rsidR="00277B92" w:rsidRPr="001C34C1">
        <w:rPr>
          <w:szCs w:val="20"/>
          <w:lang w:eastAsia="en-AU"/>
        </w:rPr>
        <w:t xml:space="preserve"> and sections </w:t>
      </w:r>
      <w:r w:rsidR="00E056B1" w:rsidRPr="001C34C1">
        <w:rPr>
          <w:szCs w:val="20"/>
          <w:lang w:eastAsia="en-AU"/>
        </w:rPr>
        <w:t>3</w:t>
      </w:r>
      <w:r w:rsidR="00277B92" w:rsidRPr="001C34C1">
        <w:rPr>
          <w:szCs w:val="20"/>
          <w:lang w:eastAsia="en-AU"/>
        </w:rPr>
        <w:t> to </w:t>
      </w:r>
      <w:r w:rsidR="00E056B1" w:rsidRPr="001C34C1">
        <w:rPr>
          <w:szCs w:val="20"/>
          <w:lang w:eastAsia="en-AU"/>
        </w:rPr>
        <w:t xml:space="preserve">83 </w:t>
      </w:r>
      <w:r w:rsidR="00C156F3" w:rsidRPr="001C34C1">
        <w:rPr>
          <w:szCs w:val="20"/>
          <w:lang w:eastAsia="en-AU"/>
        </w:rPr>
        <w:t xml:space="preserve">to the </w:t>
      </w:r>
      <w:r w:rsidR="00E056B1" w:rsidRPr="001C34C1">
        <w:rPr>
          <w:i/>
          <w:lang w:val="en-US" w:eastAsia="en-AU"/>
        </w:rPr>
        <w:t>Judicial Misbehaviour and Incapacity (Parliamentary Commissions) Act 2012</w:t>
      </w:r>
      <w:r w:rsidR="00E056B1" w:rsidRPr="001C34C1">
        <w:rPr>
          <w:lang w:val="en-US" w:eastAsia="en-AU"/>
        </w:rPr>
        <w:t>.</w:t>
      </w:r>
    </w:p>
    <w:p w:rsidR="00891BEC" w:rsidRPr="001C34C1" w:rsidRDefault="00891BEC" w:rsidP="00891BEC">
      <w:pPr>
        <w:spacing w:before="120" w:after="120"/>
        <w:rPr>
          <w:rFonts w:ascii="Times New Roman" w:hAnsi="Times New Roman"/>
          <w:sz w:val="24"/>
          <w:szCs w:val="24"/>
        </w:rPr>
      </w:pPr>
      <w:r w:rsidRPr="001C34C1">
        <w:rPr>
          <w:rFonts w:ascii="Times New Roman" w:hAnsi="Times New Roman"/>
          <w:b/>
          <w:bCs/>
          <w:sz w:val="24"/>
          <w:szCs w:val="24"/>
        </w:rPr>
        <w:t>Human rights implications</w:t>
      </w:r>
    </w:p>
    <w:p w:rsidR="00891BEC" w:rsidRPr="001C34C1" w:rsidRDefault="00891BEC" w:rsidP="00891BEC">
      <w:pPr>
        <w:spacing w:before="120" w:after="120"/>
        <w:rPr>
          <w:rFonts w:ascii="Times New Roman" w:hAnsi="Times New Roman"/>
          <w:b/>
          <w:bCs/>
          <w:sz w:val="24"/>
          <w:szCs w:val="24"/>
        </w:rPr>
      </w:pPr>
      <w:r w:rsidRPr="001C34C1">
        <w:rPr>
          <w:rFonts w:ascii="Times New Roman" w:hAnsi="Times New Roman"/>
          <w:sz w:val="24"/>
          <w:szCs w:val="24"/>
        </w:rPr>
        <w:t>The Proclamation</w:t>
      </w:r>
      <w:r w:rsidR="00C156F3" w:rsidRPr="001C34C1">
        <w:rPr>
          <w:rFonts w:ascii="Times New Roman" w:hAnsi="Times New Roman"/>
          <w:sz w:val="24"/>
          <w:szCs w:val="24"/>
        </w:rPr>
        <w:t>s</w:t>
      </w:r>
      <w:r w:rsidRPr="001C34C1">
        <w:rPr>
          <w:rFonts w:ascii="Times New Roman" w:hAnsi="Times New Roman"/>
          <w:sz w:val="24"/>
          <w:szCs w:val="24"/>
        </w:rPr>
        <w:t xml:space="preserve"> do not engage any of the applicable rights or freedoms.</w:t>
      </w:r>
    </w:p>
    <w:p w:rsidR="00891BEC" w:rsidRPr="001C34C1" w:rsidRDefault="00891BEC" w:rsidP="00891BEC">
      <w:pPr>
        <w:spacing w:before="120" w:after="120"/>
        <w:rPr>
          <w:rFonts w:ascii="Times New Roman" w:hAnsi="Times New Roman"/>
          <w:b/>
          <w:bCs/>
          <w:sz w:val="24"/>
          <w:szCs w:val="24"/>
        </w:rPr>
      </w:pPr>
      <w:r w:rsidRPr="001C34C1">
        <w:rPr>
          <w:rFonts w:ascii="Times New Roman" w:hAnsi="Times New Roman"/>
          <w:b/>
          <w:bCs/>
          <w:sz w:val="24"/>
          <w:szCs w:val="24"/>
        </w:rPr>
        <w:t>Conclusion</w:t>
      </w:r>
    </w:p>
    <w:p w:rsidR="00891BEC" w:rsidRPr="00F40555" w:rsidRDefault="00891BEC" w:rsidP="00F40555">
      <w:pPr>
        <w:spacing w:before="120" w:after="120"/>
        <w:rPr>
          <w:rFonts w:ascii="Times New Roman" w:hAnsi="Times New Roman"/>
          <w:sz w:val="24"/>
          <w:szCs w:val="24"/>
        </w:rPr>
      </w:pPr>
      <w:r w:rsidRPr="001C34C1">
        <w:rPr>
          <w:rFonts w:ascii="Times New Roman" w:hAnsi="Times New Roman"/>
          <w:sz w:val="24"/>
          <w:szCs w:val="24"/>
        </w:rPr>
        <w:t>The Proclamation</w:t>
      </w:r>
      <w:r w:rsidR="00C156F3" w:rsidRPr="001C34C1">
        <w:rPr>
          <w:rFonts w:ascii="Times New Roman" w:hAnsi="Times New Roman"/>
          <w:sz w:val="24"/>
          <w:szCs w:val="24"/>
        </w:rPr>
        <w:t>s</w:t>
      </w:r>
      <w:r w:rsidRPr="001C34C1">
        <w:rPr>
          <w:rFonts w:ascii="Times New Roman" w:hAnsi="Times New Roman"/>
          <w:sz w:val="24"/>
          <w:szCs w:val="24"/>
        </w:rPr>
        <w:t xml:space="preserve"> </w:t>
      </w:r>
      <w:r w:rsidR="00C156F3" w:rsidRPr="001C34C1">
        <w:rPr>
          <w:rFonts w:ascii="Times New Roman" w:hAnsi="Times New Roman"/>
          <w:sz w:val="24"/>
          <w:szCs w:val="24"/>
        </w:rPr>
        <w:t>are</w:t>
      </w:r>
      <w:r w:rsidRPr="001C34C1">
        <w:rPr>
          <w:rFonts w:ascii="Times New Roman" w:hAnsi="Times New Roman"/>
          <w:sz w:val="24"/>
          <w:szCs w:val="24"/>
        </w:rPr>
        <w:t xml:space="preserve"> compatible with human rights and do not raise any human rights issues.</w:t>
      </w:r>
    </w:p>
    <w:sectPr w:rsidR="00891BEC" w:rsidRPr="00F40555" w:rsidSect="00A04B39">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B7" w:rsidRDefault="005002B7" w:rsidP="00A04B39">
      <w:pPr>
        <w:spacing w:after="0" w:line="240" w:lineRule="auto"/>
      </w:pPr>
      <w:r>
        <w:separator/>
      </w:r>
    </w:p>
  </w:endnote>
  <w:endnote w:type="continuationSeparator" w:id="0">
    <w:p w:rsidR="005002B7" w:rsidRDefault="005002B7" w:rsidP="00A0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B7" w:rsidRDefault="005002B7" w:rsidP="00A04B39">
      <w:pPr>
        <w:spacing w:after="0" w:line="240" w:lineRule="auto"/>
      </w:pPr>
      <w:r>
        <w:separator/>
      </w:r>
    </w:p>
  </w:footnote>
  <w:footnote w:type="continuationSeparator" w:id="0">
    <w:p w:rsidR="005002B7" w:rsidRDefault="005002B7" w:rsidP="00A0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Pr="00A04B39" w:rsidRDefault="00A04B39">
    <w:pPr>
      <w:pStyle w:val="Header"/>
      <w:jc w:val="center"/>
      <w:rPr>
        <w:rFonts w:ascii="Times New Roman" w:hAnsi="Times New Roman"/>
        <w:sz w:val="24"/>
        <w:szCs w:val="24"/>
      </w:rPr>
    </w:pPr>
    <w:r w:rsidRPr="00A04B39">
      <w:rPr>
        <w:rFonts w:ascii="Times New Roman" w:hAnsi="Times New Roman"/>
        <w:sz w:val="24"/>
        <w:szCs w:val="24"/>
      </w:rPr>
      <w:fldChar w:fldCharType="begin"/>
    </w:r>
    <w:r w:rsidRPr="00A04B39">
      <w:rPr>
        <w:rFonts w:ascii="Times New Roman" w:hAnsi="Times New Roman"/>
        <w:sz w:val="24"/>
        <w:szCs w:val="24"/>
      </w:rPr>
      <w:instrText xml:space="preserve"> PAGE   \* MERGEFORMAT </w:instrText>
    </w:r>
    <w:r w:rsidRPr="00A04B39">
      <w:rPr>
        <w:rFonts w:ascii="Times New Roman" w:hAnsi="Times New Roman"/>
        <w:sz w:val="24"/>
        <w:szCs w:val="24"/>
      </w:rPr>
      <w:fldChar w:fldCharType="separate"/>
    </w:r>
    <w:r w:rsidR="00F850CA">
      <w:rPr>
        <w:rFonts w:ascii="Times New Roman" w:hAnsi="Times New Roman"/>
        <w:noProof/>
        <w:sz w:val="24"/>
        <w:szCs w:val="24"/>
      </w:rPr>
      <w:t>2</w:t>
    </w:r>
    <w:r w:rsidRPr="00A04B39">
      <w:rPr>
        <w:rFonts w:ascii="Times New Roman" w:hAnsi="Times New Roman"/>
        <w:noProof/>
        <w:sz w:val="24"/>
        <w:szCs w:val="24"/>
      </w:rPr>
      <w:fldChar w:fldCharType="end"/>
    </w:r>
  </w:p>
  <w:p w:rsidR="00A04B39" w:rsidRDefault="00A04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61DB"/>
    <w:multiLevelType w:val="hybridMultilevel"/>
    <w:tmpl w:val="B806744C"/>
    <w:lvl w:ilvl="0" w:tplc="150CEF5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571A45"/>
    <w:multiLevelType w:val="hybridMultilevel"/>
    <w:tmpl w:val="E4BA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8C0F21"/>
    <w:multiLevelType w:val="hybridMultilevel"/>
    <w:tmpl w:val="9C0E36CA"/>
    <w:lvl w:ilvl="0" w:tplc="2CE6C144">
      <w:start w:val="1"/>
      <w:numFmt w:val="bullet"/>
      <w:lvlText w:val=""/>
      <w:lvlJc w:val="left"/>
      <w:pPr>
        <w:ind w:left="2291" w:hanging="360"/>
      </w:pPr>
      <w:rPr>
        <w:rFonts w:ascii="Symbol" w:hAnsi="Symbol" w:hint="default"/>
        <w:sz w:val="24"/>
        <w:szCs w:val="24"/>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0A"/>
    <w:rsid w:val="000A7F49"/>
    <w:rsid w:val="000F695A"/>
    <w:rsid w:val="001C1049"/>
    <w:rsid w:val="001C34C1"/>
    <w:rsid w:val="001E313A"/>
    <w:rsid w:val="002008D0"/>
    <w:rsid w:val="002113A7"/>
    <w:rsid w:val="002245EF"/>
    <w:rsid w:val="002259C9"/>
    <w:rsid w:val="002273E4"/>
    <w:rsid w:val="00277B92"/>
    <w:rsid w:val="00286E8D"/>
    <w:rsid w:val="002D71A2"/>
    <w:rsid w:val="003B3228"/>
    <w:rsid w:val="003C5688"/>
    <w:rsid w:val="003D361A"/>
    <w:rsid w:val="00400CEE"/>
    <w:rsid w:val="00403CF2"/>
    <w:rsid w:val="004261B4"/>
    <w:rsid w:val="00473CF6"/>
    <w:rsid w:val="005002B7"/>
    <w:rsid w:val="005D2D17"/>
    <w:rsid w:val="005F62A6"/>
    <w:rsid w:val="00602D8F"/>
    <w:rsid w:val="006A74E5"/>
    <w:rsid w:val="00703D8D"/>
    <w:rsid w:val="00781699"/>
    <w:rsid w:val="0078575A"/>
    <w:rsid w:val="00815CE4"/>
    <w:rsid w:val="00874DA8"/>
    <w:rsid w:val="00891BEC"/>
    <w:rsid w:val="008C3635"/>
    <w:rsid w:val="00904761"/>
    <w:rsid w:val="009375F1"/>
    <w:rsid w:val="00A04B39"/>
    <w:rsid w:val="00A65FC1"/>
    <w:rsid w:val="00AC01FF"/>
    <w:rsid w:val="00AC2B85"/>
    <w:rsid w:val="00B20937"/>
    <w:rsid w:val="00B52DF4"/>
    <w:rsid w:val="00BA69D5"/>
    <w:rsid w:val="00C041DD"/>
    <w:rsid w:val="00C156F3"/>
    <w:rsid w:val="00C65B79"/>
    <w:rsid w:val="00C9400A"/>
    <w:rsid w:val="00CC03C0"/>
    <w:rsid w:val="00CF467F"/>
    <w:rsid w:val="00DA0B98"/>
    <w:rsid w:val="00DB1AB4"/>
    <w:rsid w:val="00DC1D09"/>
    <w:rsid w:val="00E056B1"/>
    <w:rsid w:val="00E2200B"/>
    <w:rsid w:val="00E528D5"/>
    <w:rsid w:val="00EB192E"/>
    <w:rsid w:val="00EB3C6C"/>
    <w:rsid w:val="00EC14A6"/>
    <w:rsid w:val="00F1541F"/>
    <w:rsid w:val="00F40555"/>
    <w:rsid w:val="00F60EB3"/>
    <w:rsid w:val="00F850CA"/>
    <w:rsid w:val="00FC1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361A"/>
    <w:pPr>
      <w:numPr>
        <w:ilvl w:val="12"/>
      </w:numPr>
      <w:spacing w:before="240" w:after="240" w:line="240" w:lineRule="auto"/>
    </w:pPr>
    <w:rPr>
      <w:rFonts w:ascii="Times New Roman" w:eastAsia="Times New Roman" w:hAnsi="Times New Roman"/>
      <w:sz w:val="24"/>
      <w:szCs w:val="24"/>
      <w:lang w:eastAsia="zh-CN"/>
    </w:rPr>
  </w:style>
  <w:style w:type="paragraph" w:styleId="Footer">
    <w:name w:val="footer"/>
    <w:basedOn w:val="Normal"/>
    <w:link w:val="FooterChar"/>
    <w:rsid w:val="00C041DD"/>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FooterChar">
    <w:name w:val="Footer Char"/>
    <w:link w:val="Footer"/>
    <w:rsid w:val="00C041DD"/>
    <w:rPr>
      <w:rFonts w:ascii="Times New Roman" w:eastAsia="Times New Roman" w:hAnsi="Times New Roman"/>
      <w:sz w:val="24"/>
    </w:rPr>
  </w:style>
  <w:style w:type="paragraph" w:customStyle="1" w:styleId="Default">
    <w:name w:val="Default"/>
    <w:rsid w:val="00891BEC"/>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A04B39"/>
    <w:pPr>
      <w:tabs>
        <w:tab w:val="center" w:pos="4513"/>
        <w:tab w:val="right" w:pos="9026"/>
      </w:tabs>
    </w:pPr>
  </w:style>
  <w:style w:type="character" w:customStyle="1" w:styleId="HeaderChar">
    <w:name w:val="Header Char"/>
    <w:link w:val="Header"/>
    <w:uiPriority w:val="99"/>
    <w:rsid w:val="00A04B3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361A"/>
    <w:pPr>
      <w:numPr>
        <w:ilvl w:val="12"/>
      </w:numPr>
      <w:spacing w:before="240" w:after="240" w:line="240" w:lineRule="auto"/>
    </w:pPr>
    <w:rPr>
      <w:rFonts w:ascii="Times New Roman" w:eastAsia="Times New Roman" w:hAnsi="Times New Roman"/>
      <w:sz w:val="24"/>
      <w:szCs w:val="24"/>
      <w:lang w:eastAsia="zh-CN"/>
    </w:rPr>
  </w:style>
  <w:style w:type="paragraph" w:styleId="Footer">
    <w:name w:val="footer"/>
    <w:basedOn w:val="Normal"/>
    <w:link w:val="FooterChar"/>
    <w:rsid w:val="00C041DD"/>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FooterChar">
    <w:name w:val="Footer Char"/>
    <w:link w:val="Footer"/>
    <w:rsid w:val="00C041DD"/>
    <w:rPr>
      <w:rFonts w:ascii="Times New Roman" w:eastAsia="Times New Roman" w:hAnsi="Times New Roman"/>
      <w:sz w:val="24"/>
    </w:rPr>
  </w:style>
  <w:style w:type="paragraph" w:customStyle="1" w:styleId="Default">
    <w:name w:val="Default"/>
    <w:rsid w:val="00891BEC"/>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A04B39"/>
    <w:pPr>
      <w:tabs>
        <w:tab w:val="center" w:pos="4513"/>
        <w:tab w:val="right" w:pos="9026"/>
      </w:tabs>
    </w:pPr>
  </w:style>
  <w:style w:type="character" w:customStyle="1" w:styleId="HeaderChar">
    <w:name w:val="Header Char"/>
    <w:link w:val="Header"/>
    <w:uiPriority w:val="99"/>
    <w:rsid w:val="00A04B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ankerd</dc:creator>
  <cp:lastModifiedBy>Hilhorst, Matt</cp:lastModifiedBy>
  <cp:revision>4</cp:revision>
  <cp:lastPrinted>2012-05-29T23:50:00Z</cp:lastPrinted>
  <dcterms:created xsi:type="dcterms:W3CDTF">2013-04-09T01:27:00Z</dcterms:created>
  <dcterms:modified xsi:type="dcterms:W3CDTF">2013-04-11T02:01:00Z</dcterms:modified>
</cp:coreProperties>
</file>