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041E34" w:rsidRDefault="00C56251" w:rsidP="005110FA">
      <w:pPr>
        <w:pStyle w:val="Heading1"/>
        <w:rPr>
          <w:szCs w:val="24"/>
        </w:rPr>
      </w:pPr>
      <w:bookmarkStart w:id="0" w:name="_GoBack"/>
      <w:bookmarkEnd w:id="0"/>
      <w:r w:rsidRPr="00041E34">
        <w:rPr>
          <w:szCs w:val="24"/>
        </w:rPr>
        <w:t xml:space="preserve">EXPLANATORY </w:t>
      </w:r>
      <w:r w:rsidR="005110FA" w:rsidRPr="00041E34">
        <w:rPr>
          <w:szCs w:val="24"/>
        </w:rPr>
        <w:t>STATEMENT</w:t>
      </w:r>
    </w:p>
    <w:p w:rsidR="00C56251" w:rsidRPr="00041E34" w:rsidRDefault="00C56251" w:rsidP="005110FA">
      <w:pPr>
        <w:ind w:left="284"/>
        <w:jc w:val="center"/>
        <w:rPr>
          <w:sz w:val="16"/>
          <w:szCs w:val="16"/>
        </w:rPr>
      </w:pPr>
    </w:p>
    <w:p w:rsidR="00C56251" w:rsidRPr="00041E34" w:rsidRDefault="00C56251" w:rsidP="005110FA">
      <w:pPr>
        <w:ind w:left="284"/>
        <w:jc w:val="center"/>
        <w:rPr>
          <w:sz w:val="16"/>
          <w:szCs w:val="16"/>
          <w:u w:val="single"/>
        </w:rPr>
      </w:pPr>
    </w:p>
    <w:p w:rsidR="00C56251" w:rsidRPr="00041E34" w:rsidRDefault="005110FA" w:rsidP="005110FA">
      <w:pPr>
        <w:jc w:val="center"/>
        <w:rPr>
          <w:b/>
          <w:szCs w:val="24"/>
          <w:u w:val="single"/>
        </w:rPr>
      </w:pPr>
      <w:r w:rsidRPr="00041E34">
        <w:rPr>
          <w:b/>
          <w:szCs w:val="24"/>
          <w:u w:val="single"/>
        </w:rPr>
        <w:t>Select Legislative Instrument 2013 No.</w:t>
      </w:r>
      <w:r w:rsidR="00041E34" w:rsidRPr="00041E34">
        <w:rPr>
          <w:b/>
          <w:szCs w:val="24"/>
          <w:u w:val="single"/>
        </w:rPr>
        <w:t xml:space="preserve"> </w:t>
      </w:r>
      <w:r w:rsidR="00C27625">
        <w:rPr>
          <w:b/>
          <w:szCs w:val="24"/>
          <w:u w:val="single"/>
        </w:rPr>
        <w:t>54</w:t>
      </w:r>
    </w:p>
    <w:p w:rsidR="00C56251" w:rsidRPr="00041E34" w:rsidRDefault="00C56251" w:rsidP="005110FA">
      <w:pPr>
        <w:jc w:val="center"/>
        <w:rPr>
          <w:sz w:val="16"/>
          <w:szCs w:val="16"/>
        </w:rPr>
      </w:pPr>
    </w:p>
    <w:p w:rsidR="00C56251" w:rsidRPr="00041E34" w:rsidRDefault="00765E7B" w:rsidP="005110FA">
      <w:pPr>
        <w:widowControl w:val="0"/>
        <w:tabs>
          <w:tab w:val="left" w:pos="1418"/>
        </w:tabs>
        <w:jc w:val="center"/>
        <w:rPr>
          <w:i/>
          <w:szCs w:val="24"/>
        </w:rPr>
      </w:pPr>
      <w:r>
        <w:rPr>
          <w:i/>
          <w:szCs w:val="24"/>
        </w:rPr>
        <w:t>Royal Commissions Act 1902</w:t>
      </w:r>
    </w:p>
    <w:p w:rsidR="00C56251" w:rsidRDefault="00C56251" w:rsidP="005110FA">
      <w:pPr>
        <w:tabs>
          <w:tab w:val="left" w:pos="1418"/>
        </w:tabs>
        <w:ind w:left="851"/>
        <w:jc w:val="center"/>
        <w:rPr>
          <w:i/>
          <w:szCs w:val="24"/>
        </w:rPr>
      </w:pPr>
    </w:p>
    <w:p w:rsidR="005744C6" w:rsidRDefault="005744C6" w:rsidP="005110FA">
      <w:pPr>
        <w:tabs>
          <w:tab w:val="left" w:pos="1418"/>
        </w:tabs>
        <w:ind w:left="851"/>
        <w:jc w:val="center"/>
        <w:rPr>
          <w:szCs w:val="24"/>
        </w:rPr>
      </w:pPr>
      <w:r>
        <w:rPr>
          <w:szCs w:val="24"/>
        </w:rPr>
        <w:t>Issued by the authority of the Parliamentary Secretary to the Prime Minister</w:t>
      </w:r>
    </w:p>
    <w:p w:rsidR="005744C6" w:rsidRPr="005744C6" w:rsidRDefault="005744C6" w:rsidP="005110FA">
      <w:pPr>
        <w:tabs>
          <w:tab w:val="left" w:pos="1418"/>
        </w:tabs>
        <w:ind w:left="851"/>
        <w:jc w:val="center"/>
        <w:rPr>
          <w:szCs w:val="24"/>
        </w:rPr>
      </w:pPr>
    </w:p>
    <w:p w:rsidR="00C56251" w:rsidRPr="00041E34" w:rsidRDefault="00765E7B" w:rsidP="005110FA">
      <w:pPr>
        <w:tabs>
          <w:tab w:val="left" w:pos="1418"/>
        </w:tabs>
        <w:jc w:val="center"/>
        <w:rPr>
          <w:i/>
          <w:szCs w:val="24"/>
        </w:rPr>
      </w:pPr>
      <w:r w:rsidRPr="0045286E">
        <w:rPr>
          <w:i/>
        </w:rPr>
        <w:t xml:space="preserve">Royal Commissions </w:t>
      </w:r>
      <w:r>
        <w:rPr>
          <w:i/>
        </w:rPr>
        <w:t xml:space="preserve">Amendment </w:t>
      </w:r>
      <w:r w:rsidRPr="0045286E">
        <w:rPr>
          <w:i/>
        </w:rPr>
        <w:t>Regulation 201</w:t>
      </w:r>
      <w:r w:rsidR="007B08D1" w:rsidRPr="00041E34">
        <w:rPr>
          <w:i/>
          <w:szCs w:val="24"/>
        </w:rPr>
        <w:t>3</w:t>
      </w:r>
      <w:r w:rsidR="00041E34" w:rsidRPr="00041E34">
        <w:rPr>
          <w:i/>
          <w:szCs w:val="24"/>
        </w:rPr>
        <w:t xml:space="preserve"> (No. </w:t>
      </w:r>
      <w:r w:rsidR="00C27625">
        <w:rPr>
          <w:i/>
          <w:szCs w:val="24"/>
        </w:rPr>
        <w:t>1</w:t>
      </w:r>
      <w:r w:rsidR="00C56251" w:rsidRPr="00041E34">
        <w:rPr>
          <w:i/>
          <w:szCs w:val="24"/>
        </w:rPr>
        <w:t>)</w:t>
      </w:r>
    </w:p>
    <w:p w:rsidR="00C56251" w:rsidRPr="00041E34" w:rsidRDefault="00C56251" w:rsidP="00C56251">
      <w:pPr>
        <w:ind w:left="284"/>
        <w:jc w:val="center"/>
        <w:rPr>
          <w:szCs w:val="24"/>
          <w:u w:val="single"/>
        </w:rPr>
      </w:pPr>
    </w:p>
    <w:p w:rsidR="00765E7B" w:rsidRPr="004A2E15" w:rsidRDefault="00765E7B" w:rsidP="00765E7B">
      <w:pPr>
        <w:pStyle w:val="1NumberPointsStyle"/>
        <w:numPr>
          <w:ilvl w:val="0"/>
          <w:numId w:val="0"/>
        </w:numPr>
        <w:rPr>
          <w:rFonts w:ascii="Times New Roman" w:hAnsi="Times New Roman"/>
        </w:rPr>
      </w:pPr>
      <w:r w:rsidRPr="004A2E15">
        <w:rPr>
          <w:rFonts w:ascii="Times New Roman" w:hAnsi="Times New Roman"/>
        </w:rPr>
        <w:t xml:space="preserve">The </w:t>
      </w:r>
      <w:r w:rsidRPr="004A2E15">
        <w:rPr>
          <w:rFonts w:ascii="Times New Roman" w:hAnsi="Times New Roman"/>
          <w:i/>
        </w:rPr>
        <w:t>Royal Commissions Act 1902</w:t>
      </w:r>
      <w:r w:rsidRPr="004A2E15">
        <w:rPr>
          <w:rFonts w:ascii="Times New Roman" w:hAnsi="Times New Roman"/>
        </w:rPr>
        <w:t xml:space="preserve"> </w:t>
      </w:r>
      <w:r>
        <w:rPr>
          <w:rFonts w:ascii="Times New Roman" w:hAnsi="Times New Roman"/>
        </w:rPr>
        <w:t xml:space="preserve">contains two relevant sections in relation to the payment of expenses and allowances for </w:t>
      </w:r>
      <w:r w:rsidRPr="004A2E15">
        <w:rPr>
          <w:rFonts w:ascii="Times New Roman" w:hAnsi="Times New Roman"/>
        </w:rPr>
        <w:t>witnesses.</w:t>
      </w:r>
    </w:p>
    <w:p w:rsidR="00765E7B" w:rsidRDefault="00765E7B" w:rsidP="00765E7B">
      <w:pPr>
        <w:pStyle w:val="1NumberPointsStyle"/>
        <w:numPr>
          <w:ilvl w:val="0"/>
          <w:numId w:val="0"/>
        </w:numPr>
        <w:rPr>
          <w:rFonts w:ascii="Times New Roman" w:hAnsi="Times New Roman"/>
        </w:rPr>
      </w:pPr>
      <w:r w:rsidRPr="004A2E15">
        <w:rPr>
          <w:rFonts w:ascii="Times New Roman" w:hAnsi="Times New Roman"/>
        </w:rPr>
        <w:t xml:space="preserve">Section 6G of the Act </w:t>
      </w:r>
      <w:r>
        <w:rPr>
          <w:rFonts w:ascii="Times New Roman" w:hAnsi="Times New Roman"/>
        </w:rPr>
        <w:t xml:space="preserve">provides that any witness appearing before a Royal Commission shall be paid a reasonable sum for the expenses of his or her attendance </w:t>
      </w:r>
      <w:r w:rsidRPr="004A2E15">
        <w:rPr>
          <w:rFonts w:ascii="Times New Roman" w:hAnsi="Times New Roman"/>
        </w:rPr>
        <w:t xml:space="preserve">in accordance with the </w:t>
      </w:r>
      <w:r>
        <w:rPr>
          <w:rFonts w:ascii="Times New Roman" w:hAnsi="Times New Roman"/>
        </w:rPr>
        <w:t>prescribed scale</w:t>
      </w:r>
      <w:r w:rsidRPr="004A2E15">
        <w:rPr>
          <w:rFonts w:ascii="Times New Roman" w:hAnsi="Times New Roman"/>
        </w:rPr>
        <w:t xml:space="preserve">.  </w:t>
      </w:r>
    </w:p>
    <w:p w:rsidR="00765E7B" w:rsidRDefault="00765E7B" w:rsidP="00765E7B">
      <w:pPr>
        <w:pStyle w:val="1NumberPointsStyle"/>
        <w:numPr>
          <w:ilvl w:val="0"/>
          <w:numId w:val="0"/>
        </w:numPr>
        <w:rPr>
          <w:rFonts w:ascii="Times New Roman" w:hAnsi="Times New Roman"/>
        </w:rPr>
      </w:pPr>
      <w:r>
        <w:rPr>
          <w:rFonts w:ascii="Times New Roman" w:hAnsi="Times New Roman"/>
        </w:rPr>
        <w:t>Section 17 of the Act provides that the Governor-General may make regulations prescribing all matters required or permitted by the Act to be prescribed, or necessary or convenient to be prescribed for carrying out or giving effect to the Act.</w:t>
      </w:r>
    </w:p>
    <w:p w:rsidR="00765E7B" w:rsidRDefault="00765E7B" w:rsidP="00765E7B">
      <w:pPr>
        <w:pStyle w:val="1NumberPointsStyle"/>
        <w:numPr>
          <w:ilvl w:val="0"/>
          <w:numId w:val="0"/>
        </w:numPr>
        <w:rPr>
          <w:rFonts w:ascii="Times New Roman" w:hAnsi="Times New Roman"/>
        </w:rPr>
      </w:pPr>
      <w:r>
        <w:rPr>
          <w:rFonts w:ascii="Times New Roman" w:hAnsi="Times New Roman"/>
        </w:rPr>
        <w:t>R</w:t>
      </w:r>
      <w:r w:rsidRPr="004A2E15">
        <w:rPr>
          <w:rFonts w:ascii="Times New Roman" w:hAnsi="Times New Roman"/>
        </w:rPr>
        <w:t xml:space="preserve">egulation 7 of the </w:t>
      </w:r>
      <w:r w:rsidRPr="0045286E">
        <w:rPr>
          <w:rFonts w:ascii="Times New Roman" w:hAnsi="Times New Roman"/>
          <w:i/>
        </w:rPr>
        <w:t>Royal Commissions Regulation 2001</w:t>
      </w:r>
      <w:r w:rsidRPr="004A2E15">
        <w:rPr>
          <w:rFonts w:ascii="Times New Roman" w:hAnsi="Times New Roman"/>
        </w:rPr>
        <w:t xml:space="preserve"> provides that a Commission may direct that a witness is paid expenses in accordance with the High Court Scale. </w:t>
      </w:r>
    </w:p>
    <w:p w:rsidR="00765E7B" w:rsidRPr="00DC6020" w:rsidRDefault="00765E7B" w:rsidP="00765E7B">
      <w:pPr>
        <w:pStyle w:val="1NumberPointsStyle"/>
        <w:numPr>
          <w:ilvl w:val="0"/>
          <w:numId w:val="0"/>
        </w:numPr>
        <w:rPr>
          <w:rFonts w:ascii="Times New Roman" w:hAnsi="Times New Roman"/>
        </w:rPr>
      </w:pPr>
      <w:r>
        <w:rPr>
          <w:rFonts w:ascii="Times New Roman" w:hAnsi="Times New Roman"/>
        </w:rPr>
        <w:t xml:space="preserve">Previously, </w:t>
      </w:r>
      <w:r w:rsidRPr="00DC6020">
        <w:rPr>
          <w:rFonts w:ascii="Times New Roman" w:hAnsi="Times New Roman"/>
        </w:rPr>
        <w:t xml:space="preserve">witnesses providing evidence to a Royal Commission </w:t>
      </w:r>
      <w:r>
        <w:rPr>
          <w:rFonts w:ascii="Times New Roman" w:hAnsi="Times New Roman"/>
        </w:rPr>
        <w:t>could</w:t>
      </w:r>
      <w:r w:rsidRPr="00DC6020">
        <w:rPr>
          <w:rFonts w:ascii="Times New Roman" w:hAnsi="Times New Roman"/>
        </w:rPr>
        <w:t xml:space="preserve"> seek </w:t>
      </w:r>
      <w:r>
        <w:rPr>
          <w:rFonts w:ascii="Times New Roman" w:hAnsi="Times New Roman"/>
        </w:rPr>
        <w:t xml:space="preserve">payment of </w:t>
      </w:r>
      <w:r w:rsidRPr="00DC6020">
        <w:rPr>
          <w:rFonts w:ascii="Times New Roman" w:hAnsi="Times New Roman"/>
        </w:rPr>
        <w:t xml:space="preserve">certain of their expenses from the Royal Commission, and </w:t>
      </w:r>
      <w:r>
        <w:rPr>
          <w:rFonts w:ascii="Times New Roman" w:hAnsi="Times New Roman"/>
        </w:rPr>
        <w:t>financial assistance</w:t>
      </w:r>
      <w:r w:rsidRPr="00DC6020">
        <w:rPr>
          <w:rFonts w:ascii="Times New Roman" w:hAnsi="Times New Roman"/>
        </w:rPr>
        <w:t xml:space="preserve"> from the Attorney-General’s Department</w:t>
      </w:r>
      <w:r>
        <w:rPr>
          <w:rFonts w:ascii="Times New Roman" w:hAnsi="Times New Roman"/>
        </w:rPr>
        <w:t xml:space="preserve"> for certain legal expenses related to appearing as a witness</w:t>
      </w:r>
      <w:r w:rsidRPr="00DC6020">
        <w:rPr>
          <w:rFonts w:ascii="Times New Roman" w:hAnsi="Times New Roman"/>
        </w:rPr>
        <w:t>.</w:t>
      </w:r>
    </w:p>
    <w:p w:rsidR="00765E7B" w:rsidRDefault="00765E7B" w:rsidP="00765E7B">
      <w:pPr>
        <w:pStyle w:val="1NumberPointsStyle"/>
        <w:numPr>
          <w:ilvl w:val="0"/>
          <w:numId w:val="0"/>
        </w:numPr>
        <w:rPr>
          <w:rFonts w:ascii="Times New Roman" w:hAnsi="Times New Roman"/>
        </w:rPr>
      </w:pPr>
      <w:r w:rsidRPr="004A2E15">
        <w:rPr>
          <w:rFonts w:ascii="Times New Roman" w:hAnsi="Times New Roman"/>
        </w:rPr>
        <w:t>The amendments</w:t>
      </w:r>
      <w:r>
        <w:rPr>
          <w:rFonts w:ascii="Times New Roman" w:hAnsi="Times New Roman"/>
        </w:rPr>
        <w:t xml:space="preserve"> repeal Regulation 7 and substitute a new Regulation 7 that </w:t>
      </w:r>
      <w:r w:rsidRPr="00DC6020">
        <w:rPr>
          <w:rFonts w:ascii="Times New Roman" w:hAnsi="Times New Roman"/>
        </w:rPr>
        <w:t>make</w:t>
      </w:r>
      <w:r w:rsidR="00F569B9">
        <w:rPr>
          <w:rFonts w:ascii="Times New Roman" w:hAnsi="Times New Roman"/>
        </w:rPr>
        <w:t>s</w:t>
      </w:r>
      <w:r w:rsidRPr="00DC6020">
        <w:rPr>
          <w:rFonts w:ascii="Times New Roman" w:hAnsi="Times New Roman"/>
        </w:rPr>
        <w:t xml:space="preserve"> </w:t>
      </w:r>
      <w:r>
        <w:rPr>
          <w:rFonts w:ascii="Times New Roman" w:hAnsi="Times New Roman"/>
        </w:rPr>
        <w:t>the Attorney-General’s Department</w:t>
      </w:r>
      <w:r w:rsidRPr="00DC6020">
        <w:rPr>
          <w:rFonts w:ascii="Times New Roman" w:hAnsi="Times New Roman"/>
        </w:rPr>
        <w:t xml:space="preserve"> responsible for handling applications for </w:t>
      </w:r>
      <w:r>
        <w:rPr>
          <w:rFonts w:ascii="Times New Roman" w:hAnsi="Times New Roman"/>
        </w:rPr>
        <w:t xml:space="preserve">payment of expenses and allowances for all </w:t>
      </w:r>
      <w:r w:rsidRPr="00DC6020">
        <w:rPr>
          <w:rFonts w:ascii="Times New Roman" w:hAnsi="Times New Roman"/>
        </w:rPr>
        <w:t>witnesses</w:t>
      </w:r>
      <w:r>
        <w:rPr>
          <w:rFonts w:ascii="Times New Roman" w:hAnsi="Times New Roman"/>
        </w:rPr>
        <w:t xml:space="preserve"> appearing before Royal Commissions in future</w:t>
      </w:r>
      <w:r w:rsidRPr="00DC6020">
        <w:rPr>
          <w:rFonts w:ascii="Times New Roman" w:hAnsi="Times New Roman"/>
        </w:rPr>
        <w:t xml:space="preserve">.  </w:t>
      </w:r>
      <w:r>
        <w:rPr>
          <w:rFonts w:ascii="Times New Roman" w:hAnsi="Times New Roman"/>
        </w:rPr>
        <w:t xml:space="preserve">The amendments contain a table of expenses that are consistent with the </w:t>
      </w:r>
      <w:r w:rsidR="00BA6AFC">
        <w:rPr>
          <w:rFonts w:ascii="Times New Roman" w:hAnsi="Times New Roman"/>
        </w:rPr>
        <w:t xml:space="preserve">current </w:t>
      </w:r>
      <w:r>
        <w:rPr>
          <w:rFonts w:ascii="Times New Roman" w:hAnsi="Times New Roman"/>
        </w:rPr>
        <w:t xml:space="preserve">High Court Scale. </w:t>
      </w:r>
    </w:p>
    <w:p w:rsidR="00765E7B" w:rsidRPr="004A2E15" w:rsidRDefault="00765E7B" w:rsidP="00765E7B">
      <w:pPr>
        <w:pStyle w:val="1NumberPointsStyle"/>
        <w:numPr>
          <w:ilvl w:val="0"/>
          <w:numId w:val="0"/>
        </w:numPr>
        <w:rPr>
          <w:rFonts w:ascii="Times New Roman" w:hAnsi="Times New Roman"/>
        </w:rPr>
      </w:pPr>
      <w:r w:rsidRPr="00DC6020">
        <w:rPr>
          <w:rFonts w:ascii="Times New Roman" w:hAnsi="Times New Roman"/>
        </w:rPr>
        <w:t xml:space="preserve">The amendments </w:t>
      </w:r>
      <w:r w:rsidR="00BA6AFC">
        <w:rPr>
          <w:rFonts w:ascii="Times New Roman" w:hAnsi="Times New Roman"/>
        </w:rPr>
        <w:t>allow</w:t>
      </w:r>
      <w:r w:rsidRPr="00DC6020">
        <w:rPr>
          <w:rFonts w:ascii="Times New Roman" w:hAnsi="Times New Roman"/>
        </w:rPr>
        <w:t xml:space="preserve"> witnesses</w:t>
      </w:r>
      <w:r w:rsidR="00BA6AFC">
        <w:rPr>
          <w:rFonts w:ascii="Times New Roman" w:hAnsi="Times New Roman"/>
        </w:rPr>
        <w:t xml:space="preserve"> to a</w:t>
      </w:r>
      <w:r w:rsidRPr="00DC6020">
        <w:rPr>
          <w:rFonts w:ascii="Times New Roman" w:hAnsi="Times New Roman"/>
        </w:rPr>
        <w:t xml:space="preserve">pply to one authority rather than two for </w:t>
      </w:r>
      <w:r>
        <w:rPr>
          <w:rFonts w:ascii="Times New Roman" w:hAnsi="Times New Roman"/>
        </w:rPr>
        <w:t xml:space="preserve">payment of their </w:t>
      </w:r>
      <w:r w:rsidRPr="00DC6020">
        <w:rPr>
          <w:rFonts w:ascii="Times New Roman" w:hAnsi="Times New Roman"/>
        </w:rPr>
        <w:t>expenses</w:t>
      </w:r>
      <w:r>
        <w:rPr>
          <w:rFonts w:ascii="Times New Roman" w:hAnsi="Times New Roman"/>
        </w:rPr>
        <w:t xml:space="preserve"> and allowances</w:t>
      </w:r>
      <w:r w:rsidRPr="00DC6020">
        <w:rPr>
          <w:rFonts w:ascii="Times New Roman" w:hAnsi="Times New Roman"/>
        </w:rPr>
        <w:t xml:space="preserve">.  The amendments reduce the administrative burden on the </w:t>
      </w:r>
      <w:r>
        <w:rPr>
          <w:rFonts w:ascii="Times New Roman" w:hAnsi="Times New Roman"/>
        </w:rPr>
        <w:t xml:space="preserve">Royal </w:t>
      </w:r>
      <w:r w:rsidRPr="00DC6020">
        <w:rPr>
          <w:rFonts w:ascii="Times New Roman" w:hAnsi="Times New Roman"/>
        </w:rPr>
        <w:t xml:space="preserve">Commission.  The amendments also reduce the cost to the Commonwealth of administering the assistance. </w:t>
      </w:r>
      <w:r>
        <w:rPr>
          <w:rFonts w:ascii="Times New Roman" w:hAnsi="Times New Roman"/>
        </w:rPr>
        <w:t xml:space="preserve"> </w:t>
      </w:r>
    </w:p>
    <w:p w:rsidR="00765E7B" w:rsidRPr="00041E34" w:rsidRDefault="00765E7B" w:rsidP="00765E7B">
      <w:pPr>
        <w:rPr>
          <w:szCs w:val="24"/>
        </w:rPr>
      </w:pPr>
      <w:r w:rsidRPr="00041E34">
        <w:rPr>
          <w:szCs w:val="24"/>
        </w:rPr>
        <w:t>Details of the regulation</w:t>
      </w:r>
      <w:r w:rsidRPr="00041E34">
        <w:rPr>
          <w:i/>
          <w:szCs w:val="24"/>
        </w:rPr>
        <w:t xml:space="preserve"> </w:t>
      </w:r>
      <w:r w:rsidRPr="00041E34">
        <w:rPr>
          <w:szCs w:val="24"/>
        </w:rPr>
        <w:t xml:space="preserve">are set out in the </w:t>
      </w:r>
      <w:r w:rsidRPr="00041E34">
        <w:rPr>
          <w:szCs w:val="24"/>
          <w:u w:val="single"/>
        </w:rPr>
        <w:t>Attachment</w:t>
      </w:r>
      <w:r w:rsidRPr="00041E34">
        <w:rPr>
          <w:szCs w:val="24"/>
        </w:rPr>
        <w:t>.</w:t>
      </w:r>
    </w:p>
    <w:p w:rsidR="00765E7B" w:rsidRDefault="00765E7B" w:rsidP="00765E7B">
      <w:pPr>
        <w:tabs>
          <w:tab w:val="left" w:pos="6521"/>
        </w:tabs>
        <w:ind w:right="91"/>
      </w:pPr>
    </w:p>
    <w:p w:rsidR="00765E7B" w:rsidRDefault="00765E7B" w:rsidP="00765E7B">
      <w:pPr>
        <w:tabs>
          <w:tab w:val="left" w:pos="6521"/>
        </w:tabs>
        <w:ind w:right="91"/>
      </w:pPr>
      <w:r w:rsidRPr="00DC6020">
        <w:t xml:space="preserve">The Act specifies no conditions that need to be satisfied before the power to make the proposed Regulation may be exercised. </w:t>
      </w:r>
      <w:r>
        <w:t xml:space="preserve"> </w:t>
      </w:r>
      <w:r w:rsidRPr="00DC6020">
        <w:t xml:space="preserve">The proposed Regulation </w:t>
      </w:r>
      <w:r>
        <w:t>is</w:t>
      </w:r>
      <w:r w:rsidRPr="00DC6020">
        <w:t xml:space="preserve"> a legislative instrument for the purposes of the </w:t>
      </w:r>
      <w:r w:rsidRPr="00DC6020">
        <w:rPr>
          <w:i/>
        </w:rPr>
        <w:t>Legislative Instruments Act 2003</w:t>
      </w:r>
      <w:r w:rsidRPr="00DC6020">
        <w:t>.</w:t>
      </w:r>
    </w:p>
    <w:p w:rsidR="00765E7B" w:rsidRDefault="00765E7B" w:rsidP="00765E7B">
      <w:pPr>
        <w:tabs>
          <w:tab w:val="center" w:pos="4111"/>
          <w:tab w:val="left" w:pos="4536"/>
        </w:tabs>
        <w:ind w:right="91"/>
      </w:pPr>
      <w:r>
        <w:tab/>
      </w:r>
    </w:p>
    <w:p w:rsidR="00765E7B" w:rsidRDefault="00765E7B" w:rsidP="00765E7B">
      <w:pPr>
        <w:tabs>
          <w:tab w:val="left" w:pos="6521"/>
        </w:tabs>
        <w:ind w:right="91"/>
      </w:pPr>
      <w:r>
        <w:t>The Regulation commence</w:t>
      </w:r>
      <w:r w:rsidR="005744C6">
        <w:t>d</w:t>
      </w:r>
      <w:r w:rsidR="003A3763">
        <w:t xml:space="preserve"> on the day after it wa</w:t>
      </w:r>
      <w:r>
        <w:t xml:space="preserve">s registered.  </w:t>
      </w:r>
    </w:p>
    <w:p w:rsidR="00765E7B" w:rsidRDefault="00765E7B" w:rsidP="00765E7B">
      <w:pPr>
        <w:tabs>
          <w:tab w:val="left" w:pos="6521"/>
        </w:tabs>
        <w:ind w:right="91"/>
      </w:pPr>
    </w:p>
    <w:p w:rsidR="00765E7B" w:rsidRDefault="00765E7B" w:rsidP="00765E7B">
      <w:pPr>
        <w:tabs>
          <w:tab w:val="left" w:pos="6521"/>
        </w:tabs>
        <w:ind w:right="91"/>
      </w:pPr>
    </w:p>
    <w:p w:rsidR="00765E7B" w:rsidRPr="008F5A38" w:rsidRDefault="00765E7B" w:rsidP="00765E7B">
      <w:pPr>
        <w:tabs>
          <w:tab w:val="left" w:pos="3969"/>
          <w:tab w:val="left" w:pos="5245"/>
        </w:tabs>
        <w:ind w:right="91"/>
        <w:rPr>
          <w:i/>
        </w:rPr>
      </w:pPr>
      <w:r>
        <w:tab/>
        <w:t xml:space="preserve">                         </w:t>
      </w:r>
      <w:r>
        <w:rPr>
          <w:u w:val="single"/>
        </w:rPr>
        <w:t>Authority:</w:t>
      </w:r>
      <w:r>
        <w:t xml:space="preserve">  Section 17 of the </w:t>
      </w:r>
      <w:r>
        <w:rPr>
          <w:i/>
        </w:rPr>
        <w:t>Royal</w:t>
      </w:r>
    </w:p>
    <w:p w:rsidR="00765E7B" w:rsidRDefault="00765E7B" w:rsidP="00765E7B">
      <w:pPr>
        <w:tabs>
          <w:tab w:val="left" w:pos="3969"/>
          <w:tab w:val="left" w:pos="5245"/>
        </w:tabs>
        <w:ind w:right="91"/>
      </w:pPr>
      <w:r>
        <w:rPr>
          <w:i/>
        </w:rPr>
        <w:tab/>
      </w:r>
      <w:r>
        <w:rPr>
          <w:i/>
        </w:rPr>
        <w:tab/>
        <w:t xml:space="preserve">                       Commissions Act 1902</w:t>
      </w:r>
    </w:p>
    <w:p w:rsidR="00C56251" w:rsidRPr="00041E34" w:rsidRDefault="00C56251" w:rsidP="00C56251">
      <w:pPr>
        <w:rPr>
          <w:sz w:val="16"/>
          <w:szCs w:val="16"/>
        </w:rPr>
      </w:pPr>
    </w:p>
    <w:p w:rsidR="00C56251" w:rsidRPr="00041E34" w:rsidRDefault="00C56251" w:rsidP="00C56251">
      <w:pPr>
        <w:rPr>
          <w:sz w:val="16"/>
          <w:szCs w:val="16"/>
        </w:rPr>
      </w:pPr>
    </w:p>
    <w:p w:rsidR="00C56251" w:rsidRPr="00041E34" w:rsidRDefault="00C56251" w:rsidP="00C56251">
      <w:pPr>
        <w:pStyle w:val="Subtitle"/>
        <w:ind w:left="284"/>
      </w:pPr>
      <w:r w:rsidRPr="00041E34">
        <w:rPr>
          <w:szCs w:val="24"/>
          <w:u w:val="none"/>
        </w:rPr>
        <w:br w:type="page"/>
      </w:r>
      <w:r w:rsidRPr="00041E34">
        <w:lastRenderedPageBreak/>
        <w:t xml:space="preserve"> </w:t>
      </w:r>
    </w:p>
    <w:p w:rsidR="00C56251" w:rsidRPr="00041E34" w:rsidRDefault="00C56251" w:rsidP="00C56251">
      <w:pPr>
        <w:ind w:left="284"/>
        <w:jc w:val="right"/>
        <w:rPr>
          <w:b/>
          <w:szCs w:val="24"/>
        </w:rPr>
      </w:pPr>
      <w:r w:rsidRPr="00041E34">
        <w:rPr>
          <w:b/>
          <w:szCs w:val="24"/>
        </w:rPr>
        <w:t>ATTACHMENT</w:t>
      </w:r>
    </w:p>
    <w:p w:rsidR="00C56251" w:rsidRPr="00041E34" w:rsidRDefault="00C56251" w:rsidP="00C56251">
      <w:pPr>
        <w:ind w:left="284"/>
        <w:jc w:val="right"/>
        <w:rPr>
          <w:b/>
          <w:szCs w:val="24"/>
        </w:rPr>
      </w:pPr>
    </w:p>
    <w:p w:rsidR="00C56251" w:rsidRPr="00041E34" w:rsidRDefault="00C56251" w:rsidP="00C56251">
      <w:pPr>
        <w:pStyle w:val="BodyText"/>
        <w:rPr>
          <w:szCs w:val="24"/>
          <w:u w:val="single"/>
        </w:rPr>
      </w:pPr>
      <w:r w:rsidRPr="00041E34">
        <w:rPr>
          <w:szCs w:val="24"/>
          <w:u w:val="single"/>
        </w:rPr>
        <w:t xml:space="preserve">Details of the </w:t>
      </w:r>
      <w:r w:rsidR="00765E7B">
        <w:rPr>
          <w:i/>
          <w:szCs w:val="24"/>
          <w:u w:val="single"/>
        </w:rPr>
        <w:t>Royal Commissions Amendment Regulation</w:t>
      </w:r>
      <w:r w:rsidR="008F7C5B" w:rsidRPr="00041E34">
        <w:rPr>
          <w:i/>
          <w:szCs w:val="24"/>
          <w:u w:val="single"/>
        </w:rPr>
        <w:t xml:space="preserve"> </w:t>
      </w:r>
      <w:r w:rsidR="0015521F" w:rsidRPr="00041E34">
        <w:rPr>
          <w:i/>
          <w:szCs w:val="24"/>
          <w:u w:val="single"/>
        </w:rPr>
        <w:t>2013</w:t>
      </w:r>
      <w:r w:rsidR="00C27625">
        <w:rPr>
          <w:i/>
          <w:szCs w:val="24"/>
          <w:u w:val="single"/>
        </w:rPr>
        <w:t xml:space="preserve"> (No. 1</w:t>
      </w:r>
      <w:r w:rsidRPr="00041E34">
        <w:rPr>
          <w:i/>
          <w:szCs w:val="24"/>
          <w:u w:val="single"/>
        </w:rPr>
        <w:t>)</w:t>
      </w:r>
    </w:p>
    <w:p w:rsidR="00C56251" w:rsidRPr="00041E34" w:rsidRDefault="00C56251" w:rsidP="00C56251">
      <w:pPr>
        <w:pStyle w:val="BodyText"/>
        <w:rPr>
          <w:b w:val="0"/>
          <w:szCs w:val="24"/>
        </w:rPr>
      </w:pPr>
    </w:p>
    <w:p w:rsidR="00C56251" w:rsidRPr="00041E34" w:rsidRDefault="00C56251" w:rsidP="00C56251">
      <w:pPr>
        <w:pStyle w:val="Heading1"/>
        <w:tabs>
          <w:tab w:val="left" w:pos="284"/>
        </w:tabs>
        <w:jc w:val="left"/>
        <w:rPr>
          <w:b w:val="0"/>
          <w:szCs w:val="24"/>
        </w:rPr>
      </w:pPr>
      <w:r w:rsidRPr="00041E34">
        <w:rPr>
          <w:b w:val="0"/>
          <w:szCs w:val="24"/>
        </w:rPr>
        <w:t>Section 1 – Name of regulation</w:t>
      </w:r>
    </w:p>
    <w:p w:rsidR="00C56251" w:rsidRPr="00041E34" w:rsidRDefault="00C56251" w:rsidP="00C56251">
      <w:pPr>
        <w:pStyle w:val="Heading1"/>
        <w:jc w:val="left"/>
        <w:rPr>
          <w:b w:val="0"/>
          <w:sz w:val="16"/>
          <w:szCs w:val="16"/>
          <w:u w:val="none"/>
        </w:rPr>
      </w:pPr>
    </w:p>
    <w:p w:rsidR="00C56251" w:rsidRPr="00041E34" w:rsidRDefault="00C56251" w:rsidP="00C56251">
      <w:pPr>
        <w:pStyle w:val="Heading1"/>
        <w:jc w:val="left"/>
        <w:rPr>
          <w:b w:val="0"/>
          <w:szCs w:val="24"/>
          <w:u w:val="none"/>
        </w:rPr>
      </w:pPr>
      <w:r w:rsidRPr="00041E34">
        <w:rPr>
          <w:b w:val="0"/>
          <w:szCs w:val="24"/>
          <w:u w:val="none"/>
        </w:rPr>
        <w:t>This section provide</w:t>
      </w:r>
      <w:r w:rsidR="005110FA" w:rsidRPr="00041E34">
        <w:rPr>
          <w:b w:val="0"/>
          <w:szCs w:val="24"/>
          <w:u w:val="none"/>
        </w:rPr>
        <w:t>s</w:t>
      </w:r>
      <w:r w:rsidRPr="00041E34">
        <w:rPr>
          <w:b w:val="0"/>
          <w:szCs w:val="24"/>
          <w:u w:val="none"/>
        </w:rPr>
        <w:t xml:space="preserve"> for the regulation to be referred to as the</w:t>
      </w:r>
      <w:r w:rsidRPr="00041E34">
        <w:rPr>
          <w:b w:val="0"/>
          <w:i/>
          <w:szCs w:val="24"/>
          <w:u w:val="none"/>
        </w:rPr>
        <w:t xml:space="preserve"> </w:t>
      </w:r>
      <w:r w:rsidR="00765E7B">
        <w:rPr>
          <w:b w:val="0"/>
          <w:i/>
          <w:szCs w:val="24"/>
          <w:u w:val="none"/>
        </w:rPr>
        <w:t xml:space="preserve">Royal Commissions Amendment Regulation </w:t>
      </w:r>
      <w:r w:rsidRPr="00041E34">
        <w:rPr>
          <w:b w:val="0"/>
          <w:i/>
          <w:szCs w:val="24"/>
          <w:u w:val="none"/>
        </w:rPr>
        <w:t>201</w:t>
      </w:r>
      <w:r w:rsidR="0015521F" w:rsidRPr="00041E34">
        <w:rPr>
          <w:b w:val="0"/>
          <w:i/>
          <w:szCs w:val="24"/>
          <w:u w:val="none"/>
        </w:rPr>
        <w:t>3</w:t>
      </w:r>
      <w:r w:rsidRPr="00041E34">
        <w:rPr>
          <w:b w:val="0"/>
          <w:i/>
          <w:szCs w:val="24"/>
          <w:u w:val="none"/>
        </w:rPr>
        <w:t xml:space="preserve"> (No</w:t>
      </w:r>
      <w:r w:rsidR="00041E34" w:rsidRPr="00041E34">
        <w:rPr>
          <w:b w:val="0"/>
          <w:szCs w:val="24"/>
          <w:u w:val="none"/>
        </w:rPr>
        <w:t>.</w:t>
      </w:r>
      <w:r w:rsidR="00765E7B">
        <w:rPr>
          <w:b w:val="0"/>
          <w:szCs w:val="24"/>
          <w:u w:val="none"/>
        </w:rPr>
        <w:t xml:space="preserve"> </w:t>
      </w:r>
      <w:r w:rsidR="00C27625">
        <w:rPr>
          <w:b w:val="0"/>
          <w:i/>
          <w:szCs w:val="24"/>
          <w:u w:val="none"/>
        </w:rPr>
        <w:t>1</w:t>
      </w:r>
      <w:r w:rsidRPr="00041E34">
        <w:rPr>
          <w:b w:val="0"/>
          <w:i/>
          <w:szCs w:val="24"/>
          <w:u w:val="none"/>
        </w:rPr>
        <w:t>)</w:t>
      </w:r>
      <w:r w:rsidRPr="00041E34">
        <w:rPr>
          <w:b w:val="0"/>
          <w:szCs w:val="24"/>
          <w:u w:val="none"/>
        </w:rPr>
        <w:t>.</w:t>
      </w:r>
    </w:p>
    <w:p w:rsidR="00C56251" w:rsidRPr="00041E34" w:rsidRDefault="00C56251" w:rsidP="00C56251">
      <w:pPr>
        <w:pStyle w:val="BodyText"/>
        <w:rPr>
          <w:b w:val="0"/>
          <w:szCs w:val="24"/>
        </w:rPr>
      </w:pPr>
    </w:p>
    <w:p w:rsidR="00C56251" w:rsidRPr="00041E34" w:rsidRDefault="00C56251" w:rsidP="00C56251">
      <w:pPr>
        <w:pStyle w:val="BodyText"/>
        <w:rPr>
          <w:b w:val="0"/>
          <w:szCs w:val="24"/>
          <w:u w:val="single"/>
        </w:rPr>
      </w:pPr>
      <w:r w:rsidRPr="00041E34">
        <w:rPr>
          <w:b w:val="0"/>
          <w:szCs w:val="24"/>
          <w:u w:val="single"/>
        </w:rPr>
        <w:t xml:space="preserve">Section 2 – Commencement </w:t>
      </w:r>
    </w:p>
    <w:p w:rsidR="00C56251" w:rsidRPr="00041E34" w:rsidRDefault="00C56251" w:rsidP="00C56251">
      <w:pPr>
        <w:pStyle w:val="BodyText"/>
        <w:rPr>
          <w:b w:val="0"/>
          <w:sz w:val="16"/>
          <w:szCs w:val="16"/>
        </w:rPr>
      </w:pPr>
    </w:p>
    <w:p w:rsidR="00A9123D" w:rsidRPr="00041E34" w:rsidRDefault="00A9123D" w:rsidP="003E1249">
      <w:pPr>
        <w:pStyle w:val="BodyText"/>
        <w:rPr>
          <w:b w:val="0"/>
          <w:szCs w:val="24"/>
        </w:rPr>
      </w:pPr>
      <w:r w:rsidRPr="00041E34">
        <w:rPr>
          <w:b w:val="0"/>
          <w:szCs w:val="24"/>
        </w:rPr>
        <w:t xml:space="preserve">This section </w:t>
      </w:r>
      <w:r w:rsidR="003E1249" w:rsidRPr="00041E34">
        <w:rPr>
          <w:b w:val="0"/>
          <w:szCs w:val="24"/>
        </w:rPr>
        <w:t>provide</w:t>
      </w:r>
      <w:r w:rsidR="005110FA" w:rsidRPr="00041E34">
        <w:rPr>
          <w:b w:val="0"/>
          <w:szCs w:val="24"/>
        </w:rPr>
        <w:t>s</w:t>
      </w:r>
      <w:r w:rsidR="003E1249" w:rsidRPr="00041E34">
        <w:rPr>
          <w:b w:val="0"/>
          <w:szCs w:val="24"/>
        </w:rPr>
        <w:t xml:space="preserve"> for the regulation to commence on </w:t>
      </w:r>
      <w:r w:rsidR="00765E7B" w:rsidRPr="00765E7B">
        <w:rPr>
          <w:b w:val="0"/>
        </w:rPr>
        <w:t>the day after it is registered</w:t>
      </w:r>
      <w:r w:rsidR="003E1249" w:rsidRPr="00041E34">
        <w:rPr>
          <w:b w:val="0"/>
          <w:szCs w:val="24"/>
        </w:rPr>
        <w:t xml:space="preserve">. </w:t>
      </w:r>
    </w:p>
    <w:p w:rsidR="00C56251" w:rsidRPr="00041E34" w:rsidRDefault="00C56251" w:rsidP="00C56251">
      <w:pPr>
        <w:pStyle w:val="BodyText"/>
        <w:rPr>
          <w:b w:val="0"/>
          <w:szCs w:val="24"/>
        </w:rPr>
      </w:pPr>
    </w:p>
    <w:p w:rsidR="00C56251" w:rsidRPr="00041E34" w:rsidRDefault="00C56251" w:rsidP="00C56251">
      <w:pPr>
        <w:pStyle w:val="BodyText"/>
        <w:rPr>
          <w:b w:val="0"/>
          <w:szCs w:val="24"/>
          <w:u w:val="single"/>
        </w:rPr>
      </w:pPr>
      <w:r w:rsidRPr="00041E34">
        <w:rPr>
          <w:b w:val="0"/>
          <w:szCs w:val="24"/>
          <w:u w:val="single"/>
        </w:rPr>
        <w:t xml:space="preserve">Section 3 – </w:t>
      </w:r>
      <w:r w:rsidR="000C6797" w:rsidRPr="00041E34">
        <w:rPr>
          <w:b w:val="0"/>
          <w:szCs w:val="24"/>
          <w:u w:val="single"/>
        </w:rPr>
        <w:t>Authority</w:t>
      </w:r>
      <w:r w:rsidRPr="00041E34">
        <w:rPr>
          <w:b w:val="0"/>
          <w:szCs w:val="24"/>
          <w:u w:val="single"/>
        </w:rPr>
        <w:t xml:space="preserve"> </w:t>
      </w:r>
    </w:p>
    <w:p w:rsidR="00C56251" w:rsidRPr="00041E34" w:rsidRDefault="00C56251" w:rsidP="00C56251">
      <w:pPr>
        <w:pStyle w:val="BodyText"/>
        <w:rPr>
          <w:b w:val="0"/>
          <w:sz w:val="16"/>
          <w:szCs w:val="16"/>
        </w:rPr>
      </w:pPr>
    </w:p>
    <w:p w:rsidR="00C56251" w:rsidRDefault="00C56251" w:rsidP="00C56251">
      <w:pPr>
        <w:pStyle w:val="BodyText"/>
        <w:rPr>
          <w:b w:val="0"/>
          <w:i/>
          <w:szCs w:val="24"/>
        </w:rPr>
      </w:pPr>
      <w:r w:rsidRPr="00041E34">
        <w:rPr>
          <w:b w:val="0"/>
          <w:szCs w:val="24"/>
        </w:rPr>
        <w:t xml:space="preserve">This </w:t>
      </w:r>
      <w:r w:rsidR="000C6797" w:rsidRPr="00041E34">
        <w:rPr>
          <w:b w:val="0"/>
          <w:szCs w:val="24"/>
        </w:rPr>
        <w:t xml:space="preserve">regulation is made under the </w:t>
      </w:r>
      <w:r w:rsidR="00765E7B">
        <w:rPr>
          <w:b w:val="0"/>
          <w:i/>
          <w:szCs w:val="24"/>
        </w:rPr>
        <w:t>Royal Commissions Act 1902</w:t>
      </w:r>
      <w:r w:rsidR="000C6797" w:rsidRPr="00041E34">
        <w:rPr>
          <w:b w:val="0"/>
          <w:i/>
          <w:szCs w:val="24"/>
        </w:rPr>
        <w:t>.</w:t>
      </w:r>
    </w:p>
    <w:p w:rsidR="00F90115" w:rsidRDefault="00F90115" w:rsidP="00C56251">
      <w:pPr>
        <w:pStyle w:val="BodyText"/>
        <w:rPr>
          <w:b w:val="0"/>
          <w:i/>
          <w:szCs w:val="24"/>
        </w:rPr>
      </w:pPr>
    </w:p>
    <w:p w:rsidR="00F90115" w:rsidRPr="00F90115" w:rsidRDefault="00F90115" w:rsidP="00F90115">
      <w:pPr>
        <w:rPr>
          <w:u w:val="single"/>
        </w:rPr>
      </w:pPr>
      <w:r w:rsidRPr="00F90115">
        <w:rPr>
          <w:u w:val="single"/>
        </w:rPr>
        <w:t>Section 4 — Schedule</w:t>
      </w:r>
      <w:r>
        <w:rPr>
          <w:u w:val="single"/>
        </w:rPr>
        <w:t>(s)</w:t>
      </w:r>
    </w:p>
    <w:p w:rsidR="00F90115" w:rsidRDefault="00F90115" w:rsidP="00F90115">
      <w:r>
        <w:t> </w:t>
      </w:r>
    </w:p>
    <w:p w:rsidR="00F90115" w:rsidRDefault="00F90115" w:rsidP="00F90115">
      <w: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F90115" w:rsidRPr="00041E34" w:rsidRDefault="00F90115" w:rsidP="00C56251">
      <w:pPr>
        <w:pStyle w:val="BodyText"/>
        <w:rPr>
          <w:b w:val="0"/>
          <w:i/>
          <w:szCs w:val="24"/>
        </w:rPr>
      </w:pPr>
    </w:p>
    <w:p w:rsidR="00AC681D" w:rsidRPr="00041E34" w:rsidRDefault="00C56251" w:rsidP="00AC681D">
      <w:pPr>
        <w:tabs>
          <w:tab w:val="num" w:pos="2289"/>
        </w:tabs>
        <w:rPr>
          <w:szCs w:val="24"/>
          <w:u w:val="single"/>
          <w:lang w:val="en-US" w:eastAsia="en-US"/>
        </w:rPr>
      </w:pPr>
      <w:r w:rsidRPr="00041E34">
        <w:rPr>
          <w:szCs w:val="24"/>
          <w:u w:val="single"/>
          <w:lang w:val="en-US" w:eastAsia="en-US"/>
        </w:rPr>
        <w:t xml:space="preserve">Schedule 1 – </w:t>
      </w:r>
      <w:r w:rsidR="00AC681D" w:rsidRPr="00041E34">
        <w:rPr>
          <w:szCs w:val="24"/>
          <w:u w:val="single"/>
          <w:lang w:val="en-US" w:eastAsia="en-US"/>
        </w:rPr>
        <w:t>Amendments</w:t>
      </w:r>
    </w:p>
    <w:p w:rsidR="00AC681D" w:rsidRPr="00041E34" w:rsidRDefault="00AC681D" w:rsidP="00AC681D">
      <w:pPr>
        <w:tabs>
          <w:tab w:val="num" w:pos="2289"/>
        </w:tabs>
        <w:rPr>
          <w:szCs w:val="24"/>
          <w:u w:val="single"/>
          <w:lang w:val="en-US" w:eastAsia="en-US"/>
        </w:rPr>
      </w:pPr>
    </w:p>
    <w:p w:rsidR="00BB1CDA" w:rsidRPr="00041E34" w:rsidRDefault="00D565F8" w:rsidP="00BB1CDA">
      <w:pPr>
        <w:tabs>
          <w:tab w:val="num" w:pos="2289"/>
        </w:tabs>
        <w:rPr>
          <w:b/>
          <w:sz w:val="23"/>
          <w:szCs w:val="23"/>
        </w:rPr>
      </w:pPr>
      <w:r w:rsidRPr="00041E34">
        <w:rPr>
          <w:b/>
          <w:sz w:val="23"/>
          <w:szCs w:val="23"/>
        </w:rPr>
        <w:t xml:space="preserve">Item [1] – </w:t>
      </w:r>
      <w:r w:rsidR="00F569B9">
        <w:rPr>
          <w:b/>
          <w:sz w:val="23"/>
          <w:szCs w:val="23"/>
        </w:rPr>
        <w:t>Regulation 7</w:t>
      </w:r>
    </w:p>
    <w:p w:rsidR="00F569B9" w:rsidRPr="00F569B9" w:rsidRDefault="00D565F8" w:rsidP="00F569B9">
      <w:pPr>
        <w:pStyle w:val="1NumberPointsStyle"/>
        <w:numPr>
          <w:ilvl w:val="0"/>
          <w:numId w:val="0"/>
        </w:numPr>
        <w:rPr>
          <w:rFonts w:ascii="Times New Roman" w:hAnsi="Times New Roman"/>
          <w:szCs w:val="24"/>
        </w:rPr>
      </w:pPr>
      <w:r w:rsidRPr="00F569B9">
        <w:rPr>
          <w:rFonts w:ascii="Times New Roman" w:hAnsi="Times New Roman"/>
          <w:szCs w:val="24"/>
        </w:rPr>
        <w:t xml:space="preserve">This item </w:t>
      </w:r>
      <w:r w:rsidR="00F569B9" w:rsidRPr="00F569B9">
        <w:rPr>
          <w:rFonts w:ascii="Times New Roman" w:hAnsi="Times New Roman"/>
          <w:szCs w:val="24"/>
        </w:rPr>
        <w:t xml:space="preserve">repeals Regulation 7 and substitutes a new Regulation 7 that makes the </w:t>
      </w:r>
      <w:r w:rsidR="00F569B9" w:rsidRPr="00F569B9">
        <w:rPr>
          <w:rFonts w:ascii="Times New Roman" w:hAnsi="Times New Roman"/>
          <w:szCs w:val="24"/>
        </w:rPr>
        <w:br/>
        <w:t xml:space="preserve">Attorney-General’s Department responsible for handling applications for payment of expenses and allowances for all witnesses appearing before Royal Commissions in future.  The amendments contain a table of expenses that are consistent with the High Court Scale. </w:t>
      </w:r>
    </w:p>
    <w:p w:rsidR="00A641EE" w:rsidRDefault="00A641EE">
      <w:pPr>
        <w:spacing w:after="200" w:line="276" w:lineRule="auto"/>
        <w:rPr>
          <w:b/>
          <w:szCs w:val="24"/>
        </w:rPr>
      </w:pPr>
      <w:r>
        <w:rPr>
          <w:b/>
          <w:szCs w:val="24"/>
        </w:rPr>
        <w:br w:type="page"/>
      </w:r>
    </w:p>
    <w:p w:rsidR="00ED7B37" w:rsidRPr="005744C6" w:rsidRDefault="00ED7B37" w:rsidP="00ED7B37">
      <w:pPr>
        <w:spacing w:before="360" w:after="120"/>
        <w:jc w:val="center"/>
        <w:rPr>
          <w:b/>
          <w:szCs w:val="24"/>
        </w:rPr>
      </w:pPr>
      <w:r w:rsidRPr="005744C6">
        <w:rPr>
          <w:b/>
          <w:szCs w:val="24"/>
        </w:rPr>
        <w:lastRenderedPageBreak/>
        <w:t>Statement of Compatibility with Human Rights</w:t>
      </w:r>
    </w:p>
    <w:p w:rsidR="00ED7B37" w:rsidRPr="005744C6" w:rsidRDefault="00ED7B37" w:rsidP="00ED7B37">
      <w:pPr>
        <w:spacing w:before="120" w:after="120"/>
        <w:jc w:val="center"/>
        <w:rPr>
          <w:szCs w:val="24"/>
        </w:rPr>
      </w:pPr>
      <w:r w:rsidRPr="005744C6">
        <w:rPr>
          <w:i/>
          <w:szCs w:val="24"/>
        </w:rPr>
        <w:t>Prepared in accordance with Part 3 of the Human Rights (Parliamentary Scrutiny) Act 2011</w:t>
      </w:r>
    </w:p>
    <w:p w:rsidR="00ED7B37" w:rsidRPr="005744C6" w:rsidRDefault="00ED7B37" w:rsidP="00ED7B37">
      <w:pPr>
        <w:spacing w:before="120" w:after="120"/>
        <w:jc w:val="center"/>
        <w:rPr>
          <w:szCs w:val="24"/>
        </w:rPr>
      </w:pPr>
    </w:p>
    <w:p w:rsidR="00ED7B37" w:rsidRPr="005744C6" w:rsidRDefault="00F569B9" w:rsidP="00ED7B37">
      <w:pPr>
        <w:spacing w:before="120" w:after="120"/>
        <w:jc w:val="center"/>
        <w:rPr>
          <w:b/>
          <w:i/>
          <w:szCs w:val="24"/>
        </w:rPr>
      </w:pPr>
      <w:r w:rsidRPr="005744C6">
        <w:rPr>
          <w:b/>
          <w:i/>
          <w:szCs w:val="24"/>
        </w:rPr>
        <w:t xml:space="preserve">Royal Commissions Amendment Regulation </w:t>
      </w:r>
      <w:r w:rsidR="00ED7B37" w:rsidRPr="005744C6">
        <w:rPr>
          <w:b/>
          <w:i/>
          <w:szCs w:val="24"/>
        </w:rPr>
        <w:t xml:space="preserve">2013 (No. </w:t>
      </w:r>
      <w:r w:rsidR="00C27625">
        <w:rPr>
          <w:b/>
          <w:i/>
          <w:szCs w:val="24"/>
        </w:rPr>
        <w:t>1</w:t>
      </w:r>
      <w:r w:rsidR="00ED7B37" w:rsidRPr="005744C6">
        <w:rPr>
          <w:b/>
          <w:i/>
          <w:szCs w:val="24"/>
        </w:rPr>
        <w:t>)</w:t>
      </w:r>
    </w:p>
    <w:p w:rsidR="005718B5" w:rsidRPr="005744C6" w:rsidRDefault="005718B5" w:rsidP="00ED7B37">
      <w:pPr>
        <w:spacing w:before="120" w:after="120"/>
        <w:jc w:val="center"/>
        <w:rPr>
          <w:szCs w:val="24"/>
        </w:rPr>
      </w:pPr>
    </w:p>
    <w:p w:rsidR="00ED7B37" w:rsidRPr="005744C6" w:rsidRDefault="00ED7B37" w:rsidP="00A641EE">
      <w:pPr>
        <w:spacing w:before="120" w:after="120"/>
        <w:rPr>
          <w:szCs w:val="24"/>
        </w:rPr>
      </w:pPr>
      <w:r w:rsidRPr="005744C6">
        <w:rPr>
          <w:szCs w:val="24"/>
        </w:rPr>
        <w:t xml:space="preserve">This Legislative Instrument is compatible with the human rights and freedoms recognised or declared in the international instruments listed in section 3 of the </w:t>
      </w:r>
      <w:r w:rsidRPr="005744C6">
        <w:rPr>
          <w:i/>
          <w:szCs w:val="24"/>
        </w:rPr>
        <w:t>Human Rights (Parliamentary Scrutiny) Act 2011</w:t>
      </w:r>
      <w:r w:rsidRPr="005744C6">
        <w:rPr>
          <w:szCs w:val="24"/>
        </w:rPr>
        <w:t>.</w:t>
      </w:r>
    </w:p>
    <w:p w:rsidR="00ED7B37" w:rsidRPr="005744C6" w:rsidRDefault="00ED7B37" w:rsidP="00ED7B37">
      <w:pPr>
        <w:spacing w:before="120" w:after="120"/>
        <w:jc w:val="center"/>
        <w:rPr>
          <w:szCs w:val="24"/>
          <w:highlight w:val="yellow"/>
        </w:rPr>
      </w:pPr>
    </w:p>
    <w:p w:rsidR="00ED7B37" w:rsidRPr="005744C6" w:rsidRDefault="00ED7B37" w:rsidP="00ED7B37">
      <w:pPr>
        <w:spacing w:before="120" w:after="120"/>
        <w:jc w:val="both"/>
        <w:rPr>
          <w:b/>
          <w:szCs w:val="24"/>
        </w:rPr>
      </w:pPr>
      <w:r w:rsidRPr="005744C6">
        <w:rPr>
          <w:b/>
          <w:szCs w:val="24"/>
        </w:rPr>
        <w:t>Overview of the Legislative Instrument</w:t>
      </w:r>
    </w:p>
    <w:p w:rsidR="007029AA" w:rsidRPr="007029AA" w:rsidRDefault="005718B5" w:rsidP="00AF0731">
      <w:r w:rsidRPr="005744C6">
        <w:rPr>
          <w:szCs w:val="24"/>
        </w:rPr>
        <w:t>The purpose of the Legislative Instrument is to</w:t>
      </w:r>
      <w:r w:rsidR="007029AA">
        <w:rPr>
          <w:szCs w:val="24"/>
        </w:rPr>
        <w:t xml:space="preserve"> </w:t>
      </w:r>
      <w:r w:rsidR="007029AA" w:rsidRPr="00481D24">
        <w:rPr>
          <w:rFonts w:cstheme="minorHAnsi"/>
        </w:rPr>
        <w:t>make the Attorney-General’s Department responsible for handling applications for payment of expenses and allowances for all witnesses appearing before Royal Commissions in future</w:t>
      </w:r>
      <w:r w:rsidR="007029AA">
        <w:rPr>
          <w:rFonts w:cstheme="minorHAnsi"/>
        </w:rPr>
        <w:t xml:space="preserve"> and</w:t>
      </w:r>
      <w:r w:rsidR="007029AA" w:rsidRPr="00481D24">
        <w:rPr>
          <w:rFonts w:cstheme="minorHAnsi"/>
        </w:rPr>
        <w:t xml:space="preserve"> </w:t>
      </w:r>
      <w:r w:rsidR="007029AA">
        <w:rPr>
          <w:szCs w:val="24"/>
        </w:rPr>
        <w:t>make the process much easier for witnesses.</w:t>
      </w:r>
      <w:r w:rsidR="00AF0731">
        <w:rPr>
          <w:szCs w:val="24"/>
        </w:rPr>
        <w:t xml:space="preserve">  </w:t>
      </w:r>
      <w:r w:rsidR="007029AA" w:rsidRPr="007029AA">
        <w:t>The amendments contain a table of expenses that are consistent with the High</w:t>
      </w:r>
      <w:r w:rsidR="00AF0731">
        <w:t> </w:t>
      </w:r>
      <w:r w:rsidR="007029AA" w:rsidRPr="007029AA">
        <w:t xml:space="preserve">Court Scale. </w:t>
      </w:r>
    </w:p>
    <w:p w:rsidR="005718B5" w:rsidRPr="005744C6" w:rsidRDefault="005718B5" w:rsidP="00ED7B37">
      <w:pPr>
        <w:rPr>
          <w:szCs w:val="24"/>
        </w:rPr>
      </w:pPr>
    </w:p>
    <w:p w:rsidR="00ED7B37" w:rsidRPr="005744C6" w:rsidRDefault="00ED7B37" w:rsidP="00ED7B37">
      <w:pPr>
        <w:rPr>
          <w:b/>
          <w:szCs w:val="24"/>
        </w:rPr>
      </w:pPr>
      <w:r w:rsidRPr="005744C6">
        <w:rPr>
          <w:b/>
          <w:szCs w:val="24"/>
        </w:rPr>
        <w:t>Human Rights Implications</w:t>
      </w:r>
    </w:p>
    <w:p w:rsidR="00ED7B37" w:rsidRPr="005744C6" w:rsidRDefault="00ED7B37" w:rsidP="00ED7B37">
      <w:pPr>
        <w:rPr>
          <w:szCs w:val="24"/>
        </w:rPr>
      </w:pPr>
      <w:r w:rsidRPr="005744C6">
        <w:rPr>
          <w:szCs w:val="24"/>
        </w:rPr>
        <w:t xml:space="preserve"> </w:t>
      </w:r>
    </w:p>
    <w:p w:rsidR="005718B5" w:rsidRPr="005744C6" w:rsidRDefault="005718B5" w:rsidP="005718B5">
      <w:pPr>
        <w:rPr>
          <w:szCs w:val="24"/>
        </w:rPr>
      </w:pPr>
      <w:r w:rsidRPr="005744C6">
        <w:rPr>
          <w:szCs w:val="24"/>
        </w:rPr>
        <w:t>This Legislative Instrument does not engage any of the applicable rights or freedoms.</w:t>
      </w:r>
    </w:p>
    <w:p w:rsidR="005E7081" w:rsidRPr="005744C6" w:rsidRDefault="005E7081" w:rsidP="005718B5">
      <w:pPr>
        <w:rPr>
          <w:szCs w:val="24"/>
        </w:rPr>
      </w:pPr>
    </w:p>
    <w:p w:rsidR="005E7081" w:rsidRPr="005744C6" w:rsidRDefault="005E7081" w:rsidP="005718B5">
      <w:pPr>
        <w:rPr>
          <w:b/>
          <w:szCs w:val="24"/>
        </w:rPr>
      </w:pPr>
      <w:r w:rsidRPr="005744C6">
        <w:rPr>
          <w:b/>
          <w:szCs w:val="24"/>
        </w:rPr>
        <w:t>Conclusion</w:t>
      </w:r>
    </w:p>
    <w:p w:rsidR="005718B5" w:rsidRPr="005744C6" w:rsidRDefault="005718B5" w:rsidP="00ED7B37">
      <w:pPr>
        <w:rPr>
          <w:szCs w:val="24"/>
        </w:rPr>
      </w:pPr>
    </w:p>
    <w:p w:rsidR="005718B5" w:rsidRPr="005744C6" w:rsidRDefault="005718B5" w:rsidP="005718B5">
      <w:pPr>
        <w:rPr>
          <w:szCs w:val="24"/>
        </w:rPr>
      </w:pPr>
      <w:r w:rsidRPr="005744C6">
        <w:rPr>
          <w:szCs w:val="24"/>
        </w:rPr>
        <w:t>This Legislative Instrument is compatible with human rights as it does not raise any human rights issues.</w:t>
      </w:r>
    </w:p>
    <w:p w:rsidR="0018451D" w:rsidRDefault="0018451D"/>
    <w:sectPr w:rsidR="0018451D" w:rsidSect="008F1AA9">
      <w:headerReference w:type="even" r:id="rId8"/>
      <w:headerReference w:type="default" r:id="rId9"/>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0B" w:rsidRDefault="00710E0B">
      <w:r>
        <w:separator/>
      </w:r>
    </w:p>
  </w:endnote>
  <w:endnote w:type="continuationSeparator" w:id="0">
    <w:p w:rsidR="00710E0B" w:rsidRDefault="0071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0B" w:rsidRDefault="00710E0B">
      <w:r>
        <w:separator/>
      </w:r>
    </w:p>
  </w:footnote>
  <w:footnote w:type="continuationSeparator" w:id="0">
    <w:p w:rsidR="00710E0B" w:rsidRDefault="00710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FA" w:rsidRDefault="005110FA"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110FA" w:rsidRDefault="00511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FA" w:rsidRDefault="005110FA"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708A">
      <w:rPr>
        <w:rStyle w:val="PageNumber"/>
        <w:noProof/>
      </w:rPr>
      <w:t>3</w:t>
    </w:r>
    <w:r>
      <w:rPr>
        <w:rStyle w:val="PageNumber"/>
      </w:rPr>
      <w:fldChar w:fldCharType="end"/>
    </w:r>
  </w:p>
  <w:p w:rsidR="005110FA" w:rsidRDefault="005110FA" w:rsidP="009D3773">
    <w:pPr>
      <w:pStyle w:val="Header"/>
      <w:framePr w:wrap="around" w:vAnchor="text" w:hAnchor="page" w:x="6022" w:y="1"/>
      <w:rPr>
        <w:rStyle w:val="PageNumber"/>
      </w:rPr>
    </w:pPr>
  </w:p>
  <w:p w:rsidR="005110FA" w:rsidRDefault="005110FA"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7131EB"/>
    <w:multiLevelType w:val="hybridMultilevel"/>
    <w:tmpl w:val="6D06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84511A"/>
    <w:multiLevelType w:val="multilevel"/>
    <w:tmpl w:val="EA5E96EA"/>
    <w:numStyleLink w:val="KeyPoints"/>
  </w:abstractNum>
  <w:abstractNum w:abstractNumId="3">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A4D0473"/>
    <w:multiLevelType w:val="multilevel"/>
    <w:tmpl w:val="9412E730"/>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4581" w:hanging="360"/>
      </w:pPr>
    </w:lvl>
    <w:lvl w:ilvl="4">
      <w:start w:val="1"/>
      <w:numFmt w:val="lowerLetter"/>
      <w:lvlText w:val="(%5)"/>
      <w:lvlJc w:val="left"/>
      <w:pPr>
        <w:ind w:left="4941" w:hanging="360"/>
      </w:pPr>
    </w:lvl>
    <w:lvl w:ilvl="5">
      <w:start w:val="1"/>
      <w:numFmt w:val="lowerRoman"/>
      <w:lvlText w:val="(%6)"/>
      <w:lvlJc w:val="left"/>
      <w:pPr>
        <w:ind w:left="5301" w:hanging="360"/>
      </w:pPr>
    </w:lvl>
    <w:lvl w:ilvl="6">
      <w:start w:val="1"/>
      <w:numFmt w:val="decimal"/>
      <w:lvlText w:val="%7."/>
      <w:lvlJc w:val="left"/>
      <w:pPr>
        <w:ind w:left="5661" w:hanging="360"/>
      </w:pPr>
    </w:lvl>
    <w:lvl w:ilvl="7">
      <w:start w:val="1"/>
      <w:numFmt w:val="lowerLetter"/>
      <w:lvlText w:val="%8."/>
      <w:lvlJc w:val="left"/>
      <w:pPr>
        <w:ind w:left="6021" w:hanging="360"/>
      </w:pPr>
    </w:lvl>
    <w:lvl w:ilvl="8">
      <w:start w:val="1"/>
      <w:numFmt w:val="lowerRoman"/>
      <w:lvlText w:val="%9."/>
      <w:lvlJc w:val="left"/>
      <w:pPr>
        <w:ind w:left="6381" w:hanging="360"/>
      </w:pPr>
    </w:lvl>
  </w:abstractNum>
  <w:abstractNum w:abstractNumId="6">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nsid w:val="67A43C0B"/>
    <w:multiLevelType w:val="multilevel"/>
    <w:tmpl w:val="A556429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6"/>
  </w:num>
  <w:num w:numId="3">
    <w:abstractNumId w:val="4"/>
  </w:num>
  <w:num w:numId="4">
    <w:abstractNumId w:val="0"/>
  </w:num>
  <w:num w:numId="5">
    <w:abstractNumId w:val="1"/>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14B38"/>
    <w:rsid w:val="0003219B"/>
    <w:rsid w:val="00041E34"/>
    <w:rsid w:val="000509BA"/>
    <w:rsid w:val="0005224B"/>
    <w:rsid w:val="0005533C"/>
    <w:rsid w:val="000710DD"/>
    <w:rsid w:val="000C6797"/>
    <w:rsid w:val="000D7803"/>
    <w:rsid w:val="000F5E76"/>
    <w:rsid w:val="00154FC4"/>
    <w:rsid w:val="0015521F"/>
    <w:rsid w:val="001641C0"/>
    <w:rsid w:val="0018451D"/>
    <w:rsid w:val="00217EBF"/>
    <w:rsid w:val="00250642"/>
    <w:rsid w:val="002643FC"/>
    <w:rsid w:val="0027610D"/>
    <w:rsid w:val="00287B08"/>
    <w:rsid w:val="002F0434"/>
    <w:rsid w:val="002F137D"/>
    <w:rsid w:val="00333ED6"/>
    <w:rsid w:val="00340B3E"/>
    <w:rsid w:val="0035214B"/>
    <w:rsid w:val="0036495A"/>
    <w:rsid w:val="003876E6"/>
    <w:rsid w:val="00391AFA"/>
    <w:rsid w:val="003A3763"/>
    <w:rsid w:val="003B59A9"/>
    <w:rsid w:val="003E1249"/>
    <w:rsid w:val="003E3544"/>
    <w:rsid w:val="003E35A8"/>
    <w:rsid w:val="003E77CB"/>
    <w:rsid w:val="003F73BA"/>
    <w:rsid w:val="0041767B"/>
    <w:rsid w:val="00471740"/>
    <w:rsid w:val="00484503"/>
    <w:rsid w:val="00484E4F"/>
    <w:rsid w:val="004C27EB"/>
    <w:rsid w:val="004C405B"/>
    <w:rsid w:val="005110FA"/>
    <w:rsid w:val="00532CD3"/>
    <w:rsid w:val="005345A9"/>
    <w:rsid w:val="0054004F"/>
    <w:rsid w:val="005465AB"/>
    <w:rsid w:val="005642D9"/>
    <w:rsid w:val="005718B5"/>
    <w:rsid w:val="0057258C"/>
    <w:rsid w:val="005744C6"/>
    <w:rsid w:val="00581904"/>
    <w:rsid w:val="00585309"/>
    <w:rsid w:val="005A3D73"/>
    <w:rsid w:val="005A6339"/>
    <w:rsid w:val="005C6118"/>
    <w:rsid w:val="005D538F"/>
    <w:rsid w:val="005E7081"/>
    <w:rsid w:val="00601165"/>
    <w:rsid w:val="00611A4E"/>
    <w:rsid w:val="00613A78"/>
    <w:rsid w:val="006407FA"/>
    <w:rsid w:val="00642BEB"/>
    <w:rsid w:val="006526F5"/>
    <w:rsid w:val="00670998"/>
    <w:rsid w:val="00694C76"/>
    <w:rsid w:val="006D54FB"/>
    <w:rsid w:val="006E1A62"/>
    <w:rsid w:val="006E3D84"/>
    <w:rsid w:val="006E5C6B"/>
    <w:rsid w:val="006E6377"/>
    <w:rsid w:val="0070058D"/>
    <w:rsid w:val="007029AA"/>
    <w:rsid w:val="00705924"/>
    <w:rsid w:val="00710E0B"/>
    <w:rsid w:val="00717B45"/>
    <w:rsid w:val="00730965"/>
    <w:rsid w:val="00765E7B"/>
    <w:rsid w:val="007859F8"/>
    <w:rsid w:val="007B08D1"/>
    <w:rsid w:val="007B4EAA"/>
    <w:rsid w:val="007C20FA"/>
    <w:rsid w:val="007C79FB"/>
    <w:rsid w:val="007D4A14"/>
    <w:rsid w:val="007F0907"/>
    <w:rsid w:val="00804A98"/>
    <w:rsid w:val="00826C1C"/>
    <w:rsid w:val="00833FCC"/>
    <w:rsid w:val="00845708"/>
    <w:rsid w:val="008478EE"/>
    <w:rsid w:val="00855C39"/>
    <w:rsid w:val="008609B1"/>
    <w:rsid w:val="0089513F"/>
    <w:rsid w:val="008B444F"/>
    <w:rsid w:val="008C0445"/>
    <w:rsid w:val="008C20F7"/>
    <w:rsid w:val="008D0903"/>
    <w:rsid w:val="008D2A83"/>
    <w:rsid w:val="008D44EB"/>
    <w:rsid w:val="008F1AA9"/>
    <w:rsid w:val="008F7C5B"/>
    <w:rsid w:val="009049C0"/>
    <w:rsid w:val="009225FE"/>
    <w:rsid w:val="009427F2"/>
    <w:rsid w:val="00953383"/>
    <w:rsid w:val="00971B7B"/>
    <w:rsid w:val="00971D3B"/>
    <w:rsid w:val="00977A95"/>
    <w:rsid w:val="00995A06"/>
    <w:rsid w:val="009A222A"/>
    <w:rsid w:val="009C3324"/>
    <w:rsid w:val="009D3773"/>
    <w:rsid w:val="009D499D"/>
    <w:rsid w:val="009E3183"/>
    <w:rsid w:val="009E3EA3"/>
    <w:rsid w:val="009F708A"/>
    <w:rsid w:val="00A045CA"/>
    <w:rsid w:val="00A05DAD"/>
    <w:rsid w:val="00A47F12"/>
    <w:rsid w:val="00A641EE"/>
    <w:rsid w:val="00A73CF1"/>
    <w:rsid w:val="00A9123D"/>
    <w:rsid w:val="00A92534"/>
    <w:rsid w:val="00AA4399"/>
    <w:rsid w:val="00AB419D"/>
    <w:rsid w:val="00AC681D"/>
    <w:rsid w:val="00AD0F67"/>
    <w:rsid w:val="00AF0731"/>
    <w:rsid w:val="00AF3563"/>
    <w:rsid w:val="00B019A9"/>
    <w:rsid w:val="00B174E3"/>
    <w:rsid w:val="00B33C5B"/>
    <w:rsid w:val="00B34EF9"/>
    <w:rsid w:val="00B748AE"/>
    <w:rsid w:val="00B7681E"/>
    <w:rsid w:val="00BA58AC"/>
    <w:rsid w:val="00BA6AFC"/>
    <w:rsid w:val="00BB1CDA"/>
    <w:rsid w:val="00BB2CD8"/>
    <w:rsid w:val="00BF5A87"/>
    <w:rsid w:val="00C0045E"/>
    <w:rsid w:val="00C00FD8"/>
    <w:rsid w:val="00C073E4"/>
    <w:rsid w:val="00C154E6"/>
    <w:rsid w:val="00C27625"/>
    <w:rsid w:val="00C473F7"/>
    <w:rsid w:val="00C5100A"/>
    <w:rsid w:val="00C56251"/>
    <w:rsid w:val="00C77A1F"/>
    <w:rsid w:val="00CA73CB"/>
    <w:rsid w:val="00CF6B2F"/>
    <w:rsid w:val="00D114E6"/>
    <w:rsid w:val="00D44316"/>
    <w:rsid w:val="00D565F8"/>
    <w:rsid w:val="00D56ABB"/>
    <w:rsid w:val="00D571B1"/>
    <w:rsid w:val="00D85008"/>
    <w:rsid w:val="00DA7439"/>
    <w:rsid w:val="00DB0DA9"/>
    <w:rsid w:val="00DD3239"/>
    <w:rsid w:val="00DE0877"/>
    <w:rsid w:val="00E25ED8"/>
    <w:rsid w:val="00E516BA"/>
    <w:rsid w:val="00E74C1D"/>
    <w:rsid w:val="00E935A1"/>
    <w:rsid w:val="00EA5A32"/>
    <w:rsid w:val="00EB71CB"/>
    <w:rsid w:val="00ED0AD5"/>
    <w:rsid w:val="00ED7B37"/>
    <w:rsid w:val="00F02BA1"/>
    <w:rsid w:val="00F207AB"/>
    <w:rsid w:val="00F21724"/>
    <w:rsid w:val="00F413D8"/>
    <w:rsid w:val="00F42100"/>
    <w:rsid w:val="00F569B9"/>
    <w:rsid w:val="00F6591A"/>
    <w:rsid w:val="00F7546C"/>
    <w:rsid w:val="00F90115"/>
    <w:rsid w:val="00FB5BFA"/>
    <w:rsid w:val="00FD2498"/>
    <w:rsid w:val="00FD6A7D"/>
    <w:rsid w:val="00FD6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4">
    <w:name w:val="heading 4"/>
    <w:basedOn w:val="Normal"/>
    <w:next w:val="Normal"/>
    <w:link w:val="Heading4Char"/>
    <w:uiPriority w:val="9"/>
    <w:semiHidden/>
    <w:unhideWhenUsed/>
    <w:qFormat/>
    <w:rsid w:val="005718B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numbering" w:customStyle="1" w:styleId="KeyPoints">
    <w:name w:val="Key Points"/>
    <w:basedOn w:val="NoList"/>
    <w:uiPriority w:val="99"/>
    <w:rsid w:val="00765E7B"/>
    <w:pPr>
      <w:numPr>
        <w:numId w:val="6"/>
      </w:numPr>
    </w:pPr>
  </w:style>
  <w:style w:type="paragraph" w:customStyle="1" w:styleId="1NumberPointsStyle">
    <w:name w:val="1. Number Points Style"/>
    <w:basedOn w:val="Normal"/>
    <w:link w:val="1NumberPointsStyleChar"/>
    <w:qFormat/>
    <w:rsid w:val="00765E7B"/>
    <w:pPr>
      <w:numPr>
        <w:numId w:val="7"/>
      </w:numPr>
      <w:spacing w:after="200"/>
    </w:pPr>
    <w:rPr>
      <w:rFonts w:asciiTheme="minorHAnsi" w:hAnsiTheme="minorHAnsi"/>
    </w:rPr>
  </w:style>
  <w:style w:type="character" w:customStyle="1" w:styleId="1NumberPointsStyleChar">
    <w:name w:val="1. Number Points Style Char"/>
    <w:basedOn w:val="DefaultParagraphFont"/>
    <w:link w:val="1NumberPointsStyle"/>
    <w:rsid w:val="00765E7B"/>
    <w:rPr>
      <w:rFonts w:eastAsia="Times New Roman" w:cs="Times New Roman"/>
      <w:sz w:val="24"/>
      <w:szCs w:val="20"/>
      <w:lang w:eastAsia="en-AU"/>
    </w:rPr>
  </w:style>
  <w:style w:type="character" w:customStyle="1" w:styleId="Heading4Char">
    <w:name w:val="Heading 4 Char"/>
    <w:basedOn w:val="DefaultParagraphFont"/>
    <w:link w:val="Heading4"/>
    <w:uiPriority w:val="9"/>
    <w:semiHidden/>
    <w:rsid w:val="005718B5"/>
    <w:rPr>
      <w:rFonts w:asciiTheme="majorHAnsi" w:eastAsiaTheme="majorEastAsia" w:hAnsiTheme="majorHAnsi" w:cstheme="majorBidi"/>
      <w:b/>
      <w:bCs/>
      <w:i/>
      <w:iCs/>
      <w:color w:val="4F81BD" w:themeColor="accent1"/>
      <w:sz w:val="24"/>
      <w:szCs w:val="20"/>
      <w:lang w:eastAsia="en-AU"/>
    </w:rPr>
  </w:style>
  <w:style w:type="paragraph" w:customStyle="1" w:styleId="Bullet">
    <w:name w:val="Bullet"/>
    <w:aliases w:val="b"/>
    <w:basedOn w:val="Normal"/>
    <w:rsid w:val="005718B5"/>
    <w:pPr>
      <w:numPr>
        <w:numId w:val="8"/>
      </w:numPr>
      <w:spacing w:before="240" w:after="120"/>
    </w:pPr>
    <w:rPr>
      <w:szCs w:val="23"/>
    </w:rPr>
  </w:style>
  <w:style w:type="paragraph" w:customStyle="1" w:styleId="Dash">
    <w:name w:val="Dash"/>
    <w:basedOn w:val="Normal"/>
    <w:link w:val="DashChar"/>
    <w:uiPriority w:val="99"/>
    <w:rsid w:val="005718B5"/>
    <w:pPr>
      <w:numPr>
        <w:ilvl w:val="1"/>
        <w:numId w:val="8"/>
      </w:numPr>
      <w:spacing w:before="240" w:after="120"/>
    </w:pPr>
    <w:rPr>
      <w:szCs w:val="23"/>
    </w:rPr>
  </w:style>
  <w:style w:type="character" w:customStyle="1" w:styleId="DashChar">
    <w:name w:val="Dash Char"/>
    <w:basedOn w:val="DefaultParagraphFont"/>
    <w:link w:val="Dash"/>
    <w:uiPriority w:val="99"/>
    <w:rsid w:val="005718B5"/>
    <w:rPr>
      <w:rFonts w:ascii="Times New Roman" w:eastAsia="Times New Roman" w:hAnsi="Times New Roman" w:cs="Times New Roman"/>
      <w:sz w:val="24"/>
      <w:szCs w:val="23"/>
      <w:lang w:eastAsia="en-AU"/>
    </w:rPr>
  </w:style>
  <w:style w:type="paragraph" w:customStyle="1" w:styleId="DoubleDot">
    <w:name w:val="Double Dot"/>
    <w:basedOn w:val="Normal"/>
    <w:uiPriority w:val="99"/>
    <w:rsid w:val="005718B5"/>
    <w:pPr>
      <w:numPr>
        <w:ilvl w:val="2"/>
        <w:numId w:val="8"/>
      </w:numPr>
      <w:spacing w:before="240" w:after="120"/>
    </w:pPr>
    <w:rPr>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4">
    <w:name w:val="heading 4"/>
    <w:basedOn w:val="Normal"/>
    <w:next w:val="Normal"/>
    <w:link w:val="Heading4Char"/>
    <w:uiPriority w:val="9"/>
    <w:semiHidden/>
    <w:unhideWhenUsed/>
    <w:qFormat/>
    <w:rsid w:val="005718B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numbering" w:customStyle="1" w:styleId="KeyPoints">
    <w:name w:val="Key Points"/>
    <w:basedOn w:val="NoList"/>
    <w:uiPriority w:val="99"/>
    <w:rsid w:val="00765E7B"/>
    <w:pPr>
      <w:numPr>
        <w:numId w:val="6"/>
      </w:numPr>
    </w:pPr>
  </w:style>
  <w:style w:type="paragraph" w:customStyle="1" w:styleId="1NumberPointsStyle">
    <w:name w:val="1. Number Points Style"/>
    <w:basedOn w:val="Normal"/>
    <w:link w:val="1NumberPointsStyleChar"/>
    <w:qFormat/>
    <w:rsid w:val="00765E7B"/>
    <w:pPr>
      <w:numPr>
        <w:numId w:val="7"/>
      </w:numPr>
      <w:spacing w:after="200"/>
    </w:pPr>
    <w:rPr>
      <w:rFonts w:asciiTheme="minorHAnsi" w:hAnsiTheme="minorHAnsi"/>
    </w:rPr>
  </w:style>
  <w:style w:type="character" w:customStyle="1" w:styleId="1NumberPointsStyleChar">
    <w:name w:val="1. Number Points Style Char"/>
    <w:basedOn w:val="DefaultParagraphFont"/>
    <w:link w:val="1NumberPointsStyle"/>
    <w:rsid w:val="00765E7B"/>
    <w:rPr>
      <w:rFonts w:eastAsia="Times New Roman" w:cs="Times New Roman"/>
      <w:sz w:val="24"/>
      <w:szCs w:val="20"/>
      <w:lang w:eastAsia="en-AU"/>
    </w:rPr>
  </w:style>
  <w:style w:type="character" w:customStyle="1" w:styleId="Heading4Char">
    <w:name w:val="Heading 4 Char"/>
    <w:basedOn w:val="DefaultParagraphFont"/>
    <w:link w:val="Heading4"/>
    <w:uiPriority w:val="9"/>
    <w:semiHidden/>
    <w:rsid w:val="005718B5"/>
    <w:rPr>
      <w:rFonts w:asciiTheme="majorHAnsi" w:eastAsiaTheme="majorEastAsia" w:hAnsiTheme="majorHAnsi" w:cstheme="majorBidi"/>
      <w:b/>
      <w:bCs/>
      <w:i/>
      <w:iCs/>
      <w:color w:val="4F81BD" w:themeColor="accent1"/>
      <w:sz w:val="24"/>
      <w:szCs w:val="20"/>
      <w:lang w:eastAsia="en-AU"/>
    </w:rPr>
  </w:style>
  <w:style w:type="paragraph" w:customStyle="1" w:styleId="Bullet">
    <w:name w:val="Bullet"/>
    <w:aliases w:val="b"/>
    <w:basedOn w:val="Normal"/>
    <w:rsid w:val="005718B5"/>
    <w:pPr>
      <w:numPr>
        <w:numId w:val="8"/>
      </w:numPr>
      <w:spacing w:before="240" w:after="120"/>
    </w:pPr>
    <w:rPr>
      <w:szCs w:val="23"/>
    </w:rPr>
  </w:style>
  <w:style w:type="paragraph" w:customStyle="1" w:styleId="Dash">
    <w:name w:val="Dash"/>
    <w:basedOn w:val="Normal"/>
    <w:link w:val="DashChar"/>
    <w:uiPriority w:val="99"/>
    <w:rsid w:val="005718B5"/>
    <w:pPr>
      <w:numPr>
        <w:ilvl w:val="1"/>
        <w:numId w:val="8"/>
      </w:numPr>
      <w:spacing w:before="240" w:after="120"/>
    </w:pPr>
    <w:rPr>
      <w:szCs w:val="23"/>
    </w:rPr>
  </w:style>
  <w:style w:type="character" w:customStyle="1" w:styleId="DashChar">
    <w:name w:val="Dash Char"/>
    <w:basedOn w:val="DefaultParagraphFont"/>
    <w:link w:val="Dash"/>
    <w:uiPriority w:val="99"/>
    <w:rsid w:val="005718B5"/>
    <w:rPr>
      <w:rFonts w:ascii="Times New Roman" w:eastAsia="Times New Roman" w:hAnsi="Times New Roman" w:cs="Times New Roman"/>
      <w:sz w:val="24"/>
      <w:szCs w:val="23"/>
      <w:lang w:eastAsia="en-AU"/>
    </w:rPr>
  </w:style>
  <w:style w:type="paragraph" w:customStyle="1" w:styleId="DoubleDot">
    <w:name w:val="Double Dot"/>
    <w:basedOn w:val="Normal"/>
    <w:uiPriority w:val="99"/>
    <w:rsid w:val="005718B5"/>
    <w:pPr>
      <w:numPr>
        <w:ilvl w:val="2"/>
        <w:numId w:val="8"/>
      </w:numPr>
      <w:spacing w:before="240" w:after="120"/>
    </w:pPr>
    <w:rPr>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91533">
      <w:bodyDiv w:val="1"/>
      <w:marLeft w:val="0"/>
      <w:marRight w:val="0"/>
      <w:marTop w:val="0"/>
      <w:marBottom w:val="0"/>
      <w:divBdr>
        <w:top w:val="none" w:sz="0" w:space="0" w:color="auto"/>
        <w:left w:val="none" w:sz="0" w:space="0" w:color="auto"/>
        <w:bottom w:val="none" w:sz="0" w:space="0" w:color="auto"/>
        <w:right w:val="none" w:sz="0" w:space="0" w:color="auto"/>
      </w:divBdr>
    </w:div>
    <w:div w:id="12872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Hilhorst, Matt</cp:lastModifiedBy>
  <cp:revision>2</cp:revision>
  <cp:lastPrinted>2013-02-28T04:20:00Z</cp:lastPrinted>
  <dcterms:created xsi:type="dcterms:W3CDTF">2013-12-18T00:26:00Z</dcterms:created>
  <dcterms:modified xsi:type="dcterms:W3CDTF">2013-12-18T00:26:00Z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