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E88" w:rsidRDefault="00BF6E88">
      <w:pPr>
        <w:pStyle w:val="Title"/>
        <w:spacing w:after="240"/>
        <w:rPr>
          <w:b/>
          <w:bCs/>
        </w:rPr>
      </w:pPr>
      <w:r>
        <w:rPr>
          <w:b/>
          <w:bCs/>
        </w:rPr>
        <w:t>EXPLANATORY STATEMENT</w:t>
      </w:r>
    </w:p>
    <w:p w:rsidR="00BF6E88" w:rsidRDefault="00BF6E88" w:rsidP="00C74A16">
      <w:pPr>
        <w:spacing w:before="120" w:after="120"/>
        <w:jc w:val="center"/>
        <w:rPr>
          <w:sz w:val="24"/>
        </w:rPr>
      </w:pPr>
      <w:r w:rsidRPr="00C74A16">
        <w:rPr>
          <w:sz w:val="24"/>
        </w:rPr>
        <w:t>Issued by the authority of the Minister for Finance and Deregulation</w:t>
      </w:r>
    </w:p>
    <w:p w:rsidR="00BF6E88" w:rsidRPr="00C74A16" w:rsidRDefault="00BF6E88" w:rsidP="00C74A16">
      <w:pPr>
        <w:spacing w:before="120" w:after="120"/>
        <w:jc w:val="center"/>
        <w:rPr>
          <w:sz w:val="24"/>
        </w:rPr>
      </w:pPr>
      <w:r w:rsidRPr="00DE5602">
        <w:rPr>
          <w:i/>
          <w:sz w:val="24"/>
        </w:rPr>
        <w:t xml:space="preserve">Financial Management and Accountability </w:t>
      </w:r>
      <w:r>
        <w:rPr>
          <w:i/>
          <w:sz w:val="24"/>
        </w:rPr>
        <w:t>Act 1997</w:t>
      </w:r>
    </w:p>
    <w:p w:rsidR="00BF6E88" w:rsidRPr="00DF14D5" w:rsidRDefault="005A39F2" w:rsidP="00C74A16">
      <w:pPr>
        <w:spacing w:before="120" w:after="120"/>
        <w:jc w:val="center"/>
        <w:rPr>
          <w:sz w:val="24"/>
        </w:rPr>
      </w:pPr>
      <w:bookmarkStart w:id="0" w:name="Determination_Title"/>
      <w:bookmarkStart w:id="1" w:name="Citation"/>
      <w:r>
        <w:rPr>
          <w:i/>
          <w:sz w:val="24"/>
        </w:rPr>
        <w:t>FMA Act</w:t>
      </w:r>
      <w:r w:rsidR="00BF6E88">
        <w:rPr>
          <w:i/>
          <w:sz w:val="24"/>
        </w:rPr>
        <w:t xml:space="preserve"> Determination 2013/01 – Section 32 (Transfer of Functions from DCCEE to DIICCSRTE and DRET)</w:t>
      </w:r>
      <w:bookmarkEnd w:id="0"/>
      <w:bookmarkEnd w:id="1"/>
      <w:r w:rsidR="00BF6E88">
        <w:rPr>
          <w:i/>
          <w:sz w:val="24"/>
        </w:rPr>
        <w:t xml:space="preserve"> </w:t>
      </w:r>
      <w:r w:rsidR="00BF6E88">
        <w:rPr>
          <w:sz w:val="24"/>
        </w:rPr>
        <w:t>(the determination)</w:t>
      </w:r>
    </w:p>
    <w:p w:rsidR="00BF6E88" w:rsidRPr="00DF14D5" w:rsidRDefault="00BF6E88" w:rsidP="00DF14D5">
      <w:pPr>
        <w:pStyle w:val="Heading3"/>
        <w:jc w:val="both"/>
      </w:pPr>
      <w:r w:rsidRPr="00DF14D5">
        <w:t xml:space="preserve">Purpose of the </w:t>
      </w:r>
      <w:r>
        <w:t>d</w:t>
      </w:r>
      <w:r w:rsidRPr="00DF14D5">
        <w:t>etermination</w:t>
      </w:r>
    </w:p>
    <w:p w:rsidR="00BF6E88" w:rsidRDefault="00BF6E88" w:rsidP="009E29D8">
      <w:pPr>
        <w:pStyle w:val="BodyText"/>
        <w:spacing w:before="120" w:after="120"/>
        <w:jc w:val="both"/>
      </w:pPr>
      <w:r>
        <w:t xml:space="preserve">The determination is made under section 32 of the </w:t>
      </w:r>
      <w:r w:rsidRPr="009E29D8">
        <w:rPr>
          <w:i/>
        </w:rPr>
        <w:t>Financial Management and Accountability Act 1997</w:t>
      </w:r>
      <w:r>
        <w:t xml:space="preserve"> (FMA Act), to transfer appropriations due to a change in the </w:t>
      </w:r>
      <w:r w:rsidRPr="00B40943">
        <w:rPr>
          <w:i/>
        </w:rPr>
        <w:t xml:space="preserve">Administrative Arrangements Order </w:t>
      </w:r>
      <w:r>
        <w:t xml:space="preserve">made on 25 March 2013. </w:t>
      </w:r>
    </w:p>
    <w:p w:rsidR="00BF6E88" w:rsidRDefault="00BF6E88" w:rsidP="009E29D8">
      <w:pPr>
        <w:pStyle w:val="BodyText"/>
        <w:spacing w:before="120" w:after="120"/>
        <w:jc w:val="both"/>
      </w:pPr>
      <w:r>
        <w:t xml:space="preserve">The determination transfers amounts for functions related to climate change from the abolished Department of Climate Change and Energy Efficiency (DCCEE) to the renamed Department of Industry, Innovation, Climate Change, Science, Research and Tertiary Education (DIICCSRTE). </w:t>
      </w:r>
    </w:p>
    <w:p w:rsidR="00BF6E88" w:rsidRDefault="00BF6E88" w:rsidP="009E29D8">
      <w:pPr>
        <w:pStyle w:val="BodyText"/>
        <w:spacing w:before="120" w:after="120"/>
        <w:jc w:val="both"/>
      </w:pPr>
      <w:r>
        <w:t>The determination also transfers amounts for functions related to energy efficiency from the abolished DCCEE to the Department of Resources, Energy and Tourism (DRET).</w:t>
      </w:r>
    </w:p>
    <w:p w:rsidR="00BF6E88" w:rsidRPr="00DF14D5" w:rsidRDefault="00BF6E88" w:rsidP="00DF14D5">
      <w:pPr>
        <w:pStyle w:val="Heading3"/>
        <w:jc w:val="both"/>
        <w:rPr>
          <w:iCs/>
        </w:rPr>
      </w:pPr>
      <w:r>
        <w:rPr>
          <w:iCs/>
        </w:rPr>
        <w:t>Transfer of Functions generally</w:t>
      </w:r>
    </w:p>
    <w:p w:rsidR="00BF6E88" w:rsidRDefault="00BF6E88" w:rsidP="006A7162">
      <w:pPr>
        <w:pStyle w:val="Heading3"/>
        <w:keepNext w:val="0"/>
        <w:jc w:val="both"/>
        <w:rPr>
          <w:b w:val="0"/>
          <w:szCs w:val="24"/>
        </w:rPr>
      </w:pPr>
      <w:r w:rsidRPr="006A7162">
        <w:rPr>
          <w:b w:val="0"/>
          <w:szCs w:val="24"/>
        </w:rPr>
        <w:t xml:space="preserve">Subsection 32(2) of the </w:t>
      </w:r>
      <w:r>
        <w:rPr>
          <w:b w:val="0"/>
          <w:szCs w:val="24"/>
        </w:rPr>
        <w:t>FMA Act</w:t>
      </w:r>
      <w:r w:rsidRPr="006A7162">
        <w:rPr>
          <w:b w:val="0"/>
          <w:szCs w:val="24"/>
        </w:rPr>
        <w:t xml:space="preserve"> enables the Minister for Finance and Deregulation (Finance Minister) to determine that one or more Schedules to one or more Appropriation Acts are amended in relation to the transfer of a function from one agency to another.</w:t>
      </w:r>
    </w:p>
    <w:p w:rsidR="00BB6850" w:rsidRPr="0002058A" w:rsidRDefault="00BB6850" w:rsidP="00BB6850">
      <w:pPr>
        <w:pStyle w:val="Heading3"/>
        <w:keepNext w:val="0"/>
        <w:jc w:val="both"/>
        <w:rPr>
          <w:b w:val="0"/>
          <w:szCs w:val="24"/>
        </w:rPr>
      </w:pPr>
      <w:r w:rsidRPr="006A7162">
        <w:rPr>
          <w:b w:val="0"/>
          <w:szCs w:val="24"/>
        </w:rPr>
        <w:t xml:space="preserve">Under section 62 of the FMA Act the Finance Minister has delegated this power to the Secretary of the Department of Finance and Deregulation (Finance). Under section 53 of the FMA Act, the Secretary of Finance has </w:t>
      </w:r>
      <w:r w:rsidR="002D0E69">
        <w:rPr>
          <w:b w:val="0"/>
          <w:szCs w:val="24"/>
        </w:rPr>
        <w:t>sub-</w:t>
      </w:r>
      <w:r w:rsidRPr="006A7162">
        <w:rPr>
          <w:b w:val="0"/>
          <w:szCs w:val="24"/>
        </w:rPr>
        <w:t>delegated this power to certain officials within Finance.</w:t>
      </w:r>
    </w:p>
    <w:p w:rsidR="00BF6E88" w:rsidRPr="0002058A" w:rsidRDefault="00BF6E88" w:rsidP="00B40943">
      <w:pPr>
        <w:spacing w:after="120"/>
        <w:rPr>
          <w:sz w:val="24"/>
          <w:szCs w:val="24"/>
        </w:rPr>
      </w:pPr>
      <w:r w:rsidRPr="0002058A">
        <w:rPr>
          <w:sz w:val="24"/>
          <w:szCs w:val="24"/>
        </w:rPr>
        <w:t>Th</w:t>
      </w:r>
      <w:r>
        <w:rPr>
          <w:sz w:val="24"/>
          <w:szCs w:val="24"/>
        </w:rPr>
        <w:t>e</w:t>
      </w:r>
      <w:r w:rsidRPr="0002058A">
        <w:rPr>
          <w:sz w:val="24"/>
          <w:szCs w:val="24"/>
        </w:rPr>
        <w:t xml:space="preserve"> </w:t>
      </w:r>
      <w:r>
        <w:rPr>
          <w:sz w:val="24"/>
          <w:szCs w:val="24"/>
        </w:rPr>
        <w:t>d</w:t>
      </w:r>
      <w:r w:rsidRPr="0002058A">
        <w:rPr>
          <w:sz w:val="24"/>
          <w:szCs w:val="24"/>
        </w:rPr>
        <w:t xml:space="preserve">etermination is a legislative instrument for the purposes of section 5 of the </w:t>
      </w:r>
      <w:r w:rsidRPr="0002058A">
        <w:rPr>
          <w:i/>
          <w:sz w:val="24"/>
          <w:szCs w:val="24"/>
        </w:rPr>
        <w:t>Legislative Instruments Act 2003</w:t>
      </w:r>
      <w:r w:rsidRPr="0002058A">
        <w:rPr>
          <w:sz w:val="24"/>
          <w:szCs w:val="24"/>
        </w:rPr>
        <w:t>.</w:t>
      </w:r>
    </w:p>
    <w:p w:rsidR="00BF6E88" w:rsidRPr="00B40943" w:rsidRDefault="00BF6E88" w:rsidP="00B40943">
      <w:pPr>
        <w:pStyle w:val="Heading3"/>
        <w:jc w:val="both"/>
        <w:rPr>
          <w:iCs/>
        </w:rPr>
      </w:pPr>
      <w:r w:rsidRPr="0002058A">
        <w:rPr>
          <w:szCs w:val="24"/>
        </w:rPr>
        <w:t>Statement of Compatibility with Human Rights</w:t>
      </w:r>
    </w:p>
    <w:p w:rsidR="00BF6E88" w:rsidRDefault="00BF6E88" w:rsidP="00122A6A">
      <w:pPr>
        <w:spacing w:before="120" w:after="120"/>
        <w:jc w:val="both"/>
        <w:rPr>
          <w:sz w:val="24"/>
          <w:szCs w:val="24"/>
        </w:rPr>
      </w:pPr>
      <w:r w:rsidRPr="0002058A">
        <w:rPr>
          <w:sz w:val="24"/>
          <w:szCs w:val="24"/>
        </w:rPr>
        <w:t>A Statement of Compatibility with Human Rights is not required for th</w:t>
      </w:r>
      <w:r>
        <w:rPr>
          <w:sz w:val="24"/>
          <w:szCs w:val="24"/>
        </w:rPr>
        <w:t>e</w:t>
      </w:r>
      <w:r w:rsidRPr="0002058A">
        <w:rPr>
          <w:sz w:val="24"/>
          <w:szCs w:val="24"/>
        </w:rPr>
        <w:t xml:space="preserve"> determination</w:t>
      </w:r>
      <w:r>
        <w:rPr>
          <w:sz w:val="24"/>
          <w:szCs w:val="24"/>
        </w:rPr>
        <w:t>.  Subsection 9(1) of the</w:t>
      </w:r>
      <w:r>
        <w:rPr>
          <w:i/>
          <w:iCs/>
          <w:sz w:val="24"/>
          <w:szCs w:val="24"/>
        </w:rPr>
        <w:t xml:space="preserve"> Human Rights (Parliamentary Scrutiny) Act 2011 </w:t>
      </w:r>
      <w:r>
        <w:rPr>
          <w:sz w:val="24"/>
          <w:szCs w:val="24"/>
        </w:rPr>
        <w:t>requires a Statement of Compatibility with Human Rights for all legislative instruments subject to disallowance under section 42 of the</w:t>
      </w:r>
      <w:r>
        <w:rPr>
          <w:i/>
          <w:iCs/>
          <w:sz w:val="24"/>
          <w:szCs w:val="24"/>
        </w:rPr>
        <w:t xml:space="preserve"> Legislative Instruments Act 2003.  </w:t>
      </w:r>
      <w:r w:rsidRPr="006A7162">
        <w:rPr>
          <w:iCs/>
          <w:sz w:val="24"/>
          <w:szCs w:val="24"/>
        </w:rPr>
        <w:t>A</w:t>
      </w:r>
      <w:r>
        <w:rPr>
          <w:sz w:val="24"/>
          <w:szCs w:val="24"/>
        </w:rPr>
        <w:t xml:space="preserve"> determination under subsection 32(2) of the FMA Act is exempt from disallowance under subsection 32(7) of the</w:t>
      </w:r>
      <w:r>
        <w:rPr>
          <w:i/>
          <w:iCs/>
          <w:sz w:val="24"/>
          <w:szCs w:val="24"/>
        </w:rPr>
        <w:t xml:space="preserve"> </w:t>
      </w:r>
      <w:r w:rsidRPr="002138B6">
        <w:rPr>
          <w:iCs/>
          <w:sz w:val="24"/>
          <w:szCs w:val="24"/>
        </w:rPr>
        <w:t>FMA Act</w:t>
      </w:r>
      <w:r>
        <w:rPr>
          <w:iCs/>
          <w:sz w:val="24"/>
          <w:szCs w:val="24"/>
        </w:rPr>
        <w:t>;</w:t>
      </w:r>
      <w:r>
        <w:rPr>
          <w:sz w:val="24"/>
          <w:szCs w:val="24"/>
        </w:rPr>
        <w:t xml:space="preserve"> as such, a Statement of Compatibility with Human Rights is not required.</w:t>
      </w:r>
    </w:p>
    <w:p w:rsidR="00BF6E88" w:rsidRPr="00DF14D5" w:rsidRDefault="00BF6E88" w:rsidP="00C517F3">
      <w:pPr>
        <w:pStyle w:val="Heading3"/>
        <w:jc w:val="both"/>
      </w:pPr>
      <w:r w:rsidRPr="00DF14D5">
        <w:t>Consultation and Impact</w:t>
      </w:r>
    </w:p>
    <w:p w:rsidR="00BF6E88" w:rsidRDefault="00BF6E88" w:rsidP="00C517F3">
      <w:pPr>
        <w:pStyle w:val="BodyText"/>
        <w:spacing w:before="120" w:after="120"/>
        <w:jc w:val="both"/>
      </w:pPr>
      <w:r>
        <w:t>Consistent with Part 3 of the</w:t>
      </w:r>
      <w:r w:rsidRPr="00890F23">
        <w:rPr>
          <w:i/>
        </w:rPr>
        <w:t xml:space="preserve"> Legislative Instrument</w:t>
      </w:r>
      <w:r>
        <w:rPr>
          <w:i/>
        </w:rPr>
        <w:t>s</w:t>
      </w:r>
      <w:r w:rsidRPr="00890F23">
        <w:rPr>
          <w:i/>
        </w:rPr>
        <w:t xml:space="preserve"> Act 2003</w:t>
      </w:r>
      <w:r>
        <w:t xml:space="preserve">, </w:t>
      </w:r>
      <w:r>
        <w:rPr>
          <w:caps/>
          <w:noProof/>
        </w:rPr>
        <w:t xml:space="preserve">DIICCSRTE </w:t>
      </w:r>
      <w:r>
        <w:rPr>
          <w:noProof/>
        </w:rPr>
        <w:t>and DRET</w:t>
      </w:r>
      <w:r>
        <w:t xml:space="preserve"> were consulted in the preparation of this determination. DCCEE </w:t>
      </w:r>
      <w:r w:rsidR="00EC659A">
        <w:t xml:space="preserve">was </w:t>
      </w:r>
      <w:r>
        <w:t xml:space="preserve">not consulted as the agency was abolished on 25 March 2013. </w:t>
      </w:r>
    </w:p>
    <w:p w:rsidR="00BF6E88" w:rsidRPr="0085186D" w:rsidRDefault="00BF6E88" w:rsidP="0085186D">
      <w:pPr>
        <w:spacing w:before="120" w:after="120"/>
        <w:jc w:val="both"/>
        <w:rPr>
          <w:b/>
          <w:i/>
          <w:sz w:val="24"/>
          <w:szCs w:val="24"/>
        </w:rPr>
      </w:pPr>
      <w:r>
        <w:rPr>
          <w:b/>
          <w:sz w:val="24"/>
          <w:szCs w:val="24"/>
        </w:rPr>
        <w:br w:type="page"/>
      </w:r>
      <w:r w:rsidRPr="0085186D">
        <w:rPr>
          <w:b/>
          <w:sz w:val="24"/>
          <w:szCs w:val="24"/>
        </w:rPr>
        <w:t>Operation of th</w:t>
      </w:r>
      <w:r>
        <w:rPr>
          <w:b/>
          <w:sz w:val="24"/>
          <w:szCs w:val="24"/>
        </w:rPr>
        <w:t>e</w:t>
      </w:r>
      <w:r w:rsidRPr="0085186D">
        <w:rPr>
          <w:b/>
          <w:sz w:val="24"/>
          <w:szCs w:val="24"/>
        </w:rPr>
        <w:t xml:space="preserve"> </w:t>
      </w:r>
      <w:r>
        <w:rPr>
          <w:b/>
          <w:sz w:val="24"/>
          <w:szCs w:val="24"/>
        </w:rPr>
        <w:t>d</w:t>
      </w:r>
      <w:r w:rsidRPr="0085186D">
        <w:rPr>
          <w:b/>
          <w:sz w:val="24"/>
          <w:szCs w:val="24"/>
        </w:rPr>
        <w:t>etermination</w:t>
      </w:r>
    </w:p>
    <w:p w:rsidR="00BF6E88" w:rsidRDefault="00E752A0" w:rsidP="00C517F3">
      <w:pPr>
        <w:spacing w:before="120" w:after="120"/>
        <w:jc w:val="both"/>
        <w:rPr>
          <w:sz w:val="24"/>
          <w:szCs w:val="24"/>
        </w:rPr>
      </w:pPr>
      <w:r>
        <w:rPr>
          <w:sz w:val="24"/>
          <w:szCs w:val="24"/>
        </w:rPr>
        <w:t>Chapter</w:t>
      </w:r>
      <w:r w:rsidR="00BF6E88">
        <w:rPr>
          <w:sz w:val="24"/>
          <w:szCs w:val="24"/>
        </w:rPr>
        <w:t xml:space="preserve"> 1 of the determination amends </w:t>
      </w:r>
      <w:r w:rsidR="00BF6E88" w:rsidRPr="0020297E">
        <w:rPr>
          <w:i/>
          <w:sz w:val="24"/>
          <w:szCs w:val="24"/>
        </w:rPr>
        <w:t>Appropriation Act (No. 1) 2012-2013</w:t>
      </w:r>
      <w:r w:rsidR="00BF6E88">
        <w:rPr>
          <w:sz w:val="24"/>
          <w:szCs w:val="24"/>
        </w:rPr>
        <w:t xml:space="preserve"> to:</w:t>
      </w:r>
    </w:p>
    <w:p w:rsidR="00BF6E88" w:rsidRDefault="00BF6E88" w:rsidP="00C1073F">
      <w:pPr>
        <w:numPr>
          <w:ilvl w:val="0"/>
          <w:numId w:val="31"/>
        </w:numPr>
        <w:spacing w:after="120"/>
        <w:jc w:val="both"/>
        <w:rPr>
          <w:sz w:val="24"/>
          <w:szCs w:val="24"/>
        </w:rPr>
      </w:pPr>
      <w:r>
        <w:rPr>
          <w:sz w:val="24"/>
          <w:szCs w:val="24"/>
        </w:rPr>
        <w:t>reduce the Outcome 1 administered item for DCCEE by $65,744,759.78;</w:t>
      </w:r>
    </w:p>
    <w:p w:rsidR="00BF6E88" w:rsidRDefault="00BF6E88" w:rsidP="00C1073F">
      <w:pPr>
        <w:numPr>
          <w:ilvl w:val="0"/>
          <w:numId w:val="31"/>
        </w:numPr>
        <w:spacing w:after="120"/>
        <w:jc w:val="both"/>
        <w:rPr>
          <w:sz w:val="24"/>
          <w:szCs w:val="24"/>
        </w:rPr>
      </w:pPr>
      <w:r>
        <w:rPr>
          <w:sz w:val="24"/>
          <w:szCs w:val="24"/>
        </w:rPr>
        <w:t xml:space="preserve">create a new </w:t>
      </w:r>
      <w:r w:rsidR="00831D7F">
        <w:rPr>
          <w:sz w:val="24"/>
          <w:szCs w:val="24"/>
        </w:rPr>
        <w:t xml:space="preserve">outcome </w:t>
      </w:r>
      <w:r>
        <w:rPr>
          <w:sz w:val="24"/>
          <w:szCs w:val="24"/>
        </w:rPr>
        <w:t>for DII</w:t>
      </w:r>
      <w:r w:rsidR="00831D7F">
        <w:rPr>
          <w:sz w:val="24"/>
          <w:szCs w:val="24"/>
        </w:rPr>
        <w:t>C</w:t>
      </w:r>
      <w:r>
        <w:rPr>
          <w:sz w:val="24"/>
          <w:szCs w:val="24"/>
        </w:rPr>
        <w:t>CSRTE (Outcome 4) and an administered item for that outcome in the amount of $</w:t>
      </w:r>
      <w:r w:rsidRPr="0098243A">
        <w:rPr>
          <w:sz w:val="24"/>
          <w:szCs w:val="24"/>
        </w:rPr>
        <w:t>13</w:t>
      </w:r>
      <w:r>
        <w:rPr>
          <w:sz w:val="24"/>
          <w:szCs w:val="24"/>
        </w:rPr>
        <w:t>,</w:t>
      </w:r>
      <w:r w:rsidRPr="0098243A">
        <w:rPr>
          <w:sz w:val="24"/>
          <w:szCs w:val="24"/>
        </w:rPr>
        <w:t>321</w:t>
      </w:r>
      <w:r>
        <w:rPr>
          <w:sz w:val="24"/>
          <w:szCs w:val="24"/>
        </w:rPr>
        <w:t>,</w:t>
      </w:r>
      <w:r w:rsidRPr="0098243A">
        <w:rPr>
          <w:sz w:val="24"/>
          <w:szCs w:val="24"/>
        </w:rPr>
        <w:t>839.15</w:t>
      </w:r>
      <w:r>
        <w:rPr>
          <w:sz w:val="24"/>
          <w:szCs w:val="24"/>
        </w:rPr>
        <w:t>; and</w:t>
      </w:r>
    </w:p>
    <w:p w:rsidR="00BF6E88" w:rsidRDefault="00BF6E88" w:rsidP="00C1073F">
      <w:pPr>
        <w:numPr>
          <w:ilvl w:val="0"/>
          <w:numId w:val="31"/>
        </w:numPr>
        <w:spacing w:after="120"/>
        <w:jc w:val="both"/>
        <w:rPr>
          <w:sz w:val="24"/>
          <w:szCs w:val="24"/>
        </w:rPr>
      </w:pPr>
      <w:r>
        <w:rPr>
          <w:sz w:val="24"/>
          <w:szCs w:val="24"/>
        </w:rPr>
        <w:t>increase the Outcome 1 administered item for DRET by $</w:t>
      </w:r>
      <w:r w:rsidRPr="0098243A">
        <w:rPr>
          <w:sz w:val="24"/>
          <w:szCs w:val="24"/>
        </w:rPr>
        <w:t>52</w:t>
      </w:r>
      <w:r>
        <w:rPr>
          <w:sz w:val="24"/>
          <w:szCs w:val="24"/>
        </w:rPr>
        <w:t>,</w:t>
      </w:r>
      <w:r w:rsidRPr="0098243A">
        <w:rPr>
          <w:sz w:val="24"/>
          <w:szCs w:val="24"/>
        </w:rPr>
        <w:t>422</w:t>
      </w:r>
      <w:r>
        <w:rPr>
          <w:sz w:val="24"/>
          <w:szCs w:val="24"/>
        </w:rPr>
        <w:t>,</w:t>
      </w:r>
      <w:r w:rsidRPr="0098243A">
        <w:rPr>
          <w:sz w:val="24"/>
          <w:szCs w:val="24"/>
        </w:rPr>
        <w:t>920.63</w:t>
      </w:r>
      <w:r>
        <w:rPr>
          <w:sz w:val="24"/>
          <w:szCs w:val="24"/>
        </w:rPr>
        <w:t>.</w:t>
      </w:r>
    </w:p>
    <w:p w:rsidR="00BF6E88" w:rsidRDefault="00E752A0" w:rsidP="0098243A">
      <w:pPr>
        <w:spacing w:before="120" w:after="120"/>
        <w:jc w:val="both"/>
        <w:rPr>
          <w:sz w:val="24"/>
          <w:szCs w:val="24"/>
        </w:rPr>
      </w:pPr>
      <w:r>
        <w:rPr>
          <w:sz w:val="24"/>
          <w:szCs w:val="24"/>
        </w:rPr>
        <w:t>Chapter</w:t>
      </w:r>
      <w:r w:rsidR="00BF6E88">
        <w:rPr>
          <w:sz w:val="24"/>
          <w:szCs w:val="24"/>
        </w:rPr>
        <w:t xml:space="preserve"> 2 of the determination amends </w:t>
      </w:r>
      <w:r w:rsidR="00BF6E88" w:rsidRPr="0020297E">
        <w:rPr>
          <w:i/>
          <w:sz w:val="24"/>
          <w:szCs w:val="24"/>
        </w:rPr>
        <w:t xml:space="preserve">Appropriation Act (No. </w:t>
      </w:r>
      <w:r w:rsidR="00BF6E88">
        <w:rPr>
          <w:i/>
          <w:sz w:val="24"/>
          <w:szCs w:val="24"/>
        </w:rPr>
        <w:t>2</w:t>
      </w:r>
      <w:r w:rsidR="00BF6E88" w:rsidRPr="0020297E">
        <w:rPr>
          <w:i/>
          <w:sz w:val="24"/>
          <w:szCs w:val="24"/>
        </w:rPr>
        <w:t>) 2012-2013</w:t>
      </w:r>
      <w:r w:rsidR="00BF6E88">
        <w:rPr>
          <w:sz w:val="24"/>
          <w:szCs w:val="24"/>
        </w:rPr>
        <w:t xml:space="preserve"> to:</w:t>
      </w:r>
    </w:p>
    <w:p w:rsidR="00BF6E88" w:rsidRDefault="00BF6E88" w:rsidP="0098243A">
      <w:pPr>
        <w:numPr>
          <w:ilvl w:val="0"/>
          <w:numId w:val="31"/>
        </w:numPr>
        <w:spacing w:after="120"/>
        <w:jc w:val="both"/>
        <w:rPr>
          <w:sz w:val="24"/>
          <w:szCs w:val="24"/>
        </w:rPr>
      </w:pPr>
      <w:r>
        <w:rPr>
          <w:sz w:val="24"/>
          <w:szCs w:val="24"/>
        </w:rPr>
        <w:t>reduce the Outcome 1 State, ACT, NT and local government item for DCCEE by $</w:t>
      </w:r>
      <w:r w:rsidRPr="0098243A">
        <w:rPr>
          <w:sz w:val="24"/>
          <w:szCs w:val="24"/>
        </w:rPr>
        <w:t>49</w:t>
      </w:r>
      <w:r>
        <w:rPr>
          <w:sz w:val="24"/>
          <w:szCs w:val="24"/>
        </w:rPr>
        <w:t>,</w:t>
      </w:r>
      <w:r w:rsidRPr="0098243A">
        <w:rPr>
          <w:sz w:val="24"/>
          <w:szCs w:val="24"/>
        </w:rPr>
        <w:t>762.68</w:t>
      </w:r>
      <w:r>
        <w:rPr>
          <w:sz w:val="24"/>
          <w:szCs w:val="24"/>
        </w:rPr>
        <w:t>; and</w:t>
      </w:r>
    </w:p>
    <w:p w:rsidR="00BF6E88" w:rsidRDefault="00BF6E88" w:rsidP="0098243A">
      <w:pPr>
        <w:numPr>
          <w:ilvl w:val="0"/>
          <w:numId w:val="31"/>
        </w:numPr>
        <w:spacing w:after="120"/>
        <w:jc w:val="both"/>
        <w:rPr>
          <w:sz w:val="24"/>
          <w:szCs w:val="24"/>
        </w:rPr>
      </w:pPr>
      <w:r>
        <w:rPr>
          <w:sz w:val="24"/>
          <w:szCs w:val="24"/>
        </w:rPr>
        <w:t>create a new Outcome 1 State, ACT, NT and local government item for DRET in the amount of $</w:t>
      </w:r>
      <w:r w:rsidRPr="0098243A">
        <w:rPr>
          <w:sz w:val="24"/>
          <w:szCs w:val="24"/>
        </w:rPr>
        <w:t>49</w:t>
      </w:r>
      <w:r>
        <w:rPr>
          <w:sz w:val="24"/>
          <w:szCs w:val="24"/>
        </w:rPr>
        <w:t>,</w:t>
      </w:r>
      <w:r w:rsidRPr="0098243A">
        <w:rPr>
          <w:sz w:val="24"/>
          <w:szCs w:val="24"/>
        </w:rPr>
        <w:t>762.68</w:t>
      </w:r>
      <w:r>
        <w:rPr>
          <w:sz w:val="24"/>
          <w:szCs w:val="24"/>
        </w:rPr>
        <w:t>.</w:t>
      </w:r>
    </w:p>
    <w:p w:rsidR="00BF6E88" w:rsidRDefault="00BF6E88" w:rsidP="00C517F3">
      <w:pPr>
        <w:spacing w:before="120" w:after="120"/>
        <w:jc w:val="both"/>
        <w:rPr>
          <w:sz w:val="24"/>
          <w:szCs w:val="24"/>
        </w:rPr>
      </w:pPr>
      <w:r w:rsidRPr="0020297E">
        <w:rPr>
          <w:sz w:val="24"/>
          <w:szCs w:val="24"/>
        </w:rPr>
        <w:t>The effect of the</w:t>
      </w:r>
      <w:r>
        <w:rPr>
          <w:sz w:val="24"/>
          <w:szCs w:val="24"/>
        </w:rPr>
        <w:t>se</w:t>
      </w:r>
      <w:r w:rsidRPr="0020297E">
        <w:rPr>
          <w:sz w:val="24"/>
          <w:szCs w:val="24"/>
        </w:rPr>
        <w:t xml:space="preserve"> </w:t>
      </w:r>
      <w:r w:rsidR="00E752A0">
        <w:rPr>
          <w:sz w:val="24"/>
          <w:szCs w:val="24"/>
        </w:rPr>
        <w:t>Chapters</w:t>
      </w:r>
      <w:r w:rsidRPr="0020297E">
        <w:rPr>
          <w:sz w:val="24"/>
          <w:szCs w:val="24"/>
        </w:rPr>
        <w:t xml:space="preserve"> is to</w:t>
      </w:r>
      <w:r>
        <w:rPr>
          <w:sz w:val="24"/>
          <w:szCs w:val="24"/>
        </w:rPr>
        <w:t xml:space="preserve"> transfer appropriations consistently with a </w:t>
      </w:r>
      <w:r w:rsidRPr="0020297E">
        <w:rPr>
          <w:sz w:val="24"/>
          <w:szCs w:val="24"/>
        </w:rPr>
        <w:t xml:space="preserve">change in the </w:t>
      </w:r>
      <w:r w:rsidRPr="00AF1C03">
        <w:rPr>
          <w:i/>
          <w:sz w:val="24"/>
          <w:szCs w:val="24"/>
        </w:rPr>
        <w:t>Administrative Arrangements Order</w:t>
      </w:r>
      <w:r>
        <w:rPr>
          <w:sz w:val="24"/>
          <w:szCs w:val="24"/>
        </w:rPr>
        <w:t>,</w:t>
      </w:r>
      <w:r w:rsidRPr="0020297E">
        <w:rPr>
          <w:sz w:val="24"/>
          <w:szCs w:val="24"/>
        </w:rPr>
        <w:t xml:space="preserve"> with effect from 25 March 2013, transferring functions related to climate change from </w:t>
      </w:r>
      <w:r w:rsidR="00FB300D">
        <w:rPr>
          <w:sz w:val="24"/>
          <w:szCs w:val="24"/>
        </w:rPr>
        <w:t xml:space="preserve">the former </w:t>
      </w:r>
      <w:r w:rsidRPr="0020297E">
        <w:rPr>
          <w:sz w:val="24"/>
          <w:szCs w:val="24"/>
        </w:rPr>
        <w:t>DCCEE to DI</w:t>
      </w:r>
      <w:r>
        <w:rPr>
          <w:sz w:val="24"/>
          <w:szCs w:val="24"/>
        </w:rPr>
        <w:t>I</w:t>
      </w:r>
      <w:r w:rsidRPr="0020297E">
        <w:rPr>
          <w:sz w:val="24"/>
          <w:szCs w:val="24"/>
        </w:rPr>
        <w:t xml:space="preserve">CCSRTE, and transferring functions related to </w:t>
      </w:r>
      <w:r>
        <w:rPr>
          <w:sz w:val="24"/>
          <w:szCs w:val="24"/>
        </w:rPr>
        <w:t>e</w:t>
      </w:r>
      <w:r w:rsidRPr="0020297E">
        <w:rPr>
          <w:sz w:val="24"/>
          <w:szCs w:val="24"/>
        </w:rPr>
        <w:t xml:space="preserve">nergy </w:t>
      </w:r>
      <w:r>
        <w:rPr>
          <w:sz w:val="24"/>
          <w:szCs w:val="24"/>
        </w:rPr>
        <w:t>e</w:t>
      </w:r>
      <w:r w:rsidRPr="0020297E">
        <w:rPr>
          <w:sz w:val="24"/>
          <w:szCs w:val="24"/>
        </w:rPr>
        <w:t xml:space="preserve">fficiency from </w:t>
      </w:r>
      <w:r w:rsidR="00FB300D">
        <w:rPr>
          <w:sz w:val="24"/>
          <w:szCs w:val="24"/>
        </w:rPr>
        <w:t xml:space="preserve">the former </w:t>
      </w:r>
      <w:r w:rsidRPr="0020297E">
        <w:rPr>
          <w:sz w:val="24"/>
          <w:szCs w:val="24"/>
        </w:rPr>
        <w:t>DCCEE to DRET.</w:t>
      </w:r>
    </w:p>
    <w:p w:rsidR="00BF6E88" w:rsidRDefault="00BF6E88" w:rsidP="00B40943">
      <w:pPr>
        <w:spacing w:before="120" w:after="120"/>
        <w:jc w:val="both"/>
        <w:rPr>
          <w:sz w:val="24"/>
          <w:szCs w:val="24"/>
        </w:rPr>
      </w:pPr>
      <w:r w:rsidRPr="00B40943">
        <w:rPr>
          <w:sz w:val="24"/>
          <w:szCs w:val="24"/>
        </w:rPr>
        <w:t xml:space="preserve">Amendments have been limited to those required to implement the changes in the </w:t>
      </w:r>
      <w:r w:rsidRPr="00AF1C03">
        <w:rPr>
          <w:i/>
          <w:sz w:val="24"/>
          <w:szCs w:val="24"/>
        </w:rPr>
        <w:t>Administrative Arrangements Order</w:t>
      </w:r>
      <w:r w:rsidRPr="00B40943">
        <w:rPr>
          <w:sz w:val="24"/>
          <w:szCs w:val="24"/>
        </w:rPr>
        <w:t xml:space="preserve">. Accordingly, references to the Industry, Innovation, Science, Research and Tertiary Education portfolio were not amended to reflect the new name, to maintain coherence with the existing structure of </w:t>
      </w:r>
      <w:r w:rsidRPr="0020297E">
        <w:rPr>
          <w:i/>
          <w:sz w:val="24"/>
          <w:szCs w:val="24"/>
        </w:rPr>
        <w:t>Appropriation Act (No. 1) 2012-2013</w:t>
      </w:r>
      <w:r w:rsidRPr="00B40943">
        <w:rPr>
          <w:sz w:val="24"/>
          <w:szCs w:val="24"/>
        </w:rPr>
        <w:t xml:space="preserve">, including the table of contents. </w:t>
      </w:r>
      <w:r w:rsidRPr="009C626A">
        <w:rPr>
          <w:sz w:val="24"/>
          <w:szCs w:val="24"/>
        </w:rPr>
        <w:t>Orders made under s</w:t>
      </w:r>
      <w:r>
        <w:rPr>
          <w:sz w:val="24"/>
          <w:szCs w:val="24"/>
        </w:rPr>
        <w:t>ection</w:t>
      </w:r>
      <w:r w:rsidRPr="009C626A">
        <w:rPr>
          <w:sz w:val="24"/>
          <w:szCs w:val="24"/>
        </w:rPr>
        <w:t xml:space="preserve"> 19B of the </w:t>
      </w:r>
      <w:r w:rsidRPr="009C626A">
        <w:rPr>
          <w:i/>
          <w:sz w:val="24"/>
          <w:szCs w:val="24"/>
        </w:rPr>
        <w:t>Acts Interpretation Act 1901</w:t>
      </w:r>
      <w:r w:rsidRPr="009C626A">
        <w:rPr>
          <w:sz w:val="24"/>
          <w:szCs w:val="24"/>
        </w:rPr>
        <w:t xml:space="preserve"> adjust statutory references to a particular Department that has had its name changed.</w:t>
      </w:r>
    </w:p>
    <w:p w:rsidR="00BF6E88" w:rsidRDefault="00BF6E88" w:rsidP="00A13EFE">
      <w:pPr>
        <w:spacing w:before="120" w:after="120"/>
        <w:jc w:val="both"/>
        <w:rPr>
          <w:sz w:val="24"/>
          <w:szCs w:val="24"/>
        </w:rPr>
      </w:pPr>
      <w:r w:rsidRPr="0070733C">
        <w:rPr>
          <w:sz w:val="24"/>
          <w:szCs w:val="24"/>
        </w:rPr>
        <w:t xml:space="preserve">The determination maintains the Outcome 1 text from the former DCCEE for the new Outcome 4 of DIICCSRTE. This enables the relevant parts of the Portfolio Budget Statements tabled in relation to </w:t>
      </w:r>
      <w:r w:rsidR="00FB300D">
        <w:rPr>
          <w:sz w:val="24"/>
          <w:szCs w:val="24"/>
        </w:rPr>
        <w:t xml:space="preserve">the former </w:t>
      </w:r>
      <w:r w:rsidRPr="0070733C">
        <w:rPr>
          <w:sz w:val="24"/>
          <w:szCs w:val="24"/>
        </w:rPr>
        <w:t>DCCEE at Budget 2012-2013 to be used for interpreting the relevant activities of DIICCSRTE.</w:t>
      </w:r>
    </w:p>
    <w:p w:rsidR="006109FA" w:rsidRPr="006109FA" w:rsidRDefault="006109FA" w:rsidP="006109FA">
      <w:pPr>
        <w:spacing w:before="120" w:after="120"/>
        <w:jc w:val="both"/>
        <w:rPr>
          <w:sz w:val="24"/>
          <w:szCs w:val="24"/>
        </w:rPr>
      </w:pPr>
      <w:r w:rsidRPr="006109FA">
        <w:rPr>
          <w:sz w:val="24"/>
          <w:szCs w:val="24"/>
        </w:rPr>
        <w:t xml:space="preserve">The Outcome 1 text for DRET maintains </w:t>
      </w:r>
      <w:r>
        <w:rPr>
          <w:sz w:val="24"/>
          <w:szCs w:val="24"/>
        </w:rPr>
        <w:t xml:space="preserve">DRET’s </w:t>
      </w:r>
      <w:r w:rsidRPr="006109FA">
        <w:rPr>
          <w:sz w:val="24"/>
          <w:szCs w:val="24"/>
        </w:rPr>
        <w:t>existing wording, plus extra text to enable DRET to have regard to the PBS that had been tabled for DCCEE at the 2012-2013 Budget, as follows:</w:t>
      </w:r>
    </w:p>
    <w:p w:rsidR="006109FA" w:rsidRPr="006109FA" w:rsidRDefault="006109FA" w:rsidP="006109FA">
      <w:pPr>
        <w:spacing w:before="120" w:after="120"/>
        <w:ind w:left="720"/>
        <w:jc w:val="both"/>
        <w:rPr>
          <w:sz w:val="24"/>
          <w:szCs w:val="24"/>
        </w:rPr>
      </w:pPr>
      <w:r w:rsidRPr="006109FA">
        <w:rPr>
          <w:sz w:val="24"/>
          <w:szCs w:val="24"/>
        </w:rPr>
        <w:t>The improved strength, competitiveness and sustainability of the Resources, Energy and Tourism industries to enhance Australia’s prosperity through implementation of government policy and programs (including to perform the activities indicated in the Portfolio Budget Statements for 2012-2013 of the Department of Climate Change and Energy Efficiency as being activities in respect of Outcome 1 for that Department)</w:t>
      </w:r>
    </w:p>
    <w:p w:rsidR="00BF6E88" w:rsidRPr="00A13EFE" w:rsidRDefault="00BF6E88" w:rsidP="00A13EFE">
      <w:pPr>
        <w:spacing w:before="120" w:after="120"/>
        <w:jc w:val="both"/>
        <w:rPr>
          <w:sz w:val="24"/>
          <w:szCs w:val="24"/>
        </w:rPr>
      </w:pPr>
      <w:r>
        <w:rPr>
          <w:sz w:val="24"/>
          <w:szCs w:val="24"/>
        </w:rPr>
        <w:t>The amounts transferred from the former DCCEE to DIICCSRTE</w:t>
      </w:r>
      <w:r w:rsidRPr="00A13EFE">
        <w:rPr>
          <w:sz w:val="24"/>
          <w:szCs w:val="24"/>
        </w:rPr>
        <w:t xml:space="preserve"> </w:t>
      </w:r>
      <w:r>
        <w:rPr>
          <w:sz w:val="24"/>
          <w:szCs w:val="24"/>
        </w:rPr>
        <w:t>and</w:t>
      </w:r>
      <w:r w:rsidRPr="00E943E4">
        <w:rPr>
          <w:sz w:val="24"/>
          <w:szCs w:val="24"/>
        </w:rPr>
        <w:t xml:space="preserve"> </w:t>
      </w:r>
      <w:r w:rsidRPr="00A13EFE">
        <w:rPr>
          <w:sz w:val="24"/>
          <w:szCs w:val="24"/>
        </w:rPr>
        <w:t>DRET</w:t>
      </w:r>
      <w:r>
        <w:rPr>
          <w:sz w:val="24"/>
          <w:szCs w:val="24"/>
        </w:rPr>
        <w:t xml:space="preserve"> are exclusive of any amounts in relation to the Goods and Service Tax and section 30A of the </w:t>
      </w:r>
      <w:r>
        <w:rPr>
          <w:sz w:val="24"/>
          <w:szCs w:val="24"/>
        </w:rPr>
        <w:br/>
        <w:t>FMA Act.</w:t>
      </w:r>
    </w:p>
    <w:p w:rsidR="00BF6E88" w:rsidRPr="0020297E" w:rsidRDefault="00BF6E88" w:rsidP="00C517F3">
      <w:pPr>
        <w:spacing w:before="120" w:after="120"/>
        <w:jc w:val="both"/>
        <w:rPr>
          <w:sz w:val="24"/>
          <w:szCs w:val="24"/>
        </w:rPr>
      </w:pPr>
    </w:p>
    <w:sectPr w:rsidR="00BF6E88" w:rsidRPr="0020297E" w:rsidSect="006F1A8D">
      <w:footerReference w:type="default" r:id="rId7"/>
      <w:footerReference w:type="first" r:id="rId8"/>
      <w:type w:val="continuous"/>
      <w:pgSz w:w="11906" w:h="16838"/>
      <w:pgMar w:top="709" w:right="1274" w:bottom="993" w:left="1276" w:header="720" w:footer="40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823" w:rsidRDefault="000B3823">
      <w:r>
        <w:separator/>
      </w:r>
    </w:p>
  </w:endnote>
  <w:endnote w:type="continuationSeparator" w:id="0">
    <w:p w:rsidR="000B3823" w:rsidRDefault="000B382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Symbol">
    <w:altName w:val="Geneva"/>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88" w:rsidRPr="00485FB4" w:rsidRDefault="00BF6E88" w:rsidP="00485FB4">
    <w:pPr>
      <w:pStyle w:val="Footer"/>
      <w:tabs>
        <w:tab w:val="clear" w:pos="4153"/>
        <w:tab w:val="clear" w:pos="8306"/>
        <w:tab w:val="right" w:pos="9214"/>
      </w:tabs>
      <w:rPr>
        <w:sz w:val="22"/>
        <w:szCs w:val="22"/>
      </w:rPr>
    </w:pPr>
    <w:r w:rsidRPr="00421747">
      <w:rPr>
        <w:i/>
      </w:rPr>
      <w:t>_____________________________________________________________________</w:t>
    </w:r>
    <w:r>
      <w:rPr>
        <w:i/>
      </w:rPr>
      <w:t>________________________</w:t>
    </w:r>
    <w:r w:rsidRPr="0002058A">
      <w:rPr>
        <w:i/>
        <w:sz w:val="24"/>
      </w:rPr>
      <w:t xml:space="preserve"> </w:t>
    </w:r>
    <w:r w:rsidRPr="0002058A">
      <w:rPr>
        <w:i/>
        <w:sz w:val="22"/>
        <w:szCs w:val="22"/>
      </w:rPr>
      <w:t xml:space="preserve">Explanatory Statement </w:t>
    </w:r>
    <w:r w:rsidR="006F67EF">
      <w:rPr>
        <w:i/>
        <w:sz w:val="22"/>
        <w:szCs w:val="22"/>
      </w:rPr>
      <w:t>–</w:t>
    </w:r>
    <w:r w:rsidRPr="0002058A">
      <w:rPr>
        <w:i/>
        <w:sz w:val="22"/>
        <w:szCs w:val="22"/>
      </w:rPr>
      <w:t xml:space="preserve"> </w:t>
    </w:r>
    <w:r w:rsidR="006F67EF">
      <w:rPr>
        <w:i/>
        <w:sz w:val="22"/>
        <w:szCs w:val="22"/>
      </w:rPr>
      <w:t xml:space="preserve">FMA Act </w:t>
    </w:r>
    <w:r w:rsidRPr="0002058A">
      <w:rPr>
        <w:i/>
        <w:sz w:val="22"/>
        <w:szCs w:val="22"/>
      </w:rPr>
      <w:t>Determination </w:t>
    </w:r>
    <w:r>
      <w:rPr>
        <w:i/>
        <w:sz w:val="22"/>
        <w:szCs w:val="22"/>
      </w:rPr>
      <w:t>2013/01</w:t>
    </w:r>
    <w:r w:rsidRPr="0002058A">
      <w:rPr>
        <w:i/>
        <w:sz w:val="22"/>
        <w:szCs w:val="22"/>
      </w:rPr>
      <w:t xml:space="preserve"> – Section 32 (Transfer of Functions from DC</w:t>
    </w:r>
    <w:r>
      <w:rPr>
        <w:i/>
        <w:sz w:val="22"/>
        <w:szCs w:val="22"/>
      </w:rPr>
      <w:t>C</w:t>
    </w:r>
    <w:r w:rsidRPr="0002058A">
      <w:rPr>
        <w:i/>
        <w:sz w:val="22"/>
        <w:szCs w:val="22"/>
      </w:rPr>
      <w:t>EE to DIICCSRTE and DRET)</w:t>
    </w:r>
    <w:r>
      <w:rPr>
        <w:i/>
        <w:sz w:val="22"/>
        <w:szCs w:val="22"/>
      </w:rPr>
      <w:tab/>
    </w:r>
    <w:r w:rsidRPr="00485FB4">
      <w:rPr>
        <w:b/>
        <w:sz w:val="22"/>
        <w:szCs w:val="22"/>
      </w:rPr>
      <w:t>Page 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88" w:rsidRDefault="00BF6E88">
    <w:pPr>
      <w:pStyle w:val="Footer"/>
      <w:jc w:val="right"/>
    </w:pPr>
    <w:r w:rsidRPr="00485FB4">
      <w:rPr>
        <w:b/>
        <w:sz w:val="22"/>
        <w:szCs w:val="22"/>
      </w:rPr>
      <w:t>Page 1</w:t>
    </w:r>
  </w:p>
  <w:p w:rsidR="00BF6E88" w:rsidRDefault="00BF6E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823" w:rsidRDefault="000B3823">
      <w:r>
        <w:separator/>
      </w:r>
    </w:p>
  </w:footnote>
  <w:footnote w:type="continuationSeparator" w:id="0">
    <w:p w:rsidR="000B3823" w:rsidRDefault="000B38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5">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7">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7"/>
  </w:num>
  <w:num w:numId="4">
    <w:abstractNumId w:val="11"/>
  </w:num>
  <w:num w:numId="5">
    <w:abstractNumId w:val="16"/>
  </w:num>
  <w:num w:numId="6">
    <w:abstractNumId w:val="1"/>
  </w:num>
  <w:num w:numId="7">
    <w:abstractNumId w:val="18"/>
  </w:num>
  <w:num w:numId="8">
    <w:abstractNumId w:val="29"/>
  </w:num>
  <w:num w:numId="9">
    <w:abstractNumId w:val="17"/>
  </w:num>
  <w:num w:numId="10">
    <w:abstractNumId w:val="30"/>
  </w:num>
  <w:num w:numId="11">
    <w:abstractNumId w:val="9"/>
  </w:num>
  <w:num w:numId="12">
    <w:abstractNumId w:val="8"/>
  </w:num>
  <w:num w:numId="13">
    <w:abstractNumId w:val="12"/>
  </w:num>
  <w:num w:numId="14">
    <w:abstractNumId w:val="3"/>
  </w:num>
  <w:num w:numId="15">
    <w:abstractNumId w:val="21"/>
  </w:num>
  <w:num w:numId="16">
    <w:abstractNumId w:val="10"/>
  </w:num>
  <w:num w:numId="17">
    <w:abstractNumId w:val="19"/>
  </w:num>
  <w:num w:numId="18">
    <w:abstractNumId w:val="7"/>
  </w:num>
  <w:num w:numId="19">
    <w:abstractNumId w:val="22"/>
  </w:num>
  <w:num w:numId="20">
    <w:abstractNumId w:val="26"/>
  </w:num>
  <w:num w:numId="21">
    <w:abstractNumId w:val="25"/>
  </w:num>
  <w:num w:numId="22">
    <w:abstractNumId w:val="14"/>
  </w:num>
  <w:num w:numId="23">
    <w:abstractNumId w:val="23"/>
  </w:num>
  <w:num w:numId="24">
    <w:abstractNumId w:val="24"/>
  </w:num>
  <w:num w:numId="25">
    <w:abstractNumId w:val="20"/>
  </w:num>
  <w:num w:numId="26">
    <w:abstractNumId w:val="4"/>
  </w:num>
  <w:num w:numId="27">
    <w:abstractNumId w:val="28"/>
  </w:num>
  <w:num w:numId="28">
    <w:abstractNumId w:val="5"/>
  </w:num>
  <w:num w:numId="29">
    <w:abstractNumId w:val="15"/>
  </w:num>
  <w:num w:numId="30">
    <w:abstractNumId w:val="6"/>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1280F"/>
    <w:rsid w:val="00000063"/>
    <w:rsid w:val="00002A89"/>
    <w:rsid w:val="00003968"/>
    <w:rsid w:val="00007BA2"/>
    <w:rsid w:val="0002058A"/>
    <w:rsid w:val="00020BAA"/>
    <w:rsid w:val="000277BB"/>
    <w:rsid w:val="000333B0"/>
    <w:rsid w:val="000341FD"/>
    <w:rsid w:val="0003594A"/>
    <w:rsid w:val="00035C26"/>
    <w:rsid w:val="00036C23"/>
    <w:rsid w:val="000518E0"/>
    <w:rsid w:val="000564D8"/>
    <w:rsid w:val="00057257"/>
    <w:rsid w:val="000577A8"/>
    <w:rsid w:val="00063E56"/>
    <w:rsid w:val="000902DE"/>
    <w:rsid w:val="0009155A"/>
    <w:rsid w:val="00092275"/>
    <w:rsid w:val="00095051"/>
    <w:rsid w:val="000976C0"/>
    <w:rsid w:val="000A6FF5"/>
    <w:rsid w:val="000B2BB3"/>
    <w:rsid w:val="000B3823"/>
    <w:rsid w:val="000B4BF4"/>
    <w:rsid w:val="000C38D9"/>
    <w:rsid w:val="000C4135"/>
    <w:rsid w:val="000C5287"/>
    <w:rsid w:val="000C61A9"/>
    <w:rsid w:val="000C7006"/>
    <w:rsid w:val="000E0589"/>
    <w:rsid w:val="000F101F"/>
    <w:rsid w:val="000F29FA"/>
    <w:rsid w:val="00100667"/>
    <w:rsid w:val="001020E8"/>
    <w:rsid w:val="00104D2F"/>
    <w:rsid w:val="0010633F"/>
    <w:rsid w:val="0011280F"/>
    <w:rsid w:val="001133E1"/>
    <w:rsid w:val="00122A6A"/>
    <w:rsid w:val="00123EFB"/>
    <w:rsid w:val="001248A4"/>
    <w:rsid w:val="00124DFD"/>
    <w:rsid w:val="00125C71"/>
    <w:rsid w:val="00145585"/>
    <w:rsid w:val="00147D4B"/>
    <w:rsid w:val="00152199"/>
    <w:rsid w:val="00153E56"/>
    <w:rsid w:val="0015775E"/>
    <w:rsid w:val="00170661"/>
    <w:rsid w:val="0017703D"/>
    <w:rsid w:val="00181305"/>
    <w:rsid w:val="0018276C"/>
    <w:rsid w:val="001919E4"/>
    <w:rsid w:val="00196016"/>
    <w:rsid w:val="00197F7A"/>
    <w:rsid w:val="001A0A45"/>
    <w:rsid w:val="001A3E6B"/>
    <w:rsid w:val="001A5C39"/>
    <w:rsid w:val="001B1FD5"/>
    <w:rsid w:val="001B2F6B"/>
    <w:rsid w:val="001B3D6B"/>
    <w:rsid w:val="001B721B"/>
    <w:rsid w:val="001B7CB7"/>
    <w:rsid w:val="001C2471"/>
    <w:rsid w:val="001C5BEB"/>
    <w:rsid w:val="001D0CF6"/>
    <w:rsid w:val="001D5936"/>
    <w:rsid w:val="001E1FEC"/>
    <w:rsid w:val="001E3D16"/>
    <w:rsid w:val="001E6DF8"/>
    <w:rsid w:val="001F2C32"/>
    <w:rsid w:val="0020297E"/>
    <w:rsid w:val="00205E7A"/>
    <w:rsid w:val="00210897"/>
    <w:rsid w:val="00210E42"/>
    <w:rsid w:val="002138B6"/>
    <w:rsid w:val="00214C48"/>
    <w:rsid w:val="00221E7A"/>
    <w:rsid w:val="00232CBC"/>
    <w:rsid w:val="002356F3"/>
    <w:rsid w:val="00243954"/>
    <w:rsid w:val="00247C6B"/>
    <w:rsid w:val="00250380"/>
    <w:rsid w:val="00255E47"/>
    <w:rsid w:val="00270610"/>
    <w:rsid w:val="00271770"/>
    <w:rsid w:val="00273E35"/>
    <w:rsid w:val="00282B13"/>
    <w:rsid w:val="00282B66"/>
    <w:rsid w:val="00283985"/>
    <w:rsid w:val="00290CEA"/>
    <w:rsid w:val="00297A0E"/>
    <w:rsid w:val="002A2659"/>
    <w:rsid w:val="002B2473"/>
    <w:rsid w:val="002B30FE"/>
    <w:rsid w:val="002C23F4"/>
    <w:rsid w:val="002C2C9C"/>
    <w:rsid w:val="002C6468"/>
    <w:rsid w:val="002D0E69"/>
    <w:rsid w:val="002D518F"/>
    <w:rsid w:val="002D62EF"/>
    <w:rsid w:val="002E0459"/>
    <w:rsid w:val="002E17B0"/>
    <w:rsid w:val="002E7CD9"/>
    <w:rsid w:val="002F3A18"/>
    <w:rsid w:val="002F6A68"/>
    <w:rsid w:val="002F71DB"/>
    <w:rsid w:val="0030497B"/>
    <w:rsid w:val="00305EDF"/>
    <w:rsid w:val="003115A2"/>
    <w:rsid w:val="00314427"/>
    <w:rsid w:val="0031738C"/>
    <w:rsid w:val="00320AEA"/>
    <w:rsid w:val="00320D91"/>
    <w:rsid w:val="003317F1"/>
    <w:rsid w:val="003469AD"/>
    <w:rsid w:val="00364593"/>
    <w:rsid w:val="00372B0B"/>
    <w:rsid w:val="003762DC"/>
    <w:rsid w:val="003811B3"/>
    <w:rsid w:val="00387EF7"/>
    <w:rsid w:val="0039461B"/>
    <w:rsid w:val="0039731B"/>
    <w:rsid w:val="003A1D30"/>
    <w:rsid w:val="003A5972"/>
    <w:rsid w:val="003A5EAC"/>
    <w:rsid w:val="003A64BD"/>
    <w:rsid w:val="003B43D3"/>
    <w:rsid w:val="003B59BB"/>
    <w:rsid w:val="003B7436"/>
    <w:rsid w:val="003C2C49"/>
    <w:rsid w:val="003C4DCE"/>
    <w:rsid w:val="003D3AE3"/>
    <w:rsid w:val="003D702D"/>
    <w:rsid w:val="003F6F38"/>
    <w:rsid w:val="0040171D"/>
    <w:rsid w:val="00402FD8"/>
    <w:rsid w:val="00421747"/>
    <w:rsid w:val="00421DE2"/>
    <w:rsid w:val="00423BAD"/>
    <w:rsid w:val="004260F8"/>
    <w:rsid w:val="00426532"/>
    <w:rsid w:val="00427A8B"/>
    <w:rsid w:val="00430105"/>
    <w:rsid w:val="00434B14"/>
    <w:rsid w:val="004459DA"/>
    <w:rsid w:val="0045109E"/>
    <w:rsid w:val="00453D35"/>
    <w:rsid w:val="0046173D"/>
    <w:rsid w:val="00463304"/>
    <w:rsid w:val="004641E6"/>
    <w:rsid w:val="0046426E"/>
    <w:rsid w:val="0048239C"/>
    <w:rsid w:val="0048492A"/>
    <w:rsid w:val="00485FB4"/>
    <w:rsid w:val="00486C03"/>
    <w:rsid w:val="00487551"/>
    <w:rsid w:val="004876C4"/>
    <w:rsid w:val="004903B3"/>
    <w:rsid w:val="004A04AF"/>
    <w:rsid w:val="004B1F89"/>
    <w:rsid w:val="004B2097"/>
    <w:rsid w:val="004B379B"/>
    <w:rsid w:val="004C4218"/>
    <w:rsid w:val="004C599B"/>
    <w:rsid w:val="004C5C3C"/>
    <w:rsid w:val="004C6029"/>
    <w:rsid w:val="004D0719"/>
    <w:rsid w:val="004D5DE2"/>
    <w:rsid w:val="004D7744"/>
    <w:rsid w:val="004D795E"/>
    <w:rsid w:val="004F2250"/>
    <w:rsid w:val="004F443E"/>
    <w:rsid w:val="005008DE"/>
    <w:rsid w:val="00504B6C"/>
    <w:rsid w:val="00505CD9"/>
    <w:rsid w:val="005107F2"/>
    <w:rsid w:val="0051082A"/>
    <w:rsid w:val="0051596E"/>
    <w:rsid w:val="00516E6A"/>
    <w:rsid w:val="00524053"/>
    <w:rsid w:val="005311B5"/>
    <w:rsid w:val="00532F86"/>
    <w:rsid w:val="00534E8D"/>
    <w:rsid w:val="00536C1D"/>
    <w:rsid w:val="005508AE"/>
    <w:rsid w:val="00555475"/>
    <w:rsid w:val="00563690"/>
    <w:rsid w:val="00565773"/>
    <w:rsid w:val="00565E43"/>
    <w:rsid w:val="00565FB7"/>
    <w:rsid w:val="005660A7"/>
    <w:rsid w:val="005724A5"/>
    <w:rsid w:val="005751EC"/>
    <w:rsid w:val="00576C63"/>
    <w:rsid w:val="00581F7F"/>
    <w:rsid w:val="005820FF"/>
    <w:rsid w:val="00582E59"/>
    <w:rsid w:val="005863CD"/>
    <w:rsid w:val="00586761"/>
    <w:rsid w:val="00593A9F"/>
    <w:rsid w:val="00597360"/>
    <w:rsid w:val="005A201A"/>
    <w:rsid w:val="005A39F2"/>
    <w:rsid w:val="005A660F"/>
    <w:rsid w:val="005C00BF"/>
    <w:rsid w:val="005C053E"/>
    <w:rsid w:val="005C1F47"/>
    <w:rsid w:val="005C40EB"/>
    <w:rsid w:val="005D6039"/>
    <w:rsid w:val="005F0757"/>
    <w:rsid w:val="00601B7F"/>
    <w:rsid w:val="00604E38"/>
    <w:rsid w:val="0060592C"/>
    <w:rsid w:val="006109FA"/>
    <w:rsid w:val="00621160"/>
    <w:rsid w:val="0062221B"/>
    <w:rsid w:val="0062389F"/>
    <w:rsid w:val="006247ED"/>
    <w:rsid w:val="00633F46"/>
    <w:rsid w:val="006340D1"/>
    <w:rsid w:val="0063669E"/>
    <w:rsid w:val="00645F5E"/>
    <w:rsid w:val="00647AE9"/>
    <w:rsid w:val="00651AB3"/>
    <w:rsid w:val="00653588"/>
    <w:rsid w:val="00654FB2"/>
    <w:rsid w:val="006561BE"/>
    <w:rsid w:val="00657510"/>
    <w:rsid w:val="0066293D"/>
    <w:rsid w:val="00665555"/>
    <w:rsid w:val="00666583"/>
    <w:rsid w:val="00666D9E"/>
    <w:rsid w:val="00670A86"/>
    <w:rsid w:val="006759B9"/>
    <w:rsid w:val="00683812"/>
    <w:rsid w:val="00683D7A"/>
    <w:rsid w:val="00683EB6"/>
    <w:rsid w:val="0068716F"/>
    <w:rsid w:val="00693C5D"/>
    <w:rsid w:val="006A6BBD"/>
    <w:rsid w:val="006A7162"/>
    <w:rsid w:val="006B2496"/>
    <w:rsid w:val="006B5D40"/>
    <w:rsid w:val="006C6DA9"/>
    <w:rsid w:val="006C7716"/>
    <w:rsid w:val="006C7818"/>
    <w:rsid w:val="006D2586"/>
    <w:rsid w:val="006D3A54"/>
    <w:rsid w:val="006D4876"/>
    <w:rsid w:val="006D790A"/>
    <w:rsid w:val="006E03CC"/>
    <w:rsid w:val="006E1D77"/>
    <w:rsid w:val="006E53C2"/>
    <w:rsid w:val="006E66E3"/>
    <w:rsid w:val="006E6A5B"/>
    <w:rsid w:val="006E7EAA"/>
    <w:rsid w:val="006F1A8D"/>
    <w:rsid w:val="006F2902"/>
    <w:rsid w:val="006F67EF"/>
    <w:rsid w:val="00704AB6"/>
    <w:rsid w:val="0070733C"/>
    <w:rsid w:val="00710F9F"/>
    <w:rsid w:val="00712340"/>
    <w:rsid w:val="007139A4"/>
    <w:rsid w:val="00714333"/>
    <w:rsid w:val="0071716E"/>
    <w:rsid w:val="00717259"/>
    <w:rsid w:val="007241F1"/>
    <w:rsid w:val="007272F2"/>
    <w:rsid w:val="007361ED"/>
    <w:rsid w:val="00745B88"/>
    <w:rsid w:val="00745D72"/>
    <w:rsid w:val="0075255C"/>
    <w:rsid w:val="007538B3"/>
    <w:rsid w:val="00761059"/>
    <w:rsid w:val="007645C5"/>
    <w:rsid w:val="0076491E"/>
    <w:rsid w:val="00767335"/>
    <w:rsid w:val="00772A5B"/>
    <w:rsid w:val="00780275"/>
    <w:rsid w:val="007827D5"/>
    <w:rsid w:val="0078288C"/>
    <w:rsid w:val="0078297B"/>
    <w:rsid w:val="007863C2"/>
    <w:rsid w:val="00791256"/>
    <w:rsid w:val="00791D37"/>
    <w:rsid w:val="007924AD"/>
    <w:rsid w:val="00794701"/>
    <w:rsid w:val="007A6E74"/>
    <w:rsid w:val="007A78A9"/>
    <w:rsid w:val="007B54F4"/>
    <w:rsid w:val="007B5E05"/>
    <w:rsid w:val="007B6631"/>
    <w:rsid w:val="007D18F8"/>
    <w:rsid w:val="007D4D34"/>
    <w:rsid w:val="007E2E88"/>
    <w:rsid w:val="007F1B1E"/>
    <w:rsid w:val="007F29C6"/>
    <w:rsid w:val="007F5313"/>
    <w:rsid w:val="007F788A"/>
    <w:rsid w:val="0080100C"/>
    <w:rsid w:val="00801548"/>
    <w:rsid w:val="008027C0"/>
    <w:rsid w:val="00803E0A"/>
    <w:rsid w:val="00805FA7"/>
    <w:rsid w:val="00807A67"/>
    <w:rsid w:val="00823883"/>
    <w:rsid w:val="00831D7F"/>
    <w:rsid w:val="0083578F"/>
    <w:rsid w:val="00842726"/>
    <w:rsid w:val="00842E36"/>
    <w:rsid w:val="00846C7A"/>
    <w:rsid w:val="0085186D"/>
    <w:rsid w:val="008539B2"/>
    <w:rsid w:val="00856EB2"/>
    <w:rsid w:val="008621F9"/>
    <w:rsid w:val="00864D07"/>
    <w:rsid w:val="0087100D"/>
    <w:rsid w:val="00874186"/>
    <w:rsid w:val="008755D2"/>
    <w:rsid w:val="00875604"/>
    <w:rsid w:val="00880322"/>
    <w:rsid w:val="00885BAC"/>
    <w:rsid w:val="0088745B"/>
    <w:rsid w:val="00887A0A"/>
    <w:rsid w:val="00890F23"/>
    <w:rsid w:val="00892D0D"/>
    <w:rsid w:val="00896D11"/>
    <w:rsid w:val="008A7692"/>
    <w:rsid w:val="008B42FB"/>
    <w:rsid w:val="008C0696"/>
    <w:rsid w:val="008C29C7"/>
    <w:rsid w:val="008C5565"/>
    <w:rsid w:val="008D22DC"/>
    <w:rsid w:val="008D63F3"/>
    <w:rsid w:val="008D76FA"/>
    <w:rsid w:val="008F0A3F"/>
    <w:rsid w:val="008F3048"/>
    <w:rsid w:val="00915142"/>
    <w:rsid w:val="0091777C"/>
    <w:rsid w:val="00920EEF"/>
    <w:rsid w:val="00927F60"/>
    <w:rsid w:val="009342B2"/>
    <w:rsid w:val="00935722"/>
    <w:rsid w:val="00940B65"/>
    <w:rsid w:val="0094150B"/>
    <w:rsid w:val="00944671"/>
    <w:rsid w:val="0094580B"/>
    <w:rsid w:val="00946EF7"/>
    <w:rsid w:val="009522E2"/>
    <w:rsid w:val="00957A4C"/>
    <w:rsid w:val="00960BD6"/>
    <w:rsid w:val="009728FE"/>
    <w:rsid w:val="00976513"/>
    <w:rsid w:val="0098053B"/>
    <w:rsid w:val="0098243A"/>
    <w:rsid w:val="00987F3B"/>
    <w:rsid w:val="00990148"/>
    <w:rsid w:val="0099250D"/>
    <w:rsid w:val="009940C6"/>
    <w:rsid w:val="00994359"/>
    <w:rsid w:val="009943E8"/>
    <w:rsid w:val="009A4636"/>
    <w:rsid w:val="009B4371"/>
    <w:rsid w:val="009C626A"/>
    <w:rsid w:val="009D061B"/>
    <w:rsid w:val="009D26A3"/>
    <w:rsid w:val="009D3C54"/>
    <w:rsid w:val="009D5289"/>
    <w:rsid w:val="009D5612"/>
    <w:rsid w:val="009E29D8"/>
    <w:rsid w:val="009E4274"/>
    <w:rsid w:val="009F67B0"/>
    <w:rsid w:val="00A02740"/>
    <w:rsid w:val="00A03078"/>
    <w:rsid w:val="00A035A5"/>
    <w:rsid w:val="00A06A0C"/>
    <w:rsid w:val="00A121F2"/>
    <w:rsid w:val="00A13142"/>
    <w:rsid w:val="00A13EFE"/>
    <w:rsid w:val="00A215BE"/>
    <w:rsid w:val="00A24ADC"/>
    <w:rsid w:val="00A31E7C"/>
    <w:rsid w:val="00A33D6C"/>
    <w:rsid w:val="00A35C0B"/>
    <w:rsid w:val="00A369D5"/>
    <w:rsid w:val="00A47645"/>
    <w:rsid w:val="00A5114A"/>
    <w:rsid w:val="00A51503"/>
    <w:rsid w:val="00A524C9"/>
    <w:rsid w:val="00A61B48"/>
    <w:rsid w:val="00A67C95"/>
    <w:rsid w:val="00A73E2E"/>
    <w:rsid w:val="00A74AE2"/>
    <w:rsid w:val="00A75951"/>
    <w:rsid w:val="00A819A9"/>
    <w:rsid w:val="00A81F6A"/>
    <w:rsid w:val="00A8563A"/>
    <w:rsid w:val="00A90CE3"/>
    <w:rsid w:val="00A92F6F"/>
    <w:rsid w:val="00AA0A87"/>
    <w:rsid w:val="00AA2B1D"/>
    <w:rsid w:val="00AA3A07"/>
    <w:rsid w:val="00AB55DD"/>
    <w:rsid w:val="00AC4AE4"/>
    <w:rsid w:val="00AC59D0"/>
    <w:rsid w:val="00AD1F46"/>
    <w:rsid w:val="00AD336A"/>
    <w:rsid w:val="00AD68A7"/>
    <w:rsid w:val="00AE1351"/>
    <w:rsid w:val="00AF0B56"/>
    <w:rsid w:val="00AF1C03"/>
    <w:rsid w:val="00AF654A"/>
    <w:rsid w:val="00AF78BA"/>
    <w:rsid w:val="00B0195F"/>
    <w:rsid w:val="00B13E0F"/>
    <w:rsid w:val="00B1584D"/>
    <w:rsid w:val="00B17C4C"/>
    <w:rsid w:val="00B23E57"/>
    <w:rsid w:val="00B2596B"/>
    <w:rsid w:val="00B36EF0"/>
    <w:rsid w:val="00B40943"/>
    <w:rsid w:val="00B4613A"/>
    <w:rsid w:val="00B47A0D"/>
    <w:rsid w:val="00B53522"/>
    <w:rsid w:val="00B8562B"/>
    <w:rsid w:val="00B948DF"/>
    <w:rsid w:val="00BA0B8D"/>
    <w:rsid w:val="00BA4116"/>
    <w:rsid w:val="00BA5AA8"/>
    <w:rsid w:val="00BB3704"/>
    <w:rsid w:val="00BB62C6"/>
    <w:rsid w:val="00BB6850"/>
    <w:rsid w:val="00BB73CB"/>
    <w:rsid w:val="00BC26C5"/>
    <w:rsid w:val="00BC75D7"/>
    <w:rsid w:val="00BD376E"/>
    <w:rsid w:val="00BD66C3"/>
    <w:rsid w:val="00BE0A72"/>
    <w:rsid w:val="00BF1FB3"/>
    <w:rsid w:val="00BF2411"/>
    <w:rsid w:val="00BF6E88"/>
    <w:rsid w:val="00C0116D"/>
    <w:rsid w:val="00C03EB1"/>
    <w:rsid w:val="00C1073F"/>
    <w:rsid w:val="00C133EA"/>
    <w:rsid w:val="00C14D98"/>
    <w:rsid w:val="00C1586E"/>
    <w:rsid w:val="00C20806"/>
    <w:rsid w:val="00C22DF4"/>
    <w:rsid w:val="00C2613A"/>
    <w:rsid w:val="00C310FB"/>
    <w:rsid w:val="00C34235"/>
    <w:rsid w:val="00C3697B"/>
    <w:rsid w:val="00C430AD"/>
    <w:rsid w:val="00C441D0"/>
    <w:rsid w:val="00C517F3"/>
    <w:rsid w:val="00C562EB"/>
    <w:rsid w:val="00C655A3"/>
    <w:rsid w:val="00C73650"/>
    <w:rsid w:val="00C74A16"/>
    <w:rsid w:val="00C770BC"/>
    <w:rsid w:val="00C775C5"/>
    <w:rsid w:val="00C77CEE"/>
    <w:rsid w:val="00C831B7"/>
    <w:rsid w:val="00C84220"/>
    <w:rsid w:val="00C86AFE"/>
    <w:rsid w:val="00C92341"/>
    <w:rsid w:val="00C93D4D"/>
    <w:rsid w:val="00C96ED3"/>
    <w:rsid w:val="00CA138D"/>
    <w:rsid w:val="00CB0645"/>
    <w:rsid w:val="00CB3E92"/>
    <w:rsid w:val="00CB4087"/>
    <w:rsid w:val="00CC3BD5"/>
    <w:rsid w:val="00CC66C8"/>
    <w:rsid w:val="00CD0D2F"/>
    <w:rsid w:val="00CD1BE0"/>
    <w:rsid w:val="00CD3B0E"/>
    <w:rsid w:val="00CD3E36"/>
    <w:rsid w:val="00CD5B67"/>
    <w:rsid w:val="00CD60E6"/>
    <w:rsid w:val="00CE00FE"/>
    <w:rsid w:val="00CE25AA"/>
    <w:rsid w:val="00CE4471"/>
    <w:rsid w:val="00CE695B"/>
    <w:rsid w:val="00CF5D99"/>
    <w:rsid w:val="00CF6C67"/>
    <w:rsid w:val="00D03932"/>
    <w:rsid w:val="00D132AC"/>
    <w:rsid w:val="00D149EF"/>
    <w:rsid w:val="00D1572B"/>
    <w:rsid w:val="00D1588F"/>
    <w:rsid w:val="00D16FBB"/>
    <w:rsid w:val="00D22820"/>
    <w:rsid w:val="00D24AB2"/>
    <w:rsid w:val="00D24DEB"/>
    <w:rsid w:val="00D271A8"/>
    <w:rsid w:val="00D27837"/>
    <w:rsid w:val="00D313A3"/>
    <w:rsid w:val="00D3235E"/>
    <w:rsid w:val="00D468C8"/>
    <w:rsid w:val="00D47B34"/>
    <w:rsid w:val="00D47FE4"/>
    <w:rsid w:val="00D50F0B"/>
    <w:rsid w:val="00D52CAE"/>
    <w:rsid w:val="00D60F48"/>
    <w:rsid w:val="00D62594"/>
    <w:rsid w:val="00D63E96"/>
    <w:rsid w:val="00D642DC"/>
    <w:rsid w:val="00D676E6"/>
    <w:rsid w:val="00D81DD0"/>
    <w:rsid w:val="00D84098"/>
    <w:rsid w:val="00D90778"/>
    <w:rsid w:val="00D919A6"/>
    <w:rsid w:val="00D92000"/>
    <w:rsid w:val="00D93386"/>
    <w:rsid w:val="00D96CA4"/>
    <w:rsid w:val="00DA3F69"/>
    <w:rsid w:val="00DA4D78"/>
    <w:rsid w:val="00DA7583"/>
    <w:rsid w:val="00DB713C"/>
    <w:rsid w:val="00DC157D"/>
    <w:rsid w:val="00DC3D53"/>
    <w:rsid w:val="00DD06F0"/>
    <w:rsid w:val="00DD41BA"/>
    <w:rsid w:val="00DE10FE"/>
    <w:rsid w:val="00DE499E"/>
    <w:rsid w:val="00DE5602"/>
    <w:rsid w:val="00DF141D"/>
    <w:rsid w:val="00DF14D5"/>
    <w:rsid w:val="00DF2450"/>
    <w:rsid w:val="00E000D8"/>
    <w:rsid w:val="00E1613C"/>
    <w:rsid w:val="00E17FE1"/>
    <w:rsid w:val="00E45003"/>
    <w:rsid w:val="00E46496"/>
    <w:rsid w:val="00E752A0"/>
    <w:rsid w:val="00E764D3"/>
    <w:rsid w:val="00E84816"/>
    <w:rsid w:val="00E943E4"/>
    <w:rsid w:val="00E97340"/>
    <w:rsid w:val="00EA2E8F"/>
    <w:rsid w:val="00EB0ADD"/>
    <w:rsid w:val="00EC09C0"/>
    <w:rsid w:val="00EC1C0A"/>
    <w:rsid w:val="00EC659A"/>
    <w:rsid w:val="00EC7262"/>
    <w:rsid w:val="00EE1A1F"/>
    <w:rsid w:val="00EE53E0"/>
    <w:rsid w:val="00EF39E5"/>
    <w:rsid w:val="00EF6C7D"/>
    <w:rsid w:val="00EF73D0"/>
    <w:rsid w:val="00F00DDB"/>
    <w:rsid w:val="00F02323"/>
    <w:rsid w:val="00F0250C"/>
    <w:rsid w:val="00F03831"/>
    <w:rsid w:val="00F0530A"/>
    <w:rsid w:val="00F05955"/>
    <w:rsid w:val="00F06A76"/>
    <w:rsid w:val="00F076B6"/>
    <w:rsid w:val="00F1222A"/>
    <w:rsid w:val="00F1516F"/>
    <w:rsid w:val="00F15B70"/>
    <w:rsid w:val="00F15F3B"/>
    <w:rsid w:val="00F1729C"/>
    <w:rsid w:val="00F3518E"/>
    <w:rsid w:val="00F362B9"/>
    <w:rsid w:val="00F41325"/>
    <w:rsid w:val="00F433FB"/>
    <w:rsid w:val="00F51CA7"/>
    <w:rsid w:val="00F53549"/>
    <w:rsid w:val="00F53752"/>
    <w:rsid w:val="00F56197"/>
    <w:rsid w:val="00F567DF"/>
    <w:rsid w:val="00F56F0D"/>
    <w:rsid w:val="00F57643"/>
    <w:rsid w:val="00F57F5B"/>
    <w:rsid w:val="00F6056B"/>
    <w:rsid w:val="00F64C93"/>
    <w:rsid w:val="00F66253"/>
    <w:rsid w:val="00F71026"/>
    <w:rsid w:val="00F74650"/>
    <w:rsid w:val="00F74887"/>
    <w:rsid w:val="00F74C19"/>
    <w:rsid w:val="00F76553"/>
    <w:rsid w:val="00F82549"/>
    <w:rsid w:val="00F8778B"/>
    <w:rsid w:val="00F93C81"/>
    <w:rsid w:val="00F94F71"/>
    <w:rsid w:val="00FA62D0"/>
    <w:rsid w:val="00FB00B0"/>
    <w:rsid w:val="00FB300D"/>
    <w:rsid w:val="00FB3B80"/>
    <w:rsid w:val="00FB6A7C"/>
    <w:rsid w:val="00FB6D64"/>
    <w:rsid w:val="00FC195B"/>
    <w:rsid w:val="00FC5865"/>
    <w:rsid w:val="00FD5E7A"/>
    <w:rsid w:val="00FD6453"/>
    <w:rsid w:val="00FE16C2"/>
    <w:rsid w:val="00FE727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uiPriority w:val="99"/>
    <w:rsid w:val="009D061B"/>
    <w:pPr>
      <w:tabs>
        <w:tab w:val="center" w:pos="4153"/>
        <w:tab w:val="right" w:pos="8306"/>
      </w:tabs>
    </w:pPr>
  </w:style>
  <w:style w:type="character" w:customStyle="1" w:styleId="HeaderChar">
    <w:name w:val="Header Char"/>
    <w:basedOn w:val="DefaultParagraphFont"/>
    <w:link w:val="Header"/>
    <w:uiPriority w:val="99"/>
    <w:semiHidden/>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uiPriority w:val="99"/>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b/>
      <w:bC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uiPriority w:val="99"/>
    <w:rsid w:val="00B40943"/>
    <w:pPr>
      <w:tabs>
        <w:tab w:val="left" w:pos="709"/>
      </w:tabs>
      <w:spacing w:before="122" w:line="198" w:lineRule="exact"/>
      <w:ind w:left="709" w:hanging="709"/>
    </w:pPr>
    <w:rPr>
      <w:sz w:val="18"/>
      <w:lang w:eastAsia="en-AU"/>
    </w:rPr>
  </w:style>
</w:styles>
</file>

<file path=word/webSettings.xml><?xml version="1.0" encoding="utf-8"?>
<w:webSettings xmlns:r="http://schemas.openxmlformats.org/officeDocument/2006/relationships" xmlns:w="http://schemas.openxmlformats.org/wordprocessingml/2006/main">
  <w:divs>
    <w:div w:id="944194437">
      <w:marLeft w:val="0"/>
      <w:marRight w:val="0"/>
      <w:marTop w:val="0"/>
      <w:marBottom w:val="0"/>
      <w:divBdr>
        <w:top w:val="none" w:sz="0" w:space="0" w:color="auto"/>
        <w:left w:val="none" w:sz="0" w:space="0" w:color="auto"/>
        <w:bottom w:val="none" w:sz="0" w:space="0" w:color="auto"/>
        <w:right w:val="none" w:sz="0" w:space="0" w:color="auto"/>
      </w:divBdr>
    </w:div>
    <w:div w:id="944194438">
      <w:marLeft w:val="0"/>
      <w:marRight w:val="0"/>
      <w:marTop w:val="0"/>
      <w:marBottom w:val="0"/>
      <w:divBdr>
        <w:top w:val="none" w:sz="0" w:space="0" w:color="auto"/>
        <w:left w:val="none" w:sz="0" w:space="0" w:color="auto"/>
        <w:bottom w:val="none" w:sz="0" w:space="0" w:color="auto"/>
        <w:right w:val="none" w:sz="0" w:space="0" w:color="auto"/>
      </w:divBdr>
    </w:div>
    <w:div w:id="944194439">
      <w:marLeft w:val="0"/>
      <w:marRight w:val="0"/>
      <w:marTop w:val="0"/>
      <w:marBottom w:val="0"/>
      <w:divBdr>
        <w:top w:val="none" w:sz="0" w:space="0" w:color="auto"/>
        <w:left w:val="none" w:sz="0" w:space="0" w:color="auto"/>
        <w:bottom w:val="none" w:sz="0" w:space="0" w:color="auto"/>
        <w:right w:val="none" w:sz="0" w:space="0" w:color="auto"/>
      </w:divBdr>
      <w:divsChild>
        <w:div w:id="944194444">
          <w:marLeft w:val="0"/>
          <w:marRight w:val="0"/>
          <w:marTop w:val="0"/>
          <w:marBottom w:val="0"/>
          <w:divBdr>
            <w:top w:val="none" w:sz="0" w:space="0" w:color="auto"/>
            <w:left w:val="none" w:sz="0" w:space="0" w:color="auto"/>
            <w:bottom w:val="none" w:sz="0" w:space="0" w:color="auto"/>
            <w:right w:val="none" w:sz="0" w:space="0" w:color="auto"/>
          </w:divBdr>
          <w:divsChild>
            <w:div w:id="944194436">
              <w:marLeft w:val="0"/>
              <w:marRight w:val="0"/>
              <w:marTop w:val="0"/>
              <w:marBottom w:val="0"/>
              <w:divBdr>
                <w:top w:val="none" w:sz="0" w:space="0" w:color="auto"/>
                <w:left w:val="none" w:sz="0" w:space="0" w:color="auto"/>
                <w:bottom w:val="none" w:sz="0" w:space="0" w:color="auto"/>
                <w:right w:val="none" w:sz="0" w:space="0" w:color="auto"/>
              </w:divBdr>
              <w:divsChild>
                <w:div w:id="944194442">
                  <w:marLeft w:val="2820"/>
                  <w:marRight w:val="0"/>
                  <w:marTop w:val="0"/>
                  <w:marBottom w:val="0"/>
                  <w:divBdr>
                    <w:top w:val="none" w:sz="0" w:space="0" w:color="auto"/>
                    <w:left w:val="none" w:sz="0" w:space="0" w:color="auto"/>
                    <w:bottom w:val="none" w:sz="0" w:space="0" w:color="auto"/>
                    <w:right w:val="none" w:sz="0" w:space="0" w:color="auto"/>
                  </w:divBdr>
                  <w:divsChild>
                    <w:div w:id="9441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4440">
      <w:marLeft w:val="0"/>
      <w:marRight w:val="0"/>
      <w:marTop w:val="0"/>
      <w:marBottom w:val="0"/>
      <w:divBdr>
        <w:top w:val="none" w:sz="0" w:space="0" w:color="auto"/>
        <w:left w:val="none" w:sz="0" w:space="0" w:color="auto"/>
        <w:bottom w:val="none" w:sz="0" w:space="0" w:color="auto"/>
        <w:right w:val="none" w:sz="0" w:space="0" w:color="auto"/>
      </w:divBdr>
    </w:div>
    <w:div w:id="944194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mowmar</cp:lastModifiedBy>
  <cp:revision>2</cp:revision>
  <cp:lastPrinted>2013-04-24T00:55:00Z</cp:lastPrinted>
  <dcterms:created xsi:type="dcterms:W3CDTF">2013-04-24T01:44:00Z</dcterms:created>
  <dcterms:modified xsi:type="dcterms:W3CDTF">2013-04-24T01:44:00Z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A1613833</vt:lpwstr>
  </property>
  <property fmtid="{D5CDD505-2E9C-101B-9397-08002B2CF9AE}" pid="4" name="Objective-Title">
    <vt:lpwstr>4  Explanatory Statement - NO S31 (2) AGS comments</vt:lpwstr>
  </property>
  <property fmtid="{D5CDD505-2E9C-101B-9397-08002B2CF9AE}" pid="5" name="Objective-Comment">
    <vt:lpwstr/>
  </property>
  <property fmtid="{D5CDD505-2E9C-101B-9397-08002B2CF9AE}" pid="6" name="Objective-CreationStamp">
    <vt:filetime>2013-04-19T08:10:42Z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2013-04-19T08:15:01Z</vt:filetime>
  </property>
  <property fmtid="{D5CDD505-2E9C-101B-9397-08002B2CF9AE}" pid="10" name="Objective-ModificationStamp">
    <vt:filetime>2013-04-19T08:15:01Z</vt:filetime>
  </property>
  <property fmtid="{D5CDD505-2E9C-101B-9397-08002B2CF9AE}" pid="11" name="Objective-Owner">
    <vt:lpwstr>Graham, Kathryn</vt:lpwstr>
  </property>
  <property fmtid="{D5CDD505-2E9C-101B-9397-08002B2CF9AE}" pid="12" name="Objective-Path">
    <vt:lpwstr>i Know-how Top Level:Client Groups:Dept of Finance &amp; Deregulation (Excl Comcover):FINANCE - Advice Matters:Finance: s.32 Transfers (13042065):13042065 - Matter Documents:13042065 Correspondence:</vt:lpwstr>
  </property>
  <property fmtid="{D5CDD505-2E9C-101B-9397-08002B2CF9AE}" pid="13" name="Objective-Parent">
    <vt:lpwstr>13042065 Correspondence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13042065-002</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Category [system]">
    <vt:lpwstr/>
  </property>
</Properties>
</file>