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352" w:rsidRPr="00F242BC" w:rsidRDefault="00F5373A" w:rsidP="00023F0C">
      <w:r>
        <w:rPr>
          <w:noProof/>
        </w:rPr>
        <w:drawing>
          <wp:inline distT="0" distB="0" distL="0" distR="0">
            <wp:extent cx="1774825" cy="13830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74825" cy="1383030"/>
                    </a:xfrm>
                    <a:prstGeom prst="rect">
                      <a:avLst/>
                    </a:prstGeom>
                    <a:noFill/>
                    <a:ln w="9525">
                      <a:noFill/>
                      <a:miter lim="800000"/>
                      <a:headEnd/>
                      <a:tailEnd/>
                    </a:ln>
                  </pic:spPr>
                </pic:pic>
              </a:graphicData>
            </a:graphic>
          </wp:inline>
        </w:drawing>
      </w:r>
    </w:p>
    <w:p w:rsidR="00A44352" w:rsidRPr="00FF16B2" w:rsidRDefault="00E60D67" w:rsidP="00023F0C">
      <w:pPr>
        <w:pStyle w:val="Title"/>
        <w:pBdr>
          <w:bottom w:val="single" w:sz="4" w:space="3" w:color="auto"/>
        </w:pBdr>
      </w:pPr>
      <w:bookmarkStart w:id="0" w:name="Citation"/>
      <w:bookmarkStart w:id="1" w:name="InstrumentTitleFull"/>
      <w:r>
        <w:t>FMA</w:t>
      </w:r>
      <w:r w:rsidR="00A44352" w:rsidRPr="00FF16B2">
        <w:t xml:space="preserve"> Act Determination </w:t>
      </w:r>
      <w:r w:rsidR="00A44352">
        <w:rPr>
          <w:noProof/>
        </w:rPr>
        <w:t>2013/01</w:t>
      </w:r>
      <w:r w:rsidR="00A44352" w:rsidRPr="00FF16B2">
        <w:t xml:space="preserve"> — Section 32 (Transfer of Functions from </w:t>
      </w:r>
      <w:r w:rsidR="00A44352">
        <w:t>DCCEE</w:t>
      </w:r>
      <w:r w:rsidR="00A44352" w:rsidRPr="00FF16B2">
        <w:t xml:space="preserve"> to </w:t>
      </w:r>
      <w:bookmarkEnd w:id="0"/>
      <w:bookmarkEnd w:id="1"/>
      <w:r w:rsidR="00A44352" w:rsidRPr="00FF16B2">
        <w:t>DII</w:t>
      </w:r>
      <w:r w:rsidR="00A44352">
        <w:t>CC</w:t>
      </w:r>
      <w:r w:rsidR="00A44352" w:rsidRPr="00FF16B2">
        <w:t>SR</w:t>
      </w:r>
      <w:r w:rsidR="00A44352">
        <w:t>TE and DRET</w:t>
      </w:r>
      <w:r w:rsidR="00A44352" w:rsidRPr="00FF16B2">
        <w:t>)</w:t>
      </w:r>
    </w:p>
    <w:p w:rsidR="00A44352" w:rsidRPr="00FF16B2" w:rsidRDefault="00A44352" w:rsidP="00023F0C">
      <w:pPr>
        <w:pBdr>
          <w:bottom w:val="single" w:sz="4" w:space="3" w:color="auto"/>
        </w:pBdr>
        <w:spacing w:before="480"/>
        <w:outlineLvl w:val="0"/>
        <w:rPr>
          <w:rFonts w:ascii="Arial" w:hAnsi="Arial" w:cs="Arial"/>
          <w:i/>
          <w:sz w:val="28"/>
          <w:szCs w:val="28"/>
          <w:lang w:val="en-US"/>
        </w:rPr>
      </w:pPr>
      <w:r w:rsidRPr="00FF16B2">
        <w:rPr>
          <w:rFonts w:ascii="Arial" w:hAnsi="Arial" w:cs="Arial"/>
          <w:i/>
          <w:sz w:val="28"/>
          <w:szCs w:val="28"/>
          <w:lang w:val="en-US"/>
        </w:rPr>
        <w:t>Financial Management and Accountability Act 1997</w:t>
      </w:r>
    </w:p>
    <w:p w:rsidR="006F50A0" w:rsidRPr="00FF16B2" w:rsidRDefault="006F50A0" w:rsidP="006F50A0">
      <w:pPr>
        <w:tabs>
          <w:tab w:val="left" w:pos="3119"/>
        </w:tabs>
        <w:spacing w:before="360"/>
        <w:jc w:val="both"/>
      </w:pPr>
      <w:r w:rsidRPr="00FF16B2">
        <w:t xml:space="preserve">I, </w:t>
      </w:r>
      <w:r>
        <w:t>ALAN GREENSLADE</w:t>
      </w:r>
      <w:r w:rsidRPr="00FF16B2">
        <w:t xml:space="preserve">, </w:t>
      </w:r>
      <w:r>
        <w:t xml:space="preserve">First Assistant </w:t>
      </w:r>
      <w:r w:rsidRPr="00FF16B2">
        <w:t xml:space="preserve">Secretary, </w:t>
      </w:r>
      <w:r>
        <w:t xml:space="preserve">Financial Reporting and Cash Management Division, </w:t>
      </w:r>
      <w:r w:rsidRPr="00FF16B2">
        <w:t xml:space="preserve">Department of Finance and Deregulation, make this Determination under subsection 32(2) of the </w:t>
      </w:r>
      <w:r w:rsidRPr="00E60D67">
        <w:t>FMA Act</w:t>
      </w:r>
      <w:r>
        <w:t>, as delegate of the Secretary of the Department of Finance and Deregulation, who is</w:t>
      </w:r>
      <w:r w:rsidR="00E60D67">
        <w:t>,</w:t>
      </w:r>
      <w:r>
        <w:t xml:space="preserve"> </w:t>
      </w:r>
      <w:r w:rsidR="00E60D67">
        <w:t xml:space="preserve">in turn, </w:t>
      </w:r>
      <w:r>
        <w:t>a delegate of the Finance Minister.</w:t>
      </w:r>
    </w:p>
    <w:p w:rsidR="00A44352" w:rsidRDefault="00A44352" w:rsidP="00023F0C">
      <w:pPr>
        <w:tabs>
          <w:tab w:val="left" w:pos="3119"/>
        </w:tabs>
        <w:jc w:val="both"/>
      </w:pPr>
    </w:p>
    <w:p w:rsidR="00A44352" w:rsidRDefault="00A44352" w:rsidP="0090550E">
      <w:pPr>
        <w:tabs>
          <w:tab w:val="left" w:pos="3119"/>
        </w:tabs>
        <w:spacing w:after="120"/>
        <w:jc w:val="both"/>
      </w:pPr>
      <w:r w:rsidRPr="00FF16B2">
        <w:t xml:space="preserve">This Determination is made due to </w:t>
      </w:r>
      <w:r>
        <w:t>amendments to</w:t>
      </w:r>
      <w:r w:rsidRPr="004E5756">
        <w:t xml:space="preserve"> the </w:t>
      </w:r>
      <w:r w:rsidRPr="00EE3AC8">
        <w:rPr>
          <w:i/>
        </w:rPr>
        <w:t>Administrative Arrangements Order</w:t>
      </w:r>
      <w:r>
        <w:t xml:space="preserve">, made on </w:t>
      </w:r>
      <w:r w:rsidRPr="004E5756">
        <w:t xml:space="preserve">25 March 2013. </w:t>
      </w:r>
      <w:r>
        <w:t>On that day, the Department of Climate Change and Energy Efficiency was abolished and its f</w:t>
      </w:r>
      <w:r w:rsidRPr="004E5756">
        <w:t xml:space="preserve">unctions </w:t>
      </w:r>
      <w:r>
        <w:t>were</w:t>
      </w:r>
      <w:r w:rsidRPr="004E5756">
        <w:t xml:space="preserve"> </w:t>
      </w:r>
      <w:r>
        <w:t>transferred:</w:t>
      </w:r>
    </w:p>
    <w:p w:rsidR="00A44352" w:rsidRDefault="00A44352" w:rsidP="0090550E">
      <w:pPr>
        <w:pStyle w:val="ListParagraph"/>
        <w:numPr>
          <w:ilvl w:val="0"/>
          <w:numId w:val="9"/>
        </w:numPr>
        <w:tabs>
          <w:tab w:val="left" w:pos="720"/>
        </w:tabs>
        <w:spacing w:after="120"/>
        <w:ind w:left="714" w:hanging="357"/>
        <w:contextualSpacing w:val="0"/>
        <w:jc w:val="both"/>
      </w:pPr>
      <w:r w:rsidRPr="004E5756">
        <w:t>in relation to climate change</w:t>
      </w:r>
      <w:r>
        <w:t xml:space="preserve">, to the </w:t>
      </w:r>
      <w:r w:rsidRPr="004E5756">
        <w:t>Department of Industry, Innovation, Climate Change, Science, Research and Tertiary Education</w:t>
      </w:r>
      <w:r>
        <w:t>; and</w:t>
      </w:r>
    </w:p>
    <w:p w:rsidR="00A44352" w:rsidRPr="00FF16B2" w:rsidRDefault="00A44352" w:rsidP="0090550E">
      <w:pPr>
        <w:pStyle w:val="ListParagraph"/>
        <w:numPr>
          <w:ilvl w:val="0"/>
          <w:numId w:val="9"/>
        </w:numPr>
        <w:tabs>
          <w:tab w:val="left" w:pos="720"/>
        </w:tabs>
        <w:spacing w:after="120"/>
        <w:ind w:left="714" w:hanging="357"/>
        <w:contextualSpacing w:val="0"/>
        <w:jc w:val="both"/>
      </w:pPr>
      <w:proofErr w:type="gramStart"/>
      <w:r w:rsidRPr="004E5756">
        <w:t>in</w:t>
      </w:r>
      <w:proofErr w:type="gramEnd"/>
      <w:r w:rsidRPr="004E5756">
        <w:t xml:space="preserve"> relation to energy efficiency</w:t>
      </w:r>
      <w:r>
        <w:t xml:space="preserve">, to </w:t>
      </w:r>
      <w:r w:rsidRPr="004E5756">
        <w:t>the Department of</w:t>
      </w:r>
      <w:r>
        <w:t xml:space="preserve"> Resources, Energy and Tourism.</w:t>
      </w:r>
    </w:p>
    <w:p w:rsidR="00A44352" w:rsidRPr="00FF16B2" w:rsidRDefault="00A44352" w:rsidP="00023F0C">
      <w:pPr>
        <w:tabs>
          <w:tab w:val="left" w:pos="3119"/>
        </w:tabs>
        <w:jc w:val="both"/>
      </w:pPr>
    </w:p>
    <w:p w:rsidR="00A44352" w:rsidRDefault="00A44352" w:rsidP="00023F0C">
      <w:pPr>
        <w:tabs>
          <w:tab w:val="left" w:pos="1985"/>
        </w:tabs>
      </w:pPr>
      <w:r w:rsidRPr="00FF16B2">
        <w:t>Dated</w:t>
      </w:r>
      <w:r w:rsidRPr="00FF16B2">
        <w:tab/>
      </w:r>
      <w:bookmarkStart w:id="2" w:name="Text4"/>
      <w:r w:rsidR="00DE6B00">
        <w:t>24</w:t>
      </w:r>
      <w:bookmarkEnd w:id="2"/>
      <w:r w:rsidR="00DE6B00">
        <w:t xml:space="preserve"> </w:t>
      </w:r>
      <w:r>
        <w:t>April 2013</w:t>
      </w:r>
    </w:p>
    <w:p w:rsidR="00A44352" w:rsidRDefault="00A44352" w:rsidP="00023F0C">
      <w:pPr>
        <w:pBdr>
          <w:bottom w:val="single" w:sz="4" w:space="12" w:color="auto"/>
        </w:pBdr>
      </w:pPr>
    </w:p>
    <w:p w:rsidR="00A44352" w:rsidRDefault="00A44352" w:rsidP="00023F0C">
      <w:pPr>
        <w:pBdr>
          <w:bottom w:val="single" w:sz="4" w:space="12" w:color="auto"/>
        </w:pBdr>
      </w:pPr>
    </w:p>
    <w:p w:rsidR="00A44352" w:rsidRDefault="00A44352" w:rsidP="00023F0C">
      <w:pPr>
        <w:pBdr>
          <w:bottom w:val="single" w:sz="4" w:space="12" w:color="auto"/>
        </w:pBdr>
      </w:pPr>
    </w:p>
    <w:p w:rsidR="00A44352" w:rsidRDefault="00A44352" w:rsidP="00023F0C">
      <w:pPr>
        <w:pBdr>
          <w:bottom w:val="single" w:sz="4" w:space="12" w:color="auto"/>
        </w:pBdr>
      </w:pPr>
    </w:p>
    <w:p w:rsidR="00A44352" w:rsidRDefault="00A44352" w:rsidP="00023F0C">
      <w:pPr>
        <w:pBdr>
          <w:bottom w:val="single" w:sz="4" w:space="12" w:color="auto"/>
        </w:pBdr>
      </w:pPr>
    </w:p>
    <w:p w:rsidR="006F50A0" w:rsidRDefault="006F50A0" w:rsidP="006F50A0">
      <w:pPr>
        <w:pBdr>
          <w:bottom w:val="single" w:sz="4" w:space="12" w:color="auto"/>
        </w:pBdr>
        <w:outlineLvl w:val="0"/>
      </w:pPr>
      <w:r>
        <w:t>ALAN GREENSLADE</w:t>
      </w:r>
    </w:p>
    <w:p w:rsidR="006F50A0" w:rsidRDefault="006F50A0" w:rsidP="006F50A0">
      <w:pPr>
        <w:pBdr>
          <w:bottom w:val="single" w:sz="4" w:space="12" w:color="auto"/>
        </w:pBdr>
      </w:pPr>
      <w:r>
        <w:t xml:space="preserve">First Assistant </w:t>
      </w:r>
      <w:r w:rsidRPr="00FF16B2">
        <w:t>Secretary</w:t>
      </w:r>
    </w:p>
    <w:p w:rsidR="006F50A0" w:rsidRDefault="006F50A0" w:rsidP="006F50A0">
      <w:pPr>
        <w:pBdr>
          <w:bottom w:val="single" w:sz="4" w:space="12" w:color="auto"/>
        </w:pBdr>
        <w:spacing w:after="240"/>
      </w:pPr>
      <w:r>
        <w:t>Financial Reporting and Cash Management Division</w:t>
      </w:r>
      <w:r>
        <w:br/>
      </w:r>
      <w:r w:rsidRPr="00F242BC">
        <w:t>Department of Finance and Deregulation</w:t>
      </w:r>
    </w:p>
    <w:p w:rsidR="00A44352" w:rsidRPr="00E862B9" w:rsidRDefault="00A44352" w:rsidP="004066E1">
      <w:pPr>
        <w:pBdr>
          <w:bottom w:val="single" w:sz="4" w:space="12" w:color="auto"/>
        </w:pBdr>
        <w:spacing w:after="240"/>
        <w:sectPr w:rsidR="00A44352" w:rsidRPr="00E862B9" w:rsidSect="00C53905">
          <w:headerReference w:type="even" r:id="rId8"/>
          <w:headerReference w:type="default" r:id="rId9"/>
          <w:footerReference w:type="even" r:id="rId10"/>
          <w:footerReference w:type="default" r:id="rId11"/>
          <w:pgSz w:w="11907" w:h="16839" w:code="9"/>
          <w:pgMar w:top="1440" w:right="1797" w:bottom="1440" w:left="1797" w:header="709" w:footer="709" w:gutter="0"/>
          <w:cols w:space="708"/>
          <w:titlePg/>
          <w:docGrid w:linePitch="360"/>
        </w:sectPr>
      </w:pPr>
    </w:p>
    <w:p w:rsidR="00A44352" w:rsidRPr="00FF16B2" w:rsidRDefault="00A44352" w:rsidP="00023F0C">
      <w:pPr>
        <w:pStyle w:val="HR"/>
        <w:spacing w:before="240"/>
        <w:outlineLvl w:val="0"/>
      </w:pPr>
      <w:r>
        <w:rPr>
          <w:rStyle w:val="CharSectno"/>
        </w:rPr>
        <w:lastRenderedPageBreak/>
        <w:br w:type="page"/>
      </w:r>
      <w:r w:rsidRPr="00FF16B2">
        <w:rPr>
          <w:rStyle w:val="CharSectno"/>
        </w:rPr>
        <w:lastRenderedPageBreak/>
        <w:t>1</w:t>
      </w:r>
      <w:r w:rsidRPr="00FF16B2">
        <w:tab/>
        <w:t>Name of Determination</w:t>
      </w:r>
    </w:p>
    <w:p w:rsidR="00A44352" w:rsidRPr="00FF16B2" w:rsidRDefault="00A44352" w:rsidP="00023F0C">
      <w:pPr>
        <w:pStyle w:val="R2"/>
      </w:pPr>
      <w:r w:rsidRPr="00FF16B2">
        <w:t xml:space="preserve">This Determination is the </w:t>
      </w:r>
      <w:r w:rsidR="0015575A">
        <w:rPr>
          <w:i/>
        </w:rPr>
        <w:t>FMA Act</w:t>
      </w:r>
      <w:r w:rsidRPr="00FF16B2">
        <w:rPr>
          <w:i/>
        </w:rPr>
        <w:t xml:space="preserve"> Determination </w:t>
      </w:r>
      <w:r>
        <w:rPr>
          <w:i/>
          <w:noProof/>
        </w:rPr>
        <w:t>2013/01</w:t>
      </w:r>
      <w:r w:rsidRPr="00FF16B2">
        <w:rPr>
          <w:i/>
          <w:noProof/>
        </w:rPr>
        <w:t xml:space="preserve"> — </w:t>
      </w:r>
      <w:r w:rsidRPr="00FF16B2">
        <w:rPr>
          <w:i/>
        </w:rPr>
        <w:t xml:space="preserve">Section 32 (Transfer of Functions from </w:t>
      </w:r>
      <w:r w:rsidRPr="00E25B06">
        <w:rPr>
          <w:i/>
        </w:rPr>
        <w:t>DCCEE to DIICCSRTE and DRET</w:t>
      </w:r>
      <w:r w:rsidRPr="00FF16B2">
        <w:t>).</w:t>
      </w:r>
    </w:p>
    <w:p w:rsidR="006F50A0" w:rsidRPr="00FF16B2" w:rsidRDefault="006F50A0" w:rsidP="006F50A0">
      <w:pPr>
        <w:pStyle w:val="Note"/>
        <w:spacing w:line="240" w:lineRule="auto"/>
        <w:rPr>
          <w:iCs/>
        </w:rPr>
      </w:pPr>
      <w:r w:rsidRPr="00FF16B2">
        <w:rPr>
          <w:rStyle w:val="ItalicText"/>
          <w:iCs/>
        </w:rPr>
        <w:t>Note 1:</w:t>
      </w:r>
      <w:r w:rsidRPr="00FF16B2">
        <w:rPr>
          <w:iCs/>
        </w:rPr>
        <w:t xml:space="preserve"> This Determination has been made by </w:t>
      </w:r>
      <w:r>
        <w:rPr>
          <w:iCs/>
        </w:rPr>
        <w:t xml:space="preserve">a delegate of </w:t>
      </w:r>
      <w:r w:rsidRPr="00FF16B2">
        <w:rPr>
          <w:iCs/>
        </w:rPr>
        <w:t xml:space="preserve">the Secretary of the Department of Finance and Deregulation. The Secretary is a delegate of the Finance Minister in accordance with section 62 of the </w:t>
      </w:r>
      <w:r>
        <w:rPr>
          <w:iCs/>
        </w:rPr>
        <w:t>F</w:t>
      </w:r>
      <w:r w:rsidRPr="00FF16B2">
        <w:rPr>
          <w:iCs/>
        </w:rPr>
        <w:t>MA Act.</w:t>
      </w:r>
      <w:r w:rsidRPr="00E76A59">
        <w:rPr>
          <w:iCs/>
        </w:rPr>
        <w:t xml:space="preserve"> </w:t>
      </w:r>
      <w:r w:rsidRPr="00FF16B2">
        <w:rPr>
          <w:iCs/>
        </w:rPr>
        <w:t xml:space="preserve">The Secretary has </w:t>
      </w:r>
      <w:r w:rsidR="00BD6F47">
        <w:rPr>
          <w:iCs/>
        </w:rPr>
        <w:t>sub-</w:t>
      </w:r>
      <w:r w:rsidRPr="00FF16B2">
        <w:rPr>
          <w:iCs/>
        </w:rPr>
        <w:t xml:space="preserve">delegated </w:t>
      </w:r>
      <w:r w:rsidR="00BD6F47">
        <w:rPr>
          <w:iCs/>
        </w:rPr>
        <w:t>that</w:t>
      </w:r>
      <w:r w:rsidRPr="00FF16B2">
        <w:rPr>
          <w:iCs/>
        </w:rPr>
        <w:t xml:space="preserve"> power in accordance with section 53 of the FMA Act.</w:t>
      </w:r>
    </w:p>
    <w:p w:rsidR="00A44352" w:rsidRPr="00FF16B2" w:rsidRDefault="00A44352" w:rsidP="00023F0C">
      <w:pPr>
        <w:pStyle w:val="Note"/>
        <w:spacing w:line="240" w:lineRule="auto"/>
        <w:rPr>
          <w:noProof/>
        </w:rPr>
      </w:pPr>
      <w:r w:rsidRPr="00FF16B2">
        <w:rPr>
          <w:rStyle w:val="ItalicText"/>
          <w:iCs/>
        </w:rPr>
        <w:t>Note </w:t>
      </w:r>
      <w:r w:rsidR="006F50A0">
        <w:rPr>
          <w:rStyle w:val="ItalicText"/>
          <w:iCs/>
        </w:rPr>
        <w:t>2</w:t>
      </w:r>
      <w:r w:rsidRPr="00FF16B2">
        <w:rPr>
          <w:rStyle w:val="ItalicText"/>
          <w:iCs/>
        </w:rPr>
        <w:t>:</w:t>
      </w:r>
      <w:r w:rsidRPr="00FF16B2">
        <w:rPr>
          <w:iCs/>
        </w:rPr>
        <w:t> </w:t>
      </w:r>
      <w:bookmarkStart w:id="4" w:name="_Toc189972105"/>
      <w:r>
        <w:rPr>
          <w:rStyle w:val="ItalicText"/>
          <w:i w:val="0"/>
        </w:rPr>
        <w:t>F</w:t>
      </w:r>
      <w:r w:rsidRPr="00FF16B2">
        <w:rPr>
          <w:rStyle w:val="ItalicText"/>
          <w:i w:val="0"/>
        </w:rPr>
        <w:t xml:space="preserve">unctions </w:t>
      </w:r>
      <w:r>
        <w:rPr>
          <w:rStyle w:val="ItalicText"/>
          <w:i w:val="0"/>
        </w:rPr>
        <w:t>in relation to</w:t>
      </w:r>
      <w:r w:rsidRPr="00FF16B2">
        <w:rPr>
          <w:rStyle w:val="ItalicText"/>
          <w:i w:val="0"/>
        </w:rPr>
        <w:t xml:space="preserve"> </w:t>
      </w:r>
      <w:r>
        <w:rPr>
          <w:rStyle w:val="ItalicText"/>
          <w:i w:val="0"/>
        </w:rPr>
        <w:t>climate change</w:t>
      </w:r>
      <w:r w:rsidRPr="00FF16B2">
        <w:rPr>
          <w:rStyle w:val="ItalicText"/>
          <w:i w:val="0"/>
        </w:rPr>
        <w:t xml:space="preserve"> </w:t>
      </w:r>
      <w:r>
        <w:rPr>
          <w:rStyle w:val="ItalicText"/>
          <w:i w:val="0"/>
        </w:rPr>
        <w:t xml:space="preserve">were </w:t>
      </w:r>
      <w:r w:rsidRPr="00FF16B2">
        <w:rPr>
          <w:rStyle w:val="ItalicText"/>
          <w:i w:val="0"/>
        </w:rPr>
        <w:t>transferred from</w:t>
      </w:r>
      <w:r>
        <w:rPr>
          <w:rStyle w:val="ItalicText"/>
          <w:i w:val="0"/>
        </w:rPr>
        <w:t xml:space="preserve"> DCCEE </w:t>
      </w:r>
      <w:r w:rsidRPr="00FF16B2">
        <w:rPr>
          <w:noProof/>
        </w:rPr>
        <w:t xml:space="preserve">to </w:t>
      </w:r>
      <w:r>
        <w:t>DIICCSRTE</w:t>
      </w:r>
      <w:r>
        <w:rPr>
          <w:noProof/>
        </w:rPr>
        <w:t xml:space="preserve">, and </w:t>
      </w:r>
      <w:r w:rsidRPr="00A50886">
        <w:rPr>
          <w:noProof/>
        </w:rPr>
        <w:t xml:space="preserve">functions </w:t>
      </w:r>
      <w:r>
        <w:rPr>
          <w:noProof/>
        </w:rPr>
        <w:t>in relation to</w:t>
      </w:r>
      <w:r w:rsidRPr="00A50886">
        <w:rPr>
          <w:noProof/>
        </w:rPr>
        <w:t xml:space="preserve"> energy efficiency</w:t>
      </w:r>
      <w:r>
        <w:rPr>
          <w:noProof/>
        </w:rPr>
        <w:t xml:space="preserve"> were</w:t>
      </w:r>
      <w:r w:rsidRPr="00A50886">
        <w:rPr>
          <w:noProof/>
        </w:rPr>
        <w:t xml:space="preserve"> </w:t>
      </w:r>
      <w:r>
        <w:rPr>
          <w:noProof/>
        </w:rPr>
        <w:t xml:space="preserve">transferred from DCCEE to DRET </w:t>
      </w:r>
      <w:r w:rsidRPr="00FF16B2">
        <w:rPr>
          <w:noProof/>
        </w:rPr>
        <w:t xml:space="preserve">due to a change in the </w:t>
      </w:r>
      <w:r w:rsidRPr="00FF16B2">
        <w:rPr>
          <w:i/>
          <w:noProof/>
        </w:rPr>
        <w:t xml:space="preserve">Administrative Arrangements Order </w:t>
      </w:r>
      <w:r w:rsidRPr="00FF16B2">
        <w:rPr>
          <w:noProof/>
        </w:rPr>
        <w:t xml:space="preserve">with effect from </w:t>
      </w:r>
      <w:r>
        <w:rPr>
          <w:noProof/>
        </w:rPr>
        <w:t>25 March 2013</w:t>
      </w:r>
      <w:r w:rsidRPr="00FF16B2">
        <w:rPr>
          <w:noProof/>
        </w:rPr>
        <w:t>.</w:t>
      </w:r>
    </w:p>
    <w:p w:rsidR="00A44352" w:rsidRPr="00FF16B2" w:rsidRDefault="00A44352" w:rsidP="00023F0C">
      <w:pPr>
        <w:pStyle w:val="HR"/>
        <w:spacing w:before="240"/>
        <w:outlineLvl w:val="0"/>
      </w:pPr>
      <w:r w:rsidRPr="00FF16B2">
        <w:rPr>
          <w:rStyle w:val="CharSectno"/>
        </w:rPr>
        <w:t>2</w:t>
      </w:r>
      <w:r w:rsidRPr="00FF16B2">
        <w:tab/>
        <w:t>Commencement</w:t>
      </w:r>
      <w:bookmarkEnd w:id="4"/>
    </w:p>
    <w:p w:rsidR="00A44352" w:rsidRPr="00FF16B2" w:rsidRDefault="00A44352" w:rsidP="00023F0C">
      <w:pPr>
        <w:pStyle w:val="R2"/>
      </w:pPr>
      <w:r w:rsidRPr="00124FFB">
        <w:t xml:space="preserve">This Determination commences on </w:t>
      </w:r>
      <w:r>
        <w:t>the day which it is made</w:t>
      </w:r>
      <w:r w:rsidRPr="00124FFB">
        <w:t>.</w:t>
      </w:r>
    </w:p>
    <w:p w:rsidR="00A44352" w:rsidRPr="00FF16B2" w:rsidRDefault="00A44352" w:rsidP="00023F0C">
      <w:pPr>
        <w:pStyle w:val="HR"/>
        <w:spacing w:before="240"/>
        <w:outlineLvl w:val="0"/>
      </w:pPr>
      <w:r w:rsidRPr="00FF16B2">
        <w:rPr>
          <w:rStyle w:val="CharSectno"/>
        </w:rPr>
        <w:t>3</w:t>
      </w:r>
      <w:r w:rsidRPr="00FF16B2">
        <w:tab/>
        <w:t xml:space="preserve">Amendment of </w:t>
      </w:r>
      <w:r w:rsidRPr="0090550E">
        <w:rPr>
          <w:i/>
          <w:noProof/>
        </w:rPr>
        <w:t>Appropriation Acts</w:t>
      </w:r>
      <w:r w:rsidRPr="00FF16B2">
        <w:rPr>
          <w:i/>
          <w:noProof/>
        </w:rPr>
        <w:t xml:space="preserve"> </w:t>
      </w:r>
    </w:p>
    <w:p w:rsidR="00A44352" w:rsidRDefault="00A44352" w:rsidP="00E35419">
      <w:pPr>
        <w:pStyle w:val="R1"/>
        <w:tabs>
          <w:tab w:val="clear" w:pos="794"/>
        </w:tabs>
        <w:spacing w:line="240" w:lineRule="auto"/>
        <w:ind w:right="-192" w:firstLine="0"/>
        <w:jc w:val="left"/>
      </w:pPr>
      <w:r w:rsidRPr="00FF16B2">
        <w:rPr>
          <w:i/>
          <w:noProof/>
        </w:rPr>
        <w:t>Appropriation Act (No. 1</w:t>
      </w:r>
      <w:r w:rsidRPr="00FF16B2">
        <w:rPr>
          <w:i/>
        </w:rPr>
        <w:t>) 201</w:t>
      </w:r>
      <w:r>
        <w:rPr>
          <w:i/>
        </w:rPr>
        <w:t>2</w:t>
      </w:r>
      <w:r w:rsidRPr="00FF16B2">
        <w:rPr>
          <w:i/>
        </w:rPr>
        <w:t>-201</w:t>
      </w:r>
      <w:r>
        <w:rPr>
          <w:i/>
        </w:rPr>
        <w:t>3</w:t>
      </w:r>
      <w:r>
        <w:t xml:space="preserve"> and </w:t>
      </w:r>
      <w:r w:rsidRPr="00F32ABF">
        <w:rPr>
          <w:i/>
        </w:rPr>
        <w:t>Appropriation Act (No. 2) 2012-2013</w:t>
      </w:r>
      <w:r>
        <w:t xml:space="preserve"> are amended as set out in the </w:t>
      </w:r>
      <w:r w:rsidR="00A046C0">
        <w:t>Chapters</w:t>
      </w:r>
      <w:r>
        <w:t xml:space="preserve"> to this Determination.</w:t>
      </w:r>
    </w:p>
    <w:p w:rsidR="00A44352" w:rsidRPr="00B13998" w:rsidRDefault="00A44352" w:rsidP="00023F0C">
      <w:pPr>
        <w:pStyle w:val="HR"/>
        <w:spacing w:before="240"/>
        <w:outlineLvl w:val="0"/>
        <w:rPr>
          <w:rStyle w:val="CharSectno"/>
        </w:rPr>
      </w:pPr>
      <w:r w:rsidRPr="00B13998">
        <w:rPr>
          <w:rStyle w:val="CharSectno"/>
        </w:rPr>
        <w:t>4</w:t>
      </w:r>
      <w:r w:rsidRPr="00B13998">
        <w:rPr>
          <w:rStyle w:val="CharSectno"/>
        </w:rPr>
        <w:tab/>
        <w:t>Definitions</w:t>
      </w:r>
    </w:p>
    <w:p w:rsidR="00A44352" w:rsidRDefault="00A44352" w:rsidP="00023F0C">
      <w:pPr>
        <w:pStyle w:val="R2"/>
      </w:pPr>
      <w:r>
        <w:t>In this Determination:</w:t>
      </w:r>
    </w:p>
    <w:p w:rsidR="00A44352" w:rsidRDefault="00A44352" w:rsidP="006F50A0">
      <w:pPr>
        <w:pStyle w:val="R2"/>
        <w:numPr>
          <w:ilvl w:val="0"/>
          <w:numId w:val="31"/>
        </w:numPr>
      </w:pPr>
      <w:r w:rsidRPr="00004A2A">
        <w:rPr>
          <w:b/>
          <w:i/>
        </w:rPr>
        <w:t>DCCEE</w:t>
      </w:r>
      <w:r>
        <w:t xml:space="preserve"> means the former Department of Climate Change and Energy Efficiency</w:t>
      </w:r>
      <w:r w:rsidR="00AC2241">
        <w:t>.</w:t>
      </w:r>
    </w:p>
    <w:p w:rsidR="00A44352" w:rsidRDefault="00A44352" w:rsidP="006F50A0">
      <w:pPr>
        <w:pStyle w:val="R2"/>
        <w:numPr>
          <w:ilvl w:val="0"/>
          <w:numId w:val="31"/>
        </w:numPr>
      </w:pPr>
      <w:r w:rsidRPr="00004A2A">
        <w:rPr>
          <w:b/>
          <w:i/>
        </w:rPr>
        <w:t>DIICCSRTE</w:t>
      </w:r>
      <w:r>
        <w:t xml:space="preserve"> means </w:t>
      </w:r>
      <w:r w:rsidRPr="00FF16B2">
        <w:t xml:space="preserve">the Department of </w:t>
      </w:r>
      <w:r>
        <w:t xml:space="preserve">Industry, Innovation, Climate Change, </w:t>
      </w:r>
      <w:r w:rsidRPr="00FF16B2">
        <w:t>Science</w:t>
      </w:r>
      <w:r>
        <w:t>,</w:t>
      </w:r>
      <w:r w:rsidRPr="00FF16B2">
        <w:t xml:space="preserve"> Research</w:t>
      </w:r>
      <w:r>
        <w:t xml:space="preserve"> and Tertiary Education</w:t>
      </w:r>
      <w:r w:rsidR="00AC2241">
        <w:t>.</w:t>
      </w:r>
    </w:p>
    <w:p w:rsidR="00E60D67" w:rsidRDefault="00A44352" w:rsidP="006F50A0">
      <w:pPr>
        <w:pStyle w:val="R2"/>
        <w:numPr>
          <w:ilvl w:val="0"/>
          <w:numId w:val="31"/>
        </w:numPr>
      </w:pPr>
      <w:r w:rsidRPr="00004A2A">
        <w:rPr>
          <w:b/>
          <w:i/>
        </w:rPr>
        <w:t>DRET</w:t>
      </w:r>
      <w:r>
        <w:t xml:space="preserve"> means the Department of Resources, Energy and Tourism</w:t>
      </w:r>
      <w:r w:rsidR="00AC2241">
        <w:t>.</w:t>
      </w:r>
    </w:p>
    <w:p w:rsidR="00A44352" w:rsidRDefault="00E60D67" w:rsidP="006F50A0">
      <w:pPr>
        <w:pStyle w:val="R2"/>
        <w:numPr>
          <w:ilvl w:val="0"/>
          <w:numId w:val="31"/>
        </w:numPr>
      </w:pPr>
      <w:r w:rsidRPr="00BD6F47">
        <w:rPr>
          <w:b/>
          <w:i/>
        </w:rPr>
        <w:t>FMA Act</w:t>
      </w:r>
      <w:r>
        <w:t xml:space="preserve"> means the </w:t>
      </w:r>
      <w:r w:rsidRPr="00E60D67">
        <w:rPr>
          <w:i/>
        </w:rPr>
        <w:t>Financial Management and Accountability Act 1997</w:t>
      </w:r>
      <w:r w:rsidR="00AC2241" w:rsidRPr="00AC2241">
        <w:t>.</w:t>
      </w:r>
      <w:r w:rsidR="00A44352" w:rsidRPr="00AC2241">
        <w:t xml:space="preserve"> </w:t>
      </w:r>
    </w:p>
    <w:p w:rsidR="00A44352" w:rsidRPr="00B13998" w:rsidRDefault="00A44352" w:rsidP="00023F0C">
      <w:pPr>
        <w:sectPr w:rsidR="00A44352" w:rsidRPr="00B13998" w:rsidSect="00282BA6">
          <w:headerReference w:type="default" r:id="rId12"/>
          <w:type w:val="continuous"/>
          <w:pgSz w:w="11907" w:h="16839" w:code="9"/>
          <w:pgMar w:top="1440" w:right="1440" w:bottom="1440" w:left="1440" w:header="709" w:footer="709" w:gutter="0"/>
          <w:cols w:space="708"/>
          <w:docGrid w:linePitch="360"/>
        </w:sectPr>
      </w:pPr>
    </w:p>
    <w:p w:rsidR="00A44352" w:rsidRPr="002D451D" w:rsidRDefault="00A44352" w:rsidP="00023F0C">
      <w:pPr>
        <w:pStyle w:val="R1"/>
        <w:tabs>
          <w:tab w:val="clear" w:pos="794"/>
        </w:tabs>
        <w:spacing w:line="240" w:lineRule="auto"/>
        <w:rPr>
          <w:highlight w:val="yellow"/>
        </w:rPr>
      </w:pPr>
    </w:p>
    <w:p w:rsidR="00A44352" w:rsidRPr="009944CA" w:rsidRDefault="00A44352" w:rsidP="00023F0C">
      <w:pPr>
        <w:rPr>
          <w:rStyle w:val="CharAmSchNo"/>
          <w:sz w:val="2"/>
        </w:rPr>
      </w:pPr>
      <w:r>
        <w:rPr>
          <w:rStyle w:val="CharAmSchNo"/>
          <w:rFonts w:ascii="Arial" w:hAnsi="Arial"/>
          <w:b/>
          <w:sz w:val="32"/>
        </w:rPr>
        <w:br w:type="page"/>
      </w:r>
    </w:p>
    <w:p w:rsidR="00A44352" w:rsidRPr="009F04C1" w:rsidRDefault="00A046C0" w:rsidP="00023F0C">
      <w:pPr>
        <w:pStyle w:val="Scheduletitle"/>
        <w:spacing w:before="240"/>
        <w:rPr>
          <w:rStyle w:val="CharAmSchNo"/>
        </w:rPr>
      </w:pPr>
      <w:r>
        <w:rPr>
          <w:rStyle w:val="CharAmSchNo"/>
        </w:rPr>
        <w:lastRenderedPageBreak/>
        <w:t>Chapter</w:t>
      </w:r>
      <w:r w:rsidR="00A44352" w:rsidRPr="00FF16B2">
        <w:rPr>
          <w:rStyle w:val="CharAmSchNo"/>
        </w:rPr>
        <w:t xml:space="preserve"> 1</w:t>
      </w:r>
      <w:r w:rsidR="00A44352" w:rsidRPr="00FF16B2">
        <w:rPr>
          <w:rStyle w:val="CharAmSchNo"/>
        </w:rPr>
        <w:tab/>
        <w:t xml:space="preserve">Amendment of </w:t>
      </w:r>
      <w:r w:rsidR="00A44352" w:rsidRPr="00FF16B2">
        <w:rPr>
          <w:i/>
          <w:noProof/>
        </w:rPr>
        <w:t>Appropriation Act (No. 1</w:t>
      </w:r>
      <w:r w:rsidR="00A44352" w:rsidRPr="00FF16B2">
        <w:rPr>
          <w:i/>
        </w:rPr>
        <w:t>) 201</w:t>
      </w:r>
      <w:r w:rsidR="00A44352">
        <w:rPr>
          <w:i/>
        </w:rPr>
        <w:t>2</w:t>
      </w:r>
      <w:r w:rsidR="00A44352" w:rsidRPr="00FF16B2">
        <w:rPr>
          <w:i/>
        </w:rPr>
        <w:t>-201</w:t>
      </w:r>
      <w:r w:rsidR="00A44352">
        <w:rPr>
          <w:i/>
        </w:rPr>
        <w:t>3</w:t>
      </w:r>
    </w:p>
    <w:p w:rsidR="00A44352" w:rsidRDefault="00A44352" w:rsidP="00023F0C">
      <w:pPr>
        <w:pStyle w:val="Schedulereference"/>
        <w:spacing w:line="240" w:lineRule="auto"/>
        <w:rPr>
          <w:rStyle w:val="CharSchPTNo"/>
        </w:rPr>
      </w:pPr>
      <w:r w:rsidRPr="00C04E99">
        <w:t>(</w:t>
      </w:r>
      <w:r>
        <w:t>Clause</w:t>
      </w:r>
      <w:r w:rsidRPr="00C04E99">
        <w:t xml:space="preserve"> 3)</w:t>
      </w:r>
    </w:p>
    <w:p w:rsidR="00A44352" w:rsidRPr="00F242BC" w:rsidRDefault="00A44352" w:rsidP="00023F0C">
      <w:pPr>
        <w:pStyle w:val="A1S"/>
        <w:spacing w:before="240" w:line="240" w:lineRule="auto"/>
        <w:ind w:left="709" w:hanging="709"/>
      </w:pPr>
      <w:r>
        <w:t>[1]</w:t>
      </w:r>
      <w:r>
        <w:tab/>
      </w:r>
      <w:r>
        <w:rPr>
          <w:bCs/>
        </w:rPr>
        <w:tab/>
      </w:r>
      <w:r w:rsidRPr="00E7285F">
        <w:rPr>
          <w:bCs/>
        </w:rPr>
        <w:t xml:space="preserve">Schedule </w:t>
      </w:r>
      <w:r>
        <w:rPr>
          <w:bCs/>
        </w:rPr>
        <w:t>1</w:t>
      </w:r>
      <w:r w:rsidRPr="00E7285F">
        <w:rPr>
          <w:bCs/>
        </w:rPr>
        <w:t xml:space="preserve">, </w:t>
      </w:r>
      <w:r>
        <w:rPr>
          <w:bCs/>
        </w:rPr>
        <w:t>Climate Change</w:t>
      </w:r>
      <w:r w:rsidRPr="00E7285F">
        <w:rPr>
          <w:bCs/>
        </w:rPr>
        <w:t xml:space="preserve"> </w:t>
      </w:r>
      <w:r>
        <w:rPr>
          <w:bCs/>
        </w:rPr>
        <w:t xml:space="preserve">and Energy Efficiency </w:t>
      </w:r>
      <w:r w:rsidRPr="00E7285F">
        <w:rPr>
          <w:bCs/>
        </w:rPr>
        <w:t xml:space="preserve">portfolio, </w:t>
      </w:r>
      <w:r>
        <w:rPr>
          <w:bCs/>
        </w:rPr>
        <w:t>Department of Climate Change</w:t>
      </w:r>
      <w:r w:rsidRPr="00E7285F">
        <w:rPr>
          <w:bCs/>
        </w:rPr>
        <w:t xml:space="preserve"> </w:t>
      </w:r>
      <w:r>
        <w:rPr>
          <w:bCs/>
        </w:rPr>
        <w:t xml:space="preserve">and Energy Efficiency </w:t>
      </w:r>
      <w:r w:rsidRPr="00E7285F">
        <w:rPr>
          <w:bCs/>
        </w:rPr>
        <w:t>table</w:t>
      </w:r>
    </w:p>
    <w:p w:rsidR="00A44352" w:rsidRDefault="00A44352" w:rsidP="00023F0C">
      <w:pPr>
        <w:pStyle w:val="A2S"/>
        <w:keepNext w:val="0"/>
        <w:spacing w:after="120" w:line="240" w:lineRule="auto"/>
      </w:pPr>
      <w:r w:rsidRPr="00F52AD0">
        <w:t>Omit</w:t>
      </w:r>
      <w:r>
        <w:t xml:space="preserve"> the table and insert</w:t>
      </w:r>
    </w:p>
    <w:tbl>
      <w:tblPr>
        <w:tblW w:w="9102" w:type="dxa"/>
        <w:tblLayout w:type="fixed"/>
        <w:tblCellMar>
          <w:left w:w="30" w:type="dxa"/>
          <w:right w:w="30" w:type="dxa"/>
        </w:tblCellMar>
        <w:tblLook w:val="0000"/>
      </w:tblPr>
      <w:tblGrid>
        <w:gridCol w:w="3612"/>
        <w:gridCol w:w="1805"/>
        <w:gridCol w:w="1843"/>
        <w:gridCol w:w="1842"/>
      </w:tblGrid>
      <w:tr w:rsidR="00A44352" w:rsidTr="006F50A0">
        <w:trPr>
          <w:tblHeader/>
        </w:trPr>
        <w:tc>
          <w:tcPr>
            <w:tcW w:w="9102" w:type="dxa"/>
            <w:gridSpan w:val="4"/>
          </w:tcPr>
          <w:p w:rsidR="00A44352" w:rsidRDefault="00A44352" w:rsidP="00023F0C">
            <w:pPr>
              <w:pStyle w:val="FinTableHeadingCenteredBold"/>
            </w:pPr>
            <w:r>
              <w:t>Climate Change and Energy Efficiency PORTFOLIO</w:t>
            </w:r>
          </w:p>
          <w:p w:rsidR="00A44352" w:rsidRDefault="00A44352" w:rsidP="00023F0C">
            <w:pPr>
              <w:pStyle w:val="KeyLight0"/>
            </w:pPr>
            <w:r>
              <w:t>Appropriation (plain figures)—2012</w:t>
            </w:r>
            <w:r>
              <w:noBreakHyphen/>
              <w:t>2013</w:t>
            </w:r>
          </w:p>
          <w:p w:rsidR="00A44352" w:rsidRPr="0056750D" w:rsidRDefault="00A44352" w:rsidP="00023F0C">
            <w:pPr>
              <w:pStyle w:val="KeyLight0"/>
              <w:rPr>
                <w:i/>
                <w:sz w:val="15"/>
                <w:szCs w:val="15"/>
              </w:rPr>
            </w:pPr>
            <w:r w:rsidRPr="0056750D">
              <w:rPr>
                <w:i/>
                <w:sz w:val="15"/>
                <w:szCs w:val="15"/>
              </w:rPr>
              <w:t>Actual Available Appropriation (italic figures)—2011</w:t>
            </w:r>
            <w:r w:rsidRPr="0056750D">
              <w:rPr>
                <w:i/>
                <w:sz w:val="15"/>
                <w:szCs w:val="15"/>
              </w:rPr>
              <w:noBreakHyphen/>
              <w:t>2012</w:t>
            </w:r>
          </w:p>
          <w:p w:rsidR="00A44352" w:rsidRDefault="00A44352" w:rsidP="00023F0C">
            <w:pPr>
              <w:pStyle w:val="KeyItalic0"/>
            </w:pPr>
          </w:p>
        </w:tc>
      </w:tr>
      <w:tr w:rsidR="00A44352" w:rsidTr="006F50A0">
        <w:trPr>
          <w:trHeight w:val="190"/>
          <w:tblHeader/>
        </w:trPr>
        <w:tc>
          <w:tcPr>
            <w:tcW w:w="3612" w:type="dxa"/>
            <w:tcBorders>
              <w:top w:val="single" w:sz="2" w:space="0" w:color="auto"/>
            </w:tcBorders>
            <w:vAlign w:val="center"/>
          </w:tcPr>
          <w:p w:rsidR="00A44352" w:rsidRDefault="00A44352" w:rsidP="00023F0C">
            <w:pPr>
              <w:pStyle w:val="FinTableRight"/>
            </w:pPr>
          </w:p>
        </w:tc>
        <w:tc>
          <w:tcPr>
            <w:tcW w:w="1805" w:type="dxa"/>
            <w:tcBorders>
              <w:top w:val="single" w:sz="2" w:space="0" w:color="auto"/>
            </w:tcBorders>
            <w:vAlign w:val="center"/>
          </w:tcPr>
          <w:p w:rsidR="00A44352" w:rsidRDefault="00A44352" w:rsidP="00023F0C">
            <w:pPr>
              <w:pStyle w:val="FinTableRight"/>
            </w:pPr>
            <w:r>
              <w:t>Departmental</w:t>
            </w:r>
          </w:p>
        </w:tc>
        <w:tc>
          <w:tcPr>
            <w:tcW w:w="1843" w:type="dxa"/>
            <w:tcBorders>
              <w:top w:val="single" w:sz="2" w:space="0" w:color="auto"/>
            </w:tcBorders>
            <w:vAlign w:val="center"/>
          </w:tcPr>
          <w:p w:rsidR="00A44352" w:rsidRDefault="00A44352" w:rsidP="00023F0C">
            <w:pPr>
              <w:pStyle w:val="FinTableRight"/>
            </w:pPr>
            <w:r>
              <w:t>Administered</w:t>
            </w:r>
          </w:p>
        </w:tc>
        <w:tc>
          <w:tcPr>
            <w:tcW w:w="1842" w:type="dxa"/>
            <w:tcBorders>
              <w:top w:val="single" w:sz="2" w:space="0" w:color="auto"/>
            </w:tcBorders>
            <w:vAlign w:val="center"/>
          </w:tcPr>
          <w:p w:rsidR="00A44352" w:rsidRDefault="00A44352" w:rsidP="00023F0C">
            <w:pPr>
              <w:pStyle w:val="FinTableRight"/>
            </w:pPr>
            <w:r>
              <w:t>Total</w:t>
            </w:r>
          </w:p>
        </w:tc>
      </w:tr>
      <w:tr w:rsidR="00A44352" w:rsidTr="006F50A0">
        <w:trPr>
          <w:tblHeader/>
        </w:trPr>
        <w:tc>
          <w:tcPr>
            <w:tcW w:w="3612" w:type="dxa"/>
            <w:tcBorders>
              <w:top w:val="single" w:sz="2" w:space="0" w:color="auto"/>
            </w:tcBorders>
          </w:tcPr>
          <w:p w:rsidR="00A44352" w:rsidRDefault="00A44352" w:rsidP="00023F0C">
            <w:pPr>
              <w:pStyle w:val="FinTableRight"/>
            </w:pPr>
          </w:p>
        </w:tc>
        <w:tc>
          <w:tcPr>
            <w:tcW w:w="1805" w:type="dxa"/>
            <w:tcBorders>
              <w:top w:val="single" w:sz="2" w:space="0" w:color="auto"/>
            </w:tcBorders>
          </w:tcPr>
          <w:p w:rsidR="00A44352" w:rsidRDefault="00A44352" w:rsidP="00023F0C">
            <w:pPr>
              <w:pStyle w:val="FinTableRight"/>
            </w:pPr>
            <w:r>
              <w:t>$'000</w:t>
            </w:r>
          </w:p>
        </w:tc>
        <w:tc>
          <w:tcPr>
            <w:tcW w:w="1843" w:type="dxa"/>
            <w:tcBorders>
              <w:top w:val="single" w:sz="2" w:space="0" w:color="auto"/>
            </w:tcBorders>
          </w:tcPr>
          <w:p w:rsidR="00A44352" w:rsidRDefault="00A44352" w:rsidP="00023F0C">
            <w:pPr>
              <w:pStyle w:val="FinTableRight"/>
            </w:pPr>
            <w:r>
              <w:t>$'000</w:t>
            </w:r>
          </w:p>
        </w:tc>
        <w:tc>
          <w:tcPr>
            <w:tcW w:w="1842" w:type="dxa"/>
            <w:tcBorders>
              <w:top w:val="single" w:sz="2" w:space="0" w:color="auto"/>
            </w:tcBorders>
          </w:tcPr>
          <w:p w:rsidR="00A44352" w:rsidRDefault="00A44352" w:rsidP="00023F0C">
            <w:pPr>
              <w:pStyle w:val="FinTableRight"/>
            </w:pPr>
            <w:r>
              <w:t>$'000</w:t>
            </w:r>
          </w:p>
        </w:tc>
      </w:tr>
      <w:tr w:rsidR="00A44352" w:rsidTr="006F50A0">
        <w:tc>
          <w:tcPr>
            <w:tcW w:w="3612" w:type="dxa"/>
          </w:tcPr>
          <w:p w:rsidR="00A44352" w:rsidRDefault="00A44352" w:rsidP="00023F0C">
            <w:pPr>
              <w:pStyle w:val="FinTableLeftBold"/>
            </w:pPr>
            <w:r>
              <w:t>DEPARTMENT OF CLIMATE CHANGE AND ENERGY EFFICIENCY</w:t>
            </w:r>
          </w:p>
        </w:tc>
        <w:tc>
          <w:tcPr>
            <w:tcW w:w="1805" w:type="dxa"/>
          </w:tcPr>
          <w:p w:rsidR="00A44352" w:rsidRDefault="00A44352" w:rsidP="00023F0C">
            <w:pPr>
              <w:pStyle w:val="FinTableRight"/>
            </w:pPr>
          </w:p>
        </w:tc>
        <w:tc>
          <w:tcPr>
            <w:tcW w:w="1843" w:type="dxa"/>
          </w:tcPr>
          <w:p w:rsidR="00A44352" w:rsidRDefault="00A44352" w:rsidP="00023F0C">
            <w:pPr>
              <w:pStyle w:val="FinTableRight"/>
            </w:pPr>
          </w:p>
        </w:tc>
        <w:tc>
          <w:tcPr>
            <w:tcW w:w="1842" w:type="dxa"/>
          </w:tcPr>
          <w:p w:rsidR="00A44352" w:rsidRDefault="00A44352" w:rsidP="00023F0C">
            <w:pPr>
              <w:pStyle w:val="FinTableRight"/>
            </w:pPr>
          </w:p>
        </w:tc>
      </w:tr>
      <w:tr w:rsidR="00A44352" w:rsidTr="006F50A0">
        <w:tc>
          <w:tcPr>
            <w:tcW w:w="3612" w:type="dxa"/>
            <w:vMerge w:val="restart"/>
          </w:tcPr>
          <w:p w:rsidR="00A44352" w:rsidRDefault="00A44352" w:rsidP="00023F0C">
            <w:pPr>
              <w:pStyle w:val="FinTableLeftBold"/>
              <w:keepNext/>
              <w:keepLines/>
            </w:pPr>
            <w:r>
              <w:t xml:space="preserve">Outcome 1 </w:t>
            </w:r>
            <w:r>
              <w:noBreakHyphen/>
              <w:t xml:space="preserve"> </w:t>
            </w:r>
          </w:p>
          <w:p w:rsidR="00A44352" w:rsidRDefault="00A44352" w:rsidP="00023F0C">
            <w:pPr>
              <w:pStyle w:val="FinTableLeftIndent"/>
              <w:keepNext/>
              <w:keepLines/>
            </w:pPr>
            <w:r>
              <w:t>Reduction of Australia’s greenhouse gas emissions, adaptation to the impacts of climate change, and negotiation of an effective global solution, through the development and implementation of a national response to climate change; and bilateral, regional and multilateral engagement internationally</w:t>
            </w:r>
          </w:p>
        </w:tc>
        <w:tc>
          <w:tcPr>
            <w:tcW w:w="1805" w:type="dxa"/>
          </w:tcPr>
          <w:p w:rsidR="00A44352" w:rsidRDefault="00A44352" w:rsidP="00023F0C">
            <w:pPr>
              <w:pStyle w:val="FinTableRight"/>
              <w:keepNext/>
              <w:keepLines/>
            </w:pPr>
          </w:p>
        </w:tc>
        <w:tc>
          <w:tcPr>
            <w:tcW w:w="1843" w:type="dxa"/>
          </w:tcPr>
          <w:p w:rsidR="00A44352" w:rsidRDefault="00A44352" w:rsidP="00023F0C">
            <w:pPr>
              <w:pStyle w:val="FinTableRight"/>
              <w:keepNext/>
              <w:keepLines/>
            </w:pPr>
          </w:p>
        </w:tc>
        <w:tc>
          <w:tcPr>
            <w:tcW w:w="1842" w:type="dxa"/>
          </w:tcPr>
          <w:p w:rsidR="00A44352" w:rsidRDefault="00A44352" w:rsidP="00023F0C">
            <w:pPr>
              <w:pStyle w:val="FinTableRight"/>
              <w:keepNext/>
              <w:keepLines/>
            </w:pPr>
          </w:p>
        </w:tc>
      </w:tr>
      <w:tr w:rsidR="00A44352" w:rsidTr="006F50A0">
        <w:tc>
          <w:tcPr>
            <w:tcW w:w="3612" w:type="dxa"/>
            <w:vMerge/>
          </w:tcPr>
          <w:p w:rsidR="00A44352" w:rsidRDefault="00A44352" w:rsidP="00023F0C">
            <w:pPr>
              <w:pStyle w:val="FinTableLeftIndent"/>
              <w:keepNext/>
              <w:keepLines/>
            </w:pPr>
          </w:p>
        </w:tc>
        <w:tc>
          <w:tcPr>
            <w:tcW w:w="1805" w:type="dxa"/>
          </w:tcPr>
          <w:p w:rsidR="00A44352" w:rsidRDefault="00A44352" w:rsidP="00023F0C">
            <w:pPr>
              <w:pStyle w:val="FinTableRight"/>
              <w:keepNext/>
              <w:keepLines/>
            </w:pPr>
            <w:r>
              <w:t>104,297</w:t>
            </w:r>
          </w:p>
        </w:tc>
        <w:tc>
          <w:tcPr>
            <w:tcW w:w="1843" w:type="dxa"/>
          </w:tcPr>
          <w:p w:rsidR="00A44352" w:rsidRDefault="00A44352" w:rsidP="00023F0C">
            <w:pPr>
              <w:pStyle w:val="FinTableRight"/>
              <w:keepNext/>
              <w:keepLines/>
            </w:pPr>
            <w:r>
              <w:t>41,421</w:t>
            </w:r>
            <w:r w:rsidR="006340FE" w:rsidRPr="006340FE">
              <w:rPr>
                <w:sz w:val="12"/>
              </w:rPr>
              <w:t>.</w:t>
            </w:r>
            <w:r>
              <w:t>24022</w:t>
            </w:r>
          </w:p>
        </w:tc>
        <w:tc>
          <w:tcPr>
            <w:tcW w:w="1842" w:type="dxa"/>
          </w:tcPr>
          <w:p w:rsidR="00A44352" w:rsidRDefault="00A44352" w:rsidP="00020973">
            <w:pPr>
              <w:pStyle w:val="FinTableRight"/>
              <w:keepNext/>
              <w:keepLines/>
            </w:pPr>
            <w:r>
              <w:t>145,718</w:t>
            </w:r>
            <w:r w:rsidR="0068237A" w:rsidRPr="006340FE">
              <w:t>.</w:t>
            </w:r>
            <w:r>
              <w:t>24022</w:t>
            </w:r>
          </w:p>
        </w:tc>
      </w:tr>
      <w:tr w:rsidR="00A44352" w:rsidTr="006F50A0">
        <w:tc>
          <w:tcPr>
            <w:tcW w:w="3612" w:type="dxa"/>
            <w:vMerge/>
          </w:tcPr>
          <w:p w:rsidR="00A44352" w:rsidRDefault="00A44352" w:rsidP="00023F0C">
            <w:pPr>
              <w:pStyle w:val="FinTableRight"/>
              <w:keepNext/>
              <w:keepLines/>
            </w:pPr>
          </w:p>
        </w:tc>
        <w:tc>
          <w:tcPr>
            <w:tcW w:w="1805" w:type="dxa"/>
          </w:tcPr>
          <w:p w:rsidR="00A44352" w:rsidRDefault="00A44352" w:rsidP="00023F0C">
            <w:pPr>
              <w:pStyle w:val="FinTableRightItalic"/>
              <w:keepNext/>
              <w:keepLines/>
            </w:pPr>
            <w:r>
              <w:t>177,948</w:t>
            </w:r>
          </w:p>
        </w:tc>
        <w:tc>
          <w:tcPr>
            <w:tcW w:w="1843" w:type="dxa"/>
          </w:tcPr>
          <w:p w:rsidR="00A44352" w:rsidRDefault="00A44352" w:rsidP="00023F0C">
            <w:pPr>
              <w:pStyle w:val="FinTableRightItalic"/>
              <w:keepNext/>
              <w:keepLines/>
            </w:pPr>
            <w:r>
              <w:t>1,335,200</w:t>
            </w:r>
          </w:p>
        </w:tc>
        <w:tc>
          <w:tcPr>
            <w:tcW w:w="1842" w:type="dxa"/>
          </w:tcPr>
          <w:p w:rsidR="00A44352" w:rsidRDefault="00A44352" w:rsidP="00023F0C">
            <w:pPr>
              <w:pStyle w:val="FinTableRightItalic"/>
              <w:keepNext/>
              <w:keepLines/>
            </w:pPr>
            <w:r>
              <w:t>1,513,148</w:t>
            </w:r>
          </w:p>
        </w:tc>
      </w:tr>
      <w:tr w:rsidR="00A44352" w:rsidTr="006F50A0">
        <w:tc>
          <w:tcPr>
            <w:tcW w:w="3612" w:type="dxa"/>
          </w:tcPr>
          <w:p w:rsidR="00A44352" w:rsidRDefault="00A44352" w:rsidP="00023F0C">
            <w:pPr>
              <w:pStyle w:val="FinTableSpacerRow"/>
              <w:keepLines/>
            </w:pPr>
          </w:p>
        </w:tc>
        <w:tc>
          <w:tcPr>
            <w:tcW w:w="1805" w:type="dxa"/>
          </w:tcPr>
          <w:p w:rsidR="00A44352" w:rsidRDefault="00A44352" w:rsidP="00023F0C">
            <w:pPr>
              <w:pStyle w:val="FinTableSpacerRow"/>
              <w:keepLines/>
            </w:pPr>
          </w:p>
        </w:tc>
        <w:tc>
          <w:tcPr>
            <w:tcW w:w="1843" w:type="dxa"/>
          </w:tcPr>
          <w:p w:rsidR="00A44352" w:rsidRDefault="00A44352" w:rsidP="00023F0C">
            <w:pPr>
              <w:pStyle w:val="FinTableSpacerRow"/>
              <w:keepLines/>
            </w:pPr>
          </w:p>
        </w:tc>
        <w:tc>
          <w:tcPr>
            <w:tcW w:w="1842" w:type="dxa"/>
          </w:tcPr>
          <w:p w:rsidR="00A44352" w:rsidRDefault="00A44352" w:rsidP="00023F0C">
            <w:pPr>
              <w:pStyle w:val="FinTableSpacerRow"/>
              <w:keepLines/>
            </w:pPr>
          </w:p>
        </w:tc>
      </w:tr>
      <w:tr w:rsidR="00A44352" w:rsidTr="006F50A0">
        <w:tc>
          <w:tcPr>
            <w:tcW w:w="3612" w:type="dxa"/>
            <w:vMerge w:val="restart"/>
            <w:tcBorders>
              <w:top w:val="single" w:sz="2" w:space="0" w:color="auto"/>
            </w:tcBorders>
          </w:tcPr>
          <w:p w:rsidR="00A44352" w:rsidRDefault="00A44352" w:rsidP="00023F0C">
            <w:pPr>
              <w:pStyle w:val="FinTableLeftBoldHanging"/>
              <w:keepNext/>
            </w:pPr>
            <w:r>
              <w:t>Total: Department of Climate Change and Energy Efficiency</w:t>
            </w:r>
          </w:p>
        </w:tc>
        <w:tc>
          <w:tcPr>
            <w:tcW w:w="1805" w:type="dxa"/>
            <w:tcBorders>
              <w:top w:val="single" w:sz="2" w:space="0" w:color="auto"/>
            </w:tcBorders>
          </w:tcPr>
          <w:p w:rsidR="00A44352" w:rsidRPr="0056750D" w:rsidRDefault="00A44352" w:rsidP="00023F0C">
            <w:pPr>
              <w:pStyle w:val="FinTableRightBold"/>
              <w:keepNext/>
            </w:pPr>
            <w:r>
              <w:t>104,297</w:t>
            </w:r>
          </w:p>
        </w:tc>
        <w:tc>
          <w:tcPr>
            <w:tcW w:w="1843" w:type="dxa"/>
            <w:tcBorders>
              <w:top w:val="single" w:sz="2" w:space="0" w:color="auto"/>
            </w:tcBorders>
          </w:tcPr>
          <w:p w:rsidR="00A44352" w:rsidRDefault="00A44352" w:rsidP="00023F0C">
            <w:pPr>
              <w:pStyle w:val="FinTableRightBold"/>
              <w:keepNext/>
            </w:pPr>
            <w:r>
              <w:t>41,421</w:t>
            </w:r>
            <w:r w:rsidR="0068237A" w:rsidRPr="006340FE">
              <w:t>.</w:t>
            </w:r>
            <w:r>
              <w:t>24022</w:t>
            </w:r>
          </w:p>
        </w:tc>
        <w:tc>
          <w:tcPr>
            <w:tcW w:w="1842" w:type="dxa"/>
            <w:tcBorders>
              <w:top w:val="single" w:sz="2" w:space="0" w:color="auto"/>
            </w:tcBorders>
          </w:tcPr>
          <w:p w:rsidR="00A44352" w:rsidRDefault="00A44352" w:rsidP="00020973">
            <w:pPr>
              <w:pStyle w:val="FinTableRightBold"/>
              <w:keepNext/>
            </w:pPr>
            <w:r>
              <w:t>145,718</w:t>
            </w:r>
            <w:r w:rsidR="0068237A" w:rsidRPr="006340FE">
              <w:t>.</w:t>
            </w:r>
            <w:r>
              <w:t xml:space="preserve">24022 </w:t>
            </w:r>
          </w:p>
        </w:tc>
      </w:tr>
      <w:tr w:rsidR="00A44352" w:rsidTr="006F50A0">
        <w:tc>
          <w:tcPr>
            <w:tcW w:w="3612" w:type="dxa"/>
            <w:vMerge/>
            <w:tcBorders>
              <w:bottom w:val="single" w:sz="2" w:space="0" w:color="auto"/>
            </w:tcBorders>
          </w:tcPr>
          <w:p w:rsidR="00A44352" w:rsidRDefault="00A44352" w:rsidP="00023F0C">
            <w:pPr>
              <w:pStyle w:val="FinTableLeftBoldHanging"/>
              <w:keepNext/>
            </w:pPr>
          </w:p>
        </w:tc>
        <w:tc>
          <w:tcPr>
            <w:tcW w:w="1805" w:type="dxa"/>
            <w:tcBorders>
              <w:bottom w:val="single" w:sz="2" w:space="0" w:color="auto"/>
            </w:tcBorders>
          </w:tcPr>
          <w:p w:rsidR="00A44352" w:rsidRDefault="00A44352" w:rsidP="00023F0C">
            <w:pPr>
              <w:pStyle w:val="FinTableRightItalic"/>
              <w:keepNext/>
            </w:pPr>
            <w:r>
              <w:t>177,948</w:t>
            </w:r>
          </w:p>
        </w:tc>
        <w:tc>
          <w:tcPr>
            <w:tcW w:w="1843" w:type="dxa"/>
            <w:tcBorders>
              <w:bottom w:val="single" w:sz="2" w:space="0" w:color="auto"/>
            </w:tcBorders>
          </w:tcPr>
          <w:p w:rsidR="00A44352" w:rsidRDefault="00A44352" w:rsidP="00023F0C">
            <w:pPr>
              <w:pStyle w:val="FinTableRightItalic"/>
              <w:keepNext/>
            </w:pPr>
            <w:r>
              <w:t>1,335,200</w:t>
            </w:r>
          </w:p>
        </w:tc>
        <w:tc>
          <w:tcPr>
            <w:tcW w:w="1842" w:type="dxa"/>
            <w:tcBorders>
              <w:bottom w:val="single" w:sz="2" w:space="0" w:color="auto"/>
            </w:tcBorders>
          </w:tcPr>
          <w:p w:rsidR="00A44352" w:rsidRDefault="00A44352" w:rsidP="00A33EED">
            <w:pPr>
              <w:pStyle w:val="FinTableRightItalic"/>
              <w:keepNext/>
            </w:pPr>
            <w:r>
              <w:t>1,5</w:t>
            </w:r>
            <w:r w:rsidR="00A33EED">
              <w:t>1</w:t>
            </w:r>
            <w:r>
              <w:t>3,148</w:t>
            </w:r>
          </w:p>
        </w:tc>
      </w:tr>
    </w:tbl>
    <w:p w:rsidR="00A44352" w:rsidRPr="00402FD4" w:rsidRDefault="00A44352" w:rsidP="00023F0C">
      <w:pPr>
        <w:pStyle w:val="A1S"/>
        <w:spacing w:before="240" w:line="240" w:lineRule="auto"/>
        <w:ind w:left="709" w:hanging="709"/>
      </w:pPr>
      <w:r w:rsidRPr="00402FD4">
        <w:t>[</w:t>
      </w:r>
      <w:r>
        <w:t>2</w:t>
      </w:r>
      <w:r w:rsidRPr="00402FD4">
        <w:t>]</w:t>
      </w:r>
      <w:r w:rsidRPr="00402FD4">
        <w:tab/>
        <w:t xml:space="preserve">Schedule </w:t>
      </w:r>
      <w:r>
        <w:t>1</w:t>
      </w:r>
      <w:r w:rsidRPr="00402FD4">
        <w:t xml:space="preserve">, </w:t>
      </w:r>
      <w:r>
        <w:rPr>
          <w:bCs/>
        </w:rPr>
        <w:t>Climate Change and Energy Efficiency</w:t>
      </w:r>
      <w:r w:rsidRPr="00E7285F">
        <w:rPr>
          <w:bCs/>
        </w:rPr>
        <w:t xml:space="preserve"> portfolio</w:t>
      </w:r>
      <w:r w:rsidRPr="00402FD4">
        <w:t xml:space="preserve">, after the </w:t>
      </w:r>
      <w:r>
        <w:rPr>
          <w:bCs/>
        </w:rPr>
        <w:t xml:space="preserve">Department of Climate Change and Energy Efficiency </w:t>
      </w:r>
      <w:r w:rsidRPr="00402FD4">
        <w:t>table</w:t>
      </w:r>
    </w:p>
    <w:p w:rsidR="00A44352" w:rsidRDefault="00A44352" w:rsidP="00023F0C">
      <w:pPr>
        <w:pStyle w:val="ScheduleVerb"/>
        <w:spacing w:line="240" w:lineRule="auto"/>
      </w:pPr>
      <w:r>
        <w:t>I</w:t>
      </w:r>
      <w:r w:rsidRPr="00A04780">
        <w:t>nsert</w:t>
      </w:r>
    </w:p>
    <w:p w:rsidR="00A44352" w:rsidRDefault="00A44352" w:rsidP="00516FDA">
      <w:pPr>
        <w:pStyle w:val="notemargin"/>
        <w:spacing w:before="120" w:line="240" w:lineRule="auto"/>
        <w:ind w:firstLine="0"/>
        <w:rPr>
          <w:sz w:val="20"/>
        </w:rPr>
      </w:pPr>
      <w:r w:rsidRPr="00363325">
        <w:rPr>
          <w:sz w:val="20"/>
        </w:rPr>
        <w:t>Note </w:t>
      </w:r>
      <w:r>
        <w:rPr>
          <w:sz w:val="20"/>
        </w:rPr>
        <w:t>1</w:t>
      </w:r>
      <w:r w:rsidRPr="00363325">
        <w:rPr>
          <w:sz w:val="20"/>
        </w:rPr>
        <w:t>:</w:t>
      </w:r>
      <w:r w:rsidRPr="00363325">
        <w:rPr>
          <w:sz w:val="20"/>
        </w:rPr>
        <w:tab/>
      </w:r>
      <w:r w:rsidR="006465DB">
        <w:rPr>
          <w:i/>
          <w:sz w:val="20"/>
        </w:rPr>
        <w:t>FMA Act</w:t>
      </w:r>
      <w:r w:rsidRPr="006C22E9">
        <w:rPr>
          <w:i/>
          <w:sz w:val="20"/>
        </w:rPr>
        <w:t xml:space="preserve"> Determination </w:t>
      </w:r>
      <w:r>
        <w:rPr>
          <w:i/>
          <w:sz w:val="20"/>
        </w:rPr>
        <w:t>2013/01</w:t>
      </w:r>
      <w:r w:rsidRPr="006C22E9">
        <w:rPr>
          <w:i/>
          <w:sz w:val="20"/>
        </w:rPr>
        <w:t xml:space="preserve"> — Section 32 (Transfer of Functions from DCCEE to DIICCSRTE and DRET)</w:t>
      </w:r>
      <w:r w:rsidRPr="00363325">
        <w:rPr>
          <w:sz w:val="20"/>
        </w:rPr>
        <w:t xml:space="preserve"> </w:t>
      </w:r>
      <w:r>
        <w:rPr>
          <w:sz w:val="20"/>
        </w:rPr>
        <w:t xml:space="preserve">repealed the table for the </w:t>
      </w:r>
      <w:r w:rsidRPr="00854190">
        <w:rPr>
          <w:sz w:val="20"/>
        </w:rPr>
        <w:t>Department of Climate Change and Energy Efficiency</w:t>
      </w:r>
      <w:r>
        <w:rPr>
          <w:sz w:val="20"/>
        </w:rPr>
        <w:t xml:space="preserve"> (DCCEE) and replaced it with a new table. These amendments only dealt with the transfer of amounts appropriated in the administered item for DCCEE and did not deal with the transfer of amounts appropriated in the departmental item for DCCEE.</w:t>
      </w:r>
    </w:p>
    <w:p w:rsidR="00A44352" w:rsidRDefault="00A44352" w:rsidP="00516FDA">
      <w:pPr>
        <w:pStyle w:val="notemargin"/>
        <w:spacing w:before="120" w:line="240" w:lineRule="auto"/>
        <w:ind w:firstLine="0"/>
        <w:rPr>
          <w:sz w:val="20"/>
        </w:rPr>
      </w:pPr>
      <w:r>
        <w:rPr>
          <w:sz w:val="20"/>
        </w:rPr>
        <w:t xml:space="preserve">The administered item for </w:t>
      </w:r>
      <w:r w:rsidR="001E7F16">
        <w:rPr>
          <w:sz w:val="20"/>
        </w:rPr>
        <w:t xml:space="preserve">Outcome </w:t>
      </w:r>
      <w:r>
        <w:rPr>
          <w:sz w:val="20"/>
        </w:rPr>
        <w:t>1</w:t>
      </w:r>
      <w:r w:rsidRPr="00363325">
        <w:rPr>
          <w:sz w:val="20"/>
        </w:rPr>
        <w:t xml:space="preserve"> </w:t>
      </w:r>
      <w:r>
        <w:rPr>
          <w:sz w:val="20"/>
        </w:rPr>
        <w:t xml:space="preserve">was reduced by $65,744,759.78 and this amount was transferred </w:t>
      </w:r>
      <w:r w:rsidRPr="00363325">
        <w:rPr>
          <w:sz w:val="20"/>
        </w:rPr>
        <w:t>from the former DCCEE</w:t>
      </w:r>
      <w:r>
        <w:rPr>
          <w:sz w:val="20"/>
        </w:rPr>
        <w:t xml:space="preserve"> in part</w:t>
      </w:r>
      <w:r w:rsidRPr="00363325">
        <w:rPr>
          <w:sz w:val="20"/>
        </w:rPr>
        <w:t xml:space="preserve"> to </w:t>
      </w:r>
      <w:r>
        <w:rPr>
          <w:sz w:val="20"/>
        </w:rPr>
        <w:t xml:space="preserve">the </w:t>
      </w:r>
      <w:r w:rsidRPr="00363325">
        <w:rPr>
          <w:sz w:val="20"/>
        </w:rPr>
        <w:t>Department of Industry, Innovation, Climate Change, Science, Research and Tertiary Education (DIICCSRTE) and</w:t>
      </w:r>
      <w:r>
        <w:rPr>
          <w:sz w:val="20"/>
        </w:rPr>
        <w:t xml:space="preserve"> in part to</w:t>
      </w:r>
      <w:r w:rsidRPr="00363325">
        <w:rPr>
          <w:sz w:val="20"/>
        </w:rPr>
        <w:t xml:space="preserve"> </w:t>
      </w:r>
      <w:r>
        <w:rPr>
          <w:sz w:val="20"/>
        </w:rPr>
        <w:t xml:space="preserve">the </w:t>
      </w:r>
      <w:r w:rsidRPr="00363325">
        <w:rPr>
          <w:sz w:val="20"/>
        </w:rPr>
        <w:t>Department of Resources, Energy and Tourism (DRET).</w:t>
      </w:r>
      <w:r>
        <w:rPr>
          <w:sz w:val="20"/>
        </w:rPr>
        <w:t xml:space="preserve"> </w:t>
      </w:r>
      <w:r w:rsidR="00BF5012">
        <w:rPr>
          <w:sz w:val="20"/>
        </w:rPr>
        <w:t>Consequential amendments were also made to the table.</w:t>
      </w:r>
    </w:p>
    <w:p w:rsidR="00A44352" w:rsidRDefault="00A44352" w:rsidP="005031D1">
      <w:pPr>
        <w:pStyle w:val="notemargin"/>
        <w:spacing w:before="120" w:line="240" w:lineRule="auto"/>
        <w:ind w:firstLine="0"/>
        <w:rPr>
          <w:sz w:val="20"/>
        </w:rPr>
      </w:pPr>
      <w:r>
        <w:rPr>
          <w:sz w:val="20"/>
        </w:rPr>
        <w:t>The amended administered item</w:t>
      </w:r>
      <w:r w:rsidRPr="00F43C58">
        <w:rPr>
          <w:sz w:val="20"/>
        </w:rPr>
        <w:t xml:space="preserve"> </w:t>
      </w:r>
      <w:r>
        <w:rPr>
          <w:sz w:val="20"/>
        </w:rPr>
        <w:t>for Outcome 1 comprises administered amounts spent during 2012</w:t>
      </w:r>
      <w:r w:rsidR="001E7F16">
        <w:rPr>
          <w:sz w:val="20"/>
        </w:rPr>
        <w:noBreakHyphen/>
      </w:r>
      <w:r>
        <w:rPr>
          <w:sz w:val="20"/>
        </w:rPr>
        <w:t>2013 by DCCEE, before DCCEE was abolished on 25 March 2013,</w:t>
      </w:r>
      <w:r w:rsidR="001E7F16">
        <w:rPr>
          <w:sz w:val="20"/>
        </w:rPr>
        <w:t xml:space="preserve"> </w:t>
      </w:r>
      <w:r>
        <w:rPr>
          <w:sz w:val="20"/>
        </w:rPr>
        <w:t>together with excess administered amounts not required for the remainder of 2012</w:t>
      </w:r>
      <w:r w:rsidR="001E7F16">
        <w:rPr>
          <w:sz w:val="20"/>
        </w:rPr>
        <w:t>-20</w:t>
      </w:r>
      <w:r>
        <w:rPr>
          <w:sz w:val="20"/>
        </w:rPr>
        <w:t xml:space="preserve">13. </w:t>
      </w:r>
    </w:p>
    <w:p w:rsidR="00A44352" w:rsidRPr="00363325" w:rsidRDefault="00A44352" w:rsidP="00EB56A7">
      <w:pPr>
        <w:pStyle w:val="notemargin"/>
        <w:spacing w:before="120" w:line="240" w:lineRule="auto"/>
        <w:ind w:firstLine="0"/>
        <w:rPr>
          <w:sz w:val="20"/>
        </w:rPr>
      </w:pPr>
      <w:r>
        <w:rPr>
          <w:sz w:val="20"/>
        </w:rPr>
        <w:t>These changes were made</w:t>
      </w:r>
      <w:r w:rsidRPr="007A0016">
        <w:rPr>
          <w:sz w:val="20"/>
        </w:rPr>
        <w:t xml:space="preserve"> to implement </w:t>
      </w:r>
      <w:r>
        <w:rPr>
          <w:sz w:val="20"/>
        </w:rPr>
        <w:t>the amendments to the</w:t>
      </w:r>
      <w:r w:rsidRPr="00363325">
        <w:rPr>
          <w:sz w:val="20"/>
        </w:rPr>
        <w:t xml:space="preserve"> </w:t>
      </w:r>
      <w:r w:rsidRPr="00363325">
        <w:rPr>
          <w:i/>
          <w:sz w:val="20"/>
        </w:rPr>
        <w:t>Administrative Arrangements Order</w:t>
      </w:r>
      <w:r w:rsidRPr="00363325">
        <w:rPr>
          <w:sz w:val="20"/>
        </w:rPr>
        <w:t xml:space="preserve"> made on 25</w:t>
      </w:r>
      <w:r>
        <w:rPr>
          <w:sz w:val="20"/>
        </w:rPr>
        <w:t> </w:t>
      </w:r>
      <w:r w:rsidRPr="00363325">
        <w:rPr>
          <w:sz w:val="20"/>
        </w:rPr>
        <w:t>March</w:t>
      </w:r>
      <w:r>
        <w:rPr>
          <w:sz w:val="20"/>
        </w:rPr>
        <w:t> </w:t>
      </w:r>
      <w:r w:rsidRPr="00363325">
        <w:rPr>
          <w:sz w:val="20"/>
        </w:rPr>
        <w:t xml:space="preserve">2013. </w:t>
      </w:r>
      <w:r>
        <w:rPr>
          <w:sz w:val="20"/>
        </w:rPr>
        <w:t>F</w:t>
      </w:r>
      <w:r w:rsidRPr="00363325">
        <w:rPr>
          <w:sz w:val="20"/>
        </w:rPr>
        <w:t>unctions of the former DCCEE were transferred:</w:t>
      </w:r>
    </w:p>
    <w:p w:rsidR="00A44352" w:rsidRPr="00363325" w:rsidRDefault="00A44352" w:rsidP="00516FDA">
      <w:pPr>
        <w:pStyle w:val="Notepara"/>
        <w:numPr>
          <w:ilvl w:val="0"/>
          <w:numId w:val="14"/>
        </w:numPr>
        <w:tabs>
          <w:tab w:val="left" w:pos="709"/>
        </w:tabs>
        <w:spacing w:before="120" w:after="100" w:afterAutospacing="1" w:line="240" w:lineRule="auto"/>
        <w:jc w:val="left"/>
      </w:pPr>
      <w:r w:rsidRPr="00363325">
        <w:t>in relation to climate change, to DIICCSRTE; and</w:t>
      </w:r>
    </w:p>
    <w:p w:rsidR="00A44352" w:rsidRDefault="00A44352" w:rsidP="00516FDA">
      <w:pPr>
        <w:pStyle w:val="Notepara"/>
        <w:numPr>
          <w:ilvl w:val="0"/>
          <w:numId w:val="14"/>
        </w:numPr>
        <w:tabs>
          <w:tab w:val="left" w:pos="709"/>
        </w:tabs>
        <w:spacing w:before="120" w:after="100" w:afterAutospacing="1" w:line="240" w:lineRule="auto"/>
        <w:ind w:left="1661" w:hanging="357"/>
        <w:jc w:val="left"/>
      </w:pPr>
      <w:proofErr w:type="gramStart"/>
      <w:r w:rsidRPr="00363325">
        <w:t>in</w:t>
      </w:r>
      <w:proofErr w:type="gramEnd"/>
      <w:r w:rsidRPr="00363325">
        <w:t xml:space="preserve"> relation to energy efficiency, to DRET.</w:t>
      </w:r>
    </w:p>
    <w:p w:rsidR="00A44352" w:rsidRDefault="00A44352">
      <w:pPr>
        <w:rPr>
          <w:rFonts w:ascii="Arial" w:hAnsi="Arial"/>
          <w:b/>
        </w:rPr>
      </w:pPr>
      <w:r>
        <w:br w:type="page"/>
      </w:r>
    </w:p>
    <w:p w:rsidR="00A44352" w:rsidRPr="00F242BC" w:rsidRDefault="00A44352" w:rsidP="00023F0C">
      <w:pPr>
        <w:pStyle w:val="A1S"/>
        <w:keepNext w:val="0"/>
        <w:keepLines w:val="0"/>
        <w:spacing w:before="240" w:line="240" w:lineRule="auto"/>
        <w:ind w:left="709" w:hanging="709"/>
      </w:pPr>
      <w:r>
        <w:lastRenderedPageBreak/>
        <w:t>[3]</w:t>
      </w:r>
      <w:r>
        <w:tab/>
      </w:r>
      <w:r w:rsidRPr="008D7292">
        <w:tab/>
        <w:t xml:space="preserve">Schedule 1, </w:t>
      </w:r>
      <w:r>
        <w:rPr>
          <w:bCs/>
        </w:rPr>
        <w:t>Industry, Innovation, Science, Research and Tertiary Education</w:t>
      </w:r>
      <w:r w:rsidRPr="00E7285F">
        <w:rPr>
          <w:bCs/>
        </w:rPr>
        <w:t xml:space="preserve"> portfolio, </w:t>
      </w:r>
      <w:r>
        <w:rPr>
          <w:bCs/>
        </w:rPr>
        <w:t xml:space="preserve">Department of Industry, Innovation, Science, Research and Tertiary Education </w:t>
      </w:r>
      <w:r w:rsidRPr="00E7285F">
        <w:rPr>
          <w:bCs/>
        </w:rPr>
        <w:t>tabl</w:t>
      </w:r>
      <w:r>
        <w:rPr>
          <w:bCs/>
        </w:rPr>
        <w:t>e</w:t>
      </w:r>
    </w:p>
    <w:p w:rsidR="00A44352" w:rsidRDefault="00A44352" w:rsidP="00023F0C">
      <w:pPr>
        <w:pStyle w:val="A2S"/>
        <w:keepNext w:val="0"/>
        <w:spacing w:after="120" w:line="240" w:lineRule="auto"/>
      </w:pPr>
      <w:r w:rsidRPr="00F52AD0">
        <w:t>Omit</w:t>
      </w:r>
      <w:r>
        <w:t xml:space="preserve"> the table and insert</w:t>
      </w:r>
    </w:p>
    <w:tbl>
      <w:tblPr>
        <w:tblW w:w="9102" w:type="dxa"/>
        <w:tblLayout w:type="fixed"/>
        <w:tblCellMar>
          <w:left w:w="30" w:type="dxa"/>
          <w:right w:w="30" w:type="dxa"/>
        </w:tblCellMar>
        <w:tblLook w:val="0000"/>
      </w:tblPr>
      <w:tblGrid>
        <w:gridCol w:w="3612"/>
        <w:gridCol w:w="1805"/>
        <w:gridCol w:w="1843"/>
        <w:gridCol w:w="1842"/>
      </w:tblGrid>
      <w:tr w:rsidR="00A44352" w:rsidTr="00743E53">
        <w:trPr>
          <w:tblHeader/>
        </w:trPr>
        <w:tc>
          <w:tcPr>
            <w:tcW w:w="9102" w:type="dxa"/>
            <w:gridSpan w:val="4"/>
          </w:tcPr>
          <w:p w:rsidR="00A44352" w:rsidRDefault="00A44352" w:rsidP="00023F0C">
            <w:pPr>
              <w:pStyle w:val="FinTableHeadingCenteredBold"/>
            </w:pPr>
            <w:r>
              <w:t>Industry, Innovation, Science, Research and Tertiary Education PORTFOLIO</w:t>
            </w:r>
          </w:p>
          <w:p w:rsidR="00A44352" w:rsidRDefault="00A44352" w:rsidP="0056750D">
            <w:pPr>
              <w:pStyle w:val="KeyLight0"/>
            </w:pPr>
            <w:r>
              <w:t>Appropriation (plain figures)—2012</w:t>
            </w:r>
            <w:r>
              <w:noBreakHyphen/>
              <w:t>2013</w:t>
            </w:r>
          </w:p>
          <w:p w:rsidR="00A44352" w:rsidRPr="0056750D" w:rsidRDefault="00A44352" w:rsidP="0056750D">
            <w:pPr>
              <w:pStyle w:val="KeyLight0"/>
              <w:rPr>
                <w:i/>
                <w:sz w:val="15"/>
                <w:szCs w:val="15"/>
              </w:rPr>
            </w:pPr>
            <w:r w:rsidRPr="0056750D">
              <w:rPr>
                <w:i/>
                <w:sz w:val="15"/>
                <w:szCs w:val="15"/>
              </w:rPr>
              <w:t>Actual Available Appropriation (italic figures)—2011</w:t>
            </w:r>
            <w:r w:rsidRPr="0056750D">
              <w:rPr>
                <w:i/>
                <w:sz w:val="15"/>
                <w:szCs w:val="15"/>
              </w:rPr>
              <w:noBreakHyphen/>
              <w:t>2012</w:t>
            </w:r>
          </w:p>
          <w:p w:rsidR="00A44352" w:rsidRDefault="00A44352" w:rsidP="00023F0C">
            <w:pPr>
              <w:pStyle w:val="KeyLight0"/>
            </w:pPr>
          </w:p>
        </w:tc>
      </w:tr>
      <w:tr w:rsidR="00A44352" w:rsidTr="00743E53">
        <w:trPr>
          <w:trHeight w:val="190"/>
          <w:tblHeader/>
        </w:trPr>
        <w:tc>
          <w:tcPr>
            <w:tcW w:w="3612" w:type="dxa"/>
            <w:tcBorders>
              <w:top w:val="single" w:sz="2" w:space="0" w:color="auto"/>
            </w:tcBorders>
            <w:vAlign w:val="center"/>
          </w:tcPr>
          <w:p w:rsidR="00A44352" w:rsidRDefault="00A44352" w:rsidP="00023F0C">
            <w:pPr>
              <w:pStyle w:val="FinTableRight"/>
            </w:pPr>
          </w:p>
        </w:tc>
        <w:tc>
          <w:tcPr>
            <w:tcW w:w="1805" w:type="dxa"/>
            <w:tcBorders>
              <w:top w:val="single" w:sz="2" w:space="0" w:color="auto"/>
            </w:tcBorders>
            <w:vAlign w:val="center"/>
          </w:tcPr>
          <w:p w:rsidR="00A44352" w:rsidRDefault="00A44352" w:rsidP="00023F0C">
            <w:pPr>
              <w:pStyle w:val="FinTableRight"/>
            </w:pPr>
            <w:r>
              <w:t>Departmental</w:t>
            </w:r>
          </w:p>
        </w:tc>
        <w:tc>
          <w:tcPr>
            <w:tcW w:w="1843" w:type="dxa"/>
            <w:tcBorders>
              <w:top w:val="single" w:sz="2" w:space="0" w:color="auto"/>
            </w:tcBorders>
            <w:vAlign w:val="center"/>
          </w:tcPr>
          <w:p w:rsidR="00A44352" w:rsidRDefault="00A44352" w:rsidP="00023F0C">
            <w:pPr>
              <w:pStyle w:val="FinTableRight"/>
            </w:pPr>
            <w:r>
              <w:t>Administered</w:t>
            </w:r>
          </w:p>
        </w:tc>
        <w:tc>
          <w:tcPr>
            <w:tcW w:w="1842" w:type="dxa"/>
            <w:tcBorders>
              <w:top w:val="single" w:sz="2" w:space="0" w:color="auto"/>
            </w:tcBorders>
            <w:vAlign w:val="center"/>
          </w:tcPr>
          <w:p w:rsidR="00A44352" w:rsidRDefault="00A44352" w:rsidP="00023F0C">
            <w:pPr>
              <w:pStyle w:val="FinTableRight"/>
            </w:pPr>
            <w:r>
              <w:t>Total</w:t>
            </w:r>
          </w:p>
        </w:tc>
      </w:tr>
      <w:tr w:rsidR="00A44352" w:rsidTr="00743E53">
        <w:trPr>
          <w:tblHeader/>
        </w:trPr>
        <w:tc>
          <w:tcPr>
            <w:tcW w:w="3612" w:type="dxa"/>
            <w:tcBorders>
              <w:top w:val="single" w:sz="2" w:space="0" w:color="auto"/>
            </w:tcBorders>
          </w:tcPr>
          <w:p w:rsidR="00A44352" w:rsidRDefault="00A44352" w:rsidP="00023F0C">
            <w:pPr>
              <w:pStyle w:val="FinTableRight"/>
            </w:pPr>
          </w:p>
        </w:tc>
        <w:tc>
          <w:tcPr>
            <w:tcW w:w="1805" w:type="dxa"/>
            <w:tcBorders>
              <w:top w:val="single" w:sz="2" w:space="0" w:color="auto"/>
            </w:tcBorders>
          </w:tcPr>
          <w:p w:rsidR="00A44352" w:rsidRDefault="00A44352" w:rsidP="00023F0C">
            <w:pPr>
              <w:pStyle w:val="FinTableRight"/>
            </w:pPr>
            <w:r>
              <w:t>$'000</w:t>
            </w:r>
          </w:p>
        </w:tc>
        <w:tc>
          <w:tcPr>
            <w:tcW w:w="1843" w:type="dxa"/>
            <w:tcBorders>
              <w:top w:val="single" w:sz="2" w:space="0" w:color="auto"/>
            </w:tcBorders>
          </w:tcPr>
          <w:p w:rsidR="00A44352" w:rsidRDefault="00A44352" w:rsidP="00023F0C">
            <w:pPr>
              <w:pStyle w:val="FinTableRight"/>
            </w:pPr>
            <w:r>
              <w:t>$'000</w:t>
            </w:r>
          </w:p>
        </w:tc>
        <w:tc>
          <w:tcPr>
            <w:tcW w:w="1842" w:type="dxa"/>
            <w:tcBorders>
              <w:top w:val="single" w:sz="2" w:space="0" w:color="auto"/>
            </w:tcBorders>
          </w:tcPr>
          <w:p w:rsidR="00A44352" w:rsidRDefault="00A44352" w:rsidP="00023F0C">
            <w:pPr>
              <w:pStyle w:val="FinTableRight"/>
            </w:pPr>
            <w:r>
              <w:t>$’000</w:t>
            </w:r>
          </w:p>
        </w:tc>
      </w:tr>
      <w:tr w:rsidR="00A44352" w:rsidTr="00743E53">
        <w:tc>
          <w:tcPr>
            <w:tcW w:w="3612" w:type="dxa"/>
          </w:tcPr>
          <w:p w:rsidR="00A44352" w:rsidRDefault="00A44352" w:rsidP="00023F0C">
            <w:pPr>
              <w:pStyle w:val="FinTableLeftBold"/>
            </w:pPr>
            <w:r>
              <w:t>DEPARTMENT OF INDUSTRY, INNOVATION, CLIMATE CHANGE, SCIENCE, RESEARCH AND TERTIARY EDUCATION</w:t>
            </w:r>
          </w:p>
        </w:tc>
        <w:tc>
          <w:tcPr>
            <w:tcW w:w="1805" w:type="dxa"/>
          </w:tcPr>
          <w:p w:rsidR="00A44352" w:rsidRDefault="00A44352" w:rsidP="00023F0C">
            <w:pPr>
              <w:pStyle w:val="FinTableRight"/>
            </w:pPr>
          </w:p>
        </w:tc>
        <w:tc>
          <w:tcPr>
            <w:tcW w:w="1843" w:type="dxa"/>
          </w:tcPr>
          <w:p w:rsidR="00A44352" w:rsidRDefault="00A44352" w:rsidP="00023F0C">
            <w:pPr>
              <w:pStyle w:val="FinTableRight"/>
            </w:pPr>
          </w:p>
        </w:tc>
        <w:tc>
          <w:tcPr>
            <w:tcW w:w="1842" w:type="dxa"/>
          </w:tcPr>
          <w:p w:rsidR="00A44352" w:rsidRDefault="00A44352" w:rsidP="00023F0C">
            <w:pPr>
              <w:pStyle w:val="FinTableRight"/>
            </w:pPr>
          </w:p>
        </w:tc>
      </w:tr>
      <w:tr w:rsidR="00A44352" w:rsidTr="00743E53">
        <w:tc>
          <w:tcPr>
            <w:tcW w:w="3612" w:type="dxa"/>
            <w:vMerge w:val="restart"/>
          </w:tcPr>
          <w:p w:rsidR="00A44352" w:rsidRDefault="00A44352" w:rsidP="00023F0C">
            <w:pPr>
              <w:pStyle w:val="FinTableLeftBold"/>
            </w:pPr>
            <w:r>
              <w:t xml:space="preserve">Outcome 1 </w:t>
            </w:r>
            <w:r>
              <w:noBreakHyphen/>
              <w:t xml:space="preserve"> </w:t>
            </w:r>
          </w:p>
          <w:p w:rsidR="00A44352" w:rsidRDefault="00A44352" w:rsidP="00023F0C">
            <w:pPr>
              <w:pStyle w:val="FinTableLeftIndent"/>
            </w:pPr>
            <w:r>
              <w:t xml:space="preserve">The sustainable development and growth of Australian industry </w:t>
            </w:r>
            <w:r>
              <w:noBreakHyphen/>
              <w:t xml:space="preserve"> particularly the manufacturing, services and small business sectors </w:t>
            </w:r>
            <w:r>
              <w:noBreakHyphen/>
              <w:t xml:space="preserve"> by encouraging businesses to innovate, collaborate and commercialise ideas, and by delivering business advice, assistance and services</w:t>
            </w:r>
          </w:p>
        </w:tc>
        <w:tc>
          <w:tcPr>
            <w:tcW w:w="1805" w:type="dxa"/>
          </w:tcPr>
          <w:p w:rsidR="00A44352" w:rsidRDefault="00A44352" w:rsidP="00023F0C">
            <w:pPr>
              <w:pStyle w:val="FinTableRight"/>
            </w:pPr>
          </w:p>
        </w:tc>
        <w:tc>
          <w:tcPr>
            <w:tcW w:w="1843" w:type="dxa"/>
          </w:tcPr>
          <w:p w:rsidR="00A44352" w:rsidRDefault="00A44352" w:rsidP="00023F0C">
            <w:pPr>
              <w:pStyle w:val="FinTableRight"/>
            </w:pPr>
          </w:p>
        </w:tc>
        <w:tc>
          <w:tcPr>
            <w:tcW w:w="1842" w:type="dxa"/>
          </w:tcPr>
          <w:p w:rsidR="00A44352" w:rsidRDefault="00A44352" w:rsidP="00023F0C">
            <w:pPr>
              <w:pStyle w:val="FinTableRight"/>
            </w:pPr>
          </w:p>
        </w:tc>
      </w:tr>
      <w:tr w:rsidR="00A44352" w:rsidTr="00743E53">
        <w:tc>
          <w:tcPr>
            <w:tcW w:w="3612" w:type="dxa"/>
            <w:vMerge/>
          </w:tcPr>
          <w:p w:rsidR="00A44352" w:rsidRDefault="00A44352" w:rsidP="00023F0C">
            <w:pPr>
              <w:pStyle w:val="FinTableLeftIndent"/>
            </w:pPr>
          </w:p>
        </w:tc>
        <w:tc>
          <w:tcPr>
            <w:tcW w:w="1805" w:type="dxa"/>
          </w:tcPr>
          <w:p w:rsidR="00A44352" w:rsidRDefault="00A44352" w:rsidP="00023F0C">
            <w:pPr>
              <w:pStyle w:val="FinTableRight"/>
            </w:pPr>
            <w:r>
              <w:t>290,205</w:t>
            </w:r>
          </w:p>
        </w:tc>
        <w:tc>
          <w:tcPr>
            <w:tcW w:w="1843" w:type="dxa"/>
          </w:tcPr>
          <w:p w:rsidR="00A44352" w:rsidRDefault="00A44352" w:rsidP="00023F0C">
            <w:pPr>
              <w:pStyle w:val="FinTableRight"/>
            </w:pPr>
            <w:r>
              <w:t>668,165</w:t>
            </w:r>
          </w:p>
        </w:tc>
        <w:tc>
          <w:tcPr>
            <w:tcW w:w="1842" w:type="dxa"/>
          </w:tcPr>
          <w:p w:rsidR="00A44352" w:rsidRDefault="00A44352" w:rsidP="00023F0C">
            <w:pPr>
              <w:pStyle w:val="FinTableRight"/>
            </w:pPr>
            <w:r>
              <w:t>958,370</w:t>
            </w:r>
          </w:p>
        </w:tc>
      </w:tr>
      <w:tr w:rsidR="00A44352" w:rsidTr="00743E53">
        <w:tc>
          <w:tcPr>
            <w:tcW w:w="3612" w:type="dxa"/>
            <w:vMerge/>
          </w:tcPr>
          <w:p w:rsidR="00A44352" w:rsidRDefault="00A44352" w:rsidP="00023F0C">
            <w:pPr>
              <w:pStyle w:val="FinTableRight"/>
            </w:pPr>
          </w:p>
        </w:tc>
        <w:tc>
          <w:tcPr>
            <w:tcW w:w="1805" w:type="dxa"/>
          </w:tcPr>
          <w:p w:rsidR="00A44352" w:rsidRDefault="00A44352" w:rsidP="00023F0C">
            <w:pPr>
              <w:pStyle w:val="FinTableRightItalic"/>
            </w:pPr>
            <w:r>
              <w:t>302,359</w:t>
            </w:r>
          </w:p>
        </w:tc>
        <w:tc>
          <w:tcPr>
            <w:tcW w:w="1843" w:type="dxa"/>
          </w:tcPr>
          <w:p w:rsidR="00A44352" w:rsidRDefault="00A44352" w:rsidP="00023F0C">
            <w:pPr>
              <w:pStyle w:val="FinTableRightItalic"/>
            </w:pPr>
            <w:r>
              <w:t>700,848</w:t>
            </w:r>
          </w:p>
        </w:tc>
        <w:tc>
          <w:tcPr>
            <w:tcW w:w="1842" w:type="dxa"/>
          </w:tcPr>
          <w:p w:rsidR="00A44352" w:rsidRDefault="00A44352" w:rsidP="00023F0C">
            <w:pPr>
              <w:pStyle w:val="FinTableRightItalic"/>
            </w:pPr>
            <w:r>
              <w:t>1,003,207</w:t>
            </w:r>
          </w:p>
        </w:tc>
      </w:tr>
      <w:tr w:rsidR="00A44352" w:rsidTr="00743E53">
        <w:tc>
          <w:tcPr>
            <w:tcW w:w="3612" w:type="dxa"/>
          </w:tcPr>
          <w:p w:rsidR="00A44352" w:rsidRDefault="00A44352" w:rsidP="00023F0C">
            <w:pPr>
              <w:pStyle w:val="FinTableSpacerRow"/>
            </w:pPr>
          </w:p>
        </w:tc>
        <w:tc>
          <w:tcPr>
            <w:tcW w:w="1805" w:type="dxa"/>
          </w:tcPr>
          <w:p w:rsidR="00A44352" w:rsidRDefault="00A44352" w:rsidP="00023F0C">
            <w:pPr>
              <w:pStyle w:val="FinTableSpacerRow"/>
            </w:pPr>
          </w:p>
        </w:tc>
        <w:tc>
          <w:tcPr>
            <w:tcW w:w="1843" w:type="dxa"/>
          </w:tcPr>
          <w:p w:rsidR="00A44352" w:rsidRDefault="00A44352" w:rsidP="00023F0C">
            <w:pPr>
              <w:pStyle w:val="FinTableSpacerRow"/>
            </w:pPr>
          </w:p>
        </w:tc>
        <w:tc>
          <w:tcPr>
            <w:tcW w:w="1842" w:type="dxa"/>
          </w:tcPr>
          <w:p w:rsidR="00A44352" w:rsidRDefault="00A44352" w:rsidP="00023F0C">
            <w:pPr>
              <w:pStyle w:val="FinTableSpacerRow"/>
            </w:pPr>
          </w:p>
        </w:tc>
      </w:tr>
      <w:tr w:rsidR="00A44352" w:rsidTr="00743E53">
        <w:tc>
          <w:tcPr>
            <w:tcW w:w="3612" w:type="dxa"/>
            <w:vMerge w:val="restart"/>
          </w:tcPr>
          <w:p w:rsidR="00A44352" w:rsidRDefault="00A44352" w:rsidP="00023F0C">
            <w:pPr>
              <w:pStyle w:val="FinTableLeftBold"/>
            </w:pPr>
            <w:r>
              <w:t xml:space="preserve">Outcome 2 </w:t>
            </w:r>
            <w:r>
              <w:noBreakHyphen/>
              <w:t xml:space="preserve"> </w:t>
            </w:r>
          </w:p>
          <w:p w:rsidR="00A44352" w:rsidRDefault="00A44352" w:rsidP="00023F0C">
            <w:pPr>
              <w:pStyle w:val="FinTableLeftIndent"/>
            </w:pPr>
            <w:r>
              <w:t>Production, use and awareness of science and research knowledge, by supporting research activity; training and infrastructure; science communication; skill development; and collaboration, within the research sector and between researchers and industry, domestically and internationally</w:t>
            </w:r>
          </w:p>
        </w:tc>
        <w:tc>
          <w:tcPr>
            <w:tcW w:w="1805" w:type="dxa"/>
          </w:tcPr>
          <w:p w:rsidR="00A44352" w:rsidRDefault="00A44352" w:rsidP="00023F0C">
            <w:pPr>
              <w:pStyle w:val="FinTableRight"/>
            </w:pPr>
          </w:p>
        </w:tc>
        <w:tc>
          <w:tcPr>
            <w:tcW w:w="1843" w:type="dxa"/>
          </w:tcPr>
          <w:p w:rsidR="00A44352" w:rsidRDefault="00A44352" w:rsidP="00023F0C">
            <w:pPr>
              <w:pStyle w:val="FinTableRight"/>
            </w:pPr>
          </w:p>
        </w:tc>
        <w:tc>
          <w:tcPr>
            <w:tcW w:w="1842" w:type="dxa"/>
          </w:tcPr>
          <w:p w:rsidR="00A44352" w:rsidRDefault="00A44352" w:rsidP="00023F0C">
            <w:pPr>
              <w:pStyle w:val="FinTableRight"/>
            </w:pPr>
          </w:p>
        </w:tc>
      </w:tr>
      <w:tr w:rsidR="00A44352" w:rsidTr="00743E53">
        <w:tc>
          <w:tcPr>
            <w:tcW w:w="3612" w:type="dxa"/>
            <w:vMerge/>
          </w:tcPr>
          <w:p w:rsidR="00A44352" w:rsidRDefault="00A44352" w:rsidP="00023F0C">
            <w:pPr>
              <w:pStyle w:val="FinTableLeftIndent"/>
            </w:pPr>
          </w:p>
        </w:tc>
        <w:tc>
          <w:tcPr>
            <w:tcW w:w="1805" w:type="dxa"/>
          </w:tcPr>
          <w:p w:rsidR="00A44352" w:rsidRDefault="00A44352" w:rsidP="00023F0C">
            <w:pPr>
              <w:pStyle w:val="FinTableRight"/>
            </w:pPr>
            <w:r>
              <w:t>55,873</w:t>
            </w:r>
          </w:p>
        </w:tc>
        <w:tc>
          <w:tcPr>
            <w:tcW w:w="1843" w:type="dxa"/>
          </w:tcPr>
          <w:p w:rsidR="00A44352" w:rsidRDefault="00A44352" w:rsidP="00023F0C">
            <w:pPr>
              <w:pStyle w:val="FinTableRight"/>
            </w:pPr>
            <w:r>
              <w:t>54,514</w:t>
            </w:r>
          </w:p>
        </w:tc>
        <w:tc>
          <w:tcPr>
            <w:tcW w:w="1842" w:type="dxa"/>
          </w:tcPr>
          <w:p w:rsidR="00A44352" w:rsidRDefault="00A44352" w:rsidP="00023F0C">
            <w:pPr>
              <w:pStyle w:val="FinTableRight"/>
            </w:pPr>
            <w:r>
              <w:t>110,387</w:t>
            </w:r>
          </w:p>
        </w:tc>
      </w:tr>
      <w:tr w:rsidR="00A44352" w:rsidTr="00743E53">
        <w:tc>
          <w:tcPr>
            <w:tcW w:w="3612" w:type="dxa"/>
            <w:vMerge/>
          </w:tcPr>
          <w:p w:rsidR="00A44352" w:rsidRDefault="00A44352" w:rsidP="00023F0C">
            <w:pPr>
              <w:pStyle w:val="FinTableRight"/>
            </w:pPr>
          </w:p>
        </w:tc>
        <w:tc>
          <w:tcPr>
            <w:tcW w:w="1805" w:type="dxa"/>
          </w:tcPr>
          <w:p w:rsidR="00A44352" w:rsidRDefault="00A44352" w:rsidP="00023F0C">
            <w:pPr>
              <w:pStyle w:val="FinTableRightItalic"/>
            </w:pPr>
            <w:r>
              <w:t>55,164</w:t>
            </w:r>
          </w:p>
        </w:tc>
        <w:tc>
          <w:tcPr>
            <w:tcW w:w="1843" w:type="dxa"/>
          </w:tcPr>
          <w:p w:rsidR="00A44352" w:rsidRDefault="00A44352" w:rsidP="00023F0C">
            <w:pPr>
              <w:pStyle w:val="FinTableRightItalic"/>
            </w:pPr>
            <w:r>
              <w:t>72,290</w:t>
            </w:r>
          </w:p>
        </w:tc>
        <w:tc>
          <w:tcPr>
            <w:tcW w:w="1842" w:type="dxa"/>
          </w:tcPr>
          <w:p w:rsidR="00A44352" w:rsidRDefault="00A44352" w:rsidP="00023F0C">
            <w:pPr>
              <w:pStyle w:val="FinTableRightItalic"/>
            </w:pPr>
            <w:r>
              <w:t>127,454</w:t>
            </w:r>
          </w:p>
        </w:tc>
      </w:tr>
      <w:tr w:rsidR="00A44352" w:rsidTr="00743E53">
        <w:tc>
          <w:tcPr>
            <w:tcW w:w="3612" w:type="dxa"/>
          </w:tcPr>
          <w:p w:rsidR="00A44352" w:rsidRDefault="00A44352" w:rsidP="00023F0C">
            <w:pPr>
              <w:pStyle w:val="FinTableSpacerRow"/>
            </w:pPr>
          </w:p>
        </w:tc>
        <w:tc>
          <w:tcPr>
            <w:tcW w:w="1805" w:type="dxa"/>
          </w:tcPr>
          <w:p w:rsidR="00A44352" w:rsidRDefault="00A44352" w:rsidP="00023F0C">
            <w:pPr>
              <w:pStyle w:val="FinTableSpacerRow"/>
            </w:pPr>
          </w:p>
        </w:tc>
        <w:tc>
          <w:tcPr>
            <w:tcW w:w="1843" w:type="dxa"/>
          </w:tcPr>
          <w:p w:rsidR="00A44352" w:rsidRDefault="00A44352" w:rsidP="00023F0C">
            <w:pPr>
              <w:pStyle w:val="FinTableSpacerRow"/>
            </w:pPr>
          </w:p>
        </w:tc>
        <w:tc>
          <w:tcPr>
            <w:tcW w:w="1842" w:type="dxa"/>
          </w:tcPr>
          <w:p w:rsidR="00A44352" w:rsidRDefault="00A44352" w:rsidP="00023F0C">
            <w:pPr>
              <w:pStyle w:val="FinTableSpacerRow"/>
            </w:pPr>
          </w:p>
        </w:tc>
      </w:tr>
      <w:tr w:rsidR="00A44352" w:rsidTr="00743E53">
        <w:tc>
          <w:tcPr>
            <w:tcW w:w="3612" w:type="dxa"/>
            <w:vMerge w:val="restart"/>
          </w:tcPr>
          <w:p w:rsidR="00A44352" w:rsidRDefault="00A44352" w:rsidP="00023F0C">
            <w:pPr>
              <w:pStyle w:val="FinTableLeftBold"/>
            </w:pPr>
            <w:r>
              <w:t xml:space="preserve">Outcome 3 </w:t>
            </w:r>
            <w:r>
              <w:noBreakHyphen/>
              <w:t xml:space="preserve"> </w:t>
            </w:r>
          </w:p>
          <w:p w:rsidR="00A44352" w:rsidRDefault="00A44352" w:rsidP="00023F0C">
            <w:pPr>
              <w:pStyle w:val="FinTableLeftIndent"/>
            </w:pPr>
            <w:r>
              <w:t>A growth in skills, qualifications and productivity through funding to improve teaching quality, learning, and tertiary sector infrastructure, international promotion of Australia’s education and training sectors, and partnerships with industry</w:t>
            </w:r>
          </w:p>
        </w:tc>
        <w:tc>
          <w:tcPr>
            <w:tcW w:w="1805" w:type="dxa"/>
          </w:tcPr>
          <w:p w:rsidR="00A44352" w:rsidRDefault="00A44352" w:rsidP="00023F0C">
            <w:pPr>
              <w:pStyle w:val="FinTableRight"/>
            </w:pPr>
          </w:p>
        </w:tc>
        <w:tc>
          <w:tcPr>
            <w:tcW w:w="1843" w:type="dxa"/>
          </w:tcPr>
          <w:p w:rsidR="00A44352" w:rsidRDefault="00A44352" w:rsidP="00023F0C">
            <w:pPr>
              <w:pStyle w:val="FinTableRight"/>
            </w:pPr>
          </w:p>
        </w:tc>
        <w:tc>
          <w:tcPr>
            <w:tcW w:w="1842" w:type="dxa"/>
          </w:tcPr>
          <w:p w:rsidR="00A44352" w:rsidRDefault="00A44352" w:rsidP="00023F0C">
            <w:pPr>
              <w:pStyle w:val="FinTableRight"/>
            </w:pPr>
          </w:p>
        </w:tc>
      </w:tr>
      <w:tr w:rsidR="00A44352" w:rsidTr="00743E53">
        <w:tc>
          <w:tcPr>
            <w:tcW w:w="3612" w:type="dxa"/>
            <w:vMerge/>
          </w:tcPr>
          <w:p w:rsidR="00A44352" w:rsidRDefault="00A44352" w:rsidP="00023F0C">
            <w:pPr>
              <w:pStyle w:val="FinTableLeftIndent"/>
            </w:pPr>
          </w:p>
        </w:tc>
        <w:tc>
          <w:tcPr>
            <w:tcW w:w="1805" w:type="dxa"/>
          </w:tcPr>
          <w:p w:rsidR="00A44352" w:rsidRDefault="00A44352" w:rsidP="00023F0C">
            <w:pPr>
              <w:pStyle w:val="FinTableRight"/>
            </w:pPr>
            <w:r>
              <w:t>169,263</w:t>
            </w:r>
          </w:p>
        </w:tc>
        <w:tc>
          <w:tcPr>
            <w:tcW w:w="1843" w:type="dxa"/>
          </w:tcPr>
          <w:p w:rsidR="00A44352" w:rsidRDefault="00A44352" w:rsidP="00023F0C">
            <w:pPr>
              <w:pStyle w:val="FinTableRight"/>
            </w:pPr>
            <w:r>
              <w:t>1,750,069</w:t>
            </w:r>
          </w:p>
        </w:tc>
        <w:tc>
          <w:tcPr>
            <w:tcW w:w="1842" w:type="dxa"/>
          </w:tcPr>
          <w:p w:rsidR="00A44352" w:rsidRDefault="00A44352" w:rsidP="00023F0C">
            <w:pPr>
              <w:pStyle w:val="FinTableRight"/>
            </w:pPr>
            <w:r>
              <w:t>1,919,332</w:t>
            </w:r>
          </w:p>
        </w:tc>
      </w:tr>
      <w:tr w:rsidR="00A44352" w:rsidTr="00743E53">
        <w:tc>
          <w:tcPr>
            <w:tcW w:w="3612" w:type="dxa"/>
            <w:vMerge/>
          </w:tcPr>
          <w:p w:rsidR="00A44352" w:rsidRDefault="00A44352" w:rsidP="00023F0C">
            <w:pPr>
              <w:pStyle w:val="FinTableRight"/>
            </w:pPr>
          </w:p>
        </w:tc>
        <w:tc>
          <w:tcPr>
            <w:tcW w:w="1805" w:type="dxa"/>
          </w:tcPr>
          <w:p w:rsidR="00A44352" w:rsidRDefault="00A44352" w:rsidP="00023F0C">
            <w:pPr>
              <w:pStyle w:val="FinTableRightItalic"/>
            </w:pPr>
            <w:r>
              <w:t>-</w:t>
            </w:r>
          </w:p>
        </w:tc>
        <w:tc>
          <w:tcPr>
            <w:tcW w:w="1843" w:type="dxa"/>
          </w:tcPr>
          <w:p w:rsidR="00A44352" w:rsidRDefault="00A44352" w:rsidP="00023F0C">
            <w:pPr>
              <w:pStyle w:val="FinTableRightItalic"/>
            </w:pPr>
            <w:r>
              <w:t>1,033,809</w:t>
            </w:r>
          </w:p>
        </w:tc>
        <w:tc>
          <w:tcPr>
            <w:tcW w:w="1842" w:type="dxa"/>
          </w:tcPr>
          <w:p w:rsidR="00A44352" w:rsidRDefault="00A44352" w:rsidP="00023F0C">
            <w:pPr>
              <w:pStyle w:val="FinTableRightItalic"/>
            </w:pPr>
            <w:r>
              <w:t>1,033,809</w:t>
            </w:r>
          </w:p>
        </w:tc>
      </w:tr>
      <w:tr w:rsidR="00A44352" w:rsidTr="00743E53">
        <w:tc>
          <w:tcPr>
            <w:tcW w:w="3612" w:type="dxa"/>
          </w:tcPr>
          <w:p w:rsidR="00A44352" w:rsidRDefault="00A44352" w:rsidP="00023F0C">
            <w:pPr>
              <w:pStyle w:val="FinTableSpacerRow"/>
            </w:pPr>
          </w:p>
        </w:tc>
        <w:tc>
          <w:tcPr>
            <w:tcW w:w="1805" w:type="dxa"/>
          </w:tcPr>
          <w:p w:rsidR="00A44352" w:rsidRDefault="00A44352" w:rsidP="00023F0C">
            <w:pPr>
              <w:pStyle w:val="FinTableSpacerRow"/>
            </w:pPr>
          </w:p>
        </w:tc>
        <w:tc>
          <w:tcPr>
            <w:tcW w:w="1843" w:type="dxa"/>
          </w:tcPr>
          <w:p w:rsidR="00A44352" w:rsidRDefault="00A44352" w:rsidP="00023F0C">
            <w:pPr>
              <w:pStyle w:val="FinTableSpacerRow"/>
            </w:pPr>
          </w:p>
        </w:tc>
        <w:tc>
          <w:tcPr>
            <w:tcW w:w="1842" w:type="dxa"/>
          </w:tcPr>
          <w:p w:rsidR="00A44352" w:rsidRDefault="00A44352" w:rsidP="00023F0C">
            <w:pPr>
              <w:pStyle w:val="FinTableSpacerRow"/>
            </w:pPr>
          </w:p>
        </w:tc>
      </w:tr>
      <w:tr w:rsidR="00A44352" w:rsidTr="00743E53">
        <w:tc>
          <w:tcPr>
            <w:tcW w:w="3612" w:type="dxa"/>
            <w:vMerge w:val="restart"/>
          </w:tcPr>
          <w:p w:rsidR="00A44352" w:rsidRDefault="00A44352" w:rsidP="00023F0C">
            <w:pPr>
              <w:pStyle w:val="FinTableLeftBold"/>
            </w:pPr>
            <w:r>
              <w:t xml:space="preserve">Outcome 4 </w:t>
            </w:r>
            <w:r>
              <w:noBreakHyphen/>
              <w:t xml:space="preserve"> </w:t>
            </w:r>
          </w:p>
          <w:p w:rsidR="00A44352" w:rsidRDefault="00A44352" w:rsidP="00023F0C">
            <w:pPr>
              <w:pStyle w:val="FinTableLeftIndent"/>
            </w:pPr>
            <w:r>
              <w:t>Reduction of Australia’s greenhouse gas emissions, adaptation to the impacts of climate change, and negotiation of an effective global solution, through the development and implementation of a national response to climate change; and bilateral, regional and multilat</w:t>
            </w:r>
            <w:r w:rsidR="001E7F16">
              <w:t>eral engagement internationally</w:t>
            </w:r>
          </w:p>
        </w:tc>
        <w:tc>
          <w:tcPr>
            <w:tcW w:w="1805" w:type="dxa"/>
          </w:tcPr>
          <w:p w:rsidR="00A44352" w:rsidRDefault="00A44352" w:rsidP="00023F0C">
            <w:pPr>
              <w:pStyle w:val="FinTableRight"/>
            </w:pPr>
          </w:p>
        </w:tc>
        <w:tc>
          <w:tcPr>
            <w:tcW w:w="1843" w:type="dxa"/>
          </w:tcPr>
          <w:p w:rsidR="00A44352" w:rsidRDefault="00A44352" w:rsidP="00023F0C">
            <w:pPr>
              <w:pStyle w:val="FinTableRight"/>
            </w:pPr>
          </w:p>
        </w:tc>
        <w:tc>
          <w:tcPr>
            <w:tcW w:w="1842" w:type="dxa"/>
          </w:tcPr>
          <w:p w:rsidR="00A44352" w:rsidRDefault="00A44352" w:rsidP="00023F0C">
            <w:pPr>
              <w:pStyle w:val="FinTableRight"/>
            </w:pPr>
          </w:p>
        </w:tc>
      </w:tr>
      <w:tr w:rsidR="00A44352" w:rsidTr="00743E53">
        <w:tc>
          <w:tcPr>
            <w:tcW w:w="3612" w:type="dxa"/>
            <w:vMerge/>
          </w:tcPr>
          <w:p w:rsidR="00A44352" w:rsidRDefault="00A44352" w:rsidP="00023F0C">
            <w:pPr>
              <w:pStyle w:val="FinTableLeftIndent"/>
            </w:pPr>
          </w:p>
        </w:tc>
        <w:tc>
          <w:tcPr>
            <w:tcW w:w="1805" w:type="dxa"/>
          </w:tcPr>
          <w:p w:rsidR="00A44352" w:rsidRDefault="00A44352" w:rsidP="00023F0C">
            <w:pPr>
              <w:pStyle w:val="FinTableRight"/>
            </w:pPr>
            <w:r>
              <w:t>-</w:t>
            </w:r>
          </w:p>
        </w:tc>
        <w:tc>
          <w:tcPr>
            <w:tcW w:w="1843" w:type="dxa"/>
          </w:tcPr>
          <w:p w:rsidR="00A44352" w:rsidRDefault="00A44352" w:rsidP="00023F0C">
            <w:pPr>
              <w:pStyle w:val="FinTableRight"/>
            </w:pPr>
            <w:r>
              <w:t>13,321</w:t>
            </w:r>
            <w:r w:rsidR="003D5D4A" w:rsidRPr="006340FE">
              <w:t>.</w:t>
            </w:r>
            <w:r>
              <w:t>83915</w:t>
            </w:r>
          </w:p>
        </w:tc>
        <w:tc>
          <w:tcPr>
            <w:tcW w:w="1842" w:type="dxa"/>
          </w:tcPr>
          <w:p w:rsidR="00A44352" w:rsidRDefault="00A44352" w:rsidP="003D5D4A">
            <w:pPr>
              <w:pStyle w:val="FinTableRight"/>
            </w:pPr>
            <w:r>
              <w:t>13,321</w:t>
            </w:r>
            <w:r w:rsidR="003D5D4A" w:rsidRPr="006340FE">
              <w:t>.</w:t>
            </w:r>
            <w:r>
              <w:t>83915</w:t>
            </w:r>
          </w:p>
        </w:tc>
      </w:tr>
      <w:tr w:rsidR="00A44352" w:rsidTr="00743E53">
        <w:tc>
          <w:tcPr>
            <w:tcW w:w="3612" w:type="dxa"/>
            <w:vMerge/>
          </w:tcPr>
          <w:p w:rsidR="00A44352" w:rsidRDefault="00A44352" w:rsidP="00023F0C">
            <w:pPr>
              <w:pStyle w:val="FinTableRight"/>
            </w:pPr>
          </w:p>
        </w:tc>
        <w:tc>
          <w:tcPr>
            <w:tcW w:w="1805" w:type="dxa"/>
          </w:tcPr>
          <w:p w:rsidR="00A44352" w:rsidRDefault="00A44352" w:rsidP="00023F0C">
            <w:pPr>
              <w:pStyle w:val="FinTableRightItalic"/>
            </w:pPr>
            <w:r>
              <w:t>-</w:t>
            </w:r>
          </w:p>
        </w:tc>
        <w:tc>
          <w:tcPr>
            <w:tcW w:w="1843" w:type="dxa"/>
          </w:tcPr>
          <w:p w:rsidR="00A44352" w:rsidRDefault="00A44352" w:rsidP="00023F0C">
            <w:pPr>
              <w:pStyle w:val="FinTableRightItalic"/>
            </w:pPr>
            <w:r>
              <w:t>-</w:t>
            </w:r>
          </w:p>
        </w:tc>
        <w:tc>
          <w:tcPr>
            <w:tcW w:w="1842" w:type="dxa"/>
          </w:tcPr>
          <w:p w:rsidR="00A44352" w:rsidRDefault="00A44352" w:rsidP="00023F0C">
            <w:pPr>
              <w:pStyle w:val="FinTableRightItalic"/>
            </w:pPr>
            <w:r>
              <w:t>-</w:t>
            </w:r>
          </w:p>
        </w:tc>
      </w:tr>
      <w:tr w:rsidR="00A44352" w:rsidTr="00743E53">
        <w:tc>
          <w:tcPr>
            <w:tcW w:w="3612" w:type="dxa"/>
          </w:tcPr>
          <w:p w:rsidR="00A44352" w:rsidRDefault="00A44352" w:rsidP="00023F0C">
            <w:pPr>
              <w:pStyle w:val="FinTableSpacerRow"/>
            </w:pPr>
          </w:p>
        </w:tc>
        <w:tc>
          <w:tcPr>
            <w:tcW w:w="1805" w:type="dxa"/>
          </w:tcPr>
          <w:p w:rsidR="00A44352" w:rsidRDefault="00A44352" w:rsidP="00023F0C">
            <w:pPr>
              <w:pStyle w:val="FinTableSpacerRow"/>
            </w:pPr>
          </w:p>
        </w:tc>
        <w:tc>
          <w:tcPr>
            <w:tcW w:w="1843" w:type="dxa"/>
          </w:tcPr>
          <w:p w:rsidR="00A44352" w:rsidRDefault="00A44352" w:rsidP="00023F0C">
            <w:pPr>
              <w:pStyle w:val="FinTableSpacerRow"/>
            </w:pPr>
          </w:p>
        </w:tc>
        <w:tc>
          <w:tcPr>
            <w:tcW w:w="1842" w:type="dxa"/>
          </w:tcPr>
          <w:p w:rsidR="00A44352" w:rsidRDefault="00A44352" w:rsidP="00023F0C">
            <w:pPr>
              <w:pStyle w:val="FinTableSpacerRow"/>
            </w:pPr>
          </w:p>
        </w:tc>
      </w:tr>
      <w:tr w:rsidR="00A44352" w:rsidTr="00743E53">
        <w:tc>
          <w:tcPr>
            <w:tcW w:w="3612" w:type="dxa"/>
            <w:vMerge w:val="restart"/>
            <w:tcBorders>
              <w:top w:val="single" w:sz="2" w:space="0" w:color="auto"/>
            </w:tcBorders>
          </w:tcPr>
          <w:p w:rsidR="00A44352" w:rsidRDefault="00A44352" w:rsidP="00023F0C">
            <w:pPr>
              <w:pStyle w:val="FinTableLeftBoldHanging"/>
            </w:pPr>
            <w:r>
              <w:t>Total: Department of Industry, Innovation, Climate Change, Science, Research and Tertiary Education</w:t>
            </w:r>
          </w:p>
        </w:tc>
        <w:tc>
          <w:tcPr>
            <w:tcW w:w="1805" w:type="dxa"/>
            <w:tcBorders>
              <w:top w:val="single" w:sz="2" w:space="0" w:color="auto"/>
            </w:tcBorders>
          </w:tcPr>
          <w:p w:rsidR="00A44352" w:rsidRPr="00BA6584" w:rsidRDefault="00A44352" w:rsidP="00023F0C">
            <w:pPr>
              <w:pStyle w:val="FinTableRightBold"/>
            </w:pPr>
            <w:r>
              <w:t>515,341</w:t>
            </w:r>
          </w:p>
        </w:tc>
        <w:tc>
          <w:tcPr>
            <w:tcW w:w="1843" w:type="dxa"/>
            <w:tcBorders>
              <w:top w:val="single" w:sz="2" w:space="0" w:color="auto"/>
            </w:tcBorders>
          </w:tcPr>
          <w:p w:rsidR="00A44352" w:rsidRDefault="00A44352" w:rsidP="00185517">
            <w:pPr>
              <w:pStyle w:val="FinTableRightBold"/>
              <w:ind w:left="-102"/>
            </w:pPr>
            <w:r>
              <w:t>2,486,069</w:t>
            </w:r>
            <w:r w:rsidR="003D5D4A" w:rsidRPr="006340FE">
              <w:t>.</w:t>
            </w:r>
            <w:r>
              <w:t>83915</w:t>
            </w:r>
          </w:p>
        </w:tc>
        <w:tc>
          <w:tcPr>
            <w:tcW w:w="1842" w:type="dxa"/>
            <w:tcBorders>
              <w:top w:val="single" w:sz="2" w:space="0" w:color="auto"/>
            </w:tcBorders>
          </w:tcPr>
          <w:p w:rsidR="00A44352" w:rsidRDefault="00A44352" w:rsidP="00023F0C">
            <w:pPr>
              <w:pStyle w:val="FinTableRightBold"/>
            </w:pPr>
            <w:r>
              <w:t>3,001,410</w:t>
            </w:r>
            <w:r w:rsidR="003D5D4A" w:rsidRPr="006340FE">
              <w:t>.</w:t>
            </w:r>
            <w:r>
              <w:t>83915</w:t>
            </w:r>
          </w:p>
        </w:tc>
      </w:tr>
      <w:tr w:rsidR="00A44352" w:rsidTr="00743E53">
        <w:tc>
          <w:tcPr>
            <w:tcW w:w="3612" w:type="dxa"/>
            <w:vMerge/>
            <w:tcBorders>
              <w:bottom w:val="single" w:sz="2" w:space="0" w:color="auto"/>
            </w:tcBorders>
          </w:tcPr>
          <w:p w:rsidR="00A44352" w:rsidRDefault="00A44352" w:rsidP="00023F0C">
            <w:pPr>
              <w:pStyle w:val="FinTableLeftBoldHanging"/>
            </w:pPr>
          </w:p>
        </w:tc>
        <w:tc>
          <w:tcPr>
            <w:tcW w:w="1805" w:type="dxa"/>
            <w:tcBorders>
              <w:bottom w:val="single" w:sz="2" w:space="0" w:color="auto"/>
            </w:tcBorders>
          </w:tcPr>
          <w:p w:rsidR="00A44352" w:rsidRDefault="00A44352" w:rsidP="00023F0C">
            <w:pPr>
              <w:pStyle w:val="FinTableRightItalic"/>
            </w:pPr>
            <w:r>
              <w:t>357,523</w:t>
            </w:r>
          </w:p>
        </w:tc>
        <w:tc>
          <w:tcPr>
            <w:tcW w:w="1843" w:type="dxa"/>
            <w:tcBorders>
              <w:bottom w:val="single" w:sz="2" w:space="0" w:color="auto"/>
            </w:tcBorders>
          </w:tcPr>
          <w:p w:rsidR="00A44352" w:rsidRDefault="00A44352" w:rsidP="00023F0C">
            <w:pPr>
              <w:pStyle w:val="FinTableRightItalic"/>
            </w:pPr>
            <w:r>
              <w:t>1,806,947</w:t>
            </w:r>
          </w:p>
        </w:tc>
        <w:tc>
          <w:tcPr>
            <w:tcW w:w="1842" w:type="dxa"/>
            <w:tcBorders>
              <w:bottom w:val="single" w:sz="2" w:space="0" w:color="auto"/>
            </w:tcBorders>
          </w:tcPr>
          <w:p w:rsidR="00A44352" w:rsidRDefault="00A44352" w:rsidP="00023F0C">
            <w:pPr>
              <w:pStyle w:val="FinTableRightItalic"/>
            </w:pPr>
            <w:r>
              <w:t>2,164,470</w:t>
            </w:r>
          </w:p>
        </w:tc>
      </w:tr>
    </w:tbl>
    <w:p w:rsidR="00A44352" w:rsidRPr="00402FD4" w:rsidRDefault="00A44352" w:rsidP="00BA6326">
      <w:pPr>
        <w:pStyle w:val="A1S"/>
        <w:spacing w:before="240" w:line="240" w:lineRule="auto"/>
        <w:ind w:left="709" w:hanging="709"/>
      </w:pPr>
      <w:r w:rsidRPr="00402FD4">
        <w:t>[</w:t>
      </w:r>
      <w:r>
        <w:t>4</w:t>
      </w:r>
      <w:r w:rsidRPr="00402FD4">
        <w:t>]</w:t>
      </w:r>
      <w:r w:rsidRPr="00402FD4">
        <w:tab/>
        <w:t xml:space="preserve">Schedule </w:t>
      </w:r>
      <w:r>
        <w:t>1</w:t>
      </w:r>
      <w:r w:rsidRPr="00402FD4">
        <w:t xml:space="preserve">, </w:t>
      </w:r>
      <w:r>
        <w:t>Industry, Innovation, Science, Research and Tertiary Education</w:t>
      </w:r>
      <w:r w:rsidRPr="00E7285F">
        <w:rPr>
          <w:bCs/>
        </w:rPr>
        <w:t xml:space="preserve"> portfolio</w:t>
      </w:r>
      <w:r w:rsidRPr="00402FD4">
        <w:t xml:space="preserve">, after the </w:t>
      </w:r>
      <w:r>
        <w:rPr>
          <w:bCs/>
        </w:rPr>
        <w:t xml:space="preserve">Department of </w:t>
      </w:r>
      <w:r>
        <w:t>Industry, Innovation, Climate Change, Science, Research and Tertiary Education</w:t>
      </w:r>
      <w:r>
        <w:rPr>
          <w:bCs/>
        </w:rPr>
        <w:t xml:space="preserve"> </w:t>
      </w:r>
      <w:r w:rsidRPr="00402FD4">
        <w:t>table</w:t>
      </w:r>
    </w:p>
    <w:p w:rsidR="00A44352" w:rsidRDefault="00A44352" w:rsidP="00023F0C">
      <w:pPr>
        <w:pStyle w:val="ScheduleVerb"/>
        <w:spacing w:line="240" w:lineRule="auto"/>
      </w:pPr>
      <w:r>
        <w:t>After Note 4, insert</w:t>
      </w:r>
    </w:p>
    <w:p w:rsidR="00A44352" w:rsidRDefault="00A44352" w:rsidP="00023F0C">
      <w:pPr>
        <w:pStyle w:val="notemargin"/>
        <w:spacing w:line="240" w:lineRule="auto"/>
        <w:ind w:firstLine="0"/>
        <w:rPr>
          <w:sz w:val="20"/>
        </w:rPr>
      </w:pPr>
      <w:r w:rsidRPr="00580E6F">
        <w:rPr>
          <w:sz w:val="20"/>
        </w:rPr>
        <w:t>Note </w:t>
      </w:r>
      <w:r>
        <w:rPr>
          <w:sz w:val="20"/>
        </w:rPr>
        <w:t>5</w:t>
      </w:r>
      <w:r w:rsidRPr="00580E6F">
        <w:rPr>
          <w:sz w:val="20"/>
        </w:rPr>
        <w:t>:</w:t>
      </w:r>
      <w:r>
        <w:rPr>
          <w:sz w:val="20"/>
        </w:rPr>
        <w:t xml:space="preserve"> </w:t>
      </w:r>
      <w:r w:rsidR="006465DB">
        <w:rPr>
          <w:i/>
          <w:sz w:val="20"/>
        </w:rPr>
        <w:t>FMA Act</w:t>
      </w:r>
      <w:r w:rsidR="006465DB" w:rsidRPr="006C22E9">
        <w:rPr>
          <w:i/>
          <w:sz w:val="20"/>
        </w:rPr>
        <w:t xml:space="preserve"> Determination </w:t>
      </w:r>
      <w:r w:rsidR="006465DB">
        <w:rPr>
          <w:i/>
          <w:sz w:val="20"/>
        </w:rPr>
        <w:t>2013/01</w:t>
      </w:r>
      <w:r w:rsidR="006465DB" w:rsidRPr="006C22E9">
        <w:rPr>
          <w:i/>
          <w:sz w:val="20"/>
        </w:rPr>
        <w:t xml:space="preserve"> </w:t>
      </w:r>
      <w:r w:rsidRPr="00580E6F">
        <w:rPr>
          <w:i/>
          <w:noProof/>
          <w:sz w:val="20"/>
        </w:rPr>
        <w:t xml:space="preserve">— </w:t>
      </w:r>
      <w:r w:rsidRPr="00580E6F">
        <w:rPr>
          <w:i/>
          <w:sz w:val="20"/>
        </w:rPr>
        <w:t>Section 32 (</w:t>
      </w:r>
      <w:r w:rsidRPr="004E5756">
        <w:rPr>
          <w:i/>
          <w:sz w:val="20"/>
        </w:rPr>
        <w:t>Transfer of Functions from DCCEE to</w:t>
      </w:r>
      <w:r>
        <w:rPr>
          <w:i/>
          <w:sz w:val="20"/>
        </w:rPr>
        <w:t xml:space="preserve"> DIICCSRTE and DRET</w:t>
      </w:r>
      <w:r w:rsidRPr="00580E6F">
        <w:rPr>
          <w:i/>
          <w:sz w:val="20"/>
        </w:rPr>
        <w:t>)</w:t>
      </w:r>
      <w:r w:rsidRPr="004E5756">
        <w:rPr>
          <w:sz w:val="20"/>
        </w:rPr>
        <w:t xml:space="preserve"> </w:t>
      </w:r>
      <w:r>
        <w:rPr>
          <w:sz w:val="20"/>
        </w:rPr>
        <w:t>repealed the table for the Department of Industry, Innovation, Science, Research and Tertiary Education and replaced it with a new table for the Department of Industry, Innovation, Climate Change, Science, Research and Tertiary Education (DIICCSRTE), the effect of which was to:</w:t>
      </w:r>
    </w:p>
    <w:p w:rsidR="00A44352" w:rsidRDefault="00A44352" w:rsidP="00023F0C">
      <w:pPr>
        <w:pStyle w:val="Notepara"/>
        <w:numPr>
          <w:ilvl w:val="0"/>
          <w:numId w:val="12"/>
        </w:numPr>
        <w:tabs>
          <w:tab w:val="left" w:pos="709"/>
        </w:tabs>
        <w:spacing w:line="240" w:lineRule="auto"/>
        <w:jc w:val="left"/>
      </w:pPr>
      <w:r>
        <w:t>recognise the change in</w:t>
      </w:r>
      <w:r w:rsidRPr="004E5756">
        <w:t xml:space="preserve"> the</w:t>
      </w:r>
      <w:r>
        <w:t xml:space="preserve"> name of the Department; </w:t>
      </w:r>
    </w:p>
    <w:p w:rsidR="00A44352" w:rsidRDefault="00A44352" w:rsidP="00023F0C">
      <w:pPr>
        <w:pStyle w:val="Notepara"/>
        <w:numPr>
          <w:ilvl w:val="0"/>
          <w:numId w:val="12"/>
        </w:numPr>
        <w:tabs>
          <w:tab w:val="left" w:pos="709"/>
        </w:tabs>
        <w:spacing w:line="240" w:lineRule="auto"/>
        <w:jc w:val="left"/>
      </w:pPr>
      <w:r w:rsidRPr="007A0016">
        <w:t>insert Outcome 4, and insert</w:t>
      </w:r>
      <w:r>
        <w:t xml:space="preserve"> the administered item for Outcome 4,</w:t>
      </w:r>
      <w:r w:rsidRPr="007C504D">
        <w:t xml:space="preserve"> </w:t>
      </w:r>
      <w:r>
        <w:t>to transfer $13,321,839.15 of the</w:t>
      </w:r>
      <w:r w:rsidRPr="00363325">
        <w:t xml:space="preserve"> </w:t>
      </w:r>
      <w:r>
        <w:t xml:space="preserve">unspent administered </w:t>
      </w:r>
      <w:r w:rsidR="00A33EED">
        <w:t>amount</w:t>
      </w:r>
      <w:r w:rsidRPr="00363325">
        <w:t xml:space="preserve"> from the former </w:t>
      </w:r>
      <w:r>
        <w:t>Department of Climate Change and Energy Efficiency (</w:t>
      </w:r>
      <w:r w:rsidRPr="00363325">
        <w:t>DCCEE</w:t>
      </w:r>
      <w:r>
        <w:t>)</w:t>
      </w:r>
      <w:r w:rsidRPr="00363325">
        <w:t xml:space="preserve"> to </w:t>
      </w:r>
      <w:r>
        <w:t>DIICCSRTE; and</w:t>
      </w:r>
    </w:p>
    <w:p w:rsidR="00A44352" w:rsidRDefault="00A44352" w:rsidP="00023F0C">
      <w:pPr>
        <w:pStyle w:val="Notepara"/>
        <w:numPr>
          <w:ilvl w:val="0"/>
          <w:numId w:val="12"/>
        </w:numPr>
        <w:tabs>
          <w:tab w:val="left" w:pos="709"/>
        </w:tabs>
        <w:spacing w:line="240" w:lineRule="auto"/>
        <w:jc w:val="left"/>
      </w:pPr>
      <w:r>
        <w:lastRenderedPageBreak/>
        <w:t xml:space="preserve"> </w:t>
      </w:r>
      <w:proofErr w:type="gramStart"/>
      <w:r>
        <w:t>make</w:t>
      </w:r>
      <w:proofErr w:type="gramEnd"/>
      <w:r>
        <w:t xml:space="preserve"> consequential changes to the table.</w:t>
      </w:r>
    </w:p>
    <w:p w:rsidR="00A44352" w:rsidRDefault="00A44352" w:rsidP="00A15566">
      <w:pPr>
        <w:pStyle w:val="notemargin"/>
        <w:spacing w:line="240" w:lineRule="auto"/>
        <w:ind w:firstLine="0"/>
        <w:rPr>
          <w:sz w:val="20"/>
        </w:rPr>
      </w:pPr>
      <w:r w:rsidRPr="00E97187">
        <w:rPr>
          <w:sz w:val="20"/>
        </w:rPr>
        <w:t xml:space="preserve">The determination </w:t>
      </w:r>
      <w:r>
        <w:rPr>
          <w:sz w:val="20"/>
        </w:rPr>
        <w:t>retains the Outcome 1 text from</w:t>
      </w:r>
      <w:r w:rsidRPr="00E97187">
        <w:rPr>
          <w:sz w:val="20"/>
        </w:rPr>
        <w:t xml:space="preserve"> </w:t>
      </w:r>
      <w:r>
        <w:rPr>
          <w:sz w:val="20"/>
        </w:rPr>
        <w:t xml:space="preserve">the former </w:t>
      </w:r>
      <w:r w:rsidRPr="00E97187">
        <w:rPr>
          <w:sz w:val="20"/>
        </w:rPr>
        <w:t xml:space="preserve">DCCEE </w:t>
      </w:r>
      <w:r>
        <w:rPr>
          <w:sz w:val="20"/>
        </w:rPr>
        <w:t xml:space="preserve">for the new Outcome 4 of DIICCSRTE. This enables </w:t>
      </w:r>
      <w:r w:rsidRPr="00E97187">
        <w:rPr>
          <w:sz w:val="20"/>
        </w:rPr>
        <w:t xml:space="preserve">the </w:t>
      </w:r>
      <w:r>
        <w:rPr>
          <w:sz w:val="20"/>
        </w:rPr>
        <w:t xml:space="preserve">relevant parts of the </w:t>
      </w:r>
      <w:r w:rsidRPr="00E97187">
        <w:rPr>
          <w:sz w:val="20"/>
        </w:rPr>
        <w:t>Portfolio Budget Statements tabled in relation to DCCEE at Budget 2012-2013</w:t>
      </w:r>
      <w:r>
        <w:rPr>
          <w:sz w:val="20"/>
        </w:rPr>
        <w:t xml:space="preserve"> to be used for interpreting the relevant activities of DIICCSRTE</w:t>
      </w:r>
      <w:r w:rsidRPr="00E97187">
        <w:rPr>
          <w:sz w:val="20"/>
        </w:rPr>
        <w:t>.</w:t>
      </w:r>
    </w:p>
    <w:p w:rsidR="006465DB" w:rsidRPr="00F967AE" w:rsidRDefault="006465DB" w:rsidP="006465DB">
      <w:pPr>
        <w:pStyle w:val="notemargin"/>
        <w:spacing w:line="240" w:lineRule="auto"/>
        <w:ind w:firstLine="0"/>
        <w:rPr>
          <w:sz w:val="20"/>
        </w:rPr>
      </w:pPr>
      <w:r>
        <w:rPr>
          <w:sz w:val="20"/>
        </w:rPr>
        <w:t xml:space="preserve">Amendments to the table have been limited to those required to implement the </w:t>
      </w:r>
      <w:r w:rsidRPr="00023F0C">
        <w:rPr>
          <w:sz w:val="20"/>
        </w:rPr>
        <w:t>c</w:t>
      </w:r>
      <w:r w:rsidRPr="00363325">
        <w:rPr>
          <w:sz w:val="20"/>
        </w:rPr>
        <w:t xml:space="preserve">hanges in the </w:t>
      </w:r>
      <w:r w:rsidRPr="00220F65">
        <w:rPr>
          <w:i/>
          <w:sz w:val="20"/>
        </w:rPr>
        <w:t>Administrative Arrangements Order</w:t>
      </w:r>
      <w:r>
        <w:rPr>
          <w:sz w:val="20"/>
        </w:rPr>
        <w:t xml:space="preserve">. Accordingly, references to the </w:t>
      </w:r>
      <w:r w:rsidRPr="0083161E">
        <w:rPr>
          <w:sz w:val="20"/>
        </w:rPr>
        <w:t>Industry, Innovation, Science, Research and Tertiary Education</w:t>
      </w:r>
      <w:r>
        <w:rPr>
          <w:sz w:val="20"/>
        </w:rPr>
        <w:t xml:space="preserve"> portfolio were not amended to reflect the new name</w:t>
      </w:r>
      <w:r w:rsidR="00BD6F47">
        <w:rPr>
          <w:sz w:val="20"/>
        </w:rPr>
        <w:t xml:space="preserve"> of the Department</w:t>
      </w:r>
      <w:r>
        <w:rPr>
          <w:sz w:val="20"/>
        </w:rPr>
        <w:t xml:space="preserve">, to maintain coherence with the existing structure of this Act, including the table of contents. </w:t>
      </w:r>
      <w:r w:rsidRPr="009F33BC">
        <w:rPr>
          <w:sz w:val="20"/>
        </w:rPr>
        <w:t>O</w:t>
      </w:r>
      <w:r w:rsidR="00BD6F47">
        <w:rPr>
          <w:sz w:val="20"/>
        </w:rPr>
        <w:t>n a related matter, o</w:t>
      </w:r>
      <w:r w:rsidRPr="009F33BC">
        <w:rPr>
          <w:sz w:val="20"/>
        </w:rPr>
        <w:t>rders made under s</w:t>
      </w:r>
      <w:r>
        <w:rPr>
          <w:sz w:val="20"/>
        </w:rPr>
        <w:t>ection</w:t>
      </w:r>
      <w:r w:rsidRPr="009F33BC">
        <w:rPr>
          <w:sz w:val="20"/>
        </w:rPr>
        <w:t xml:space="preserve"> 19B of the </w:t>
      </w:r>
      <w:r w:rsidRPr="009F33BC">
        <w:rPr>
          <w:i/>
          <w:sz w:val="20"/>
        </w:rPr>
        <w:t>Acts Interpretation Act 1901</w:t>
      </w:r>
      <w:r w:rsidRPr="009F33BC">
        <w:rPr>
          <w:sz w:val="20"/>
        </w:rPr>
        <w:t xml:space="preserve"> </w:t>
      </w:r>
      <w:proofErr w:type="gramStart"/>
      <w:r w:rsidR="00BD6F47">
        <w:rPr>
          <w:sz w:val="20"/>
        </w:rPr>
        <w:t xml:space="preserve">enable </w:t>
      </w:r>
      <w:r w:rsidRPr="009F33BC">
        <w:rPr>
          <w:sz w:val="20"/>
        </w:rPr>
        <w:t xml:space="preserve"> statutory</w:t>
      </w:r>
      <w:proofErr w:type="gramEnd"/>
      <w:r w:rsidRPr="009F33BC">
        <w:rPr>
          <w:sz w:val="20"/>
        </w:rPr>
        <w:t xml:space="preserve"> references to a particular Departmen</w:t>
      </w:r>
      <w:r>
        <w:rPr>
          <w:sz w:val="20"/>
        </w:rPr>
        <w:t>t</w:t>
      </w:r>
      <w:r w:rsidR="00BD6F47">
        <w:rPr>
          <w:sz w:val="20"/>
        </w:rPr>
        <w:t>’s name</w:t>
      </w:r>
      <w:r>
        <w:rPr>
          <w:sz w:val="20"/>
        </w:rPr>
        <w:t xml:space="preserve"> </w:t>
      </w:r>
      <w:r w:rsidR="00BD6F47">
        <w:rPr>
          <w:sz w:val="20"/>
        </w:rPr>
        <w:t>to be read as a reference to a new Department’s name</w:t>
      </w:r>
      <w:r>
        <w:rPr>
          <w:sz w:val="20"/>
        </w:rPr>
        <w:t>.</w:t>
      </w:r>
    </w:p>
    <w:p w:rsidR="00A44352" w:rsidRPr="00F8415C" w:rsidRDefault="00A44352" w:rsidP="00F8415C">
      <w:pPr>
        <w:pStyle w:val="notemargin"/>
        <w:spacing w:line="240" w:lineRule="auto"/>
        <w:ind w:firstLine="0"/>
        <w:rPr>
          <w:sz w:val="20"/>
        </w:rPr>
      </w:pPr>
      <w:r w:rsidRPr="0057440A">
        <w:rPr>
          <w:sz w:val="20"/>
        </w:rPr>
        <w:t xml:space="preserve">These changes were made to implement the amendments to the </w:t>
      </w:r>
      <w:r w:rsidRPr="00220F65">
        <w:rPr>
          <w:i/>
          <w:sz w:val="20"/>
        </w:rPr>
        <w:t>Administrative Arrangements Order</w:t>
      </w:r>
      <w:r w:rsidRPr="0057440A">
        <w:rPr>
          <w:sz w:val="20"/>
        </w:rPr>
        <w:t xml:space="preserve"> made on 25 March 2013.</w:t>
      </w:r>
      <w:r>
        <w:rPr>
          <w:sz w:val="20"/>
        </w:rPr>
        <w:t xml:space="preserve"> F</w:t>
      </w:r>
      <w:r w:rsidRPr="00F967AE">
        <w:rPr>
          <w:sz w:val="20"/>
        </w:rPr>
        <w:t xml:space="preserve">unctions of the former </w:t>
      </w:r>
      <w:r>
        <w:rPr>
          <w:sz w:val="20"/>
        </w:rPr>
        <w:t xml:space="preserve">DCCEE </w:t>
      </w:r>
      <w:r w:rsidRPr="00F967AE">
        <w:rPr>
          <w:sz w:val="20"/>
        </w:rPr>
        <w:t>in relation to climate change</w:t>
      </w:r>
      <w:r>
        <w:rPr>
          <w:sz w:val="20"/>
        </w:rPr>
        <w:t xml:space="preserve"> were</w:t>
      </w:r>
      <w:r w:rsidRPr="00F967AE">
        <w:rPr>
          <w:sz w:val="20"/>
        </w:rPr>
        <w:t xml:space="preserve"> transferred</w:t>
      </w:r>
      <w:r>
        <w:rPr>
          <w:sz w:val="20"/>
        </w:rPr>
        <w:t xml:space="preserve"> </w:t>
      </w:r>
      <w:r w:rsidRPr="00F967AE">
        <w:rPr>
          <w:sz w:val="20"/>
        </w:rPr>
        <w:t xml:space="preserve">to </w:t>
      </w:r>
      <w:r>
        <w:rPr>
          <w:sz w:val="20"/>
        </w:rPr>
        <w:t xml:space="preserve">DIICCSRTE. </w:t>
      </w:r>
    </w:p>
    <w:p w:rsidR="00A44352" w:rsidRPr="00F242BC" w:rsidRDefault="00A44352" w:rsidP="00023F0C">
      <w:pPr>
        <w:pStyle w:val="A1S"/>
        <w:spacing w:before="240" w:line="240" w:lineRule="auto"/>
        <w:ind w:left="709" w:hanging="709"/>
      </w:pPr>
      <w:r>
        <w:t>[5]</w:t>
      </w:r>
      <w:r>
        <w:tab/>
      </w:r>
      <w:r w:rsidRPr="008D7292">
        <w:tab/>
        <w:t xml:space="preserve">Schedule 1, </w:t>
      </w:r>
      <w:r>
        <w:t>Resources, Energy and Tourism</w:t>
      </w:r>
      <w:r w:rsidRPr="00DF2C59">
        <w:t xml:space="preserve"> portfolio, Department of </w:t>
      </w:r>
      <w:r>
        <w:t>Resources, Energy and Tourism</w:t>
      </w:r>
      <w:r w:rsidRPr="00E7285F">
        <w:rPr>
          <w:bCs/>
        </w:rPr>
        <w:t xml:space="preserve"> </w:t>
      </w:r>
      <w:r w:rsidRPr="00DF2C59">
        <w:t>table</w:t>
      </w:r>
    </w:p>
    <w:p w:rsidR="00A44352" w:rsidRDefault="00A44352" w:rsidP="00023F0C">
      <w:pPr>
        <w:pStyle w:val="A2S"/>
        <w:keepNext w:val="0"/>
        <w:spacing w:after="120" w:line="240" w:lineRule="auto"/>
      </w:pPr>
      <w:r w:rsidRPr="00F52AD0">
        <w:t>Omit</w:t>
      </w:r>
      <w:r>
        <w:t xml:space="preserve"> the table and insert</w:t>
      </w:r>
    </w:p>
    <w:tbl>
      <w:tblPr>
        <w:tblW w:w="9102" w:type="dxa"/>
        <w:tblLayout w:type="fixed"/>
        <w:tblCellMar>
          <w:left w:w="30" w:type="dxa"/>
          <w:right w:w="30" w:type="dxa"/>
        </w:tblCellMar>
        <w:tblLook w:val="0000"/>
      </w:tblPr>
      <w:tblGrid>
        <w:gridCol w:w="3612"/>
        <w:gridCol w:w="1805"/>
        <w:gridCol w:w="1843"/>
        <w:gridCol w:w="1842"/>
      </w:tblGrid>
      <w:tr w:rsidR="00A44352" w:rsidTr="00743E53">
        <w:trPr>
          <w:tblHeader/>
        </w:trPr>
        <w:tc>
          <w:tcPr>
            <w:tcW w:w="9102" w:type="dxa"/>
            <w:gridSpan w:val="4"/>
          </w:tcPr>
          <w:p w:rsidR="00A44352" w:rsidRDefault="00A44352" w:rsidP="00023F0C">
            <w:pPr>
              <w:pStyle w:val="FinTableHeadingCenteredBold"/>
            </w:pPr>
            <w:r>
              <w:t>Resources, Energy and Tourism PORTFOLIO</w:t>
            </w:r>
          </w:p>
          <w:p w:rsidR="00A44352" w:rsidRDefault="00A44352" w:rsidP="0056750D">
            <w:pPr>
              <w:pStyle w:val="KeyLight0"/>
            </w:pPr>
            <w:r>
              <w:t>Appropriation (plain figures)—2012</w:t>
            </w:r>
            <w:r>
              <w:noBreakHyphen/>
              <w:t>2013</w:t>
            </w:r>
          </w:p>
          <w:p w:rsidR="00A44352" w:rsidRPr="0056750D" w:rsidRDefault="00A44352" w:rsidP="0056750D">
            <w:pPr>
              <w:pStyle w:val="KeyLight0"/>
              <w:rPr>
                <w:i/>
                <w:sz w:val="15"/>
                <w:szCs w:val="15"/>
              </w:rPr>
            </w:pPr>
            <w:r w:rsidRPr="0056750D">
              <w:rPr>
                <w:i/>
                <w:sz w:val="15"/>
                <w:szCs w:val="15"/>
              </w:rPr>
              <w:t>Actual Available Appropriation (italic figures)—2011</w:t>
            </w:r>
            <w:r w:rsidRPr="0056750D">
              <w:rPr>
                <w:i/>
                <w:sz w:val="15"/>
                <w:szCs w:val="15"/>
              </w:rPr>
              <w:noBreakHyphen/>
              <w:t>2012</w:t>
            </w:r>
          </w:p>
          <w:p w:rsidR="00A44352" w:rsidRDefault="00A44352" w:rsidP="00023F0C">
            <w:pPr>
              <w:pStyle w:val="KeyItalic0"/>
            </w:pPr>
          </w:p>
        </w:tc>
      </w:tr>
      <w:tr w:rsidR="00A44352" w:rsidTr="00743E53">
        <w:trPr>
          <w:trHeight w:val="190"/>
          <w:tblHeader/>
        </w:trPr>
        <w:tc>
          <w:tcPr>
            <w:tcW w:w="3612" w:type="dxa"/>
            <w:tcBorders>
              <w:top w:val="single" w:sz="2" w:space="0" w:color="auto"/>
            </w:tcBorders>
            <w:vAlign w:val="center"/>
          </w:tcPr>
          <w:p w:rsidR="00A44352" w:rsidRDefault="00A44352" w:rsidP="00023F0C">
            <w:pPr>
              <w:pStyle w:val="FinTableRight"/>
            </w:pPr>
          </w:p>
        </w:tc>
        <w:tc>
          <w:tcPr>
            <w:tcW w:w="1805" w:type="dxa"/>
            <w:tcBorders>
              <w:top w:val="single" w:sz="2" w:space="0" w:color="auto"/>
            </w:tcBorders>
            <w:vAlign w:val="center"/>
          </w:tcPr>
          <w:p w:rsidR="00A44352" w:rsidRDefault="00A44352" w:rsidP="00023F0C">
            <w:pPr>
              <w:pStyle w:val="FinTableRight"/>
            </w:pPr>
            <w:r>
              <w:t>Departmental</w:t>
            </w:r>
          </w:p>
        </w:tc>
        <w:tc>
          <w:tcPr>
            <w:tcW w:w="1843" w:type="dxa"/>
            <w:tcBorders>
              <w:top w:val="single" w:sz="2" w:space="0" w:color="auto"/>
            </w:tcBorders>
            <w:vAlign w:val="center"/>
          </w:tcPr>
          <w:p w:rsidR="00A44352" w:rsidRDefault="00A44352" w:rsidP="00023F0C">
            <w:pPr>
              <w:pStyle w:val="FinTableRight"/>
            </w:pPr>
            <w:r>
              <w:t>Administered</w:t>
            </w:r>
          </w:p>
        </w:tc>
        <w:tc>
          <w:tcPr>
            <w:tcW w:w="1842" w:type="dxa"/>
            <w:tcBorders>
              <w:top w:val="single" w:sz="2" w:space="0" w:color="auto"/>
            </w:tcBorders>
            <w:vAlign w:val="center"/>
          </w:tcPr>
          <w:p w:rsidR="00A44352" w:rsidRDefault="00A44352" w:rsidP="00023F0C">
            <w:pPr>
              <w:pStyle w:val="FinTableRight"/>
            </w:pPr>
            <w:r>
              <w:t>Total</w:t>
            </w:r>
          </w:p>
        </w:tc>
      </w:tr>
      <w:tr w:rsidR="00A44352" w:rsidTr="00743E53">
        <w:trPr>
          <w:tblHeader/>
        </w:trPr>
        <w:tc>
          <w:tcPr>
            <w:tcW w:w="3612" w:type="dxa"/>
            <w:tcBorders>
              <w:top w:val="single" w:sz="2" w:space="0" w:color="auto"/>
            </w:tcBorders>
          </w:tcPr>
          <w:p w:rsidR="00A44352" w:rsidRDefault="00A44352" w:rsidP="00023F0C">
            <w:pPr>
              <w:pStyle w:val="FinTableRight"/>
            </w:pPr>
          </w:p>
        </w:tc>
        <w:tc>
          <w:tcPr>
            <w:tcW w:w="1805" w:type="dxa"/>
            <w:tcBorders>
              <w:top w:val="single" w:sz="2" w:space="0" w:color="auto"/>
            </w:tcBorders>
          </w:tcPr>
          <w:p w:rsidR="00A44352" w:rsidRDefault="00A44352" w:rsidP="00023F0C">
            <w:pPr>
              <w:pStyle w:val="FinTableRight"/>
            </w:pPr>
            <w:r>
              <w:t>$'000</w:t>
            </w:r>
          </w:p>
        </w:tc>
        <w:tc>
          <w:tcPr>
            <w:tcW w:w="1843" w:type="dxa"/>
            <w:tcBorders>
              <w:top w:val="single" w:sz="2" w:space="0" w:color="auto"/>
            </w:tcBorders>
          </w:tcPr>
          <w:p w:rsidR="00A44352" w:rsidRDefault="00A44352" w:rsidP="00023F0C">
            <w:pPr>
              <w:pStyle w:val="FinTableRight"/>
            </w:pPr>
            <w:r>
              <w:t>$'000</w:t>
            </w:r>
          </w:p>
        </w:tc>
        <w:tc>
          <w:tcPr>
            <w:tcW w:w="1842" w:type="dxa"/>
            <w:tcBorders>
              <w:top w:val="single" w:sz="2" w:space="0" w:color="auto"/>
            </w:tcBorders>
          </w:tcPr>
          <w:p w:rsidR="00A44352" w:rsidRDefault="00A44352" w:rsidP="00023F0C">
            <w:pPr>
              <w:pStyle w:val="FinTableRight"/>
            </w:pPr>
            <w:r>
              <w:t>$’000</w:t>
            </w:r>
          </w:p>
        </w:tc>
      </w:tr>
      <w:tr w:rsidR="00A44352" w:rsidTr="00743E53">
        <w:tc>
          <w:tcPr>
            <w:tcW w:w="3612" w:type="dxa"/>
          </w:tcPr>
          <w:p w:rsidR="00A44352" w:rsidRDefault="00A44352" w:rsidP="00023F0C">
            <w:pPr>
              <w:pStyle w:val="FinTableLeftBold"/>
            </w:pPr>
            <w:r>
              <w:t>DEPARTMENT OF RESOURCES, ENERGY AND TOURISM</w:t>
            </w:r>
          </w:p>
        </w:tc>
        <w:tc>
          <w:tcPr>
            <w:tcW w:w="1805" w:type="dxa"/>
          </w:tcPr>
          <w:p w:rsidR="00A44352" w:rsidRDefault="00A44352" w:rsidP="00023F0C">
            <w:pPr>
              <w:pStyle w:val="FinTableRight"/>
            </w:pPr>
          </w:p>
        </w:tc>
        <w:tc>
          <w:tcPr>
            <w:tcW w:w="1843" w:type="dxa"/>
          </w:tcPr>
          <w:p w:rsidR="00A44352" w:rsidRDefault="00A44352" w:rsidP="00023F0C">
            <w:pPr>
              <w:pStyle w:val="FinTableRight"/>
            </w:pPr>
          </w:p>
        </w:tc>
        <w:tc>
          <w:tcPr>
            <w:tcW w:w="1842" w:type="dxa"/>
          </w:tcPr>
          <w:p w:rsidR="00A44352" w:rsidRDefault="00A44352" w:rsidP="00023F0C">
            <w:pPr>
              <w:pStyle w:val="FinTableRight"/>
            </w:pPr>
          </w:p>
        </w:tc>
      </w:tr>
      <w:tr w:rsidR="00A44352" w:rsidTr="00743E53">
        <w:tc>
          <w:tcPr>
            <w:tcW w:w="3612" w:type="dxa"/>
            <w:vMerge w:val="restart"/>
          </w:tcPr>
          <w:p w:rsidR="00A44352" w:rsidRDefault="00A44352" w:rsidP="00023F0C">
            <w:pPr>
              <w:pStyle w:val="FinTableLeftBold"/>
            </w:pPr>
            <w:r>
              <w:t xml:space="preserve">Outcome 1 </w:t>
            </w:r>
            <w:r>
              <w:noBreakHyphen/>
              <w:t xml:space="preserve"> </w:t>
            </w:r>
          </w:p>
          <w:p w:rsidR="00A44352" w:rsidRDefault="006465DB" w:rsidP="004068DA">
            <w:pPr>
              <w:pStyle w:val="FinTableLeftIndent"/>
            </w:pPr>
            <w:r>
              <w:t>The improved strength, competitiveness and sustainability of the Resources, Energy and Tourism industries to enhance Australia’s prosperity through implementation of government policy and programs (including to perform the activities indicated in the Portfolio Budget Statements for 2012-2013 of the Department of Climate Change and Energy Efficiency as being activities in respect of Outcome 1 for that Department</w:t>
            </w:r>
            <w:r w:rsidR="00BD6F47">
              <w:t>)</w:t>
            </w:r>
          </w:p>
        </w:tc>
        <w:tc>
          <w:tcPr>
            <w:tcW w:w="1805" w:type="dxa"/>
          </w:tcPr>
          <w:p w:rsidR="00A44352" w:rsidRDefault="00A44352" w:rsidP="00023F0C">
            <w:pPr>
              <w:pStyle w:val="FinTableRight"/>
            </w:pPr>
          </w:p>
        </w:tc>
        <w:tc>
          <w:tcPr>
            <w:tcW w:w="1843" w:type="dxa"/>
          </w:tcPr>
          <w:p w:rsidR="00A44352" w:rsidRDefault="00A44352" w:rsidP="00023F0C">
            <w:pPr>
              <w:pStyle w:val="FinTableRight"/>
            </w:pPr>
          </w:p>
        </w:tc>
        <w:tc>
          <w:tcPr>
            <w:tcW w:w="1842" w:type="dxa"/>
          </w:tcPr>
          <w:p w:rsidR="00A44352" w:rsidRDefault="00A44352" w:rsidP="00023F0C">
            <w:pPr>
              <w:pStyle w:val="FinTableRight"/>
            </w:pPr>
          </w:p>
        </w:tc>
      </w:tr>
      <w:tr w:rsidR="00A44352" w:rsidTr="00743E53">
        <w:tc>
          <w:tcPr>
            <w:tcW w:w="3612" w:type="dxa"/>
            <w:vMerge/>
          </w:tcPr>
          <w:p w:rsidR="00A44352" w:rsidRDefault="00A44352" w:rsidP="00023F0C">
            <w:pPr>
              <w:pStyle w:val="FinTableLeftIndent"/>
            </w:pPr>
          </w:p>
        </w:tc>
        <w:tc>
          <w:tcPr>
            <w:tcW w:w="1805" w:type="dxa"/>
          </w:tcPr>
          <w:p w:rsidR="00A44352" w:rsidRDefault="00A44352" w:rsidP="00023F0C">
            <w:pPr>
              <w:pStyle w:val="FinTableRight"/>
            </w:pPr>
            <w:r>
              <w:t>81,680</w:t>
            </w:r>
          </w:p>
        </w:tc>
        <w:tc>
          <w:tcPr>
            <w:tcW w:w="1843" w:type="dxa"/>
          </w:tcPr>
          <w:p w:rsidR="00A44352" w:rsidRDefault="00A44352" w:rsidP="00023F0C">
            <w:pPr>
              <w:pStyle w:val="FinTableRight"/>
            </w:pPr>
            <w:r>
              <w:t>371,201</w:t>
            </w:r>
            <w:r w:rsidR="003D5D4A" w:rsidRPr="006340FE">
              <w:t>.</w:t>
            </w:r>
            <w:r>
              <w:t>92063</w:t>
            </w:r>
          </w:p>
        </w:tc>
        <w:tc>
          <w:tcPr>
            <w:tcW w:w="1842" w:type="dxa"/>
          </w:tcPr>
          <w:p w:rsidR="00A44352" w:rsidRDefault="00A44352" w:rsidP="0056750D">
            <w:pPr>
              <w:pStyle w:val="FinTableRight"/>
            </w:pPr>
            <w:r>
              <w:t>452,881</w:t>
            </w:r>
            <w:r w:rsidR="003D5D4A" w:rsidRPr="006340FE">
              <w:t>.</w:t>
            </w:r>
            <w:r>
              <w:t>92063</w:t>
            </w:r>
          </w:p>
        </w:tc>
      </w:tr>
      <w:tr w:rsidR="00A44352" w:rsidTr="00743E53">
        <w:tc>
          <w:tcPr>
            <w:tcW w:w="3612" w:type="dxa"/>
            <w:vMerge/>
          </w:tcPr>
          <w:p w:rsidR="00A44352" w:rsidRDefault="00A44352" w:rsidP="00023F0C">
            <w:pPr>
              <w:pStyle w:val="FinTableRight"/>
            </w:pPr>
          </w:p>
        </w:tc>
        <w:tc>
          <w:tcPr>
            <w:tcW w:w="1805" w:type="dxa"/>
          </w:tcPr>
          <w:p w:rsidR="00A44352" w:rsidRDefault="00A44352" w:rsidP="00023F0C">
            <w:pPr>
              <w:pStyle w:val="FinTableRightItalic"/>
            </w:pPr>
            <w:r>
              <w:t>114,045</w:t>
            </w:r>
          </w:p>
        </w:tc>
        <w:tc>
          <w:tcPr>
            <w:tcW w:w="1843" w:type="dxa"/>
          </w:tcPr>
          <w:p w:rsidR="00A44352" w:rsidRDefault="00A44352" w:rsidP="00023F0C">
            <w:pPr>
              <w:pStyle w:val="FinTableRightItalic"/>
            </w:pPr>
            <w:r>
              <w:t>986,741</w:t>
            </w:r>
          </w:p>
        </w:tc>
        <w:tc>
          <w:tcPr>
            <w:tcW w:w="1842" w:type="dxa"/>
          </w:tcPr>
          <w:p w:rsidR="00A44352" w:rsidRDefault="00A44352" w:rsidP="00023F0C">
            <w:pPr>
              <w:pStyle w:val="FinTableRightItalic"/>
            </w:pPr>
            <w:r>
              <w:t>1,100,786</w:t>
            </w:r>
          </w:p>
        </w:tc>
      </w:tr>
      <w:tr w:rsidR="00A44352" w:rsidTr="00743E53">
        <w:tc>
          <w:tcPr>
            <w:tcW w:w="3612" w:type="dxa"/>
          </w:tcPr>
          <w:p w:rsidR="00A44352" w:rsidRDefault="00A44352" w:rsidP="00023F0C">
            <w:pPr>
              <w:pStyle w:val="FinTableSpacerRow"/>
            </w:pPr>
          </w:p>
        </w:tc>
        <w:tc>
          <w:tcPr>
            <w:tcW w:w="1805" w:type="dxa"/>
          </w:tcPr>
          <w:p w:rsidR="00A44352" w:rsidRDefault="00A44352" w:rsidP="00023F0C">
            <w:pPr>
              <w:pStyle w:val="FinTableSpacerRow"/>
            </w:pPr>
          </w:p>
        </w:tc>
        <w:tc>
          <w:tcPr>
            <w:tcW w:w="1843" w:type="dxa"/>
          </w:tcPr>
          <w:p w:rsidR="00A44352" w:rsidRDefault="00A44352" w:rsidP="00023F0C">
            <w:pPr>
              <w:pStyle w:val="FinTableSpacerRow"/>
            </w:pPr>
          </w:p>
        </w:tc>
        <w:tc>
          <w:tcPr>
            <w:tcW w:w="1842" w:type="dxa"/>
          </w:tcPr>
          <w:p w:rsidR="00A44352" w:rsidRDefault="00A44352" w:rsidP="00023F0C">
            <w:pPr>
              <w:pStyle w:val="FinTableSpacerRow"/>
            </w:pPr>
          </w:p>
        </w:tc>
      </w:tr>
      <w:tr w:rsidR="00A44352" w:rsidTr="00743E53">
        <w:tc>
          <w:tcPr>
            <w:tcW w:w="3612" w:type="dxa"/>
            <w:vMerge w:val="restart"/>
            <w:tcBorders>
              <w:top w:val="single" w:sz="2" w:space="0" w:color="auto"/>
            </w:tcBorders>
          </w:tcPr>
          <w:p w:rsidR="00A44352" w:rsidRDefault="00A44352" w:rsidP="00023F0C">
            <w:pPr>
              <w:pStyle w:val="FinTableLeftBoldHanging"/>
            </w:pPr>
            <w:r>
              <w:t>Total: Department of Resources, Energy and Tourism</w:t>
            </w:r>
          </w:p>
        </w:tc>
        <w:tc>
          <w:tcPr>
            <w:tcW w:w="1805" w:type="dxa"/>
            <w:tcBorders>
              <w:top w:val="single" w:sz="2" w:space="0" w:color="auto"/>
            </w:tcBorders>
          </w:tcPr>
          <w:p w:rsidR="00A44352" w:rsidRPr="0056750D" w:rsidRDefault="00A44352" w:rsidP="00023F0C">
            <w:pPr>
              <w:pStyle w:val="FinTableRightBold"/>
            </w:pPr>
            <w:r>
              <w:t>81,680</w:t>
            </w:r>
          </w:p>
        </w:tc>
        <w:tc>
          <w:tcPr>
            <w:tcW w:w="1843" w:type="dxa"/>
            <w:tcBorders>
              <w:top w:val="single" w:sz="2" w:space="0" w:color="auto"/>
            </w:tcBorders>
          </w:tcPr>
          <w:p w:rsidR="00A44352" w:rsidRDefault="00A44352" w:rsidP="00023F0C">
            <w:pPr>
              <w:pStyle w:val="FinTableRightBold"/>
            </w:pPr>
            <w:r>
              <w:t>371,201</w:t>
            </w:r>
            <w:r w:rsidR="003D5D4A" w:rsidRPr="006340FE">
              <w:t>.</w:t>
            </w:r>
            <w:r>
              <w:t>92063</w:t>
            </w:r>
          </w:p>
        </w:tc>
        <w:tc>
          <w:tcPr>
            <w:tcW w:w="1842" w:type="dxa"/>
            <w:tcBorders>
              <w:top w:val="single" w:sz="2" w:space="0" w:color="auto"/>
            </w:tcBorders>
          </w:tcPr>
          <w:p w:rsidR="00A44352" w:rsidRDefault="00A44352" w:rsidP="00023F0C">
            <w:pPr>
              <w:pStyle w:val="FinTableRightBold"/>
            </w:pPr>
            <w:r>
              <w:t>452,881</w:t>
            </w:r>
            <w:r w:rsidR="003D5D4A" w:rsidRPr="006340FE">
              <w:t>.</w:t>
            </w:r>
            <w:r>
              <w:t>92063</w:t>
            </w:r>
          </w:p>
        </w:tc>
      </w:tr>
      <w:tr w:rsidR="00A44352" w:rsidTr="00743E53">
        <w:tc>
          <w:tcPr>
            <w:tcW w:w="3612" w:type="dxa"/>
            <w:vMerge/>
            <w:tcBorders>
              <w:bottom w:val="single" w:sz="2" w:space="0" w:color="auto"/>
            </w:tcBorders>
          </w:tcPr>
          <w:p w:rsidR="00A44352" w:rsidRDefault="00A44352" w:rsidP="00023F0C">
            <w:pPr>
              <w:pStyle w:val="FinTableLeftBoldHanging"/>
            </w:pPr>
          </w:p>
        </w:tc>
        <w:tc>
          <w:tcPr>
            <w:tcW w:w="1805" w:type="dxa"/>
            <w:tcBorders>
              <w:bottom w:val="single" w:sz="2" w:space="0" w:color="auto"/>
            </w:tcBorders>
          </w:tcPr>
          <w:p w:rsidR="00A44352" w:rsidRDefault="00A44352" w:rsidP="00023F0C">
            <w:pPr>
              <w:pStyle w:val="FinTableRightItalic"/>
            </w:pPr>
            <w:r>
              <w:t>114,045</w:t>
            </w:r>
          </w:p>
        </w:tc>
        <w:tc>
          <w:tcPr>
            <w:tcW w:w="1843" w:type="dxa"/>
            <w:tcBorders>
              <w:bottom w:val="single" w:sz="2" w:space="0" w:color="auto"/>
            </w:tcBorders>
          </w:tcPr>
          <w:p w:rsidR="00A44352" w:rsidRDefault="00A44352" w:rsidP="00023F0C">
            <w:pPr>
              <w:pStyle w:val="FinTableRightItalic"/>
            </w:pPr>
            <w:r>
              <w:t>986,741</w:t>
            </w:r>
          </w:p>
        </w:tc>
        <w:tc>
          <w:tcPr>
            <w:tcW w:w="1842" w:type="dxa"/>
            <w:tcBorders>
              <w:bottom w:val="single" w:sz="2" w:space="0" w:color="auto"/>
            </w:tcBorders>
          </w:tcPr>
          <w:p w:rsidR="00A44352" w:rsidRDefault="00A44352" w:rsidP="00023F0C">
            <w:pPr>
              <w:pStyle w:val="FinTableRightItalic"/>
            </w:pPr>
            <w:r>
              <w:t>1,100,786</w:t>
            </w:r>
          </w:p>
        </w:tc>
      </w:tr>
    </w:tbl>
    <w:p w:rsidR="00A44352" w:rsidRPr="00402FD4" w:rsidRDefault="00A44352" w:rsidP="00023F0C">
      <w:pPr>
        <w:pStyle w:val="A1S"/>
        <w:spacing w:before="240" w:line="240" w:lineRule="auto"/>
        <w:ind w:left="709" w:hanging="709"/>
      </w:pPr>
      <w:r w:rsidRPr="00402FD4">
        <w:t>[</w:t>
      </w:r>
      <w:r>
        <w:t>6</w:t>
      </w:r>
      <w:r w:rsidRPr="00402FD4">
        <w:t>]</w:t>
      </w:r>
      <w:r w:rsidRPr="00402FD4">
        <w:tab/>
        <w:t xml:space="preserve">Schedule </w:t>
      </w:r>
      <w:r>
        <w:t>1</w:t>
      </w:r>
      <w:r w:rsidRPr="00402FD4">
        <w:t xml:space="preserve">, </w:t>
      </w:r>
      <w:r>
        <w:t>Resources, Energy and Tourism</w:t>
      </w:r>
      <w:r w:rsidRPr="00E7285F">
        <w:rPr>
          <w:bCs/>
        </w:rPr>
        <w:t xml:space="preserve"> portfolio</w:t>
      </w:r>
      <w:r w:rsidRPr="00402FD4">
        <w:t xml:space="preserve">, after the </w:t>
      </w:r>
      <w:r>
        <w:rPr>
          <w:bCs/>
        </w:rPr>
        <w:t xml:space="preserve">Department of </w:t>
      </w:r>
      <w:r>
        <w:t>Resources, Energy and Tourism</w:t>
      </w:r>
      <w:r w:rsidRPr="00E7285F">
        <w:rPr>
          <w:bCs/>
        </w:rPr>
        <w:t xml:space="preserve"> </w:t>
      </w:r>
      <w:r w:rsidRPr="00402FD4">
        <w:t>table</w:t>
      </w:r>
    </w:p>
    <w:p w:rsidR="00A44352" w:rsidRDefault="00A44352" w:rsidP="00023F0C">
      <w:pPr>
        <w:pStyle w:val="ScheduleVerb"/>
        <w:spacing w:line="240" w:lineRule="auto"/>
      </w:pPr>
      <w:r>
        <w:t>I</w:t>
      </w:r>
      <w:r w:rsidRPr="00A04780">
        <w:t>nsert</w:t>
      </w:r>
    </w:p>
    <w:p w:rsidR="00A44352" w:rsidRDefault="00A44352" w:rsidP="00002CCD">
      <w:pPr>
        <w:pStyle w:val="notemargin"/>
        <w:keepLines/>
        <w:spacing w:before="120" w:line="240" w:lineRule="auto"/>
        <w:ind w:firstLine="0"/>
        <w:rPr>
          <w:sz w:val="20"/>
        </w:rPr>
      </w:pPr>
      <w:r w:rsidRPr="00580E6F">
        <w:rPr>
          <w:sz w:val="20"/>
        </w:rPr>
        <w:t>Note </w:t>
      </w:r>
      <w:r>
        <w:rPr>
          <w:sz w:val="20"/>
        </w:rPr>
        <w:t>1</w:t>
      </w:r>
      <w:r w:rsidRPr="00580E6F">
        <w:rPr>
          <w:sz w:val="20"/>
        </w:rPr>
        <w:t>:</w:t>
      </w:r>
      <w:r w:rsidRPr="00580E6F">
        <w:rPr>
          <w:sz w:val="20"/>
        </w:rPr>
        <w:tab/>
      </w:r>
      <w:r w:rsidR="006465DB">
        <w:rPr>
          <w:i/>
          <w:sz w:val="20"/>
        </w:rPr>
        <w:t>FMA Act</w:t>
      </w:r>
      <w:r w:rsidR="006465DB" w:rsidRPr="006C22E9">
        <w:rPr>
          <w:i/>
          <w:sz w:val="20"/>
        </w:rPr>
        <w:t xml:space="preserve"> Determination </w:t>
      </w:r>
      <w:r w:rsidR="006465DB">
        <w:rPr>
          <w:i/>
          <w:sz w:val="20"/>
        </w:rPr>
        <w:t>2013/01</w:t>
      </w:r>
      <w:r w:rsidR="006465DB" w:rsidRPr="006C22E9">
        <w:rPr>
          <w:i/>
          <w:sz w:val="20"/>
        </w:rPr>
        <w:t xml:space="preserve"> </w:t>
      </w:r>
      <w:r w:rsidRPr="00580E6F">
        <w:rPr>
          <w:i/>
          <w:noProof/>
          <w:sz w:val="20"/>
        </w:rPr>
        <w:t xml:space="preserve">— </w:t>
      </w:r>
      <w:r w:rsidRPr="00580E6F">
        <w:rPr>
          <w:i/>
          <w:sz w:val="20"/>
        </w:rPr>
        <w:t>Section 32 (</w:t>
      </w:r>
      <w:r w:rsidRPr="004E5756">
        <w:rPr>
          <w:i/>
          <w:sz w:val="20"/>
        </w:rPr>
        <w:t>Transfer of Functions from DCCEE to</w:t>
      </w:r>
      <w:r>
        <w:rPr>
          <w:i/>
          <w:sz w:val="20"/>
        </w:rPr>
        <w:t xml:space="preserve"> DIICCSRTE and DRET</w:t>
      </w:r>
      <w:r w:rsidRPr="00580E6F">
        <w:rPr>
          <w:i/>
          <w:sz w:val="20"/>
        </w:rPr>
        <w:t>)</w:t>
      </w:r>
      <w:r w:rsidRPr="004E5756">
        <w:rPr>
          <w:sz w:val="20"/>
        </w:rPr>
        <w:t xml:space="preserve"> </w:t>
      </w:r>
      <w:r>
        <w:rPr>
          <w:sz w:val="20"/>
        </w:rPr>
        <w:t xml:space="preserve">repealed the table for the </w:t>
      </w:r>
      <w:r w:rsidRPr="004E5756">
        <w:rPr>
          <w:sz w:val="20"/>
        </w:rPr>
        <w:t>Department of Resources, Energy and Tourism</w:t>
      </w:r>
      <w:r>
        <w:rPr>
          <w:sz w:val="20"/>
        </w:rPr>
        <w:t xml:space="preserve"> (DRET) and replaced it with a new table.</w:t>
      </w:r>
    </w:p>
    <w:p w:rsidR="00A44352" w:rsidRDefault="00A44352" w:rsidP="00F8415C">
      <w:pPr>
        <w:pStyle w:val="notemargin"/>
        <w:spacing w:before="120" w:line="240" w:lineRule="auto"/>
        <w:ind w:firstLine="0"/>
        <w:rPr>
          <w:sz w:val="20"/>
        </w:rPr>
      </w:pPr>
      <w:r>
        <w:rPr>
          <w:sz w:val="20"/>
        </w:rPr>
        <w:t>The administered item for</w:t>
      </w:r>
      <w:r w:rsidRPr="00363325">
        <w:rPr>
          <w:sz w:val="20"/>
        </w:rPr>
        <w:t xml:space="preserve"> Outcome 1 </w:t>
      </w:r>
      <w:r>
        <w:rPr>
          <w:sz w:val="20"/>
        </w:rPr>
        <w:t xml:space="preserve">was amended </w:t>
      </w:r>
      <w:r w:rsidRPr="00363325">
        <w:rPr>
          <w:sz w:val="20"/>
        </w:rPr>
        <w:t>to transfer</w:t>
      </w:r>
      <w:r>
        <w:rPr>
          <w:sz w:val="20"/>
        </w:rPr>
        <w:t xml:space="preserve"> $52,422,920.63 of the</w:t>
      </w:r>
      <w:r w:rsidRPr="00363325">
        <w:rPr>
          <w:sz w:val="20"/>
        </w:rPr>
        <w:t xml:space="preserve"> </w:t>
      </w:r>
      <w:r>
        <w:rPr>
          <w:sz w:val="20"/>
        </w:rPr>
        <w:t xml:space="preserve">unspent administered </w:t>
      </w:r>
      <w:r w:rsidR="00A33EED">
        <w:rPr>
          <w:sz w:val="20"/>
        </w:rPr>
        <w:t>amount</w:t>
      </w:r>
      <w:r w:rsidRPr="00363325">
        <w:rPr>
          <w:sz w:val="20"/>
        </w:rPr>
        <w:t xml:space="preserve"> from the former </w:t>
      </w:r>
      <w:r>
        <w:rPr>
          <w:sz w:val="20"/>
        </w:rPr>
        <w:t>Department of Climate Change and Energy Efficiency (</w:t>
      </w:r>
      <w:r w:rsidRPr="00363325">
        <w:rPr>
          <w:sz w:val="20"/>
        </w:rPr>
        <w:t>DCCEE</w:t>
      </w:r>
      <w:r>
        <w:rPr>
          <w:sz w:val="20"/>
        </w:rPr>
        <w:t>)</w:t>
      </w:r>
      <w:r w:rsidRPr="00363325">
        <w:rPr>
          <w:sz w:val="20"/>
        </w:rPr>
        <w:t xml:space="preserve"> to </w:t>
      </w:r>
      <w:r>
        <w:rPr>
          <w:sz w:val="20"/>
        </w:rPr>
        <w:t>DRET</w:t>
      </w:r>
      <w:r w:rsidRPr="00363325">
        <w:rPr>
          <w:sz w:val="20"/>
        </w:rPr>
        <w:t>.</w:t>
      </w:r>
      <w:r>
        <w:rPr>
          <w:sz w:val="20"/>
        </w:rPr>
        <w:t xml:space="preserve"> Consequential amendments were also made to the table.</w:t>
      </w:r>
    </w:p>
    <w:p w:rsidR="00A44352" w:rsidRDefault="00A44352" w:rsidP="00F8415C">
      <w:pPr>
        <w:pStyle w:val="notemargin"/>
        <w:spacing w:before="120" w:line="240" w:lineRule="auto"/>
        <w:ind w:firstLine="0"/>
        <w:rPr>
          <w:sz w:val="20"/>
        </w:rPr>
      </w:pPr>
      <w:r w:rsidRPr="0057440A">
        <w:rPr>
          <w:sz w:val="20"/>
        </w:rPr>
        <w:t xml:space="preserve">These changes were made to implement the amendments to the </w:t>
      </w:r>
      <w:r w:rsidRPr="00220F65">
        <w:rPr>
          <w:i/>
          <w:sz w:val="20"/>
        </w:rPr>
        <w:t>Administrative Arrangements Order</w:t>
      </w:r>
      <w:r w:rsidRPr="0057440A">
        <w:rPr>
          <w:sz w:val="20"/>
        </w:rPr>
        <w:t xml:space="preserve"> made on 25 March 2013. </w:t>
      </w:r>
      <w:r>
        <w:rPr>
          <w:sz w:val="20"/>
        </w:rPr>
        <w:t>F</w:t>
      </w:r>
      <w:r w:rsidRPr="00F967AE">
        <w:rPr>
          <w:sz w:val="20"/>
        </w:rPr>
        <w:t xml:space="preserve">unctions of the former </w:t>
      </w:r>
      <w:r>
        <w:rPr>
          <w:sz w:val="20"/>
        </w:rPr>
        <w:t>DCCEE</w:t>
      </w:r>
      <w:r w:rsidRPr="00363325">
        <w:rPr>
          <w:sz w:val="20"/>
        </w:rPr>
        <w:t xml:space="preserve"> </w:t>
      </w:r>
      <w:r w:rsidRPr="00F967AE">
        <w:rPr>
          <w:sz w:val="20"/>
        </w:rPr>
        <w:t>in relation to energy efficiency</w:t>
      </w:r>
      <w:r>
        <w:rPr>
          <w:sz w:val="20"/>
        </w:rPr>
        <w:t xml:space="preserve"> were</w:t>
      </w:r>
      <w:r w:rsidRPr="00F967AE">
        <w:rPr>
          <w:sz w:val="20"/>
        </w:rPr>
        <w:t xml:space="preserve"> transferred</w:t>
      </w:r>
      <w:r>
        <w:rPr>
          <w:sz w:val="20"/>
        </w:rPr>
        <w:t xml:space="preserve"> </w:t>
      </w:r>
      <w:r w:rsidRPr="00F967AE">
        <w:rPr>
          <w:sz w:val="20"/>
        </w:rPr>
        <w:t xml:space="preserve">to </w:t>
      </w:r>
      <w:r>
        <w:rPr>
          <w:sz w:val="20"/>
        </w:rPr>
        <w:t>DRET.</w:t>
      </w:r>
    </w:p>
    <w:p w:rsidR="006465DB" w:rsidRDefault="006465DB">
      <w:pPr>
        <w:rPr>
          <w:rStyle w:val="CharAmSchNo"/>
          <w:rFonts w:ascii="Arial" w:hAnsi="Arial"/>
          <w:b/>
          <w:sz w:val="32"/>
        </w:rPr>
      </w:pPr>
      <w:r>
        <w:rPr>
          <w:rStyle w:val="CharAmSchNo"/>
        </w:rPr>
        <w:br w:type="page"/>
      </w:r>
    </w:p>
    <w:p w:rsidR="00A44352" w:rsidRPr="009F04C1" w:rsidRDefault="00A046C0" w:rsidP="00743E53">
      <w:pPr>
        <w:pStyle w:val="Scheduletitle"/>
        <w:keepNext w:val="0"/>
        <w:keepLines w:val="0"/>
        <w:spacing w:before="240"/>
        <w:rPr>
          <w:rStyle w:val="CharAmSchNo"/>
        </w:rPr>
      </w:pPr>
      <w:r>
        <w:rPr>
          <w:rStyle w:val="CharAmSchNo"/>
        </w:rPr>
        <w:lastRenderedPageBreak/>
        <w:t>Chapter</w:t>
      </w:r>
      <w:r w:rsidR="00A44352" w:rsidRPr="00FF16B2">
        <w:rPr>
          <w:rStyle w:val="CharAmSchNo"/>
        </w:rPr>
        <w:t xml:space="preserve"> </w:t>
      </w:r>
      <w:r w:rsidR="00A44352">
        <w:rPr>
          <w:rStyle w:val="CharAmSchNo"/>
        </w:rPr>
        <w:t>2</w:t>
      </w:r>
      <w:r w:rsidR="00A44352" w:rsidRPr="00FF16B2">
        <w:rPr>
          <w:rStyle w:val="CharAmSchNo"/>
        </w:rPr>
        <w:tab/>
      </w:r>
      <w:r w:rsidR="00A44352" w:rsidRPr="00A046C0">
        <w:rPr>
          <w:rStyle w:val="CharAmSchNo"/>
        </w:rPr>
        <w:t xml:space="preserve">Amendment of </w:t>
      </w:r>
      <w:r w:rsidR="00A44352" w:rsidRPr="00A046C0">
        <w:rPr>
          <w:rStyle w:val="CharAmSchNo"/>
          <w:i/>
        </w:rPr>
        <w:t>Appropriation Act (No. 2) 2012-2013</w:t>
      </w:r>
    </w:p>
    <w:p w:rsidR="00A44352" w:rsidRDefault="00A44352" w:rsidP="00E35419">
      <w:pPr>
        <w:pStyle w:val="Schedulereference"/>
        <w:rPr>
          <w:rStyle w:val="CharSchPTNo"/>
        </w:rPr>
      </w:pPr>
      <w:r w:rsidRPr="00C04E99">
        <w:t>(</w:t>
      </w:r>
      <w:r>
        <w:t>Clause</w:t>
      </w:r>
      <w:r w:rsidRPr="00C04E99">
        <w:t xml:space="preserve"> 3)</w:t>
      </w:r>
    </w:p>
    <w:p w:rsidR="006F50A0" w:rsidRDefault="00A44352" w:rsidP="00E35419">
      <w:pPr>
        <w:pStyle w:val="A1S"/>
        <w:spacing w:before="240" w:line="240" w:lineRule="auto"/>
        <w:ind w:left="709" w:hanging="709"/>
      </w:pPr>
      <w:r>
        <w:t>[1]</w:t>
      </w:r>
      <w:r>
        <w:tab/>
      </w:r>
      <w:r w:rsidR="006F50A0">
        <w:t>Schedule 1</w:t>
      </w:r>
      <w:r w:rsidR="00743E53">
        <w:t>—Payments to or for the States, ACT, NT and local government</w:t>
      </w:r>
      <w:r w:rsidR="006F50A0">
        <w:t xml:space="preserve">, after </w:t>
      </w:r>
      <w:r w:rsidR="006465DB">
        <w:t xml:space="preserve">the </w:t>
      </w:r>
      <w:r w:rsidR="006F50A0">
        <w:t>“Department of Regional Australia, Local Government, Arts and Sport”</w:t>
      </w:r>
      <w:r w:rsidR="006465DB">
        <w:t xml:space="preserve"> row, and before the </w:t>
      </w:r>
      <w:r w:rsidR="00AC2241">
        <w:t>“</w:t>
      </w:r>
      <w:r w:rsidR="006465DB">
        <w:t>Department of Sustainability, Environment, Water, Population and Communities</w:t>
      </w:r>
      <w:r w:rsidR="00AC2241">
        <w:t>”</w:t>
      </w:r>
      <w:r w:rsidR="006465DB">
        <w:t xml:space="preserve"> row</w:t>
      </w:r>
    </w:p>
    <w:p w:rsidR="006F50A0" w:rsidRDefault="006F50A0" w:rsidP="006F50A0">
      <w:pPr>
        <w:pStyle w:val="A2S"/>
        <w:keepNext w:val="0"/>
        <w:spacing w:after="120" w:line="240" w:lineRule="auto"/>
      </w:pPr>
      <w:r>
        <w:t xml:space="preserve">Insert </w:t>
      </w:r>
      <w:r w:rsidR="006465DB">
        <w:t>a new row</w:t>
      </w:r>
    </w:p>
    <w:tbl>
      <w:tblPr>
        <w:tblW w:w="0" w:type="auto"/>
        <w:tblInd w:w="1064" w:type="dxa"/>
        <w:tblLayout w:type="fixed"/>
        <w:tblCellMar>
          <w:left w:w="71" w:type="dxa"/>
          <w:right w:w="71" w:type="dxa"/>
        </w:tblCellMar>
        <w:tblLook w:val="0000"/>
      </w:tblPr>
      <w:tblGrid>
        <w:gridCol w:w="1588"/>
        <w:gridCol w:w="2722"/>
        <w:gridCol w:w="1418"/>
        <w:gridCol w:w="1418"/>
      </w:tblGrid>
      <w:tr w:rsidR="006F50A0" w:rsidTr="006F50A0">
        <w:trPr>
          <w:trHeight w:val="202"/>
        </w:trPr>
        <w:tc>
          <w:tcPr>
            <w:tcW w:w="1588" w:type="dxa"/>
            <w:shd w:val="clear" w:color="auto" w:fill="auto"/>
          </w:tcPr>
          <w:p w:rsidR="006F50A0" w:rsidRPr="009A27FE" w:rsidRDefault="006F50A0" w:rsidP="006F50A0">
            <w:pPr>
              <w:pStyle w:val="Sched1-Normal"/>
              <w:rPr>
                <w:rFonts w:cs="Arial"/>
                <w:snapToGrid w:val="0"/>
                <w:color w:val="000000"/>
              </w:rPr>
            </w:pPr>
            <w:r w:rsidRPr="009A27FE">
              <w:rPr>
                <w:rFonts w:cs="Arial"/>
                <w:snapToGrid w:val="0"/>
                <w:color w:val="000000"/>
              </w:rPr>
              <w:t xml:space="preserve">Department of </w:t>
            </w:r>
            <w:r>
              <w:rPr>
                <w:rFonts w:cs="Arial"/>
                <w:snapToGrid w:val="0"/>
                <w:color w:val="000000"/>
              </w:rPr>
              <w:t>Resources, Energy and Tourism</w:t>
            </w:r>
          </w:p>
        </w:tc>
        <w:tc>
          <w:tcPr>
            <w:tcW w:w="2722" w:type="dxa"/>
            <w:shd w:val="clear" w:color="auto" w:fill="auto"/>
          </w:tcPr>
          <w:p w:rsidR="006F50A0" w:rsidRPr="009A27FE" w:rsidRDefault="006465DB" w:rsidP="006465DB">
            <w:pPr>
              <w:pStyle w:val="Sched1-Normal"/>
              <w:rPr>
                <w:rFonts w:cs="Arial"/>
                <w:snapToGrid w:val="0"/>
                <w:sz w:val="10"/>
              </w:rPr>
            </w:pPr>
            <w:r>
              <w:t>The improved strength, competitiveness and sustainability of the Resources, Energy and Tourism industries to enhance Australia’s prosperity through implementation of government policy and programs (including to perform the activities indicated in the Portfolio Budget Statements for 2012-2013 of the Department of Climate Change and Energy Efficiency as being activities in respect of Outcome 1 for that Department</w:t>
            </w:r>
            <w:r w:rsidR="00BD6F47">
              <w:t>)</w:t>
            </w:r>
          </w:p>
        </w:tc>
        <w:tc>
          <w:tcPr>
            <w:tcW w:w="1418" w:type="dxa"/>
            <w:shd w:val="clear" w:color="auto" w:fill="auto"/>
          </w:tcPr>
          <w:p w:rsidR="006F50A0" w:rsidRPr="009A27FE" w:rsidRDefault="006F50A0" w:rsidP="006F50A0">
            <w:pPr>
              <w:pStyle w:val="Sched1-Normal"/>
              <w:rPr>
                <w:rFonts w:cs="Arial"/>
                <w:bCs/>
                <w:snapToGrid w:val="0"/>
                <w:color w:val="000000"/>
                <w:lang w:val="en-US"/>
              </w:rPr>
            </w:pPr>
            <w:r w:rsidRPr="009A27FE">
              <w:rPr>
                <w:rFonts w:cs="Arial"/>
                <w:bCs/>
                <w:snapToGrid w:val="0"/>
                <w:color w:val="000000"/>
                <w:lang w:val="en-US"/>
              </w:rPr>
              <w:t xml:space="preserve">Minister for </w:t>
            </w:r>
            <w:r>
              <w:rPr>
                <w:rFonts w:cs="Arial"/>
                <w:bCs/>
                <w:snapToGrid w:val="0"/>
                <w:color w:val="000000"/>
                <w:lang w:val="en-US"/>
              </w:rPr>
              <w:t>Resources and Energy</w:t>
            </w:r>
          </w:p>
          <w:p w:rsidR="006F50A0" w:rsidRPr="009A27FE" w:rsidRDefault="006F50A0" w:rsidP="006F50A0">
            <w:pPr>
              <w:pStyle w:val="Sched1-Normal"/>
              <w:rPr>
                <w:rFonts w:cs="Arial"/>
                <w:snapToGrid w:val="0"/>
                <w:sz w:val="10"/>
              </w:rPr>
            </w:pPr>
          </w:p>
        </w:tc>
        <w:tc>
          <w:tcPr>
            <w:tcW w:w="1418" w:type="dxa"/>
            <w:shd w:val="clear" w:color="auto" w:fill="auto"/>
          </w:tcPr>
          <w:p w:rsidR="006F50A0" w:rsidRPr="009A27FE" w:rsidRDefault="006F50A0" w:rsidP="006F50A0">
            <w:pPr>
              <w:pStyle w:val="Sched1-Normal"/>
              <w:rPr>
                <w:rFonts w:cs="Arial"/>
                <w:bCs/>
                <w:snapToGrid w:val="0"/>
                <w:color w:val="000000"/>
                <w:lang w:val="en-US"/>
              </w:rPr>
            </w:pPr>
            <w:r w:rsidRPr="009A27FE">
              <w:rPr>
                <w:rFonts w:cs="Arial"/>
                <w:bCs/>
                <w:snapToGrid w:val="0"/>
                <w:color w:val="000000"/>
                <w:lang w:val="en-US"/>
              </w:rPr>
              <w:t xml:space="preserve">Minister for </w:t>
            </w:r>
            <w:r>
              <w:rPr>
                <w:rFonts w:cs="Arial"/>
                <w:bCs/>
                <w:snapToGrid w:val="0"/>
                <w:color w:val="000000"/>
                <w:lang w:val="en-US"/>
              </w:rPr>
              <w:t>Resources and Energy</w:t>
            </w:r>
          </w:p>
          <w:p w:rsidR="006F50A0" w:rsidRPr="009A27FE" w:rsidRDefault="006F50A0" w:rsidP="006F50A0">
            <w:pPr>
              <w:pStyle w:val="Sched1-Normal"/>
              <w:rPr>
                <w:rFonts w:cs="Arial"/>
                <w:bCs/>
                <w:snapToGrid w:val="0"/>
                <w:color w:val="000000"/>
                <w:lang w:val="en-US"/>
              </w:rPr>
            </w:pPr>
          </w:p>
          <w:p w:rsidR="006F50A0" w:rsidRPr="009A27FE" w:rsidRDefault="006F50A0" w:rsidP="006F50A0">
            <w:pPr>
              <w:pStyle w:val="Sched1-Normal"/>
              <w:rPr>
                <w:rFonts w:cs="Arial"/>
                <w:snapToGrid w:val="0"/>
                <w:sz w:val="10"/>
              </w:rPr>
            </w:pPr>
          </w:p>
        </w:tc>
      </w:tr>
    </w:tbl>
    <w:p w:rsidR="00A44352" w:rsidRPr="00F242BC" w:rsidRDefault="006F50A0" w:rsidP="00E35419">
      <w:pPr>
        <w:pStyle w:val="A1S"/>
        <w:spacing w:before="240" w:line="240" w:lineRule="auto"/>
        <w:ind w:left="709" w:hanging="709"/>
      </w:pPr>
      <w:r>
        <w:t>[2]</w:t>
      </w:r>
      <w:r>
        <w:tab/>
      </w:r>
      <w:r w:rsidR="00A44352" w:rsidRPr="006F50A0">
        <w:t>Schedule 2, Climate Change and Energy Efficiency portfolio, Department of Climate Change and Energy Efficiency table</w:t>
      </w:r>
    </w:p>
    <w:p w:rsidR="00A44352" w:rsidRDefault="00A44352" w:rsidP="00E35419">
      <w:pPr>
        <w:pStyle w:val="A2S"/>
        <w:keepNext w:val="0"/>
        <w:spacing w:after="120" w:line="240" w:lineRule="auto"/>
      </w:pPr>
      <w:r w:rsidRPr="00F52AD0">
        <w:t>Omit</w:t>
      </w:r>
      <w:r>
        <w:t xml:space="preserve"> the table and insert</w:t>
      </w:r>
    </w:p>
    <w:tbl>
      <w:tblPr>
        <w:tblW w:w="7116" w:type="dxa"/>
        <w:tblLayout w:type="fixed"/>
        <w:tblCellMar>
          <w:left w:w="30" w:type="dxa"/>
          <w:right w:w="30" w:type="dxa"/>
        </w:tblCellMar>
        <w:tblLook w:val="0000"/>
      </w:tblPr>
      <w:tblGrid>
        <w:gridCol w:w="3606"/>
        <w:gridCol w:w="6"/>
        <w:gridCol w:w="1160"/>
        <w:gridCol w:w="8"/>
        <w:gridCol w:w="1158"/>
        <w:gridCol w:w="10"/>
        <w:gridCol w:w="1168"/>
      </w:tblGrid>
      <w:tr w:rsidR="00A44352" w:rsidTr="00BB1532">
        <w:trPr>
          <w:tblHeader/>
        </w:trPr>
        <w:tc>
          <w:tcPr>
            <w:tcW w:w="7116" w:type="dxa"/>
            <w:gridSpan w:val="7"/>
          </w:tcPr>
          <w:p w:rsidR="00A44352" w:rsidRDefault="00A44352" w:rsidP="00BB1532">
            <w:pPr>
              <w:pStyle w:val="FinTableHeadingCenteredBold"/>
              <w:widowControl w:val="0"/>
            </w:pPr>
            <w:r>
              <w:t>CLIMATE CHANGE AND ENERGY EFFICIENCY</w:t>
            </w:r>
            <w:r w:rsidRPr="003B21A6">
              <w:t xml:space="preserve"> </w:t>
            </w:r>
            <w:r>
              <w:t>PORTFOLIO</w:t>
            </w:r>
          </w:p>
          <w:p w:rsidR="00A44352" w:rsidRDefault="00A44352" w:rsidP="00800508">
            <w:pPr>
              <w:pStyle w:val="KeyLight0"/>
            </w:pPr>
            <w:r>
              <w:t>Appropriation (plain figures)—2012</w:t>
            </w:r>
            <w:r>
              <w:noBreakHyphen/>
              <w:t>2013</w:t>
            </w:r>
          </w:p>
          <w:p w:rsidR="00A44352" w:rsidRPr="00BB1532" w:rsidRDefault="00A44352" w:rsidP="00800508">
            <w:pPr>
              <w:pStyle w:val="KeyLight0"/>
              <w:rPr>
                <w:i/>
                <w:sz w:val="15"/>
                <w:szCs w:val="15"/>
              </w:rPr>
            </w:pPr>
            <w:r w:rsidRPr="00BB1532">
              <w:rPr>
                <w:i/>
                <w:sz w:val="15"/>
                <w:szCs w:val="15"/>
              </w:rPr>
              <w:t>Actual Available Appropriation (italic figures)—2011</w:t>
            </w:r>
            <w:r w:rsidRPr="00BB1532">
              <w:rPr>
                <w:i/>
                <w:sz w:val="15"/>
                <w:szCs w:val="15"/>
              </w:rPr>
              <w:noBreakHyphen/>
              <w:t>2012</w:t>
            </w:r>
          </w:p>
          <w:p w:rsidR="00A44352" w:rsidRDefault="00A44352" w:rsidP="00BB1532">
            <w:pPr>
              <w:pStyle w:val="KeyItalic0"/>
              <w:widowControl w:val="0"/>
            </w:pPr>
          </w:p>
        </w:tc>
      </w:tr>
      <w:tr w:rsidR="00A44352" w:rsidTr="00BB1532">
        <w:trPr>
          <w:trHeight w:val="740"/>
          <w:tblHeader/>
        </w:trPr>
        <w:tc>
          <w:tcPr>
            <w:tcW w:w="3606" w:type="dxa"/>
            <w:tcBorders>
              <w:top w:val="single" w:sz="2" w:space="0" w:color="auto"/>
            </w:tcBorders>
          </w:tcPr>
          <w:p w:rsidR="00A44352" w:rsidRDefault="00A44352" w:rsidP="00BB1532">
            <w:pPr>
              <w:pStyle w:val="FinTableRight"/>
              <w:widowControl w:val="0"/>
            </w:pPr>
          </w:p>
        </w:tc>
        <w:tc>
          <w:tcPr>
            <w:tcW w:w="1166" w:type="dxa"/>
            <w:gridSpan w:val="2"/>
            <w:tcBorders>
              <w:top w:val="single" w:sz="2" w:space="0" w:color="auto"/>
            </w:tcBorders>
            <w:vAlign w:val="center"/>
          </w:tcPr>
          <w:p w:rsidR="00A44352" w:rsidRDefault="00A44352" w:rsidP="00BB1532">
            <w:pPr>
              <w:pStyle w:val="FinTableRight"/>
              <w:widowControl w:val="0"/>
            </w:pPr>
            <w:r>
              <w:t>Payments to</w:t>
            </w:r>
          </w:p>
          <w:p w:rsidR="00A44352" w:rsidRDefault="00A44352" w:rsidP="00BB1532">
            <w:pPr>
              <w:pStyle w:val="FinTableRight"/>
              <w:widowControl w:val="0"/>
            </w:pPr>
            <w:r>
              <w:t>States, ACT,</w:t>
            </w:r>
          </w:p>
          <w:p w:rsidR="00A44352" w:rsidRDefault="00A44352" w:rsidP="00BB1532">
            <w:pPr>
              <w:pStyle w:val="FinTableRight"/>
              <w:widowControl w:val="0"/>
            </w:pPr>
            <w:r>
              <w:t>NT and local</w:t>
            </w:r>
          </w:p>
          <w:p w:rsidR="00A44352" w:rsidRDefault="00A44352" w:rsidP="00BB1532">
            <w:pPr>
              <w:pStyle w:val="FinTableRight"/>
              <w:widowControl w:val="0"/>
            </w:pPr>
            <w:r>
              <w:t>government</w:t>
            </w:r>
          </w:p>
        </w:tc>
        <w:tc>
          <w:tcPr>
            <w:tcW w:w="1166" w:type="dxa"/>
            <w:gridSpan w:val="2"/>
            <w:tcBorders>
              <w:top w:val="single" w:sz="2" w:space="0" w:color="auto"/>
            </w:tcBorders>
            <w:vAlign w:val="center"/>
          </w:tcPr>
          <w:p w:rsidR="00A44352" w:rsidRDefault="00A44352" w:rsidP="00BB1532">
            <w:pPr>
              <w:pStyle w:val="FinTableRight"/>
              <w:widowControl w:val="0"/>
            </w:pPr>
          </w:p>
          <w:p w:rsidR="00A44352" w:rsidRDefault="00A44352" w:rsidP="00BB1532">
            <w:pPr>
              <w:pStyle w:val="FinTableRight"/>
              <w:widowControl w:val="0"/>
            </w:pPr>
            <w:r>
              <w:t>New</w:t>
            </w:r>
          </w:p>
          <w:p w:rsidR="00A44352" w:rsidRDefault="00A44352" w:rsidP="00BB1532">
            <w:pPr>
              <w:pStyle w:val="FinTableRight"/>
              <w:widowControl w:val="0"/>
            </w:pPr>
            <w:r>
              <w:t>Administered</w:t>
            </w:r>
          </w:p>
          <w:p w:rsidR="00A44352" w:rsidRDefault="00A44352" w:rsidP="00BB1532">
            <w:pPr>
              <w:pStyle w:val="FinTableRight"/>
              <w:widowControl w:val="0"/>
            </w:pPr>
            <w:r>
              <w:t>Outcomes</w:t>
            </w:r>
          </w:p>
        </w:tc>
        <w:tc>
          <w:tcPr>
            <w:tcW w:w="1178" w:type="dxa"/>
            <w:gridSpan w:val="2"/>
            <w:tcBorders>
              <w:top w:val="single" w:sz="2" w:space="0" w:color="auto"/>
            </w:tcBorders>
            <w:vAlign w:val="center"/>
          </w:tcPr>
          <w:p w:rsidR="00A44352" w:rsidRDefault="00A44352" w:rsidP="00BB1532">
            <w:pPr>
              <w:pStyle w:val="FinTableRight"/>
              <w:widowControl w:val="0"/>
            </w:pPr>
          </w:p>
          <w:p w:rsidR="00A44352" w:rsidRDefault="00A44352" w:rsidP="00BB1532">
            <w:pPr>
              <w:pStyle w:val="FinTableRight"/>
              <w:widowControl w:val="0"/>
            </w:pPr>
          </w:p>
          <w:p w:rsidR="00A44352" w:rsidRDefault="00A44352" w:rsidP="00BB1532">
            <w:pPr>
              <w:pStyle w:val="FinTableRight"/>
              <w:widowControl w:val="0"/>
            </w:pPr>
          </w:p>
          <w:p w:rsidR="00A44352" w:rsidRDefault="00A44352" w:rsidP="00BB1532">
            <w:pPr>
              <w:pStyle w:val="FinTableRight"/>
              <w:widowControl w:val="0"/>
            </w:pPr>
            <w:r>
              <w:t>Total</w:t>
            </w:r>
          </w:p>
        </w:tc>
      </w:tr>
      <w:tr w:rsidR="00A44352" w:rsidTr="00BB1532">
        <w:trPr>
          <w:trHeight w:val="63"/>
          <w:tblHeader/>
        </w:trPr>
        <w:tc>
          <w:tcPr>
            <w:tcW w:w="3606" w:type="dxa"/>
            <w:tcBorders>
              <w:top w:val="single" w:sz="2" w:space="0" w:color="auto"/>
            </w:tcBorders>
          </w:tcPr>
          <w:p w:rsidR="00A44352" w:rsidRDefault="00A44352" w:rsidP="00BB1532">
            <w:pPr>
              <w:pStyle w:val="FinTableRight"/>
              <w:widowControl w:val="0"/>
            </w:pPr>
          </w:p>
        </w:tc>
        <w:tc>
          <w:tcPr>
            <w:tcW w:w="1166" w:type="dxa"/>
            <w:gridSpan w:val="2"/>
            <w:tcBorders>
              <w:top w:val="single" w:sz="2" w:space="0" w:color="auto"/>
            </w:tcBorders>
          </w:tcPr>
          <w:p w:rsidR="00A44352" w:rsidRDefault="00A44352" w:rsidP="00BB1532">
            <w:pPr>
              <w:pStyle w:val="FinTableRight"/>
              <w:widowControl w:val="0"/>
            </w:pPr>
            <w:r>
              <w:t>$'000</w:t>
            </w:r>
          </w:p>
        </w:tc>
        <w:tc>
          <w:tcPr>
            <w:tcW w:w="1166" w:type="dxa"/>
            <w:gridSpan w:val="2"/>
            <w:tcBorders>
              <w:top w:val="single" w:sz="2" w:space="0" w:color="auto"/>
            </w:tcBorders>
          </w:tcPr>
          <w:p w:rsidR="00A44352" w:rsidRDefault="00A44352" w:rsidP="00BB1532">
            <w:pPr>
              <w:pStyle w:val="FinTableRight"/>
              <w:widowControl w:val="0"/>
            </w:pPr>
            <w:r>
              <w:t>$'000</w:t>
            </w:r>
          </w:p>
        </w:tc>
        <w:tc>
          <w:tcPr>
            <w:tcW w:w="1178" w:type="dxa"/>
            <w:gridSpan w:val="2"/>
            <w:tcBorders>
              <w:top w:val="single" w:sz="2" w:space="0" w:color="auto"/>
            </w:tcBorders>
          </w:tcPr>
          <w:p w:rsidR="00A44352" w:rsidRDefault="00A44352" w:rsidP="00BB1532">
            <w:pPr>
              <w:pStyle w:val="FinTableRight"/>
              <w:widowControl w:val="0"/>
            </w:pPr>
            <w:r>
              <w:t>$'000</w:t>
            </w:r>
          </w:p>
        </w:tc>
      </w:tr>
      <w:tr w:rsidR="00A44352" w:rsidTr="00BB1532">
        <w:tc>
          <w:tcPr>
            <w:tcW w:w="3606" w:type="dxa"/>
          </w:tcPr>
          <w:p w:rsidR="00A44352" w:rsidRDefault="00A44352" w:rsidP="00BB1532">
            <w:pPr>
              <w:pStyle w:val="FinTableLeftBold"/>
              <w:widowControl w:val="0"/>
            </w:pPr>
            <w:r>
              <w:t>DEPARTMENT OF CLIMATE CHANGE AND ENERGY EFFICIENCY</w:t>
            </w:r>
          </w:p>
        </w:tc>
        <w:tc>
          <w:tcPr>
            <w:tcW w:w="1166" w:type="dxa"/>
            <w:gridSpan w:val="2"/>
          </w:tcPr>
          <w:p w:rsidR="00A44352" w:rsidRDefault="00A44352" w:rsidP="00BB1532">
            <w:pPr>
              <w:pStyle w:val="FinTableRight"/>
              <w:widowControl w:val="0"/>
            </w:pPr>
          </w:p>
        </w:tc>
        <w:tc>
          <w:tcPr>
            <w:tcW w:w="1166" w:type="dxa"/>
            <w:gridSpan w:val="2"/>
          </w:tcPr>
          <w:p w:rsidR="00A44352" w:rsidRDefault="00A44352" w:rsidP="00BB1532">
            <w:pPr>
              <w:pStyle w:val="FinTableRight"/>
              <w:widowControl w:val="0"/>
            </w:pPr>
          </w:p>
        </w:tc>
        <w:tc>
          <w:tcPr>
            <w:tcW w:w="1178" w:type="dxa"/>
            <w:gridSpan w:val="2"/>
            <w:vAlign w:val="bottom"/>
          </w:tcPr>
          <w:p w:rsidR="00A44352" w:rsidRDefault="00A44352" w:rsidP="00BB1532">
            <w:pPr>
              <w:pStyle w:val="FinTableRight"/>
              <w:widowControl w:val="0"/>
            </w:pPr>
          </w:p>
        </w:tc>
      </w:tr>
      <w:tr w:rsidR="00A44352" w:rsidTr="00BB1532">
        <w:tc>
          <w:tcPr>
            <w:tcW w:w="3606" w:type="dxa"/>
          </w:tcPr>
          <w:p w:rsidR="00A44352" w:rsidRDefault="00A44352" w:rsidP="00BB1532">
            <w:pPr>
              <w:pStyle w:val="FinTableLeftBold"/>
              <w:widowControl w:val="0"/>
            </w:pPr>
            <w:r>
              <w:t>Operating</w:t>
            </w:r>
          </w:p>
        </w:tc>
        <w:tc>
          <w:tcPr>
            <w:tcW w:w="1166" w:type="dxa"/>
            <w:gridSpan w:val="2"/>
          </w:tcPr>
          <w:p w:rsidR="00A44352" w:rsidRDefault="00A44352" w:rsidP="00BB1532">
            <w:pPr>
              <w:pStyle w:val="FinTableRight"/>
              <w:widowControl w:val="0"/>
            </w:pPr>
          </w:p>
        </w:tc>
        <w:tc>
          <w:tcPr>
            <w:tcW w:w="1166" w:type="dxa"/>
            <w:gridSpan w:val="2"/>
          </w:tcPr>
          <w:p w:rsidR="00A44352" w:rsidRDefault="00A44352" w:rsidP="00BB1532">
            <w:pPr>
              <w:pStyle w:val="FinTableRight"/>
              <w:widowControl w:val="0"/>
            </w:pPr>
          </w:p>
        </w:tc>
        <w:tc>
          <w:tcPr>
            <w:tcW w:w="1178" w:type="dxa"/>
            <w:gridSpan w:val="2"/>
          </w:tcPr>
          <w:p w:rsidR="00A44352" w:rsidRDefault="00A44352" w:rsidP="00BB1532">
            <w:pPr>
              <w:pStyle w:val="FinTableRight"/>
              <w:widowControl w:val="0"/>
            </w:pPr>
          </w:p>
        </w:tc>
      </w:tr>
      <w:tr w:rsidR="00A44352" w:rsidTr="00BB1532">
        <w:tc>
          <w:tcPr>
            <w:tcW w:w="3606" w:type="dxa"/>
            <w:vMerge w:val="restart"/>
          </w:tcPr>
          <w:p w:rsidR="00A44352" w:rsidRDefault="00A44352" w:rsidP="00BB1532">
            <w:pPr>
              <w:pStyle w:val="FinTableLeftBoldIndent"/>
              <w:widowControl w:val="0"/>
            </w:pPr>
            <w:r>
              <w:t xml:space="preserve">Outcome 1 </w:t>
            </w:r>
            <w:r>
              <w:noBreakHyphen/>
              <w:t xml:space="preserve"> </w:t>
            </w:r>
          </w:p>
          <w:p w:rsidR="00A44352" w:rsidRDefault="00A44352" w:rsidP="00BB1532">
            <w:pPr>
              <w:pStyle w:val="FinTableLeftIndent"/>
              <w:widowControl w:val="0"/>
            </w:pPr>
            <w:r>
              <w:t>Reduction of Australia’s greenhouse gas emissions, adaptation to the impacts of climate change, and negotiation of an effective global solution, through the development and implementation of a national response to climate change; and bilateral, regional and multilateral engagement internationally</w:t>
            </w:r>
          </w:p>
        </w:tc>
        <w:tc>
          <w:tcPr>
            <w:tcW w:w="1166" w:type="dxa"/>
            <w:gridSpan w:val="2"/>
          </w:tcPr>
          <w:p w:rsidR="00A44352" w:rsidRDefault="00A44352" w:rsidP="00BB1532">
            <w:pPr>
              <w:pStyle w:val="FinTableRight"/>
              <w:widowControl w:val="0"/>
            </w:pPr>
          </w:p>
        </w:tc>
        <w:tc>
          <w:tcPr>
            <w:tcW w:w="1166" w:type="dxa"/>
            <w:gridSpan w:val="2"/>
          </w:tcPr>
          <w:p w:rsidR="00A44352" w:rsidRDefault="00A44352" w:rsidP="00BB1532">
            <w:pPr>
              <w:pStyle w:val="FinTableRight"/>
              <w:widowControl w:val="0"/>
            </w:pPr>
          </w:p>
        </w:tc>
        <w:tc>
          <w:tcPr>
            <w:tcW w:w="1178" w:type="dxa"/>
            <w:gridSpan w:val="2"/>
          </w:tcPr>
          <w:p w:rsidR="00A44352" w:rsidRDefault="00A44352" w:rsidP="00BB1532">
            <w:pPr>
              <w:pStyle w:val="FinTableRight"/>
              <w:widowControl w:val="0"/>
            </w:pPr>
          </w:p>
        </w:tc>
      </w:tr>
      <w:tr w:rsidR="00A44352" w:rsidTr="00BB1532">
        <w:tc>
          <w:tcPr>
            <w:tcW w:w="3606" w:type="dxa"/>
            <w:vMerge/>
          </w:tcPr>
          <w:p w:rsidR="00A44352" w:rsidRDefault="00A44352" w:rsidP="00BB1532">
            <w:pPr>
              <w:pStyle w:val="FinTableLeftIndent"/>
              <w:widowControl w:val="0"/>
            </w:pPr>
          </w:p>
        </w:tc>
        <w:tc>
          <w:tcPr>
            <w:tcW w:w="1166" w:type="dxa"/>
            <w:gridSpan w:val="2"/>
          </w:tcPr>
          <w:p w:rsidR="00A44352" w:rsidRDefault="00A44352" w:rsidP="00BB1532">
            <w:pPr>
              <w:pStyle w:val="FinTableRight"/>
              <w:widowControl w:val="0"/>
            </w:pPr>
            <w:r w:rsidRPr="00E35419">
              <w:t>6</w:t>
            </w:r>
            <w:r>
              <w:t>,</w:t>
            </w:r>
            <w:r w:rsidRPr="00E35419">
              <w:t>839</w:t>
            </w:r>
            <w:r w:rsidR="003D5D4A" w:rsidRPr="006340FE">
              <w:t>.</w:t>
            </w:r>
            <w:r>
              <w:t>237</w:t>
            </w:r>
            <w:r w:rsidRPr="00E35419">
              <w:t>32</w:t>
            </w:r>
          </w:p>
        </w:tc>
        <w:tc>
          <w:tcPr>
            <w:tcW w:w="1166" w:type="dxa"/>
            <w:gridSpan w:val="2"/>
          </w:tcPr>
          <w:p w:rsidR="00A44352" w:rsidRDefault="00A44352" w:rsidP="00BB1532">
            <w:pPr>
              <w:pStyle w:val="FinTableRight"/>
              <w:widowControl w:val="0"/>
            </w:pPr>
            <w:r>
              <w:t>-</w:t>
            </w:r>
          </w:p>
        </w:tc>
        <w:tc>
          <w:tcPr>
            <w:tcW w:w="1178" w:type="dxa"/>
            <w:gridSpan w:val="2"/>
          </w:tcPr>
          <w:p w:rsidR="00A44352" w:rsidRDefault="00A44352" w:rsidP="00BB1532">
            <w:pPr>
              <w:pStyle w:val="FinTableRight"/>
              <w:widowControl w:val="0"/>
            </w:pPr>
            <w:r w:rsidRPr="00E35419">
              <w:t>6</w:t>
            </w:r>
            <w:r>
              <w:t>,</w:t>
            </w:r>
            <w:r w:rsidRPr="00E35419">
              <w:t>839</w:t>
            </w:r>
            <w:r w:rsidR="003D5D4A" w:rsidRPr="006340FE">
              <w:t>.</w:t>
            </w:r>
            <w:r>
              <w:t>237</w:t>
            </w:r>
            <w:r w:rsidRPr="00E35419">
              <w:t>32</w:t>
            </w:r>
          </w:p>
        </w:tc>
      </w:tr>
      <w:tr w:rsidR="00A44352" w:rsidTr="00BB1532">
        <w:tc>
          <w:tcPr>
            <w:tcW w:w="3606" w:type="dxa"/>
            <w:vMerge/>
          </w:tcPr>
          <w:p w:rsidR="00A44352" w:rsidRDefault="00A44352" w:rsidP="00BB1532">
            <w:pPr>
              <w:pStyle w:val="FinTableLeftIndent"/>
              <w:widowControl w:val="0"/>
            </w:pPr>
          </w:p>
        </w:tc>
        <w:tc>
          <w:tcPr>
            <w:tcW w:w="1166" w:type="dxa"/>
            <w:gridSpan w:val="2"/>
          </w:tcPr>
          <w:p w:rsidR="00A44352" w:rsidRDefault="00A44352" w:rsidP="00BB1532">
            <w:pPr>
              <w:pStyle w:val="FinTableRightItalic"/>
              <w:widowControl w:val="0"/>
            </w:pPr>
            <w:r>
              <w:t>7,138</w:t>
            </w:r>
          </w:p>
        </w:tc>
        <w:tc>
          <w:tcPr>
            <w:tcW w:w="1166" w:type="dxa"/>
            <w:gridSpan w:val="2"/>
          </w:tcPr>
          <w:p w:rsidR="00A44352" w:rsidRDefault="00A44352" w:rsidP="00BB1532">
            <w:pPr>
              <w:pStyle w:val="FinTableRightItalic"/>
              <w:widowControl w:val="0"/>
            </w:pPr>
            <w:r>
              <w:t>-</w:t>
            </w:r>
          </w:p>
        </w:tc>
        <w:tc>
          <w:tcPr>
            <w:tcW w:w="1178" w:type="dxa"/>
            <w:gridSpan w:val="2"/>
          </w:tcPr>
          <w:p w:rsidR="00A44352" w:rsidRDefault="00A44352" w:rsidP="00BB1532">
            <w:pPr>
              <w:pStyle w:val="FinTableRightItalic"/>
              <w:widowControl w:val="0"/>
            </w:pPr>
            <w:r>
              <w:t>7,138</w:t>
            </w:r>
          </w:p>
        </w:tc>
      </w:tr>
      <w:tr w:rsidR="00A44352" w:rsidTr="00BB1532">
        <w:tc>
          <w:tcPr>
            <w:tcW w:w="3606" w:type="dxa"/>
          </w:tcPr>
          <w:p w:rsidR="00A44352" w:rsidRDefault="00A44352" w:rsidP="00BB1532">
            <w:pPr>
              <w:pStyle w:val="FinTableSpacerRow"/>
              <w:widowControl w:val="0"/>
            </w:pPr>
          </w:p>
        </w:tc>
        <w:tc>
          <w:tcPr>
            <w:tcW w:w="1166" w:type="dxa"/>
            <w:gridSpan w:val="2"/>
          </w:tcPr>
          <w:p w:rsidR="00A44352" w:rsidRDefault="00A44352" w:rsidP="00BB1532">
            <w:pPr>
              <w:pStyle w:val="FinTableSpacerRow"/>
              <w:widowControl w:val="0"/>
            </w:pPr>
          </w:p>
        </w:tc>
        <w:tc>
          <w:tcPr>
            <w:tcW w:w="1166" w:type="dxa"/>
            <w:gridSpan w:val="2"/>
          </w:tcPr>
          <w:p w:rsidR="00A44352" w:rsidRDefault="00A44352" w:rsidP="00BB1532">
            <w:pPr>
              <w:pStyle w:val="FinTableSpacerRow"/>
              <w:widowControl w:val="0"/>
            </w:pPr>
          </w:p>
        </w:tc>
        <w:tc>
          <w:tcPr>
            <w:tcW w:w="1178" w:type="dxa"/>
            <w:gridSpan w:val="2"/>
          </w:tcPr>
          <w:p w:rsidR="00A44352" w:rsidRDefault="00A44352" w:rsidP="00BB1532">
            <w:pPr>
              <w:pStyle w:val="FinTableSpacerRow"/>
              <w:widowControl w:val="0"/>
            </w:pPr>
          </w:p>
        </w:tc>
      </w:tr>
      <w:tr w:rsidR="00A44352" w:rsidTr="00BB1532">
        <w:tc>
          <w:tcPr>
            <w:tcW w:w="3606" w:type="dxa"/>
          </w:tcPr>
          <w:p w:rsidR="00A44352" w:rsidRDefault="00A44352" w:rsidP="00BB1532">
            <w:pPr>
              <w:pStyle w:val="FinTableLeftBold"/>
              <w:widowControl w:val="0"/>
            </w:pPr>
            <w:r>
              <w:t>Total: Operating</w:t>
            </w:r>
          </w:p>
        </w:tc>
        <w:tc>
          <w:tcPr>
            <w:tcW w:w="1166" w:type="dxa"/>
            <w:gridSpan w:val="2"/>
            <w:tcBorders>
              <w:top w:val="single" w:sz="2" w:space="0" w:color="auto"/>
            </w:tcBorders>
          </w:tcPr>
          <w:p w:rsidR="00A44352" w:rsidRDefault="00A44352" w:rsidP="00BB1532">
            <w:pPr>
              <w:pStyle w:val="FinTableRightBold"/>
              <w:widowControl w:val="0"/>
            </w:pPr>
            <w:r w:rsidRPr="00E35419">
              <w:t>6</w:t>
            </w:r>
            <w:r>
              <w:t>,</w:t>
            </w:r>
            <w:r w:rsidRPr="00E35419">
              <w:t>839</w:t>
            </w:r>
            <w:r w:rsidR="003D5D4A" w:rsidRPr="006340FE">
              <w:t>.</w:t>
            </w:r>
            <w:r>
              <w:t>237</w:t>
            </w:r>
            <w:r w:rsidRPr="00E35419">
              <w:t>32</w:t>
            </w:r>
          </w:p>
        </w:tc>
        <w:tc>
          <w:tcPr>
            <w:tcW w:w="1166" w:type="dxa"/>
            <w:gridSpan w:val="2"/>
            <w:tcBorders>
              <w:top w:val="single" w:sz="2" w:space="0" w:color="auto"/>
            </w:tcBorders>
          </w:tcPr>
          <w:p w:rsidR="00A44352" w:rsidRDefault="00A44352" w:rsidP="00BB1532">
            <w:pPr>
              <w:pStyle w:val="FinTableRightBold"/>
              <w:widowControl w:val="0"/>
            </w:pPr>
            <w:r>
              <w:t>-</w:t>
            </w:r>
          </w:p>
        </w:tc>
        <w:tc>
          <w:tcPr>
            <w:tcW w:w="1178" w:type="dxa"/>
            <w:gridSpan w:val="2"/>
            <w:tcBorders>
              <w:top w:val="single" w:sz="2" w:space="0" w:color="auto"/>
            </w:tcBorders>
          </w:tcPr>
          <w:p w:rsidR="00A44352" w:rsidRDefault="00A44352" w:rsidP="00BB1532">
            <w:pPr>
              <w:pStyle w:val="FinTableRightBold"/>
              <w:widowControl w:val="0"/>
            </w:pPr>
            <w:r w:rsidRPr="00E35419">
              <w:t>6</w:t>
            </w:r>
            <w:r>
              <w:t>,</w:t>
            </w:r>
            <w:r w:rsidRPr="00E35419">
              <w:t>839</w:t>
            </w:r>
            <w:r w:rsidR="003D5D4A" w:rsidRPr="006340FE">
              <w:t>.</w:t>
            </w:r>
            <w:r>
              <w:t>237</w:t>
            </w:r>
            <w:r w:rsidRPr="00E35419">
              <w:t>32</w:t>
            </w:r>
          </w:p>
        </w:tc>
      </w:tr>
      <w:tr w:rsidR="00A44352" w:rsidTr="00BB1532">
        <w:tc>
          <w:tcPr>
            <w:tcW w:w="3606" w:type="dxa"/>
          </w:tcPr>
          <w:p w:rsidR="00A44352" w:rsidRDefault="00A44352" w:rsidP="00BB1532">
            <w:pPr>
              <w:pStyle w:val="FinTableLeftBold"/>
              <w:widowControl w:val="0"/>
            </w:pPr>
          </w:p>
        </w:tc>
        <w:tc>
          <w:tcPr>
            <w:tcW w:w="1166" w:type="dxa"/>
            <w:gridSpan w:val="2"/>
            <w:tcBorders>
              <w:bottom w:val="single" w:sz="2" w:space="0" w:color="auto"/>
            </w:tcBorders>
          </w:tcPr>
          <w:p w:rsidR="00A44352" w:rsidRDefault="00A44352" w:rsidP="00BB1532">
            <w:pPr>
              <w:pStyle w:val="FinTableRightItalic"/>
              <w:widowControl w:val="0"/>
            </w:pPr>
            <w:r>
              <w:t>7,138</w:t>
            </w:r>
          </w:p>
        </w:tc>
        <w:tc>
          <w:tcPr>
            <w:tcW w:w="1166" w:type="dxa"/>
            <w:gridSpan w:val="2"/>
            <w:tcBorders>
              <w:bottom w:val="single" w:sz="2" w:space="0" w:color="auto"/>
            </w:tcBorders>
          </w:tcPr>
          <w:p w:rsidR="00A44352" w:rsidRDefault="00A44352" w:rsidP="00BB1532">
            <w:pPr>
              <w:pStyle w:val="FinTableRightItalic"/>
              <w:widowControl w:val="0"/>
            </w:pPr>
            <w:r>
              <w:t>-</w:t>
            </w:r>
          </w:p>
        </w:tc>
        <w:tc>
          <w:tcPr>
            <w:tcW w:w="1178" w:type="dxa"/>
            <w:gridSpan w:val="2"/>
            <w:tcBorders>
              <w:bottom w:val="single" w:sz="2" w:space="0" w:color="auto"/>
            </w:tcBorders>
          </w:tcPr>
          <w:p w:rsidR="00A44352" w:rsidRDefault="00A44352" w:rsidP="00BB1532">
            <w:pPr>
              <w:pStyle w:val="FinTableRightItalic"/>
              <w:widowControl w:val="0"/>
            </w:pPr>
            <w:r>
              <w:t>7,138</w:t>
            </w:r>
          </w:p>
        </w:tc>
      </w:tr>
      <w:tr w:rsidR="00A44352" w:rsidTr="00BB1532">
        <w:tc>
          <w:tcPr>
            <w:tcW w:w="3606" w:type="dxa"/>
          </w:tcPr>
          <w:p w:rsidR="00A44352" w:rsidRDefault="00A44352" w:rsidP="00BB1532">
            <w:pPr>
              <w:pStyle w:val="FinTableLeftBold"/>
              <w:widowControl w:val="0"/>
            </w:pPr>
            <w:r>
              <w:t>Non</w:t>
            </w:r>
            <w:r>
              <w:noBreakHyphen/>
            </w:r>
            <w:proofErr w:type="spellStart"/>
            <w:r>
              <w:t>operating</w:t>
            </w:r>
            <w:proofErr w:type="spellEnd"/>
          </w:p>
        </w:tc>
        <w:tc>
          <w:tcPr>
            <w:tcW w:w="1166" w:type="dxa"/>
            <w:gridSpan w:val="2"/>
          </w:tcPr>
          <w:p w:rsidR="00A44352" w:rsidRDefault="00A44352" w:rsidP="00BB1532">
            <w:pPr>
              <w:pStyle w:val="FinTableRight"/>
              <w:widowControl w:val="0"/>
            </w:pPr>
          </w:p>
        </w:tc>
        <w:tc>
          <w:tcPr>
            <w:tcW w:w="1166" w:type="dxa"/>
            <w:gridSpan w:val="2"/>
          </w:tcPr>
          <w:p w:rsidR="00A44352" w:rsidRDefault="00A44352" w:rsidP="00BB1532">
            <w:pPr>
              <w:pStyle w:val="FinTableRight"/>
              <w:widowControl w:val="0"/>
            </w:pPr>
          </w:p>
        </w:tc>
        <w:tc>
          <w:tcPr>
            <w:tcW w:w="1178" w:type="dxa"/>
            <w:gridSpan w:val="2"/>
          </w:tcPr>
          <w:p w:rsidR="00A44352" w:rsidRDefault="00A44352" w:rsidP="00BB1532">
            <w:pPr>
              <w:pStyle w:val="FinTableRight"/>
              <w:widowControl w:val="0"/>
            </w:pPr>
          </w:p>
        </w:tc>
      </w:tr>
      <w:tr w:rsidR="00A44352" w:rsidTr="00BB1532">
        <w:tc>
          <w:tcPr>
            <w:tcW w:w="3612" w:type="dxa"/>
            <w:gridSpan w:val="2"/>
            <w:vMerge w:val="restart"/>
          </w:tcPr>
          <w:p w:rsidR="00A44352" w:rsidRDefault="00A44352" w:rsidP="00E35419">
            <w:pPr>
              <w:pStyle w:val="FinTableLeftIndent"/>
            </w:pPr>
            <w:r>
              <w:t>Equity Injections</w:t>
            </w:r>
          </w:p>
        </w:tc>
        <w:tc>
          <w:tcPr>
            <w:tcW w:w="1168" w:type="dxa"/>
            <w:gridSpan w:val="2"/>
          </w:tcPr>
          <w:p w:rsidR="00A44352" w:rsidRDefault="00A44352" w:rsidP="00E35419">
            <w:pPr>
              <w:pStyle w:val="FinTableRight"/>
            </w:pPr>
          </w:p>
        </w:tc>
        <w:tc>
          <w:tcPr>
            <w:tcW w:w="1168" w:type="dxa"/>
            <w:gridSpan w:val="2"/>
          </w:tcPr>
          <w:p w:rsidR="00A44352" w:rsidRDefault="00A44352" w:rsidP="00E35419">
            <w:pPr>
              <w:pStyle w:val="FinTableRight"/>
            </w:pPr>
          </w:p>
        </w:tc>
        <w:tc>
          <w:tcPr>
            <w:tcW w:w="1168" w:type="dxa"/>
          </w:tcPr>
          <w:p w:rsidR="00A44352" w:rsidRDefault="00A44352" w:rsidP="00E35419">
            <w:pPr>
              <w:pStyle w:val="FinTableRight"/>
            </w:pPr>
            <w:r>
              <w:t>100</w:t>
            </w:r>
          </w:p>
        </w:tc>
      </w:tr>
      <w:tr w:rsidR="00A44352" w:rsidTr="00BB1532">
        <w:tc>
          <w:tcPr>
            <w:tcW w:w="3612" w:type="dxa"/>
            <w:gridSpan w:val="2"/>
            <w:vMerge/>
          </w:tcPr>
          <w:p w:rsidR="00A44352" w:rsidRDefault="00A44352" w:rsidP="00E35419">
            <w:pPr>
              <w:pStyle w:val="FinTableRight"/>
            </w:pPr>
          </w:p>
        </w:tc>
        <w:tc>
          <w:tcPr>
            <w:tcW w:w="1168" w:type="dxa"/>
            <w:gridSpan w:val="2"/>
          </w:tcPr>
          <w:p w:rsidR="00A44352" w:rsidRDefault="00A44352" w:rsidP="00E35419">
            <w:pPr>
              <w:pStyle w:val="FinTableRight"/>
            </w:pPr>
          </w:p>
        </w:tc>
        <w:tc>
          <w:tcPr>
            <w:tcW w:w="1168" w:type="dxa"/>
            <w:gridSpan w:val="2"/>
          </w:tcPr>
          <w:p w:rsidR="00A44352" w:rsidRDefault="00A44352" w:rsidP="00E35419">
            <w:pPr>
              <w:pStyle w:val="FinTableRight"/>
            </w:pPr>
          </w:p>
        </w:tc>
        <w:tc>
          <w:tcPr>
            <w:tcW w:w="1168" w:type="dxa"/>
          </w:tcPr>
          <w:p w:rsidR="00A44352" w:rsidRDefault="00A44352" w:rsidP="00E35419">
            <w:pPr>
              <w:pStyle w:val="FinTableRightItalic"/>
            </w:pPr>
            <w:r>
              <w:t>30,801</w:t>
            </w:r>
          </w:p>
        </w:tc>
      </w:tr>
      <w:tr w:rsidR="00A44352" w:rsidTr="00BB1532">
        <w:tc>
          <w:tcPr>
            <w:tcW w:w="3606" w:type="dxa"/>
          </w:tcPr>
          <w:p w:rsidR="00A44352" w:rsidRDefault="00A44352" w:rsidP="00BB1532">
            <w:pPr>
              <w:pStyle w:val="FinTableLeftBold"/>
              <w:widowControl w:val="0"/>
            </w:pPr>
            <w:r>
              <w:t>Total: Non</w:t>
            </w:r>
            <w:r>
              <w:noBreakHyphen/>
            </w:r>
            <w:proofErr w:type="spellStart"/>
            <w:r>
              <w:t>operating</w:t>
            </w:r>
            <w:proofErr w:type="spellEnd"/>
          </w:p>
        </w:tc>
        <w:tc>
          <w:tcPr>
            <w:tcW w:w="1166" w:type="dxa"/>
            <w:gridSpan w:val="2"/>
            <w:tcBorders>
              <w:top w:val="single" w:sz="2" w:space="0" w:color="auto"/>
            </w:tcBorders>
          </w:tcPr>
          <w:p w:rsidR="00A44352" w:rsidRDefault="00A44352" w:rsidP="00BB1532">
            <w:pPr>
              <w:pStyle w:val="FinTableRight"/>
              <w:widowControl w:val="0"/>
            </w:pPr>
          </w:p>
        </w:tc>
        <w:tc>
          <w:tcPr>
            <w:tcW w:w="1166" w:type="dxa"/>
            <w:gridSpan w:val="2"/>
            <w:tcBorders>
              <w:top w:val="single" w:sz="2" w:space="0" w:color="auto"/>
            </w:tcBorders>
          </w:tcPr>
          <w:p w:rsidR="00A44352" w:rsidRDefault="00A44352" w:rsidP="00BB1532">
            <w:pPr>
              <w:pStyle w:val="FinTableRight"/>
              <w:widowControl w:val="0"/>
            </w:pPr>
          </w:p>
        </w:tc>
        <w:tc>
          <w:tcPr>
            <w:tcW w:w="1178" w:type="dxa"/>
            <w:gridSpan w:val="2"/>
            <w:tcBorders>
              <w:top w:val="single" w:sz="2" w:space="0" w:color="auto"/>
            </w:tcBorders>
          </w:tcPr>
          <w:p w:rsidR="00A44352" w:rsidRDefault="00A44352" w:rsidP="00BB1532">
            <w:pPr>
              <w:pStyle w:val="FinTableRightBold"/>
              <w:widowControl w:val="0"/>
            </w:pPr>
            <w:r>
              <w:t>100</w:t>
            </w:r>
          </w:p>
        </w:tc>
      </w:tr>
      <w:tr w:rsidR="00A44352" w:rsidTr="00BB1532">
        <w:tc>
          <w:tcPr>
            <w:tcW w:w="3606" w:type="dxa"/>
          </w:tcPr>
          <w:p w:rsidR="00A44352" w:rsidRDefault="00A44352" w:rsidP="00BB1532">
            <w:pPr>
              <w:pStyle w:val="FinTableLeftBold"/>
              <w:widowControl w:val="0"/>
            </w:pPr>
          </w:p>
        </w:tc>
        <w:tc>
          <w:tcPr>
            <w:tcW w:w="1166" w:type="dxa"/>
            <w:gridSpan w:val="2"/>
          </w:tcPr>
          <w:p w:rsidR="00A44352" w:rsidRDefault="00A44352" w:rsidP="00BB1532">
            <w:pPr>
              <w:pStyle w:val="FinTableRightItalic"/>
              <w:widowControl w:val="0"/>
            </w:pPr>
          </w:p>
        </w:tc>
        <w:tc>
          <w:tcPr>
            <w:tcW w:w="1166" w:type="dxa"/>
            <w:gridSpan w:val="2"/>
          </w:tcPr>
          <w:p w:rsidR="00A44352" w:rsidRDefault="00A44352" w:rsidP="00BB1532">
            <w:pPr>
              <w:pStyle w:val="FinTableRightItalic"/>
              <w:widowControl w:val="0"/>
            </w:pPr>
          </w:p>
        </w:tc>
        <w:tc>
          <w:tcPr>
            <w:tcW w:w="1178" w:type="dxa"/>
            <w:gridSpan w:val="2"/>
          </w:tcPr>
          <w:p w:rsidR="00A44352" w:rsidRDefault="00A44352" w:rsidP="00BB1532">
            <w:pPr>
              <w:pStyle w:val="FinTableRightItalic"/>
              <w:widowControl w:val="0"/>
            </w:pPr>
            <w:r>
              <w:t>30,801</w:t>
            </w:r>
          </w:p>
        </w:tc>
      </w:tr>
      <w:tr w:rsidR="00A44352" w:rsidTr="00BB1532">
        <w:tc>
          <w:tcPr>
            <w:tcW w:w="3606" w:type="dxa"/>
            <w:vMerge w:val="restart"/>
            <w:tcBorders>
              <w:top w:val="single" w:sz="2" w:space="0" w:color="auto"/>
            </w:tcBorders>
          </w:tcPr>
          <w:p w:rsidR="00A44352" w:rsidRDefault="00A44352" w:rsidP="00BB1532">
            <w:pPr>
              <w:pStyle w:val="FinTableLeftBoldHanging"/>
              <w:widowControl w:val="0"/>
            </w:pPr>
            <w:r>
              <w:t xml:space="preserve">Total: Department of </w:t>
            </w:r>
            <w:r w:rsidRPr="00BB1532">
              <w:rPr>
                <w:bCs w:val="0"/>
              </w:rPr>
              <w:t>Climate Change and Energy Efficiency</w:t>
            </w:r>
          </w:p>
        </w:tc>
        <w:tc>
          <w:tcPr>
            <w:tcW w:w="1166" w:type="dxa"/>
            <w:gridSpan w:val="2"/>
            <w:tcBorders>
              <w:top w:val="single" w:sz="2" w:space="0" w:color="auto"/>
            </w:tcBorders>
          </w:tcPr>
          <w:p w:rsidR="00A44352" w:rsidRDefault="00A44352" w:rsidP="00BB1532">
            <w:pPr>
              <w:pStyle w:val="FinTableRightBold"/>
              <w:widowControl w:val="0"/>
            </w:pPr>
            <w:r w:rsidRPr="00E35419">
              <w:t>6</w:t>
            </w:r>
            <w:r>
              <w:t>,</w:t>
            </w:r>
            <w:r w:rsidRPr="00E35419">
              <w:t>839</w:t>
            </w:r>
            <w:r w:rsidR="003D5D4A" w:rsidRPr="006340FE">
              <w:t>.</w:t>
            </w:r>
            <w:r>
              <w:t>237</w:t>
            </w:r>
            <w:r w:rsidRPr="00E35419">
              <w:t>32</w:t>
            </w:r>
          </w:p>
        </w:tc>
        <w:tc>
          <w:tcPr>
            <w:tcW w:w="1166" w:type="dxa"/>
            <w:gridSpan w:val="2"/>
            <w:tcBorders>
              <w:top w:val="single" w:sz="2" w:space="0" w:color="auto"/>
            </w:tcBorders>
          </w:tcPr>
          <w:p w:rsidR="00A44352" w:rsidRDefault="00A44352" w:rsidP="00BB1532">
            <w:pPr>
              <w:pStyle w:val="FinTableRightBold"/>
              <w:widowControl w:val="0"/>
            </w:pPr>
            <w:r>
              <w:t>-</w:t>
            </w:r>
          </w:p>
        </w:tc>
        <w:tc>
          <w:tcPr>
            <w:tcW w:w="1178" w:type="dxa"/>
            <w:gridSpan w:val="2"/>
            <w:tcBorders>
              <w:top w:val="single" w:sz="2" w:space="0" w:color="auto"/>
            </w:tcBorders>
          </w:tcPr>
          <w:p w:rsidR="00A44352" w:rsidRDefault="00A44352" w:rsidP="00BB1532">
            <w:pPr>
              <w:pStyle w:val="FinTableRightBold"/>
              <w:widowControl w:val="0"/>
            </w:pPr>
            <w:r w:rsidRPr="00E35419">
              <w:t>6</w:t>
            </w:r>
            <w:r>
              <w:t>,9</w:t>
            </w:r>
            <w:r w:rsidRPr="00E35419">
              <w:t>39</w:t>
            </w:r>
            <w:r w:rsidR="003D5D4A" w:rsidRPr="006340FE">
              <w:t>.</w:t>
            </w:r>
            <w:r>
              <w:t>237</w:t>
            </w:r>
            <w:r w:rsidRPr="00E35419">
              <w:t>32</w:t>
            </w:r>
          </w:p>
        </w:tc>
      </w:tr>
      <w:tr w:rsidR="00A44352" w:rsidTr="00BB1532">
        <w:tc>
          <w:tcPr>
            <w:tcW w:w="3606" w:type="dxa"/>
            <w:vMerge/>
            <w:tcBorders>
              <w:bottom w:val="single" w:sz="2" w:space="0" w:color="auto"/>
            </w:tcBorders>
          </w:tcPr>
          <w:p w:rsidR="00A44352" w:rsidRDefault="00A44352" w:rsidP="00BB1532">
            <w:pPr>
              <w:pStyle w:val="FinTableLeftBoldHanging"/>
              <w:widowControl w:val="0"/>
            </w:pPr>
          </w:p>
        </w:tc>
        <w:tc>
          <w:tcPr>
            <w:tcW w:w="1166" w:type="dxa"/>
            <w:gridSpan w:val="2"/>
            <w:tcBorders>
              <w:bottom w:val="single" w:sz="2" w:space="0" w:color="auto"/>
            </w:tcBorders>
          </w:tcPr>
          <w:p w:rsidR="00A44352" w:rsidRDefault="00A44352" w:rsidP="00BB1532">
            <w:pPr>
              <w:pStyle w:val="FinTableRightItalic"/>
              <w:widowControl w:val="0"/>
            </w:pPr>
            <w:r>
              <w:t>7,138</w:t>
            </w:r>
          </w:p>
        </w:tc>
        <w:tc>
          <w:tcPr>
            <w:tcW w:w="1166" w:type="dxa"/>
            <w:gridSpan w:val="2"/>
            <w:tcBorders>
              <w:bottom w:val="single" w:sz="2" w:space="0" w:color="auto"/>
            </w:tcBorders>
          </w:tcPr>
          <w:p w:rsidR="00A44352" w:rsidRDefault="00A44352" w:rsidP="00BB1532">
            <w:pPr>
              <w:pStyle w:val="FinTableRightItalic"/>
              <w:widowControl w:val="0"/>
            </w:pPr>
            <w:r>
              <w:t>-</w:t>
            </w:r>
          </w:p>
        </w:tc>
        <w:tc>
          <w:tcPr>
            <w:tcW w:w="1178" w:type="dxa"/>
            <w:gridSpan w:val="2"/>
            <w:tcBorders>
              <w:bottom w:val="single" w:sz="2" w:space="0" w:color="auto"/>
            </w:tcBorders>
          </w:tcPr>
          <w:p w:rsidR="00A44352" w:rsidRDefault="00A44352" w:rsidP="00BB1532">
            <w:pPr>
              <w:pStyle w:val="FinTableRightItalic"/>
              <w:widowControl w:val="0"/>
            </w:pPr>
            <w:r>
              <w:t>37,939</w:t>
            </w:r>
          </w:p>
        </w:tc>
      </w:tr>
    </w:tbl>
    <w:p w:rsidR="00A44352" w:rsidRPr="00402FD4" w:rsidRDefault="00A44352" w:rsidP="00E35419">
      <w:pPr>
        <w:pStyle w:val="A1S"/>
        <w:spacing w:before="240" w:line="240" w:lineRule="auto"/>
        <w:ind w:left="709" w:hanging="709"/>
      </w:pPr>
      <w:r>
        <w:lastRenderedPageBreak/>
        <w:t xml:space="preserve"> [</w:t>
      </w:r>
      <w:r w:rsidR="006F50A0">
        <w:t>3</w:t>
      </w:r>
      <w:r>
        <w:t>]</w:t>
      </w:r>
      <w:r>
        <w:tab/>
      </w:r>
      <w:r w:rsidRPr="00402FD4">
        <w:t xml:space="preserve">Schedule 2, </w:t>
      </w:r>
      <w:r>
        <w:rPr>
          <w:bCs/>
        </w:rPr>
        <w:t>Climate Change and Energy Efficiency</w:t>
      </w:r>
      <w:r w:rsidRPr="00E7285F">
        <w:rPr>
          <w:bCs/>
        </w:rPr>
        <w:t xml:space="preserve"> portfolio</w:t>
      </w:r>
      <w:r w:rsidRPr="00402FD4">
        <w:t xml:space="preserve">, after the </w:t>
      </w:r>
      <w:r>
        <w:rPr>
          <w:bCs/>
        </w:rPr>
        <w:t xml:space="preserve">Department of Climate Change and Energy Efficiency </w:t>
      </w:r>
      <w:r w:rsidRPr="00402FD4">
        <w:t>table</w:t>
      </w:r>
    </w:p>
    <w:p w:rsidR="00A44352" w:rsidRPr="00402FD4" w:rsidRDefault="00A33EED" w:rsidP="00E35419">
      <w:pPr>
        <w:pStyle w:val="ScheduleVerb"/>
        <w:rPr>
          <w:i w:val="0"/>
        </w:rPr>
      </w:pPr>
      <w:r w:rsidRPr="00A04780">
        <w:t>Insert</w:t>
      </w:r>
      <w:r w:rsidRPr="00402FD4">
        <w:rPr>
          <w:i w:val="0"/>
        </w:rPr>
        <w:t xml:space="preserve"> </w:t>
      </w:r>
    </w:p>
    <w:p w:rsidR="00A44352" w:rsidRDefault="00A44352" w:rsidP="009E58A6">
      <w:pPr>
        <w:pStyle w:val="notemargin"/>
        <w:spacing w:before="120" w:line="240" w:lineRule="auto"/>
        <w:ind w:firstLine="0"/>
        <w:rPr>
          <w:sz w:val="20"/>
        </w:rPr>
      </w:pPr>
      <w:r>
        <w:rPr>
          <w:sz w:val="20"/>
        </w:rPr>
        <w:t xml:space="preserve">Note 1: </w:t>
      </w:r>
      <w:r w:rsidR="006465DB">
        <w:rPr>
          <w:i/>
          <w:sz w:val="20"/>
        </w:rPr>
        <w:t>FMA Act</w:t>
      </w:r>
      <w:r w:rsidR="006465DB" w:rsidRPr="006C22E9">
        <w:rPr>
          <w:i/>
          <w:sz w:val="20"/>
        </w:rPr>
        <w:t xml:space="preserve"> Determination </w:t>
      </w:r>
      <w:r w:rsidR="006465DB">
        <w:rPr>
          <w:i/>
          <w:sz w:val="20"/>
        </w:rPr>
        <w:t>2013/01</w:t>
      </w:r>
      <w:r w:rsidR="006465DB" w:rsidRPr="006C22E9">
        <w:rPr>
          <w:i/>
          <w:sz w:val="20"/>
        </w:rPr>
        <w:t xml:space="preserve"> </w:t>
      </w:r>
      <w:r w:rsidRPr="006C22E9">
        <w:rPr>
          <w:i/>
          <w:sz w:val="20"/>
        </w:rPr>
        <w:t>— Section 32 (Transfer of Functions from DCCEE to DIICCSRTE and DRET)</w:t>
      </w:r>
      <w:r w:rsidRPr="00363325">
        <w:rPr>
          <w:sz w:val="20"/>
        </w:rPr>
        <w:t xml:space="preserve"> </w:t>
      </w:r>
      <w:r>
        <w:rPr>
          <w:sz w:val="20"/>
        </w:rPr>
        <w:t xml:space="preserve">repealed the table for the </w:t>
      </w:r>
      <w:r w:rsidRPr="00854190">
        <w:rPr>
          <w:sz w:val="20"/>
        </w:rPr>
        <w:t>Department of Climate Change and Energy Efficiency</w:t>
      </w:r>
      <w:r>
        <w:rPr>
          <w:sz w:val="20"/>
        </w:rPr>
        <w:t xml:space="preserve"> (DCCEE) and replaced it with a new table. </w:t>
      </w:r>
    </w:p>
    <w:p w:rsidR="00A44352" w:rsidRPr="00363325" w:rsidRDefault="00A44352" w:rsidP="009E58A6">
      <w:pPr>
        <w:pStyle w:val="notemargin"/>
        <w:spacing w:before="120" w:line="240" w:lineRule="auto"/>
        <w:ind w:firstLine="0"/>
        <w:rPr>
          <w:sz w:val="20"/>
        </w:rPr>
      </w:pPr>
      <w:r>
        <w:rPr>
          <w:sz w:val="20"/>
        </w:rPr>
        <w:t>The State, ACT, NT and local government item for</w:t>
      </w:r>
      <w:r w:rsidRPr="00363325">
        <w:rPr>
          <w:sz w:val="20"/>
        </w:rPr>
        <w:t xml:space="preserve"> Outcome 1,</w:t>
      </w:r>
      <w:r w:rsidRPr="00363325" w:rsidDel="00B50C2A">
        <w:rPr>
          <w:sz w:val="20"/>
        </w:rPr>
        <w:t xml:space="preserve"> </w:t>
      </w:r>
      <w:r>
        <w:rPr>
          <w:sz w:val="20"/>
        </w:rPr>
        <w:t>was reduced by $49,762.68 and this amount was transferred</w:t>
      </w:r>
      <w:r w:rsidRPr="00363325">
        <w:rPr>
          <w:sz w:val="20"/>
        </w:rPr>
        <w:t xml:space="preserve"> from the former DCCEE to </w:t>
      </w:r>
      <w:r>
        <w:rPr>
          <w:sz w:val="20"/>
        </w:rPr>
        <w:t xml:space="preserve">the </w:t>
      </w:r>
      <w:r w:rsidRPr="00363325">
        <w:rPr>
          <w:sz w:val="20"/>
        </w:rPr>
        <w:t>Department of Resources, Energy and Tourism (DRET).</w:t>
      </w:r>
      <w:r>
        <w:rPr>
          <w:sz w:val="20"/>
        </w:rPr>
        <w:t xml:space="preserve"> </w:t>
      </w:r>
      <w:r w:rsidR="005031D1">
        <w:rPr>
          <w:sz w:val="20"/>
        </w:rPr>
        <w:t xml:space="preserve">Consequential amendments were also made to the table. </w:t>
      </w:r>
      <w:r>
        <w:rPr>
          <w:sz w:val="20"/>
        </w:rPr>
        <w:t xml:space="preserve">The amended State, ACT, NT and local government item for Outcome 1 represents State, ACT, NT and local government amounts spent during 2012-2013 by DCCEE before </w:t>
      </w:r>
      <w:r w:rsidR="005031D1">
        <w:rPr>
          <w:sz w:val="20"/>
        </w:rPr>
        <w:t>it</w:t>
      </w:r>
      <w:r>
        <w:rPr>
          <w:sz w:val="20"/>
        </w:rPr>
        <w:t xml:space="preserve"> was abolished on 25 March 2013. </w:t>
      </w:r>
    </w:p>
    <w:p w:rsidR="00A44352" w:rsidRPr="00580E6F" w:rsidRDefault="00A44352" w:rsidP="000B1F13">
      <w:pPr>
        <w:pStyle w:val="notemargin"/>
        <w:ind w:firstLine="0"/>
        <w:rPr>
          <w:sz w:val="20"/>
        </w:rPr>
      </w:pPr>
      <w:r w:rsidRPr="0057440A">
        <w:rPr>
          <w:sz w:val="20"/>
        </w:rPr>
        <w:t xml:space="preserve">These changes were made to implement the amendments to the </w:t>
      </w:r>
      <w:r w:rsidRPr="00220F65">
        <w:rPr>
          <w:i/>
          <w:sz w:val="20"/>
        </w:rPr>
        <w:t>Administrative Arrangements Order</w:t>
      </w:r>
      <w:r w:rsidRPr="0057440A">
        <w:rPr>
          <w:sz w:val="20"/>
        </w:rPr>
        <w:t xml:space="preserve"> made on 25 March 2013. </w:t>
      </w:r>
      <w:r>
        <w:rPr>
          <w:sz w:val="20"/>
        </w:rPr>
        <w:t>F</w:t>
      </w:r>
      <w:r w:rsidRPr="00F967AE">
        <w:rPr>
          <w:sz w:val="20"/>
        </w:rPr>
        <w:t xml:space="preserve">unctions of the former </w:t>
      </w:r>
      <w:r>
        <w:rPr>
          <w:sz w:val="20"/>
        </w:rPr>
        <w:t>DCCEE</w:t>
      </w:r>
      <w:r w:rsidRPr="00F967AE">
        <w:rPr>
          <w:sz w:val="20"/>
        </w:rPr>
        <w:t xml:space="preserve"> in relation to energy efficiency</w:t>
      </w:r>
      <w:r>
        <w:rPr>
          <w:sz w:val="20"/>
        </w:rPr>
        <w:t xml:space="preserve"> were</w:t>
      </w:r>
      <w:r w:rsidRPr="00F967AE">
        <w:rPr>
          <w:sz w:val="20"/>
        </w:rPr>
        <w:t xml:space="preserve"> transferred</w:t>
      </w:r>
      <w:r>
        <w:rPr>
          <w:sz w:val="20"/>
        </w:rPr>
        <w:t xml:space="preserve"> </w:t>
      </w:r>
      <w:r w:rsidRPr="00F967AE">
        <w:rPr>
          <w:sz w:val="20"/>
        </w:rPr>
        <w:t xml:space="preserve">to </w:t>
      </w:r>
      <w:r>
        <w:rPr>
          <w:sz w:val="20"/>
        </w:rPr>
        <w:t>DRET</w:t>
      </w:r>
      <w:r w:rsidRPr="00F967AE">
        <w:rPr>
          <w:sz w:val="20"/>
        </w:rPr>
        <w:t>.</w:t>
      </w:r>
    </w:p>
    <w:p w:rsidR="00A44352" w:rsidRDefault="00A44352" w:rsidP="00E35419">
      <w:pPr>
        <w:pStyle w:val="A1S"/>
        <w:spacing w:before="240" w:line="240" w:lineRule="auto"/>
        <w:ind w:left="709" w:hanging="709"/>
        <w:rPr>
          <w:bCs/>
        </w:rPr>
      </w:pPr>
      <w:r>
        <w:t xml:space="preserve"> [</w:t>
      </w:r>
      <w:r w:rsidR="006F50A0">
        <w:t>4</w:t>
      </w:r>
      <w:r>
        <w:t>]</w:t>
      </w:r>
      <w:r>
        <w:tab/>
      </w:r>
      <w:r>
        <w:rPr>
          <w:bCs/>
        </w:rPr>
        <w:tab/>
      </w:r>
      <w:r w:rsidRPr="00E7285F">
        <w:rPr>
          <w:bCs/>
        </w:rPr>
        <w:t xml:space="preserve">Schedule </w:t>
      </w:r>
      <w:r>
        <w:rPr>
          <w:bCs/>
        </w:rPr>
        <w:t>2</w:t>
      </w:r>
      <w:r w:rsidRPr="00E7285F">
        <w:rPr>
          <w:bCs/>
        </w:rPr>
        <w:t xml:space="preserve">, </w:t>
      </w:r>
      <w:r>
        <w:rPr>
          <w:bCs/>
        </w:rPr>
        <w:t>Resources, Energy and Tourism</w:t>
      </w:r>
      <w:r w:rsidRPr="00E7285F">
        <w:rPr>
          <w:bCs/>
        </w:rPr>
        <w:t xml:space="preserve"> portfolio, </w:t>
      </w:r>
      <w:r>
        <w:rPr>
          <w:bCs/>
        </w:rPr>
        <w:t>Department of Resources, Energy and Tourism</w:t>
      </w:r>
      <w:r w:rsidRPr="00E7285F">
        <w:rPr>
          <w:bCs/>
        </w:rPr>
        <w:t xml:space="preserve"> </w:t>
      </w:r>
      <w:r>
        <w:rPr>
          <w:bCs/>
        </w:rPr>
        <w:t>table</w:t>
      </w:r>
    </w:p>
    <w:p w:rsidR="00A44352" w:rsidRDefault="00A44352" w:rsidP="00E35419">
      <w:pPr>
        <w:pStyle w:val="A2S"/>
        <w:spacing w:after="120"/>
      </w:pPr>
      <w:r w:rsidRPr="00F52AD0">
        <w:t>Omit</w:t>
      </w:r>
      <w:r>
        <w:t xml:space="preserve"> the table and insert</w:t>
      </w:r>
    </w:p>
    <w:tbl>
      <w:tblPr>
        <w:tblW w:w="7116" w:type="dxa"/>
        <w:tblLayout w:type="fixed"/>
        <w:tblCellMar>
          <w:left w:w="30" w:type="dxa"/>
          <w:right w:w="30" w:type="dxa"/>
        </w:tblCellMar>
        <w:tblLook w:val="0000"/>
      </w:tblPr>
      <w:tblGrid>
        <w:gridCol w:w="3606"/>
        <w:gridCol w:w="6"/>
        <w:gridCol w:w="1160"/>
        <w:gridCol w:w="8"/>
        <w:gridCol w:w="1158"/>
        <w:gridCol w:w="10"/>
        <w:gridCol w:w="1168"/>
      </w:tblGrid>
      <w:tr w:rsidR="00A44352" w:rsidTr="00BB1532">
        <w:trPr>
          <w:tblHeader/>
        </w:trPr>
        <w:tc>
          <w:tcPr>
            <w:tcW w:w="7116" w:type="dxa"/>
            <w:gridSpan w:val="7"/>
          </w:tcPr>
          <w:p w:rsidR="00A44352" w:rsidRDefault="00A44352" w:rsidP="00BB1532">
            <w:pPr>
              <w:pStyle w:val="FinTableHeadingCenteredBold"/>
              <w:widowControl w:val="0"/>
            </w:pPr>
            <w:r>
              <w:t>resources, energy and tourism</w:t>
            </w:r>
            <w:r w:rsidRPr="003B21A6">
              <w:t xml:space="preserve"> </w:t>
            </w:r>
            <w:r>
              <w:t>PORTFOLIO</w:t>
            </w:r>
          </w:p>
          <w:p w:rsidR="00A44352" w:rsidRDefault="00A44352" w:rsidP="00874B5C">
            <w:pPr>
              <w:pStyle w:val="KeyLight0"/>
            </w:pPr>
            <w:r>
              <w:t>Appropriation (plain figures)—2012</w:t>
            </w:r>
            <w:r>
              <w:noBreakHyphen/>
              <w:t>2013</w:t>
            </w:r>
          </w:p>
          <w:p w:rsidR="00A44352" w:rsidRPr="00BB1532" w:rsidRDefault="00A44352" w:rsidP="00874B5C">
            <w:pPr>
              <w:pStyle w:val="KeyLight0"/>
              <w:rPr>
                <w:i/>
                <w:sz w:val="15"/>
                <w:szCs w:val="15"/>
              </w:rPr>
            </w:pPr>
            <w:r w:rsidRPr="00BB1532">
              <w:rPr>
                <w:i/>
                <w:sz w:val="15"/>
                <w:szCs w:val="15"/>
              </w:rPr>
              <w:t>Actual Available Appropriation (italic figures)—2011</w:t>
            </w:r>
            <w:r w:rsidRPr="00BB1532">
              <w:rPr>
                <w:i/>
                <w:sz w:val="15"/>
                <w:szCs w:val="15"/>
              </w:rPr>
              <w:noBreakHyphen/>
              <w:t>2012</w:t>
            </w:r>
          </w:p>
          <w:p w:rsidR="00A44352" w:rsidRDefault="00A44352" w:rsidP="00BB1532">
            <w:pPr>
              <w:pStyle w:val="KeyItalic0"/>
              <w:widowControl w:val="0"/>
            </w:pPr>
          </w:p>
        </w:tc>
      </w:tr>
      <w:tr w:rsidR="00A44352" w:rsidTr="00BB1532">
        <w:trPr>
          <w:trHeight w:val="740"/>
          <w:tblHeader/>
        </w:trPr>
        <w:tc>
          <w:tcPr>
            <w:tcW w:w="3606" w:type="dxa"/>
            <w:tcBorders>
              <w:top w:val="single" w:sz="2" w:space="0" w:color="auto"/>
            </w:tcBorders>
          </w:tcPr>
          <w:p w:rsidR="00A44352" w:rsidRDefault="00A44352" w:rsidP="00BB1532">
            <w:pPr>
              <w:pStyle w:val="FinTableRight"/>
              <w:widowControl w:val="0"/>
            </w:pPr>
          </w:p>
        </w:tc>
        <w:tc>
          <w:tcPr>
            <w:tcW w:w="1166" w:type="dxa"/>
            <w:gridSpan w:val="2"/>
            <w:tcBorders>
              <w:top w:val="single" w:sz="2" w:space="0" w:color="auto"/>
            </w:tcBorders>
            <w:vAlign w:val="center"/>
          </w:tcPr>
          <w:p w:rsidR="00A44352" w:rsidRDefault="00A44352" w:rsidP="00BB1532">
            <w:pPr>
              <w:pStyle w:val="FinTableRight"/>
              <w:widowControl w:val="0"/>
            </w:pPr>
            <w:r>
              <w:t>Payments to</w:t>
            </w:r>
          </w:p>
          <w:p w:rsidR="00A44352" w:rsidRDefault="00A44352" w:rsidP="00BB1532">
            <w:pPr>
              <w:pStyle w:val="FinTableRight"/>
              <w:widowControl w:val="0"/>
            </w:pPr>
            <w:r>
              <w:t>States, ACT,</w:t>
            </w:r>
          </w:p>
          <w:p w:rsidR="00A44352" w:rsidRDefault="00A44352" w:rsidP="00BB1532">
            <w:pPr>
              <w:pStyle w:val="FinTableRight"/>
              <w:widowControl w:val="0"/>
            </w:pPr>
            <w:r>
              <w:t>NT and local</w:t>
            </w:r>
          </w:p>
          <w:p w:rsidR="00A44352" w:rsidRDefault="00A44352" w:rsidP="00BB1532">
            <w:pPr>
              <w:pStyle w:val="FinTableRight"/>
              <w:widowControl w:val="0"/>
            </w:pPr>
            <w:r>
              <w:t>government</w:t>
            </w:r>
          </w:p>
        </w:tc>
        <w:tc>
          <w:tcPr>
            <w:tcW w:w="1166" w:type="dxa"/>
            <w:gridSpan w:val="2"/>
            <w:tcBorders>
              <w:top w:val="single" w:sz="2" w:space="0" w:color="auto"/>
            </w:tcBorders>
            <w:vAlign w:val="center"/>
          </w:tcPr>
          <w:p w:rsidR="00A44352" w:rsidRDefault="00A44352" w:rsidP="00BB1532">
            <w:pPr>
              <w:pStyle w:val="FinTableRight"/>
              <w:widowControl w:val="0"/>
            </w:pPr>
          </w:p>
          <w:p w:rsidR="00A44352" w:rsidRDefault="00A44352" w:rsidP="00BB1532">
            <w:pPr>
              <w:pStyle w:val="FinTableRight"/>
              <w:widowControl w:val="0"/>
            </w:pPr>
            <w:r>
              <w:t>New</w:t>
            </w:r>
          </w:p>
          <w:p w:rsidR="00A44352" w:rsidRDefault="00A44352" w:rsidP="00BB1532">
            <w:pPr>
              <w:pStyle w:val="FinTableRight"/>
              <w:widowControl w:val="0"/>
            </w:pPr>
            <w:r>
              <w:t>Administered</w:t>
            </w:r>
          </w:p>
          <w:p w:rsidR="00A44352" w:rsidRDefault="00A44352" w:rsidP="00BB1532">
            <w:pPr>
              <w:pStyle w:val="FinTableRight"/>
              <w:widowControl w:val="0"/>
            </w:pPr>
            <w:r>
              <w:t>Outcomes</w:t>
            </w:r>
          </w:p>
        </w:tc>
        <w:tc>
          <w:tcPr>
            <w:tcW w:w="1178" w:type="dxa"/>
            <w:gridSpan w:val="2"/>
            <w:tcBorders>
              <w:top w:val="single" w:sz="2" w:space="0" w:color="auto"/>
            </w:tcBorders>
            <w:vAlign w:val="center"/>
          </w:tcPr>
          <w:p w:rsidR="00A44352" w:rsidRDefault="00A44352" w:rsidP="00BB1532">
            <w:pPr>
              <w:pStyle w:val="FinTableRight"/>
              <w:widowControl w:val="0"/>
            </w:pPr>
          </w:p>
          <w:p w:rsidR="00A44352" w:rsidRDefault="00A44352" w:rsidP="00BB1532">
            <w:pPr>
              <w:pStyle w:val="FinTableRight"/>
              <w:widowControl w:val="0"/>
            </w:pPr>
          </w:p>
          <w:p w:rsidR="00A44352" w:rsidRDefault="00A44352" w:rsidP="00BB1532">
            <w:pPr>
              <w:pStyle w:val="FinTableRight"/>
              <w:widowControl w:val="0"/>
            </w:pPr>
          </w:p>
          <w:p w:rsidR="00A44352" w:rsidRDefault="00A44352" w:rsidP="00BB1532">
            <w:pPr>
              <w:pStyle w:val="FinTableRight"/>
              <w:widowControl w:val="0"/>
            </w:pPr>
            <w:r>
              <w:t>Total</w:t>
            </w:r>
          </w:p>
        </w:tc>
      </w:tr>
      <w:tr w:rsidR="00A44352" w:rsidTr="00BB1532">
        <w:trPr>
          <w:trHeight w:val="148"/>
          <w:tblHeader/>
        </w:trPr>
        <w:tc>
          <w:tcPr>
            <w:tcW w:w="3606" w:type="dxa"/>
            <w:tcBorders>
              <w:top w:val="single" w:sz="2" w:space="0" w:color="auto"/>
            </w:tcBorders>
          </w:tcPr>
          <w:p w:rsidR="00A44352" w:rsidRDefault="00A44352" w:rsidP="00BB1532">
            <w:pPr>
              <w:pStyle w:val="FinTableRight"/>
              <w:widowControl w:val="0"/>
            </w:pPr>
          </w:p>
        </w:tc>
        <w:tc>
          <w:tcPr>
            <w:tcW w:w="1166" w:type="dxa"/>
            <w:gridSpan w:val="2"/>
            <w:tcBorders>
              <w:top w:val="single" w:sz="2" w:space="0" w:color="auto"/>
            </w:tcBorders>
          </w:tcPr>
          <w:p w:rsidR="00A44352" w:rsidRDefault="00A44352" w:rsidP="00BB1532">
            <w:pPr>
              <w:pStyle w:val="FinTableRight"/>
              <w:widowControl w:val="0"/>
            </w:pPr>
            <w:r>
              <w:t>$'000</w:t>
            </w:r>
          </w:p>
        </w:tc>
        <w:tc>
          <w:tcPr>
            <w:tcW w:w="1166" w:type="dxa"/>
            <w:gridSpan w:val="2"/>
            <w:tcBorders>
              <w:top w:val="single" w:sz="2" w:space="0" w:color="auto"/>
            </w:tcBorders>
          </w:tcPr>
          <w:p w:rsidR="00A44352" w:rsidRDefault="00A44352" w:rsidP="00BB1532">
            <w:pPr>
              <w:pStyle w:val="FinTableRight"/>
              <w:widowControl w:val="0"/>
            </w:pPr>
            <w:r>
              <w:t>$'000</w:t>
            </w:r>
          </w:p>
        </w:tc>
        <w:tc>
          <w:tcPr>
            <w:tcW w:w="1178" w:type="dxa"/>
            <w:gridSpan w:val="2"/>
            <w:tcBorders>
              <w:top w:val="single" w:sz="2" w:space="0" w:color="auto"/>
            </w:tcBorders>
          </w:tcPr>
          <w:p w:rsidR="00A44352" w:rsidRDefault="00A44352" w:rsidP="00BB1532">
            <w:pPr>
              <w:pStyle w:val="FinTableRight"/>
              <w:widowControl w:val="0"/>
            </w:pPr>
            <w:r>
              <w:t>$'000</w:t>
            </w:r>
          </w:p>
        </w:tc>
      </w:tr>
      <w:tr w:rsidR="00A44352" w:rsidTr="00BB1532">
        <w:tc>
          <w:tcPr>
            <w:tcW w:w="3606" w:type="dxa"/>
          </w:tcPr>
          <w:p w:rsidR="00A44352" w:rsidRDefault="00A44352" w:rsidP="00BB1532">
            <w:pPr>
              <w:pStyle w:val="FinTableLeftBold"/>
              <w:widowControl w:val="0"/>
            </w:pPr>
            <w:r>
              <w:t xml:space="preserve">DEPARTMENT OF </w:t>
            </w:r>
            <w:r w:rsidRPr="00574731">
              <w:t>RESOURCES, ENERGY AND TOURISM</w:t>
            </w:r>
          </w:p>
        </w:tc>
        <w:tc>
          <w:tcPr>
            <w:tcW w:w="1166" w:type="dxa"/>
            <w:gridSpan w:val="2"/>
          </w:tcPr>
          <w:p w:rsidR="00A44352" w:rsidRDefault="00A44352" w:rsidP="00BB1532">
            <w:pPr>
              <w:pStyle w:val="FinTableRight"/>
              <w:widowControl w:val="0"/>
            </w:pPr>
          </w:p>
        </w:tc>
        <w:tc>
          <w:tcPr>
            <w:tcW w:w="1166" w:type="dxa"/>
            <w:gridSpan w:val="2"/>
          </w:tcPr>
          <w:p w:rsidR="00A44352" w:rsidRDefault="00A44352" w:rsidP="00BB1532">
            <w:pPr>
              <w:pStyle w:val="FinTableRight"/>
              <w:widowControl w:val="0"/>
            </w:pPr>
          </w:p>
        </w:tc>
        <w:tc>
          <w:tcPr>
            <w:tcW w:w="1178" w:type="dxa"/>
            <w:gridSpan w:val="2"/>
            <w:vAlign w:val="bottom"/>
          </w:tcPr>
          <w:p w:rsidR="00A44352" w:rsidRDefault="00A44352" w:rsidP="00BB1532">
            <w:pPr>
              <w:pStyle w:val="FinTableRight"/>
              <w:widowControl w:val="0"/>
            </w:pPr>
          </w:p>
        </w:tc>
      </w:tr>
      <w:tr w:rsidR="00A44352" w:rsidTr="00BB1532">
        <w:tc>
          <w:tcPr>
            <w:tcW w:w="3606" w:type="dxa"/>
          </w:tcPr>
          <w:p w:rsidR="00A44352" w:rsidRDefault="00A44352" w:rsidP="00BB1532">
            <w:pPr>
              <w:pStyle w:val="FinTableLeftBold"/>
              <w:widowControl w:val="0"/>
            </w:pPr>
            <w:r>
              <w:t>Operating</w:t>
            </w:r>
          </w:p>
        </w:tc>
        <w:tc>
          <w:tcPr>
            <w:tcW w:w="1166" w:type="dxa"/>
            <w:gridSpan w:val="2"/>
          </w:tcPr>
          <w:p w:rsidR="00A44352" w:rsidRDefault="00A44352" w:rsidP="00BB1532">
            <w:pPr>
              <w:pStyle w:val="FinTableRight"/>
              <w:widowControl w:val="0"/>
            </w:pPr>
          </w:p>
        </w:tc>
        <w:tc>
          <w:tcPr>
            <w:tcW w:w="1166" w:type="dxa"/>
            <w:gridSpan w:val="2"/>
          </w:tcPr>
          <w:p w:rsidR="00A44352" w:rsidRDefault="00A44352" w:rsidP="00BB1532">
            <w:pPr>
              <w:pStyle w:val="FinTableRight"/>
              <w:widowControl w:val="0"/>
            </w:pPr>
          </w:p>
        </w:tc>
        <w:tc>
          <w:tcPr>
            <w:tcW w:w="1178" w:type="dxa"/>
            <w:gridSpan w:val="2"/>
          </w:tcPr>
          <w:p w:rsidR="00A44352" w:rsidRDefault="00A44352" w:rsidP="00BB1532">
            <w:pPr>
              <w:pStyle w:val="FinTableRight"/>
              <w:widowControl w:val="0"/>
            </w:pPr>
          </w:p>
        </w:tc>
      </w:tr>
      <w:tr w:rsidR="00A44352" w:rsidTr="00BB1532">
        <w:tc>
          <w:tcPr>
            <w:tcW w:w="3606" w:type="dxa"/>
            <w:vMerge w:val="restart"/>
          </w:tcPr>
          <w:p w:rsidR="00A44352" w:rsidRDefault="00A44352" w:rsidP="00BB1532">
            <w:pPr>
              <w:pStyle w:val="FinTableLeftBoldIndent"/>
              <w:widowControl w:val="0"/>
            </w:pPr>
            <w:r>
              <w:t xml:space="preserve">Outcome 1 </w:t>
            </w:r>
            <w:r>
              <w:noBreakHyphen/>
              <w:t xml:space="preserve"> </w:t>
            </w:r>
          </w:p>
          <w:p w:rsidR="00A44352" w:rsidRDefault="00BD6F47" w:rsidP="004068DA">
            <w:pPr>
              <w:pStyle w:val="FinTableLeftIndent"/>
              <w:widowControl w:val="0"/>
            </w:pPr>
            <w:r>
              <w:t>The improved strength, competitiveness and sustainability of the Resources, Energy and Tourism industries to enhance Australia’s prosperity through implementation of government policy and programs (including to perform the activities indicated in the Portfolio Budget Statements for 2012-2013 of the Department of Climate Change and Energy Efficiency as being activities in respect of Outcome 1 for that Department)</w:t>
            </w:r>
          </w:p>
        </w:tc>
        <w:tc>
          <w:tcPr>
            <w:tcW w:w="1166" w:type="dxa"/>
            <w:gridSpan w:val="2"/>
          </w:tcPr>
          <w:p w:rsidR="00A44352" w:rsidRDefault="00A44352" w:rsidP="00BB1532">
            <w:pPr>
              <w:pStyle w:val="FinTableRight"/>
              <w:widowControl w:val="0"/>
            </w:pPr>
          </w:p>
        </w:tc>
        <w:tc>
          <w:tcPr>
            <w:tcW w:w="1166" w:type="dxa"/>
            <w:gridSpan w:val="2"/>
          </w:tcPr>
          <w:p w:rsidR="00A44352" w:rsidRDefault="00A44352" w:rsidP="00BB1532">
            <w:pPr>
              <w:pStyle w:val="FinTableRight"/>
              <w:widowControl w:val="0"/>
            </w:pPr>
          </w:p>
        </w:tc>
        <w:tc>
          <w:tcPr>
            <w:tcW w:w="1178" w:type="dxa"/>
            <w:gridSpan w:val="2"/>
          </w:tcPr>
          <w:p w:rsidR="00A44352" w:rsidRDefault="00A44352" w:rsidP="00BB1532">
            <w:pPr>
              <w:pStyle w:val="FinTableRight"/>
              <w:widowControl w:val="0"/>
            </w:pPr>
          </w:p>
        </w:tc>
      </w:tr>
      <w:tr w:rsidR="00A44352" w:rsidTr="00BB1532">
        <w:tc>
          <w:tcPr>
            <w:tcW w:w="3606" w:type="dxa"/>
            <w:vMerge/>
          </w:tcPr>
          <w:p w:rsidR="00A44352" w:rsidRDefault="00A44352" w:rsidP="00BB1532">
            <w:pPr>
              <w:pStyle w:val="FinTableLeftIndent"/>
              <w:widowControl w:val="0"/>
            </w:pPr>
          </w:p>
        </w:tc>
        <w:tc>
          <w:tcPr>
            <w:tcW w:w="1166" w:type="dxa"/>
            <w:gridSpan w:val="2"/>
          </w:tcPr>
          <w:p w:rsidR="00A44352" w:rsidRDefault="00A44352" w:rsidP="00BB1532">
            <w:pPr>
              <w:pStyle w:val="FinTableRight"/>
              <w:widowControl w:val="0"/>
            </w:pPr>
            <w:r>
              <w:t>49</w:t>
            </w:r>
            <w:r w:rsidR="003D5D4A" w:rsidRPr="006340FE">
              <w:t>.</w:t>
            </w:r>
            <w:r>
              <w:t>76268</w:t>
            </w:r>
          </w:p>
        </w:tc>
        <w:tc>
          <w:tcPr>
            <w:tcW w:w="1166" w:type="dxa"/>
            <w:gridSpan w:val="2"/>
          </w:tcPr>
          <w:p w:rsidR="00A44352" w:rsidRDefault="00A44352" w:rsidP="00BB1532">
            <w:pPr>
              <w:pStyle w:val="FinTableRight"/>
              <w:widowControl w:val="0"/>
            </w:pPr>
            <w:r>
              <w:t>-</w:t>
            </w:r>
          </w:p>
        </w:tc>
        <w:tc>
          <w:tcPr>
            <w:tcW w:w="1178" w:type="dxa"/>
            <w:gridSpan w:val="2"/>
          </w:tcPr>
          <w:p w:rsidR="00A44352" w:rsidRDefault="00A44352" w:rsidP="00BB1532">
            <w:pPr>
              <w:pStyle w:val="FinTableRight"/>
              <w:widowControl w:val="0"/>
            </w:pPr>
            <w:r>
              <w:t>49</w:t>
            </w:r>
            <w:r w:rsidR="003D5D4A" w:rsidRPr="006340FE">
              <w:t>.</w:t>
            </w:r>
            <w:r>
              <w:t>76268</w:t>
            </w:r>
          </w:p>
        </w:tc>
      </w:tr>
      <w:tr w:rsidR="00A44352" w:rsidTr="00BB1532">
        <w:tc>
          <w:tcPr>
            <w:tcW w:w="3606" w:type="dxa"/>
            <w:vMerge/>
          </w:tcPr>
          <w:p w:rsidR="00A44352" w:rsidRDefault="00A44352" w:rsidP="00BB1532">
            <w:pPr>
              <w:pStyle w:val="FinTableLeftIndent"/>
              <w:widowControl w:val="0"/>
            </w:pPr>
          </w:p>
        </w:tc>
        <w:tc>
          <w:tcPr>
            <w:tcW w:w="1166" w:type="dxa"/>
            <w:gridSpan w:val="2"/>
          </w:tcPr>
          <w:p w:rsidR="00A44352" w:rsidRDefault="00A44352" w:rsidP="00BB1532">
            <w:pPr>
              <w:pStyle w:val="FinTableRightItalic"/>
              <w:widowControl w:val="0"/>
            </w:pPr>
            <w:r>
              <w:t>-</w:t>
            </w:r>
          </w:p>
        </w:tc>
        <w:tc>
          <w:tcPr>
            <w:tcW w:w="1166" w:type="dxa"/>
            <w:gridSpan w:val="2"/>
          </w:tcPr>
          <w:p w:rsidR="00A44352" w:rsidRDefault="00A44352" w:rsidP="00BB1532">
            <w:pPr>
              <w:pStyle w:val="FinTableRightItalic"/>
              <w:widowControl w:val="0"/>
            </w:pPr>
            <w:r>
              <w:t>-</w:t>
            </w:r>
          </w:p>
        </w:tc>
        <w:tc>
          <w:tcPr>
            <w:tcW w:w="1178" w:type="dxa"/>
            <w:gridSpan w:val="2"/>
          </w:tcPr>
          <w:p w:rsidR="00A44352" w:rsidRDefault="00A44352" w:rsidP="00BB1532">
            <w:pPr>
              <w:pStyle w:val="FinTableRightItalic"/>
              <w:widowControl w:val="0"/>
            </w:pPr>
            <w:r>
              <w:t>-</w:t>
            </w:r>
          </w:p>
        </w:tc>
      </w:tr>
      <w:tr w:rsidR="00A44352" w:rsidTr="00BB1532">
        <w:tc>
          <w:tcPr>
            <w:tcW w:w="3606" w:type="dxa"/>
          </w:tcPr>
          <w:p w:rsidR="00A44352" w:rsidRDefault="00A44352" w:rsidP="00BB1532">
            <w:pPr>
              <w:pStyle w:val="FinTableSpacerRow"/>
              <w:widowControl w:val="0"/>
            </w:pPr>
          </w:p>
        </w:tc>
        <w:tc>
          <w:tcPr>
            <w:tcW w:w="1166" w:type="dxa"/>
            <w:gridSpan w:val="2"/>
          </w:tcPr>
          <w:p w:rsidR="00A44352" w:rsidRDefault="00A44352" w:rsidP="00BB1532">
            <w:pPr>
              <w:pStyle w:val="FinTableSpacerRow"/>
              <w:widowControl w:val="0"/>
            </w:pPr>
          </w:p>
        </w:tc>
        <w:tc>
          <w:tcPr>
            <w:tcW w:w="1166" w:type="dxa"/>
            <w:gridSpan w:val="2"/>
          </w:tcPr>
          <w:p w:rsidR="00A44352" w:rsidRDefault="00A44352" w:rsidP="00BB1532">
            <w:pPr>
              <w:pStyle w:val="FinTableSpacerRow"/>
              <w:widowControl w:val="0"/>
            </w:pPr>
          </w:p>
        </w:tc>
        <w:tc>
          <w:tcPr>
            <w:tcW w:w="1178" w:type="dxa"/>
            <w:gridSpan w:val="2"/>
          </w:tcPr>
          <w:p w:rsidR="00A44352" w:rsidRDefault="00A44352" w:rsidP="00BB1532">
            <w:pPr>
              <w:pStyle w:val="FinTableSpacerRow"/>
              <w:widowControl w:val="0"/>
            </w:pPr>
          </w:p>
        </w:tc>
      </w:tr>
      <w:tr w:rsidR="00A44352" w:rsidTr="00BB1532">
        <w:tc>
          <w:tcPr>
            <w:tcW w:w="3606" w:type="dxa"/>
          </w:tcPr>
          <w:p w:rsidR="00A44352" w:rsidRDefault="00A44352" w:rsidP="00BB1532">
            <w:pPr>
              <w:pStyle w:val="FinTableLeftBold"/>
              <w:widowControl w:val="0"/>
            </w:pPr>
            <w:r>
              <w:t>Total: Operating</w:t>
            </w:r>
          </w:p>
        </w:tc>
        <w:tc>
          <w:tcPr>
            <w:tcW w:w="1166" w:type="dxa"/>
            <w:gridSpan w:val="2"/>
            <w:tcBorders>
              <w:top w:val="single" w:sz="2" w:space="0" w:color="auto"/>
            </w:tcBorders>
          </w:tcPr>
          <w:p w:rsidR="00A44352" w:rsidRPr="00BB1532" w:rsidRDefault="00A44352" w:rsidP="00BB1532">
            <w:pPr>
              <w:pStyle w:val="FinTableRight"/>
              <w:widowControl w:val="0"/>
              <w:rPr>
                <w:b/>
              </w:rPr>
            </w:pPr>
            <w:r w:rsidRPr="00BB1532">
              <w:rPr>
                <w:b/>
              </w:rPr>
              <w:t>49</w:t>
            </w:r>
            <w:r w:rsidR="003D5D4A" w:rsidRPr="006340FE">
              <w:rPr>
                <w:b/>
              </w:rPr>
              <w:t>.</w:t>
            </w:r>
            <w:r w:rsidRPr="00BB1532">
              <w:rPr>
                <w:b/>
              </w:rPr>
              <w:t>76268</w:t>
            </w:r>
          </w:p>
        </w:tc>
        <w:tc>
          <w:tcPr>
            <w:tcW w:w="1166" w:type="dxa"/>
            <w:gridSpan w:val="2"/>
            <w:tcBorders>
              <w:top w:val="single" w:sz="2" w:space="0" w:color="auto"/>
            </w:tcBorders>
          </w:tcPr>
          <w:p w:rsidR="00A44352" w:rsidRPr="00BB1532" w:rsidRDefault="00A44352" w:rsidP="00BB1532">
            <w:pPr>
              <w:pStyle w:val="FinTableRight"/>
              <w:widowControl w:val="0"/>
              <w:rPr>
                <w:b/>
              </w:rPr>
            </w:pPr>
            <w:r w:rsidRPr="00BB1532">
              <w:rPr>
                <w:b/>
              </w:rPr>
              <w:t>-</w:t>
            </w:r>
          </w:p>
        </w:tc>
        <w:tc>
          <w:tcPr>
            <w:tcW w:w="1178" w:type="dxa"/>
            <w:gridSpan w:val="2"/>
            <w:tcBorders>
              <w:top w:val="single" w:sz="2" w:space="0" w:color="auto"/>
            </w:tcBorders>
          </w:tcPr>
          <w:p w:rsidR="00A44352" w:rsidRPr="00BB1532" w:rsidRDefault="00A44352" w:rsidP="00BB1532">
            <w:pPr>
              <w:pStyle w:val="FinTableRight"/>
              <w:widowControl w:val="0"/>
              <w:rPr>
                <w:b/>
              </w:rPr>
            </w:pPr>
            <w:r w:rsidRPr="00BB1532">
              <w:rPr>
                <w:b/>
              </w:rPr>
              <w:t>49</w:t>
            </w:r>
            <w:r w:rsidR="003D5D4A" w:rsidRPr="006340FE">
              <w:rPr>
                <w:b/>
              </w:rPr>
              <w:t>.</w:t>
            </w:r>
            <w:r w:rsidRPr="00BB1532">
              <w:rPr>
                <w:b/>
              </w:rPr>
              <w:t>76268</w:t>
            </w:r>
          </w:p>
        </w:tc>
      </w:tr>
      <w:tr w:rsidR="00A44352" w:rsidTr="00BB1532">
        <w:tc>
          <w:tcPr>
            <w:tcW w:w="3606" w:type="dxa"/>
          </w:tcPr>
          <w:p w:rsidR="00A44352" w:rsidRDefault="00A44352" w:rsidP="00BB1532">
            <w:pPr>
              <w:pStyle w:val="FinTableLeftBold"/>
              <w:widowControl w:val="0"/>
            </w:pPr>
          </w:p>
        </w:tc>
        <w:tc>
          <w:tcPr>
            <w:tcW w:w="1166" w:type="dxa"/>
            <w:gridSpan w:val="2"/>
            <w:tcBorders>
              <w:bottom w:val="single" w:sz="2" w:space="0" w:color="auto"/>
            </w:tcBorders>
          </w:tcPr>
          <w:p w:rsidR="00A44352" w:rsidRDefault="00A44352" w:rsidP="00BB1532">
            <w:pPr>
              <w:pStyle w:val="FinTableRightItalic"/>
              <w:widowControl w:val="0"/>
            </w:pPr>
            <w:r>
              <w:t>-</w:t>
            </w:r>
          </w:p>
        </w:tc>
        <w:tc>
          <w:tcPr>
            <w:tcW w:w="1166" w:type="dxa"/>
            <w:gridSpan w:val="2"/>
            <w:tcBorders>
              <w:bottom w:val="single" w:sz="2" w:space="0" w:color="auto"/>
            </w:tcBorders>
          </w:tcPr>
          <w:p w:rsidR="00A44352" w:rsidRDefault="00A44352" w:rsidP="00BB1532">
            <w:pPr>
              <w:pStyle w:val="FinTableRightItalic"/>
              <w:widowControl w:val="0"/>
            </w:pPr>
            <w:r>
              <w:t>-</w:t>
            </w:r>
          </w:p>
        </w:tc>
        <w:tc>
          <w:tcPr>
            <w:tcW w:w="1178" w:type="dxa"/>
            <w:gridSpan w:val="2"/>
            <w:tcBorders>
              <w:bottom w:val="single" w:sz="2" w:space="0" w:color="auto"/>
            </w:tcBorders>
          </w:tcPr>
          <w:p w:rsidR="00A44352" w:rsidRDefault="00A44352" w:rsidP="00BB1532">
            <w:pPr>
              <w:pStyle w:val="FinTableRightItalic"/>
              <w:widowControl w:val="0"/>
            </w:pPr>
            <w:r>
              <w:t>-</w:t>
            </w:r>
          </w:p>
        </w:tc>
      </w:tr>
      <w:tr w:rsidR="00A44352" w:rsidTr="00BB1532">
        <w:tc>
          <w:tcPr>
            <w:tcW w:w="3606" w:type="dxa"/>
          </w:tcPr>
          <w:p w:rsidR="00A44352" w:rsidRDefault="00A44352" w:rsidP="00BB1532">
            <w:pPr>
              <w:pStyle w:val="FinTableLeftBold"/>
              <w:widowControl w:val="0"/>
            </w:pPr>
            <w:r>
              <w:t>Non</w:t>
            </w:r>
            <w:r>
              <w:noBreakHyphen/>
            </w:r>
            <w:proofErr w:type="spellStart"/>
            <w:r>
              <w:t>operating</w:t>
            </w:r>
            <w:proofErr w:type="spellEnd"/>
          </w:p>
        </w:tc>
        <w:tc>
          <w:tcPr>
            <w:tcW w:w="1166" w:type="dxa"/>
            <w:gridSpan w:val="2"/>
          </w:tcPr>
          <w:p w:rsidR="00A44352" w:rsidRDefault="00A44352" w:rsidP="00BB1532">
            <w:pPr>
              <w:pStyle w:val="FinTableRight"/>
              <w:widowControl w:val="0"/>
            </w:pPr>
          </w:p>
        </w:tc>
        <w:tc>
          <w:tcPr>
            <w:tcW w:w="1166" w:type="dxa"/>
            <w:gridSpan w:val="2"/>
          </w:tcPr>
          <w:p w:rsidR="00A44352" w:rsidRDefault="00A44352" w:rsidP="00BB1532">
            <w:pPr>
              <w:pStyle w:val="FinTableRight"/>
              <w:widowControl w:val="0"/>
            </w:pPr>
          </w:p>
        </w:tc>
        <w:tc>
          <w:tcPr>
            <w:tcW w:w="1178" w:type="dxa"/>
            <w:gridSpan w:val="2"/>
          </w:tcPr>
          <w:p w:rsidR="00A44352" w:rsidRDefault="00A44352" w:rsidP="00BB1532">
            <w:pPr>
              <w:pStyle w:val="FinTableRight"/>
              <w:widowControl w:val="0"/>
            </w:pPr>
          </w:p>
        </w:tc>
      </w:tr>
      <w:tr w:rsidR="00A44352" w:rsidTr="00BB1532">
        <w:tc>
          <w:tcPr>
            <w:tcW w:w="3612" w:type="dxa"/>
            <w:gridSpan w:val="2"/>
            <w:vMerge w:val="restart"/>
          </w:tcPr>
          <w:p w:rsidR="00A44352" w:rsidRDefault="00A44352" w:rsidP="00E35419">
            <w:pPr>
              <w:pStyle w:val="FinTableLeftIndent"/>
            </w:pPr>
            <w:r>
              <w:t>Equity Injections</w:t>
            </w:r>
          </w:p>
        </w:tc>
        <w:tc>
          <w:tcPr>
            <w:tcW w:w="1168" w:type="dxa"/>
            <w:gridSpan w:val="2"/>
          </w:tcPr>
          <w:p w:rsidR="00A44352" w:rsidRDefault="00A44352" w:rsidP="00E35419">
            <w:pPr>
              <w:pStyle w:val="FinTableRight"/>
            </w:pPr>
          </w:p>
        </w:tc>
        <w:tc>
          <w:tcPr>
            <w:tcW w:w="1168" w:type="dxa"/>
            <w:gridSpan w:val="2"/>
          </w:tcPr>
          <w:p w:rsidR="00A44352" w:rsidRDefault="00A44352" w:rsidP="00E35419">
            <w:pPr>
              <w:pStyle w:val="FinTableRight"/>
            </w:pPr>
          </w:p>
        </w:tc>
        <w:tc>
          <w:tcPr>
            <w:tcW w:w="1168" w:type="dxa"/>
          </w:tcPr>
          <w:p w:rsidR="00A44352" w:rsidRDefault="00A44352" w:rsidP="00E35419">
            <w:pPr>
              <w:pStyle w:val="FinTableRight"/>
            </w:pPr>
            <w:r>
              <w:t>-</w:t>
            </w:r>
          </w:p>
        </w:tc>
      </w:tr>
      <w:tr w:rsidR="00A44352" w:rsidTr="00BB1532">
        <w:tc>
          <w:tcPr>
            <w:tcW w:w="3612" w:type="dxa"/>
            <w:gridSpan w:val="2"/>
            <w:vMerge/>
          </w:tcPr>
          <w:p w:rsidR="00A44352" w:rsidRDefault="00A44352" w:rsidP="00E35419">
            <w:pPr>
              <w:pStyle w:val="FinTableRight"/>
            </w:pPr>
          </w:p>
        </w:tc>
        <w:tc>
          <w:tcPr>
            <w:tcW w:w="1168" w:type="dxa"/>
            <w:gridSpan w:val="2"/>
          </w:tcPr>
          <w:p w:rsidR="00A44352" w:rsidRDefault="00A44352" w:rsidP="00E35419">
            <w:pPr>
              <w:pStyle w:val="FinTableRight"/>
            </w:pPr>
          </w:p>
        </w:tc>
        <w:tc>
          <w:tcPr>
            <w:tcW w:w="1168" w:type="dxa"/>
            <w:gridSpan w:val="2"/>
          </w:tcPr>
          <w:p w:rsidR="00A44352" w:rsidRDefault="00A44352" w:rsidP="00E35419">
            <w:pPr>
              <w:pStyle w:val="FinTableRight"/>
            </w:pPr>
          </w:p>
        </w:tc>
        <w:tc>
          <w:tcPr>
            <w:tcW w:w="1168" w:type="dxa"/>
          </w:tcPr>
          <w:p w:rsidR="00A44352" w:rsidRDefault="00A44352" w:rsidP="00E35419">
            <w:pPr>
              <w:pStyle w:val="FinTableRightItalic"/>
            </w:pPr>
            <w:r>
              <w:t>4,963</w:t>
            </w:r>
          </w:p>
        </w:tc>
      </w:tr>
      <w:tr w:rsidR="00A44352" w:rsidTr="00BB1532">
        <w:tc>
          <w:tcPr>
            <w:tcW w:w="3606" w:type="dxa"/>
          </w:tcPr>
          <w:p w:rsidR="00A44352" w:rsidRDefault="00A44352" w:rsidP="00BB1532">
            <w:pPr>
              <w:pStyle w:val="FinTableLeftBold"/>
              <w:widowControl w:val="0"/>
            </w:pPr>
            <w:r>
              <w:t>Total: Non</w:t>
            </w:r>
            <w:r>
              <w:noBreakHyphen/>
            </w:r>
            <w:proofErr w:type="spellStart"/>
            <w:r>
              <w:t>operating</w:t>
            </w:r>
            <w:proofErr w:type="spellEnd"/>
          </w:p>
        </w:tc>
        <w:tc>
          <w:tcPr>
            <w:tcW w:w="1166" w:type="dxa"/>
            <w:gridSpan w:val="2"/>
            <w:tcBorders>
              <w:top w:val="single" w:sz="2" w:space="0" w:color="auto"/>
            </w:tcBorders>
          </w:tcPr>
          <w:p w:rsidR="00A44352" w:rsidRDefault="00A44352" w:rsidP="00BB1532">
            <w:pPr>
              <w:pStyle w:val="FinTableRight"/>
              <w:widowControl w:val="0"/>
            </w:pPr>
          </w:p>
        </w:tc>
        <w:tc>
          <w:tcPr>
            <w:tcW w:w="1166" w:type="dxa"/>
            <w:gridSpan w:val="2"/>
            <w:tcBorders>
              <w:top w:val="single" w:sz="2" w:space="0" w:color="auto"/>
            </w:tcBorders>
          </w:tcPr>
          <w:p w:rsidR="00A44352" w:rsidRDefault="00A44352" w:rsidP="00BB1532">
            <w:pPr>
              <w:pStyle w:val="FinTableRight"/>
              <w:widowControl w:val="0"/>
            </w:pPr>
          </w:p>
        </w:tc>
        <w:tc>
          <w:tcPr>
            <w:tcW w:w="1178" w:type="dxa"/>
            <w:gridSpan w:val="2"/>
            <w:tcBorders>
              <w:top w:val="single" w:sz="2" w:space="0" w:color="auto"/>
            </w:tcBorders>
          </w:tcPr>
          <w:p w:rsidR="00A44352" w:rsidRDefault="00A44352" w:rsidP="00BB1532">
            <w:pPr>
              <w:pStyle w:val="FinTableRightBold"/>
              <w:widowControl w:val="0"/>
            </w:pPr>
            <w:r>
              <w:t>-</w:t>
            </w:r>
          </w:p>
        </w:tc>
      </w:tr>
      <w:tr w:rsidR="00A44352" w:rsidTr="00BB1532">
        <w:tc>
          <w:tcPr>
            <w:tcW w:w="3606" w:type="dxa"/>
          </w:tcPr>
          <w:p w:rsidR="00A44352" w:rsidRDefault="00A44352" w:rsidP="00BB1532">
            <w:pPr>
              <w:pStyle w:val="FinTableLeftBold"/>
              <w:widowControl w:val="0"/>
            </w:pPr>
          </w:p>
        </w:tc>
        <w:tc>
          <w:tcPr>
            <w:tcW w:w="1166" w:type="dxa"/>
            <w:gridSpan w:val="2"/>
          </w:tcPr>
          <w:p w:rsidR="00A44352" w:rsidRDefault="00A44352" w:rsidP="00BB1532">
            <w:pPr>
              <w:pStyle w:val="FinTableRightItalic"/>
              <w:widowControl w:val="0"/>
            </w:pPr>
          </w:p>
        </w:tc>
        <w:tc>
          <w:tcPr>
            <w:tcW w:w="1166" w:type="dxa"/>
            <w:gridSpan w:val="2"/>
          </w:tcPr>
          <w:p w:rsidR="00A44352" w:rsidRDefault="00A44352" w:rsidP="00BB1532">
            <w:pPr>
              <w:pStyle w:val="FinTableRightItalic"/>
              <w:widowControl w:val="0"/>
            </w:pPr>
          </w:p>
        </w:tc>
        <w:tc>
          <w:tcPr>
            <w:tcW w:w="1178" w:type="dxa"/>
            <w:gridSpan w:val="2"/>
          </w:tcPr>
          <w:p w:rsidR="00A44352" w:rsidRDefault="00A44352" w:rsidP="00BB1532">
            <w:pPr>
              <w:pStyle w:val="FinTableRightItalic"/>
              <w:widowControl w:val="0"/>
            </w:pPr>
            <w:r>
              <w:t>4,963</w:t>
            </w:r>
          </w:p>
        </w:tc>
      </w:tr>
      <w:tr w:rsidR="00A44352" w:rsidTr="00BB1532">
        <w:tc>
          <w:tcPr>
            <w:tcW w:w="3606" w:type="dxa"/>
            <w:vMerge w:val="restart"/>
            <w:tcBorders>
              <w:top w:val="single" w:sz="2" w:space="0" w:color="auto"/>
            </w:tcBorders>
          </w:tcPr>
          <w:p w:rsidR="00A44352" w:rsidRDefault="00A44352" w:rsidP="00BB1532">
            <w:pPr>
              <w:pStyle w:val="FinTableLeftBoldHanging"/>
              <w:widowControl w:val="0"/>
            </w:pPr>
            <w:r>
              <w:t xml:space="preserve">Total: Department of </w:t>
            </w:r>
            <w:r w:rsidRPr="00BB1532">
              <w:rPr>
                <w:bCs w:val="0"/>
              </w:rPr>
              <w:t>Resources, Energy and Tourism</w:t>
            </w:r>
          </w:p>
        </w:tc>
        <w:tc>
          <w:tcPr>
            <w:tcW w:w="1166" w:type="dxa"/>
            <w:gridSpan w:val="2"/>
            <w:tcBorders>
              <w:top w:val="single" w:sz="2" w:space="0" w:color="auto"/>
            </w:tcBorders>
          </w:tcPr>
          <w:p w:rsidR="00A44352" w:rsidRPr="00BB1532" w:rsidRDefault="00A44352" w:rsidP="00BB1532">
            <w:pPr>
              <w:pStyle w:val="FinTableRight"/>
              <w:widowControl w:val="0"/>
              <w:rPr>
                <w:b/>
              </w:rPr>
            </w:pPr>
            <w:r w:rsidRPr="00BB1532">
              <w:rPr>
                <w:b/>
              </w:rPr>
              <w:t>49</w:t>
            </w:r>
            <w:r w:rsidR="003D5D4A" w:rsidRPr="006340FE">
              <w:rPr>
                <w:b/>
              </w:rPr>
              <w:t>.</w:t>
            </w:r>
            <w:r w:rsidRPr="00BB1532">
              <w:rPr>
                <w:b/>
              </w:rPr>
              <w:t>76268</w:t>
            </w:r>
          </w:p>
        </w:tc>
        <w:tc>
          <w:tcPr>
            <w:tcW w:w="1166" w:type="dxa"/>
            <w:gridSpan w:val="2"/>
            <w:tcBorders>
              <w:top w:val="single" w:sz="2" w:space="0" w:color="auto"/>
            </w:tcBorders>
          </w:tcPr>
          <w:p w:rsidR="00A44352" w:rsidRPr="00BB1532" w:rsidRDefault="00A44352" w:rsidP="00BB1532">
            <w:pPr>
              <w:pStyle w:val="FinTableRight"/>
              <w:widowControl w:val="0"/>
              <w:rPr>
                <w:b/>
              </w:rPr>
            </w:pPr>
            <w:r w:rsidRPr="00BB1532">
              <w:rPr>
                <w:b/>
              </w:rPr>
              <w:t>-</w:t>
            </w:r>
          </w:p>
        </w:tc>
        <w:tc>
          <w:tcPr>
            <w:tcW w:w="1178" w:type="dxa"/>
            <w:gridSpan w:val="2"/>
            <w:tcBorders>
              <w:top w:val="single" w:sz="2" w:space="0" w:color="auto"/>
            </w:tcBorders>
          </w:tcPr>
          <w:p w:rsidR="00A44352" w:rsidRPr="00BB1532" w:rsidRDefault="00A44352" w:rsidP="00BB1532">
            <w:pPr>
              <w:pStyle w:val="FinTableRight"/>
              <w:widowControl w:val="0"/>
              <w:rPr>
                <w:b/>
              </w:rPr>
            </w:pPr>
            <w:r w:rsidRPr="00BB1532">
              <w:rPr>
                <w:b/>
              </w:rPr>
              <w:t>49</w:t>
            </w:r>
            <w:r w:rsidR="003D5D4A" w:rsidRPr="003D5D4A">
              <w:rPr>
                <w:b/>
              </w:rPr>
              <w:t>.</w:t>
            </w:r>
            <w:r w:rsidRPr="00BB1532">
              <w:rPr>
                <w:b/>
              </w:rPr>
              <w:t>76268</w:t>
            </w:r>
          </w:p>
        </w:tc>
      </w:tr>
      <w:tr w:rsidR="00A44352" w:rsidTr="00BB1532">
        <w:tc>
          <w:tcPr>
            <w:tcW w:w="3606" w:type="dxa"/>
            <w:vMerge/>
            <w:tcBorders>
              <w:bottom w:val="single" w:sz="2" w:space="0" w:color="auto"/>
            </w:tcBorders>
          </w:tcPr>
          <w:p w:rsidR="00A44352" w:rsidRDefault="00A44352" w:rsidP="00BB1532">
            <w:pPr>
              <w:pStyle w:val="FinTableLeftBoldHanging"/>
              <w:widowControl w:val="0"/>
            </w:pPr>
          </w:p>
        </w:tc>
        <w:tc>
          <w:tcPr>
            <w:tcW w:w="1166" w:type="dxa"/>
            <w:gridSpan w:val="2"/>
            <w:tcBorders>
              <w:bottom w:val="single" w:sz="2" w:space="0" w:color="auto"/>
            </w:tcBorders>
          </w:tcPr>
          <w:p w:rsidR="00A44352" w:rsidRDefault="00A44352" w:rsidP="00BB1532">
            <w:pPr>
              <w:pStyle w:val="FinTableRightItalic"/>
              <w:widowControl w:val="0"/>
            </w:pPr>
            <w:r>
              <w:t>-</w:t>
            </w:r>
          </w:p>
        </w:tc>
        <w:tc>
          <w:tcPr>
            <w:tcW w:w="1166" w:type="dxa"/>
            <w:gridSpan w:val="2"/>
            <w:tcBorders>
              <w:bottom w:val="single" w:sz="2" w:space="0" w:color="auto"/>
            </w:tcBorders>
          </w:tcPr>
          <w:p w:rsidR="00A44352" w:rsidRDefault="00A44352" w:rsidP="00BB1532">
            <w:pPr>
              <w:pStyle w:val="FinTableRightItalic"/>
              <w:widowControl w:val="0"/>
            </w:pPr>
            <w:r>
              <w:t>-</w:t>
            </w:r>
          </w:p>
        </w:tc>
        <w:tc>
          <w:tcPr>
            <w:tcW w:w="1178" w:type="dxa"/>
            <w:gridSpan w:val="2"/>
            <w:tcBorders>
              <w:bottom w:val="single" w:sz="2" w:space="0" w:color="auto"/>
            </w:tcBorders>
          </w:tcPr>
          <w:p w:rsidR="00A44352" w:rsidRDefault="00A44352" w:rsidP="00BB1532">
            <w:pPr>
              <w:pStyle w:val="FinTableRightItalic"/>
              <w:widowControl w:val="0"/>
            </w:pPr>
            <w:r>
              <w:t>4,963</w:t>
            </w:r>
          </w:p>
        </w:tc>
      </w:tr>
    </w:tbl>
    <w:p w:rsidR="00A33EED" w:rsidRDefault="00A33EED" w:rsidP="00E35419">
      <w:pPr>
        <w:pStyle w:val="A1S"/>
        <w:spacing w:before="240" w:line="240" w:lineRule="auto"/>
        <w:ind w:left="709" w:hanging="709"/>
      </w:pPr>
    </w:p>
    <w:p w:rsidR="00A33EED" w:rsidRDefault="00A33EED" w:rsidP="00A33EED">
      <w:pPr>
        <w:pStyle w:val="A2S"/>
        <w:rPr>
          <w:rFonts w:ascii="Arial" w:hAnsi="Arial"/>
        </w:rPr>
      </w:pPr>
      <w:r>
        <w:br w:type="page"/>
      </w:r>
    </w:p>
    <w:p w:rsidR="00A44352" w:rsidRPr="00402FD4" w:rsidRDefault="00A44352" w:rsidP="00E35419">
      <w:pPr>
        <w:pStyle w:val="A1S"/>
        <w:spacing w:before="240" w:line="240" w:lineRule="auto"/>
        <w:ind w:left="709" w:hanging="709"/>
      </w:pPr>
      <w:r w:rsidRPr="00402FD4">
        <w:lastRenderedPageBreak/>
        <w:t>[</w:t>
      </w:r>
      <w:r w:rsidR="006F50A0">
        <w:t>5</w:t>
      </w:r>
      <w:r w:rsidRPr="00402FD4">
        <w:t>]</w:t>
      </w:r>
      <w:r w:rsidRPr="00402FD4">
        <w:tab/>
        <w:t xml:space="preserve">Schedule 2, </w:t>
      </w:r>
      <w:r>
        <w:rPr>
          <w:bCs/>
        </w:rPr>
        <w:t>Resources, Energy and Tourism</w:t>
      </w:r>
      <w:r w:rsidRPr="00E7285F">
        <w:rPr>
          <w:bCs/>
        </w:rPr>
        <w:t xml:space="preserve"> portfolio</w:t>
      </w:r>
      <w:r w:rsidRPr="00402FD4">
        <w:t xml:space="preserve">, after the </w:t>
      </w:r>
      <w:r>
        <w:rPr>
          <w:bCs/>
        </w:rPr>
        <w:t>Department of Resources, Energy and Tourism</w:t>
      </w:r>
      <w:r w:rsidRPr="00402FD4">
        <w:t xml:space="preserve"> table</w:t>
      </w:r>
    </w:p>
    <w:p w:rsidR="00A44352" w:rsidRPr="00402FD4" w:rsidRDefault="00A33EED" w:rsidP="00E35419">
      <w:pPr>
        <w:pStyle w:val="ScheduleVerb"/>
        <w:rPr>
          <w:i w:val="0"/>
        </w:rPr>
      </w:pPr>
      <w:r w:rsidRPr="00A04780">
        <w:t>Insert</w:t>
      </w:r>
      <w:r w:rsidRPr="00402FD4">
        <w:rPr>
          <w:i w:val="0"/>
        </w:rPr>
        <w:t xml:space="preserve"> </w:t>
      </w:r>
    </w:p>
    <w:p w:rsidR="00A44352" w:rsidRDefault="00A44352" w:rsidP="000B1F13">
      <w:pPr>
        <w:pStyle w:val="notemargin"/>
        <w:spacing w:before="120" w:line="240" w:lineRule="auto"/>
        <w:ind w:firstLine="0"/>
        <w:rPr>
          <w:sz w:val="20"/>
        </w:rPr>
      </w:pPr>
      <w:r>
        <w:rPr>
          <w:sz w:val="20"/>
        </w:rPr>
        <w:t xml:space="preserve">Note 1: </w:t>
      </w:r>
      <w:r w:rsidR="006465DB">
        <w:rPr>
          <w:i/>
          <w:sz w:val="20"/>
        </w:rPr>
        <w:t>FMA Act</w:t>
      </w:r>
      <w:r w:rsidR="006465DB" w:rsidRPr="006C22E9">
        <w:rPr>
          <w:i/>
          <w:sz w:val="20"/>
        </w:rPr>
        <w:t xml:space="preserve"> Determination </w:t>
      </w:r>
      <w:r w:rsidR="006465DB">
        <w:rPr>
          <w:i/>
          <w:sz w:val="20"/>
        </w:rPr>
        <w:t>2013/01</w:t>
      </w:r>
      <w:r w:rsidR="006465DB" w:rsidRPr="006C22E9">
        <w:rPr>
          <w:i/>
          <w:sz w:val="20"/>
        </w:rPr>
        <w:t xml:space="preserve"> </w:t>
      </w:r>
      <w:r w:rsidRPr="006C22E9">
        <w:rPr>
          <w:i/>
          <w:sz w:val="20"/>
        </w:rPr>
        <w:t>— Section 32 (Transfer of Functions from DCCEE to DIICCSRTE and DRET)</w:t>
      </w:r>
      <w:r w:rsidRPr="00363325">
        <w:rPr>
          <w:sz w:val="20"/>
        </w:rPr>
        <w:t xml:space="preserve"> </w:t>
      </w:r>
      <w:r>
        <w:rPr>
          <w:sz w:val="20"/>
        </w:rPr>
        <w:t xml:space="preserve">repealed the table for the </w:t>
      </w:r>
      <w:r w:rsidRPr="004E5756">
        <w:rPr>
          <w:sz w:val="20"/>
        </w:rPr>
        <w:t>Department of Resources, Energy and Tourism</w:t>
      </w:r>
      <w:r>
        <w:rPr>
          <w:sz w:val="20"/>
        </w:rPr>
        <w:t xml:space="preserve"> (DRET) and replaced it with a new table.</w:t>
      </w:r>
    </w:p>
    <w:p w:rsidR="00A44352" w:rsidRPr="00363325" w:rsidRDefault="00A44352" w:rsidP="00DA1B05">
      <w:pPr>
        <w:pStyle w:val="notemargin"/>
        <w:spacing w:before="120" w:line="240" w:lineRule="auto"/>
        <w:ind w:firstLine="0"/>
        <w:rPr>
          <w:sz w:val="20"/>
        </w:rPr>
      </w:pPr>
      <w:r>
        <w:rPr>
          <w:sz w:val="20"/>
        </w:rPr>
        <w:t>The table inserted a new State, ACT, NT and local government item for</w:t>
      </w:r>
      <w:r w:rsidRPr="00363325">
        <w:rPr>
          <w:sz w:val="20"/>
        </w:rPr>
        <w:t xml:space="preserve"> Outcome 1</w:t>
      </w:r>
      <w:r>
        <w:rPr>
          <w:sz w:val="20"/>
        </w:rPr>
        <w:t xml:space="preserve"> for DRET, to transfer $49,762.68 of the</w:t>
      </w:r>
      <w:r w:rsidRPr="00363325">
        <w:rPr>
          <w:sz w:val="20"/>
        </w:rPr>
        <w:t xml:space="preserve"> </w:t>
      </w:r>
      <w:r>
        <w:rPr>
          <w:sz w:val="20"/>
        </w:rPr>
        <w:t xml:space="preserve">unspent State, ACT, NT and local government </w:t>
      </w:r>
      <w:r w:rsidR="00A33EED">
        <w:rPr>
          <w:sz w:val="20"/>
        </w:rPr>
        <w:t>amount</w:t>
      </w:r>
      <w:r w:rsidRPr="00363325">
        <w:rPr>
          <w:sz w:val="20"/>
        </w:rPr>
        <w:t xml:space="preserve"> from the former D</w:t>
      </w:r>
      <w:r>
        <w:rPr>
          <w:sz w:val="20"/>
        </w:rPr>
        <w:t>epartment of Climate Change and Energy Efficiency (D</w:t>
      </w:r>
      <w:r w:rsidRPr="00363325">
        <w:rPr>
          <w:sz w:val="20"/>
        </w:rPr>
        <w:t>CCEE</w:t>
      </w:r>
      <w:r>
        <w:rPr>
          <w:sz w:val="20"/>
        </w:rPr>
        <w:t>)</w:t>
      </w:r>
      <w:r w:rsidRPr="00363325">
        <w:rPr>
          <w:sz w:val="20"/>
        </w:rPr>
        <w:t xml:space="preserve"> to </w:t>
      </w:r>
      <w:r>
        <w:rPr>
          <w:sz w:val="20"/>
        </w:rPr>
        <w:t xml:space="preserve">DRET. </w:t>
      </w:r>
      <w:r w:rsidR="005031D1">
        <w:rPr>
          <w:sz w:val="20"/>
        </w:rPr>
        <w:t>Consequential amendments were also made to the table.</w:t>
      </w:r>
    </w:p>
    <w:p w:rsidR="00A44352" w:rsidRPr="00580E6F" w:rsidRDefault="00A44352" w:rsidP="006465DB">
      <w:pPr>
        <w:pStyle w:val="notemargin"/>
        <w:spacing w:before="120" w:line="240" w:lineRule="auto"/>
        <w:ind w:firstLine="0"/>
        <w:rPr>
          <w:sz w:val="20"/>
        </w:rPr>
      </w:pPr>
      <w:r w:rsidRPr="0057440A">
        <w:rPr>
          <w:sz w:val="20"/>
        </w:rPr>
        <w:t xml:space="preserve">These changes were made to implement the amendments to the </w:t>
      </w:r>
      <w:r w:rsidRPr="00AC2241">
        <w:rPr>
          <w:i/>
          <w:sz w:val="20"/>
        </w:rPr>
        <w:t>Administrative Arrangements Order</w:t>
      </w:r>
      <w:r w:rsidRPr="0057440A">
        <w:rPr>
          <w:sz w:val="20"/>
        </w:rPr>
        <w:t xml:space="preserve"> made on 25 March 2013. </w:t>
      </w:r>
      <w:r>
        <w:rPr>
          <w:sz w:val="20"/>
        </w:rPr>
        <w:t>F</w:t>
      </w:r>
      <w:r w:rsidRPr="00F967AE">
        <w:rPr>
          <w:sz w:val="20"/>
        </w:rPr>
        <w:t xml:space="preserve">unctions of the former </w:t>
      </w:r>
      <w:r>
        <w:rPr>
          <w:sz w:val="20"/>
        </w:rPr>
        <w:t>DCCEE</w:t>
      </w:r>
      <w:r w:rsidRPr="00F967AE">
        <w:rPr>
          <w:sz w:val="20"/>
        </w:rPr>
        <w:t xml:space="preserve"> in relation to energy efficiency</w:t>
      </w:r>
      <w:r>
        <w:rPr>
          <w:sz w:val="20"/>
        </w:rPr>
        <w:t xml:space="preserve"> were</w:t>
      </w:r>
      <w:r w:rsidRPr="00F967AE">
        <w:rPr>
          <w:sz w:val="20"/>
        </w:rPr>
        <w:t xml:space="preserve"> transferred</w:t>
      </w:r>
      <w:r>
        <w:rPr>
          <w:sz w:val="20"/>
        </w:rPr>
        <w:t xml:space="preserve"> </w:t>
      </w:r>
      <w:r w:rsidRPr="00F967AE">
        <w:rPr>
          <w:sz w:val="20"/>
        </w:rPr>
        <w:t xml:space="preserve">to </w:t>
      </w:r>
      <w:r>
        <w:rPr>
          <w:sz w:val="20"/>
        </w:rPr>
        <w:t>DRET</w:t>
      </w:r>
      <w:r w:rsidRPr="00F967AE">
        <w:rPr>
          <w:sz w:val="20"/>
        </w:rPr>
        <w:t>.</w:t>
      </w:r>
    </w:p>
    <w:p w:rsidR="00A44352" w:rsidRDefault="00A44352" w:rsidP="00023F0C">
      <w:pPr>
        <w:pStyle w:val="notemargin"/>
        <w:spacing w:line="240" w:lineRule="auto"/>
        <w:ind w:firstLine="0"/>
        <w:rPr>
          <w:sz w:val="20"/>
        </w:rPr>
      </w:pPr>
    </w:p>
    <w:sectPr w:rsidR="00A44352" w:rsidSect="000A4936">
      <w:headerReference w:type="default" r:id="rId13"/>
      <w:type w:val="continuous"/>
      <w:pgSz w:w="11907" w:h="16839" w:code="9"/>
      <w:pgMar w:top="1246" w:right="1440" w:bottom="1440" w:left="1440" w:header="709" w:footer="5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627" w:rsidRDefault="00314627" w:rsidP="007C75D5">
      <w:r>
        <w:separator/>
      </w:r>
    </w:p>
  </w:endnote>
  <w:endnote w:type="continuationSeparator" w:id="0">
    <w:p w:rsidR="00314627" w:rsidRDefault="00314627" w:rsidP="007C7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DB" w:rsidRDefault="006465DB">
    <w:pPr>
      <w:spacing w:line="200" w:lineRule="exact"/>
      <w:ind w:right="360"/>
    </w:pPr>
  </w:p>
  <w:tbl>
    <w:tblPr>
      <w:tblW w:w="0" w:type="auto"/>
      <w:tblInd w:w="108" w:type="dxa"/>
      <w:tblBorders>
        <w:top w:val="single" w:sz="4" w:space="0" w:color="auto"/>
      </w:tblBorders>
      <w:tblLayout w:type="fixed"/>
      <w:tblLook w:val="01E0"/>
    </w:tblPr>
    <w:tblGrid>
      <w:gridCol w:w="1134"/>
      <w:gridCol w:w="6095"/>
      <w:gridCol w:w="1134"/>
    </w:tblGrid>
    <w:tr w:rsidR="006465DB" w:rsidTr="00BA29D8">
      <w:tc>
        <w:tcPr>
          <w:tcW w:w="1134" w:type="dxa"/>
          <w:tcBorders>
            <w:top w:val="single" w:sz="4" w:space="0" w:color="auto"/>
          </w:tcBorders>
        </w:tcPr>
        <w:p w:rsidR="006465DB" w:rsidRPr="00BA29D8" w:rsidRDefault="00123F96" w:rsidP="00BA29D8">
          <w:pPr>
            <w:spacing w:line="240" w:lineRule="exact"/>
            <w:rPr>
              <w:rFonts w:ascii="Arial" w:hAnsi="Arial" w:cs="Arial"/>
            </w:rPr>
          </w:pPr>
          <w:r w:rsidRPr="00BA29D8">
            <w:rPr>
              <w:rStyle w:val="PageNumber"/>
              <w:rFonts w:cs="Arial"/>
            </w:rPr>
            <w:fldChar w:fldCharType="begin"/>
          </w:r>
          <w:r w:rsidR="006465DB" w:rsidRPr="00BA29D8">
            <w:rPr>
              <w:rStyle w:val="PageNumber"/>
              <w:rFonts w:cs="Arial"/>
            </w:rPr>
            <w:instrText xml:space="preserve">PAGE  </w:instrText>
          </w:r>
          <w:r w:rsidRPr="00BA29D8">
            <w:rPr>
              <w:rStyle w:val="PageNumber"/>
              <w:rFonts w:cs="Arial"/>
            </w:rPr>
            <w:fldChar w:fldCharType="separate"/>
          </w:r>
          <w:r w:rsidR="006465DB">
            <w:rPr>
              <w:rStyle w:val="PageNumber"/>
              <w:rFonts w:cs="Arial"/>
              <w:noProof/>
            </w:rPr>
            <w:t>8</w:t>
          </w:r>
          <w:r w:rsidRPr="00BA29D8">
            <w:rPr>
              <w:rStyle w:val="PageNumber"/>
              <w:rFonts w:cs="Arial"/>
            </w:rPr>
            <w:fldChar w:fldCharType="end"/>
          </w:r>
        </w:p>
      </w:tc>
      <w:tc>
        <w:tcPr>
          <w:tcW w:w="6095" w:type="dxa"/>
          <w:tcBorders>
            <w:top w:val="single" w:sz="4" w:space="0" w:color="auto"/>
          </w:tcBorders>
        </w:tcPr>
        <w:p w:rsidR="006465DB" w:rsidRPr="00AC5D62" w:rsidRDefault="00123F96" w:rsidP="00BA29D8">
          <w:pPr>
            <w:pStyle w:val="Footer"/>
            <w:spacing w:before="20" w:line="240" w:lineRule="exact"/>
            <w:rPr>
              <w:rFonts w:ascii="Arial" w:hAnsi="Arial"/>
              <w:i/>
            </w:rPr>
          </w:pPr>
          <w:r w:rsidRPr="00AC5D62">
            <w:rPr>
              <w:rFonts w:ascii="Arial" w:hAnsi="Arial"/>
              <w:i/>
            </w:rPr>
            <w:fldChar w:fldCharType="begin"/>
          </w:r>
          <w:r w:rsidR="006465DB" w:rsidRPr="00AC5D62">
            <w:rPr>
              <w:rFonts w:ascii="Arial" w:hAnsi="Arial"/>
              <w:i/>
            </w:rPr>
            <w:instrText xml:space="preserve"> REF  Citation\*charformat  \* MERGEFORMAT </w:instrText>
          </w:r>
          <w:r w:rsidRPr="00AC5D62">
            <w:rPr>
              <w:rFonts w:ascii="Arial" w:hAnsi="Arial"/>
              <w:i/>
            </w:rPr>
            <w:fldChar w:fldCharType="separate"/>
          </w:r>
          <w:r w:rsidR="009042C2" w:rsidRPr="009042C2">
            <w:rPr>
              <w:rFonts w:ascii="Arial" w:hAnsi="Arial"/>
              <w:i/>
            </w:rPr>
            <w:t xml:space="preserve">FMA Act Determination 2013/01 — Section 32 (Transfer of Functions from DCCEE to </w:t>
          </w:r>
          <w:r w:rsidRPr="00AC5D62">
            <w:rPr>
              <w:rFonts w:ascii="Arial" w:hAnsi="Arial"/>
              <w:i/>
            </w:rPr>
            <w:fldChar w:fldCharType="end"/>
          </w:r>
        </w:p>
      </w:tc>
      <w:tc>
        <w:tcPr>
          <w:tcW w:w="1134" w:type="dxa"/>
          <w:tcBorders>
            <w:top w:val="single" w:sz="4" w:space="0" w:color="auto"/>
          </w:tcBorders>
        </w:tcPr>
        <w:p w:rsidR="006465DB" w:rsidRPr="00451BF5" w:rsidRDefault="006465DB" w:rsidP="00BA29D8">
          <w:pPr>
            <w:spacing w:line="240" w:lineRule="exact"/>
            <w:jc w:val="right"/>
            <w:rPr>
              <w:rStyle w:val="PageNumber"/>
            </w:rPr>
          </w:pPr>
        </w:p>
      </w:tc>
    </w:tr>
  </w:tbl>
  <w:p w:rsidR="006465DB" w:rsidRDefault="006465DB">
    <w:pPr>
      <w:pStyle w:val="FooterInfo"/>
      <w:rPr>
        <w:b/>
        <w:sz w:val="40"/>
      </w:rPr>
    </w:pPr>
  </w:p>
  <w:p w:rsidR="006465DB" w:rsidRDefault="00123F96">
    <w:pPr>
      <w:pStyle w:val="FooterInfo"/>
    </w:pPr>
    <w:fldSimple w:instr=" FILENAME   \* MERGEFORMAT ">
      <w:r w:rsidR="009042C2">
        <w:rPr>
          <w:noProof/>
        </w:rPr>
        <w:t>NON ALIGNED DECIMALS - 2   Determination.docx</w:t>
      </w:r>
    </w:fldSimple>
    <w:r w:rsidR="006465DB" w:rsidRPr="00974D8C">
      <w:t xml:space="preserve"> </w:t>
    </w:r>
    <w:fldSimple w:instr=" DATE  \@ &quot;D/MM/YYYY&quot;  \* MERGEFORMAT ">
      <w:r w:rsidR="00DE6B00">
        <w:rPr>
          <w:noProof/>
        </w:rPr>
        <w:t>24/04/2013</w:t>
      </w:r>
    </w:fldSimple>
    <w:r w:rsidR="006465DB">
      <w:t xml:space="preserve"> </w:t>
    </w:r>
    <w:fldSimple w:instr=" TIME  \@ &quot;h:mm am/pm&quot;  \* MERGEFORMAT ">
      <w:r w:rsidR="00DE6B00">
        <w:rPr>
          <w:noProof/>
        </w:rPr>
        <w:t>11:07 AM</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Ind w:w="108" w:type="dxa"/>
      <w:tblBorders>
        <w:top w:val="single" w:sz="4" w:space="0" w:color="auto"/>
      </w:tblBorders>
      <w:tblLayout w:type="fixed"/>
      <w:tblLook w:val="01E0"/>
    </w:tblPr>
    <w:tblGrid>
      <w:gridCol w:w="851"/>
      <w:gridCol w:w="7087"/>
      <w:gridCol w:w="1134"/>
    </w:tblGrid>
    <w:tr w:rsidR="006465DB" w:rsidRPr="00DE2B9C" w:rsidTr="005A6520">
      <w:trPr>
        <w:trHeight w:val="47"/>
      </w:trPr>
      <w:tc>
        <w:tcPr>
          <w:tcW w:w="851" w:type="dxa"/>
          <w:tcBorders>
            <w:top w:val="single" w:sz="4" w:space="0" w:color="auto"/>
          </w:tcBorders>
        </w:tcPr>
        <w:p w:rsidR="006465DB" w:rsidRPr="00DE2B9C" w:rsidRDefault="006465DB" w:rsidP="00BA29D8">
          <w:pPr>
            <w:spacing w:line="240" w:lineRule="exact"/>
            <w:rPr>
              <w:rFonts w:ascii="Arial" w:hAnsi="Arial" w:cs="Arial"/>
              <w:sz w:val="18"/>
              <w:szCs w:val="18"/>
            </w:rPr>
          </w:pPr>
        </w:p>
      </w:tc>
      <w:tc>
        <w:tcPr>
          <w:tcW w:w="7087" w:type="dxa"/>
          <w:tcBorders>
            <w:top w:val="single" w:sz="4" w:space="0" w:color="auto"/>
          </w:tcBorders>
        </w:tcPr>
        <w:p w:rsidR="006465DB" w:rsidRPr="00FF16B2" w:rsidRDefault="00123F96" w:rsidP="00D67518">
          <w:pPr>
            <w:pStyle w:val="FooterCitation"/>
            <w:rPr>
              <w:rFonts w:cs="Arial"/>
              <w:szCs w:val="18"/>
            </w:rPr>
          </w:pPr>
          <w:fldSimple w:instr=" REF  InstrumentTitleFull  \* MERGEFORMAT ">
            <w:r w:rsidR="009042C2">
              <w:t>FMA</w:t>
            </w:r>
            <w:r w:rsidR="009042C2" w:rsidRPr="00FF16B2">
              <w:t xml:space="preserve"> Act Determination </w:t>
            </w:r>
            <w:r w:rsidR="009042C2">
              <w:t>2013/01</w:t>
            </w:r>
            <w:r w:rsidR="009042C2" w:rsidRPr="00FF16B2">
              <w:t xml:space="preserve"> — Section 32 </w:t>
            </w:r>
            <w:r w:rsidR="009042C2" w:rsidRPr="00FF16B2">
              <w:rPr>
                <w:noProof/>
              </w:rPr>
              <w:t xml:space="preserve">(Transfer </w:t>
            </w:r>
            <w:r w:rsidR="009042C2" w:rsidRPr="00FF16B2">
              <w:t xml:space="preserve">of Functions from </w:t>
            </w:r>
            <w:r w:rsidR="009042C2">
              <w:t>DCCEE</w:t>
            </w:r>
            <w:r w:rsidR="009042C2" w:rsidRPr="00FF16B2">
              <w:t xml:space="preserve"> to </w:t>
            </w:r>
          </w:fldSimple>
          <w:bookmarkStart w:id="3" w:name="Minister"/>
          <w:r w:rsidR="006465DB" w:rsidRPr="00FF16B2">
            <w:t>DII</w:t>
          </w:r>
          <w:r w:rsidR="006465DB">
            <w:t>CC</w:t>
          </w:r>
          <w:r w:rsidR="006465DB" w:rsidRPr="00FF16B2">
            <w:t>SR</w:t>
          </w:r>
          <w:r w:rsidR="006465DB">
            <w:t>TE and DRET</w:t>
          </w:r>
          <w:r w:rsidR="006465DB" w:rsidRPr="00FF16B2">
            <w:t>)</w:t>
          </w:r>
        </w:p>
      </w:tc>
      <w:tc>
        <w:tcPr>
          <w:tcW w:w="1134" w:type="dxa"/>
          <w:tcBorders>
            <w:top w:val="single" w:sz="4" w:space="0" w:color="auto"/>
          </w:tcBorders>
        </w:tcPr>
        <w:p w:rsidR="006465DB" w:rsidRPr="00DE2B9C" w:rsidRDefault="00123F96" w:rsidP="00BA29D8">
          <w:pPr>
            <w:spacing w:line="240" w:lineRule="exact"/>
            <w:jc w:val="right"/>
            <w:rPr>
              <w:rStyle w:val="PageNumber"/>
              <w:rFonts w:ascii="Arial" w:hAnsi="Arial" w:cs="Arial"/>
              <w:sz w:val="18"/>
              <w:szCs w:val="18"/>
            </w:rPr>
          </w:pPr>
          <w:r w:rsidRPr="00FF16B2">
            <w:rPr>
              <w:rStyle w:val="PageNumber"/>
              <w:rFonts w:ascii="Arial" w:hAnsi="Arial" w:cs="Arial"/>
              <w:sz w:val="18"/>
              <w:szCs w:val="18"/>
            </w:rPr>
            <w:fldChar w:fldCharType="begin"/>
          </w:r>
          <w:r w:rsidR="006465DB" w:rsidRPr="00FF16B2">
            <w:rPr>
              <w:rStyle w:val="PageNumber"/>
              <w:rFonts w:ascii="Arial" w:hAnsi="Arial" w:cs="Arial"/>
              <w:sz w:val="18"/>
              <w:szCs w:val="18"/>
            </w:rPr>
            <w:instrText xml:space="preserve">PAGE  </w:instrText>
          </w:r>
          <w:r w:rsidRPr="00FF16B2">
            <w:rPr>
              <w:rStyle w:val="PageNumber"/>
              <w:rFonts w:ascii="Arial" w:hAnsi="Arial" w:cs="Arial"/>
              <w:sz w:val="18"/>
              <w:szCs w:val="18"/>
            </w:rPr>
            <w:fldChar w:fldCharType="separate"/>
          </w:r>
          <w:r w:rsidR="00DE6B00">
            <w:rPr>
              <w:rStyle w:val="PageNumber"/>
              <w:rFonts w:ascii="Arial" w:hAnsi="Arial" w:cs="Arial"/>
              <w:noProof/>
              <w:sz w:val="18"/>
              <w:szCs w:val="18"/>
            </w:rPr>
            <w:t>3</w:t>
          </w:r>
          <w:r w:rsidRPr="00FF16B2">
            <w:rPr>
              <w:rStyle w:val="PageNumber"/>
              <w:rFonts w:ascii="Arial" w:hAnsi="Arial" w:cs="Arial"/>
              <w:sz w:val="18"/>
              <w:szCs w:val="18"/>
            </w:rPr>
            <w:fldChar w:fldCharType="end"/>
          </w:r>
        </w:p>
      </w:tc>
    </w:tr>
    <w:bookmarkEnd w:id="3"/>
  </w:tbl>
  <w:p w:rsidR="006465DB" w:rsidRPr="00DE2B9C" w:rsidRDefault="006465DB" w:rsidP="0048121B">
    <w:pPr>
      <w:pStyle w:val="FooterInfo"/>
      <w:rPr>
        <w:rFonts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627" w:rsidRDefault="00314627" w:rsidP="007C75D5">
      <w:r>
        <w:separator/>
      </w:r>
    </w:p>
  </w:footnote>
  <w:footnote w:type="continuationSeparator" w:id="0">
    <w:p w:rsidR="00314627" w:rsidRDefault="00314627" w:rsidP="007C7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6465DB" w:rsidTr="00BA29D8">
      <w:tc>
        <w:tcPr>
          <w:tcW w:w="8385" w:type="dxa"/>
        </w:tcPr>
        <w:p w:rsidR="006465DB" w:rsidRDefault="006465DB">
          <w:pPr>
            <w:pStyle w:val="HeaderLiteEven"/>
          </w:pPr>
        </w:p>
      </w:tc>
    </w:tr>
    <w:tr w:rsidR="006465DB" w:rsidTr="00BA29D8">
      <w:tc>
        <w:tcPr>
          <w:tcW w:w="8385" w:type="dxa"/>
        </w:tcPr>
        <w:p w:rsidR="006465DB" w:rsidRDefault="006465DB">
          <w:pPr>
            <w:pStyle w:val="HeaderLiteEven"/>
          </w:pPr>
        </w:p>
      </w:tc>
    </w:tr>
    <w:tr w:rsidR="006465DB" w:rsidTr="00BA29D8">
      <w:tc>
        <w:tcPr>
          <w:tcW w:w="8385" w:type="dxa"/>
          <w:tcBorders>
            <w:bottom w:val="single" w:sz="4" w:space="0" w:color="auto"/>
          </w:tcBorders>
        </w:tcPr>
        <w:p w:rsidR="006465DB" w:rsidRDefault="006465DB">
          <w:pPr>
            <w:pStyle w:val="HeaderBoldEven"/>
          </w:pPr>
        </w:p>
      </w:tc>
    </w:tr>
  </w:tbl>
  <w:p w:rsidR="006465DB" w:rsidRDefault="006465D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6465DB" w:rsidTr="00BA29D8">
      <w:tc>
        <w:tcPr>
          <w:tcW w:w="8385" w:type="dxa"/>
        </w:tcPr>
        <w:p w:rsidR="006465DB" w:rsidRDefault="006465DB"/>
      </w:tc>
    </w:tr>
    <w:tr w:rsidR="006465DB" w:rsidTr="00BA29D8">
      <w:tc>
        <w:tcPr>
          <w:tcW w:w="8385" w:type="dxa"/>
        </w:tcPr>
        <w:p w:rsidR="006465DB" w:rsidRDefault="006465DB"/>
      </w:tc>
    </w:tr>
    <w:tr w:rsidR="006465DB" w:rsidTr="00BA29D8">
      <w:tc>
        <w:tcPr>
          <w:tcW w:w="8385" w:type="dxa"/>
          <w:tcBorders>
            <w:bottom w:val="single" w:sz="4" w:space="0" w:color="auto"/>
          </w:tcBorders>
        </w:tcPr>
        <w:p w:rsidR="006465DB" w:rsidRDefault="006465DB"/>
      </w:tc>
    </w:tr>
  </w:tbl>
  <w:p w:rsidR="006465DB" w:rsidRDefault="006465D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00" w:type="dxa"/>
      <w:tblInd w:w="80" w:type="dxa"/>
      <w:tblBorders>
        <w:bottom w:val="single" w:sz="4" w:space="0" w:color="auto"/>
      </w:tblBorders>
      <w:tblLook w:val="01E0"/>
    </w:tblPr>
    <w:tblGrid>
      <w:gridCol w:w="6914"/>
      <w:gridCol w:w="2186"/>
    </w:tblGrid>
    <w:tr w:rsidR="006465DB" w:rsidTr="00282BA6">
      <w:trPr>
        <w:cantSplit/>
      </w:trPr>
      <w:tc>
        <w:tcPr>
          <w:tcW w:w="6914" w:type="dxa"/>
          <w:vAlign w:val="bottom"/>
        </w:tcPr>
        <w:p w:rsidR="006465DB" w:rsidRDefault="006465DB" w:rsidP="00940013"/>
      </w:tc>
      <w:tc>
        <w:tcPr>
          <w:tcW w:w="2186" w:type="dxa"/>
          <w:vAlign w:val="bottom"/>
        </w:tcPr>
        <w:p w:rsidR="006465DB" w:rsidRDefault="006465DB" w:rsidP="00290596">
          <w:pPr>
            <w:jc w:val="right"/>
          </w:pPr>
          <w:r>
            <w:t>Preliminary</w:t>
          </w:r>
        </w:p>
      </w:tc>
    </w:tr>
    <w:tr w:rsidR="006465DB" w:rsidTr="00282BA6">
      <w:trPr>
        <w:cantSplit/>
      </w:trPr>
      <w:tc>
        <w:tcPr>
          <w:tcW w:w="6914" w:type="dxa"/>
          <w:vAlign w:val="bottom"/>
        </w:tcPr>
        <w:p w:rsidR="006465DB" w:rsidRDefault="006465DB" w:rsidP="00940013"/>
      </w:tc>
      <w:tc>
        <w:tcPr>
          <w:tcW w:w="2186" w:type="dxa"/>
        </w:tcPr>
        <w:p w:rsidR="006465DB" w:rsidRDefault="006465DB" w:rsidP="00940013"/>
      </w:tc>
    </w:tr>
    <w:tr w:rsidR="006465DB" w:rsidTr="00282BA6">
      <w:trPr>
        <w:cantSplit/>
      </w:trPr>
      <w:tc>
        <w:tcPr>
          <w:tcW w:w="9100" w:type="dxa"/>
          <w:gridSpan w:val="2"/>
          <w:tcBorders>
            <w:bottom w:val="single" w:sz="4" w:space="0" w:color="auto"/>
          </w:tcBorders>
        </w:tcPr>
        <w:p w:rsidR="006465DB" w:rsidRDefault="006465DB" w:rsidP="00940013"/>
      </w:tc>
    </w:tr>
  </w:tbl>
  <w:p w:rsidR="006465DB" w:rsidRPr="00D207BF" w:rsidRDefault="006465DB">
    <w:pPr>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00" w:type="dxa"/>
      <w:tblInd w:w="80" w:type="dxa"/>
      <w:tblBorders>
        <w:bottom w:val="single" w:sz="4" w:space="0" w:color="auto"/>
      </w:tblBorders>
      <w:tblLook w:val="01E0"/>
    </w:tblPr>
    <w:tblGrid>
      <w:gridCol w:w="7053"/>
      <w:gridCol w:w="2047"/>
    </w:tblGrid>
    <w:tr w:rsidR="006465DB" w:rsidTr="00281709">
      <w:trPr>
        <w:cantSplit/>
      </w:trPr>
      <w:tc>
        <w:tcPr>
          <w:tcW w:w="7053" w:type="dxa"/>
          <w:tcBorders>
            <w:bottom w:val="single" w:sz="4" w:space="0" w:color="auto"/>
          </w:tcBorders>
          <w:vAlign w:val="bottom"/>
        </w:tcPr>
        <w:p w:rsidR="006465DB" w:rsidRDefault="006465DB" w:rsidP="00940013"/>
      </w:tc>
      <w:tc>
        <w:tcPr>
          <w:tcW w:w="2047" w:type="dxa"/>
          <w:tcBorders>
            <w:bottom w:val="single" w:sz="4" w:space="0" w:color="auto"/>
          </w:tcBorders>
          <w:vAlign w:val="bottom"/>
        </w:tcPr>
        <w:p w:rsidR="006465DB" w:rsidRDefault="006465DB" w:rsidP="00290596">
          <w:pPr>
            <w:jc w:val="right"/>
          </w:pPr>
        </w:p>
      </w:tc>
    </w:tr>
  </w:tbl>
  <w:p w:rsidR="006465DB" w:rsidRPr="00D207BF" w:rsidRDefault="006465DB" w:rsidP="00281709">
    <w:pP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3197"/>
    <w:multiLevelType w:val="hybridMultilevel"/>
    <w:tmpl w:val="A90A4E56"/>
    <w:lvl w:ilvl="0" w:tplc="85BCFE70">
      <w:start w:val="1"/>
      <w:numFmt w:val="lowerLetter"/>
      <w:lvlText w:val="(%1)"/>
      <w:lvlJc w:val="left"/>
      <w:pPr>
        <w:ind w:left="1324" w:hanging="360"/>
      </w:pPr>
      <w:rPr>
        <w:rFonts w:cs="Times New Roman" w:hint="default"/>
      </w:rPr>
    </w:lvl>
    <w:lvl w:ilvl="1" w:tplc="0C090019" w:tentative="1">
      <w:start w:val="1"/>
      <w:numFmt w:val="lowerLetter"/>
      <w:lvlText w:val="%2."/>
      <w:lvlJc w:val="left"/>
      <w:pPr>
        <w:ind w:left="2044" w:hanging="360"/>
      </w:pPr>
      <w:rPr>
        <w:rFonts w:cs="Times New Roman"/>
      </w:rPr>
    </w:lvl>
    <w:lvl w:ilvl="2" w:tplc="0C09001B" w:tentative="1">
      <w:start w:val="1"/>
      <w:numFmt w:val="lowerRoman"/>
      <w:lvlText w:val="%3."/>
      <w:lvlJc w:val="right"/>
      <w:pPr>
        <w:ind w:left="2764" w:hanging="180"/>
      </w:pPr>
      <w:rPr>
        <w:rFonts w:cs="Times New Roman"/>
      </w:rPr>
    </w:lvl>
    <w:lvl w:ilvl="3" w:tplc="0C09000F" w:tentative="1">
      <w:start w:val="1"/>
      <w:numFmt w:val="decimal"/>
      <w:lvlText w:val="%4."/>
      <w:lvlJc w:val="left"/>
      <w:pPr>
        <w:ind w:left="3484" w:hanging="360"/>
      </w:pPr>
      <w:rPr>
        <w:rFonts w:cs="Times New Roman"/>
      </w:rPr>
    </w:lvl>
    <w:lvl w:ilvl="4" w:tplc="0C090019" w:tentative="1">
      <w:start w:val="1"/>
      <w:numFmt w:val="lowerLetter"/>
      <w:lvlText w:val="%5."/>
      <w:lvlJc w:val="left"/>
      <w:pPr>
        <w:ind w:left="4204" w:hanging="360"/>
      </w:pPr>
      <w:rPr>
        <w:rFonts w:cs="Times New Roman"/>
      </w:rPr>
    </w:lvl>
    <w:lvl w:ilvl="5" w:tplc="0C09001B" w:tentative="1">
      <w:start w:val="1"/>
      <w:numFmt w:val="lowerRoman"/>
      <w:lvlText w:val="%6."/>
      <w:lvlJc w:val="right"/>
      <w:pPr>
        <w:ind w:left="4924" w:hanging="180"/>
      </w:pPr>
      <w:rPr>
        <w:rFonts w:cs="Times New Roman"/>
      </w:rPr>
    </w:lvl>
    <w:lvl w:ilvl="6" w:tplc="0C09000F" w:tentative="1">
      <w:start w:val="1"/>
      <w:numFmt w:val="decimal"/>
      <w:lvlText w:val="%7."/>
      <w:lvlJc w:val="left"/>
      <w:pPr>
        <w:ind w:left="5644" w:hanging="360"/>
      </w:pPr>
      <w:rPr>
        <w:rFonts w:cs="Times New Roman"/>
      </w:rPr>
    </w:lvl>
    <w:lvl w:ilvl="7" w:tplc="0C090019" w:tentative="1">
      <w:start w:val="1"/>
      <w:numFmt w:val="lowerLetter"/>
      <w:lvlText w:val="%8."/>
      <w:lvlJc w:val="left"/>
      <w:pPr>
        <w:ind w:left="6364" w:hanging="360"/>
      </w:pPr>
      <w:rPr>
        <w:rFonts w:cs="Times New Roman"/>
      </w:rPr>
    </w:lvl>
    <w:lvl w:ilvl="8" w:tplc="0C09001B" w:tentative="1">
      <w:start w:val="1"/>
      <w:numFmt w:val="lowerRoman"/>
      <w:lvlText w:val="%9."/>
      <w:lvlJc w:val="right"/>
      <w:pPr>
        <w:ind w:left="7084" w:hanging="180"/>
      </w:pPr>
      <w:rPr>
        <w:rFonts w:cs="Times New Roman"/>
      </w:rPr>
    </w:lvl>
  </w:abstractNum>
  <w:abstractNum w:abstractNumId="1">
    <w:nsid w:val="0B5B6525"/>
    <w:multiLevelType w:val="hybridMultilevel"/>
    <w:tmpl w:val="A90A4E56"/>
    <w:lvl w:ilvl="0" w:tplc="85BCFE70">
      <w:start w:val="1"/>
      <w:numFmt w:val="lowerLetter"/>
      <w:lvlText w:val="(%1)"/>
      <w:lvlJc w:val="left"/>
      <w:pPr>
        <w:ind w:left="1324" w:hanging="360"/>
      </w:pPr>
      <w:rPr>
        <w:rFonts w:cs="Times New Roman" w:hint="default"/>
      </w:rPr>
    </w:lvl>
    <w:lvl w:ilvl="1" w:tplc="0C090019" w:tentative="1">
      <w:start w:val="1"/>
      <w:numFmt w:val="lowerLetter"/>
      <w:lvlText w:val="%2."/>
      <w:lvlJc w:val="left"/>
      <w:pPr>
        <w:ind w:left="2044" w:hanging="360"/>
      </w:pPr>
      <w:rPr>
        <w:rFonts w:cs="Times New Roman"/>
      </w:rPr>
    </w:lvl>
    <w:lvl w:ilvl="2" w:tplc="0C09001B" w:tentative="1">
      <w:start w:val="1"/>
      <w:numFmt w:val="lowerRoman"/>
      <w:lvlText w:val="%3."/>
      <w:lvlJc w:val="right"/>
      <w:pPr>
        <w:ind w:left="2764" w:hanging="180"/>
      </w:pPr>
      <w:rPr>
        <w:rFonts w:cs="Times New Roman"/>
      </w:rPr>
    </w:lvl>
    <w:lvl w:ilvl="3" w:tplc="0C09000F" w:tentative="1">
      <w:start w:val="1"/>
      <w:numFmt w:val="decimal"/>
      <w:lvlText w:val="%4."/>
      <w:lvlJc w:val="left"/>
      <w:pPr>
        <w:ind w:left="3484" w:hanging="360"/>
      </w:pPr>
      <w:rPr>
        <w:rFonts w:cs="Times New Roman"/>
      </w:rPr>
    </w:lvl>
    <w:lvl w:ilvl="4" w:tplc="0C090019" w:tentative="1">
      <w:start w:val="1"/>
      <w:numFmt w:val="lowerLetter"/>
      <w:lvlText w:val="%5."/>
      <w:lvlJc w:val="left"/>
      <w:pPr>
        <w:ind w:left="4204" w:hanging="360"/>
      </w:pPr>
      <w:rPr>
        <w:rFonts w:cs="Times New Roman"/>
      </w:rPr>
    </w:lvl>
    <w:lvl w:ilvl="5" w:tplc="0C09001B" w:tentative="1">
      <w:start w:val="1"/>
      <w:numFmt w:val="lowerRoman"/>
      <w:lvlText w:val="%6."/>
      <w:lvlJc w:val="right"/>
      <w:pPr>
        <w:ind w:left="4924" w:hanging="180"/>
      </w:pPr>
      <w:rPr>
        <w:rFonts w:cs="Times New Roman"/>
      </w:rPr>
    </w:lvl>
    <w:lvl w:ilvl="6" w:tplc="0C09000F" w:tentative="1">
      <w:start w:val="1"/>
      <w:numFmt w:val="decimal"/>
      <w:lvlText w:val="%7."/>
      <w:lvlJc w:val="left"/>
      <w:pPr>
        <w:ind w:left="5644" w:hanging="360"/>
      </w:pPr>
      <w:rPr>
        <w:rFonts w:cs="Times New Roman"/>
      </w:rPr>
    </w:lvl>
    <w:lvl w:ilvl="7" w:tplc="0C090019" w:tentative="1">
      <w:start w:val="1"/>
      <w:numFmt w:val="lowerLetter"/>
      <w:lvlText w:val="%8."/>
      <w:lvlJc w:val="left"/>
      <w:pPr>
        <w:ind w:left="6364" w:hanging="360"/>
      </w:pPr>
      <w:rPr>
        <w:rFonts w:cs="Times New Roman"/>
      </w:rPr>
    </w:lvl>
    <w:lvl w:ilvl="8" w:tplc="0C09001B" w:tentative="1">
      <w:start w:val="1"/>
      <w:numFmt w:val="lowerRoman"/>
      <w:lvlText w:val="%9."/>
      <w:lvlJc w:val="right"/>
      <w:pPr>
        <w:ind w:left="7084" w:hanging="180"/>
      </w:pPr>
      <w:rPr>
        <w:rFonts w:cs="Times New Roman"/>
      </w:rPr>
    </w:lvl>
  </w:abstractNum>
  <w:abstractNum w:abstractNumId="2">
    <w:nsid w:val="0CD9041F"/>
    <w:multiLevelType w:val="hybridMultilevel"/>
    <w:tmpl w:val="48B4A212"/>
    <w:lvl w:ilvl="0" w:tplc="9DB017FA">
      <w:start w:val="1"/>
      <w:numFmt w:val="lowerLetter"/>
      <w:lvlText w:val="(%1)"/>
      <w:lvlJc w:val="left"/>
      <w:pPr>
        <w:ind w:left="1664" w:hanging="360"/>
      </w:pPr>
      <w:rPr>
        <w:rFonts w:cs="Times New Roman" w:hint="default"/>
      </w:rPr>
    </w:lvl>
    <w:lvl w:ilvl="1" w:tplc="0C090019" w:tentative="1">
      <w:start w:val="1"/>
      <w:numFmt w:val="lowerLetter"/>
      <w:lvlText w:val="%2."/>
      <w:lvlJc w:val="left"/>
      <w:pPr>
        <w:ind w:left="2384" w:hanging="360"/>
      </w:pPr>
      <w:rPr>
        <w:rFonts w:cs="Times New Roman"/>
      </w:rPr>
    </w:lvl>
    <w:lvl w:ilvl="2" w:tplc="0C09001B" w:tentative="1">
      <w:start w:val="1"/>
      <w:numFmt w:val="lowerRoman"/>
      <w:lvlText w:val="%3."/>
      <w:lvlJc w:val="right"/>
      <w:pPr>
        <w:ind w:left="3104" w:hanging="180"/>
      </w:pPr>
      <w:rPr>
        <w:rFonts w:cs="Times New Roman"/>
      </w:rPr>
    </w:lvl>
    <w:lvl w:ilvl="3" w:tplc="0C09000F" w:tentative="1">
      <w:start w:val="1"/>
      <w:numFmt w:val="decimal"/>
      <w:lvlText w:val="%4."/>
      <w:lvlJc w:val="left"/>
      <w:pPr>
        <w:ind w:left="3824" w:hanging="360"/>
      </w:pPr>
      <w:rPr>
        <w:rFonts w:cs="Times New Roman"/>
      </w:rPr>
    </w:lvl>
    <w:lvl w:ilvl="4" w:tplc="0C090019" w:tentative="1">
      <w:start w:val="1"/>
      <w:numFmt w:val="lowerLetter"/>
      <w:lvlText w:val="%5."/>
      <w:lvlJc w:val="left"/>
      <w:pPr>
        <w:ind w:left="4544" w:hanging="360"/>
      </w:pPr>
      <w:rPr>
        <w:rFonts w:cs="Times New Roman"/>
      </w:rPr>
    </w:lvl>
    <w:lvl w:ilvl="5" w:tplc="0C09001B" w:tentative="1">
      <w:start w:val="1"/>
      <w:numFmt w:val="lowerRoman"/>
      <w:lvlText w:val="%6."/>
      <w:lvlJc w:val="right"/>
      <w:pPr>
        <w:ind w:left="5264" w:hanging="180"/>
      </w:pPr>
      <w:rPr>
        <w:rFonts w:cs="Times New Roman"/>
      </w:rPr>
    </w:lvl>
    <w:lvl w:ilvl="6" w:tplc="0C09000F" w:tentative="1">
      <w:start w:val="1"/>
      <w:numFmt w:val="decimal"/>
      <w:lvlText w:val="%7."/>
      <w:lvlJc w:val="left"/>
      <w:pPr>
        <w:ind w:left="5984" w:hanging="360"/>
      </w:pPr>
      <w:rPr>
        <w:rFonts w:cs="Times New Roman"/>
      </w:rPr>
    </w:lvl>
    <w:lvl w:ilvl="7" w:tplc="0C090019" w:tentative="1">
      <w:start w:val="1"/>
      <w:numFmt w:val="lowerLetter"/>
      <w:lvlText w:val="%8."/>
      <w:lvlJc w:val="left"/>
      <w:pPr>
        <w:ind w:left="6704" w:hanging="360"/>
      </w:pPr>
      <w:rPr>
        <w:rFonts w:cs="Times New Roman"/>
      </w:rPr>
    </w:lvl>
    <w:lvl w:ilvl="8" w:tplc="0C09001B" w:tentative="1">
      <w:start w:val="1"/>
      <w:numFmt w:val="lowerRoman"/>
      <w:lvlText w:val="%9."/>
      <w:lvlJc w:val="right"/>
      <w:pPr>
        <w:ind w:left="7424" w:hanging="180"/>
      </w:pPr>
      <w:rPr>
        <w:rFonts w:cs="Times New Roman"/>
      </w:rPr>
    </w:lvl>
  </w:abstractNum>
  <w:abstractNum w:abstractNumId="3">
    <w:nsid w:val="0DD564F7"/>
    <w:multiLevelType w:val="hybridMultilevel"/>
    <w:tmpl w:val="28B05524"/>
    <w:lvl w:ilvl="0" w:tplc="9DB017FA">
      <w:start w:val="1"/>
      <w:numFmt w:val="lowerLetter"/>
      <w:lvlText w:val="(%1)"/>
      <w:lvlJc w:val="left"/>
      <w:pPr>
        <w:ind w:left="1664" w:hanging="360"/>
      </w:pPr>
      <w:rPr>
        <w:rFonts w:cs="Times New Roman" w:hint="default"/>
      </w:rPr>
    </w:lvl>
    <w:lvl w:ilvl="1" w:tplc="0C090019" w:tentative="1">
      <w:start w:val="1"/>
      <w:numFmt w:val="lowerLetter"/>
      <w:lvlText w:val="%2."/>
      <w:lvlJc w:val="left"/>
      <w:pPr>
        <w:ind w:left="2384" w:hanging="360"/>
      </w:pPr>
      <w:rPr>
        <w:rFonts w:cs="Times New Roman"/>
      </w:rPr>
    </w:lvl>
    <w:lvl w:ilvl="2" w:tplc="0C09001B" w:tentative="1">
      <w:start w:val="1"/>
      <w:numFmt w:val="lowerRoman"/>
      <w:lvlText w:val="%3."/>
      <w:lvlJc w:val="right"/>
      <w:pPr>
        <w:ind w:left="3104" w:hanging="180"/>
      </w:pPr>
      <w:rPr>
        <w:rFonts w:cs="Times New Roman"/>
      </w:rPr>
    </w:lvl>
    <w:lvl w:ilvl="3" w:tplc="0C09000F" w:tentative="1">
      <w:start w:val="1"/>
      <w:numFmt w:val="decimal"/>
      <w:lvlText w:val="%4."/>
      <w:lvlJc w:val="left"/>
      <w:pPr>
        <w:ind w:left="3824" w:hanging="360"/>
      </w:pPr>
      <w:rPr>
        <w:rFonts w:cs="Times New Roman"/>
      </w:rPr>
    </w:lvl>
    <w:lvl w:ilvl="4" w:tplc="0C090019" w:tentative="1">
      <w:start w:val="1"/>
      <w:numFmt w:val="lowerLetter"/>
      <w:lvlText w:val="%5."/>
      <w:lvlJc w:val="left"/>
      <w:pPr>
        <w:ind w:left="4544" w:hanging="360"/>
      </w:pPr>
      <w:rPr>
        <w:rFonts w:cs="Times New Roman"/>
      </w:rPr>
    </w:lvl>
    <w:lvl w:ilvl="5" w:tplc="0C09001B" w:tentative="1">
      <w:start w:val="1"/>
      <w:numFmt w:val="lowerRoman"/>
      <w:lvlText w:val="%6."/>
      <w:lvlJc w:val="right"/>
      <w:pPr>
        <w:ind w:left="5264" w:hanging="180"/>
      </w:pPr>
      <w:rPr>
        <w:rFonts w:cs="Times New Roman"/>
      </w:rPr>
    </w:lvl>
    <w:lvl w:ilvl="6" w:tplc="0C09000F" w:tentative="1">
      <w:start w:val="1"/>
      <w:numFmt w:val="decimal"/>
      <w:lvlText w:val="%7."/>
      <w:lvlJc w:val="left"/>
      <w:pPr>
        <w:ind w:left="5984" w:hanging="360"/>
      </w:pPr>
      <w:rPr>
        <w:rFonts w:cs="Times New Roman"/>
      </w:rPr>
    </w:lvl>
    <w:lvl w:ilvl="7" w:tplc="0C090019" w:tentative="1">
      <w:start w:val="1"/>
      <w:numFmt w:val="lowerLetter"/>
      <w:lvlText w:val="%8."/>
      <w:lvlJc w:val="left"/>
      <w:pPr>
        <w:ind w:left="6704" w:hanging="360"/>
      </w:pPr>
      <w:rPr>
        <w:rFonts w:cs="Times New Roman"/>
      </w:rPr>
    </w:lvl>
    <w:lvl w:ilvl="8" w:tplc="0C09001B" w:tentative="1">
      <w:start w:val="1"/>
      <w:numFmt w:val="lowerRoman"/>
      <w:lvlText w:val="%9."/>
      <w:lvlJc w:val="right"/>
      <w:pPr>
        <w:ind w:left="7424" w:hanging="180"/>
      </w:pPr>
      <w:rPr>
        <w:rFonts w:cs="Times New Roman"/>
      </w:rPr>
    </w:lvl>
  </w:abstractNum>
  <w:abstractNum w:abstractNumId="4">
    <w:nsid w:val="0F33598F"/>
    <w:multiLevelType w:val="hybridMultilevel"/>
    <w:tmpl w:val="28B05524"/>
    <w:lvl w:ilvl="0" w:tplc="9DB017FA">
      <w:start w:val="1"/>
      <w:numFmt w:val="lowerLetter"/>
      <w:lvlText w:val="(%1)"/>
      <w:lvlJc w:val="left"/>
      <w:pPr>
        <w:ind w:left="1664" w:hanging="360"/>
      </w:pPr>
      <w:rPr>
        <w:rFonts w:cs="Times New Roman" w:hint="default"/>
      </w:rPr>
    </w:lvl>
    <w:lvl w:ilvl="1" w:tplc="0C090019" w:tentative="1">
      <w:start w:val="1"/>
      <w:numFmt w:val="lowerLetter"/>
      <w:lvlText w:val="%2."/>
      <w:lvlJc w:val="left"/>
      <w:pPr>
        <w:ind w:left="2384" w:hanging="360"/>
      </w:pPr>
      <w:rPr>
        <w:rFonts w:cs="Times New Roman"/>
      </w:rPr>
    </w:lvl>
    <w:lvl w:ilvl="2" w:tplc="0C09001B" w:tentative="1">
      <w:start w:val="1"/>
      <w:numFmt w:val="lowerRoman"/>
      <w:lvlText w:val="%3."/>
      <w:lvlJc w:val="right"/>
      <w:pPr>
        <w:ind w:left="3104" w:hanging="180"/>
      </w:pPr>
      <w:rPr>
        <w:rFonts w:cs="Times New Roman"/>
      </w:rPr>
    </w:lvl>
    <w:lvl w:ilvl="3" w:tplc="0C09000F" w:tentative="1">
      <w:start w:val="1"/>
      <w:numFmt w:val="decimal"/>
      <w:lvlText w:val="%4."/>
      <w:lvlJc w:val="left"/>
      <w:pPr>
        <w:ind w:left="3824" w:hanging="360"/>
      </w:pPr>
      <w:rPr>
        <w:rFonts w:cs="Times New Roman"/>
      </w:rPr>
    </w:lvl>
    <w:lvl w:ilvl="4" w:tplc="0C090019" w:tentative="1">
      <w:start w:val="1"/>
      <w:numFmt w:val="lowerLetter"/>
      <w:lvlText w:val="%5."/>
      <w:lvlJc w:val="left"/>
      <w:pPr>
        <w:ind w:left="4544" w:hanging="360"/>
      </w:pPr>
      <w:rPr>
        <w:rFonts w:cs="Times New Roman"/>
      </w:rPr>
    </w:lvl>
    <w:lvl w:ilvl="5" w:tplc="0C09001B" w:tentative="1">
      <w:start w:val="1"/>
      <w:numFmt w:val="lowerRoman"/>
      <w:lvlText w:val="%6."/>
      <w:lvlJc w:val="right"/>
      <w:pPr>
        <w:ind w:left="5264" w:hanging="180"/>
      </w:pPr>
      <w:rPr>
        <w:rFonts w:cs="Times New Roman"/>
      </w:rPr>
    </w:lvl>
    <w:lvl w:ilvl="6" w:tplc="0C09000F" w:tentative="1">
      <w:start w:val="1"/>
      <w:numFmt w:val="decimal"/>
      <w:lvlText w:val="%7."/>
      <w:lvlJc w:val="left"/>
      <w:pPr>
        <w:ind w:left="5984" w:hanging="360"/>
      </w:pPr>
      <w:rPr>
        <w:rFonts w:cs="Times New Roman"/>
      </w:rPr>
    </w:lvl>
    <w:lvl w:ilvl="7" w:tplc="0C090019" w:tentative="1">
      <w:start w:val="1"/>
      <w:numFmt w:val="lowerLetter"/>
      <w:lvlText w:val="%8."/>
      <w:lvlJc w:val="left"/>
      <w:pPr>
        <w:ind w:left="6704" w:hanging="360"/>
      </w:pPr>
      <w:rPr>
        <w:rFonts w:cs="Times New Roman"/>
      </w:rPr>
    </w:lvl>
    <w:lvl w:ilvl="8" w:tplc="0C09001B" w:tentative="1">
      <w:start w:val="1"/>
      <w:numFmt w:val="lowerRoman"/>
      <w:lvlText w:val="%9."/>
      <w:lvlJc w:val="right"/>
      <w:pPr>
        <w:ind w:left="7424" w:hanging="180"/>
      </w:pPr>
      <w:rPr>
        <w:rFonts w:cs="Times New Roman"/>
      </w:rPr>
    </w:lvl>
  </w:abstractNum>
  <w:abstractNum w:abstractNumId="5">
    <w:nsid w:val="115A524D"/>
    <w:multiLevelType w:val="hybridMultilevel"/>
    <w:tmpl w:val="A90A4E56"/>
    <w:lvl w:ilvl="0" w:tplc="85BCFE70">
      <w:start w:val="1"/>
      <w:numFmt w:val="lowerLetter"/>
      <w:lvlText w:val="(%1)"/>
      <w:lvlJc w:val="left"/>
      <w:pPr>
        <w:ind w:left="1324" w:hanging="360"/>
      </w:pPr>
      <w:rPr>
        <w:rFonts w:cs="Times New Roman" w:hint="default"/>
      </w:rPr>
    </w:lvl>
    <w:lvl w:ilvl="1" w:tplc="0C090019" w:tentative="1">
      <w:start w:val="1"/>
      <w:numFmt w:val="lowerLetter"/>
      <w:lvlText w:val="%2."/>
      <w:lvlJc w:val="left"/>
      <w:pPr>
        <w:ind w:left="2044" w:hanging="360"/>
      </w:pPr>
      <w:rPr>
        <w:rFonts w:cs="Times New Roman"/>
      </w:rPr>
    </w:lvl>
    <w:lvl w:ilvl="2" w:tplc="0C09001B" w:tentative="1">
      <w:start w:val="1"/>
      <w:numFmt w:val="lowerRoman"/>
      <w:lvlText w:val="%3."/>
      <w:lvlJc w:val="right"/>
      <w:pPr>
        <w:ind w:left="2764" w:hanging="180"/>
      </w:pPr>
      <w:rPr>
        <w:rFonts w:cs="Times New Roman"/>
      </w:rPr>
    </w:lvl>
    <w:lvl w:ilvl="3" w:tplc="0C09000F" w:tentative="1">
      <w:start w:val="1"/>
      <w:numFmt w:val="decimal"/>
      <w:lvlText w:val="%4."/>
      <w:lvlJc w:val="left"/>
      <w:pPr>
        <w:ind w:left="3484" w:hanging="360"/>
      </w:pPr>
      <w:rPr>
        <w:rFonts w:cs="Times New Roman"/>
      </w:rPr>
    </w:lvl>
    <w:lvl w:ilvl="4" w:tplc="0C090019" w:tentative="1">
      <w:start w:val="1"/>
      <w:numFmt w:val="lowerLetter"/>
      <w:lvlText w:val="%5."/>
      <w:lvlJc w:val="left"/>
      <w:pPr>
        <w:ind w:left="4204" w:hanging="360"/>
      </w:pPr>
      <w:rPr>
        <w:rFonts w:cs="Times New Roman"/>
      </w:rPr>
    </w:lvl>
    <w:lvl w:ilvl="5" w:tplc="0C09001B" w:tentative="1">
      <w:start w:val="1"/>
      <w:numFmt w:val="lowerRoman"/>
      <w:lvlText w:val="%6."/>
      <w:lvlJc w:val="right"/>
      <w:pPr>
        <w:ind w:left="4924" w:hanging="180"/>
      </w:pPr>
      <w:rPr>
        <w:rFonts w:cs="Times New Roman"/>
      </w:rPr>
    </w:lvl>
    <w:lvl w:ilvl="6" w:tplc="0C09000F" w:tentative="1">
      <w:start w:val="1"/>
      <w:numFmt w:val="decimal"/>
      <w:lvlText w:val="%7."/>
      <w:lvlJc w:val="left"/>
      <w:pPr>
        <w:ind w:left="5644" w:hanging="360"/>
      </w:pPr>
      <w:rPr>
        <w:rFonts w:cs="Times New Roman"/>
      </w:rPr>
    </w:lvl>
    <w:lvl w:ilvl="7" w:tplc="0C090019" w:tentative="1">
      <w:start w:val="1"/>
      <w:numFmt w:val="lowerLetter"/>
      <w:lvlText w:val="%8."/>
      <w:lvlJc w:val="left"/>
      <w:pPr>
        <w:ind w:left="6364" w:hanging="360"/>
      </w:pPr>
      <w:rPr>
        <w:rFonts w:cs="Times New Roman"/>
      </w:rPr>
    </w:lvl>
    <w:lvl w:ilvl="8" w:tplc="0C09001B" w:tentative="1">
      <w:start w:val="1"/>
      <w:numFmt w:val="lowerRoman"/>
      <w:lvlText w:val="%9."/>
      <w:lvlJc w:val="right"/>
      <w:pPr>
        <w:ind w:left="7084" w:hanging="180"/>
      </w:pPr>
      <w:rPr>
        <w:rFonts w:cs="Times New Roman"/>
      </w:rPr>
    </w:lvl>
  </w:abstractNum>
  <w:abstractNum w:abstractNumId="6">
    <w:nsid w:val="12BF561B"/>
    <w:multiLevelType w:val="hybridMultilevel"/>
    <w:tmpl w:val="28B05524"/>
    <w:lvl w:ilvl="0" w:tplc="9DB017FA">
      <w:start w:val="1"/>
      <w:numFmt w:val="lowerLetter"/>
      <w:lvlText w:val="(%1)"/>
      <w:lvlJc w:val="left"/>
      <w:pPr>
        <w:ind w:left="1664" w:hanging="360"/>
      </w:pPr>
      <w:rPr>
        <w:rFonts w:cs="Times New Roman" w:hint="default"/>
      </w:rPr>
    </w:lvl>
    <w:lvl w:ilvl="1" w:tplc="0C090019" w:tentative="1">
      <w:start w:val="1"/>
      <w:numFmt w:val="lowerLetter"/>
      <w:lvlText w:val="%2."/>
      <w:lvlJc w:val="left"/>
      <w:pPr>
        <w:ind w:left="2384" w:hanging="360"/>
      </w:pPr>
      <w:rPr>
        <w:rFonts w:cs="Times New Roman"/>
      </w:rPr>
    </w:lvl>
    <w:lvl w:ilvl="2" w:tplc="0C09001B" w:tentative="1">
      <w:start w:val="1"/>
      <w:numFmt w:val="lowerRoman"/>
      <w:lvlText w:val="%3."/>
      <w:lvlJc w:val="right"/>
      <w:pPr>
        <w:ind w:left="3104" w:hanging="180"/>
      </w:pPr>
      <w:rPr>
        <w:rFonts w:cs="Times New Roman"/>
      </w:rPr>
    </w:lvl>
    <w:lvl w:ilvl="3" w:tplc="0C09000F" w:tentative="1">
      <w:start w:val="1"/>
      <w:numFmt w:val="decimal"/>
      <w:lvlText w:val="%4."/>
      <w:lvlJc w:val="left"/>
      <w:pPr>
        <w:ind w:left="3824" w:hanging="360"/>
      </w:pPr>
      <w:rPr>
        <w:rFonts w:cs="Times New Roman"/>
      </w:rPr>
    </w:lvl>
    <w:lvl w:ilvl="4" w:tplc="0C090019" w:tentative="1">
      <w:start w:val="1"/>
      <w:numFmt w:val="lowerLetter"/>
      <w:lvlText w:val="%5."/>
      <w:lvlJc w:val="left"/>
      <w:pPr>
        <w:ind w:left="4544" w:hanging="360"/>
      </w:pPr>
      <w:rPr>
        <w:rFonts w:cs="Times New Roman"/>
      </w:rPr>
    </w:lvl>
    <w:lvl w:ilvl="5" w:tplc="0C09001B" w:tentative="1">
      <w:start w:val="1"/>
      <w:numFmt w:val="lowerRoman"/>
      <w:lvlText w:val="%6."/>
      <w:lvlJc w:val="right"/>
      <w:pPr>
        <w:ind w:left="5264" w:hanging="180"/>
      </w:pPr>
      <w:rPr>
        <w:rFonts w:cs="Times New Roman"/>
      </w:rPr>
    </w:lvl>
    <w:lvl w:ilvl="6" w:tplc="0C09000F" w:tentative="1">
      <w:start w:val="1"/>
      <w:numFmt w:val="decimal"/>
      <w:lvlText w:val="%7."/>
      <w:lvlJc w:val="left"/>
      <w:pPr>
        <w:ind w:left="5984" w:hanging="360"/>
      </w:pPr>
      <w:rPr>
        <w:rFonts w:cs="Times New Roman"/>
      </w:rPr>
    </w:lvl>
    <w:lvl w:ilvl="7" w:tplc="0C090019" w:tentative="1">
      <w:start w:val="1"/>
      <w:numFmt w:val="lowerLetter"/>
      <w:lvlText w:val="%8."/>
      <w:lvlJc w:val="left"/>
      <w:pPr>
        <w:ind w:left="6704" w:hanging="360"/>
      </w:pPr>
      <w:rPr>
        <w:rFonts w:cs="Times New Roman"/>
      </w:rPr>
    </w:lvl>
    <w:lvl w:ilvl="8" w:tplc="0C09001B" w:tentative="1">
      <w:start w:val="1"/>
      <w:numFmt w:val="lowerRoman"/>
      <w:lvlText w:val="%9."/>
      <w:lvlJc w:val="right"/>
      <w:pPr>
        <w:ind w:left="7424" w:hanging="180"/>
      </w:pPr>
      <w:rPr>
        <w:rFonts w:cs="Times New Roman"/>
      </w:rPr>
    </w:lvl>
  </w:abstractNum>
  <w:abstractNum w:abstractNumId="7">
    <w:nsid w:val="13432CA8"/>
    <w:multiLevelType w:val="hybridMultilevel"/>
    <w:tmpl w:val="28B05524"/>
    <w:lvl w:ilvl="0" w:tplc="9DB017FA">
      <w:start w:val="1"/>
      <w:numFmt w:val="lowerLetter"/>
      <w:lvlText w:val="(%1)"/>
      <w:lvlJc w:val="left"/>
      <w:pPr>
        <w:ind w:left="1664" w:hanging="360"/>
      </w:pPr>
      <w:rPr>
        <w:rFonts w:cs="Times New Roman" w:hint="default"/>
      </w:rPr>
    </w:lvl>
    <w:lvl w:ilvl="1" w:tplc="0C090019" w:tentative="1">
      <w:start w:val="1"/>
      <w:numFmt w:val="lowerLetter"/>
      <w:lvlText w:val="%2."/>
      <w:lvlJc w:val="left"/>
      <w:pPr>
        <w:ind w:left="2384" w:hanging="360"/>
      </w:pPr>
      <w:rPr>
        <w:rFonts w:cs="Times New Roman"/>
      </w:rPr>
    </w:lvl>
    <w:lvl w:ilvl="2" w:tplc="0C09001B" w:tentative="1">
      <w:start w:val="1"/>
      <w:numFmt w:val="lowerRoman"/>
      <w:lvlText w:val="%3."/>
      <w:lvlJc w:val="right"/>
      <w:pPr>
        <w:ind w:left="3104" w:hanging="180"/>
      </w:pPr>
      <w:rPr>
        <w:rFonts w:cs="Times New Roman"/>
      </w:rPr>
    </w:lvl>
    <w:lvl w:ilvl="3" w:tplc="0C09000F" w:tentative="1">
      <w:start w:val="1"/>
      <w:numFmt w:val="decimal"/>
      <w:lvlText w:val="%4."/>
      <w:lvlJc w:val="left"/>
      <w:pPr>
        <w:ind w:left="3824" w:hanging="360"/>
      </w:pPr>
      <w:rPr>
        <w:rFonts w:cs="Times New Roman"/>
      </w:rPr>
    </w:lvl>
    <w:lvl w:ilvl="4" w:tplc="0C090019" w:tentative="1">
      <w:start w:val="1"/>
      <w:numFmt w:val="lowerLetter"/>
      <w:lvlText w:val="%5."/>
      <w:lvlJc w:val="left"/>
      <w:pPr>
        <w:ind w:left="4544" w:hanging="360"/>
      </w:pPr>
      <w:rPr>
        <w:rFonts w:cs="Times New Roman"/>
      </w:rPr>
    </w:lvl>
    <w:lvl w:ilvl="5" w:tplc="0C09001B" w:tentative="1">
      <w:start w:val="1"/>
      <w:numFmt w:val="lowerRoman"/>
      <w:lvlText w:val="%6."/>
      <w:lvlJc w:val="right"/>
      <w:pPr>
        <w:ind w:left="5264" w:hanging="180"/>
      </w:pPr>
      <w:rPr>
        <w:rFonts w:cs="Times New Roman"/>
      </w:rPr>
    </w:lvl>
    <w:lvl w:ilvl="6" w:tplc="0C09000F" w:tentative="1">
      <w:start w:val="1"/>
      <w:numFmt w:val="decimal"/>
      <w:lvlText w:val="%7."/>
      <w:lvlJc w:val="left"/>
      <w:pPr>
        <w:ind w:left="5984" w:hanging="360"/>
      </w:pPr>
      <w:rPr>
        <w:rFonts w:cs="Times New Roman"/>
      </w:rPr>
    </w:lvl>
    <w:lvl w:ilvl="7" w:tplc="0C090019" w:tentative="1">
      <w:start w:val="1"/>
      <w:numFmt w:val="lowerLetter"/>
      <w:lvlText w:val="%8."/>
      <w:lvlJc w:val="left"/>
      <w:pPr>
        <w:ind w:left="6704" w:hanging="360"/>
      </w:pPr>
      <w:rPr>
        <w:rFonts w:cs="Times New Roman"/>
      </w:rPr>
    </w:lvl>
    <w:lvl w:ilvl="8" w:tplc="0C09001B" w:tentative="1">
      <w:start w:val="1"/>
      <w:numFmt w:val="lowerRoman"/>
      <w:lvlText w:val="%9."/>
      <w:lvlJc w:val="right"/>
      <w:pPr>
        <w:ind w:left="7424" w:hanging="180"/>
      </w:pPr>
      <w:rPr>
        <w:rFonts w:cs="Times New Roman"/>
      </w:rPr>
    </w:lvl>
  </w:abstractNum>
  <w:abstractNum w:abstractNumId="8">
    <w:nsid w:val="1D003399"/>
    <w:multiLevelType w:val="hybridMultilevel"/>
    <w:tmpl w:val="4C38820A"/>
    <w:lvl w:ilvl="0" w:tplc="157C7B92">
      <w:start w:val="1"/>
      <w:numFmt w:val="lowerLetter"/>
      <w:lvlText w:val="(%1)"/>
      <w:lvlJc w:val="left"/>
      <w:pPr>
        <w:ind w:left="1694" w:hanging="360"/>
      </w:pPr>
      <w:rPr>
        <w:rFonts w:cs="Times New Roman" w:hint="default"/>
      </w:rPr>
    </w:lvl>
    <w:lvl w:ilvl="1" w:tplc="0C090001">
      <w:start w:val="1"/>
      <w:numFmt w:val="bullet"/>
      <w:lvlText w:val=""/>
      <w:lvlJc w:val="left"/>
      <w:pPr>
        <w:ind w:left="2414" w:hanging="360"/>
      </w:pPr>
      <w:rPr>
        <w:rFonts w:ascii="Symbol" w:hAnsi="Symbol" w:hint="default"/>
      </w:rPr>
    </w:lvl>
    <w:lvl w:ilvl="2" w:tplc="0C09001B" w:tentative="1">
      <w:start w:val="1"/>
      <w:numFmt w:val="lowerRoman"/>
      <w:lvlText w:val="%3."/>
      <w:lvlJc w:val="right"/>
      <w:pPr>
        <w:ind w:left="3134" w:hanging="180"/>
      </w:pPr>
      <w:rPr>
        <w:rFonts w:cs="Times New Roman"/>
      </w:rPr>
    </w:lvl>
    <w:lvl w:ilvl="3" w:tplc="0C09000F" w:tentative="1">
      <w:start w:val="1"/>
      <w:numFmt w:val="decimal"/>
      <w:lvlText w:val="%4."/>
      <w:lvlJc w:val="left"/>
      <w:pPr>
        <w:ind w:left="3854" w:hanging="360"/>
      </w:pPr>
      <w:rPr>
        <w:rFonts w:cs="Times New Roman"/>
      </w:rPr>
    </w:lvl>
    <w:lvl w:ilvl="4" w:tplc="0C090019" w:tentative="1">
      <w:start w:val="1"/>
      <w:numFmt w:val="lowerLetter"/>
      <w:lvlText w:val="%5."/>
      <w:lvlJc w:val="left"/>
      <w:pPr>
        <w:ind w:left="4574" w:hanging="360"/>
      </w:pPr>
      <w:rPr>
        <w:rFonts w:cs="Times New Roman"/>
      </w:rPr>
    </w:lvl>
    <w:lvl w:ilvl="5" w:tplc="0C09001B" w:tentative="1">
      <w:start w:val="1"/>
      <w:numFmt w:val="lowerRoman"/>
      <w:lvlText w:val="%6."/>
      <w:lvlJc w:val="right"/>
      <w:pPr>
        <w:ind w:left="5294" w:hanging="180"/>
      </w:pPr>
      <w:rPr>
        <w:rFonts w:cs="Times New Roman"/>
      </w:rPr>
    </w:lvl>
    <w:lvl w:ilvl="6" w:tplc="0C09000F" w:tentative="1">
      <w:start w:val="1"/>
      <w:numFmt w:val="decimal"/>
      <w:lvlText w:val="%7."/>
      <w:lvlJc w:val="left"/>
      <w:pPr>
        <w:ind w:left="6014" w:hanging="360"/>
      </w:pPr>
      <w:rPr>
        <w:rFonts w:cs="Times New Roman"/>
      </w:rPr>
    </w:lvl>
    <w:lvl w:ilvl="7" w:tplc="0C090019" w:tentative="1">
      <w:start w:val="1"/>
      <w:numFmt w:val="lowerLetter"/>
      <w:lvlText w:val="%8."/>
      <w:lvlJc w:val="left"/>
      <w:pPr>
        <w:ind w:left="6734" w:hanging="360"/>
      </w:pPr>
      <w:rPr>
        <w:rFonts w:cs="Times New Roman"/>
      </w:rPr>
    </w:lvl>
    <w:lvl w:ilvl="8" w:tplc="0C09001B" w:tentative="1">
      <w:start w:val="1"/>
      <w:numFmt w:val="lowerRoman"/>
      <w:lvlText w:val="%9."/>
      <w:lvlJc w:val="right"/>
      <w:pPr>
        <w:ind w:left="7454" w:hanging="180"/>
      </w:pPr>
      <w:rPr>
        <w:rFonts w:cs="Times New Roman"/>
      </w:rPr>
    </w:lvl>
  </w:abstractNum>
  <w:abstractNum w:abstractNumId="9">
    <w:nsid w:val="1D6725BB"/>
    <w:multiLevelType w:val="hybridMultilevel"/>
    <w:tmpl w:val="48B4A212"/>
    <w:lvl w:ilvl="0" w:tplc="9DB017FA">
      <w:start w:val="1"/>
      <w:numFmt w:val="lowerLetter"/>
      <w:lvlText w:val="(%1)"/>
      <w:lvlJc w:val="left"/>
      <w:pPr>
        <w:ind w:left="1664" w:hanging="360"/>
      </w:pPr>
      <w:rPr>
        <w:rFonts w:cs="Times New Roman" w:hint="default"/>
      </w:rPr>
    </w:lvl>
    <w:lvl w:ilvl="1" w:tplc="0C090019" w:tentative="1">
      <w:start w:val="1"/>
      <w:numFmt w:val="lowerLetter"/>
      <w:lvlText w:val="%2."/>
      <w:lvlJc w:val="left"/>
      <w:pPr>
        <w:ind w:left="2384" w:hanging="360"/>
      </w:pPr>
      <w:rPr>
        <w:rFonts w:cs="Times New Roman"/>
      </w:rPr>
    </w:lvl>
    <w:lvl w:ilvl="2" w:tplc="0C09001B" w:tentative="1">
      <w:start w:val="1"/>
      <w:numFmt w:val="lowerRoman"/>
      <w:lvlText w:val="%3."/>
      <w:lvlJc w:val="right"/>
      <w:pPr>
        <w:ind w:left="3104" w:hanging="180"/>
      </w:pPr>
      <w:rPr>
        <w:rFonts w:cs="Times New Roman"/>
      </w:rPr>
    </w:lvl>
    <w:lvl w:ilvl="3" w:tplc="0C09000F" w:tentative="1">
      <w:start w:val="1"/>
      <w:numFmt w:val="decimal"/>
      <w:lvlText w:val="%4."/>
      <w:lvlJc w:val="left"/>
      <w:pPr>
        <w:ind w:left="3824" w:hanging="360"/>
      </w:pPr>
      <w:rPr>
        <w:rFonts w:cs="Times New Roman"/>
      </w:rPr>
    </w:lvl>
    <w:lvl w:ilvl="4" w:tplc="0C090019" w:tentative="1">
      <w:start w:val="1"/>
      <w:numFmt w:val="lowerLetter"/>
      <w:lvlText w:val="%5."/>
      <w:lvlJc w:val="left"/>
      <w:pPr>
        <w:ind w:left="4544" w:hanging="360"/>
      </w:pPr>
      <w:rPr>
        <w:rFonts w:cs="Times New Roman"/>
      </w:rPr>
    </w:lvl>
    <w:lvl w:ilvl="5" w:tplc="0C09001B" w:tentative="1">
      <w:start w:val="1"/>
      <w:numFmt w:val="lowerRoman"/>
      <w:lvlText w:val="%6."/>
      <w:lvlJc w:val="right"/>
      <w:pPr>
        <w:ind w:left="5264" w:hanging="180"/>
      </w:pPr>
      <w:rPr>
        <w:rFonts w:cs="Times New Roman"/>
      </w:rPr>
    </w:lvl>
    <w:lvl w:ilvl="6" w:tplc="0C09000F" w:tentative="1">
      <w:start w:val="1"/>
      <w:numFmt w:val="decimal"/>
      <w:lvlText w:val="%7."/>
      <w:lvlJc w:val="left"/>
      <w:pPr>
        <w:ind w:left="5984" w:hanging="360"/>
      </w:pPr>
      <w:rPr>
        <w:rFonts w:cs="Times New Roman"/>
      </w:rPr>
    </w:lvl>
    <w:lvl w:ilvl="7" w:tplc="0C090019" w:tentative="1">
      <w:start w:val="1"/>
      <w:numFmt w:val="lowerLetter"/>
      <w:lvlText w:val="%8."/>
      <w:lvlJc w:val="left"/>
      <w:pPr>
        <w:ind w:left="6704" w:hanging="360"/>
      </w:pPr>
      <w:rPr>
        <w:rFonts w:cs="Times New Roman"/>
      </w:rPr>
    </w:lvl>
    <w:lvl w:ilvl="8" w:tplc="0C09001B" w:tentative="1">
      <w:start w:val="1"/>
      <w:numFmt w:val="lowerRoman"/>
      <w:lvlText w:val="%9."/>
      <w:lvlJc w:val="right"/>
      <w:pPr>
        <w:ind w:left="7424" w:hanging="180"/>
      </w:pPr>
      <w:rPr>
        <w:rFonts w:cs="Times New Roman"/>
      </w:rPr>
    </w:lvl>
  </w:abstractNum>
  <w:abstractNum w:abstractNumId="10">
    <w:nsid w:val="1E5429CD"/>
    <w:multiLevelType w:val="hybridMultilevel"/>
    <w:tmpl w:val="28B05524"/>
    <w:lvl w:ilvl="0" w:tplc="9DB017FA">
      <w:start w:val="1"/>
      <w:numFmt w:val="lowerLetter"/>
      <w:lvlText w:val="(%1)"/>
      <w:lvlJc w:val="left"/>
      <w:pPr>
        <w:ind w:left="1664" w:hanging="360"/>
      </w:pPr>
      <w:rPr>
        <w:rFonts w:cs="Times New Roman" w:hint="default"/>
      </w:rPr>
    </w:lvl>
    <w:lvl w:ilvl="1" w:tplc="0C090019" w:tentative="1">
      <w:start w:val="1"/>
      <w:numFmt w:val="lowerLetter"/>
      <w:lvlText w:val="%2."/>
      <w:lvlJc w:val="left"/>
      <w:pPr>
        <w:ind w:left="2384" w:hanging="360"/>
      </w:pPr>
      <w:rPr>
        <w:rFonts w:cs="Times New Roman"/>
      </w:rPr>
    </w:lvl>
    <w:lvl w:ilvl="2" w:tplc="0C09001B" w:tentative="1">
      <w:start w:val="1"/>
      <w:numFmt w:val="lowerRoman"/>
      <w:lvlText w:val="%3."/>
      <w:lvlJc w:val="right"/>
      <w:pPr>
        <w:ind w:left="3104" w:hanging="180"/>
      </w:pPr>
      <w:rPr>
        <w:rFonts w:cs="Times New Roman"/>
      </w:rPr>
    </w:lvl>
    <w:lvl w:ilvl="3" w:tplc="0C09000F" w:tentative="1">
      <w:start w:val="1"/>
      <w:numFmt w:val="decimal"/>
      <w:lvlText w:val="%4."/>
      <w:lvlJc w:val="left"/>
      <w:pPr>
        <w:ind w:left="3824" w:hanging="360"/>
      </w:pPr>
      <w:rPr>
        <w:rFonts w:cs="Times New Roman"/>
      </w:rPr>
    </w:lvl>
    <w:lvl w:ilvl="4" w:tplc="0C090019" w:tentative="1">
      <w:start w:val="1"/>
      <w:numFmt w:val="lowerLetter"/>
      <w:lvlText w:val="%5."/>
      <w:lvlJc w:val="left"/>
      <w:pPr>
        <w:ind w:left="4544" w:hanging="360"/>
      </w:pPr>
      <w:rPr>
        <w:rFonts w:cs="Times New Roman"/>
      </w:rPr>
    </w:lvl>
    <w:lvl w:ilvl="5" w:tplc="0C09001B" w:tentative="1">
      <w:start w:val="1"/>
      <w:numFmt w:val="lowerRoman"/>
      <w:lvlText w:val="%6."/>
      <w:lvlJc w:val="right"/>
      <w:pPr>
        <w:ind w:left="5264" w:hanging="180"/>
      </w:pPr>
      <w:rPr>
        <w:rFonts w:cs="Times New Roman"/>
      </w:rPr>
    </w:lvl>
    <w:lvl w:ilvl="6" w:tplc="0C09000F" w:tentative="1">
      <w:start w:val="1"/>
      <w:numFmt w:val="decimal"/>
      <w:lvlText w:val="%7."/>
      <w:lvlJc w:val="left"/>
      <w:pPr>
        <w:ind w:left="5984" w:hanging="360"/>
      </w:pPr>
      <w:rPr>
        <w:rFonts w:cs="Times New Roman"/>
      </w:rPr>
    </w:lvl>
    <w:lvl w:ilvl="7" w:tplc="0C090019" w:tentative="1">
      <w:start w:val="1"/>
      <w:numFmt w:val="lowerLetter"/>
      <w:lvlText w:val="%8."/>
      <w:lvlJc w:val="left"/>
      <w:pPr>
        <w:ind w:left="6704" w:hanging="360"/>
      </w:pPr>
      <w:rPr>
        <w:rFonts w:cs="Times New Roman"/>
      </w:rPr>
    </w:lvl>
    <w:lvl w:ilvl="8" w:tplc="0C09001B" w:tentative="1">
      <w:start w:val="1"/>
      <w:numFmt w:val="lowerRoman"/>
      <w:lvlText w:val="%9."/>
      <w:lvlJc w:val="right"/>
      <w:pPr>
        <w:ind w:left="7424" w:hanging="180"/>
      </w:pPr>
      <w:rPr>
        <w:rFonts w:cs="Times New Roman"/>
      </w:rPr>
    </w:lvl>
  </w:abstractNum>
  <w:abstractNum w:abstractNumId="11">
    <w:nsid w:val="20645DCD"/>
    <w:multiLevelType w:val="hybridMultilevel"/>
    <w:tmpl w:val="28B05524"/>
    <w:lvl w:ilvl="0" w:tplc="9DB017FA">
      <w:start w:val="1"/>
      <w:numFmt w:val="lowerLetter"/>
      <w:lvlText w:val="(%1)"/>
      <w:lvlJc w:val="left"/>
      <w:pPr>
        <w:ind w:left="1664" w:hanging="360"/>
      </w:pPr>
      <w:rPr>
        <w:rFonts w:cs="Times New Roman" w:hint="default"/>
      </w:rPr>
    </w:lvl>
    <w:lvl w:ilvl="1" w:tplc="0C090019" w:tentative="1">
      <w:start w:val="1"/>
      <w:numFmt w:val="lowerLetter"/>
      <w:lvlText w:val="%2."/>
      <w:lvlJc w:val="left"/>
      <w:pPr>
        <w:ind w:left="2384" w:hanging="360"/>
      </w:pPr>
      <w:rPr>
        <w:rFonts w:cs="Times New Roman"/>
      </w:rPr>
    </w:lvl>
    <w:lvl w:ilvl="2" w:tplc="0C09001B" w:tentative="1">
      <w:start w:val="1"/>
      <w:numFmt w:val="lowerRoman"/>
      <w:lvlText w:val="%3."/>
      <w:lvlJc w:val="right"/>
      <w:pPr>
        <w:ind w:left="3104" w:hanging="180"/>
      </w:pPr>
      <w:rPr>
        <w:rFonts w:cs="Times New Roman"/>
      </w:rPr>
    </w:lvl>
    <w:lvl w:ilvl="3" w:tplc="0C09000F" w:tentative="1">
      <w:start w:val="1"/>
      <w:numFmt w:val="decimal"/>
      <w:lvlText w:val="%4."/>
      <w:lvlJc w:val="left"/>
      <w:pPr>
        <w:ind w:left="3824" w:hanging="360"/>
      </w:pPr>
      <w:rPr>
        <w:rFonts w:cs="Times New Roman"/>
      </w:rPr>
    </w:lvl>
    <w:lvl w:ilvl="4" w:tplc="0C090019" w:tentative="1">
      <w:start w:val="1"/>
      <w:numFmt w:val="lowerLetter"/>
      <w:lvlText w:val="%5."/>
      <w:lvlJc w:val="left"/>
      <w:pPr>
        <w:ind w:left="4544" w:hanging="360"/>
      </w:pPr>
      <w:rPr>
        <w:rFonts w:cs="Times New Roman"/>
      </w:rPr>
    </w:lvl>
    <w:lvl w:ilvl="5" w:tplc="0C09001B" w:tentative="1">
      <w:start w:val="1"/>
      <w:numFmt w:val="lowerRoman"/>
      <w:lvlText w:val="%6."/>
      <w:lvlJc w:val="right"/>
      <w:pPr>
        <w:ind w:left="5264" w:hanging="180"/>
      </w:pPr>
      <w:rPr>
        <w:rFonts w:cs="Times New Roman"/>
      </w:rPr>
    </w:lvl>
    <w:lvl w:ilvl="6" w:tplc="0C09000F" w:tentative="1">
      <w:start w:val="1"/>
      <w:numFmt w:val="decimal"/>
      <w:lvlText w:val="%7."/>
      <w:lvlJc w:val="left"/>
      <w:pPr>
        <w:ind w:left="5984" w:hanging="360"/>
      </w:pPr>
      <w:rPr>
        <w:rFonts w:cs="Times New Roman"/>
      </w:rPr>
    </w:lvl>
    <w:lvl w:ilvl="7" w:tplc="0C090019" w:tentative="1">
      <w:start w:val="1"/>
      <w:numFmt w:val="lowerLetter"/>
      <w:lvlText w:val="%8."/>
      <w:lvlJc w:val="left"/>
      <w:pPr>
        <w:ind w:left="6704" w:hanging="360"/>
      </w:pPr>
      <w:rPr>
        <w:rFonts w:cs="Times New Roman"/>
      </w:rPr>
    </w:lvl>
    <w:lvl w:ilvl="8" w:tplc="0C09001B" w:tentative="1">
      <w:start w:val="1"/>
      <w:numFmt w:val="lowerRoman"/>
      <w:lvlText w:val="%9."/>
      <w:lvlJc w:val="right"/>
      <w:pPr>
        <w:ind w:left="7424" w:hanging="180"/>
      </w:pPr>
      <w:rPr>
        <w:rFonts w:cs="Times New Roman"/>
      </w:rPr>
    </w:lvl>
  </w:abstractNum>
  <w:abstractNum w:abstractNumId="12">
    <w:nsid w:val="26512F6E"/>
    <w:multiLevelType w:val="hybridMultilevel"/>
    <w:tmpl w:val="9D10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4967C8"/>
    <w:multiLevelType w:val="hybridMultilevel"/>
    <w:tmpl w:val="48B4A212"/>
    <w:lvl w:ilvl="0" w:tplc="9DB017FA">
      <w:start w:val="1"/>
      <w:numFmt w:val="lowerLetter"/>
      <w:lvlText w:val="(%1)"/>
      <w:lvlJc w:val="left"/>
      <w:pPr>
        <w:ind w:left="1664" w:hanging="360"/>
      </w:pPr>
      <w:rPr>
        <w:rFonts w:cs="Times New Roman" w:hint="default"/>
      </w:rPr>
    </w:lvl>
    <w:lvl w:ilvl="1" w:tplc="0C090019" w:tentative="1">
      <w:start w:val="1"/>
      <w:numFmt w:val="lowerLetter"/>
      <w:lvlText w:val="%2."/>
      <w:lvlJc w:val="left"/>
      <w:pPr>
        <w:ind w:left="2384" w:hanging="360"/>
      </w:pPr>
      <w:rPr>
        <w:rFonts w:cs="Times New Roman"/>
      </w:rPr>
    </w:lvl>
    <w:lvl w:ilvl="2" w:tplc="0C09001B" w:tentative="1">
      <w:start w:val="1"/>
      <w:numFmt w:val="lowerRoman"/>
      <w:lvlText w:val="%3."/>
      <w:lvlJc w:val="right"/>
      <w:pPr>
        <w:ind w:left="3104" w:hanging="180"/>
      </w:pPr>
      <w:rPr>
        <w:rFonts w:cs="Times New Roman"/>
      </w:rPr>
    </w:lvl>
    <w:lvl w:ilvl="3" w:tplc="0C09000F" w:tentative="1">
      <w:start w:val="1"/>
      <w:numFmt w:val="decimal"/>
      <w:lvlText w:val="%4."/>
      <w:lvlJc w:val="left"/>
      <w:pPr>
        <w:ind w:left="3824" w:hanging="360"/>
      </w:pPr>
      <w:rPr>
        <w:rFonts w:cs="Times New Roman"/>
      </w:rPr>
    </w:lvl>
    <w:lvl w:ilvl="4" w:tplc="0C090019" w:tentative="1">
      <w:start w:val="1"/>
      <w:numFmt w:val="lowerLetter"/>
      <w:lvlText w:val="%5."/>
      <w:lvlJc w:val="left"/>
      <w:pPr>
        <w:ind w:left="4544" w:hanging="360"/>
      </w:pPr>
      <w:rPr>
        <w:rFonts w:cs="Times New Roman"/>
      </w:rPr>
    </w:lvl>
    <w:lvl w:ilvl="5" w:tplc="0C09001B" w:tentative="1">
      <w:start w:val="1"/>
      <w:numFmt w:val="lowerRoman"/>
      <w:lvlText w:val="%6."/>
      <w:lvlJc w:val="right"/>
      <w:pPr>
        <w:ind w:left="5264" w:hanging="180"/>
      </w:pPr>
      <w:rPr>
        <w:rFonts w:cs="Times New Roman"/>
      </w:rPr>
    </w:lvl>
    <w:lvl w:ilvl="6" w:tplc="0C09000F" w:tentative="1">
      <w:start w:val="1"/>
      <w:numFmt w:val="decimal"/>
      <w:lvlText w:val="%7."/>
      <w:lvlJc w:val="left"/>
      <w:pPr>
        <w:ind w:left="5984" w:hanging="360"/>
      </w:pPr>
      <w:rPr>
        <w:rFonts w:cs="Times New Roman"/>
      </w:rPr>
    </w:lvl>
    <w:lvl w:ilvl="7" w:tplc="0C090019" w:tentative="1">
      <w:start w:val="1"/>
      <w:numFmt w:val="lowerLetter"/>
      <w:lvlText w:val="%8."/>
      <w:lvlJc w:val="left"/>
      <w:pPr>
        <w:ind w:left="6704" w:hanging="360"/>
      </w:pPr>
      <w:rPr>
        <w:rFonts w:cs="Times New Roman"/>
      </w:rPr>
    </w:lvl>
    <w:lvl w:ilvl="8" w:tplc="0C09001B" w:tentative="1">
      <w:start w:val="1"/>
      <w:numFmt w:val="lowerRoman"/>
      <w:lvlText w:val="%9."/>
      <w:lvlJc w:val="right"/>
      <w:pPr>
        <w:ind w:left="7424" w:hanging="180"/>
      </w:pPr>
      <w:rPr>
        <w:rFonts w:cs="Times New Roman"/>
      </w:rPr>
    </w:lvl>
  </w:abstractNum>
  <w:abstractNum w:abstractNumId="14">
    <w:nsid w:val="2EA93EA5"/>
    <w:multiLevelType w:val="hybridMultilevel"/>
    <w:tmpl w:val="28B05524"/>
    <w:lvl w:ilvl="0" w:tplc="9DB017FA">
      <w:start w:val="1"/>
      <w:numFmt w:val="lowerLetter"/>
      <w:lvlText w:val="(%1)"/>
      <w:lvlJc w:val="left"/>
      <w:pPr>
        <w:ind w:left="1664" w:hanging="360"/>
      </w:pPr>
      <w:rPr>
        <w:rFonts w:cs="Times New Roman" w:hint="default"/>
      </w:rPr>
    </w:lvl>
    <w:lvl w:ilvl="1" w:tplc="0C090019" w:tentative="1">
      <w:start w:val="1"/>
      <w:numFmt w:val="lowerLetter"/>
      <w:lvlText w:val="%2."/>
      <w:lvlJc w:val="left"/>
      <w:pPr>
        <w:ind w:left="2384" w:hanging="360"/>
      </w:pPr>
      <w:rPr>
        <w:rFonts w:cs="Times New Roman"/>
      </w:rPr>
    </w:lvl>
    <w:lvl w:ilvl="2" w:tplc="0C09001B" w:tentative="1">
      <w:start w:val="1"/>
      <w:numFmt w:val="lowerRoman"/>
      <w:lvlText w:val="%3."/>
      <w:lvlJc w:val="right"/>
      <w:pPr>
        <w:ind w:left="3104" w:hanging="180"/>
      </w:pPr>
      <w:rPr>
        <w:rFonts w:cs="Times New Roman"/>
      </w:rPr>
    </w:lvl>
    <w:lvl w:ilvl="3" w:tplc="0C09000F" w:tentative="1">
      <w:start w:val="1"/>
      <w:numFmt w:val="decimal"/>
      <w:lvlText w:val="%4."/>
      <w:lvlJc w:val="left"/>
      <w:pPr>
        <w:ind w:left="3824" w:hanging="360"/>
      </w:pPr>
      <w:rPr>
        <w:rFonts w:cs="Times New Roman"/>
      </w:rPr>
    </w:lvl>
    <w:lvl w:ilvl="4" w:tplc="0C090019" w:tentative="1">
      <w:start w:val="1"/>
      <w:numFmt w:val="lowerLetter"/>
      <w:lvlText w:val="%5."/>
      <w:lvlJc w:val="left"/>
      <w:pPr>
        <w:ind w:left="4544" w:hanging="360"/>
      </w:pPr>
      <w:rPr>
        <w:rFonts w:cs="Times New Roman"/>
      </w:rPr>
    </w:lvl>
    <w:lvl w:ilvl="5" w:tplc="0C09001B" w:tentative="1">
      <w:start w:val="1"/>
      <w:numFmt w:val="lowerRoman"/>
      <w:lvlText w:val="%6."/>
      <w:lvlJc w:val="right"/>
      <w:pPr>
        <w:ind w:left="5264" w:hanging="180"/>
      </w:pPr>
      <w:rPr>
        <w:rFonts w:cs="Times New Roman"/>
      </w:rPr>
    </w:lvl>
    <w:lvl w:ilvl="6" w:tplc="0C09000F" w:tentative="1">
      <w:start w:val="1"/>
      <w:numFmt w:val="decimal"/>
      <w:lvlText w:val="%7."/>
      <w:lvlJc w:val="left"/>
      <w:pPr>
        <w:ind w:left="5984" w:hanging="360"/>
      </w:pPr>
      <w:rPr>
        <w:rFonts w:cs="Times New Roman"/>
      </w:rPr>
    </w:lvl>
    <w:lvl w:ilvl="7" w:tplc="0C090019" w:tentative="1">
      <w:start w:val="1"/>
      <w:numFmt w:val="lowerLetter"/>
      <w:lvlText w:val="%8."/>
      <w:lvlJc w:val="left"/>
      <w:pPr>
        <w:ind w:left="6704" w:hanging="360"/>
      </w:pPr>
      <w:rPr>
        <w:rFonts w:cs="Times New Roman"/>
      </w:rPr>
    </w:lvl>
    <w:lvl w:ilvl="8" w:tplc="0C09001B" w:tentative="1">
      <w:start w:val="1"/>
      <w:numFmt w:val="lowerRoman"/>
      <w:lvlText w:val="%9."/>
      <w:lvlJc w:val="right"/>
      <w:pPr>
        <w:ind w:left="7424" w:hanging="180"/>
      </w:pPr>
      <w:rPr>
        <w:rFonts w:cs="Times New Roman"/>
      </w:rPr>
    </w:lvl>
  </w:abstractNum>
  <w:abstractNum w:abstractNumId="15">
    <w:nsid w:val="344D22C7"/>
    <w:multiLevelType w:val="hybridMultilevel"/>
    <w:tmpl w:val="4C38820A"/>
    <w:lvl w:ilvl="0" w:tplc="157C7B92">
      <w:start w:val="1"/>
      <w:numFmt w:val="lowerLetter"/>
      <w:lvlText w:val="(%1)"/>
      <w:lvlJc w:val="left"/>
      <w:pPr>
        <w:ind w:left="1694" w:hanging="360"/>
      </w:pPr>
      <w:rPr>
        <w:rFonts w:cs="Times New Roman" w:hint="default"/>
      </w:rPr>
    </w:lvl>
    <w:lvl w:ilvl="1" w:tplc="0C090001">
      <w:start w:val="1"/>
      <w:numFmt w:val="bullet"/>
      <w:lvlText w:val=""/>
      <w:lvlJc w:val="left"/>
      <w:pPr>
        <w:ind w:left="2414" w:hanging="360"/>
      </w:pPr>
      <w:rPr>
        <w:rFonts w:ascii="Symbol" w:hAnsi="Symbol" w:hint="default"/>
      </w:rPr>
    </w:lvl>
    <w:lvl w:ilvl="2" w:tplc="0C09001B" w:tentative="1">
      <w:start w:val="1"/>
      <w:numFmt w:val="lowerRoman"/>
      <w:lvlText w:val="%3."/>
      <w:lvlJc w:val="right"/>
      <w:pPr>
        <w:ind w:left="3134" w:hanging="180"/>
      </w:pPr>
      <w:rPr>
        <w:rFonts w:cs="Times New Roman"/>
      </w:rPr>
    </w:lvl>
    <w:lvl w:ilvl="3" w:tplc="0C09000F" w:tentative="1">
      <w:start w:val="1"/>
      <w:numFmt w:val="decimal"/>
      <w:lvlText w:val="%4."/>
      <w:lvlJc w:val="left"/>
      <w:pPr>
        <w:ind w:left="3854" w:hanging="360"/>
      </w:pPr>
      <w:rPr>
        <w:rFonts w:cs="Times New Roman"/>
      </w:rPr>
    </w:lvl>
    <w:lvl w:ilvl="4" w:tplc="0C090019" w:tentative="1">
      <w:start w:val="1"/>
      <w:numFmt w:val="lowerLetter"/>
      <w:lvlText w:val="%5."/>
      <w:lvlJc w:val="left"/>
      <w:pPr>
        <w:ind w:left="4574" w:hanging="360"/>
      </w:pPr>
      <w:rPr>
        <w:rFonts w:cs="Times New Roman"/>
      </w:rPr>
    </w:lvl>
    <w:lvl w:ilvl="5" w:tplc="0C09001B" w:tentative="1">
      <w:start w:val="1"/>
      <w:numFmt w:val="lowerRoman"/>
      <w:lvlText w:val="%6."/>
      <w:lvlJc w:val="right"/>
      <w:pPr>
        <w:ind w:left="5294" w:hanging="180"/>
      </w:pPr>
      <w:rPr>
        <w:rFonts w:cs="Times New Roman"/>
      </w:rPr>
    </w:lvl>
    <w:lvl w:ilvl="6" w:tplc="0C09000F" w:tentative="1">
      <w:start w:val="1"/>
      <w:numFmt w:val="decimal"/>
      <w:lvlText w:val="%7."/>
      <w:lvlJc w:val="left"/>
      <w:pPr>
        <w:ind w:left="6014" w:hanging="360"/>
      </w:pPr>
      <w:rPr>
        <w:rFonts w:cs="Times New Roman"/>
      </w:rPr>
    </w:lvl>
    <w:lvl w:ilvl="7" w:tplc="0C090019" w:tentative="1">
      <w:start w:val="1"/>
      <w:numFmt w:val="lowerLetter"/>
      <w:lvlText w:val="%8."/>
      <w:lvlJc w:val="left"/>
      <w:pPr>
        <w:ind w:left="6734" w:hanging="360"/>
      </w:pPr>
      <w:rPr>
        <w:rFonts w:cs="Times New Roman"/>
      </w:rPr>
    </w:lvl>
    <w:lvl w:ilvl="8" w:tplc="0C09001B" w:tentative="1">
      <w:start w:val="1"/>
      <w:numFmt w:val="lowerRoman"/>
      <w:lvlText w:val="%9."/>
      <w:lvlJc w:val="right"/>
      <w:pPr>
        <w:ind w:left="7454" w:hanging="180"/>
      </w:pPr>
      <w:rPr>
        <w:rFonts w:cs="Times New Roman"/>
      </w:rPr>
    </w:lvl>
  </w:abstractNum>
  <w:abstractNum w:abstractNumId="16">
    <w:nsid w:val="39D602C7"/>
    <w:multiLevelType w:val="hybridMultilevel"/>
    <w:tmpl w:val="4C38820A"/>
    <w:lvl w:ilvl="0" w:tplc="157C7B92">
      <w:start w:val="1"/>
      <w:numFmt w:val="lowerLetter"/>
      <w:lvlText w:val="(%1)"/>
      <w:lvlJc w:val="left"/>
      <w:pPr>
        <w:ind w:left="1694" w:hanging="360"/>
      </w:pPr>
      <w:rPr>
        <w:rFonts w:cs="Times New Roman" w:hint="default"/>
      </w:rPr>
    </w:lvl>
    <w:lvl w:ilvl="1" w:tplc="0C090001">
      <w:start w:val="1"/>
      <w:numFmt w:val="bullet"/>
      <w:lvlText w:val=""/>
      <w:lvlJc w:val="left"/>
      <w:pPr>
        <w:ind w:left="2414" w:hanging="360"/>
      </w:pPr>
      <w:rPr>
        <w:rFonts w:ascii="Symbol" w:hAnsi="Symbol" w:hint="default"/>
      </w:rPr>
    </w:lvl>
    <w:lvl w:ilvl="2" w:tplc="0C09001B" w:tentative="1">
      <w:start w:val="1"/>
      <w:numFmt w:val="lowerRoman"/>
      <w:lvlText w:val="%3."/>
      <w:lvlJc w:val="right"/>
      <w:pPr>
        <w:ind w:left="3134" w:hanging="180"/>
      </w:pPr>
      <w:rPr>
        <w:rFonts w:cs="Times New Roman"/>
      </w:rPr>
    </w:lvl>
    <w:lvl w:ilvl="3" w:tplc="0C09000F" w:tentative="1">
      <w:start w:val="1"/>
      <w:numFmt w:val="decimal"/>
      <w:lvlText w:val="%4."/>
      <w:lvlJc w:val="left"/>
      <w:pPr>
        <w:ind w:left="3854" w:hanging="360"/>
      </w:pPr>
      <w:rPr>
        <w:rFonts w:cs="Times New Roman"/>
      </w:rPr>
    </w:lvl>
    <w:lvl w:ilvl="4" w:tplc="0C090019" w:tentative="1">
      <w:start w:val="1"/>
      <w:numFmt w:val="lowerLetter"/>
      <w:lvlText w:val="%5."/>
      <w:lvlJc w:val="left"/>
      <w:pPr>
        <w:ind w:left="4574" w:hanging="360"/>
      </w:pPr>
      <w:rPr>
        <w:rFonts w:cs="Times New Roman"/>
      </w:rPr>
    </w:lvl>
    <w:lvl w:ilvl="5" w:tplc="0C09001B" w:tentative="1">
      <w:start w:val="1"/>
      <w:numFmt w:val="lowerRoman"/>
      <w:lvlText w:val="%6."/>
      <w:lvlJc w:val="right"/>
      <w:pPr>
        <w:ind w:left="5294" w:hanging="180"/>
      </w:pPr>
      <w:rPr>
        <w:rFonts w:cs="Times New Roman"/>
      </w:rPr>
    </w:lvl>
    <w:lvl w:ilvl="6" w:tplc="0C09000F" w:tentative="1">
      <w:start w:val="1"/>
      <w:numFmt w:val="decimal"/>
      <w:lvlText w:val="%7."/>
      <w:lvlJc w:val="left"/>
      <w:pPr>
        <w:ind w:left="6014" w:hanging="360"/>
      </w:pPr>
      <w:rPr>
        <w:rFonts w:cs="Times New Roman"/>
      </w:rPr>
    </w:lvl>
    <w:lvl w:ilvl="7" w:tplc="0C090019" w:tentative="1">
      <w:start w:val="1"/>
      <w:numFmt w:val="lowerLetter"/>
      <w:lvlText w:val="%8."/>
      <w:lvlJc w:val="left"/>
      <w:pPr>
        <w:ind w:left="6734" w:hanging="360"/>
      </w:pPr>
      <w:rPr>
        <w:rFonts w:cs="Times New Roman"/>
      </w:rPr>
    </w:lvl>
    <w:lvl w:ilvl="8" w:tplc="0C09001B" w:tentative="1">
      <w:start w:val="1"/>
      <w:numFmt w:val="lowerRoman"/>
      <w:lvlText w:val="%9."/>
      <w:lvlJc w:val="right"/>
      <w:pPr>
        <w:ind w:left="7454" w:hanging="180"/>
      </w:pPr>
      <w:rPr>
        <w:rFonts w:cs="Times New Roman"/>
      </w:rPr>
    </w:lvl>
  </w:abstractNum>
  <w:abstractNum w:abstractNumId="17">
    <w:nsid w:val="44400B0A"/>
    <w:multiLevelType w:val="hybridMultilevel"/>
    <w:tmpl w:val="48B4A212"/>
    <w:lvl w:ilvl="0" w:tplc="9DB017FA">
      <w:start w:val="1"/>
      <w:numFmt w:val="lowerLetter"/>
      <w:lvlText w:val="(%1)"/>
      <w:lvlJc w:val="left"/>
      <w:pPr>
        <w:ind w:left="1664" w:hanging="360"/>
      </w:pPr>
      <w:rPr>
        <w:rFonts w:cs="Times New Roman" w:hint="default"/>
      </w:rPr>
    </w:lvl>
    <w:lvl w:ilvl="1" w:tplc="0C090019" w:tentative="1">
      <w:start w:val="1"/>
      <w:numFmt w:val="lowerLetter"/>
      <w:lvlText w:val="%2."/>
      <w:lvlJc w:val="left"/>
      <w:pPr>
        <w:ind w:left="2384" w:hanging="360"/>
      </w:pPr>
      <w:rPr>
        <w:rFonts w:cs="Times New Roman"/>
      </w:rPr>
    </w:lvl>
    <w:lvl w:ilvl="2" w:tplc="0C09001B" w:tentative="1">
      <w:start w:val="1"/>
      <w:numFmt w:val="lowerRoman"/>
      <w:lvlText w:val="%3."/>
      <w:lvlJc w:val="right"/>
      <w:pPr>
        <w:ind w:left="3104" w:hanging="180"/>
      </w:pPr>
      <w:rPr>
        <w:rFonts w:cs="Times New Roman"/>
      </w:rPr>
    </w:lvl>
    <w:lvl w:ilvl="3" w:tplc="0C09000F" w:tentative="1">
      <w:start w:val="1"/>
      <w:numFmt w:val="decimal"/>
      <w:lvlText w:val="%4."/>
      <w:lvlJc w:val="left"/>
      <w:pPr>
        <w:ind w:left="3824" w:hanging="360"/>
      </w:pPr>
      <w:rPr>
        <w:rFonts w:cs="Times New Roman"/>
      </w:rPr>
    </w:lvl>
    <w:lvl w:ilvl="4" w:tplc="0C090019" w:tentative="1">
      <w:start w:val="1"/>
      <w:numFmt w:val="lowerLetter"/>
      <w:lvlText w:val="%5."/>
      <w:lvlJc w:val="left"/>
      <w:pPr>
        <w:ind w:left="4544" w:hanging="360"/>
      </w:pPr>
      <w:rPr>
        <w:rFonts w:cs="Times New Roman"/>
      </w:rPr>
    </w:lvl>
    <w:lvl w:ilvl="5" w:tplc="0C09001B" w:tentative="1">
      <w:start w:val="1"/>
      <w:numFmt w:val="lowerRoman"/>
      <w:lvlText w:val="%6."/>
      <w:lvlJc w:val="right"/>
      <w:pPr>
        <w:ind w:left="5264" w:hanging="180"/>
      </w:pPr>
      <w:rPr>
        <w:rFonts w:cs="Times New Roman"/>
      </w:rPr>
    </w:lvl>
    <w:lvl w:ilvl="6" w:tplc="0C09000F" w:tentative="1">
      <w:start w:val="1"/>
      <w:numFmt w:val="decimal"/>
      <w:lvlText w:val="%7."/>
      <w:lvlJc w:val="left"/>
      <w:pPr>
        <w:ind w:left="5984" w:hanging="360"/>
      </w:pPr>
      <w:rPr>
        <w:rFonts w:cs="Times New Roman"/>
      </w:rPr>
    </w:lvl>
    <w:lvl w:ilvl="7" w:tplc="0C090019" w:tentative="1">
      <w:start w:val="1"/>
      <w:numFmt w:val="lowerLetter"/>
      <w:lvlText w:val="%8."/>
      <w:lvlJc w:val="left"/>
      <w:pPr>
        <w:ind w:left="6704" w:hanging="360"/>
      </w:pPr>
      <w:rPr>
        <w:rFonts w:cs="Times New Roman"/>
      </w:rPr>
    </w:lvl>
    <w:lvl w:ilvl="8" w:tplc="0C09001B" w:tentative="1">
      <w:start w:val="1"/>
      <w:numFmt w:val="lowerRoman"/>
      <w:lvlText w:val="%9."/>
      <w:lvlJc w:val="right"/>
      <w:pPr>
        <w:ind w:left="7424" w:hanging="180"/>
      </w:pPr>
      <w:rPr>
        <w:rFonts w:cs="Times New Roman"/>
      </w:rPr>
    </w:lvl>
  </w:abstractNum>
  <w:abstractNum w:abstractNumId="18">
    <w:nsid w:val="453533B6"/>
    <w:multiLevelType w:val="hybridMultilevel"/>
    <w:tmpl w:val="18B08B7E"/>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9">
    <w:nsid w:val="47C92628"/>
    <w:multiLevelType w:val="hybridMultilevel"/>
    <w:tmpl w:val="48B4A212"/>
    <w:lvl w:ilvl="0" w:tplc="9DB017FA">
      <w:start w:val="1"/>
      <w:numFmt w:val="lowerLetter"/>
      <w:lvlText w:val="(%1)"/>
      <w:lvlJc w:val="left"/>
      <w:pPr>
        <w:ind w:left="1664" w:hanging="360"/>
      </w:pPr>
      <w:rPr>
        <w:rFonts w:cs="Times New Roman" w:hint="default"/>
      </w:rPr>
    </w:lvl>
    <w:lvl w:ilvl="1" w:tplc="0C090019" w:tentative="1">
      <w:start w:val="1"/>
      <w:numFmt w:val="lowerLetter"/>
      <w:lvlText w:val="%2."/>
      <w:lvlJc w:val="left"/>
      <w:pPr>
        <w:ind w:left="2384" w:hanging="360"/>
      </w:pPr>
      <w:rPr>
        <w:rFonts w:cs="Times New Roman"/>
      </w:rPr>
    </w:lvl>
    <w:lvl w:ilvl="2" w:tplc="0C09001B" w:tentative="1">
      <w:start w:val="1"/>
      <w:numFmt w:val="lowerRoman"/>
      <w:lvlText w:val="%3."/>
      <w:lvlJc w:val="right"/>
      <w:pPr>
        <w:ind w:left="3104" w:hanging="180"/>
      </w:pPr>
      <w:rPr>
        <w:rFonts w:cs="Times New Roman"/>
      </w:rPr>
    </w:lvl>
    <w:lvl w:ilvl="3" w:tplc="0C09000F" w:tentative="1">
      <w:start w:val="1"/>
      <w:numFmt w:val="decimal"/>
      <w:lvlText w:val="%4."/>
      <w:lvlJc w:val="left"/>
      <w:pPr>
        <w:ind w:left="3824" w:hanging="360"/>
      </w:pPr>
      <w:rPr>
        <w:rFonts w:cs="Times New Roman"/>
      </w:rPr>
    </w:lvl>
    <w:lvl w:ilvl="4" w:tplc="0C090019" w:tentative="1">
      <w:start w:val="1"/>
      <w:numFmt w:val="lowerLetter"/>
      <w:lvlText w:val="%5."/>
      <w:lvlJc w:val="left"/>
      <w:pPr>
        <w:ind w:left="4544" w:hanging="360"/>
      </w:pPr>
      <w:rPr>
        <w:rFonts w:cs="Times New Roman"/>
      </w:rPr>
    </w:lvl>
    <w:lvl w:ilvl="5" w:tplc="0C09001B" w:tentative="1">
      <w:start w:val="1"/>
      <w:numFmt w:val="lowerRoman"/>
      <w:lvlText w:val="%6."/>
      <w:lvlJc w:val="right"/>
      <w:pPr>
        <w:ind w:left="5264" w:hanging="180"/>
      </w:pPr>
      <w:rPr>
        <w:rFonts w:cs="Times New Roman"/>
      </w:rPr>
    </w:lvl>
    <w:lvl w:ilvl="6" w:tplc="0C09000F" w:tentative="1">
      <w:start w:val="1"/>
      <w:numFmt w:val="decimal"/>
      <w:lvlText w:val="%7."/>
      <w:lvlJc w:val="left"/>
      <w:pPr>
        <w:ind w:left="5984" w:hanging="360"/>
      </w:pPr>
      <w:rPr>
        <w:rFonts w:cs="Times New Roman"/>
      </w:rPr>
    </w:lvl>
    <w:lvl w:ilvl="7" w:tplc="0C090019" w:tentative="1">
      <w:start w:val="1"/>
      <w:numFmt w:val="lowerLetter"/>
      <w:lvlText w:val="%8."/>
      <w:lvlJc w:val="left"/>
      <w:pPr>
        <w:ind w:left="6704" w:hanging="360"/>
      </w:pPr>
      <w:rPr>
        <w:rFonts w:cs="Times New Roman"/>
      </w:rPr>
    </w:lvl>
    <w:lvl w:ilvl="8" w:tplc="0C09001B" w:tentative="1">
      <w:start w:val="1"/>
      <w:numFmt w:val="lowerRoman"/>
      <w:lvlText w:val="%9."/>
      <w:lvlJc w:val="right"/>
      <w:pPr>
        <w:ind w:left="7424" w:hanging="180"/>
      </w:pPr>
      <w:rPr>
        <w:rFonts w:cs="Times New Roman"/>
      </w:rPr>
    </w:lvl>
  </w:abstractNum>
  <w:abstractNum w:abstractNumId="20">
    <w:nsid w:val="490F19A6"/>
    <w:multiLevelType w:val="hybridMultilevel"/>
    <w:tmpl w:val="C2248B28"/>
    <w:lvl w:ilvl="0" w:tplc="A32A0EEC">
      <w:start w:val="1"/>
      <w:numFmt w:val="decimal"/>
      <w:pStyle w:val="ScheduleClauseheading"/>
      <w:lvlText w:val="[%1]"/>
      <w:lvlJc w:val="left"/>
      <w:pPr>
        <w:ind w:left="644" w:hanging="360"/>
      </w:pPr>
      <w:rPr>
        <w:rFonts w:ascii="Arial" w:hAnsi="Arial" w:cs="Times New Roman" w:hint="default"/>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4C701B92"/>
    <w:multiLevelType w:val="hybridMultilevel"/>
    <w:tmpl w:val="A90A4E56"/>
    <w:lvl w:ilvl="0" w:tplc="85BCFE70">
      <w:start w:val="1"/>
      <w:numFmt w:val="lowerLetter"/>
      <w:lvlText w:val="(%1)"/>
      <w:lvlJc w:val="left"/>
      <w:pPr>
        <w:ind w:left="1324" w:hanging="360"/>
      </w:pPr>
      <w:rPr>
        <w:rFonts w:cs="Times New Roman" w:hint="default"/>
      </w:rPr>
    </w:lvl>
    <w:lvl w:ilvl="1" w:tplc="0C090019" w:tentative="1">
      <w:start w:val="1"/>
      <w:numFmt w:val="lowerLetter"/>
      <w:lvlText w:val="%2."/>
      <w:lvlJc w:val="left"/>
      <w:pPr>
        <w:ind w:left="2044" w:hanging="360"/>
      </w:pPr>
      <w:rPr>
        <w:rFonts w:cs="Times New Roman"/>
      </w:rPr>
    </w:lvl>
    <w:lvl w:ilvl="2" w:tplc="0C09001B" w:tentative="1">
      <w:start w:val="1"/>
      <w:numFmt w:val="lowerRoman"/>
      <w:lvlText w:val="%3."/>
      <w:lvlJc w:val="right"/>
      <w:pPr>
        <w:ind w:left="2764" w:hanging="180"/>
      </w:pPr>
      <w:rPr>
        <w:rFonts w:cs="Times New Roman"/>
      </w:rPr>
    </w:lvl>
    <w:lvl w:ilvl="3" w:tplc="0C09000F" w:tentative="1">
      <w:start w:val="1"/>
      <w:numFmt w:val="decimal"/>
      <w:lvlText w:val="%4."/>
      <w:lvlJc w:val="left"/>
      <w:pPr>
        <w:ind w:left="3484" w:hanging="360"/>
      </w:pPr>
      <w:rPr>
        <w:rFonts w:cs="Times New Roman"/>
      </w:rPr>
    </w:lvl>
    <w:lvl w:ilvl="4" w:tplc="0C090019" w:tentative="1">
      <w:start w:val="1"/>
      <w:numFmt w:val="lowerLetter"/>
      <w:lvlText w:val="%5."/>
      <w:lvlJc w:val="left"/>
      <w:pPr>
        <w:ind w:left="4204" w:hanging="360"/>
      </w:pPr>
      <w:rPr>
        <w:rFonts w:cs="Times New Roman"/>
      </w:rPr>
    </w:lvl>
    <w:lvl w:ilvl="5" w:tplc="0C09001B" w:tentative="1">
      <w:start w:val="1"/>
      <w:numFmt w:val="lowerRoman"/>
      <w:lvlText w:val="%6."/>
      <w:lvlJc w:val="right"/>
      <w:pPr>
        <w:ind w:left="4924" w:hanging="180"/>
      </w:pPr>
      <w:rPr>
        <w:rFonts w:cs="Times New Roman"/>
      </w:rPr>
    </w:lvl>
    <w:lvl w:ilvl="6" w:tplc="0C09000F" w:tentative="1">
      <w:start w:val="1"/>
      <w:numFmt w:val="decimal"/>
      <w:lvlText w:val="%7."/>
      <w:lvlJc w:val="left"/>
      <w:pPr>
        <w:ind w:left="5644" w:hanging="360"/>
      </w:pPr>
      <w:rPr>
        <w:rFonts w:cs="Times New Roman"/>
      </w:rPr>
    </w:lvl>
    <w:lvl w:ilvl="7" w:tplc="0C090019" w:tentative="1">
      <w:start w:val="1"/>
      <w:numFmt w:val="lowerLetter"/>
      <w:lvlText w:val="%8."/>
      <w:lvlJc w:val="left"/>
      <w:pPr>
        <w:ind w:left="6364" w:hanging="360"/>
      </w:pPr>
      <w:rPr>
        <w:rFonts w:cs="Times New Roman"/>
      </w:rPr>
    </w:lvl>
    <w:lvl w:ilvl="8" w:tplc="0C09001B" w:tentative="1">
      <w:start w:val="1"/>
      <w:numFmt w:val="lowerRoman"/>
      <w:lvlText w:val="%9."/>
      <w:lvlJc w:val="right"/>
      <w:pPr>
        <w:ind w:left="7084" w:hanging="180"/>
      </w:pPr>
      <w:rPr>
        <w:rFonts w:cs="Times New Roman"/>
      </w:rPr>
    </w:lvl>
  </w:abstractNum>
  <w:abstractNum w:abstractNumId="22">
    <w:nsid w:val="5DC0699B"/>
    <w:multiLevelType w:val="hybridMultilevel"/>
    <w:tmpl w:val="48B4A212"/>
    <w:lvl w:ilvl="0" w:tplc="9DB017FA">
      <w:start w:val="1"/>
      <w:numFmt w:val="lowerLetter"/>
      <w:lvlText w:val="(%1)"/>
      <w:lvlJc w:val="left"/>
      <w:pPr>
        <w:ind w:left="1664" w:hanging="360"/>
      </w:pPr>
      <w:rPr>
        <w:rFonts w:cs="Times New Roman" w:hint="default"/>
      </w:rPr>
    </w:lvl>
    <w:lvl w:ilvl="1" w:tplc="0C090019" w:tentative="1">
      <w:start w:val="1"/>
      <w:numFmt w:val="lowerLetter"/>
      <w:lvlText w:val="%2."/>
      <w:lvlJc w:val="left"/>
      <w:pPr>
        <w:ind w:left="2384" w:hanging="360"/>
      </w:pPr>
      <w:rPr>
        <w:rFonts w:cs="Times New Roman"/>
      </w:rPr>
    </w:lvl>
    <w:lvl w:ilvl="2" w:tplc="0C09001B" w:tentative="1">
      <w:start w:val="1"/>
      <w:numFmt w:val="lowerRoman"/>
      <w:lvlText w:val="%3."/>
      <w:lvlJc w:val="right"/>
      <w:pPr>
        <w:ind w:left="3104" w:hanging="180"/>
      </w:pPr>
      <w:rPr>
        <w:rFonts w:cs="Times New Roman"/>
      </w:rPr>
    </w:lvl>
    <w:lvl w:ilvl="3" w:tplc="0C09000F" w:tentative="1">
      <w:start w:val="1"/>
      <w:numFmt w:val="decimal"/>
      <w:lvlText w:val="%4."/>
      <w:lvlJc w:val="left"/>
      <w:pPr>
        <w:ind w:left="3824" w:hanging="360"/>
      </w:pPr>
      <w:rPr>
        <w:rFonts w:cs="Times New Roman"/>
      </w:rPr>
    </w:lvl>
    <w:lvl w:ilvl="4" w:tplc="0C090019" w:tentative="1">
      <w:start w:val="1"/>
      <w:numFmt w:val="lowerLetter"/>
      <w:lvlText w:val="%5."/>
      <w:lvlJc w:val="left"/>
      <w:pPr>
        <w:ind w:left="4544" w:hanging="360"/>
      </w:pPr>
      <w:rPr>
        <w:rFonts w:cs="Times New Roman"/>
      </w:rPr>
    </w:lvl>
    <w:lvl w:ilvl="5" w:tplc="0C09001B" w:tentative="1">
      <w:start w:val="1"/>
      <w:numFmt w:val="lowerRoman"/>
      <w:lvlText w:val="%6."/>
      <w:lvlJc w:val="right"/>
      <w:pPr>
        <w:ind w:left="5264" w:hanging="180"/>
      </w:pPr>
      <w:rPr>
        <w:rFonts w:cs="Times New Roman"/>
      </w:rPr>
    </w:lvl>
    <w:lvl w:ilvl="6" w:tplc="0C09000F" w:tentative="1">
      <w:start w:val="1"/>
      <w:numFmt w:val="decimal"/>
      <w:lvlText w:val="%7."/>
      <w:lvlJc w:val="left"/>
      <w:pPr>
        <w:ind w:left="5984" w:hanging="360"/>
      </w:pPr>
      <w:rPr>
        <w:rFonts w:cs="Times New Roman"/>
      </w:rPr>
    </w:lvl>
    <w:lvl w:ilvl="7" w:tplc="0C090019" w:tentative="1">
      <w:start w:val="1"/>
      <w:numFmt w:val="lowerLetter"/>
      <w:lvlText w:val="%8."/>
      <w:lvlJc w:val="left"/>
      <w:pPr>
        <w:ind w:left="6704" w:hanging="360"/>
      </w:pPr>
      <w:rPr>
        <w:rFonts w:cs="Times New Roman"/>
      </w:rPr>
    </w:lvl>
    <w:lvl w:ilvl="8" w:tplc="0C09001B" w:tentative="1">
      <w:start w:val="1"/>
      <w:numFmt w:val="lowerRoman"/>
      <w:lvlText w:val="%9."/>
      <w:lvlJc w:val="right"/>
      <w:pPr>
        <w:ind w:left="7424" w:hanging="180"/>
      </w:pPr>
      <w:rPr>
        <w:rFonts w:cs="Times New Roman"/>
      </w:rPr>
    </w:lvl>
  </w:abstractNum>
  <w:abstractNum w:abstractNumId="23">
    <w:nsid w:val="5F324496"/>
    <w:multiLevelType w:val="hybridMultilevel"/>
    <w:tmpl w:val="05B43046"/>
    <w:lvl w:ilvl="0" w:tplc="0C090001">
      <w:start w:val="1"/>
      <w:numFmt w:val="bullet"/>
      <w:lvlText w:val=""/>
      <w:lvlJc w:val="left"/>
      <w:pPr>
        <w:ind w:left="1692" w:hanging="360"/>
      </w:pPr>
      <w:rPr>
        <w:rFonts w:ascii="Symbol" w:hAnsi="Symbol" w:hint="default"/>
      </w:rPr>
    </w:lvl>
    <w:lvl w:ilvl="1" w:tplc="0C090019" w:tentative="1">
      <w:start w:val="1"/>
      <w:numFmt w:val="lowerLetter"/>
      <w:lvlText w:val="%2."/>
      <w:lvlJc w:val="left"/>
      <w:pPr>
        <w:ind w:left="2412" w:hanging="360"/>
      </w:pPr>
      <w:rPr>
        <w:rFonts w:cs="Times New Roman"/>
      </w:rPr>
    </w:lvl>
    <w:lvl w:ilvl="2" w:tplc="0C09001B" w:tentative="1">
      <w:start w:val="1"/>
      <w:numFmt w:val="lowerRoman"/>
      <w:lvlText w:val="%3."/>
      <w:lvlJc w:val="right"/>
      <w:pPr>
        <w:ind w:left="3132" w:hanging="180"/>
      </w:pPr>
      <w:rPr>
        <w:rFonts w:cs="Times New Roman"/>
      </w:rPr>
    </w:lvl>
    <w:lvl w:ilvl="3" w:tplc="0C09000F" w:tentative="1">
      <w:start w:val="1"/>
      <w:numFmt w:val="decimal"/>
      <w:lvlText w:val="%4."/>
      <w:lvlJc w:val="left"/>
      <w:pPr>
        <w:ind w:left="3852" w:hanging="360"/>
      </w:pPr>
      <w:rPr>
        <w:rFonts w:cs="Times New Roman"/>
      </w:rPr>
    </w:lvl>
    <w:lvl w:ilvl="4" w:tplc="0C090019" w:tentative="1">
      <w:start w:val="1"/>
      <w:numFmt w:val="lowerLetter"/>
      <w:lvlText w:val="%5."/>
      <w:lvlJc w:val="left"/>
      <w:pPr>
        <w:ind w:left="4572" w:hanging="360"/>
      </w:pPr>
      <w:rPr>
        <w:rFonts w:cs="Times New Roman"/>
      </w:rPr>
    </w:lvl>
    <w:lvl w:ilvl="5" w:tplc="0C09001B" w:tentative="1">
      <w:start w:val="1"/>
      <w:numFmt w:val="lowerRoman"/>
      <w:lvlText w:val="%6."/>
      <w:lvlJc w:val="right"/>
      <w:pPr>
        <w:ind w:left="5292" w:hanging="180"/>
      </w:pPr>
      <w:rPr>
        <w:rFonts w:cs="Times New Roman"/>
      </w:rPr>
    </w:lvl>
    <w:lvl w:ilvl="6" w:tplc="0C09000F" w:tentative="1">
      <w:start w:val="1"/>
      <w:numFmt w:val="decimal"/>
      <w:lvlText w:val="%7."/>
      <w:lvlJc w:val="left"/>
      <w:pPr>
        <w:ind w:left="6012" w:hanging="360"/>
      </w:pPr>
      <w:rPr>
        <w:rFonts w:cs="Times New Roman"/>
      </w:rPr>
    </w:lvl>
    <w:lvl w:ilvl="7" w:tplc="0C090019" w:tentative="1">
      <w:start w:val="1"/>
      <w:numFmt w:val="lowerLetter"/>
      <w:lvlText w:val="%8."/>
      <w:lvlJc w:val="left"/>
      <w:pPr>
        <w:ind w:left="6732" w:hanging="360"/>
      </w:pPr>
      <w:rPr>
        <w:rFonts w:cs="Times New Roman"/>
      </w:rPr>
    </w:lvl>
    <w:lvl w:ilvl="8" w:tplc="0C09001B" w:tentative="1">
      <w:start w:val="1"/>
      <w:numFmt w:val="lowerRoman"/>
      <w:lvlText w:val="%9."/>
      <w:lvlJc w:val="right"/>
      <w:pPr>
        <w:ind w:left="7452" w:hanging="180"/>
      </w:pPr>
      <w:rPr>
        <w:rFonts w:cs="Times New Roman"/>
      </w:rPr>
    </w:lvl>
  </w:abstractNum>
  <w:abstractNum w:abstractNumId="24">
    <w:nsid w:val="6081027F"/>
    <w:multiLevelType w:val="hybridMultilevel"/>
    <w:tmpl w:val="021E88BE"/>
    <w:lvl w:ilvl="0" w:tplc="A87C1DD8">
      <w:start w:val="1"/>
      <w:numFmt w:val="lowerLetter"/>
      <w:lvlText w:val="(%1)"/>
      <w:lvlJc w:val="left"/>
      <w:pPr>
        <w:ind w:left="1211" w:hanging="360"/>
      </w:pPr>
      <w:rPr>
        <w:rFonts w:cs="Times New Roman" w:hint="default"/>
      </w:rPr>
    </w:lvl>
    <w:lvl w:ilvl="1" w:tplc="0C090019" w:tentative="1">
      <w:start w:val="1"/>
      <w:numFmt w:val="lowerLetter"/>
      <w:lvlText w:val="%2."/>
      <w:lvlJc w:val="left"/>
      <w:pPr>
        <w:ind w:left="1327" w:hanging="360"/>
      </w:pPr>
      <w:rPr>
        <w:rFonts w:cs="Times New Roman"/>
      </w:rPr>
    </w:lvl>
    <w:lvl w:ilvl="2" w:tplc="0C09001B" w:tentative="1">
      <w:start w:val="1"/>
      <w:numFmt w:val="lowerRoman"/>
      <w:lvlText w:val="%3."/>
      <w:lvlJc w:val="right"/>
      <w:pPr>
        <w:ind w:left="2047" w:hanging="180"/>
      </w:pPr>
      <w:rPr>
        <w:rFonts w:cs="Times New Roman"/>
      </w:rPr>
    </w:lvl>
    <w:lvl w:ilvl="3" w:tplc="0C09000F" w:tentative="1">
      <w:start w:val="1"/>
      <w:numFmt w:val="decimal"/>
      <w:lvlText w:val="%4."/>
      <w:lvlJc w:val="left"/>
      <w:pPr>
        <w:ind w:left="2767" w:hanging="360"/>
      </w:pPr>
      <w:rPr>
        <w:rFonts w:cs="Times New Roman"/>
      </w:rPr>
    </w:lvl>
    <w:lvl w:ilvl="4" w:tplc="0C090019" w:tentative="1">
      <w:start w:val="1"/>
      <w:numFmt w:val="lowerLetter"/>
      <w:lvlText w:val="%5."/>
      <w:lvlJc w:val="left"/>
      <w:pPr>
        <w:ind w:left="3487" w:hanging="360"/>
      </w:pPr>
      <w:rPr>
        <w:rFonts w:cs="Times New Roman"/>
      </w:rPr>
    </w:lvl>
    <w:lvl w:ilvl="5" w:tplc="0C09001B" w:tentative="1">
      <w:start w:val="1"/>
      <w:numFmt w:val="lowerRoman"/>
      <w:lvlText w:val="%6."/>
      <w:lvlJc w:val="right"/>
      <w:pPr>
        <w:ind w:left="4207" w:hanging="180"/>
      </w:pPr>
      <w:rPr>
        <w:rFonts w:cs="Times New Roman"/>
      </w:rPr>
    </w:lvl>
    <w:lvl w:ilvl="6" w:tplc="0C09000F" w:tentative="1">
      <w:start w:val="1"/>
      <w:numFmt w:val="decimal"/>
      <w:lvlText w:val="%7."/>
      <w:lvlJc w:val="left"/>
      <w:pPr>
        <w:ind w:left="4927" w:hanging="360"/>
      </w:pPr>
      <w:rPr>
        <w:rFonts w:cs="Times New Roman"/>
      </w:rPr>
    </w:lvl>
    <w:lvl w:ilvl="7" w:tplc="0C090019" w:tentative="1">
      <w:start w:val="1"/>
      <w:numFmt w:val="lowerLetter"/>
      <w:lvlText w:val="%8."/>
      <w:lvlJc w:val="left"/>
      <w:pPr>
        <w:ind w:left="5647" w:hanging="360"/>
      </w:pPr>
      <w:rPr>
        <w:rFonts w:cs="Times New Roman"/>
      </w:rPr>
    </w:lvl>
    <w:lvl w:ilvl="8" w:tplc="0C09001B" w:tentative="1">
      <w:start w:val="1"/>
      <w:numFmt w:val="lowerRoman"/>
      <w:lvlText w:val="%9."/>
      <w:lvlJc w:val="right"/>
      <w:pPr>
        <w:ind w:left="6367" w:hanging="180"/>
      </w:pPr>
      <w:rPr>
        <w:rFonts w:cs="Times New Roman"/>
      </w:rPr>
    </w:lvl>
  </w:abstractNum>
  <w:abstractNum w:abstractNumId="25">
    <w:nsid w:val="62B7653D"/>
    <w:multiLevelType w:val="hybridMultilevel"/>
    <w:tmpl w:val="A90A4E56"/>
    <w:lvl w:ilvl="0" w:tplc="85BCFE70">
      <w:start w:val="1"/>
      <w:numFmt w:val="lowerLetter"/>
      <w:lvlText w:val="(%1)"/>
      <w:lvlJc w:val="left"/>
      <w:pPr>
        <w:ind w:left="1324" w:hanging="360"/>
      </w:pPr>
      <w:rPr>
        <w:rFonts w:cs="Times New Roman" w:hint="default"/>
      </w:rPr>
    </w:lvl>
    <w:lvl w:ilvl="1" w:tplc="0C090019" w:tentative="1">
      <w:start w:val="1"/>
      <w:numFmt w:val="lowerLetter"/>
      <w:lvlText w:val="%2."/>
      <w:lvlJc w:val="left"/>
      <w:pPr>
        <w:ind w:left="2044" w:hanging="360"/>
      </w:pPr>
      <w:rPr>
        <w:rFonts w:cs="Times New Roman"/>
      </w:rPr>
    </w:lvl>
    <w:lvl w:ilvl="2" w:tplc="0C09001B" w:tentative="1">
      <w:start w:val="1"/>
      <w:numFmt w:val="lowerRoman"/>
      <w:lvlText w:val="%3."/>
      <w:lvlJc w:val="right"/>
      <w:pPr>
        <w:ind w:left="2764" w:hanging="180"/>
      </w:pPr>
      <w:rPr>
        <w:rFonts w:cs="Times New Roman"/>
      </w:rPr>
    </w:lvl>
    <w:lvl w:ilvl="3" w:tplc="0C09000F" w:tentative="1">
      <w:start w:val="1"/>
      <w:numFmt w:val="decimal"/>
      <w:lvlText w:val="%4."/>
      <w:lvlJc w:val="left"/>
      <w:pPr>
        <w:ind w:left="3484" w:hanging="360"/>
      </w:pPr>
      <w:rPr>
        <w:rFonts w:cs="Times New Roman"/>
      </w:rPr>
    </w:lvl>
    <w:lvl w:ilvl="4" w:tplc="0C090019" w:tentative="1">
      <w:start w:val="1"/>
      <w:numFmt w:val="lowerLetter"/>
      <w:lvlText w:val="%5."/>
      <w:lvlJc w:val="left"/>
      <w:pPr>
        <w:ind w:left="4204" w:hanging="360"/>
      </w:pPr>
      <w:rPr>
        <w:rFonts w:cs="Times New Roman"/>
      </w:rPr>
    </w:lvl>
    <w:lvl w:ilvl="5" w:tplc="0C09001B" w:tentative="1">
      <w:start w:val="1"/>
      <w:numFmt w:val="lowerRoman"/>
      <w:lvlText w:val="%6."/>
      <w:lvlJc w:val="right"/>
      <w:pPr>
        <w:ind w:left="4924" w:hanging="180"/>
      </w:pPr>
      <w:rPr>
        <w:rFonts w:cs="Times New Roman"/>
      </w:rPr>
    </w:lvl>
    <w:lvl w:ilvl="6" w:tplc="0C09000F" w:tentative="1">
      <w:start w:val="1"/>
      <w:numFmt w:val="decimal"/>
      <w:lvlText w:val="%7."/>
      <w:lvlJc w:val="left"/>
      <w:pPr>
        <w:ind w:left="5644" w:hanging="360"/>
      </w:pPr>
      <w:rPr>
        <w:rFonts w:cs="Times New Roman"/>
      </w:rPr>
    </w:lvl>
    <w:lvl w:ilvl="7" w:tplc="0C090019" w:tentative="1">
      <w:start w:val="1"/>
      <w:numFmt w:val="lowerLetter"/>
      <w:lvlText w:val="%8."/>
      <w:lvlJc w:val="left"/>
      <w:pPr>
        <w:ind w:left="6364" w:hanging="360"/>
      </w:pPr>
      <w:rPr>
        <w:rFonts w:cs="Times New Roman"/>
      </w:rPr>
    </w:lvl>
    <w:lvl w:ilvl="8" w:tplc="0C09001B" w:tentative="1">
      <w:start w:val="1"/>
      <w:numFmt w:val="lowerRoman"/>
      <w:lvlText w:val="%9."/>
      <w:lvlJc w:val="right"/>
      <w:pPr>
        <w:ind w:left="7084" w:hanging="180"/>
      </w:pPr>
      <w:rPr>
        <w:rFonts w:cs="Times New Roman"/>
      </w:rPr>
    </w:lvl>
  </w:abstractNum>
  <w:abstractNum w:abstractNumId="26">
    <w:nsid w:val="643F20EB"/>
    <w:multiLevelType w:val="hybridMultilevel"/>
    <w:tmpl w:val="28B05524"/>
    <w:lvl w:ilvl="0" w:tplc="9DB017FA">
      <w:start w:val="1"/>
      <w:numFmt w:val="lowerLetter"/>
      <w:lvlText w:val="(%1)"/>
      <w:lvlJc w:val="left"/>
      <w:pPr>
        <w:ind w:left="1664" w:hanging="360"/>
      </w:pPr>
      <w:rPr>
        <w:rFonts w:cs="Times New Roman" w:hint="default"/>
      </w:rPr>
    </w:lvl>
    <w:lvl w:ilvl="1" w:tplc="0C090019" w:tentative="1">
      <w:start w:val="1"/>
      <w:numFmt w:val="lowerLetter"/>
      <w:lvlText w:val="%2."/>
      <w:lvlJc w:val="left"/>
      <w:pPr>
        <w:ind w:left="2384" w:hanging="360"/>
      </w:pPr>
      <w:rPr>
        <w:rFonts w:cs="Times New Roman"/>
      </w:rPr>
    </w:lvl>
    <w:lvl w:ilvl="2" w:tplc="0C09001B" w:tentative="1">
      <w:start w:val="1"/>
      <w:numFmt w:val="lowerRoman"/>
      <w:lvlText w:val="%3."/>
      <w:lvlJc w:val="right"/>
      <w:pPr>
        <w:ind w:left="3104" w:hanging="180"/>
      </w:pPr>
      <w:rPr>
        <w:rFonts w:cs="Times New Roman"/>
      </w:rPr>
    </w:lvl>
    <w:lvl w:ilvl="3" w:tplc="0C09000F" w:tentative="1">
      <w:start w:val="1"/>
      <w:numFmt w:val="decimal"/>
      <w:lvlText w:val="%4."/>
      <w:lvlJc w:val="left"/>
      <w:pPr>
        <w:ind w:left="3824" w:hanging="360"/>
      </w:pPr>
      <w:rPr>
        <w:rFonts w:cs="Times New Roman"/>
      </w:rPr>
    </w:lvl>
    <w:lvl w:ilvl="4" w:tplc="0C090019" w:tentative="1">
      <w:start w:val="1"/>
      <w:numFmt w:val="lowerLetter"/>
      <w:lvlText w:val="%5."/>
      <w:lvlJc w:val="left"/>
      <w:pPr>
        <w:ind w:left="4544" w:hanging="360"/>
      </w:pPr>
      <w:rPr>
        <w:rFonts w:cs="Times New Roman"/>
      </w:rPr>
    </w:lvl>
    <w:lvl w:ilvl="5" w:tplc="0C09001B" w:tentative="1">
      <w:start w:val="1"/>
      <w:numFmt w:val="lowerRoman"/>
      <w:lvlText w:val="%6."/>
      <w:lvlJc w:val="right"/>
      <w:pPr>
        <w:ind w:left="5264" w:hanging="180"/>
      </w:pPr>
      <w:rPr>
        <w:rFonts w:cs="Times New Roman"/>
      </w:rPr>
    </w:lvl>
    <w:lvl w:ilvl="6" w:tplc="0C09000F" w:tentative="1">
      <w:start w:val="1"/>
      <w:numFmt w:val="decimal"/>
      <w:lvlText w:val="%7."/>
      <w:lvlJc w:val="left"/>
      <w:pPr>
        <w:ind w:left="5984" w:hanging="360"/>
      </w:pPr>
      <w:rPr>
        <w:rFonts w:cs="Times New Roman"/>
      </w:rPr>
    </w:lvl>
    <w:lvl w:ilvl="7" w:tplc="0C090019" w:tentative="1">
      <w:start w:val="1"/>
      <w:numFmt w:val="lowerLetter"/>
      <w:lvlText w:val="%8."/>
      <w:lvlJc w:val="left"/>
      <w:pPr>
        <w:ind w:left="6704" w:hanging="360"/>
      </w:pPr>
      <w:rPr>
        <w:rFonts w:cs="Times New Roman"/>
      </w:rPr>
    </w:lvl>
    <w:lvl w:ilvl="8" w:tplc="0C09001B" w:tentative="1">
      <w:start w:val="1"/>
      <w:numFmt w:val="lowerRoman"/>
      <w:lvlText w:val="%9."/>
      <w:lvlJc w:val="right"/>
      <w:pPr>
        <w:ind w:left="7424" w:hanging="180"/>
      </w:pPr>
      <w:rPr>
        <w:rFonts w:cs="Times New Roman"/>
      </w:rPr>
    </w:lvl>
  </w:abstractNum>
  <w:abstractNum w:abstractNumId="27">
    <w:nsid w:val="68A97403"/>
    <w:multiLevelType w:val="hybridMultilevel"/>
    <w:tmpl w:val="A90A4E56"/>
    <w:lvl w:ilvl="0" w:tplc="85BCFE70">
      <w:start w:val="1"/>
      <w:numFmt w:val="lowerLetter"/>
      <w:lvlText w:val="(%1)"/>
      <w:lvlJc w:val="left"/>
      <w:pPr>
        <w:ind w:left="1324" w:hanging="360"/>
      </w:pPr>
      <w:rPr>
        <w:rFonts w:cs="Times New Roman" w:hint="default"/>
      </w:rPr>
    </w:lvl>
    <w:lvl w:ilvl="1" w:tplc="0C090019" w:tentative="1">
      <w:start w:val="1"/>
      <w:numFmt w:val="lowerLetter"/>
      <w:lvlText w:val="%2."/>
      <w:lvlJc w:val="left"/>
      <w:pPr>
        <w:ind w:left="2044" w:hanging="360"/>
      </w:pPr>
      <w:rPr>
        <w:rFonts w:cs="Times New Roman"/>
      </w:rPr>
    </w:lvl>
    <w:lvl w:ilvl="2" w:tplc="0C09001B" w:tentative="1">
      <w:start w:val="1"/>
      <w:numFmt w:val="lowerRoman"/>
      <w:lvlText w:val="%3."/>
      <w:lvlJc w:val="right"/>
      <w:pPr>
        <w:ind w:left="2764" w:hanging="180"/>
      </w:pPr>
      <w:rPr>
        <w:rFonts w:cs="Times New Roman"/>
      </w:rPr>
    </w:lvl>
    <w:lvl w:ilvl="3" w:tplc="0C09000F" w:tentative="1">
      <w:start w:val="1"/>
      <w:numFmt w:val="decimal"/>
      <w:lvlText w:val="%4."/>
      <w:lvlJc w:val="left"/>
      <w:pPr>
        <w:ind w:left="3484" w:hanging="360"/>
      </w:pPr>
      <w:rPr>
        <w:rFonts w:cs="Times New Roman"/>
      </w:rPr>
    </w:lvl>
    <w:lvl w:ilvl="4" w:tplc="0C090019" w:tentative="1">
      <w:start w:val="1"/>
      <w:numFmt w:val="lowerLetter"/>
      <w:lvlText w:val="%5."/>
      <w:lvlJc w:val="left"/>
      <w:pPr>
        <w:ind w:left="4204" w:hanging="360"/>
      </w:pPr>
      <w:rPr>
        <w:rFonts w:cs="Times New Roman"/>
      </w:rPr>
    </w:lvl>
    <w:lvl w:ilvl="5" w:tplc="0C09001B" w:tentative="1">
      <w:start w:val="1"/>
      <w:numFmt w:val="lowerRoman"/>
      <w:lvlText w:val="%6."/>
      <w:lvlJc w:val="right"/>
      <w:pPr>
        <w:ind w:left="4924" w:hanging="180"/>
      </w:pPr>
      <w:rPr>
        <w:rFonts w:cs="Times New Roman"/>
      </w:rPr>
    </w:lvl>
    <w:lvl w:ilvl="6" w:tplc="0C09000F" w:tentative="1">
      <w:start w:val="1"/>
      <w:numFmt w:val="decimal"/>
      <w:lvlText w:val="%7."/>
      <w:lvlJc w:val="left"/>
      <w:pPr>
        <w:ind w:left="5644" w:hanging="360"/>
      </w:pPr>
      <w:rPr>
        <w:rFonts w:cs="Times New Roman"/>
      </w:rPr>
    </w:lvl>
    <w:lvl w:ilvl="7" w:tplc="0C090019" w:tentative="1">
      <w:start w:val="1"/>
      <w:numFmt w:val="lowerLetter"/>
      <w:lvlText w:val="%8."/>
      <w:lvlJc w:val="left"/>
      <w:pPr>
        <w:ind w:left="6364" w:hanging="360"/>
      </w:pPr>
      <w:rPr>
        <w:rFonts w:cs="Times New Roman"/>
      </w:rPr>
    </w:lvl>
    <w:lvl w:ilvl="8" w:tplc="0C09001B" w:tentative="1">
      <w:start w:val="1"/>
      <w:numFmt w:val="lowerRoman"/>
      <w:lvlText w:val="%9."/>
      <w:lvlJc w:val="right"/>
      <w:pPr>
        <w:ind w:left="7084" w:hanging="180"/>
      </w:pPr>
      <w:rPr>
        <w:rFonts w:cs="Times New Roman"/>
      </w:rPr>
    </w:lvl>
  </w:abstractNum>
  <w:abstractNum w:abstractNumId="28">
    <w:nsid w:val="6B87701F"/>
    <w:multiLevelType w:val="hybridMultilevel"/>
    <w:tmpl w:val="4C38820A"/>
    <w:lvl w:ilvl="0" w:tplc="157C7B92">
      <w:start w:val="1"/>
      <w:numFmt w:val="lowerLetter"/>
      <w:lvlText w:val="(%1)"/>
      <w:lvlJc w:val="left"/>
      <w:pPr>
        <w:ind w:left="1694" w:hanging="360"/>
      </w:pPr>
      <w:rPr>
        <w:rFonts w:cs="Times New Roman" w:hint="default"/>
      </w:rPr>
    </w:lvl>
    <w:lvl w:ilvl="1" w:tplc="0C090001">
      <w:start w:val="1"/>
      <w:numFmt w:val="bullet"/>
      <w:lvlText w:val=""/>
      <w:lvlJc w:val="left"/>
      <w:pPr>
        <w:ind w:left="2414" w:hanging="360"/>
      </w:pPr>
      <w:rPr>
        <w:rFonts w:ascii="Symbol" w:hAnsi="Symbol" w:hint="default"/>
      </w:rPr>
    </w:lvl>
    <w:lvl w:ilvl="2" w:tplc="0C09001B" w:tentative="1">
      <w:start w:val="1"/>
      <w:numFmt w:val="lowerRoman"/>
      <w:lvlText w:val="%3."/>
      <w:lvlJc w:val="right"/>
      <w:pPr>
        <w:ind w:left="3134" w:hanging="180"/>
      </w:pPr>
      <w:rPr>
        <w:rFonts w:cs="Times New Roman"/>
      </w:rPr>
    </w:lvl>
    <w:lvl w:ilvl="3" w:tplc="0C09000F" w:tentative="1">
      <w:start w:val="1"/>
      <w:numFmt w:val="decimal"/>
      <w:lvlText w:val="%4."/>
      <w:lvlJc w:val="left"/>
      <w:pPr>
        <w:ind w:left="3854" w:hanging="360"/>
      </w:pPr>
      <w:rPr>
        <w:rFonts w:cs="Times New Roman"/>
      </w:rPr>
    </w:lvl>
    <w:lvl w:ilvl="4" w:tplc="0C090019" w:tentative="1">
      <w:start w:val="1"/>
      <w:numFmt w:val="lowerLetter"/>
      <w:lvlText w:val="%5."/>
      <w:lvlJc w:val="left"/>
      <w:pPr>
        <w:ind w:left="4574" w:hanging="360"/>
      </w:pPr>
      <w:rPr>
        <w:rFonts w:cs="Times New Roman"/>
      </w:rPr>
    </w:lvl>
    <w:lvl w:ilvl="5" w:tplc="0C09001B" w:tentative="1">
      <w:start w:val="1"/>
      <w:numFmt w:val="lowerRoman"/>
      <w:lvlText w:val="%6."/>
      <w:lvlJc w:val="right"/>
      <w:pPr>
        <w:ind w:left="5294" w:hanging="180"/>
      </w:pPr>
      <w:rPr>
        <w:rFonts w:cs="Times New Roman"/>
      </w:rPr>
    </w:lvl>
    <w:lvl w:ilvl="6" w:tplc="0C09000F" w:tentative="1">
      <w:start w:val="1"/>
      <w:numFmt w:val="decimal"/>
      <w:lvlText w:val="%7."/>
      <w:lvlJc w:val="left"/>
      <w:pPr>
        <w:ind w:left="6014" w:hanging="360"/>
      </w:pPr>
      <w:rPr>
        <w:rFonts w:cs="Times New Roman"/>
      </w:rPr>
    </w:lvl>
    <w:lvl w:ilvl="7" w:tplc="0C090019" w:tentative="1">
      <w:start w:val="1"/>
      <w:numFmt w:val="lowerLetter"/>
      <w:lvlText w:val="%8."/>
      <w:lvlJc w:val="left"/>
      <w:pPr>
        <w:ind w:left="6734" w:hanging="360"/>
      </w:pPr>
      <w:rPr>
        <w:rFonts w:cs="Times New Roman"/>
      </w:rPr>
    </w:lvl>
    <w:lvl w:ilvl="8" w:tplc="0C09001B" w:tentative="1">
      <w:start w:val="1"/>
      <w:numFmt w:val="lowerRoman"/>
      <w:lvlText w:val="%9."/>
      <w:lvlJc w:val="right"/>
      <w:pPr>
        <w:ind w:left="7454" w:hanging="180"/>
      </w:pPr>
      <w:rPr>
        <w:rFonts w:cs="Times New Roman"/>
      </w:rPr>
    </w:lvl>
  </w:abstractNum>
  <w:abstractNum w:abstractNumId="29">
    <w:nsid w:val="710E6E14"/>
    <w:multiLevelType w:val="hybridMultilevel"/>
    <w:tmpl w:val="28B05524"/>
    <w:lvl w:ilvl="0" w:tplc="9DB017FA">
      <w:start w:val="1"/>
      <w:numFmt w:val="lowerLetter"/>
      <w:lvlText w:val="(%1)"/>
      <w:lvlJc w:val="left"/>
      <w:pPr>
        <w:ind w:left="1664" w:hanging="360"/>
      </w:pPr>
      <w:rPr>
        <w:rFonts w:cs="Times New Roman" w:hint="default"/>
      </w:rPr>
    </w:lvl>
    <w:lvl w:ilvl="1" w:tplc="0C090019" w:tentative="1">
      <w:start w:val="1"/>
      <w:numFmt w:val="lowerLetter"/>
      <w:lvlText w:val="%2."/>
      <w:lvlJc w:val="left"/>
      <w:pPr>
        <w:ind w:left="2384" w:hanging="360"/>
      </w:pPr>
      <w:rPr>
        <w:rFonts w:cs="Times New Roman"/>
      </w:rPr>
    </w:lvl>
    <w:lvl w:ilvl="2" w:tplc="0C09001B" w:tentative="1">
      <w:start w:val="1"/>
      <w:numFmt w:val="lowerRoman"/>
      <w:lvlText w:val="%3."/>
      <w:lvlJc w:val="right"/>
      <w:pPr>
        <w:ind w:left="3104" w:hanging="180"/>
      </w:pPr>
      <w:rPr>
        <w:rFonts w:cs="Times New Roman"/>
      </w:rPr>
    </w:lvl>
    <w:lvl w:ilvl="3" w:tplc="0C09000F" w:tentative="1">
      <w:start w:val="1"/>
      <w:numFmt w:val="decimal"/>
      <w:lvlText w:val="%4."/>
      <w:lvlJc w:val="left"/>
      <w:pPr>
        <w:ind w:left="3824" w:hanging="360"/>
      </w:pPr>
      <w:rPr>
        <w:rFonts w:cs="Times New Roman"/>
      </w:rPr>
    </w:lvl>
    <w:lvl w:ilvl="4" w:tplc="0C090019" w:tentative="1">
      <w:start w:val="1"/>
      <w:numFmt w:val="lowerLetter"/>
      <w:lvlText w:val="%5."/>
      <w:lvlJc w:val="left"/>
      <w:pPr>
        <w:ind w:left="4544" w:hanging="360"/>
      </w:pPr>
      <w:rPr>
        <w:rFonts w:cs="Times New Roman"/>
      </w:rPr>
    </w:lvl>
    <w:lvl w:ilvl="5" w:tplc="0C09001B" w:tentative="1">
      <w:start w:val="1"/>
      <w:numFmt w:val="lowerRoman"/>
      <w:lvlText w:val="%6."/>
      <w:lvlJc w:val="right"/>
      <w:pPr>
        <w:ind w:left="5264" w:hanging="180"/>
      </w:pPr>
      <w:rPr>
        <w:rFonts w:cs="Times New Roman"/>
      </w:rPr>
    </w:lvl>
    <w:lvl w:ilvl="6" w:tplc="0C09000F" w:tentative="1">
      <w:start w:val="1"/>
      <w:numFmt w:val="decimal"/>
      <w:lvlText w:val="%7."/>
      <w:lvlJc w:val="left"/>
      <w:pPr>
        <w:ind w:left="5984" w:hanging="360"/>
      </w:pPr>
      <w:rPr>
        <w:rFonts w:cs="Times New Roman"/>
      </w:rPr>
    </w:lvl>
    <w:lvl w:ilvl="7" w:tplc="0C090019" w:tentative="1">
      <w:start w:val="1"/>
      <w:numFmt w:val="lowerLetter"/>
      <w:lvlText w:val="%8."/>
      <w:lvlJc w:val="left"/>
      <w:pPr>
        <w:ind w:left="6704" w:hanging="360"/>
      </w:pPr>
      <w:rPr>
        <w:rFonts w:cs="Times New Roman"/>
      </w:rPr>
    </w:lvl>
    <w:lvl w:ilvl="8" w:tplc="0C09001B" w:tentative="1">
      <w:start w:val="1"/>
      <w:numFmt w:val="lowerRoman"/>
      <w:lvlText w:val="%9."/>
      <w:lvlJc w:val="right"/>
      <w:pPr>
        <w:ind w:left="7424" w:hanging="180"/>
      </w:pPr>
      <w:rPr>
        <w:rFonts w:cs="Times New Roman"/>
      </w:rPr>
    </w:lvl>
  </w:abstractNum>
  <w:abstractNum w:abstractNumId="30">
    <w:nsid w:val="745F2CEE"/>
    <w:multiLevelType w:val="hybridMultilevel"/>
    <w:tmpl w:val="A8986FE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24"/>
  </w:num>
  <w:num w:numId="2">
    <w:abstractNumId w:val="20"/>
  </w:num>
  <w:num w:numId="3">
    <w:abstractNumId w:val="0"/>
  </w:num>
  <w:num w:numId="4">
    <w:abstractNumId w:val="1"/>
  </w:num>
  <w:num w:numId="5">
    <w:abstractNumId w:val="5"/>
  </w:num>
  <w:num w:numId="6">
    <w:abstractNumId w:val="27"/>
  </w:num>
  <w:num w:numId="7">
    <w:abstractNumId w:val="25"/>
  </w:num>
  <w:num w:numId="8">
    <w:abstractNumId w:val="21"/>
  </w:num>
  <w:num w:numId="9">
    <w:abstractNumId w:val="12"/>
  </w:num>
  <w:num w:numId="10">
    <w:abstractNumId w:val="30"/>
  </w:num>
  <w:num w:numId="11">
    <w:abstractNumId w:val="26"/>
  </w:num>
  <w:num w:numId="12">
    <w:abstractNumId w:val="28"/>
  </w:num>
  <w:num w:numId="13">
    <w:abstractNumId w:val="8"/>
  </w:num>
  <w:num w:numId="14">
    <w:abstractNumId w:val="29"/>
  </w:num>
  <w:num w:numId="15">
    <w:abstractNumId w:val="7"/>
  </w:num>
  <w:num w:numId="16">
    <w:abstractNumId w:val="4"/>
  </w:num>
  <w:num w:numId="17">
    <w:abstractNumId w:val="2"/>
  </w:num>
  <w:num w:numId="18">
    <w:abstractNumId w:val="19"/>
  </w:num>
  <w:num w:numId="19">
    <w:abstractNumId w:val="3"/>
  </w:num>
  <w:num w:numId="20">
    <w:abstractNumId w:val="6"/>
  </w:num>
  <w:num w:numId="21">
    <w:abstractNumId w:val="10"/>
  </w:num>
  <w:num w:numId="22">
    <w:abstractNumId w:val="17"/>
  </w:num>
  <w:num w:numId="23">
    <w:abstractNumId w:val="14"/>
  </w:num>
  <w:num w:numId="24">
    <w:abstractNumId w:val="15"/>
  </w:num>
  <w:num w:numId="25">
    <w:abstractNumId w:val="23"/>
  </w:num>
  <w:num w:numId="26">
    <w:abstractNumId w:val="22"/>
  </w:num>
  <w:num w:numId="27">
    <w:abstractNumId w:val="9"/>
  </w:num>
  <w:num w:numId="28">
    <w:abstractNumId w:val="13"/>
  </w:num>
  <w:num w:numId="29">
    <w:abstractNumId w:val="11"/>
  </w:num>
  <w:num w:numId="30">
    <w:abstractNumId w:val="16"/>
  </w:num>
  <w:num w:numId="31">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oNotDisplayPageBoundaries/>
  <w:proofState w:spelling="clean" w:grammar="clean"/>
  <w:stylePaneFormatFilter w:val="1721"/>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40013"/>
    <w:rsid w:val="00002CCD"/>
    <w:rsid w:val="00004A2A"/>
    <w:rsid w:val="000076B2"/>
    <w:rsid w:val="00011548"/>
    <w:rsid w:val="00012E5C"/>
    <w:rsid w:val="00015AEC"/>
    <w:rsid w:val="00017B2B"/>
    <w:rsid w:val="00017F1B"/>
    <w:rsid w:val="00020973"/>
    <w:rsid w:val="000229D2"/>
    <w:rsid w:val="00022DFA"/>
    <w:rsid w:val="00023F0C"/>
    <w:rsid w:val="00024FC3"/>
    <w:rsid w:val="0002648D"/>
    <w:rsid w:val="00030A31"/>
    <w:rsid w:val="00031399"/>
    <w:rsid w:val="00032577"/>
    <w:rsid w:val="00037903"/>
    <w:rsid w:val="00041126"/>
    <w:rsid w:val="0004257E"/>
    <w:rsid w:val="000442B1"/>
    <w:rsid w:val="00044369"/>
    <w:rsid w:val="00044ADA"/>
    <w:rsid w:val="00044DBE"/>
    <w:rsid w:val="000454C1"/>
    <w:rsid w:val="00045ABC"/>
    <w:rsid w:val="00051ED6"/>
    <w:rsid w:val="00051EEE"/>
    <w:rsid w:val="00054325"/>
    <w:rsid w:val="00056DC0"/>
    <w:rsid w:val="00056F77"/>
    <w:rsid w:val="00057B28"/>
    <w:rsid w:val="00063BEB"/>
    <w:rsid w:val="00063DDE"/>
    <w:rsid w:val="00065720"/>
    <w:rsid w:val="0007030E"/>
    <w:rsid w:val="0007379C"/>
    <w:rsid w:val="00075EBE"/>
    <w:rsid w:val="000760D2"/>
    <w:rsid w:val="00076AF8"/>
    <w:rsid w:val="00081CF5"/>
    <w:rsid w:val="0008312D"/>
    <w:rsid w:val="00083C48"/>
    <w:rsid w:val="0008421F"/>
    <w:rsid w:val="00084655"/>
    <w:rsid w:val="00085237"/>
    <w:rsid w:val="00085448"/>
    <w:rsid w:val="00087E84"/>
    <w:rsid w:val="000937B0"/>
    <w:rsid w:val="00093DE5"/>
    <w:rsid w:val="0009616B"/>
    <w:rsid w:val="000966DF"/>
    <w:rsid w:val="000A3FA7"/>
    <w:rsid w:val="000A4936"/>
    <w:rsid w:val="000A5651"/>
    <w:rsid w:val="000A5D13"/>
    <w:rsid w:val="000A7CF6"/>
    <w:rsid w:val="000A7E8D"/>
    <w:rsid w:val="000B092E"/>
    <w:rsid w:val="000B1F13"/>
    <w:rsid w:val="000B58A9"/>
    <w:rsid w:val="000C2BAE"/>
    <w:rsid w:val="000C4451"/>
    <w:rsid w:val="000C6FB6"/>
    <w:rsid w:val="000C70D8"/>
    <w:rsid w:val="000C750A"/>
    <w:rsid w:val="000D0DF9"/>
    <w:rsid w:val="000D3754"/>
    <w:rsid w:val="000D3CFC"/>
    <w:rsid w:val="000D64F4"/>
    <w:rsid w:val="000E057D"/>
    <w:rsid w:val="000E10FD"/>
    <w:rsid w:val="000E2D72"/>
    <w:rsid w:val="000E6768"/>
    <w:rsid w:val="000F1112"/>
    <w:rsid w:val="000F41E8"/>
    <w:rsid w:val="000F644E"/>
    <w:rsid w:val="000F7DB7"/>
    <w:rsid w:val="00100D45"/>
    <w:rsid w:val="001036B0"/>
    <w:rsid w:val="0010439D"/>
    <w:rsid w:val="00104722"/>
    <w:rsid w:val="001147FD"/>
    <w:rsid w:val="00116BE1"/>
    <w:rsid w:val="0011792F"/>
    <w:rsid w:val="00117C0F"/>
    <w:rsid w:val="0012145D"/>
    <w:rsid w:val="00122248"/>
    <w:rsid w:val="00123D8B"/>
    <w:rsid w:val="00123F96"/>
    <w:rsid w:val="001243DB"/>
    <w:rsid w:val="0012467F"/>
    <w:rsid w:val="00124FFB"/>
    <w:rsid w:val="00125903"/>
    <w:rsid w:val="001266D4"/>
    <w:rsid w:val="00131996"/>
    <w:rsid w:val="00136023"/>
    <w:rsid w:val="001415CB"/>
    <w:rsid w:val="00144FEA"/>
    <w:rsid w:val="00145ACB"/>
    <w:rsid w:val="00152569"/>
    <w:rsid w:val="00155307"/>
    <w:rsid w:val="0015575A"/>
    <w:rsid w:val="00161A4D"/>
    <w:rsid w:val="001627C8"/>
    <w:rsid w:val="001660AF"/>
    <w:rsid w:val="00166EE0"/>
    <w:rsid w:val="00171322"/>
    <w:rsid w:val="0017216B"/>
    <w:rsid w:val="00172CE4"/>
    <w:rsid w:val="00173F1C"/>
    <w:rsid w:val="00177B8A"/>
    <w:rsid w:val="00177CBA"/>
    <w:rsid w:val="001829B7"/>
    <w:rsid w:val="00184642"/>
    <w:rsid w:val="00185517"/>
    <w:rsid w:val="00186F36"/>
    <w:rsid w:val="00187F66"/>
    <w:rsid w:val="00191605"/>
    <w:rsid w:val="0019198C"/>
    <w:rsid w:val="00192C45"/>
    <w:rsid w:val="001937E2"/>
    <w:rsid w:val="00194123"/>
    <w:rsid w:val="00195744"/>
    <w:rsid w:val="001A2B8F"/>
    <w:rsid w:val="001A57F9"/>
    <w:rsid w:val="001A7741"/>
    <w:rsid w:val="001B5B5A"/>
    <w:rsid w:val="001B618E"/>
    <w:rsid w:val="001C32CE"/>
    <w:rsid w:val="001C6B8D"/>
    <w:rsid w:val="001D3FC7"/>
    <w:rsid w:val="001D6992"/>
    <w:rsid w:val="001E353D"/>
    <w:rsid w:val="001E4D18"/>
    <w:rsid w:val="001E66A8"/>
    <w:rsid w:val="001E787C"/>
    <w:rsid w:val="001E7F16"/>
    <w:rsid w:val="001F03CB"/>
    <w:rsid w:val="001F3D26"/>
    <w:rsid w:val="001F3D73"/>
    <w:rsid w:val="00200CD3"/>
    <w:rsid w:val="002023D3"/>
    <w:rsid w:val="002043F5"/>
    <w:rsid w:val="0020593E"/>
    <w:rsid w:val="00210FEA"/>
    <w:rsid w:val="002116DD"/>
    <w:rsid w:val="00216453"/>
    <w:rsid w:val="00220339"/>
    <w:rsid w:val="00220F65"/>
    <w:rsid w:val="002210AA"/>
    <w:rsid w:val="00223208"/>
    <w:rsid w:val="00225650"/>
    <w:rsid w:val="00227FB1"/>
    <w:rsid w:val="0023336A"/>
    <w:rsid w:val="00236534"/>
    <w:rsid w:val="00240144"/>
    <w:rsid w:val="0024140F"/>
    <w:rsid w:val="0024354F"/>
    <w:rsid w:val="0024773D"/>
    <w:rsid w:val="002505D0"/>
    <w:rsid w:val="00252653"/>
    <w:rsid w:val="00253918"/>
    <w:rsid w:val="00255EF0"/>
    <w:rsid w:val="0025787B"/>
    <w:rsid w:val="0026101E"/>
    <w:rsid w:val="002666DA"/>
    <w:rsid w:val="00267D9F"/>
    <w:rsid w:val="00270EEA"/>
    <w:rsid w:val="00277444"/>
    <w:rsid w:val="00281709"/>
    <w:rsid w:val="00282BA6"/>
    <w:rsid w:val="00284113"/>
    <w:rsid w:val="00285A36"/>
    <w:rsid w:val="00290596"/>
    <w:rsid w:val="002931E5"/>
    <w:rsid w:val="002942EC"/>
    <w:rsid w:val="00296177"/>
    <w:rsid w:val="002A0E59"/>
    <w:rsid w:val="002A1174"/>
    <w:rsid w:val="002A11C3"/>
    <w:rsid w:val="002A29DD"/>
    <w:rsid w:val="002A5886"/>
    <w:rsid w:val="002B3FE6"/>
    <w:rsid w:val="002B47BE"/>
    <w:rsid w:val="002B6292"/>
    <w:rsid w:val="002B6F88"/>
    <w:rsid w:val="002B7A4E"/>
    <w:rsid w:val="002C082F"/>
    <w:rsid w:val="002C184D"/>
    <w:rsid w:val="002C395A"/>
    <w:rsid w:val="002C3BF9"/>
    <w:rsid w:val="002C3D69"/>
    <w:rsid w:val="002C49B1"/>
    <w:rsid w:val="002C4DA3"/>
    <w:rsid w:val="002C77A8"/>
    <w:rsid w:val="002C7A73"/>
    <w:rsid w:val="002D1E41"/>
    <w:rsid w:val="002D347B"/>
    <w:rsid w:val="002D451D"/>
    <w:rsid w:val="002D5438"/>
    <w:rsid w:val="002D5E36"/>
    <w:rsid w:val="002E19EA"/>
    <w:rsid w:val="002E384B"/>
    <w:rsid w:val="002E482E"/>
    <w:rsid w:val="002E61F2"/>
    <w:rsid w:val="002E69E8"/>
    <w:rsid w:val="002F22A8"/>
    <w:rsid w:val="002F2B08"/>
    <w:rsid w:val="002F34D9"/>
    <w:rsid w:val="002F7A7F"/>
    <w:rsid w:val="003008AE"/>
    <w:rsid w:val="00300FA5"/>
    <w:rsid w:val="00301D84"/>
    <w:rsid w:val="003021FF"/>
    <w:rsid w:val="0030228E"/>
    <w:rsid w:val="003026EC"/>
    <w:rsid w:val="003049D4"/>
    <w:rsid w:val="00304B20"/>
    <w:rsid w:val="0030655B"/>
    <w:rsid w:val="00307195"/>
    <w:rsid w:val="0031114B"/>
    <w:rsid w:val="00314627"/>
    <w:rsid w:val="00314C93"/>
    <w:rsid w:val="003154FA"/>
    <w:rsid w:val="003176D0"/>
    <w:rsid w:val="00320046"/>
    <w:rsid w:val="0032322C"/>
    <w:rsid w:val="00324E68"/>
    <w:rsid w:val="003261D5"/>
    <w:rsid w:val="003319A2"/>
    <w:rsid w:val="00343BD4"/>
    <w:rsid w:val="00344EA2"/>
    <w:rsid w:val="0035120A"/>
    <w:rsid w:val="0035211A"/>
    <w:rsid w:val="0035304E"/>
    <w:rsid w:val="003545CD"/>
    <w:rsid w:val="003557A3"/>
    <w:rsid w:val="00355A25"/>
    <w:rsid w:val="00361D25"/>
    <w:rsid w:val="00363325"/>
    <w:rsid w:val="00366ABE"/>
    <w:rsid w:val="00366F75"/>
    <w:rsid w:val="0037091A"/>
    <w:rsid w:val="00373CBC"/>
    <w:rsid w:val="0037415B"/>
    <w:rsid w:val="00374B76"/>
    <w:rsid w:val="00374FA4"/>
    <w:rsid w:val="00376F03"/>
    <w:rsid w:val="0038067F"/>
    <w:rsid w:val="0038087F"/>
    <w:rsid w:val="00384960"/>
    <w:rsid w:val="003857BC"/>
    <w:rsid w:val="00385B52"/>
    <w:rsid w:val="003862E6"/>
    <w:rsid w:val="00387227"/>
    <w:rsid w:val="0038727D"/>
    <w:rsid w:val="003913DC"/>
    <w:rsid w:val="00392201"/>
    <w:rsid w:val="00393130"/>
    <w:rsid w:val="0039735E"/>
    <w:rsid w:val="003A36E4"/>
    <w:rsid w:val="003A3DFE"/>
    <w:rsid w:val="003A6D5F"/>
    <w:rsid w:val="003B197A"/>
    <w:rsid w:val="003B21A6"/>
    <w:rsid w:val="003B23CD"/>
    <w:rsid w:val="003B2CC6"/>
    <w:rsid w:val="003B606A"/>
    <w:rsid w:val="003B6121"/>
    <w:rsid w:val="003B6432"/>
    <w:rsid w:val="003B6701"/>
    <w:rsid w:val="003B6C7F"/>
    <w:rsid w:val="003B7A72"/>
    <w:rsid w:val="003C0201"/>
    <w:rsid w:val="003C35A8"/>
    <w:rsid w:val="003C3ED7"/>
    <w:rsid w:val="003D1D38"/>
    <w:rsid w:val="003D322F"/>
    <w:rsid w:val="003D3498"/>
    <w:rsid w:val="003D394A"/>
    <w:rsid w:val="003D5D4A"/>
    <w:rsid w:val="003E07D2"/>
    <w:rsid w:val="003E327B"/>
    <w:rsid w:val="003E4160"/>
    <w:rsid w:val="003F3691"/>
    <w:rsid w:val="003F434D"/>
    <w:rsid w:val="003F50B4"/>
    <w:rsid w:val="003F5A76"/>
    <w:rsid w:val="003F60AC"/>
    <w:rsid w:val="00400617"/>
    <w:rsid w:val="00402BC4"/>
    <w:rsid w:val="00402EB9"/>
    <w:rsid w:val="00402FD4"/>
    <w:rsid w:val="004040C8"/>
    <w:rsid w:val="00404E0D"/>
    <w:rsid w:val="004066E1"/>
    <w:rsid w:val="004068DA"/>
    <w:rsid w:val="00410CC2"/>
    <w:rsid w:val="004134E0"/>
    <w:rsid w:val="0042046C"/>
    <w:rsid w:val="00420FD7"/>
    <w:rsid w:val="00425D75"/>
    <w:rsid w:val="00426BAA"/>
    <w:rsid w:val="00434537"/>
    <w:rsid w:val="00434F3A"/>
    <w:rsid w:val="004365EB"/>
    <w:rsid w:val="00440BB0"/>
    <w:rsid w:val="00444C6D"/>
    <w:rsid w:val="004513B7"/>
    <w:rsid w:val="004513C2"/>
    <w:rsid w:val="00451BF5"/>
    <w:rsid w:val="0045490F"/>
    <w:rsid w:val="00454941"/>
    <w:rsid w:val="0045696C"/>
    <w:rsid w:val="00461257"/>
    <w:rsid w:val="00461B65"/>
    <w:rsid w:val="00465363"/>
    <w:rsid w:val="00470265"/>
    <w:rsid w:val="004704A5"/>
    <w:rsid w:val="004729F7"/>
    <w:rsid w:val="00473DA4"/>
    <w:rsid w:val="00475BD1"/>
    <w:rsid w:val="00477699"/>
    <w:rsid w:val="0048121B"/>
    <w:rsid w:val="004853FD"/>
    <w:rsid w:val="0048648E"/>
    <w:rsid w:val="00487D8E"/>
    <w:rsid w:val="0049338C"/>
    <w:rsid w:val="00497FDF"/>
    <w:rsid w:val="004A1879"/>
    <w:rsid w:val="004A199B"/>
    <w:rsid w:val="004A55AD"/>
    <w:rsid w:val="004A76AD"/>
    <w:rsid w:val="004B347F"/>
    <w:rsid w:val="004B3DFE"/>
    <w:rsid w:val="004B4AE4"/>
    <w:rsid w:val="004B59A6"/>
    <w:rsid w:val="004B6653"/>
    <w:rsid w:val="004C0EE9"/>
    <w:rsid w:val="004C1296"/>
    <w:rsid w:val="004C22E3"/>
    <w:rsid w:val="004C3569"/>
    <w:rsid w:val="004C3F78"/>
    <w:rsid w:val="004C5900"/>
    <w:rsid w:val="004C5A35"/>
    <w:rsid w:val="004C6D2E"/>
    <w:rsid w:val="004C7813"/>
    <w:rsid w:val="004C7E1B"/>
    <w:rsid w:val="004D24F2"/>
    <w:rsid w:val="004D34EE"/>
    <w:rsid w:val="004D4AF7"/>
    <w:rsid w:val="004D4DBC"/>
    <w:rsid w:val="004D59D4"/>
    <w:rsid w:val="004D62C1"/>
    <w:rsid w:val="004E0A99"/>
    <w:rsid w:val="004E417E"/>
    <w:rsid w:val="004E4875"/>
    <w:rsid w:val="004E5756"/>
    <w:rsid w:val="004E5C36"/>
    <w:rsid w:val="004E5E04"/>
    <w:rsid w:val="004E6CB3"/>
    <w:rsid w:val="004E7F26"/>
    <w:rsid w:val="004F11D1"/>
    <w:rsid w:val="004F327F"/>
    <w:rsid w:val="004F39A1"/>
    <w:rsid w:val="004F3BBC"/>
    <w:rsid w:val="004F4147"/>
    <w:rsid w:val="004F5DCE"/>
    <w:rsid w:val="00502F95"/>
    <w:rsid w:val="005031D1"/>
    <w:rsid w:val="005042D2"/>
    <w:rsid w:val="005063DA"/>
    <w:rsid w:val="00512534"/>
    <w:rsid w:val="005169A4"/>
    <w:rsid w:val="00516FDA"/>
    <w:rsid w:val="005172D1"/>
    <w:rsid w:val="0052059C"/>
    <w:rsid w:val="00524826"/>
    <w:rsid w:val="00526AF3"/>
    <w:rsid w:val="0053034A"/>
    <w:rsid w:val="00530513"/>
    <w:rsid w:val="00530D87"/>
    <w:rsid w:val="005323BD"/>
    <w:rsid w:val="0053586B"/>
    <w:rsid w:val="00536073"/>
    <w:rsid w:val="005375E2"/>
    <w:rsid w:val="005378C6"/>
    <w:rsid w:val="00540DDA"/>
    <w:rsid w:val="0054117A"/>
    <w:rsid w:val="00541779"/>
    <w:rsid w:val="005425DB"/>
    <w:rsid w:val="00542B7F"/>
    <w:rsid w:val="00543F5E"/>
    <w:rsid w:val="005442C5"/>
    <w:rsid w:val="00547C80"/>
    <w:rsid w:val="005502A4"/>
    <w:rsid w:val="00553584"/>
    <w:rsid w:val="005553A8"/>
    <w:rsid w:val="00556D5C"/>
    <w:rsid w:val="00557483"/>
    <w:rsid w:val="0055755C"/>
    <w:rsid w:val="0056237C"/>
    <w:rsid w:val="005628B6"/>
    <w:rsid w:val="00562BE8"/>
    <w:rsid w:val="005632F4"/>
    <w:rsid w:val="0056750D"/>
    <w:rsid w:val="00567547"/>
    <w:rsid w:val="00570656"/>
    <w:rsid w:val="00571071"/>
    <w:rsid w:val="00571B88"/>
    <w:rsid w:val="005736A1"/>
    <w:rsid w:val="0057440A"/>
    <w:rsid w:val="00574731"/>
    <w:rsid w:val="005775FA"/>
    <w:rsid w:val="00580284"/>
    <w:rsid w:val="00580E6F"/>
    <w:rsid w:val="00581D03"/>
    <w:rsid w:val="005845B1"/>
    <w:rsid w:val="00585C98"/>
    <w:rsid w:val="00587B95"/>
    <w:rsid w:val="0059004E"/>
    <w:rsid w:val="00595ADE"/>
    <w:rsid w:val="005A3996"/>
    <w:rsid w:val="005A5019"/>
    <w:rsid w:val="005A5B7E"/>
    <w:rsid w:val="005A6520"/>
    <w:rsid w:val="005B7AA0"/>
    <w:rsid w:val="005C0B60"/>
    <w:rsid w:val="005C2A9A"/>
    <w:rsid w:val="005C46BF"/>
    <w:rsid w:val="005C70B9"/>
    <w:rsid w:val="005D23BC"/>
    <w:rsid w:val="005D2436"/>
    <w:rsid w:val="005D3794"/>
    <w:rsid w:val="005D4936"/>
    <w:rsid w:val="005D5061"/>
    <w:rsid w:val="005D526F"/>
    <w:rsid w:val="005D5895"/>
    <w:rsid w:val="005D5F89"/>
    <w:rsid w:val="005E04CC"/>
    <w:rsid w:val="005E221B"/>
    <w:rsid w:val="005E2386"/>
    <w:rsid w:val="005E5931"/>
    <w:rsid w:val="005F0023"/>
    <w:rsid w:val="005F1AD1"/>
    <w:rsid w:val="005F226E"/>
    <w:rsid w:val="005F2B02"/>
    <w:rsid w:val="005F4B9D"/>
    <w:rsid w:val="005F5548"/>
    <w:rsid w:val="006013DB"/>
    <w:rsid w:val="00606082"/>
    <w:rsid w:val="006108C7"/>
    <w:rsid w:val="00611AE8"/>
    <w:rsid w:val="006148A6"/>
    <w:rsid w:val="00614CD8"/>
    <w:rsid w:val="00615ED0"/>
    <w:rsid w:val="00620B1A"/>
    <w:rsid w:val="00624B7C"/>
    <w:rsid w:val="00625132"/>
    <w:rsid w:val="00625FCF"/>
    <w:rsid w:val="00626ADF"/>
    <w:rsid w:val="00630CFC"/>
    <w:rsid w:val="00632328"/>
    <w:rsid w:val="006340FE"/>
    <w:rsid w:val="006352B6"/>
    <w:rsid w:val="00637256"/>
    <w:rsid w:val="00642264"/>
    <w:rsid w:val="006435B4"/>
    <w:rsid w:val="00644CBF"/>
    <w:rsid w:val="00645ECC"/>
    <w:rsid w:val="006465DB"/>
    <w:rsid w:val="00647579"/>
    <w:rsid w:val="00650ADA"/>
    <w:rsid w:val="00654B5D"/>
    <w:rsid w:val="00654BA8"/>
    <w:rsid w:val="00655797"/>
    <w:rsid w:val="0065610A"/>
    <w:rsid w:val="00657176"/>
    <w:rsid w:val="00657572"/>
    <w:rsid w:val="00657B9C"/>
    <w:rsid w:val="00661B70"/>
    <w:rsid w:val="00666A18"/>
    <w:rsid w:val="00666B91"/>
    <w:rsid w:val="0066718D"/>
    <w:rsid w:val="0066766B"/>
    <w:rsid w:val="006714EC"/>
    <w:rsid w:val="006716A0"/>
    <w:rsid w:val="00671F9C"/>
    <w:rsid w:val="0067298A"/>
    <w:rsid w:val="00672DAA"/>
    <w:rsid w:val="00675636"/>
    <w:rsid w:val="00681DB3"/>
    <w:rsid w:val="00681F7A"/>
    <w:rsid w:val="006821CF"/>
    <w:rsid w:val="0068237A"/>
    <w:rsid w:val="00682539"/>
    <w:rsid w:val="00682B1E"/>
    <w:rsid w:val="006841F8"/>
    <w:rsid w:val="006963EC"/>
    <w:rsid w:val="00697A3F"/>
    <w:rsid w:val="006A01D7"/>
    <w:rsid w:val="006A030A"/>
    <w:rsid w:val="006A7FE4"/>
    <w:rsid w:val="006B12A8"/>
    <w:rsid w:val="006B2BD9"/>
    <w:rsid w:val="006B37A8"/>
    <w:rsid w:val="006B5BF8"/>
    <w:rsid w:val="006C038C"/>
    <w:rsid w:val="006C0F7E"/>
    <w:rsid w:val="006C22E9"/>
    <w:rsid w:val="006C50E6"/>
    <w:rsid w:val="006D0B82"/>
    <w:rsid w:val="006D268A"/>
    <w:rsid w:val="006E0CE2"/>
    <w:rsid w:val="006E23FD"/>
    <w:rsid w:val="006E251C"/>
    <w:rsid w:val="006E2A27"/>
    <w:rsid w:val="006E4CB5"/>
    <w:rsid w:val="006E5F88"/>
    <w:rsid w:val="006E6446"/>
    <w:rsid w:val="006F0D33"/>
    <w:rsid w:val="006F0EBF"/>
    <w:rsid w:val="006F3A8B"/>
    <w:rsid w:val="006F3AFA"/>
    <w:rsid w:val="006F50A0"/>
    <w:rsid w:val="00700018"/>
    <w:rsid w:val="00701C91"/>
    <w:rsid w:val="00702557"/>
    <w:rsid w:val="007025A9"/>
    <w:rsid w:val="0070338F"/>
    <w:rsid w:val="007049B9"/>
    <w:rsid w:val="00704A04"/>
    <w:rsid w:val="00704C09"/>
    <w:rsid w:val="00704F79"/>
    <w:rsid w:val="00705BD8"/>
    <w:rsid w:val="00707CF1"/>
    <w:rsid w:val="00713433"/>
    <w:rsid w:val="007144F2"/>
    <w:rsid w:val="00714E60"/>
    <w:rsid w:val="007165C6"/>
    <w:rsid w:val="007174F1"/>
    <w:rsid w:val="007178CB"/>
    <w:rsid w:val="00720CA1"/>
    <w:rsid w:val="00724603"/>
    <w:rsid w:val="00724E0B"/>
    <w:rsid w:val="0072578E"/>
    <w:rsid w:val="00730870"/>
    <w:rsid w:val="007322ED"/>
    <w:rsid w:val="0073356E"/>
    <w:rsid w:val="00740F9F"/>
    <w:rsid w:val="007416E7"/>
    <w:rsid w:val="00743E53"/>
    <w:rsid w:val="00743FBE"/>
    <w:rsid w:val="007460C4"/>
    <w:rsid w:val="007478DC"/>
    <w:rsid w:val="00750379"/>
    <w:rsid w:val="00750819"/>
    <w:rsid w:val="00756B9B"/>
    <w:rsid w:val="00757193"/>
    <w:rsid w:val="007605EC"/>
    <w:rsid w:val="00761A4B"/>
    <w:rsid w:val="007620A6"/>
    <w:rsid w:val="0076272B"/>
    <w:rsid w:val="00762FC4"/>
    <w:rsid w:val="00765220"/>
    <w:rsid w:val="0077012C"/>
    <w:rsid w:val="007767F2"/>
    <w:rsid w:val="007773F3"/>
    <w:rsid w:val="00783327"/>
    <w:rsid w:val="007847D7"/>
    <w:rsid w:val="00785EB2"/>
    <w:rsid w:val="00790492"/>
    <w:rsid w:val="00792958"/>
    <w:rsid w:val="00795CC2"/>
    <w:rsid w:val="007A0016"/>
    <w:rsid w:val="007A3036"/>
    <w:rsid w:val="007A375C"/>
    <w:rsid w:val="007A3916"/>
    <w:rsid w:val="007A41EE"/>
    <w:rsid w:val="007A50AF"/>
    <w:rsid w:val="007A51BA"/>
    <w:rsid w:val="007A7CC3"/>
    <w:rsid w:val="007B031E"/>
    <w:rsid w:val="007B1335"/>
    <w:rsid w:val="007B2123"/>
    <w:rsid w:val="007B331B"/>
    <w:rsid w:val="007B79B9"/>
    <w:rsid w:val="007C15BB"/>
    <w:rsid w:val="007C504D"/>
    <w:rsid w:val="007C5E95"/>
    <w:rsid w:val="007C75D5"/>
    <w:rsid w:val="007D347C"/>
    <w:rsid w:val="007D459D"/>
    <w:rsid w:val="007D58CE"/>
    <w:rsid w:val="007D6D0C"/>
    <w:rsid w:val="007D7D50"/>
    <w:rsid w:val="007E43C6"/>
    <w:rsid w:val="007E4789"/>
    <w:rsid w:val="007E6CE8"/>
    <w:rsid w:val="007E6D19"/>
    <w:rsid w:val="007F0A60"/>
    <w:rsid w:val="007F778D"/>
    <w:rsid w:val="00800508"/>
    <w:rsid w:val="00802294"/>
    <w:rsid w:val="00804309"/>
    <w:rsid w:val="00804980"/>
    <w:rsid w:val="008051EA"/>
    <w:rsid w:val="00813244"/>
    <w:rsid w:val="00814404"/>
    <w:rsid w:val="00816BB4"/>
    <w:rsid w:val="00817111"/>
    <w:rsid w:val="008202FC"/>
    <w:rsid w:val="00821F44"/>
    <w:rsid w:val="008273EC"/>
    <w:rsid w:val="008308AE"/>
    <w:rsid w:val="0083161E"/>
    <w:rsid w:val="00832F88"/>
    <w:rsid w:val="00834289"/>
    <w:rsid w:val="00835BE0"/>
    <w:rsid w:val="00836D53"/>
    <w:rsid w:val="008377D1"/>
    <w:rsid w:val="00842000"/>
    <w:rsid w:val="0084310B"/>
    <w:rsid w:val="00843DEB"/>
    <w:rsid w:val="00846270"/>
    <w:rsid w:val="008463F5"/>
    <w:rsid w:val="00847F8B"/>
    <w:rsid w:val="00854190"/>
    <w:rsid w:val="00854D70"/>
    <w:rsid w:val="00860993"/>
    <w:rsid w:val="00860EDD"/>
    <w:rsid w:val="008622B8"/>
    <w:rsid w:val="00863AEC"/>
    <w:rsid w:val="00863B55"/>
    <w:rsid w:val="008651EA"/>
    <w:rsid w:val="00866061"/>
    <w:rsid w:val="00867631"/>
    <w:rsid w:val="00870C7C"/>
    <w:rsid w:val="00871C99"/>
    <w:rsid w:val="008723AC"/>
    <w:rsid w:val="00872ED0"/>
    <w:rsid w:val="008737FF"/>
    <w:rsid w:val="00874604"/>
    <w:rsid w:val="00874B5C"/>
    <w:rsid w:val="00875426"/>
    <w:rsid w:val="00885E1A"/>
    <w:rsid w:val="00885E1E"/>
    <w:rsid w:val="00887F4E"/>
    <w:rsid w:val="00891B04"/>
    <w:rsid w:val="008936BB"/>
    <w:rsid w:val="00893C91"/>
    <w:rsid w:val="0089550D"/>
    <w:rsid w:val="00895CF6"/>
    <w:rsid w:val="0089796F"/>
    <w:rsid w:val="008B38E1"/>
    <w:rsid w:val="008B4D03"/>
    <w:rsid w:val="008B6A34"/>
    <w:rsid w:val="008C3743"/>
    <w:rsid w:val="008C6C3C"/>
    <w:rsid w:val="008D2BBD"/>
    <w:rsid w:val="008D3D0A"/>
    <w:rsid w:val="008D4084"/>
    <w:rsid w:val="008D7292"/>
    <w:rsid w:val="008E210A"/>
    <w:rsid w:val="008E32B2"/>
    <w:rsid w:val="008E6E69"/>
    <w:rsid w:val="008F0EB9"/>
    <w:rsid w:val="008F34D9"/>
    <w:rsid w:val="008F4AE1"/>
    <w:rsid w:val="008F7119"/>
    <w:rsid w:val="008F7711"/>
    <w:rsid w:val="009009A5"/>
    <w:rsid w:val="00902850"/>
    <w:rsid w:val="00903982"/>
    <w:rsid w:val="009042C2"/>
    <w:rsid w:val="0090550E"/>
    <w:rsid w:val="00906E38"/>
    <w:rsid w:val="00910436"/>
    <w:rsid w:val="00912904"/>
    <w:rsid w:val="0092003D"/>
    <w:rsid w:val="00924E0C"/>
    <w:rsid w:val="00925776"/>
    <w:rsid w:val="00927387"/>
    <w:rsid w:val="00931775"/>
    <w:rsid w:val="0093329A"/>
    <w:rsid w:val="00933966"/>
    <w:rsid w:val="0093512C"/>
    <w:rsid w:val="009378DF"/>
    <w:rsid w:val="00937B52"/>
    <w:rsid w:val="00940013"/>
    <w:rsid w:val="00941C3A"/>
    <w:rsid w:val="00941CE4"/>
    <w:rsid w:val="00942AA8"/>
    <w:rsid w:val="00944245"/>
    <w:rsid w:val="009443C8"/>
    <w:rsid w:val="00944DA4"/>
    <w:rsid w:val="009465D0"/>
    <w:rsid w:val="00946ACE"/>
    <w:rsid w:val="0094772E"/>
    <w:rsid w:val="0095081F"/>
    <w:rsid w:val="0095164B"/>
    <w:rsid w:val="009524E9"/>
    <w:rsid w:val="00952975"/>
    <w:rsid w:val="0095310B"/>
    <w:rsid w:val="009542E0"/>
    <w:rsid w:val="009553BB"/>
    <w:rsid w:val="009562EF"/>
    <w:rsid w:val="009576D4"/>
    <w:rsid w:val="00957CA9"/>
    <w:rsid w:val="00963CFD"/>
    <w:rsid w:val="00964366"/>
    <w:rsid w:val="00964B66"/>
    <w:rsid w:val="0097068C"/>
    <w:rsid w:val="00972324"/>
    <w:rsid w:val="00973B4C"/>
    <w:rsid w:val="00974D8C"/>
    <w:rsid w:val="009759EE"/>
    <w:rsid w:val="00975E3C"/>
    <w:rsid w:val="00976CE3"/>
    <w:rsid w:val="00977203"/>
    <w:rsid w:val="0098069F"/>
    <w:rsid w:val="00980E07"/>
    <w:rsid w:val="00981831"/>
    <w:rsid w:val="00982720"/>
    <w:rsid w:val="00985FC1"/>
    <w:rsid w:val="0099185C"/>
    <w:rsid w:val="00991A79"/>
    <w:rsid w:val="00993655"/>
    <w:rsid w:val="009944CA"/>
    <w:rsid w:val="009A0301"/>
    <w:rsid w:val="009A1875"/>
    <w:rsid w:val="009A1D38"/>
    <w:rsid w:val="009A2AC2"/>
    <w:rsid w:val="009A4112"/>
    <w:rsid w:val="009A52BB"/>
    <w:rsid w:val="009B400B"/>
    <w:rsid w:val="009B4230"/>
    <w:rsid w:val="009B45E7"/>
    <w:rsid w:val="009B4B28"/>
    <w:rsid w:val="009C120B"/>
    <w:rsid w:val="009C18F3"/>
    <w:rsid w:val="009C44A6"/>
    <w:rsid w:val="009C5E9A"/>
    <w:rsid w:val="009D001E"/>
    <w:rsid w:val="009D04A0"/>
    <w:rsid w:val="009D21B2"/>
    <w:rsid w:val="009D271D"/>
    <w:rsid w:val="009D4F33"/>
    <w:rsid w:val="009D5227"/>
    <w:rsid w:val="009D6466"/>
    <w:rsid w:val="009D7062"/>
    <w:rsid w:val="009D7DAE"/>
    <w:rsid w:val="009E4672"/>
    <w:rsid w:val="009E4A9A"/>
    <w:rsid w:val="009E58A6"/>
    <w:rsid w:val="009E5A87"/>
    <w:rsid w:val="009E7D74"/>
    <w:rsid w:val="009F04C1"/>
    <w:rsid w:val="009F33BC"/>
    <w:rsid w:val="009F3482"/>
    <w:rsid w:val="009F37B2"/>
    <w:rsid w:val="00A000CE"/>
    <w:rsid w:val="00A01728"/>
    <w:rsid w:val="00A046C0"/>
    <w:rsid w:val="00A04780"/>
    <w:rsid w:val="00A134A8"/>
    <w:rsid w:val="00A14A88"/>
    <w:rsid w:val="00A15566"/>
    <w:rsid w:val="00A156E9"/>
    <w:rsid w:val="00A252AA"/>
    <w:rsid w:val="00A302A6"/>
    <w:rsid w:val="00A32BFD"/>
    <w:rsid w:val="00A3375B"/>
    <w:rsid w:val="00A33EED"/>
    <w:rsid w:val="00A34C58"/>
    <w:rsid w:val="00A35002"/>
    <w:rsid w:val="00A35526"/>
    <w:rsid w:val="00A37CE6"/>
    <w:rsid w:val="00A44352"/>
    <w:rsid w:val="00A4712B"/>
    <w:rsid w:val="00A47673"/>
    <w:rsid w:val="00A50390"/>
    <w:rsid w:val="00A507DE"/>
    <w:rsid w:val="00A50886"/>
    <w:rsid w:val="00A51413"/>
    <w:rsid w:val="00A527A1"/>
    <w:rsid w:val="00A52BDE"/>
    <w:rsid w:val="00A56C0D"/>
    <w:rsid w:val="00A571D5"/>
    <w:rsid w:val="00A60141"/>
    <w:rsid w:val="00A61110"/>
    <w:rsid w:val="00A62CAE"/>
    <w:rsid w:val="00A678C7"/>
    <w:rsid w:val="00A73740"/>
    <w:rsid w:val="00A73A3E"/>
    <w:rsid w:val="00A76732"/>
    <w:rsid w:val="00A77D98"/>
    <w:rsid w:val="00A81F18"/>
    <w:rsid w:val="00A835D5"/>
    <w:rsid w:val="00A90DF3"/>
    <w:rsid w:val="00A90EE5"/>
    <w:rsid w:val="00A97652"/>
    <w:rsid w:val="00AA15AB"/>
    <w:rsid w:val="00AA3BCB"/>
    <w:rsid w:val="00AA7C04"/>
    <w:rsid w:val="00AB27CE"/>
    <w:rsid w:val="00AB319F"/>
    <w:rsid w:val="00AB5133"/>
    <w:rsid w:val="00AB5F89"/>
    <w:rsid w:val="00AB7540"/>
    <w:rsid w:val="00AB764C"/>
    <w:rsid w:val="00AC1979"/>
    <w:rsid w:val="00AC2241"/>
    <w:rsid w:val="00AC2F9F"/>
    <w:rsid w:val="00AC4622"/>
    <w:rsid w:val="00AC5D62"/>
    <w:rsid w:val="00AD01DB"/>
    <w:rsid w:val="00AD0C30"/>
    <w:rsid w:val="00AD19E7"/>
    <w:rsid w:val="00AD5013"/>
    <w:rsid w:val="00AE11F7"/>
    <w:rsid w:val="00AE3277"/>
    <w:rsid w:val="00AE44D4"/>
    <w:rsid w:val="00AE58D8"/>
    <w:rsid w:val="00AE5D63"/>
    <w:rsid w:val="00AE77BB"/>
    <w:rsid w:val="00AF0200"/>
    <w:rsid w:val="00AF0CD0"/>
    <w:rsid w:val="00AF3000"/>
    <w:rsid w:val="00AF3CFF"/>
    <w:rsid w:val="00AF53A0"/>
    <w:rsid w:val="00AF5483"/>
    <w:rsid w:val="00AF59C8"/>
    <w:rsid w:val="00AF5F43"/>
    <w:rsid w:val="00B00DF4"/>
    <w:rsid w:val="00B01419"/>
    <w:rsid w:val="00B01593"/>
    <w:rsid w:val="00B0163F"/>
    <w:rsid w:val="00B05B24"/>
    <w:rsid w:val="00B05EA2"/>
    <w:rsid w:val="00B06016"/>
    <w:rsid w:val="00B11752"/>
    <w:rsid w:val="00B118C4"/>
    <w:rsid w:val="00B12DF0"/>
    <w:rsid w:val="00B13998"/>
    <w:rsid w:val="00B14B79"/>
    <w:rsid w:val="00B14E27"/>
    <w:rsid w:val="00B21994"/>
    <w:rsid w:val="00B23B26"/>
    <w:rsid w:val="00B263D4"/>
    <w:rsid w:val="00B3186B"/>
    <w:rsid w:val="00B3638F"/>
    <w:rsid w:val="00B41D28"/>
    <w:rsid w:val="00B43209"/>
    <w:rsid w:val="00B4505E"/>
    <w:rsid w:val="00B4788E"/>
    <w:rsid w:val="00B50C2A"/>
    <w:rsid w:val="00B51982"/>
    <w:rsid w:val="00B5568B"/>
    <w:rsid w:val="00B57127"/>
    <w:rsid w:val="00B60781"/>
    <w:rsid w:val="00B63E8C"/>
    <w:rsid w:val="00B66104"/>
    <w:rsid w:val="00B70456"/>
    <w:rsid w:val="00B7086D"/>
    <w:rsid w:val="00B716D8"/>
    <w:rsid w:val="00B71A74"/>
    <w:rsid w:val="00B72006"/>
    <w:rsid w:val="00B748A6"/>
    <w:rsid w:val="00B74EA0"/>
    <w:rsid w:val="00B80207"/>
    <w:rsid w:val="00B81788"/>
    <w:rsid w:val="00B86C97"/>
    <w:rsid w:val="00B90A16"/>
    <w:rsid w:val="00B918EF"/>
    <w:rsid w:val="00B930D0"/>
    <w:rsid w:val="00B9681C"/>
    <w:rsid w:val="00BA0309"/>
    <w:rsid w:val="00BA29D8"/>
    <w:rsid w:val="00BA2E82"/>
    <w:rsid w:val="00BA3617"/>
    <w:rsid w:val="00BA3A6F"/>
    <w:rsid w:val="00BA47E1"/>
    <w:rsid w:val="00BA4B57"/>
    <w:rsid w:val="00BA51C7"/>
    <w:rsid w:val="00BA6326"/>
    <w:rsid w:val="00BA6584"/>
    <w:rsid w:val="00BA6889"/>
    <w:rsid w:val="00BA7DA9"/>
    <w:rsid w:val="00BB1532"/>
    <w:rsid w:val="00BB18D9"/>
    <w:rsid w:val="00BB4527"/>
    <w:rsid w:val="00BB4F14"/>
    <w:rsid w:val="00BB5A67"/>
    <w:rsid w:val="00BB615C"/>
    <w:rsid w:val="00BB66F1"/>
    <w:rsid w:val="00BB6ABF"/>
    <w:rsid w:val="00BC05C6"/>
    <w:rsid w:val="00BC0F8C"/>
    <w:rsid w:val="00BC169A"/>
    <w:rsid w:val="00BC2BB4"/>
    <w:rsid w:val="00BC3308"/>
    <w:rsid w:val="00BC34E7"/>
    <w:rsid w:val="00BC4ED0"/>
    <w:rsid w:val="00BD2B55"/>
    <w:rsid w:val="00BD50F9"/>
    <w:rsid w:val="00BD564C"/>
    <w:rsid w:val="00BD5FB2"/>
    <w:rsid w:val="00BD62F1"/>
    <w:rsid w:val="00BD6F47"/>
    <w:rsid w:val="00BE1E22"/>
    <w:rsid w:val="00BE30CC"/>
    <w:rsid w:val="00BE4779"/>
    <w:rsid w:val="00BE6382"/>
    <w:rsid w:val="00BE783E"/>
    <w:rsid w:val="00BF26C2"/>
    <w:rsid w:val="00BF3084"/>
    <w:rsid w:val="00BF5012"/>
    <w:rsid w:val="00C0033B"/>
    <w:rsid w:val="00C00702"/>
    <w:rsid w:val="00C00A86"/>
    <w:rsid w:val="00C00EA3"/>
    <w:rsid w:val="00C013C9"/>
    <w:rsid w:val="00C02018"/>
    <w:rsid w:val="00C04E99"/>
    <w:rsid w:val="00C10385"/>
    <w:rsid w:val="00C1148C"/>
    <w:rsid w:val="00C115BA"/>
    <w:rsid w:val="00C12024"/>
    <w:rsid w:val="00C13A32"/>
    <w:rsid w:val="00C166CE"/>
    <w:rsid w:val="00C16D81"/>
    <w:rsid w:val="00C22BDD"/>
    <w:rsid w:val="00C23D85"/>
    <w:rsid w:val="00C25C72"/>
    <w:rsid w:val="00C26D8D"/>
    <w:rsid w:val="00C27A67"/>
    <w:rsid w:val="00C34E27"/>
    <w:rsid w:val="00C4098E"/>
    <w:rsid w:val="00C41473"/>
    <w:rsid w:val="00C41540"/>
    <w:rsid w:val="00C42076"/>
    <w:rsid w:val="00C45307"/>
    <w:rsid w:val="00C4543E"/>
    <w:rsid w:val="00C476C5"/>
    <w:rsid w:val="00C50066"/>
    <w:rsid w:val="00C5025C"/>
    <w:rsid w:val="00C536E1"/>
    <w:rsid w:val="00C53905"/>
    <w:rsid w:val="00C53B74"/>
    <w:rsid w:val="00C53D20"/>
    <w:rsid w:val="00C54E2E"/>
    <w:rsid w:val="00C57DCA"/>
    <w:rsid w:val="00C710C4"/>
    <w:rsid w:val="00C71CCF"/>
    <w:rsid w:val="00C81C21"/>
    <w:rsid w:val="00C82A0E"/>
    <w:rsid w:val="00C82C71"/>
    <w:rsid w:val="00C86745"/>
    <w:rsid w:val="00C87625"/>
    <w:rsid w:val="00C87EC8"/>
    <w:rsid w:val="00C9045B"/>
    <w:rsid w:val="00C95E81"/>
    <w:rsid w:val="00C96467"/>
    <w:rsid w:val="00CA0133"/>
    <w:rsid w:val="00CA2CAF"/>
    <w:rsid w:val="00CA3E16"/>
    <w:rsid w:val="00CA536C"/>
    <w:rsid w:val="00CA5EA0"/>
    <w:rsid w:val="00CA60D6"/>
    <w:rsid w:val="00CB0CC8"/>
    <w:rsid w:val="00CB357B"/>
    <w:rsid w:val="00CB4779"/>
    <w:rsid w:val="00CB6AA7"/>
    <w:rsid w:val="00CB7082"/>
    <w:rsid w:val="00CB723B"/>
    <w:rsid w:val="00CB7D87"/>
    <w:rsid w:val="00CC11D1"/>
    <w:rsid w:val="00CC2E7B"/>
    <w:rsid w:val="00CC3001"/>
    <w:rsid w:val="00CC3C6C"/>
    <w:rsid w:val="00CC4024"/>
    <w:rsid w:val="00CC4537"/>
    <w:rsid w:val="00CC46D6"/>
    <w:rsid w:val="00CC5003"/>
    <w:rsid w:val="00CD3981"/>
    <w:rsid w:val="00CD4562"/>
    <w:rsid w:val="00CD45B6"/>
    <w:rsid w:val="00CD5889"/>
    <w:rsid w:val="00CE74F2"/>
    <w:rsid w:val="00CE7D84"/>
    <w:rsid w:val="00CE7FEE"/>
    <w:rsid w:val="00CF230D"/>
    <w:rsid w:val="00CF2444"/>
    <w:rsid w:val="00CF244A"/>
    <w:rsid w:val="00CF4D5B"/>
    <w:rsid w:val="00D005E4"/>
    <w:rsid w:val="00D02EFE"/>
    <w:rsid w:val="00D0370E"/>
    <w:rsid w:val="00D040B6"/>
    <w:rsid w:val="00D1144B"/>
    <w:rsid w:val="00D16B45"/>
    <w:rsid w:val="00D207BF"/>
    <w:rsid w:val="00D20A1F"/>
    <w:rsid w:val="00D224BD"/>
    <w:rsid w:val="00D27CF1"/>
    <w:rsid w:val="00D31F74"/>
    <w:rsid w:val="00D32333"/>
    <w:rsid w:val="00D33E09"/>
    <w:rsid w:val="00D35253"/>
    <w:rsid w:val="00D3572F"/>
    <w:rsid w:val="00D375A0"/>
    <w:rsid w:val="00D416B4"/>
    <w:rsid w:val="00D43168"/>
    <w:rsid w:val="00D47579"/>
    <w:rsid w:val="00D540B5"/>
    <w:rsid w:val="00D5725F"/>
    <w:rsid w:val="00D57350"/>
    <w:rsid w:val="00D57CB7"/>
    <w:rsid w:val="00D60A89"/>
    <w:rsid w:val="00D615A3"/>
    <w:rsid w:val="00D63A13"/>
    <w:rsid w:val="00D67518"/>
    <w:rsid w:val="00D738C0"/>
    <w:rsid w:val="00D7540C"/>
    <w:rsid w:val="00D774D6"/>
    <w:rsid w:val="00D77875"/>
    <w:rsid w:val="00D77D1F"/>
    <w:rsid w:val="00D86025"/>
    <w:rsid w:val="00D86CAB"/>
    <w:rsid w:val="00D90AC6"/>
    <w:rsid w:val="00D93B29"/>
    <w:rsid w:val="00D944A4"/>
    <w:rsid w:val="00D946F5"/>
    <w:rsid w:val="00D94F32"/>
    <w:rsid w:val="00D95027"/>
    <w:rsid w:val="00DA00F0"/>
    <w:rsid w:val="00DA1B05"/>
    <w:rsid w:val="00DA3015"/>
    <w:rsid w:val="00DA3D7D"/>
    <w:rsid w:val="00DB03CA"/>
    <w:rsid w:val="00DB0726"/>
    <w:rsid w:val="00DB39A1"/>
    <w:rsid w:val="00DB5235"/>
    <w:rsid w:val="00DB5611"/>
    <w:rsid w:val="00DB58B8"/>
    <w:rsid w:val="00DB5AFC"/>
    <w:rsid w:val="00DC30D1"/>
    <w:rsid w:val="00DC3B45"/>
    <w:rsid w:val="00DC7572"/>
    <w:rsid w:val="00DD301D"/>
    <w:rsid w:val="00DD367C"/>
    <w:rsid w:val="00DD697D"/>
    <w:rsid w:val="00DD7BA4"/>
    <w:rsid w:val="00DE0C83"/>
    <w:rsid w:val="00DE174C"/>
    <w:rsid w:val="00DE2B9C"/>
    <w:rsid w:val="00DE2D2B"/>
    <w:rsid w:val="00DE47D5"/>
    <w:rsid w:val="00DE5822"/>
    <w:rsid w:val="00DE6B00"/>
    <w:rsid w:val="00DE7365"/>
    <w:rsid w:val="00DE769D"/>
    <w:rsid w:val="00DE7BBE"/>
    <w:rsid w:val="00DF061E"/>
    <w:rsid w:val="00DF1BAC"/>
    <w:rsid w:val="00DF2C59"/>
    <w:rsid w:val="00DF3061"/>
    <w:rsid w:val="00DF4F59"/>
    <w:rsid w:val="00E0230E"/>
    <w:rsid w:val="00E046A9"/>
    <w:rsid w:val="00E04B1D"/>
    <w:rsid w:val="00E055A9"/>
    <w:rsid w:val="00E062DC"/>
    <w:rsid w:val="00E10CC1"/>
    <w:rsid w:val="00E12D9B"/>
    <w:rsid w:val="00E1374B"/>
    <w:rsid w:val="00E160A0"/>
    <w:rsid w:val="00E1694C"/>
    <w:rsid w:val="00E21F1F"/>
    <w:rsid w:val="00E22D7B"/>
    <w:rsid w:val="00E233B0"/>
    <w:rsid w:val="00E25B06"/>
    <w:rsid w:val="00E25C82"/>
    <w:rsid w:val="00E271E8"/>
    <w:rsid w:val="00E2798D"/>
    <w:rsid w:val="00E30D16"/>
    <w:rsid w:val="00E32A21"/>
    <w:rsid w:val="00E33690"/>
    <w:rsid w:val="00E33B48"/>
    <w:rsid w:val="00E3402F"/>
    <w:rsid w:val="00E34AC8"/>
    <w:rsid w:val="00E35419"/>
    <w:rsid w:val="00E41772"/>
    <w:rsid w:val="00E41FB7"/>
    <w:rsid w:val="00E50667"/>
    <w:rsid w:val="00E5351F"/>
    <w:rsid w:val="00E54312"/>
    <w:rsid w:val="00E546AB"/>
    <w:rsid w:val="00E57138"/>
    <w:rsid w:val="00E57BDB"/>
    <w:rsid w:val="00E60D03"/>
    <w:rsid w:val="00E60D67"/>
    <w:rsid w:val="00E622F7"/>
    <w:rsid w:val="00E642F8"/>
    <w:rsid w:val="00E65B2D"/>
    <w:rsid w:val="00E66CC2"/>
    <w:rsid w:val="00E67199"/>
    <w:rsid w:val="00E7132F"/>
    <w:rsid w:val="00E71C97"/>
    <w:rsid w:val="00E721C0"/>
    <w:rsid w:val="00E7285F"/>
    <w:rsid w:val="00E736E7"/>
    <w:rsid w:val="00E74376"/>
    <w:rsid w:val="00E76A59"/>
    <w:rsid w:val="00E80376"/>
    <w:rsid w:val="00E804B9"/>
    <w:rsid w:val="00E81D92"/>
    <w:rsid w:val="00E82EE3"/>
    <w:rsid w:val="00E862B9"/>
    <w:rsid w:val="00E87ACE"/>
    <w:rsid w:val="00E921D5"/>
    <w:rsid w:val="00E93797"/>
    <w:rsid w:val="00E95AF6"/>
    <w:rsid w:val="00E96758"/>
    <w:rsid w:val="00E96D09"/>
    <w:rsid w:val="00E97187"/>
    <w:rsid w:val="00EA1F14"/>
    <w:rsid w:val="00EA2187"/>
    <w:rsid w:val="00EA395B"/>
    <w:rsid w:val="00EA3B1B"/>
    <w:rsid w:val="00EA5F56"/>
    <w:rsid w:val="00EA6A86"/>
    <w:rsid w:val="00EA6CC3"/>
    <w:rsid w:val="00EB2929"/>
    <w:rsid w:val="00EB44D4"/>
    <w:rsid w:val="00EB56A7"/>
    <w:rsid w:val="00EB61F5"/>
    <w:rsid w:val="00EC1957"/>
    <w:rsid w:val="00ED0E45"/>
    <w:rsid w:val="00ED2889"/>
    <w:rsid w:val="00ED31C9"/>
    <w:rsid w:val="00ED32F0"/>
    <w:rsid w:val="00ED611B"/>
    <w:rsid w:val="00ED7035"/>
    <w:rsid w:val="00EE1333"/>
    <w:rsid w:val="00EE1BDD"/>
    <w:rsid w:val="00EE2A5C"/>
    <w:rsid w:val="00EE3AC8"/>
    <w:rsid w:val="00EE5799"/>
    <w:rsid w:val="00EE57AD"/>
    <w:rsid w:val="00EE5EE4"/>
    <w:rsid w:val="00EF0995"/>
    <w:rsid w:val="00EF2A4A"/>
    <w:rsid w:val="00EF39D2"/>
    <w:rsid w:val="00EF3B6A"/>
    <w:rsid w:val="00EF641A"/>
    <w:rsid w:val="00EF6484"/>
    <w:rsid w:val="00F03EF8"/>
    <w:rsid w:val="00F03F09"/>
    <w:rsid w:val="00F04EF3"/>
    <w:rsid w:val="00F061CB"/>
    <w:rsid w:val="00F10E68"/>
    <w:rsid w:val="00F111EC"/>
    <w:rsid w:val="00F11356"/>
    <w:rsid w:val="00F118DF"/>
    <w:rsid w:val="00F1466B"/>
    <w:rsid w:val="00F1522C"/>
    <w:rsid w:val="00F16E50"/>
    <w:rsid w:val="00F242BC"/>
    <w:rsid w:val="00F253F9"/>
    <w:rsid w:val="00F2659D"/>
    <w:rsid w:val="00F26ABB"/>
    <w:rsid w:val="00F310AC"/>
    <w:rsid w:val="00F32ABF"/>
    <w:rsid w:val="00F33D3F"/>
    <w:rsid w:val="00F35911"/>
    <w:rsid w:val="00F375C6"/>
    <w:rsid w:val="00F42BDE"/>
    <w:rsid w:val="00F43C23"/>
    <w:rsid w:val="00F43C58"/>
    <w:rsid w:val="00F453E5"/>
    <w:rsid w:val="00F45A17"/>
    <w:rsid w:val="00F5089C"/>
    <w:rsid w:val="00F52873"/>
    <w:rsid w:val="00F52AD0"/>
    <w:rsid w:val="00F52C4A"/>
    <w:rsid w:val="00F53182"/>
    <w:rsid w:val="00F53644"/>
    <w:rsid w:val="00F5373A"/>
    <w:rsid w:val="00F541ED"/>
    <w:rsid w:val="00F56760"/>
    <w:rsid w:val="00F61B92"/>
    <w:rsid w:val="00F627D5"/>
    <w:rsid w:val="00F70ACD"/>
    <w:rsid w:val="00F73591"/>
    <w:rsid w:val="00F73C16"/>
    <w:rsid w:val="00F74D9E"/>
    <w:rsid w:val="00F81924"/>
    <w:rsid w:val="00F8415C"/>
    <w:rsid w:val="00F84B0C"/>
    <w:rsid w:val="00F868B2"/>
    <w:rsid w:val="00F874F9"/>
    <w:rsid w:val="00F87A8D"/>
    <w:rsid w:val="00F90665"/>
    <w:rsid w:val="00F930BE"/>
    <w:rsid w:val="00F93F20"/>
    <w:rsid w:val="00F954DD"/>
    <w:rsid w:val="00F967AE"/>
    <w:rsid w:val="00FA125B"/>
    <w:rsid w:val="00FA332C"/>
    <w:rsid w:val="00FA4B7C"/>
    <w:rsid w:val="00FA600C"/>
    <w:rsid w:val="00FA7123"/>
    <w:rsid w:val="00FA74A4"/>
    <w:rsid w:val="00FB4AA1"/>
    <w:rsid w:val="00FB5F03"/>
    <w:rsid w:val="00FB6AF3"/>
    <w:rsid w:val="00FB74C3"/>
    <w:rsid w:val="00FC035F"/>
    <w:rsid w:val="00FC13AD"/>
    <w:rsid w:val="00FC13FE"/>
    <w:rsid w:val="00FC487A"/>
    <w:rsid w:val="00FC597E"/>
    <w:rsid w:val="00FC68E4"/>
    <w:rsid w:val="00FC772B"/>
    <w:rsid w:val="00FD21AE"/>
    <w:rsid w:val="00FE09A3"/>
    <w:rsid w:val="00FE0AF2"/>
    <w:rsid w:val="00FE21C8"/>
    <w:rsid w:val="00FE41DE"/>
    <w:rsid w:val="00FE4CBA"/>
    <w:rsid w:val="00FE6F31"/>
    <w:rsid w:val="00FF0B04"/>
    <w:rsid w:val="00FF16B2"/>
    <w:rsid w:val="00FF2A20"/>
    <w:rsid w:val="00FF5184"/>
    <w:rsid w:val="00FF54D8"/>
    <w:rsid w:val="00FF59C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D8"/>
    <w:rPr>
      <w:rFonts w:ascii="Times New Roman" w:hAnsi="Times New Roman"/>
      <w:sz w:val="24"/>
      <w:szCs w:val="24"/>
    </w:rPr>
  </w:style>
  <w:style w:type="paragraph" w:styleId="Heading1">
    <w:name w:val="heading 1"/>
    <w:basedOn w:val="Normal"/>
    <w:next w:val="Normal"/>
    <w:link w:val="Heading1Char"/>
    <w:uiPriority w:val="99"/>
    <w:qFormat/>
    <w:rsid w:val="00625132"/>
    <w:pPr>
      <w:keepNext/>
      <w:spacing w:before="60"/>
      <w:jc w:val="center"/>
      <w:outlineLvl w:val="0"/>
    </w:pPr>
    <w:rPr>
      <w:b/>
      <w:kern w:val="28"/>
      <w:sz w:val="30"/>
    </w:rPr>
  </w:style>
  <w:style w:type="paragraph" w:styleId="Heading2">
    <w:name w:val="heading 2"/>
    <w:basedOn w:val="Normal"/>
    <w:next w:val="Normal"/>
    <w:link w:val="Heading2Char"/>
    <w:uiPriority w:val="99"/>
    <w:qFormat/>
    <w:rsid w:val="00625132"/>
    <w:pPr>
      <w:keepNext/>
      <w:spacing w:before="60" w:after="160"/>
      <w:outlineLvl w:val="1"/>
    </w:pPr>
    <w:rPr>
      <w:b/>
      <w:sz w:val="26"/>
    </w:rPr>
  </w:style>
  <w:style w:type="paragraph" w:styleId="Heading3">
    <w:name w:val="heading 3"/>
    <w:basedOn w:val="Normal"/>
    <w:next w:val="Normal"/>
    <w:link w:val="Heading3Char"/>
    <w:uiPriority w:val="99"/>
    <w:qFormat/>
    <w:rsid w:val="00625132"/>
    <w:pPr>
      <w:keepNext/>
      <w:spacing w:before="60" w:after="160" w:line="240" w:lineRule="atLeast"/>
      <w:outlineLvl w:val="2"/>
    </w:pPr>
    <w:rPr>
      <w:b/>
      <w:i/>
      <w:sz w:val="22"/>
    </w:rPr>
  </w:style>
  <w:style w:type="paragraph" w:styleId="Heading4">
    <w:name w:val="heading 4"/>
    <w:basedOn w:val="Normal"/>
    <w:next w:val="Normal"/>
    <w:link w:val="Heading4Char"/>
    <w:uiPriority w:val="99"/>
    <w:qFormat/>
    <w:rsid w:val="00625132"/>
    <w:pPr>
      <w:keepNext/>
      <w:outlineLvl w:val="3"/>
    </w:pPr>
    <w:rPr>
      <w:b/>
    </w:rPr>
  </w:style>
  <w:style w:type="paragraph" w:styleId="Heading5">
    <w:name w:val="heading 5"/>
    <w:basedOn w:val="Normal"/>
    <w:next w:val="Normal"/>
    <w:link w:val="Heading5Char"/>
    <w:uiPriority w:val="99"/>
    <w:qFormat/>
    <w:rsid w:val="00625132"/>
    <w:pPr>
      <w:spacing w:before="240" w:after="60"/>
      <w:outlineLvl w:val="4"/>
    </w:pPr>
    <w:rPr>
      <w:b/>
      <w:iCs/>
      <w:kern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5132"/>
    <w:rPr>
      <w:rFonts w:ascii="Times New Roman" w:hAnsi="Times New Roman" w:cs="Times New Roman"/>
      <w:b/>
      <w:kern w:val="28"/>
      <w:sz w:val="20"/>
      <w:szCs w:val="20"/>
    </w:rPr>
  </w:style>
  <w:style w:type="character" w:customStyle="1" w:styleId="Heading2Char">
    <w:name w:val="Heading 2 Char"/>
    <w:basedOn w:val="DefaultParagraphFont"/>
    <w:link w:val="Heading2"/>
    <w:uiPriority w:val="99"/>
    <w:locked/>
    <w:rsid w:val="00625132"/>
    <w:rPr>
      <w:rFonts w:ascii="Times New Roman" w:hAnsi="Times New Roman" w:cs="Times New Roman"/>
      <w:b/>
      <w:sz w:val="20"/>
      <w:szCs w:val="20"/>
    </w:rPr>
  </w:style>
  <w:style w:type="character" w:customStyle="1" w:styleId="Heading3Char">
    <w:name w:val="Heading 3 Char"/>
    <w:basedOn w:val="DefaultParagraphFont"/>
    <w:link w:val="Heading3"/>
    <w:uiPriority w:val="99"/>
    <w:locked/>
    <w:rsid w:val="00625132"/>
    <w:rPr>
      <w:rFonts w:ascii="Times New Roman" w:hAnsi="Times New Roman" w:cs="Times New Roman"/>
      <w:b/>
      <w:i/>
      <w:sz w:val="20"/>
      <w:szCs w:val="20"/>
    </w:rPr>
  </w:style>
  <w:style w:type="character" w:customStyle="1" w:styleId="Heading4Char">
    <w:name w:val="Heading 4 Char"/>
    <w:basedOn w:val="DefaultParagraphFont"/>
    <w:link w:val="Heading4"/>
    <w:uiPriority w:val="99"/>
    <w:locked/>
    <w:rsid w:val="00625132"/>
    <w:rPr>
      <w:rFonts w:ascii="Times New Roman" w:hAnsi="Times New Roman" w:cs="Times New Roman"/>
      <w:b/>
      <w:sz w:val="20"/>
      <w:szCs w:val="20"/>
    </w:rPr>
  </w:style>
  <w:style w:type="character" w:customStyle="1" w:styleId="Heading5Char">
    <w:name w:val="Heading 5 Char"/>
    <w:basedOn w:val="DefaultParagraphFont"/>
    <w:link w:val="Heading5"/>
    <w:uiPriority w:val="99"/>
    <w:locked/>
    <w:rsid w:val="00625132"/>
    <w:rPr>
      <w:rFonts w:ascii="Times New Roman" w:hAnsi="Times New Roman" w:cs="Times New Roman"/>
      <w:b/>
      <w:iCs/>
      <w:kern w:val="28"/>
      <w:sz w:val="26"/>
      <w:szCs w:val="26"/>
      <w:lang w:eastAsia="en-AU"/>
    </w:rPr>
  </w:style>
  <w:style w:type="paragraph" w:styleId="Footer">
    <w:name w:val="footer"/>
    <w:basedOn w:val="Normal"/>
    <w:link w:val="FooterChar"/>
    <w:uiPriority w:val="99"/>
    <w:rsid w:val="00625132"/>
    <w:pPr>
      <w:widowControl w:val="0"/>
      <w:tabs>
        <w:tab w:val="right" w:pos="7371"/>
        <w:tab w:val="right" w:pos="8306"/>
      </w:tabs>
    </w:pPr>
    <w:rPr>
      <w:sz w:val="16"/>
    </w:rPr>
  </w:style>
  <w:style w:type="character" w:customStyle="1" w:styleId="FooterChar">
    <w:name w:val="Footer Char"/>
    <w:basedOn w:val="DefaultParagraphFont"/>
    <w:link w:val="Footer"/>
    <w:uiPriority w:val="99"/>
    <w:locked/>
    <w:rsid w:val="00625132"/>
    <w:rPr>
      <w:rFonts w:ascii="Times New Roman" w:hAnsi="Times New Roman" w:cs="Times New Roman"/>
      <w:sz w:val="20"/>
      <w:szCs w:val="20"/>
    </w:rPr>
  </w:style>
  <w:style w:type="paragraph" w:styleId="Header">
    <w:name w:val="header"/>
    <w:basedOn w:val="Normal"/>
    <w:link w:val="HeaderChar"/>
    <w:uiPriority w:val="99"/>
    <w:rsid w:val="00625132"/>
    <w:pPr>
      <w:tabs>
        <w:tab w:val="center" w:pos="4153"/>
        <w:tab w:val="right" w:pos="8306"/>
      </w:tabs>
    </w:pPr>
  </w:style>
  <w:style w:type="character" w:customStyle="1" w:styleId="HeaderChar">
    <w:name w:val="Header Char"/>
    <w:basedOn w:val="DefaultParagraphFont"/>
    <w:link w:val="Header"/>
    <w:uiPriority w:val="99"/>
    <w:locked/>
    <w:rsid w:val="00625132"/>
    <w:rPr>
      <w:rFonts w:ascii="Times New Roman" w:hAnsi="Times New Roman" w:cs="Times New Roman"/>
      <w:sz w:val="20"/>
      <w:szCs w:val="20"/>
    </w:rPr>
  </w:style>
  <w:style w:type="character" w:styleId="PageNumber">
    <w:name w:val="page number"/>
    <w:basedOn w:val="DefaultParagraphFont"/>
    <w:uiPriority w:val="99"/>
    <w:rsid w:val="007B79B9"/>
    <w:rPr>
      <w:rFonts w:ascii="Times New Roman" w:hAnsi="Times New Roman" w:cs="Times New Roman"/>
      <w:sz w:val="16"/>
    </w:rPr>
  </w:style>
  <w:style w:type="character" w:styleId="CommentReference">
    <w:name w:val="annotation reference"/>
    <w:basedOn w:val="DefaultParagraphFont"/>
    <w:uiPriority w:val="99"/>
    <w:semiHidden/>
    <w:rsid w:val="00C4098E"/>
    <w:rPr>
      <w:rFonts w:cs="Times New Roman"/>
      <w:sz w:val="16"/>
      <w:szCs w:val="16"/>
    </w:rPr>
  </w:style>
  <w:style w:type="paragraph" w:styleId="CommentText">
    <w:name w:val="annotation text"/>
    <w:basedOn w:val="Normal"/>
    <w:link w:val="CommentTextChar"/>
    <w:uiPriority w:val="99"/>
    <w:rsid w:val="00C4098E"/>
    <w:rPr>
      <w:sz w:val="20"/>
    </w:rPr>
  </w:style>
  <w:style w:type="character" w:customStyle="1" w:styleId="CommentTextChar">
    <w:name w:val="Comment Text Char"/>
    <w:basedOn w:val="DefaultParagraphFont"/>
    <w:link w:val="CommentText"/>
    <w:uiPriority w:val="99"/>
    <w:locked/>
    <w:rsid w:val="00C4098E"/>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C4098E"/>
    <w:rPr>
      <w:b/>
      <w:bCs/>
    </w:rPr>
  </w:style>
  <w:style w:type="character" w:customStyle="1" w:styleId="CommentSubjectChar">
    <w:name w:val="Comment Subject Char"/>
    <w:basedOn w:val="CommentTextChar"/>
    <w:link w:val="CommentSubject"/>
    <w:uiPriority w:val="99"/>
    <w:semiHidden/>
    <w:locked/>
    <w:rsid w:val="00C4098E"/>
    <w:rPr>
      <w:b/>
      <w:bCs/>
    </w:rPr>
  </w:style>
  <w:style w:type="paragraph" w:styleId="Revision">
    <w:name w:val="Revision"/>
    <w:hidden/>
    <w:uiPriority w:val="99"/>
    <w:semiHidden/>
    <w:rsid w:val="00C4098E"/>
    <w:rPr>
      <w:rFonts w:ascii="Times New Roman" w:hAnsi="Times New Roman"/>
      <w:sz w:val="24"/>
      <w:szCs w:val="20"/>
    </w:rPr>
  </w:style>
  <w:style w:type="paragraph" w:styleId="BalloonText">
    <w:name w:val="Balloon Text"/>
    <w:basedOn w:val="Normal"/>
    <w:link w:val="BalloonTextChar"/>
    <w:uiPriority w:val="99"/>
    <w:semiHidden/>
    <w:rsid w:val="00C409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098E"/>
    <w:rPr>
      <w:rFonts w:ascii="Tahoma" w:hAnsi="Tahoma" w:cs="Tahoma"/>
      <w:sz w:val="16"/>
      <w:szCs w:val="16"/>
      <w:lang w:eastAsia="en-AU"/>
    </w:rPr>
  </w:style>
  <w:style w:type="paragraph" w:customStyle="1" w:styleId="HeaderBoldEven">
    <w:name w:val="HeaderBoldEven"/>
    <w:basedOn w:val="Normal"/>
    <w:uiPriority w:val="99"/>
    <w:rsid w:val="00BA29D8"/>
    <w:pPr>
      <w:spacing w:before="120" w:after="60"/>
    </w:pPr>
    <w:rPr>
      <w:rFonts w:ascii="Arial" w:hAnsi="Arial"/>
      <w:b/>
      <w:sz w:val="20"/>
    </w:rPr>
  </w:style>
  <w:style w:type="paragraph" w:customStyle="1" w:styleId="HeaderLiteEven">
    <w:name w:val="HeaderLiteEven"/>
    <w:basedOn w:val="Normal"/>
    <w:uiPriority w:val="99"/>
    <w:rsid w:val="00BA29D8"/>
    <w:pPr>
      <w:tabs>
        <w:tab w:val="center" w:pos="3969"/>
        <w:tab w:val="right" w:pos="8505"/>
      </w:tabs>
      <w:spacing w:before="60"/>
    </w:pPr>
    <w:rPr>
      <w:rFonts w:ascii="Arial" w:hAnsi="Arial"/>
      <w:sz w:val="18"/>
    </w:rPr>
  </w:style>
  <w:style w:type="paragraph" w:customStyle="1" w:styleId="FooterInfo">
    <w:name w:val="FooterInfo"/>
    <w:basedOn w:val="Normal"/>
    <w:uiPriority w:val="99"/>
    <w:rsid w:val="00BA29D8"/>
    <w:rPr>
      <w:rFonts w:ascii="Arial" w:hAnsi="Arial"/>
      <w:sz w:val="12"/>
    </w:rPr>
  </w:style>
  <w:style w:type="table" w:styleId="TableGrid">
    <w:name w:val="Table Grid"/>
    <w:basedOn w:val="TableNormal"/>
    <w:uiPriority w:val="99"/>
    <w:rsid w:val="00BA29D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BA29D8"/>
    <w:pPr>
      <w:spacing w:before="480"/>
    </w:pPr>
    <w:rPr>
      <w:rFonts w:ascii="Arial" w:hAnsi="Arial" w:cs="Arial"/>
      <w:b/>
      <w:bCs/>
      <w:sz w:val="40"/>
      <w:szCs w:val="40"/>
    </w:rPr>
  </w:style>
  <w:style w:type="character" w:customStyle="1" w:styleId="TitleChar">
    <w:name w:val="Title Char"/>
    <w:basedOn w:val="DefaultParagraphFont"/>
    <w:link w:val="Title"/>
    <w:uiPriority w:val="99"/>
    <w:locked/>
    <w:rsid w:val="00BA29D8"/>
    <w:rPr>
      <w:rFonts w:ascii="Arial" w:hAnsi="Arial" w:cs="Arial"/>
      <w:b/>
      <w:bCs/>
      <w:sz w:val="40"/>
      <w:szCs w:val="40"/>
      <w:lang w:eastAsia="en-AU"/>
    </w:rPr>
  </w:style>
  <w:style w:type="paragraph" w:customStyle="1" w:styleId="A1S">
    <w:name w:val="A1S"/>
    <w:aliases w:val="1.Schedule Amendment"/>
    <w:basedOn w:val="Normal"/>
    <w:next w:val="A2S"/>
    <w:uiPriority w:val="99"/>
    <w:rsid w:val="00BA29D8"/>
    <w:pPr>
      <w:keepNext/>
      <w:keepLines/>
      <w:spacing w:before="480" w:line="260" w:lineRule="exact"/>
      <w:ind w:left="964" w:hanging="964"/>
    </w:pPr>
    <w:rPr>
      <w:rFonts w:ascii="Arial" w:hAnsi="Arial"/>
      <w:b/>
    </w:rPr>
  </w:style>
  <w:style w:type="paragraph" w:customStyle="1" w:styleId="A2S">
    <w:name w:val="A2S"/>
    <w:aliases w:val="Schedule Inst Amendment"/>
    <w:basedOn w:val="Normal"/>
    <w:next w:val="A3S"/>
    <w:uiPriority w:val="99"/>
    <w:rsid w:val="00BA29D8"/>
    <w:pPr>
      <w:keepNext/>
      <w:spacing w:before="120" w:line="260" w:lineRule="exact"/>
      <w:ind w:left="964"/>
    </w:pPr>
    <w:rPr>
      <w:i/>
    </w:rPr>
  </w:style>
  <w:style w:type="paragraph" w:customStyle="1" w:styleId="A3S">
    <w:name w:val="A3S"/>
    <w:aliases w:val="Schedule Amendment"/>
    <w:basedOn w:val="Normal"/>
    <w:next w:val="A1S"/>
    <w:uiPriority w:val="99"/>
    <w:rsid w:val="00BA29D8"/>
    <w:pPr>
      <w:spacing w:before="60" w:line="260" w:lineRule="exact"/>
      <w:ind w:left="1247"/>
      <w:jc w:val="both"/>
    </w:pPr>
  </w:style>
  <w:style w:type="character" w:customStyle="1" w:styleId="CharAmSchNo">
    <w:name w:val="CharAmSchNo"/>
    <w:basedOn w:val="DefaultParagraphFont"/>
    <w:uiPriority w:val="99"/>
    <w:rsid w:val="00BA29D8"/>
    <w:rPr>
      <w:rFonts w:cs="Times New Roman"/>
    </w:rPr>
  </w:style>
  <w:style w:type="character" w:customStyle="1" w:styleId="CharDivNo">
    <w:name w:val="CharDivNo"/>
    <w:basedOn w:val="DefaultParagraphFont"/>
    <w:uiPriority w:val="99"/>
    <w:rsid w:val="00BA29D8"/>
    <w:rPr>
      <w:rFonts w:cs="Times New Roman"/>
    </w:rPr>
  </w:style>
  <w:style w:type="character" w:customStyle="1" w:styleId="CharDivText">
    <w:name w:val="CharDivText"/>
    <w:basedOn w:val="DefaultParagraphFont"/>
    <w:uiPriority w:val="99"/>
    <w:rsid w:val="00BA29D8"/>
    <w:rPr>
      <w:rFonts w:cs="Times New Roman"/>
    </w:rPr>
  </w:style>
  <w:style w:type="character" w:customStyle="1" w:styleId="CharPartNo">
    <w:name w:val="CharPartNo"/>
    <w:basedOn w:val="DefaultParagraphFont"/>
    <w:uiPriority w:val="99"/>
    <w:rsid w:val="00BA29D8"/>
    <w:rPr>
      <w:rFonts w:cs="Times New Roman"/>
    </w:rPr>
  </w:style>
  <w:style w:type="character" w:customStyle="1" w:styleId="CharPartText">
    <w:name w:val="CharPartText"/>
    <w:basedOn w:val="DefaultParagraphFont"/>
    <w:uiPriority w:val="99"/>
    <w:rsid w:val="00BA29D8"/>
    <w:rPr>
      <w:rFonts w:cs="Times New Roman"/>
    </w:rPr>
  </w:style>
  <w:style w:type="character" w:customStyle="1" w:styleId="CharSchPTNo">
    <w:name w:val="CharSchPTNo"/>
    <w:basedOn w:val="DefaultParagraphFont"/>
    <w:uiPriority w:val="99"/>
    <w:rsid w:val="00BA29D8"/>
    <w:rPr>
      <w:rFonts w:cs="Times New Roman"/>
    </w:rPr>
  </w:style>
  <w:style w:type="character" w:customStyle="1" w:styleId="CharSchPTText">
    <w:name w:val="CharSchPTText"/>
    <w:basedOn w:val="DefaultParagraphFont"/>
    <w:uiPriority w:val="99"/>
    <w:rsid w:val="00BA29D8"/>
    <w:rPr>
      <w:rFonts w:cs="Times New Roman"/>
    </w:rPr>
  </w:style>
  <w:style w:type="character" w:customStyle="1" w:styleId="CharSectno">
    <w:name w:val="CharSectno"/>
    <w:basedOn w:val="DefaultParagraphFont"/>
    <w:uiPriority w:val="99"/>
    <w:rsid w:val="00BA29D8"/>
    <w:rPr>
      <w:rFonts w:cs="Times New Roman"/>
    </w:rPr>
  </w:style>
  <w:style w:type="paragraph" w:customStyle="1" w:styleId="HR">
    <w:name w:val="HR"/>
    <w:aliases w:val="Regulation Heading"/>
    <w:basedOn w:val="Normal"/>
    <w:next w:val="R1"/>
    <w:uiPriority w:val="99"/>
    <w:rsid w:val="00BA29D8"/>
    <w:pPr>
      <w:keepNext/>
      <w:keepLines/>
      <w:spacing w:before="360"/>
      <w:ind w:left="964" w:hanging="964"/>
    </w:pPr>
    <w:rPr>
      <w:rFonts w:ascii="Arial" w:hAnsi="Arial"/>
      <w:b/>
    </w:rPr>
  </w:style>
  <w:style w:type="paragraph" w:customStyle="1" w:styleId="R1">
    <w:name w:val="R1"/>
    <w:aliases w:val="1. or 1.(1)"/>
    <w:basedOn w:val="Normal"/>
    <w:next w:val="Normal"/>
    <w:uiPriority w:val="99"/>
    <w:rsid w:val="00BA29D8"/>
    <w:pPr>
      <w:keepLines/>
      <w:tabs>
        <w:tab w:val="right" w:pos="794"/>
      </w:tabs>
      <w:spacing w:before="120" w:line="260" w:lineRule="exact"/>
      <w:ind w:left="964" w:hanging="964"/>
      <w:jc w:val="both"/>
    </w:pPr>
  </w:style>
  <w:style w:type="paragraph" w:customStyle="1" w:styleId="Note">
    <w:name w:val="Note"/>
    <w:basedOn w:val="Normal"/>
    <w:link w:val="NoteChar"/>
    <w:uiPriority w:val="99"/>
    <w:rsid w:val="00BA29D8"/>
    <w:pPr>
      <w:keepLines/>
      <w:spacing w:before="120" w:line="220" w:lineRule="exact"/>
      <w:ind w:left="964"/>
      <w:jc w:val="both"/>
    </w:pPr>
    <w:rPr>
      <w:sz w:val="20"/>
    </w:rPr>
  </w:style>
  <w:style w:type="character" w:customStyle="1" w:styleId="NoteChar">
    <w:name w:val="Note Char"/>
    <w:basedOn w:val="DefaultParagraphFont"/>
    <w:link w:val="Note"/>
    <w:uiPriority w:val="99"/>
    <w:locked/>
    <w:rsid w:val="00BA29D8"/>
    <w:rPr>
      <w:rFonts w:ascii="Times New Roman" w:hAnsi="Times New Roman" w:cs="Times New Roman"/>
      <w:sz w:val="24"/>
      <w:szCs w:val="24"/>
      <w:lang w:eastAsia="en-AU"/>
    </w:rPr>
  </w:style>
  <w:style w:type="paragraph" w:customStyle="1" w:styleId="Notepara">
    <w:name w:val="Note para"/>
    <w:basedOn w:val="Normal"/>
    <w:link w:val="NoteparaChar"/>
    <w:uiPriority w:val="99"/>
    <w:rsid w:val="00BA29D8"/>
    <w:pPr>
      <w:keepLines/>
      <w:spacing w:before="60" w:line="220" w:lineRule="exact"/>
      <w:ind w:left="1304" w:hanging="340"/>
      <w:jc w:val="both"/>
    </w:pPr>
    <w:rPr>
      <w:sz w:val="20"/>
    </w:rPr>
  </w:style>
  <w:style w:type="character" w:customStyle="1" w:styleId="NoteparaChar">
    <w:name w:val="Note para Char"/>
    <w:basedOn w:val="DefaultParagraphFont"/>
    <w:link w:val="Notepara"/>
    <w:uiPriority w:val="99"/>
    <w:locked/>
    <w:rsid w:val="00BA29D8"/>
    <w:rPr>
      <w:rFonts w:ascii="Times New Roman" w:hAnsi="Times New Roman" w:cs="Times New Roman"/>
      <w:sz w:val="24"/>
      <w:szCs w:val="24"/>
      <w:lang w:eastAsia="en-AU"/>
    </w:rPr>
  </w:style>
  <w:style w:type="paragraph" w:customStyle="1" w:styleId="FooterCitation">
    <w:name w:val="FooterCitation"/>
    <w:basedOn w:val="Footer"/>
    <w:uiPriority w:val="99"/>
    <w:rsid w:val="00BA29D8"/>
    <w:pPr>
      <w:widowControl/>
      <w:tabs>
        <w:tab w:val="clear" w:pos="7371"/>
        <w:tab w:val="center" w:pos="4153"/>
      </w:tabs>
      <w:spacing w:before="20" w:line="240" w:lineRule="exact"/>
      <w:jc w:val="center"/>
    </w:pPr>
    <w:rPr>
      <w:rFonts w:ascii="Arial" w:hAnsi="Arial"/>
      <w:i/>
      <w:sz w:val="18"/>
    </w:rPr>
  </w:style>
  <w:style w:type="paragraph" w:customStyle="1" w:styleId="Schedulereference">
    <w:name w:val="Schedule reference"/>
    <w:basedOn w:val="Normal"/>
    <w:next w:val="Normal"/>
    <w:uiPriority w:val="99"/>
    <w:rsid w:val="00BA29D8"/>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BA29D8"/>
    <w:pPr>
      <w:keepNext/>
      <w:keepLines/>
      <w:spacing w:before="480"/>
      <w:ind w:left="2410" w:hanging="2410"/>
    </w:pPr>
    <w:rPr>
      <w:rFonts w:ascii="Arial" w:hAnsi="Arial"/>
      <w:b/>
      <w:sz w:val="32"/>
    </w:rPr>
  </w:style>
  <w:style w:type="paragraph" w:customStyle="1" w:styleId="ZNote">
    <w:name w:val="ZNote"/>
    <w:basedOn w:val="Note"/>
    <w:link w:val="ZNoteChar"/>
    <w:uiPriority w:val="99"/>
    <w:rsid w:val="00BA29D8"/>
    <w:pPr>
      <w:keepNext/>
    </w:pPr>
  </w:style>
  <w:style w:type="character" w:customStyle="1" w:styleId="ZNoteChar">
    <w:name w:val="ZNote Char"/>
    <w:basedOn w:val="DefaultParagraphFont"/>
    <w:link w:val="ZNote"/>
    <w:uiPriority w:val="99"/>
    <w:locked/>
    <w:rsid w:val="00BA29D8"/>
    <w:rPr>
      <w:rFonts w:ascii="Times New Roman" w:hAnsi="Times New Roman" w:cs="Times New Roman"/>
      <w:sz w:val="24"/>
      <w:szCs w:val="24"/>
      <w:lang w:eastAsia="en-AU"/>
    </w:rPr>
  </w:style>
  <w:style w:type="paragraph" w:customStyle="1" w:styleId="R2">
    <w:name w:val="R2"/>
    <w:aliases w:val="(2)"/>
    <w:basedOn w:val="Normal"/>
    <w:uiPriority w:val="99"/>
    <w:rsid w:val="004A199B"/>
    <w:pPr>
      <w:keepLines/>
      <w:spacing w:before="180"/>
      <w:ind w:left="964"/>
      <w:jc w:val="both"/>
    </w:pPr>
  </w:style>
  <w:style w:type="paragraph" w:customStyle="1" w:styleId="DOFATableRight">
    <w:name w:val="DOFATableRight"/>
    <w:basedOn w:val="Normal"/>
    <w:uiPriority w:val="99"/>
    <w:rsid w:val="00BA29D8"/>
    <w:pPr>
      <w:jc w:val="right"/>
    </w:pPr>
    <w:rPr>
      <w:rFonts w:ascii="Arial" w:hAnsi="Arial"/>
      <w:color w:val="000000"/>
      <w:sz w:val="16"/>
      <w:szCs w:val="20"/>
      <w:lang w:eastAsia="en-US"/>
    </w:rPr>
  </w:style>
  <w:style w:type="paragraph" w:customStyle="1" w:styleId="KeyItalic">
    <w:name w:val="Key Italic"/>
    <w:basedOn w:val="Normal"/>
    <w:uiPriority w:val="99"/>
    <w:rsid w:val="00BA29D8"/>
    <w:pPr>
      <w:jc w:val="center"/>
    </w:pPr>
    <w:rPr>
      <w:rFonts w:ascii="Arial" w:hAnsi="Arial" w:cs="Arial"/>
      <w:i/>
      <w:iCs/>
      <w:sz w:val="16"/>
      <w:szCs w:val="16"/>
      <w:lang w:eastAsia="en-US"/>
    </w:rPr>
  </w:style>
  <w:style w:type="paragraph" w:customStyle="1" w:styleId="ChartHeader">
    <w:name w:val="Chart Header"/>
    <w:basedOn w:val="Normal"/>
    <w:uiPriority w:val="99"/>
    <w:rsid w:val="00BA29D8"/>
    <w:pPr>
      <w:jc w:val="center"/>
    </w:pPr>
    <w:rPr>
      <w:rFonts w:ascii="Arial" w:hAnsi="Arial" w:cs="Arial"/>
      <w:b/>
      <w:bCs/>
      <w:caps/>
      <w:sz w:val="22"/>
      <w:szCs w:val="22"/>
      <w:lang w:eastAsia="en-US"/>
    </w:rPr>
  </w:style>
  <w:style w:type="paragraph" w:customStyle="1" w:styleId="KeyLight">
    <w:name w:val="Key Light"/>
    <w:basedOn w:val="Normal"/>
    <w:uiPriority w:val="99"/>
    <w:rsid w:val="00BA29D8"/>
    <w:pPr>
      <w:spacing w:before="240"/>
      <w:jc w:val="center"/>
    </w:pPr>
    <w:rPr>
      <w:rFonts w:ascii="Arial" w:hAnsi="Arial" w:cs="Arial"/>
      <w:sz w:val="16"/>
      <w:szCs w:val="16"/>
      <w:lang w:eastAsia="en-US"/>
    </w:rPr>
  </w:style>
  <w:style w:type="character" w:styleId="PlaceholderText">
    <w:name w:val="Placeholder Text"/>
    <w:basedOn w:val="DefaultParagraphFont"/>
    <w:uiPriority w:val="99"/>
    <w:semiHidden/>
    <w:rsid w:val="009B4B28"/>
    <w:rPr>
      <w:rFonts w:cs="Times New Roman"/>
      <w:color w:val="808080"/>
    </w:rPr>
  </w:style>
  <w:style w:type="character" w:customStyle="1" w:styleId="ItalicText">
    <w:name w:val="ItalicText"/>
    <w:basedOn w:val="DefaultParagraphFont"/>
    <w:uiPriority w:val="99"/>
    <w:rsid w:val="004A199B"/>
    <w:rPr>
      <w:rFonts w:cs="Times New Roman"/>
      <w:i/>
    </w:rPr>
  </w:style>
  <w:style w:type="paragraph" w:styleId="ListParagraph">
    <w:name w:val="List Paragraph"/>
    <w:basedOn w:val="Normal"/>
    <w:uiPriority w:val="99"/>
    <w:qFormat/>
    <w:rsid w:val="008D4084"/>
    <w:pPr>
      <w:ind w:left="720"/>
      <w:contextualSpacing/>
    </w:pPr>
  </w:style>
  <w:style w:type="paragraph" w:customStyle="1" w:styleId="FinTableLeftBoldHanging">
    <w:name w:val="FinTableLeftBoldHanging"/>
    <w:basedOn w:val="Normal"/>
    <w:uiPriority w:val="99"/>
    <w:rsid w:val="00632328"/>
    <w:pPr>
      <w:ind w:left="476" w:hanging="476"/>
    </w:pPr>
    <w:rPr>
      <w:rFonts w:ascii="Arial" w:hAnsi="Arial" w:cs="Arial"/>
      <w:b/>
      <w:bCs/>
      <w:color w:val="000000"/>
      <w:sz w:val="16"/>
      <w:szCs w:val="16"/>
      <w:lang w:eastAsia="en-US"/>
    </w:rPr>
  </w:style>
  <w:style w:type="paragraph" w:customStyle="1" w:styleId="FinTableRightBold">
    <w:name w:val="FinTableRightBold"/>
    <w:basedOn w:val="Normal"/>
    <w:uiPriority w:val="99"/>
    <w:rsid w:val="00632328"/>
    <w:pPr>
      <w:jc w:val="right"/>
    </w:pPr>
    <w:rPr>
      <w:rFonts w:ascii="Arial" w:hAnsi="Arial" w:cs="Arial"/>
      <w:b/>
      <w:bCs/>
      <w:color w:val="000000"/>
      <w:sz w:val="16"/>
      <w:szCs w:val="16"/>
      <w:lang w:eastAsia="en-US"/>
    </w:rPr>
  </w:style>
  <w:style w:type="paragraph" w:customStyle="1" w:styleId="FinTableRightItalic">
    <w:name w:val="FinTableRightItalic"/>
    <w:basedOn w:val="Normal"/>
    <w:uiPriority w:val="99"/>
    <w:rsid w:val="00632328"/>
    <w:pPr>
      <w:jc w:val="right"/>
    </w:pPr>
    <w:rPr>
      <w:rFonts w:ascii="Arial" w:hAnsi="Arial" w:cs="Arial"/>
      <w:i/>
      <w:iCs/>
      <w:color w:val="000000"/>
      <w:sz w:val="15"/>
      <w:szCs w:val="15"/>
      <w:lang w:eastAsia="en-US"/>
    </w:rPr>
  </w:style>
  <w:style w:type="paragraph" w:styleId="DocumentMap">
    <w:name w:val="Document Map"/>
    <w:basedOn w:val="Normal"/>
    <w:link w:val="DocumentMapChar"/>
    <w:uiPriority w:val="99"/>
    <w:semiHidden/>
    <w:rsid w:val="00714E60"/>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714E60"/>
    <w:rPr>
      <w:rFonts w:ascii="Tahoma" w:hAnsi="Tahoma" w:cs="Tahoma"/>
      <w:sz w:val="16"/>
      <w:szCs w:val="16"/>
    </w:rPr>
  </w:style>
  <w:style w:type="character" w:customStyle="1" w:styleId="ItalicText0">
    <w:name w:val="Italic_Text"/>
    <w:basedOn w:val="DefaultParagraphFont"/>
    <w:uiPriority w:val="99"/>
    <w:rsid w:val="00454941"/>
    <w:rPr>
      <w:rFonts w:cs="Times New Roman"/>
      <w:i/>
    </w:rPr>
  </w:style>
  <w:style w:type="paragraph" w:customStyle="1" w:styleId="ScheduleNote">
    <w:name w:val="Schedule Note"/>
    <w:basedOn w:val="Note"/>
    <w:uiPriority w:val="99"/>
    <w:rsid w:val="00454941"/>
    <w:pPr>
      <w:ind w:left="1276"/>
    </w:pPr>
    <w:rPr>
      <w:iCs/>
    </w:rPr>
  </w:style>
  <w:style w:type="paragraph" w:customStyle="1" w:styleId="ScheduleNotenumbered">
    <w:name w:val="Schedule Note numbered"/>
    <w:basedOn w:val="Normal"/>
    <w:uiPriority w:val="99"/>
    <w:rsid w:val="004C3569"/>
    <w:pPr>
      <w:keepLines/>
      <w:widowControl w:val="0"/>
      <w:tabs>
        <w:tab w:val="left" w:pos="1843"/>
      </w:tabs>
      <w:spacing w:before="120" w:line="220" w:lineRule="exact"/>
      <w:ind w:left="1843" w:hanging="567"/>
      <w:jc w:val="both"/>
    </w:pPr>
    <w:rPr>
      <w:sz w:val="20"/>
      <w:szCs w:val="20"/>
    </w:rPr>
  </w:style>
  <w:style w:type="paragraph" w:customStyle="1" w:styleId="ScheduleVerb">
    <w:name w:val="Schedule Verb"/>
    <w:basedOn w:val="Normal"/>
    <w:uiPriority w:val="99"/>
    <w:rsid w:val="004C3569"/>
    <w:pPr>
      <w:keepNext/>
      <w:spacing w:before="120" w:after="120" w:line="260" w:lineRule="exact"/>
      <w:ind w:left="964"/>
    </w:pPr>
    <w:rPr>
      <w:i/>
    </w:rPr>
  </w:style>
  <w:style w:type="paragraph" w:customStyle="1" w:styleId="ScheduleClauseheading">
    <w:name w:val="Schedule Clause heading"/>
    <w:basedOn w:val="Normal"/>
    <w:uiPriority w:val="99"/>
    <w:rsid w:val="00993655"/>
    <w:pPr>
      <w:keepNext/>
      <w:keepLines/>
      <w:numPr>
        <w:numId w:val="2"/>
      </w:numPr>
      <w:spacing w:before="240"/>
    </w:pPr>
    <w:rPr>
      <w:rFonts w:ascii="Arial" w:hAnsi="Arial"/>
      <w:b/>
      <w:bCs/>
    </w:rPr>
  </w:style>
  <w:style w:type="paragraph" w:customStyle="1" w:styleId="notemargin">
    <w:name w:val="note(margin)"/>
    <w:aliases w:val="nm"/>
    <w:basedOn w:val="Normal"/>
    <w:uiPriority w:val="99"/>
    <w:rsid w:val="00392201"/>
    <w:pPr>
      <w:tabs>
        <w:tab w:val="left" w:pos="709"/>
      </w:tabs>
      <w:spacing w:before="122" w:line="198" w:lineRule="exact"/>
      <w:ind w:left="709" w:hanging="709"/>
    </w:pPr>
    <w:rPr>
      <w:sz w:val="18"/>
      <w:szCs w:val="20"/>
    </w:rPr>
  </w:style>
  <w:style w:type="table" w:customStyle="1" w:styleId="FinTableNormal">
    <w:name w:val="FinTableNormal"/>
    <w:uiPriority w:val="99"/>
    <w:semiHidden/>
    <w:rsid w:val="003B21A6"/>
    <w:rPr>
      <w:rFonts w:ascii="Times New Roman" w:hAnsi="Times New Roman"/>
      <w:sz w:val="20"/>
      <w:szCs w:val="20"/>
    </w:rPr>
    <w:tblPr>
      <w:tblInd w:w="0" w:type="dxa"/>
      <w:tblCellMar>
        <w:top w:w="0" w:type="dxa"/>
        <w:left w:w="108" w:type="dxa"/>
        <w:bottom w:w="0" w:type="dxa"/>
        <w:right w:w="108" w:type="dxa"/>
      </w:tblCellMar>
    </w:tblPr>
  </w:style>
  <w:style w:type="paragraph" w:customStyle="1" w:styleId="FinTableHeadingCenteredBold">
    <w:name w:val="FinTableHeadingCenteredBold"/>
    <w:basedOn w:val="Normal"/>
    <w:uiPriority w:val="99"/>
    <w:rsid w:val="003B21A6"/>
    <w:pPr>
      <w:spacing w:after="240"/>
      <w:jc w:val="center"/>
    </w:pPr>
    <w:rPr>
      <w:rFonts w:ascii="Arial" w:hAnsi="Arial" w:cs="Arial"/>
      <w:b/>
      <w:bCs/>
      <w:caps/>
      <w:color w:val="000000"/>
      <w:sz w:val="22"/>
      <w:szCs w:val="22"/>
      <w:lang w:eastAsia="en-US"/>
    </w:rPr>
  </w:style>
  <w:style w:type="paragraph" w:customStyle="1" w:styleId="FinTableLeftBold">
    <w:name w:val="FinTableLeftBold"/>
    <w:basedOn w:val="Normal"/>
    <w:uiPriority w:val="99"/>
    <w:rsid w:val="003B21A6"/>
    <w:rPr>
      <w:rFonts w:ascii="Arial" w:hAnsi="Arial" w:cs="Arial"/>
      <w:b/>
      <w:bCs/>
      <w:color w:val="000000"/>
      <w:sz w:val="16"/>
      <w:szCs w:val="16"/>
      <w:lang w:eastAsia="en-US"/>
    </w:rPr>
  </w:style>
  <w:style w:type="paragraph" w:customStyle="1" w:styleId="FinTableLeftBoldIndent">
    <w:name w:val="FinTableLeftBoldIndent"/>
    <w:basedOn w:val="FinTableLeftBold"/>
    <w:uiPriority w:val="99"/>
    <w:rsid w:val="003B21A6"/>
    <w:pPr>
      <w:ind w:left="142"/>
    </w:pPr>
  </w:style>
  <w:style w:type="paragraph" w:customStyle="1" w:styleId="FinTableLeftIndent">
    <w:name w:val="FinTableLeftIndent"/>
    <w:basedOn w:val="Normal"/>
    <w:uiPriority w:val="99"/>
    <w:rsid w:val="003B21A6"/>
    <w:pPr>
      <w:ind w:left="142"/>
    </w:pPr>
    <w:rPr>
      <w:rFonts w:ascii="Arial" w:hAnsi="Arial" w:cs="Arial"/>
      <w:color w:val="000000"/>
      <w:sz w:val="16"/>
      <w:szCs w:val="16"/>
      <w:lang w:eastAsia="en-US"/>
    </w:rPr>
  </w:style>
  <w:style w:type="paragraph" w:customStyle="1" w:styleId="FinTableRight">
    <w:name w:val="FinTableRight"/>
    <w:basedOn w:val="Normal"/>
    <w:uiPriority w:val="99"/>
    <w:rsid w:val="003B21A6"/>
    <w:pPr>
      <w:jc w:val="right"/>
    </w:pPr>
    <w:rPr>
      <w:rFonts w:ascii="Arial" w:hAnsi="Arial" w:cs="Arial"/>
      <w:color w:val="000000"/>
      <w:sz w:val="16"/>
      <w:szCs w:val="16"/>
      <w:lang w:eastAsia="en-US"/>
    </w:rPr>
  </w:style>
  <w:style w:type="paragraph" w:customStyle="1" w:styleId="FinTableSpacerRow">
    <w:name w:val="FinTableSpacerRow"/>
    <w:basedOn w:val="FinTableRight"/>
    <w:uiPriority w:val="99"/>
    <w:rsid w:val="003B21A6"/>
    <w:rPr>
      <w:sz w:val="8"/>
      <w:szCs w:val="8"/>
    </w:rPr>
  </w:style>
  <w:style w:type="paragraph" w:customStyle="1" w:styleId="KeyItalic0">
    <w:name w:val="KeyItalic"/>
    <w:basedOn w:val="KeyLight0"/>
    <w:uiPriority w:val="99"/>
    <w:rsid w:val="003B21A6"/>
    <w:rPr>
      <w:i/>
      <w:iCs/>
    </w:rPr>
  </w:style>
  <w:style w:type="paragraph" w:customStyle="1" w:styleId="KeyLight0">
    <w:name w:val="KeyLight"/>
    <w:basedOn w:val="Normal"/>
    <w:uiPriority w:val="99"/>
    <w:rsid w:val="003B21A6"/>
    <w:pPr>
      <w:jc w:val="center"/>
    </w:pPr>
    <w:rPr>
      <w:rFonts w:ascii="Arial" w:hAnsi="Arial" w:cs="Arial"/>
      <w:color w:val="000000"/>
      <w:sz w:val="16"/>
      <w:szCs w:val="16"/>
      <w:lang w:eastAsia="en-US"/>
    </w:rPr>
  </w:style>
  <w:style w:type="paragraph" w:customStyle="1" w:styleId="FinTableRightPlain">
    <w:name w:val="FinTableRightPlain"/>
    <w:basedOn w:val="FinTableRight"/>
    <w:uiPriority w:val="99"/>
    <w:rsid w:val="00022DFA"/>
    <w:rPr>
      <w:sz w:val="15"/>
      <w:szCs w:val="15"/>
    </w:rPr>
  </w:style>
  <w:style w:type="paragraph" w:customStyle="1" w:styleId="KeyBold">
    <w:name w:val="KeyBold"/>
    <w:basedOn w:val="KeyLight0"/>
    <w:uiPriority w:val="99"/>
    <w:rsid w:val="00022DFA"/>
    <w:rPr>
      <w:b/>
      <w:bCs/>
    </w:rPr>
  </w:style>
  <w:style w:type="paragraph" w:customStyle="1" w:styleId="Sched1-Normal">
    <w:name w:val="Sched1-Normal"/>
    <w:basedOn w:val="Normal"/>
    <w:rsid w:val="006F50A0"/>
    <w:rPr>
      <w:rFonts w:ascii="Arial" w:hAnsi="Arial"/>
      <w:sz w:val="16"/>
      <w:szCs w:val="16"/>
      <w:lang w:eastAsia="en-US"/>
    </w:rPr>
  </w:style>
</w:styles>
</file>

<file path=word/webSettings.xml><?xml version="1.0" encoding="utf-8"?>
<w:webSettings xmlns:r="http://schemas.openxmlformats.org/officeDocument/2006/relationships" xmlns:w="http://schemas.openxmlformats.org/wordprocessingml/2006/main">
  <w:divs>
    <w:div w:id="559945881">
      <w:marLeft w:val="0"/>
      <w:marRight w:val="0"/>
      <w:marTop w:val="0"/>
      <w:marBottom w:val="0"/>
      <w:divBdr>
        <w:top w:val="none" w:sz="0" w:space="0" w:color="auto"/>
        <w:left w:val="none" w:sz="0" w:space="0" w:color="auto"/>
        <w:bottom w:val="none" w:sz="0" w:space="0" w:color="auto"/>
        <w:right w:val="none" w:sz="0" w:space="0" w:color="auto"/>
      </w:divBdr>
    </w:div>
    <w:div w:id="559945882">
      <w:marLeft w:val="0"/>
      <w:marRight w:val="0"/>
      <w:marTop w:val="0"/>
      <w:marBottom w:val="0"/>
      <w:divBdr>
        <w:top w:val="none" w:sz="0" w:space="0" w:color="auto"/>
        <w:left w:val="none" w:sz="0" w:space="0" w:color="auto"/>
        <w:bottom w:val="none" w:sz="0" w:space="0" w:color="auto"/>
        <w:right w:val="none" w:sz="0" w:space="0" w:color="auto"/>
      </w:divBdr>
    </w:div>
    <w:div w:id="559945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2246</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Fitzpatrick</dc:creator>
  <cp:lastModifiedBy>Sally Kerr</cp:lastModifiedBy>
  <cp:revision>7</cp:revision>
  <cp:lastPrinted>2013-04-24T00:47:00Z</cp:lastPrinted>
  <dcterms:created xsi:type="dcterms:W3CDTF">2013-04-23T03:37:00Z</dcterms:created>
  <dcterms:modified xsi:type="dcterms:W3CDTF">2013-04-24T01:08:00Z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A1613660</vt:lpwstr>
  </property>
  <property fmtid="{D5CDD505-2E9C-101B-9397-08002B2CF9AE}" pid="4" name="Objective-Title">
    <vt:lpwstr>2  Determination - NO S31 (4) AGS comments</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Graham, Kathryn</vt:lpwstr>
  </property>
  <property fmtid="{D5CDD505-2E9C-101B-9397-08002B2CF9AE}" pid="9" name="Objective-Path">
    <vt:lpwstr>i Know-how Top Level:Client Groups:Dept of Finance &amp; Deregulation (Excl Comcover):FINANCE - Advice Matters:Finance: s.32 Transfers (13042065):13042065 - Matter Documents:13042065 Correspondence:</vt:lpwstr>
  </property>
  <property fmtid="{D5CDD505-2E9C-101B-9397-08002B2CF9AE}" pid="10" name="Objective-Parent">
    <vt:lpwstr>13042065 Correspondence</vt:lpwstr>
  </property>
  <property fmtid="{D5CDD505-2E9C-101B-9397-08002B2CF9AE}" pid="11" name="Objective-State">
    <vt:lpwstr>Published</vt:lpwstr>
  </property>
  <property fmtid="{D5CDD505-2E9C-101B-9397-08002B2CF9AE}" pid="12" name="Objective-Version">
    <vt:lpwstr>1.0</vt:lpwstr>
  </property>
  <property fmtid="{D5CDD505-2E9C-101B-9397-08002B2CF9AE}" pid="13" name="Objective-VersionNumber">
    <vt:r8>2</vt:r8>
  </property>
  <property fmtid="{D5CDD505-2E9C-101B-9397-08002B2CF9AE}" pid="14" name="Objective-VersionComment">
    <vt:lpwstr>Version 2</vt:lpwstr>
  </property>
  <property fmtid="{D5CDD505-2E9C-101B-9397-08002B2CF9AE}" pid="15" name="Objective-FileNumber">
    <vt:lpwstr>13042065-002</vt:lpwstr>
  </property>
  <property fmtid="{D5CDD505-2E9C-101B-9397-08002B2CF9AE}" pid="16" name="Objective-Classification">
    <vt:lpwstr>[Inherited - UNCLASSIFIED]</vt:lpwstr>
  </property>
  <property fmtid="{D5CDD505-2E9C-101B-9397-08002B2CF9AE}" pid="17" name="Objective-Caveats">
    <vt:lpwstr/>
  </property>
  <property fmtid="{D5CDD505-2E9C-101B-9397-08002B2CF9AE}" pid="18" name="Objective-Document Category [system]">
    <vt:lpwstr/>
  </property>
  <property fmtid="{D5CDD505-2E9C-101B-9397-08002B2CF9AE}" pid="19" name="Objective-CreationStamp">
    <vt:filetime>2013-04-19T06:53:01Z</vt:filetime>
  </property>
  <property fmtid="{D5CDD505-2E9C-101B-9397-08002B2CF9AE}" pid="20" name="Objective-DatePublished">
    <vt:filetime>2013-04-19T08:14:52Z</vt:filetime>
  </property>
  <property fmtid="{D5CDD505-2E9C-101B-9397-08002B2CF9AE}" pid="21" name="Objective-ModificationStamp">
    <vt:filetime>2013-04-19T08:14:52Z</vt:filetime>
  </property>
</Properties>
</file>