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254" w:rsidRDefault="00FE0254" w:rsidP="00FE0254">
      <w:pPr>
        <w:spacing w:before="240"/>
        <w:ind w:right="-154"/>
        <w:jc w:val="center"/>
        <w:rPr>
          <w:b/>
          <w:bCs/>
          <w:u w:val="single"/>
        </w:rPr>
      </w:pPr>
      <w:r w:rsidRPr="00A9791E">
        <w:rPr>
          <w:b/>
          <w:bCs/>
          <w:u w:val="single"/>
        </w:rPr>
        <w:t>EXPLANATORY STATEMENT</w:t>
      </w:r>
    </w:p>
    <w:p w:rsidR="0064570C" w:rsidRPr="00A9791E" w:rsidRDefault="0064570C" w:rsidP="00FE0254">
      <w:pPr>
        <w:spacing w:before="240"/>
        <w:ind w:right="-154"/>
        <w:jc w:val="center"/>
        <w:rPr>
          <w:b/>
          <w:bCs/>
          <w:u w:val="single"/>
        </w:rPr>
      </w:pPr>
      <w:r>
        <w:rPr>
          <w:b/>
          <w:bCs/>
          <w:u w:val="single"/>
        </w:rPr>
        <w:t>Select Legislative Instrument 2013 No. 64</w:t>
      </w:r>
    </w:p>
    <w:p w:rsidR="00FE0254" w:rsidRPr="00A9791E" w:rsidRDefault="00FE0254" w:rsidP="00FE0254">
      <w:pPr>
        <w:ind w:right="-154"/>
        <w:jc w:val="center"/>
        <w:rPr>
          <w:b/>
          <w:bCs/>
          <w:u w:val="single"/>
        </w:rPr>
      </w:pPr>
    </w:p>
    <w:p w:rsidR="00FE0254" w:rsidRPr="00A9791E" w:rsidRDefault="00FE0254" w:rsidP="00FE0254">
      <w:pPr>
        <w:ind w:right="-154"/>
        <w:jc w:val="center"/>
        <w:rPr>
          <w:bCs/>
          <w:u w:val="single"/>
        </w:rPr>
      </w:pPr>
      <w:r w:rsidRPr="00A9791E">
        <w:rPr>
          <w:bCs/>
          <w:u w:val="single"/>
        </w:rPr>
        <w:t>ISSUED BY THE AUTHORITY OF THE ATTORNEY-GENERAL</w:t>
      </w:r>
    </w:p>
    <w:p w:rsidR="00FE0254" w:rsidRPr="000D4629" w:rsidRDefault="00FE0254" w:rsidP="00FE0254">
      <w:pPr>
        <w:ind w:right="-154"/>
        <w:jc w:val="center"/>
        <w:rPr>
          <w:bCs/>
        </w:rPr>
      </w:pPr>
    </w:p>
    <w:p w:rsidR="00FE0254" w:rsidRPr="000D4629" w:rsidRDefault="00FE0254" w:rsidP="00FE0254">
      <w:pPr>
        <w:ind w:right="-154"/>
        <w:jc w:val="center"/>
        <w:rPr>
          <w:i/>
        </w:rPr>
      </w:pPr>
      <w:r>
        <w:rPr>
          <w:i/>
        </w:rPr>
        <w:t>ACTS INTERPRETATION ACT 1901</w:t>
      </w:r>
    </w:p>
    <w:p w:rsidR="00FE0254" w:rsidRPr="00E640AC" w:rsidRDefault="00FE0254" w:rsidP="00FE0254">
      <w:pPr>
        <w:ind w:right="-154"/>
        <w:jc w:val="center"/>
      </w:pPr>
    </w:p>
    <w:p w:rsidR="00FE0254" w:rsidRDefault="00FE0254" w:rsidP="00FE0254">
      <w:pPr>
        <w:ind w:left="1361"/>
        <w:rPr>
          <w:bCs/>
          <w:i/>
        </w:rPr>
      </w:pPr>
      <w:r>
        <w:rPr>
          <w:bCs/>
          <w:i/>
        </w:rPr>
        <w:t xml:space="preserve">ACTS INTERPRETATION (SUBSTITUTED REFERENCES – </w:t>
      </w:r>
    </w:p>
    <w:p w:rsidR="00950705" w:rsidRPr="00FE0254" w:rsidRDefault="004A6CED" w:rsidP="00FE0254">
      <w:pPr>
        <w:ind w:left="1361"/>
        <w:rPr>
          <w:bCs/>
          <w:i/>
        </w:rPr>
      </w:pPr>
      <w:r>
        <w:rPr>
          <w:bCs/>
          <w:i/>
        </w:rPr>
        <w:t xml:space="preserve">     SECTION 19B</w:t>
      </w:r>
      <w:r w:rsidR="00FE0254">
        <w:rPr>
          <w:bCs/>
          <w:i/>
        </w:rPr>
        <w:t>) AMENDMENT ORDER 201</w:t>
      </w:r>
      <w:r w:rsidR="00A81387">
        <w:rPr>
          <w:bCs/>
          <w:i/>
        </w:rPr>
        <w:t>3</w:t>
      </w:r>
      <w:r w:rsidR="00151272">
        <w:rPr>
          <w:bCs/>
          <w:i/>
        </w:rPr>
        <w:t xml:space="preserve"> </w:t>
      </w:r>
      <w:r w:rsidR="0064570C">
        <w:rPr>
          <w:bCs/>
          <w:i/>
        </w:rPr>
        <w:t>(No</w:t>
      </w:r>
      <w:r w:rsidR="00FE0254" w:rsidRPr="00DE1CA9">
        <w:rPr>
          <w:bCs/>
          <w:i/>
        </w:rPr>
        <w:t>.</w:t>
      </w:r>
      <w:r w:rsidR="00237E66">
        <w:rPr>
          <w:bCs/>
          <w:i/>
        </w:rPr>
        <w:t xml:space="preserve"> </w:t>
      </w:r>
      <w:r w:rsidR="00DD0B0B">
        <w:rPr>
          <w:bCs/>
          <w:i/>
        </w:rPr>
        <w:t>1</w:t>
      </w:r>
      <w:r w:rsidR="0064570C">
        <w:rPr>
          <w:bCs/>
          <w:i/>
        </w:rPr>
        <w:t>)</w:t>
      </w:r>
    </w:p>
    <w:p w:rsidR="00FE0254" w:rsidRDefault="00FE0254" w:rsidP="008C6231">
      <w:pPr>
        <w:rPr>
          <w:rFonts w:ascii="Times New Roman" w:hAnsi="Times New Roman"/>
          <w:szCs w:val="24"/>
        </w:rPr>
      </w:pPr>
    </w:p>
    <w:p w:rsidR="008B328F" w:rsidRPr="004C47B7" w:rsidRDefault="008B328F" w:rsidP="008B328F">
      <w:pPr>
        <w:spacing w:before="120" w:after="120"/>
        <w:rPr>
          <w:rFonts w:ascii="Times New Roman" w:hAnsi="Times New Roman"/>
          <w:szCs w:val="24"/>
        </w:rPr>
      </w:pPr>
      <w:r w:rsidRPr="004C47B7">
        <w:rPr>
          <w:rFonts w:ascii="Times New Roman" w:hAnsi="Times New Roman"/>
          <w:szCs w:val="24"/>
        </w:rPr>
        <w:t xml:space="preserve">The </w:t>
      </w:r>
      <w:r w:rsidRPr="004C47B7">
        <w:rPr>
          <w:rFonts w:ascii="Times New Roman" w:hAnsi="Times New Roman"/>
          <w:i/>
          <w:szCs w:val="24"/>
        </w:rPr>
        <w:t xml:space="preserve">Acts Interpretation Act 1901 </w:t>
      </w:r>
      <w:r w:rsidRPr="004C47B7">
        <w:rPr>
          <w:rFonts w:ascii="Times New Roman" w:hAnsi="Times New Roman"/>
          <w:szCs w:val="24"/>
        </w:rPr>
        <w:t>(the Act) provides rules for the interpretation of all Commonwealth Acts and addresses matters such as interpreting references to Ministers, Departments or Secretaries of Departments.</w:t>
      </w:r>
    </w:p>
    <w:p w:rsidR="008B328F" w:rsidRPr="004C47B7" w:rsidRDefault="008B328F" w:rsidP="008B328F">
      <w:pPr>
        <w:spacing w:before="120" w:after="120"/>
        <w:rPr>
          <w:rFonts w:ascii="Times New Roman" w:hAnsi="Times New Roman"/>
          <w:szCs w:val="24"/>
        </w:rPr>
      </w:pPr>
      <w:r w:rsidRPr="004C47B7">
        <w:rPr>
          <w:rFonts w:ascii="Times New Roman" w:hAnsi="Times New Roman"/>
          <w:szCs w:val="24"/>
        </w:rPr>
        <w:t>A general reference to a Minister, Department or Secretary in a provision of an Act or instrument made under an Act means the Minister, Department or Secretary of the Department administering the legislation for the time being.  Where provisions of Acts and instruments made under Acts refer to particular Ministers, Departments or Secretaries of Departments by title, these specific references may need to be altered to reflect new administrative arrangements, such as the change in name of a Minister or Department or the transfer of legislation between portfolios under a revised Administrative Arrangements Order (</w:t>
      </w:r>
      <w:proofErr w:type="spellStart"/>
      <w:r w:rsidRPr="004C47B7">
        <w:rPr>
          <w:rFonts w:ascii="Times New Roman" w:hAnsi="Times New Roman"/>
          <w:szCs w:val="24"/>
        </w:rPr>
        <w:t>AAO</w:t>
      </w:r>
      <w:proofErr w:type="spellEnd"/>
      <w:r w:rsidRPr="004C47B7">
        <w:rPr>
          <w:rFonts w:ascii="Times New Roman" w:hAnsi="Times New Roman"/>
          <w:szCs w:val="24"/>
        </w:rPr>
        <w:t>).</w:t>
      </w:r>
    </w:p>
    <w:p w:rsidR="008B328F" w:rsidRPr="004C47B7" w:rsidRDefault="008B328F" w:rsidP="008B328F">
      <w:pPr>
        <w:spacing w:before="120" w:after="120"/>
        <w:rPr>
          <w:rFonts w:ascii="Times New Roman" w:hAnsi="Times New Roman"/>
          <w:szCs w:val="24"/>
        </w:rPr>
      </w:pPr>
      <w:r w:rsidRPr="004C47B7">
        <w:rPr>
          <w:rFonts w:ascii="Times New Roman" w:hAnsi="Times New Roman"/>
          <w:szCs w:val="24"/>
        </w:rPr>
        <w:t>Section 19B of the Act confers on the Governor</w:t>
      </w:r>
      <w:r w:rsidRPr="004C47B7">
        <w:rPr>
          <w:rFonts w:ascii="Times New Roman" w:hAnsi="Times New Roman"/>
          <w:szCs w:val="24"/>
        </w:rPr>
        <w:noBreakHyphen/>
        <w:t xml:space="preserve">General power to make orders which appropriately alter all specific references contained in provisions of Acts.  </w:t>
      </w:r>
    </w:p>
    <w:p w:rsidR="008B328F" w:rsidRPr="004C47B7" w:rsidRDefault="008B328F" w:rsidP="008B328F">
      <w:pPr>
        <w:spacing w:before="120" w:after="120"/>
        <w:rPr>
          <w:rFonts w:ascii="Times New Roman" w:hAnsi="Times New Roman"/>
          <w:szCs w:val="24"/>
        </w:rPr>
      </w:pPr>
      <w:r w:rsidRPr="004C47B7">
        <w:rPr>
          <w:rFonts w:ascii="Times New Roman" w:hAnsi="Times New Roman"/>
          <w:szCs w:val="24"/>
        </w:rPr>
        <w:t>Subsection 19B(1) provides that the Governor</w:t>
      </w:r>
      <w:r w:rsidRPr="004C47B7">
        <w:rPr>
          <w:rFonts w:ascii="Times New Roman" w:hAnsi="Times New Roman"/>
          <w:szCs w:val="24"/>
        </w:rPr>
        <w:noBreakHyphen/>
        <w:t xml:space="preserve">General may make an order altering a reference in a provision of an Act to a particular Minister if there is no longer any such Minister.  </w:t>
      </w:r>
    </w:p>
    <w:p w:rsidR="008B328F" w:rsidRPr="004C47B7" w:rsidRDefault="008B328F" w:rsidP="008B328F">
      <w:pPr>
        <w:spacing w:before="120" w:after="120"/>
        <w:rPr>
          <w:rFonts w:ascii="Times New Roman" w:hAnsi="Times New Roman"/>
          <w:szCs w:val="24"/>
        </w:rPr>
      </w:pPr>
      <w:r w:rsidRPr="004C47B7">
        <w:rPr>
          <w:rFonts w:ascii="Times New Roman" w:hAnsi="Times New Roman"/>
          <w:szCs w:val="24"/>
        </w:rPr>
        <w:t>Subsection 19B(2) provides that the Governor</w:t>
      </w:r>
      <w:r w:rsidRPr="004C47B7">
        <w:rPr>
          <w:rFonts w:ascii="Times New Roman" w:hAnsi="Times New Roman"/>
          <w:szCs w:val="24"/>
        </w:rPr>
        <w:noBreakHyphen/>
        <w:t xml:space="preserve">General may make an order altering a reference in a provision of an Act to a particular Department if that Department has been abolished or the name of the </w:t>
      </w:r>
      <w:r>
        <w:rPr>
          <w:rFonts w:ascii="Times New Roman" w:hAnsi="Times New Roman"/>
          <w:szCs w:val="24"/>
        </w:rPr>
        <w:t>D</w:t>
      </w:r>
      <w:r w:rsidRPr="004C47B7">
        <w:rPr>
          <w:rFonts w:ascii="Times New Roman" w:hAnsi="Times New Roman"/>
          <w:szCs w:val="24"/>
        </w:rPr>
        <w:t xml:space="preserve">epartment has been changed.  </w:t>
      </w:r>
    </w:p>
    <w:p w:rsidR="008B328F" w:rsidRPr="004C47B7" w:rsidRDefault="008B328F" w:rsidP="008B328F">
      <w:pPr>
        <w:spacing w:before="120" w:after="120"/>
        <w:rPr>
          <w:rFonts w:ascii="Times New Roman" w:hAnsi="Times New Roman"/>
          <w:szCs w:val="24"/>
        </w:rPr>
      </w:pPr>
      <w:r w:rsidRPr="004C47B7">
        <w:rPr>
          <w:rFonts w:ascii="Times New Roman" w:hAnsi="Times New Roman"/>
          <w:szCs w:val="24"/>
        </w:rPr>
        <w:t>Subsection 19B(3) provides that the Governor</w:t>
      </w:r>
      <w:r w:rsidRPr="004C47B7">
        <w:rPr>
          <w:rFonts w:ascii="Times New Roman" w:hAnsi="Times New Roman"/>
          <w:szCs w:val="24"/>
        </w:rPr>
        <w:noBreakHyphen/>
        <w:t>General may make an order altering a reference in a provision of an Act to a particular Secretary of a Department if that office of Secretary has been abolished or the name of that office has been changed.</w:t>
      </w:r>
    </w:p>
    <w:p w:rsidR="00B16433" w:rsidRPr="00F7675A" w:rsidRDefault="00B16433" w:rsidP="00B16433">
      <w:pPr>
        <w:spacing w:before="120" w:after="120"/>
        <w:rPr>
          <w:rFonts w:ascii="Times New Roman" w:hAnsi="Times New Roman"/>
          <w:szCs w:val="24"/>
        </w:rPr>
      </w:pPr>
      <w:r w:rsidRPr="00F7675A">
        <w:rPr>
          <w:rFonts w:ascii="Times New Roman" w:hAnsi="Times New Roman"/>
          <w:szCs w:val="24"/>
        </w:rPr>
        <w:t xml:space="preserve">On 25 March 2013, </w:t>
      </w:r>
      <w:r>
        <w:rPr>
          <w:rFonts w:ascii="Times New Roman" w:hAnsi="Times New Roman"/>
          <w:szCs w:val="24"/>
        </w:rPr>
        <w:t>a</w:t>
      </w:r>
      <w:r w:rsidRPr="00F7675A">
        <w:rPr>
          <w:rFonts w:ascii="Times New Roman" w:hAnsi="Times New Roman"/>
          <w:szCs w:val="24"/>
        </w:rPr>
        <w:t xml:space="preserve"> new Ministry was sworn in </w:t>
      </w:r>
      <w:r>
        <w:rPr>
          <w:rFonts w:ascii="Times New Roman" w:hAnsi="Times New Roman"/>
          <w:szCs w:val="24"/>
        </w:rPr>
        <w:t xml:space="preserve">by the Governor-General following </w:t>
      </w:r>
      <w:r w:rsidRPr="00F7675A">
        <w:rPr>
          <w:rFonts w:ascii="Times New Roman" w:hAnsi="Times New Roman"/>
          <w:szCs w:val="24"/>
        </w:rPr>
        <w:t xml:space="preserve">the </w:t>
      </w:r>
      <w:r>
        <w:rPr>
          <w:rFonts w:ascii="Times New Roman" w:hAnsi="Times New Roman"/>
          <w:szCs w:val="24"/>
        </w:rPr>
        <w:t xml:space="preserve">announcement by the </w:t>
      </w:r>
      <w:r w:rsidRPr="00F7675A">
        <w:rPr>
          <w:rFonts w:ascii="Times New Roman" w:hAnsi="Times New Roman"/>
          <w:szCs w:val="24"/>
        </w:rPr>
        <w:t xml:space="preserve">Prime Minister </w:t>
      </w:r>
      <w:r>
        <w:rPr>
          <w:rFonts w:ascii="Times New Roman" w:hAnsi="Times New Roman"/>
          <w:szCs w:val="24"/>
        </w:rPr>
        <w:t>of a</w:t>
      </w:r>
      <w:r w:rsidRPr="00F7675A">
        <w:rPr>
          <w:rFonts w:ascii="Times New Roman" w:hAnsi="Times New Roman"/>
          <w:szCs w:val="24"/>
        </w:rPr>
        <w:t xml:space="preserve"> number of changes to her Ministry, including </w:t>
      </w:r>
      <w:r>
        <w:rPr>
          <w:rFonts w:ascii="Times New Roman" w:hAnsi="Times New Roman"/>
          <w:szCs w:val="24"/>
        </w:rPr>
        <w:t xml:space="preserve">the </w:t>
      </w:r>
      <w:r w:rsidRPr="00F7675A">
        <w:rPr>
          <w:rFonts w:ascii="Times New Roman" w:hAnsi="Times New Roman"/>
          <w:szCs w:val="24"/>
        </w:rPr>
        <w:t>creation of the new</w:t>
      </w:r>
      <w:r w:rsidR="009D358E">
        <w:rPr>
          <w:rFonts w:ascii="Times New Roman" w:hAnsi="Times New Roman"/>
          <w:szCs w:val="24"/>
        </w:rPr>
        <w:t xml:space="preserve"> position of</w:t>
      </w:r>
      <w:r w:rsidRPr="00F7675A">
        <w:rPr>
          <w:rFonts w:ascii="Times New Roman" w:hAnsi="Times New Roman"/>
          <w:szCs w:val="24"/>
        </w:rPr>
        <w:t xml:space="preserve"> Minister for Regional Services, Local Communities and Territories and the new </w:t>
      </w:r>
      <w:r w:rsidR="009D358E">
        <w:rPr>
          <w:rFonts w:ascii="Times New Roman" w:hAnsi="Times New Roman"/>
          <w:szCs w:val="24"/>
        </w:rPr>
        <w:t xml:space="preserve">position of </w:t>
      </w:r>
      <w:r w:rsidRPr="00F7675A">
        <w:rPr>
          <w:rFonts w:ascii="Times New Roman" w:hAnsi="Times New Roman"/>
          <w:szCs w:val="24"/>
        </w:rPr>
        <w:t>Minister for Climate Change, Industry and Innovation</w:t>
      </w:r>
      <w:r>
        <w:rPr>
          <w:rFonts w:ascii="Times New Roman" w:hAnsi="Times New Roman"/>
          <w:szCs w:val="24"/>
        </w:rPr>
        <w:t>.  T</w:t>
      </w:r>
      <w:r w:rsidRPr="00F7675A">
        <w:rPr>
          <w:rFonts w:ascii="Times New Roman" w:hAnsi="Times New Roman"/>
          <w:szCs w:val="24"/>
        </w:rPr>
        <w:t>he Department of Climate Change and Energy Efficiency</w:t>
      </w:r>
      <w:r>
        <w:rPr>
          <w:rFonts w:ascii="Times New Roman" w:hAnsi="Times New Roman"/>
          <w:szCs w:val="24"/>
        </w:rPr>
        <w:t xml:space="preserve"> was abolished and amendments were made to the </w:t>
      </w:r>
      <w:proofErr w:type="spellStart"/>
      <w:r>
        <w:rPr>
          <w:rFonts w:ascii="Times New Roman" w:hAnsi="Times New Roman"/>
          <w:szCs w:val="24"/>
        </w:rPr>
        <w:t>AAO</w:t>
      </w:r>
      <w:proofErr w:type="spellEnd"/>
      <w:r>
        <w:rPr>
          <w:rFonts w:ascii="Times New Roman" w:hAnsi="Times New Roman"/>
          <w:szCs w:val="24"/>
        </w:rPr>
        <w:t xml:space="preserve"> to transfer its</w:t>
      </w:r>
      <w:r w:rsidRPr="00F7675A">
        <w:rPr>
          <w:rFonts w:ascii="Times New Roman" w:hAnsi="Times New Roman"/>
          <w:szCs w:val="24"/>
        </w:rPr>
        <w:t xml:space="preserve"> functions </w:t>
      </w:r>
      <w:r w:rsidRPr="00CF0957">
        <w:rPr>
          <w:rFonts w:ascii="Times New Roman" w:hAnsi="Times New Roman"/>
          <w:szCs w:val="24"/>
        </w:rPr>
        <w:t>to</w:t>
      </w:r>
      <w:r w:rsidRPr="00F7675A">
        <w:rPr>
          <w:rFonts w:ascii="Times New Roman" w:hAnsi="Times New Roman"/>
          <w:szCs w:val="24"/>
        </w:rPr>
        <w:t xml:space="preserve"> the newly titled Department of Industry, Innovation, Climate Change, Science, Research and Tertiary Education and the existing Department of Resources, Energy and Tourism.  </w:t>
      </w:r>
    </w:p>
    <w:p w:rsidR="00A81387" w:rsidRPr="00F7675A" w:rsidRDefault="00A81387" w:rsidP="00A81387">
      <w:pPr>
        <w:spacing w:before="120" w:after="120"/>
        <w:rPr>
          <w:rFonts w:ascii="Times New Roman" w:hAnsi="Times New Roman"/>
          <w:szCs w:val="24"/>
        </w:rPr>
      </w:pPr>
      <w:r w:rsidRPr="00F7675A">
        <w:rPr>
          <w:rFonts w:ascii="Times New Roman" w:hAnsi="Times New Roman"/>
          <w:szCs w:val="24"/>
        </w:rPr>
        <w:t xml:space="preserve">The purpose of the </w:t>
      </w:r>
      <w:r w:rsidRPr="00F7675A">
        <w:rPr>
          <w:rFonts w:ascii="Times New Roman" w:hAnsi="Times New Roman"/>
          <w:i/>
          <w:szCs w:val="24"/>
        </w:rPr>
        <w:t xml:space="preserve">Acts Interpretation (Substituted References – Section 19B) Amendment Order 2013 (No. </w:t>
      </w:r>
      <w:r w:rsidR="00DD0B0B">
        <w:rPr>
          <w:rFonts w:ascii="Times New Roman" w:hAnsi="Times New Roman"/>
          <w:i/>
          <w:szCs w:val="24"/>
        </w:rPr>
        <w:t>1</w:t>
      </w:r>
      <w:r w:rsidRPr="00F7675A">
        <w:rPr>
          <w:rFonts w:ascii="Times New Roman" w:hAnsi="Times New Roman"/>
          <w:i/>
          <w:szCs w:val="24"/>
        </w:rPr>
        <w:t xml:space="preserve">) </w:t>
      </w:r>
      <w:r w:rsidR="0079124C">
        <w:rPr>
          <w:rFonts w:ascii="Times New Roman" w:hAnsi="Times New Roman"/>
          <w:szCs w:val="24"/>
        </w:rPr>
        <w:t xml:space="preserve">(the Order) is to reflect the </w:t>
      </w:r>
      <w:r w:rsidR="00B16433">
        <w:rPr>
          <w:rFonts w:ascii="Times New Roman" w:hAnsi="Times New Roman"/>
          <w:szCs w:val="24"/>
        </w:rPr>
        <w:t>m</w:t>
      </w:r>
      <w:r w:rsidRPr="00F7675A">
        <w:rPr>
          <w:rFonts w:ascii="Times New Roman" w:hAnsi="Times New Roman"/>
          <w:szCs w:val="24"/>
        </w:rPr>
        <w:t xml:space="preserve">inisterial changes announced by the Prime Minister </w:t>
      </w:r>
      <w:r w:rsidR="00B16433" w:rsidRPr="00F7675A">
        <w:rPr>
          <w:rFonts w:ascii="Times New Roman" w:hAnsi="Times New Roman"/>
          <w:szCs w:val="24"/>
        </w:rPr>
        <w:t xml:space="preserve">and the transfer of responsibilities </w:t>
      </w:r>
      <w:r w:rsidR="00B16433">
        <w:rPr>
          <w:rFonts w:ascii="Times New Roman" w:hAnsi="Times New Roman"/>
          <w:szCs w:val="24"/>
        </w:rPr>
        <w:t xml:space="preserve">through the </w:t>
      </w:r>
      <w:proofErr w:type="spellStart"/>
      <w:r w:rsidR="00B16433">
        <w:rPr>
          <w:rFonts w:ascii="Times New Roman" w:hAnsi="Times New Roman"/>
          <w:szCs w:val="24"/>
        </w:rPr>
        <w:t>AAO</w:t>
      </w:r>
      <w:proofErr w:type="spellEnd"/>
      <w:r w:rsidR="00B16433">
        <w:rPr>
          <w:rFonts w:ascii="Times New Roman" w:hAnsi="Times New Roman"/>
          <w:szCs w:val="24"/>
        </w:rPr>
        <w:t xml:space="preserve"> amendments made </w:t>
      </w:r>
      <w:r w:rsidR="00B16433" w:rsidRPr="00F7675A">
        <w:rPr>
          <w:rFonts w:ascii="Times New Roman" w:hAnsi="Times New Roman"/>
          <w:szCs w:val="24"/>
        </w:rPr>
        <w:t xml:space="preserve">by the Governor-General on </w:t>
      </w:r>
      <w:r w:rsidR="00B16433">
        <w:rPr>
          <w:rFonts w:ascii="Times New Roman" w:hAnsi="Times New Roman"/>
          <w:szCs w:val="24"/>
        </w:rPr>
        <w:t>25 March 2013</w:t>
      </w:r>
      <w:r w:rsidR="00B16433" w:rsidRPr="00F7675A">
        <w:rPr>
          <w:rFonts w:ascii="Times New Roman" w:hAnsi="Times New Roman"/>
          <w:szCs w:val="24"/>
        </w:rPr>
        <w:t xml:space="preserve">.  </w:t>
      </w:r>
    </w:p>
    <w:p w:rsidR="008B328F" w:rsidRPr="004C47B7" w:rsidRDefault="008B328F" w:rsidP="008B328F">
      <w:pPr>
        <w:spacing w:before="120" w:after="120"/>
        <w:rPr>
          <w:rFonts w:ascii="Times New Roman" w:hAnsi="Times New Roman"/>
          <w:szCs w:val="24"/>
        </w:rPr>
      </w:pPr>
      <w:r w:rsidRPr="004C47B7">
        <w:rPr>
          <w:rFonts w:ascii="Times New Roman" w:hAnsi="Times New Roman"/>
          <w:szCs w:val="24"/>
        </w:rPr>
        <w:lastRenderedPageBreak/>
        <w:t xml:space="preserve">The Order </w:t>
      </w:r>
      <w:r>
        <w:rPr>
          <w:rFonts w:ascii="Times New Roman" w:hAnsi="Times New Roman"/>
          <w:szCs w:val="24"/>
        </w:rPr>
        <w:t>e</w:t>
      </w:r>
      <w:r w:rsidRPr="004C47B7">
        <w:rPr>
          <w:rFonts w:ascii="Times New Roman" w:hAnsi="Times New Roman"/>
          <w:szCs w:val="24"/>
        </w:rPr>
        <w:t>nsure</w:t>
      </w:r>
      <w:r>
        <w:rPr>
          <w:rFonts w:ascii="Times New Roman" w:hAnsi="Times New Roman"/>
          <w:szCs w:val="24"/>
        </w:rPr>
        <w:t>s</w:t>
      </w:r>
      <w:r w:rsidRPr="004C47B7">
        <w:rPr>
          <w:rFonts w:ascii="Times New Roman" w:hAnsi="Times New Roman"/>
          <w:szCs w:val="24"/>
        </w:rPr>
        <w:t xml:space="preserve"> that Ministers, Departments and Secretaries of Departments can exercise all powers granted to them by legislation for which they are responsible under the </w:t>
      </w:r>
      <w:proofErr w:type="spellStart"/>
      <w:r w:rsidRPr="004C47B7">
        <w:rPr>
          <w:rFonts w:ascii="Times New Roman" w:hAnsi="Times New Roman"/>
          <w:szCs w:val="24"/>
        </w:rPr>
        <w:t>AAO</w:t>
      </w:r>
      <w:proofErr w:type="spellEnd"/>
      <w:r w:rsidR="009D358E">
        <w:rPr>
          <w:rFonts w:ascii="Times New Roman" w:hAnsi="Times New Roman"/>
          <w:szCs w:val="24"/>
        </w:rPr>
        <w:t>, by ensuring that references to Ministers, Departments and Secretaries in legislation refer to the correct Ministers, Departments and Secretaries</w:t>
      </w:r>
      <w:r w:rsidR="009D358E" w:rsidRPr="00F7675A">
        <w:rPr>
          <w:rFonts w:ascii="Times New Roman" w:hAnsi="Times New Roman"/>
          <w:szCs w:val="24"/>
        </w:rPr>
        <w:t>.</w:t>
      </w:r>
    </w:p>
    <w:p w:rsidR="008B328F" w:rsidRPr="004C47B7" w:rsidRDefault="008B328F" w:rsidP="008B328F">
      <w:pPr>
        <w:spacing w:before="120" w:after="120"/>
        <w:rPr>
          <w:rFonts w:ascii="Times New Roman" w:hAnsi="Times New Roman"/>
          <w:szCs w:val="24"/>
        </w:rPr>
      </w:pPr>
      <w:r w:rsidRPr="004C47B7">
        <w:rPr>
          <w:rFonts w:ascii="Times New Roman" w:hAnsi="Times New Roman"/>
          <w:szCs w:val="24"/>
        </w:rPr>
        <w:t>The Order amend</w:t>
      </w:r>
      <w:r>
        <w:rPr>
          <w:rFonts w:ascii="Times New Roman" w:hAnsi="Times New Roman"/>
          <w:szCs w:val="24"/>
        </w:rPr>
        <w:t>s</w:t>
      </w:r>
      <w:r w:rsidRPr="004C47B7">
        <w:rPr>
          <w:rFonts w:ascii="Times New Roman" w:hAnsi="Times New Roman"/>
          <w:szCs w:val="24"/>
        </w:rPr>
        <w:t xml:space="preserve"> the </w:t>
      </w:r>
      <w:r w:rsidRPr="004C47B7">
        <w:rPr>
          <w:rFonts w:ascii="Times New Roman" w:hAnsi="Times New Roman"/>
          <w:i/>
          <w:szCs w:val="24"/>
        </w:rPr>
        <w:t>Acts Interpretation (Substituted References – Section 19B) Order 1997</w:t>
      </w:r>
      <w:r w:rsidRPr="004C47B7">
        <w:rPr>
          <w:rFonts w:ascii="Times New Roman" w:hAnsi="Times New Roman"/>
          <w:szCs w:val="24"/>
        </w:rPr>
        <w:t xml:space="preserve">.  </w:t>
      </w:r>
    </w:p>
    <w:p w:rsidR="008B328F" w:rsidRPr="004C47B7" w:rsidRDefault="008B328F" w:rsidP="008B328F">
      <w:pPr>
        <w:spacing w:before="120" w:after="120"/>
        <w:rPr>
          <w:rFonts w:ascii="Times New Roman" w:hAnsi="Times New Roman"/>
          <w:szCs w:val="24"/>
        </w:rPr>
      </w:pPr>
      <w:r w:rsidRPr="004C47B7">
        <w:rPr>
          <w:rFonts w:ascii="Times New Roman" w:hAnsi="Times New Roman"/>
          <w:szCs w:val="24"/>
        </w:rPr>
        <w:t xml:space="preserve">Details of the Order are set out in the </w:t>
      </w:r>
      <w:r w:rsidRPr="004C47B7">
        <w:rPr>
          <w:rFonts w:ascii="Times New Roman" w:hAnsi="Times New Roman"/>
          <w:szCs w:val="24"/>
          <w:u w:val="single"/>
        </w:rPr>
        <w:t>Attachment</w:t>
      </w:r>
      <w:r w:rsidRPr="004C47B7">
        <w:rPr>
          <w:rFonts w:ascii="Times New Roman" w:hAnsi="Times New Roman"/>
          <w:szCs w:val="24"/>
        </w:rPr>
        <w:t xml:space="preserve">.  </w:t>
      </w:r>
    </w:p>
    <w:p w:rsidR="008B328F" w:rsidRPr="004C47B7" w:rsidRDefault="008B328F" w:rsidP="008B328F">
      <w:pPr>
        <w:spacing w:before="120" w:after="120"/>
        <w:rPr>
          <w:rFonts w:ascii="Times New Roman" w:hAnsi="Times New Roman"/>
          <w:szCs w:val="24"/>
        </w:rPr>
      </w:pPr>
      <w:r w:rsidRPr="004C47B7">
        <w:rPr>
          <w:rFonts w:ascii="Times New Roman" w:hAnsi="Times New Roman"/>
          <w:szCs w:val="24"/>
        </w:rPr>
        <w:t>The Act specifies no conditions that need to be met before the power to make the Order may be exercised.</w:t>
      </w:r>
    </w:p>
    <w:p w:rsidR="008B328F" w:rsidRPr="004C47B7" w:rsidRDefault="008B328F" w:rsidP="008B328F">
      <w:pPr>
        <w:spacing w:before="120" w:after="120"/>
        <w:rPr>
          <w:rFonts w:ascii="Times New Roman" w:hAnsi="Times New Roman"/>
          <w:szCs w:val="24"/>
        </w:rPr>
      </w:pPr>
      <w:r w:rsidRPr="004C47B7">
        <w:rPr>
          <w:rFonts w:ascii="Times New Roman" w:hAnsi="Times New Roman"/>
          <w:szCs w:val="24"/>
        </w:rPr>
        <w:t xml:space="preserve">The Order </w:t>
      </w:r>
      <w:r>
        <w:rPr>
          <w:rFonts w:ascii="Times New Roman" w:hAnsi="Times New Roman"/>
          <w:szCs w:val="24"/>
        </w:rPr>
        <w:t>is</w:t>
      </w:r>
      <w:r w:rsidRPr="004C47B7">
        <w:rPr>
          <w:rFonts w:ascii="Times New Roman" w:hAnsi="Times New Roman"/>
          <w:szCs w:val="24"/>
        </w:rPr>
        <w:t xml:space="preserve"> a legislative instrument for the purposes of the </w:t>
      </w:r>
      <w:r w:rsidRPr="004C47B7">
        <w:rPr>
          <w:rFonts w:ascii="Times New Roman" w:hAnsi="Times New Roman"/>
          <w:i/>
          <w:szCs w:val="24"/>
        </w:rPr>
        <w:t>Legislative Instruments Act 2003</w:t>
      </w:r>
      <w:r w:rsidRPr="004C47B7">
        <w:rPr>
          <w:rFonts w:ascii="Times New Roman" w:hAnsi="Times New Roman"/>
          <w:szCs w:val="24"/>
        </w:rPr>
        <w:t xml:space="preserve">.  The </w:t>
      </w:r>
      <w:r w:rsidRPr="004C47B7">
        <w:rPr>
          <w:rFonts w:ascii="Times New Roman" w:hAnsi="Times New Roman"/>
          <w:i/>
          <w:szCs w:val="24"/>
        </w:rPr>
        <w:t>Legislative Instruments Regulations 2004</w:t>
      </w:r>
      <w:r w:rsidRPr="004C47B7">
        <w:rPr>
          <w:rFonts w:ascii="Times New Roman" w:hAnsi="Times New Roman"/>
          <w:szCs w:val="24"/>
        </w:rPr>
        <w:t xml:space="preserve"> provide that an instrument made under section 19B of the </w:t>
      </w:r>
      <w:r w:rsidRPr="004C47B7">
        <w:rPr>
          <w:rFonts w:ascii="Times New Roman" w:hAnsi="Times New Roman"/>
          <w:i/>
          <w:szCs w:val="24"/>
        </w:rPr>
        <w:t>Acts Interpretation Act 1901</w:t>
      </w:r>
      <w:r w:rsidRPr="004C47B7">
        <w:rPr>
          <w:rFonts w:ascii="Times New Roman" w:hAnsi="Times New Roman"/>
          <w:szCs w:val="24"/>
        </w:rPr>
        <w:t xml:space="preserve"> is </w:t>
      </w:r>
      <w:r w:rsidR="00B16433" w:rsidRPr="00F7675A">
        <w:rPr>
          <w:rFonts w:ascii="Times New Roman" w:hAnsi="Times New Roman"/>
          <w:szCs w:val="24"/>
        </w:rPr>
        <w:t xml:space="preserve">not subject to the disallowance or sunset provisions of the </w:t>
      </w:r>
      <w:r w:rsidR="00B16433" w:rsidRPr="00F7675A">
        <w:rPr>
          <w:rFonts w:ascii="Times New Roman" w:hAnsi="Times New Roman"/>
          <w:i/>
          <w:szCs w:val="24"/>
        </w:rPr>
        <w:t>Legislative Instruments Act 2003</w:t>
      </w:r>
      <w:r w:rsidR="00B16433" w:rsidRPr="00F7675A">
        <w:rPr>
          <w:rFonts w:ascii="Times New Roman" w:hAnsi="Times New Roman"/>
          <w:szCs w:val="24"/>
        </w:rPr>
        <w:t xml:space="preserve">.  </w:t>
      </w:r>
      <w:r>
        <w:rPr>
          <w:rFonts w:ascii="Times New Roman" w:hAnsi="Times New Roman"/>
          <w:szCs w:val="24"/>
        </w:rPr>
        <w:t>Accordingly a human rights statement of comp</w:t>
      </w:r>
      <w:r w:rsidR="00120C1C">
        <w:rPr>
          <w:rFonts w:ascii="Times New Roman" w:hAnsi="Times New Roman"/>
          <w:szCs w:val="24"/>
        </w:rPr>
        <w:t>atibility is not required</w:t>
      </w:r>
      <w:r>
        <w:rPr>
          <w:rFonts w:ascii="Times New Roman" w:hAnsi="Times New Roman"/>
          <w:szCs w:val="24"/>
        </w:rPr>
        <w:t>.</w:t>
      </w:r>
    </w:p>
    <w:p w:rsidR="008B328F" w:rsidRPr="004C47B7" w:rsidRDefault="008B328F" w:rsidP="008B328F">
      <w:pPr>
        <w:spacing w:before="120" w:after="120"/>
        <w:rPr>
          <w:rFonts w:ascii="Times New Roman" w:hAnsi="Times New Roman"/>
          <w:szCs w:val="24"/>
        </w:rPr>
      </w:pPr>
      <w:r w:rsidRPr="004C47B7">
        <w:rPr>
          <w:rFonts w:ascii="Times New Roman" w:hAnsi="Times New Roman"/>
          <w:szCs w:val="24"/>
        </w:rPr>
        <w:t>The Order commence</w:t>
      </w:r>
      <w:r>
        <w:rPr>
          <w:rFonts w:ascii="Times New Roman" w:hAnsi="Times New Roman"/>
          <w:szCs w:val="24"/>
        </w:rPr>
        <w:t>s</w:t>
      </w:r>
      <w:r w:rsidRPr="004C47B7">
        <w:rPr>
          <w:rFonts w:ascii="Times New Roman" w:hAnsi="Times New Roman"/>
          <w:szCs w:val="24"/>
        </w:rPr>
        <w:t xml:space="preserve"> on the day after it is registered on the Federal Register of Legislative Instruments.</w:t>
      </w:r>
    </w:p>
    <w:p w:rsidR="008B328F" w:rsidRPr="004C47B7" w:rsidRDefault="008B328F" w:rsidP="008B328F">
      <w:pPr>
        <w:spacing w:before="120" w:after="120"/>
        <w:rPr>
          <w:rFonts w:ascii="Times New Roman" w:hAnsi="Times New Roman"/>
          <w:szCs w:val="24"/>
        </w:rPr>
      </w:pPr>
      <w:r w:rsidRPr="000B2E0C">
        <w:rPr>
          <w:rFonts w:ascii="Times New Roman" w:hAnsi="Times New Roman"/>
          <w:szCs w:val="24"/>
        </w:rPr>
        <w:t xml:space="preserve">The Order was developed in consultation with </w:t>
      </w:r>
      <w:r>
        <w:rPr>
          <w:rFonts w:ascii="Times New Roman" w:hAnsi="Times New Roman"/>
          <w:szCs w:val="24"/>
        </w:rPr>
        <w:t xml:space="preserve">all </w:t>
      </w:r>
      <w:r w:rsidR="00A27B1B">
        <w:rPr>
          <w:rFonts w:ascii="Times New Roman" w:hAnsi="Times New Roman"/>
          <w:szCs w:val="24"/>
        </w:rPr>
        <w:t xml:space="preserve">relevant </w:t>
      </w:r>
      <w:r>
        <w:rPr>
          <w:rFonts w:ascii="Times New Roman" w:hAnsi="Times New Roman"/>
          <w:szCs w:val="24"/>
        </w:rPr>
        <w:t xml:space="preserve">Commonwealth </w:t>
      </w:r>
      <w:r w:rsidRPr="0074725D">
        <w:rPr>
          <w:rFonts w:ascii="Times New Roman" w:hAnsi="Times New Roman"/>
          <w:szCs w:val="24"/>
        </w:rPr>
        <w:t>De</w:t>
      </w:r>
      <w:r>
        <w:rPr>
          <w:rFonts w:ascii="Times New Roman" w:hAnsi="Times New Roman"/>
          <w:szCs w:val="24"/>
        </w:rPr>
        <w:t>partments</w:t>
      </w:r>
      <w:r w:rsidRPr="0074725D">
        <w:rPr>
          <w:rFonts w:ascii="Times New Roman" w:hAnsi="Times New Roman"/>
          <w:szCs w:val="24"/>
        </w:rPr>
        <w:t xml:space="preserve">.  </w:t>
      </w:r>
      <w:r w:rsidRPr="000B2E0C">
        <w:rPr>
          <w:rFonts w:ascii="Times New Roman" w:hAnsi="Times New Roman"/>
          <w:szCs w:val="24"/>
        </w:rPr>
        <w:t xml:space="preserve">The Order </w:t>
      </w:r>
      <w:r>
        <w:rPr>
          <w:rFonts w:ascii="Times New Roman" w:hAnsi="Times New Roman"/>
          <w:szCs w:val="24"/>
        </w:rPr>
        <w:t>is o</w:t>
      </w:r>
      <w:r w:rsidRPr="000B2E0C">
        <w:rPr>
          <w:rFonts w:ascii="Times New Roman" w:hAnsi="Times New Roman"/>
          <w:szCs w:val="24"/>
        </w:rPr>
        <w:t>f a machinery nature</w:t>
      </w:r>
      <w:r>
        <w:rPr>
          <w:rFonts w:ascii="Times New Roman" w:hAnsi="Times New Roman"/>
          <w:szCs w:val="24"/>
        </w:rPr>
        <w:t xml:space="preserve"> only and </w:t>
      </w:r>
      <w:r w:rsidRPr="0074725D">
        <w:rPr>
          <w:rFonts w:ascii="Times New Roman" w:hAnsi="Times New Roman"/>
          <w:szCs w:val="24"/>
        </w:rPr>
        <w:t>has no direct or substantial indirect effect on business.</w:t>
      </w:r>
    </w:p>
    <w:p w:rsidR="008B328F" w:rsidRPr="004C47B7" w:rsidRDefault="008B328F" w:rsidP="008B328F">
      <w:pPr>
        <w:spacing w:before="120" w:after="120"/>
        <w:jc w:val="right"/>
        <w:rPr>
          <w:rFonts w:ascii="Times New Roman" w:hAnsi="Times New Roman"/>
          <w:szCs w:val="24"/>
        </w:rPr>
      </w:pPr>
      <w:r w:rsidRPr="004C47B7">
        <w:rPr>
          <w:rFonts w:ascii="Times New Roman" w:hAnsi="Times New Roman"/>
          <w:szCs w:val="24"/>
          <w:u w:val="single"/>
        </w:rPr>
        <w:t>Authority</w:t>
      </w:r>
      <w:r w:rsidRPr="004C47B7">
        <w:rPr>
          <w:rFonts w:ascii="Times New Roman" w:hAnsi="Times New Roman"/>
          <w:szCs w:val="24"/>
        </w:rPr>
        <w:t xml:space="preserve">:  Section 19B of the </w:t>
      </w:r>
      <w:r w:rsidR="00DD0B0B">
        <w:rPr>
          <w:rFonts w:ascii="Times New Roman" w:hAnsi="Times New Roman"/>
          <w:szCs w:val="24"/>
        </w:rPr>
        <w:tab/>
      </w:r>
      <w:r w:rsidR="00DD0B0B">
        <w:rPr>
          <w:rFonts w:ascii="Times New Roman" w:hAnsi="Times New Roman"/>
          <w:szCs w:val="24"/>
        </w:rPr>
        <w:tab/>
      </w:r>
      <w:r w:rsidRPr="004C47B7">
        <w:rPr>
          <w:rFonts w:ascii="Times New Roman" w:hAnsi="Times New Roman"/>
          <w:szCs w:val="24"/>
        </w:rPr>
        <w:br/>
      </w:r>
      <w:r w:rsidRPr="004C47B7">
        <w:rPr>
          <w:rFonts w:ascii="Times New Roman" w:hAnsi="Times New Roman"/>
          <w:i/>
          <w:szCs w:val="24"/>
        </w:rPr>
        <w:t>Acts Interpretation Act 1901</w:t>
      </w:r>
      <w:r w:rsidR="00DD0B0B">
        <w:rPr>
          <w:rFonts w:ascii="Times New Roman" w:hAnsi="Times New Roman"/>
          <w:i/>
          <w:szCs w:val="24"/>
        </w:rPr>
        <w:tab/>
      </w:r>
    </w:p>
    <w:p w:rsidR="007D0763" w:rsidRDefault="007D0763" w:rsidP="007D0763">
      <w:pPr>
        <w:rPr>
          <w:rFonts w:ascii="Times New Roman" w:hAnsi="Times New Roman"/>
          <w:szCs w:val="24"/>
        </w:rPr>
      </w:pPr>
    </w:p>
    <w:p w:rsidR="0074725D" w:rsidRPr="005A6382" w:rsidRDefault="0074725D" w:rsidP="007D0763">
      <w:pPr>
        <w:rPr>
          <w:rFonts w:ascii="Times New Roman" w:hAnsi="Times New Roman"/>
          <w:szCs w:val="24"/>
        </w:rPr>
      </w:pPr>
    </w:p>
    <w:p w:rsidR="00691191" w:rsidRPr="005A6382" w:rsidRDefault="00691191" w:rsidP="00691191">
      <w:pPr>
        <w:ind w:left="5103"/>
        <w:jc w:val="right"/>
        <w:rPr>
          <w:rFonts w:ascii="Times New Roman" w:hAnsi="Times New Roman"/>
          <w:b/>
          <w:szCs w:val="24"/>
          <w:u w:val="single"/>
        </w:rPr>
      </w:pPr>
      <w:r w:rsidRPr="005A6382">
        <w:rPr>
          <w:rFonts w:ascii="Times New Roman" w:hAnsi="Times New Roman"/>
          <w:szCs w:val="24"/>
        </w:rPr>
        <w:br w:type="page"/>
      </w:r>
      <w:r w:rsidRPr="005A6382">
        <w:rPr>
          <w:rFonts w:ascii="Times New Roman" w:hAnsi="Times New Roman"/>
          <w:b/>
          <w:szCs w:val="24"/>
          <w:u w:val="single"/>
        </w:rPr>
        <w:lastRenderedPageBreak/>
        <w:t>ATTACHMENT</w:t>
      </w:r>
    </w:p>
    <w:p w:rsidR="00D44DBE" w:rsidRPr="00E43FCD" w:rsidRDefault="00D44DBE" w:rsidP="007D0763">
      <w:pPr>
        <w:ind w:left="5103"/>
        <w:jc w:val="right"/>
        <w:rPr>
          <w:rFonts w:ascii="Times New Roman" w:hAnsi="Times New Roman"/>
          <w:b/>
          <w:szCs w:val="24"/>
        </w:rPr>
      </w:pPr>
    </w:p>
    <w:p w:rsidR="008B328F" w:rsidRPr="009D358E" w:rsidRDefault="008B328F" w:rsidP="008B328F">
      <w:pPr>
        <w:spacing w:before="120" w:after="120"/>
        <w:rPr>
          <w:rFonts w:ascii="Times New Roman" w:hAnsi="Times New Roman"/>
          <w:b/>
          <w:i/>
          <w:szCs w:val="24"/>
          <w:u w:val="single"/>
        </w:rPr>
      </w:pPr>
      <w:r w:rsidRPr="009D358E">
        <w:rPr>
          <w:rFonts w:ascii="Times New Roman" w:hAnsi="Times New Roman"/>
          <w:b/>
          <w:szCs w:val="24"/>
          <w:u w:val="single"/>
        </w:rPr>
        <w:t xml:space="preserve">Details of the </w:t>
      </w:r>
      <w:r w:rsidRPr="009D358E">
        <w:rPr>
          <w:rFonts w:ascii="Times New Roman" w:hAnsi="Times New Roman"/>
          <w:b/>
          <w:i/>
          <w:szCs w:val="24"/>
          <w:u w:val="single"/>
        </w:rPr>
        <w:t xml:space="preserve">Acts Interpretation (Substituted References – Section 19B) Amendment Order </w:t>
      </w:r>
      <w:r w:rsidR="003D3D39">
        <w:rPr>
          <w:rFonts w:ascii="Times New Roman" w:hAnsi="Times New Roman"/>
          <w:b/>
          <w:i/>
          <w:szCs w:val="24"/>
          <w:u w:val="single"/>
        </w:rPr>
        <w:t>2013</w:t>
      </w:r>
      <w:r w:rsidRPr="009D358E">
        <w:rPr>
          <w:rFonts w:ascii="Times New Roman" w:hAnsi="Times New Roman"/>
          <w:b/>
          <w:i/>
          <w:szCs w:val="24"/>
          <w:u w:val="single"/>
        </w:rPr>
        <w:t xml:space="preserve"> (No.</w:t>
      </w:r>
      <w:r w:rsidR="00096583" w:rsidRPr="009D358E">
        <w:rPr>
          <w:rFonts w:ascii="Times New Roman" w:hAnsi="Times New Roman"/>
          <w:b/>
          <w:i/>
          <w:szCs w:val="24"/>
          <w:u w:val="single"/>
        </w:rPr>
        <w:t xml:space="preserve"> </w:t>
      </w:r>
      <w:r w:rsidR="00DD0B0B">
        <w:rPr>
          <w:rFonts w:ascii="Times New Roman" w:hAnsi="Times New Roman"/>
          <w:b/>
          <w:i/>
          <w:szCs w:val="24"/>
          <w:u w:val="single"/>
        </w:rPr>
        <w:t>1</w:t>
      </w:r>
      <w:r w:rsidRPr="009D358E">
        <w:rPr>
          <w:rFonts w:ascii="Times New Roman" w:hAnsi="Times New Roman"/>
          <w:b/>
          <w:i/>
          <w:szCs w:val="24"/>
          <w:u w:val="single"/>
        </w:rPr>
        <w:t>)</w:t>
      </w:r>
    </w:p>
    <w:p w:rsidR="008B328F" w:rsidRPr="004C47B7" w:rsidRDefault="008B328F" w:rsidP="008B328F">
      <w:pPr>
        <w:spacing w:before="120" w:after="120"/>
        <w:rPr>
          <w:rFonts w:ascii="Times New Roman" w:hAnsi="Times New Roman"/>
          <w:szCs w:val="24"/>
        </w:rPr>
      </w:pPr>
      <w:r w:rsidRPr="004C47B7">
        <w:rPr>
          <w:rFonts w:ascii="Times New Roman" w:hAnsi="Times New Roman"/>
          <w:b/>
          <w:szCs w:val="24"/>
        </w:rPr>
        <w:t>Section 1</w:t>
      </w:r>
      <w:r w:rsidRPr="004C47B7">
        <w:rPr>
          <w:rFonts w:ascii="Times New Roman" w:hAnsi="Times New Roman"/>
          <w:szCs w:val="24"/>
        </w:rPr>
        <w:t xml:space="preserve"> provides that the Order </w:t>
      </w:r>
      <w:r>
        <w:rPr>
          <w:rFonts w:ascii="Times New Roman" w:hAnsi="Times New Roman"/>
          <w:szCs w:val="24"/>
        </w:rPr>
        <w:t>is</w:t>
      </w:r>
      <w:r w:rsidRPr="004C47B7">
        <w:rPr>
          <w:rFonts w:ascii="Times New Roman" w:hAnsi="Times New Roman"/>
          <w:szCs w:val="24"/>
        </w:rPr>
        <w:t xml:space="preserve"> named the </w:t>
      </w:r>
      <w:r w:rsidRPr="004C47B7">
        <w:rPr>
          <w:rFonts w:ascii="Times New Roman" w:hAnsi="Times New Roman"/>
          <w:i/>
          <w:szCs w:val="24"/>
        </w:rPr>
        <w:t>Acts Interpretation (Substituted References - Section 19B) Amendment Order 201</w:t>
      </w:r>
      <w:r w:rsidR="00A81387">
        <w:rPr>
          <w:rFonts w:ascii="Times New Roman" w:hAnsi="Times New Roman"/>
          <w:i/>
          <w:szCs w:val="24"/>
        </w:rPr>
        <w:t>3</w:t>
      </w:r>
      <w:r w:rsidRPr="004C47B7">
        <w:rPr>
          <w:rFonts w:ascii="Times New Roman" w:hAnsi="Times New Roman"/>
          <w:szCs w:val="24"/>
        </w:rPr>
        <w:t xml:space="preserve"> </w:t>
      </w:r>
      <w:r w:rsidR="00DD0B0B">
        <w:rPr>
          <w:rFonts w:ascii="Times New Roman" w:hAnsi="Times New Roman"/>
          <w:i/>
          <w:szCs w:val="24"/>
        </w:rPr>
        <w:t>(No. 1</w:t>
      </w:r>
      <w:r w:rsidRPr="004C47B7">
        <w:rPr>
          <w:rFonts w:ascii="Times New Roman" w:hAnsi="Times New Roman"/>
          <w:i/>
          <w:szCs w:val="24"/>
        </w:rPr>
        <w:t>)</w:t>
      </w:r>
      <w:r w:rsidRPr="004C47B7">
        <w:rPr>
          <w:rFonts w:ascii="Times New Roman" w:hAnsi="Times New Roman"/>
          <w:szCs w:val="24"/>
        </w:rPr>
        <w:t>.</w:t>
      </w:r>
    </w:p>
    <w:p w:rsidR="008B328F" w:rsidRPr="004C47B7" w:rsidRDefault="008B328F" w:rsidP="008B328F">
      <w:pPr>
        <w:autoSpaceDE w:val="0"/>
        <w:autoSpaceDN w:val="0"/>
        <w:adjustRightInd w:val="0"/>
        <w:spacing w:before="120" w:after="120"/>
        <w:rPr>
          <w:rFonts w:ascii="Times New Roman" w:hAnsi="Times New Roman"/>
          <w:i/>
          <w:iCs/>
          <w:szCs w:val="24"/>
        </w:rPr>
      </w:pPr>
      <w:r w:rsidRPr="004C47B7">
        <w:rPr>
          <w:rFonts w:ascii="Times New Roman" w:hAnsi="Times New Roman"/>
          <w:b/>
          <w:szCs w:val="24"/>
        </w:rPr>
        <w:t xml:space="preserve">Section 2 </w:t>
      </w:r>
      <w:r w:rsidRPr="004C47B7">
        <w:rPr>
          <w:rFonts w:ascii="Times New Roman" w:hAnsi="Times New Roman"/>
          <w:szCs w:val="24"/>
        </w:rPr>
        <w:t>provides that the Order commence</w:t>
      </w:r>
      <w:r>
        <w:rPr>
          <w:rFonts w:ascii="Times New Roman" w:hAnsi="Times New Roman"/>
          <w:szCs w:val="24"/>
        </w:rPr>
        <w:t>s</w:t>
      </w:r>
      <w:r w:rsidRPr="004C47B7">
        <w:rPr>
          <w:rFonts w:ascii="Times New Roman" w:hAnsi="Times New Roman"/>
          <w:szCs w:val="24"/>
        </w:rPr>
        <w:t xml:space="preserve"> on the day after it is registered on the Federal Register of Legislative Instruments.</w:t>
      </w:r>
    </w:p>
    <w:p w:rsidR="00B16433" w:rsidRPr="00876D5D" w:rsidRDefault="00B16433" w:rsidP="00B16433">
      <w:pPr>
        <w:autoSpaceDE w:val="0"/>
        <w:autoSpaceDN w:val="0"/>
        <w:adjustRightInd w:val="0"/>
        <w:spacing w:before="120" w:after="120"/>
        <w:rPr>
          <w:rFonts w:ascii="Times New Roman" w:hAnsi="Times New Roman"/>
          <w:b/>
          <w:iCs/>
          <w:szCs w:val="24"/>
        </w:rPr>
      </w:pPr>
      <w:r>
        <w:rPr>
          <w:rFonts w:ascii="Times New Roman" w:hAnsi="Times New Roman"/>
          <w:b/>
          <w:szCs w:val="24"/>
        </w:rPr>
        <w:t xml:space="preserve">Section 3 </w:t>
      </w:r>
      <w:r w:rsidRPr="00876D5D">
        <w:rPr>
          <w:rFonts w:ascii="Times New Roman" w:hAnsi="Times New Roman"/>
          <w:szCs w:val="24"/>
        </w:rPr>
        <w:t xml:space="preserve">provides that the Order </w:t>
      </w:r>
      <w:r>
        <w:rPr>
          <w:rFonts w:ascii="Times New Roman" w:hAnsi="Times New Roman"/>
          <w:szCs w:val="24"/>
        </w:rPr>
        <w:t>is</w:t>
      </w:r>
      <w:r w:rsidRPr="00876D5D">
        <w:rPr>
          <w:rFonts w:ascii="Times New Roman" w:hAnsi="Times New Roman"/>
          <w:szCs w:val="24"/>
        </w:rPr>
        <w:t xml:space="preserve"> made under subsections 19B(1), (2) and</w:t>
      </w:r>
      <w:r>
        <w:rPr>
          <w:rFonts w:ascii="Times New Roman" w:hAnsi="Times New Roman"/>
          <w:szCs w:val="24"/>
        </w:rPr>
        <w:t xml:space="preserve"> </w:t>
      </w:r>
      <w:r w:rsidRPr="00876D5D">
        <w:rPr>
          <w:rFonts w:ascii="Times New Roman" w:hAnsi="Times New Roman"/>
          <w:szCs w:val="24"/>
        </w:rPr>
        <w:t xml:space="preserve">(3) of the </w:t>
      </w:r>
      <w:r w:rsidRPr="00876D5D">
        <w:rPr>
          <w:rFonts w:ascii="Times New Roman" w:hAnsi="Times New Roman"/>
          <w:i/>
          <w:szCs w:val="24"/>
        </w:rPr>
        <w:t>Acts Interpretation Act 1901</w:t>
      </w:r>
      <w:r>
        <w:rPr>
          <w:rFonts w:ascii="Times New Roman" w:hAnsi="Times New Roman"/>
          <w:szCs w:val="24"/>
        </w:rPr>
        <w:t xml:space="preserve">. </w:t>
      </w:r>
    </w:p>
    <w:p w:rsidR="008B328F" w:rsidRPr="004C47B7" w:rsidRDefault="008B328F" w:rsidP="008B328F">
      <w:pPr>
        <w:spacing w:before="120" w:after="120"/>
        <w:rPr>
          <w:rFonts w:ascii="Times New Roman" w:hAnsi="Times New Roman"/>
          <w:szCs w:val="24"/>
        </w:rPr>
      </w:pPr>
      <w:r w:rsidRPr="004C47B7">
        <w:rPr>
          <w:rFonts w:ascii="Times New Roman" w:hAnsi="Times New Roman"/>
          <w:b/>
          <w:szCs w:val="24"/>
        </w:rPr>
        <w:t xml:space="preserve">Section </w:t>
      </w:r>
      <w:r w:rsidR="00B16433">
        <w:rPr>
          <w:rFonts w:ascii="Times New Roman" w:hAnsi="Times New Roman"/>
          <w:b/>
          <w:szCs w:val="24"/>
        </w:rPr>
        <w:t>4</w:t>
      </w:r>
      <w:r w:rsidRPr="004C47B7">
        <w:rPr>
          <w:rFonts w:ascii="Times New Roman" w:hAnsi="Times New Roman"/>
          <w:szCs w:val="24"/>
        </w:rPr>
        <w:t xml:space="preserve"> provides that Schedule 1 amend</w:t>
      </w:r>
      <w:r>
        <w:rPr>
          <w:rFonts w:ascii="Times New Roman" w:hAnsi="Times New Roman"/>
          <w:szCs w:val="24"/>
        </w:rPr>
        <w:t>s</w:t>
      </w:r>
      <w:r w:rsidRPr="004C47B7">
        <w:rPr>
          <w:rFonts w:ascii="Times New Roman" w:hAnsi="Times New Roman"/>
          <w:szCs w:val="24"/>
        </w:rPr>
        <w:t xml:space="preserve"> the </w:t>
      </w:r>
      <w:r w:rsidRPr="004C47B7">
        <w:rPr>
          <w:rFonts w:ascii="Times New Roman" w:hAnsi="Times New Roman"/>
          <w:i/>
          <w:szCs w:val="24"/>
        </w:rPr>
        <w:t xml:space="preserve">Acts Interpretation (Substituted References – Section 19B) Order 1997 </w:t>
      </w:r>
      <w:r w:rsidRPr="004C47B7">
        <w:rPr>
          <w:rFonts w:ascii="Times New Roman" w:hAnsi="Times New Roman"/>
          <w:szCs w:val="24"/>
        </w:rPr>
        <w:t>(the original Order).</w:t>
      </w:r>
      <w:bookmarkStart w:id="0" w:name="OLE_LINK5"/>
    </w:p>
    <w:p w:rsidR="008B328F" w:rsidRPr="004C47B7" w:rsidRDefault="008B328F" w:rsidP="008B328F">
      <w:pPr>
        <w:spacing w:before="120" w:after="120"/>
        <w:rPr>
          <w:rFonts w:ascii="Times New Roman" w:hAnsi="Times New Roman"/>
          <w:b/>
          <w:szCs w:val="24"/>
          <w:u w:val="single"/>
        </w:rPr>
      </w:pPr>
      <w:r w:rsidRPr="004C47B7">
        <w:rPr>
          <w:rFonts w:ascii="Times New Roman" w:hAnsi="Times New Roman"/>
          <w:b/>
          <w:szCs w:val="24"/>
          <w:u w:val="single"/>
        </w:rPr>
        <w:t>Schedule 1</w:t>
      </w:r>
    </w:p>
    <w:p w:rsidR="008B328F" w:rsidRPr="004C47B7" w:rsidRDefault="008B328F" w:rsidP="008B328F">
      <w:pPr>
        <w:spacing w:before="120" w:after="120"/>
        <w:rPr>
          <w:rFonts w:ascii="Times New Roman" w:hAnsi="Times New Roman"/>
          <w:b/>
          <w:szCs w:val="24"/>
          <w:u w:val="single"/>
        </w:rPr>
      </w:pPr>
      <w:r w:rsidRPr="004C47B7">
        <w:rPr>
          <w:rFonts w:ascii="Times New Roman" w:hAnsi="Times New Roman"/>
          <w:szCs w:val="24"/>
        </w:rPr>
        <w:t>The items in Schedule 1 amend the original Order.</w:t>
      </w:r>
    </w:p>
    <w:bookmarkEnd w:id="0"/>
    <w:p w:rsidR="008B328F" w:rsidRPr="004C47B7" w:rsidRDefault="008B328F" w:rsidP="008B328F">
      <w:pPr>
        <w:spacing w:before="120" w:after="120"/>
        <w:rPr>
          <w:rFonts w:ascii="Times New Roman" w:hAnsi="Times New Roman"/>
          <w:szCs w:val="24"/>
          <w:u w:val="single"/>
        </w:rPr>
      </w:pPr>
      <w:r w:rsidRPr="004C47B7">
        <w:rPr>
          <w:rFonts w:ascii="Times New Roman" w:hAnsi="Times New Roman"/>
          <w:szCs w:val="24"/>
          <w:u w:val="single"/>
        </w:rPr>
        <w:t xml:space="preserve">Amendments to Schedule 1 </w:t>
      </w:r>
      <w:r w:rsidR="009D358E">
        <w:rPr>
          <w:rFonts w:ascii="Times New Roman" w:hAnsi="Times New Roman"/>
          <w:szCs w:val="24"/>
          <w:u w:val="single"/>
        </w:rPr>
        <w:t>to</w:t>
      </w:r>
      <w:r w:rsidRPr="004C47B7">
        <w:rPr>
          <w:rFonts w:ascii="Times New Roman" w:hAnsi="Times New Roman"/>
          <w:szCs w:val="24"/>
          <w:u w:val="single"/>
        </w:rPr>
        <w:t xml:space="preserve"> the original Order</w:t>
      </w:r>
    </w:p>
    <w:p w:rsidR="008B328F" w:rsidRPr="004C47B7" w:rsidRDefault="008B328F" w:rsidP="008B328F">
      <w:pPr>
        <w:spacing w:before="120" w:after="120"/>
        <w:rPr>
          <w:rFonts w:ascii="Times New Roman" w:hAnsi="Times New Roman"/>
          <w:szCs w:val="24"/>
        </w:rPr>
      </w:pPr>
      <w:r w:rsidRPr="004C47B7">
        <w:rPr>
          <w:rFonts w:ascii="Times New Roman" w:hAnsi="Times New Roman"/>
          <w:b/>
          <w:szCs w:val="24"/>
        </w:rPr>
        <w:t>Item [</w:t>
      </w:r>
      <w:r>
        <w:rPr>
          <w:rFonts w:ascii="Times New Roman" w:hAnsi="Times New Roman"/>
          <w:b/>
          <w:szCs w:val="24"/>
        </w:rPr>
        <w:t>1</w:t>
      </w:r>
      <w:r w:rsidRPr="004C47B7">
        <w:rPr>
          <w:rFonts w:ascii="Times New Roman" w:hAnsi="Times New Roman"/>
          <w:b/>
          <w:szCs w:val="24"/>
        </w:rPr>
        <w:t xml:space="preserve">] </w:t>
      </w:r>
      <w:r w:rsidRPr="004C47B7">
        <w:rPr>
          <w:rFonts w:ascii="Times New Roman" w:hAnsi="Times New Roman"/>
          <w:szCs w:val="24"/>
        </w:rPr>
        <w:t>substitute</w:t>
      </w:r>
      <w:r w:rsidR="00786528">
        <w:rPr>
          <w:rFonts w:ascii="Times New Roman" w:hAnsi="Times New Roman"/>
          <w:szCs w:val="24"/>
        </w:rPr>
        <w:t>s</w:t>
      </w:r>
      <w:r w:rsidRPr="004C47B7">
        <w:rPr>
          <w:rFonts w:ascii="Times New Roman" w:hAnsi="Times New Roman"/>
          <w:szCs w:val="24"/>
        </w:rPr>
        <w:t xml:space="preserve"> a new heading for Part 1</w:t>
      </w:r>
      <w:r w:rsidR="00A81387">
        <w:rPr>
          <w:rFonts w:ascii="Times New Roman" w:hAnsi="Times New Roman"/>
          <w:szCs w:val="24"/>
        </w:rPr>
        <w:t>5</w:t>
      </w:r>
      <w:r w:rsidRPr="004C47B7">
        <w:rPr>
          <w:rFonts w:ascii="Times New Roman" w:hAnsi="Times New Roman"/>
          <w:szCs w:val="24"/>
        </w:rPr>
        <w:t xml:space="preserve"> of Schedule 1 </w:t>
      </w:r>
      <w:r w:rsidR="009D358E">
        <w:rPr>
          <w:rFonts w:ascii="Times New Roman" w:hAnsi="Times New Roman"/>
          <w:szCs w:val="24"/>
        </w:rPr>
        <w:t>to</w:t>
      </w:r>
      <w:r w:rsidRPr="004C47B7">
        <w:rPr>
          <w:rFonts w:ascii="Times New Roman" w:hAnsi="Times New Roman"/>
          <w:szCs w:val="24"/>
        </w:rPr>
        <w:t xml:space="preserve"> the original Order.  The current heading makes reference to the commencement of the </w:t>
      </w:r>
      <w:r w:rsidRPr="004C47B7">
        <w:rPr>
          <w:rFonts w:ascii="Times New Roman" w:hAnsi="Times New Roman"/>
          <w:i/>
          <w:szCs w:val="24"/>
        </w:rPr>
        <w:t>Acts Interpretation (Substituted References – Section 19B) Amendment Order 201</w:t>
      </w:r>
      <w:r w:rsidR="003D3D39">
        <w:rPr>
          <w:rFonts w:ascii="Times New Roman" w:hAnsi="Times New Roman"/>
          <w:i/>
          <w:szCs w:val="24"/>
        </w:rPr>
        <w:t>3</w:t>
      </w:r>
      <w:r w:rsidRPr="004C47B7">
        <w:rPr>
          <w:rFonts w:ascii="Times New Roman" w:hAnsi="Times New Roman"/>
          <w:i/>
          <w:szCs w:val="24"/>
        </w:rPr>
        <w:t xml:space="preserve"> (No. 1)</w:t>
      </w:r>
      <w:r w:rsidRPr="004C47B7">
        <w:rPr>
          <w:rFonts w:ascii="Times New Roman" w:hAnsi="Times New Roman"/>
          <w:szCs w:val="24"/>
        </w:rPr>
        <w:t>.</w:t>
      </w:r>
      <w:r w:rsidRPr="004C47B7">
        <w:rPr>
          <w:rFonts w:ascii="Times New Roman" w:hAnsi="Times New Roman"/>
          <w:i/>
          <w:szCs w:val="24"/>
        </w:rPr>
        <w:t xml:space="preserve"> </w:t>
      </w:r>
      <w:r w:rsidRPr="004C47B7">
        <w:rPr>
          <w:rFonts w:ascii="Times New Roman" w:hAnsi="Times New Roman"/>
          <w:szCs w:val="24"/>
        </w:rPr>
        <w:t xml:space="preserve"> The heading </w:t>
      </w:r>
      <w:r w:rsidR="00786528">
        <w:rPr>
          <w:rFonts w:ascii="Times New Roman" w:hAnsi="Times New Roman"/>
          <w:szCs w:val="24"/>
        </w:rPr>
        <w:t>is</w:t>
      </w:r>
      <w:r w:rsidRPr="004C47B7">
        <w:rPr>
          <w:rFonts w:ascii="Times New Roman" w:hAnsi="Times New Roman"/>
          <w:szCs w:val="24"/>
        </w:rPr>
        <w:t xml:space="preserve"> updated to the specific date </w:t>
      </w:r>
      <w:r w:rsidR="00B16433" w:rsidRPr="00F7675A">
        <w:rPr>
          <w:rFonts w:ascii="Times New Roman" w:hAnsi="Times New Roman"/>
          <w:szCs w:val="24"/>
        </w:rPr>
        <w:t>(</w:t>
      </w:r>
      <w:r w:rsidR="00B16433">
        <w:rPr>
          <w:rFonts w:ascii="Times New Roman" w:hAnsi="Times New Roman"/>
          <w:szCs w:val="24"/>
        </w:rPr>
        <w:t>9</w:t>
      </w:r>
      <w:r w:rsidR="00B16433" w:rsidRPr="00F7675A">
        <w:rPr>
          <w:rFonts w:ascii="Times New Roman" w:hAnsi="Times New Roman"/>
          <w:szCs w:val="24"/>
        </w:rPr>
        <w:t xml:space="preserve"> February 2012)</w:t>
      </w:r>
      <w:r w:rsidR="00B16433">
        <w:rPr>
          <w:rFonts w:ascii="Times New Roman" w:hAnsi="Times New Roman"/>
          <w:szCs w:val="24"/>
        </w:rPr>
        <w:t>, which is the date the instrument was made.</w:t>
      </w:r>
    </w:p>
    <w:p w:rsidR="008B328F" w:rsidRPr="004C47B7" w:rsidRDefault="008B328F" w:rsidP="008B328F">
      <w:pPr>
        <w:spacing w:before="120" w:after="120"/>
        <w:rPr>
          <w:rFonts w:ascii="Times New Roman" w:hAnsi="Times New Roman"/>
          <w:szCs w:val="24"/>
        </w:rPr>
      </w:pPr>
      <w:r w:rsidRPr="004C47B7">
        <w:rPr>
          <w:rFonts w:ascii="Times New Roman" w:hAnsi="Times New Roman"/>
          <w:b/>
          <w:szCs w:val="24"/>
        </w:rPr>
        <w:t>Item [</w:t>
      </w:r>
      <w:r>
        <w:rPr>
          <w:rFonts w:ascii="Times New Roman" w:hAnsi="Times New Roman"/>
          <w:b/>
          <w:szCs w:val="24"/>
        </w:rPr>
        <w:t>2</w:t>
      </w:r>
      <w:r w:rsidRPr="004C47B7">
        <w:rPr>
          <w:rFonts w:ascii="Times New Roman" w:hAnsi="Times New Roman"/>
          <w:b/>
          <w:szCs w:val="24"/>
        </w:rPr>
        <w:t xml:space="preserve">] </w:t>
      </w:r>
      <w:r w:rsidRPr="004C47B7">
        <w:rPr>
          <w:rFonts w:ascii="Times New Roman" w:hAnsi="Times New Roman"/>
          <w:szCs w:val="24"/>
        </w:rPr>
        <w:t>insert</w:t>
      </w:r>
      <w:r w:rsidR="00786528">
        <w:rPr>
          <w:rFonts w:ascii="Times New Roman" w:hAnsi="Times New Roman"/>
          <w:szCs w:val="24"/>
        </w:rPr>
        <w:t>s</w:t>
      </w:r>
      <w:r w:rsidRPr="004C47B7">
        <w:rPr>
          <w:rFonts w:ascii="Times New Roman" w:hAnsi="Times New Roman"/>
          <w:szCs w:val="24"/>
        </w:rPr>
        <w:t xml:space="preserve"> a new Part 1</w:t>
      </w:r>
      <w:r w:rsidR="00A81387">
        <w:rPr>
          <w:rFonts w:ascii="Times New Roman" w:hAnsi="Times New Roman"/>
          <w:szCs w:val="24"/>
        </w:rPr>
        <w:t>6</w:t>
      </w:r>
      <w:r w:rsidRPr="004C47B7">
        <w:rPr>
          <w:rFonts w:ascii="Times New Roman" w:hAnsi="Times New Roman"/>
          <w:szCs w:val="24"/>
        </w:rPr>
        <w:t xml:space="preserve"> into Schedule 1 </w:t>
      </w:r>
      <w:r w:rsidR="009D358E">
        <w:rPr>
          <w:rFonts w:ascii="Times New Roman" w:hAnsi="Times New Roman"/>
          <w:szCs w:val="24"/>
        </w:rPr>
        <w:t xml:space="preserve">to </w:t>
      </w:r>
      <w:r w:rsidRPr="004C47B7">
        <w:rPr>
          <w:rFonts w:ascii="Times New Roman" w:hAnsi="Times New Roman"/>
          <w:szCs w:val="24"/>
        </w:rPr>
        <w:t>the original Order</w:t>
      </w:r>
      <w:r w:rsidRPr="004C47B7">
        <w:rPr>
          <w:rFonts w:ascii="Times New Roman" w:hAnsi="Times New Roman"/>
          <w:i/>
          <w:szCs w:val="24"/>
        </w:rPr>
        <w:t>.</w:t>
      </w:r>
      <w:r w:rsidRPr="004C47B7">
        <w:rPr>
          <w:rFonts w:ascii="Times New Roman" w:hAnsi="Times New Roman"/>
          <w:szCs w:val="24"/>
        </w:rPr>
        <w:t xml:space="preserve">  Section 3 of the original Order provides for each item in a Part of Schedule 1 to substitute references to the Minister (or Ministers) mentioned in column 2 for references to the Minister (or Ministers) mentioned in column 3, wherever such references occur in a provision mentioned in column 4.  The new Part 1</w:t>
      </w:r>
      <w:r w:rsidR="00A81387">
        <w:rPr>
          <w:rFonts w:ascii="Times New Roman" w:hAnsi="Times New Roman"/>
          <w:szCs w:val="24"/>
        </w:rPr>
        <w:t>6</w:t>
      </w:r>
      <w:r w:rsidRPr="004C47B7">
        <w:rPr>
          <w:rFonts w:ascii="Times New Roman" w:hAnsi="Times New Roman"/>
          <w:szCs w:val="24"/>
        </w:rPr>
        <w:t xml:space="preserve"> of Schedule 1 set</w:t>
      </w:r>
      <w:r w:rsidR="00786528">
        <w:rPr>
          <w:rFonts w:ascii="Times New Roman" w:hAnsi="Times New Roman"/>
          <w:szCs w:val="24"/>
        </w:rPr>
        <w:t>s</w:t>
      </w:r>
      <w:r w:rsidRPr="004C47B7">
        <w:rPr>
          <w:rFonts w:ascii="Times New Roman" w:hAnsi="Times New Roman"/>
          <w:szCs w:val="24"/>
        </w:rPr>
        <w:t xml:space="preserve"> out a new item, the relevant existing reference, substitute reference and affected provisions, for the machinery changes referred to in section 3 of the original Order.  </w:t>
      </w:r>
    </w:p>
    <w:p w:rsidR="008B328F" w:rsidRPr="004C47B7" w:rsidRDefault="008B328F" w:rsidP="008B328F">
      <w:pPr>
        <w:spacing w:before="120" w:after="120"/>
        <w:rPr>
          <w:rFonts w:ascii="Times New Roman" w:hAnsi="Times New Roman"/>
          <w:szCs w:val="24"/>
        </w:rPr>
      </w:pPr>
      <w:r w:rsidRPr="004C47B7">
        <w:rPr>
          <w:rFonts w:ascii="Times New Roman" w:hAnsi="Times New Roman"/>
          <w:szCs w:val="24"/>
        </w:rPr>
        <w:t>As shown in the table below, a reference to the Mini</w:t>
      </w:r>
      <w:r w:rsidR="00724311">
        <w:rPr>
          <w:rFonts w:ascii="Times New Roman" w:hAnsi="Times New Roman"/>
          <w:szCs w:val="24"/>
        </w:rPr>
        <w:t xml:space="preserve">ster listed in the column 2 of </w:t>
      </w:r>
      <w:r w:rsidRPr="004C47B7">
        <w:rPr>
          <w:rFonts w:ascii="Times New Roman" w:hAnsi="Times New Roman"/>
          <w:szCs w:val="24"/>
        </w:rPr>
        <w:t xml:space="preserve">Part 15, in a provision listed in column 4, </w:t>
      </w:r>
      <w:r w:rsidR="00246D54">
        <w:rPr>
          <w:rFonts w:ascii="Times New Roman" w:hAnsi="Times New Roman"/>
          <w:szCs w:val="24"/>
        </w:rPr>
        <w:t>is</w:t>
      </w:r>
      <w:r w:rsidRPr="004C47B7">
        <w:rPr>
          <w:rFonts w:ascii="Times New Roman" w:hAnsi="Times New Roman"/>
          <w:szCs w:val="24"/>
        </w:rPr>
        <w:t xml:space="preserve"> replaced by a reference to the Minister listed in column 3.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835"/>
        <w:gridCol w:w="2835"/>
        <w:gridCol w:w="3119"/>
      </w:tblGrid>
      <w:tr w:rsidR="008B328F" w:rsidRPr="004C47B7" w:rsidTr="00A81387">
        <w:trPr>
          <w:cantSplit/>
          <w:tblHeader/>
        </w:trPr>
        <w:tc>
          <w:tcPr>
            <w:tcW w:w="709" w:type="dxa"/>
            <w:tcBorders>
              <w:bottom w:val="single" w:sz="4" w:space="0" w:color="auto"/>
            </w:tcBorders>
          </w:tcPr>
          <w:p w:rsidR="008B328F" w:rsidRPr="004C47B7" w:rsidRDefault="008B328F" w:rsidP="00497B5A">
            <w:pPr>
              <w:pStyle w:val="TableColHead"/>
              <w:spacing w:after="120" w:line="240" w:lineRule="auto"/>
              <w:jc w:val="left"/>
              <w:rPr>
                <w:rFonts w:ascii="Times New Roman" w:hAnsi="Times New Roman"/>
                <w:sz w:val="24"/>
              </w:rPr>
            </w:pPr>
            <w:r w:rsidRPr="004C47B7">
              <w:rPr>
                <w:rFonts w:ascii="Times New Roman" w:hAnsi="Times New Roman"/>
                <w:sz w:val="24"/>
              </w:rPr>
              <w:t>Item</w:t>
            </w:r>
          </w:p>
        </w:tc>
        <w:tc>
          <w:tcPr>
            <w:tcW w:w="2835" w:type="dxa"/>
            <w:tcBorders>
              <w:bottom w:val="single" w:sz="4" w:space="0" w:color="auto"/>
            </w:tcBorders>
          </w:tcPr>
          <w:p w:rsidR="008B328F" w:rsidRPr="004C47B7" w:rsidRDefault="008B328F" w:rsidP="00497B5A">
            <w:pPr>
              <w:pStyle w:val="TableColHead"/>
              <w:spacing w:after="120" w:line="240" w:lineRule="auto"/>
              <w:rPr>
                <w:rFonts w:ascii="Times New Roman" w:hAnsi="Times New Roman"/>
                <w:sz w:val="24"/>
              </w:rPr>
            </w:pPr>
            <w:r w:rsidRPr="004C47B7">
              <w:rPr>
                <w:rFonts w:ascii="Times New Roman" w:hAnsi="Times New Roman"/>
                <w:sz w:val="24"/>
              </w:rPr>
              <w:t>Existing reference</w:t>
            </w:r>
          </w:p>
        </w:tc>
        <w:tc>
          <w:tcPr>
            <w:tcW w:w="2835" w:type="dxa"/>
            <w:tcBorders>
              <w:bottom w:val="single" w:sz="4" w:space="0" w:color="auto"/>
            </w:tcBorders>
          </w:tcPr>
          <w:p w:rsidR="008B328F" w:rsidRPr="004C47B7" w:rsidRDefault="008B328F" w:rsidP="00497B5A">
            <w:pPr>
              <w:pStyle w:val="TableColHead"/>
              <w:spacing w:after="120" w:line="240" w:lineRule="auto"/>
              <w:rPr>
                <w:rFonts w:ascii="Times New Roman" w:hAnsi="Times New Roman"/>
                <w:sz w:val="24"/>
              </w:rPr>
            </w:pPr>
            <w:r w:rsidRPr="004C47B7">
              <w:rPr>
                <w:rFonts w:ascii="Times New Roman" w:hAnsi="Times New Roman"/>
                <w:sz w:val="24"/>
              </w:rPr>
              <w:t>Substitute reference</w:t>
            </w:r>
          </w:p>
        </w:tc>
        <w:tc>
          <w:tcPr>
            <w:tcW w:w="3119" w:type="dxa"/>
            <w:tcBorders>
              <w:bottom w:val="single" w:sz="4" w:space="0" w:color="auto"/>
            </w:tcBorders>
          </w:tcPr>
          <w:p w:rsidR="008B328F" w:rsidRPr="004C47B7" w:rsidRDefault="008B328F" w:rsidP="00497B5A">
            <w:pPr>
              <w:pStyle w:val="TableColHead"/>
              <w:spacing w:after="120" w:line="240" w:lineRule="auto"/>
              <w:rPr>
                <w:rFonts w:ascii="Times New Roman" w:hAnsi="Times New Roman"/>
                <w:sz w:val="24"/>
              </w:rPr>
            </w:pPr>
            <w:r w:rsidRPr="004C47B7">
              <w:rPr>
                <w:rFonts w:ascii="Times New Roman" w:hAnsi="Times New Roman"/>
                <w:sz w:val="24"/>
              </w:rPr>
              <w:t>Affected provisions</w:t>
            </w:r>
          </w:p>
        </w:tc>
      </w:tr>
      <w:tr w:rsidR="00A81387" w:rsidRPr="004C47B7" w:rsidTr="00A81387">
        <w:trPr>
          <w:cantSplit/>
        </w:trPr>
        <w:tc>
          <w:tcPr>
            <w:tcW w:w="709" w:type="dxa"/>
            <w:tcBorders>
              <w:top w:val="single" w:sz="4" w:space="0" w:color="auto"/>
              <w:bottom w:val="single" w:sz="4" w:space="0" w:color="auto"/>
            </w:tcBorders>
          </w:tcPr>
          <w:p w:rsidR="00A81387" w:rsidRPr="00F7675A" w:rsidRDefault="00A81387" w:rsidP="005D6D4C">
            <w:pPr>
              <w:pStyle w:val="TableText"/>
              <w:spacing w:before="120" w:after="120" w:line="240" w:lineRule="auto"/>
              <w:rPr>
                <w:sz w:val="24"/>
              </w:rPr>
            </w:pPr>
            <w:r w:rsidRPr="00F7675A">
              <w:rPr>
                <w:sz w:val="24"/>
              </w:rPr>
              <w:t>1</w:t>
            </w:r>
          </w:p>
        </w:tc>
        <w:tc>
          <w:tcPr>
            <w:tcW w:w="2835" w:type="dxa"/>
            <w:tcBorders>
              <w:top w:val="single" w:sz="4" w:space="0" w:color="auto"/>
              <w:bottom w:val="single" w:sz="4" w:space="0" w:color="auto"/>
            </w:tcBorders>
          </w:tcPr>
          <w:p w:rsidR="00A81387" w:rsidRPr="00F7675A" w:rsidRDefault="00A81387" w:rsidP="005D6D4C">
            <w:pPr>
              <w:pStyle w:val="TableText"/>
              <w:spacing w:before="120" w:after="120" w:line="240" w:lineRule="auto"/>
              <w:rPr>
                <w:sz w:val="24"/>
              </w:rPr>
            </w:pPr>
            <w:r w:rsidRPr="00F7675A">
              <w:rPr>
                <w:sz w:val="24"/>
              </w:rPr>
              <w:t xml:space="preserve">Minister for Regional Australia, Regional Development and Local Government </w:t>
            </w:r>
          </w:p>
        </w:tc>
        <w:tc>
          <w:tcPr>
            <w:tcW w:w="2835" w:type="dxa"/>
            <w:tcBorders>
              <w:top w:val="single" w:sz="4" w:space="0" w:color="auto"/>
              <w:bottom w:val="single" w:sz="4" w:space="0" w:color="auto"/>
            </w:tcBorders>
          </w:tcPr>
          <w:p w:rsidR="00A81387" w:rsidRPr="00F7675A" w:rsidRDefault="00A81387" w:rsidP="005D6D4C">
            <w:pPr>
              <w:pStyle w:val="TableText"/>
              <w:spacing w:before="120" w:after="120" w:line="240" w:lineRule="auto"/>
              <w:rPr>
                <w:sz w:val="24"/>
              </w:rPr>
            </w:pPr>
            <w:r w:rsidRPr="00F7675A">
              <w:rPr>
                <w:sz w:val="24"/>
              </w:rPr>
              <w:t>Minister for Regional Services, Local Communities and Territories</w:t>
            </w:r>
          </w:p>
        </w:tc>
        <w:tc>
          <w:tcPr>
            <w:tcW w:w="3119" w:type="dxa"/>
            <w:tcBorders>
              <w:top w:val="single" w:sz="4" w:space="0" w:color="auto"/>
              <w:bottom w:val="single" w:sz="4" w:space="0" w:color="auto"/>
            </w:tcBorders>
          </w:tcPr>
          <w:p w:rsidR="00A81387" w:rsidRPr="00F7675A" w:rsidRDefault="00AC775E" w:rsidP="005D6D4C">
            <w:pPr>
              <w:pStyle w:val="TableText"/>
              <w:spacing w:before="120" w:after="120" w:line="240" w:lineRule="auto"/>
              <w:rPr>
                <w:i/>
                <w:sz w:val="24"/>
              </w:rPr>
            </w:pPr>
            <w:r>
              <w:rPr>
                <w:sz w:val="24"/>
              </w:rPr>
              <w:t>P</w:t>
            </w:r>
            <w:r w:rsidR="00A81387" w:rsidRPr="00F7675A">
              <w:rPr>
                <w:sz w:val="24"/>
              </w:rPr>
              <w:t xml:space="preserve">rovisions of the </w:t>
            </w:r>
            <w:r w:rsidR="00A81387" w:rsidRPr="00F7675A">
              <w:rPr>
                <w:i/>
                <w:sz w:val="24"/>
              </w:rPr>
              <w:t>Imprisonment and Custody of Offenders Ordinance 1998</w:t>
            </w:r>
            <w:r w:rsidR="00D473E7">
              <w:rPr>
                <w:i/>
                <w:sz w:val="24"/>
              </w:rPr>
              <w:t xml:space="preserve"> </w:t>
            </w:r>
            <w:r w:rsidR="00D473E7" w:rsidRPr="00D473E7">
              <w:rPr>
                <w:sz w:val="24"/>
              </w:rPr>
              <w:t>(Christmas Island)</w:t>
            </w:r>
          </w:p>
          <w:p w:rsidR="00A81387" w:rsidRPr="00F7675A" w:rsidRDefault="00A81387" w:rsidP="005D6D4C">
            <w:pPr>
              <w:pStyle w:val="TableText"/>
              <w:spacing w:before="120" w:after="120" w:line="240" w:lineRule="auto"/>
              <w:rPr>
                <w:sz w:val="24"/>
              </w:rPr>
            </w:pPr>
          </w:p>
        </w:tc>
      </w:tr>
      <w:tr w:rsidR="00A81387" w:rsidRPr="004C47B7" w:rsidTr="00A81387">
        <w:trPr>
          <w:cantSplit/>
        </w:trPr>
        <w:tc>
          <w:tcPr>
            <w:tcW w:w="709" w:type="dxa"/>
            <w:tcBorders>
              <w:top w:val="single" w:sz="4" w:space="0" w:color="auto"/>
              <w:bottom w:val="single" w:sz="4" w:space="0" w:color="auto"/>
            </w:tcBorders>
          </w:tcPr>
          <w:p w:rsidR="00A81387" w:rsidRPr="00F7675A" w:rsidRDefault="00A81387" w:rsidP="005D6D4C">
            <w:pPr>
              <w:pStyle w:val="TableText"/>
              <w:spacing w:before="120" w:after="120" w:line="240" w:lineRule="auto"/>
              <w:rPr>
                <w:sz w:val="24"/>
              </w:rPr>
            </w:pPr>
            <w:r w:rsidRPr="00F7675A">
              <w:rPr>
                <w:sz w:val="24"/>
              </w:rPr>
              <w:lastRenderedPageBreak/>
              <w:t>2</w:t>
            </w:r>
          </w:p>
        </w:tc>
        <w:tc>
          <w:tcPr>
            <w:tcW w:w="2835" w:type="dxa"/>
            <w:tcBorders>
              <w:top w:val="single" w:sz="4" w:space="0" w:color="auto"/>
              <w:bottom w:val="single" w:sz="4" w:space="0" w:color="auto"/>
            </w:tcBorders>
          </w:tcPr>
          <w:p w:rsidR="00A81387" w:rsidRPr="00F7675A" w:rsidRDefault="00A81387" w:rsidP="005D6D4C">
            <w:pPr>
              <w:pStyle w:val="TableText"/>
              <w:spacing w:before="120" w:after="120" w:line="240" w:lineRule="auto"/>
              <w:rPr>
                <w:sz w:val="24"/>
              </w:rPr>
            </w:pPr>
            <w:r w:rsidRPr="00F7675A">
              <w:rPr>
                <w:sz w:val="24"/>
              </w:rPr>
              <w:t>Minister for Industry and Innovation</w:t>
            </w:r>
          </w:p>
        </w:tc>
        <w:tc>
          <w:tcPr>
            <w:tcW w:w="2835" w:type="dxa"/>
            <w:tcBorders>
              <w:top w:val="single" w:sz="4" w:space="0" w:color="auto"/>
              <w:bottom w:val="single" w:sz="4" w:space="0" w:color="auto"/>
            </w:tcBorders>
          </w:tcPr>
          <w:p w:rsidR="00A81387" w:rsidRPr="00F7675A" w:rsidRDefault="00A81387" w:rsidP="005D6D4C">
            <w:pPr>
              <w:pStyle w:val="TableText"/>
              <w:spacing w:before="120" w:after="120" w:line="240" w:lineRule="auto"/>
              <w:rPr>
                <w:sz w:val="24"/>
              </w:rPr>
            </w:pPr>
            <w:r w:rsidRPr="00F7675A">
              <w:rPr>
                <w:sz w:val="24"/>
              </w:rPr>
              <w:t xml:space="preserve">Minister for Climate Change, Industry and Innovation </w:t>
            </w:r>
          </w:p>
        </w:tc>
        <w:tc>
          <w:tcPr>
            <w:tcW w:w="3119" w:type="dxa"/>
            <w:tcBorders>
              <w:top w:val="single" w:sz="4" w:space="0" w:color="auto"/>
              <w:bottom w:val="single" w:sz="4" w:space="0" w:color="auto"/>
            </w:tcBorders>
          </w:tcPr>
          <w:p w:rsidR="00B16433" w:rsidRPr="00F7675A" w:rsidRDefault="00AC775E" w:rsidP="00B16433">
            <w:pPr>
              <w:pStyle w:val="TableText"/>
              <w:spacing w:before="120" w:after="120" w:line="240" w:lineRule="auto"/>
              <w:rPr>
                <w:sz w:val="24"/>
              </w:rPr>
            </w:pPr>
            <w:r>
              <w:rPr>
                <w:sz w:val="24"/>
              </w:rPr>
              <w:t>P</w:t>
            </w:r>
            <w:r w:rsidR="00B16433" w:rsidRPr="00F7675A">
              <w:rPr>
                <w:sz w:val="24"/>
              </w:rPr>
              <w:t xml:space="preserve">rovisions of the </w:t>
            </w:r>
            <w:r w:rsidR="00B16433" w:rsidRPr="00F7675A">
              <w:rPr>
                <w:i/>
                <w:sz w:val="24"/>
              </w:rPr>
              <w:t>Migration Regulations 1994</w:t>
            </w:r>
          </w:p>
          <w:p w:rsidR="00B16433" w:rsidRDefault="00AC775E" w:rsidP="00B16433">
            <w:pPr>
              <w:pStyle w:val="TableText"/>
              <w:spacing w:before="120" w:after="120" w:line="240" w:lineRule="auto"/>
              <w:rPr>
                <w:sz w:val="24"/>
              </w:rPr>
            </w:pPr>
            <w:r>
              <w:rPr>
                <w:sz w:val="24"/>
              </w:rPr>
              <w:t>P</w:t>
            </w:r>
            <w:r w:rsidR="00B16433">
              <w:rPr>
                <w:sz w:val="24"/>
              </w:rPr>
              <w:t xml:space="preserve">rovisions of </w:t>
            </w:r>
            <w:r w:rsidR="00B16433" w:rsidRPr="00F7675A">
              <w:rPr>
                <w:sz w:val="24"/>
              </w:rPr>
              <w:t>instruments made under the</w:t>
            </w:r>
            <w:r w:rsidR="00B16433">
              <w:rPr>
                <w:sz w:val="24"/>
              </w:rPr>
              <w:t xml:space="preserve"> following:</w:t>
            </w:r>
          </w:p>
          <w:p w:rsidR="00B16433" w:rsidRPr="00876D5D" w:rsidRDefault="00B16433" w:rsidP="00B16433">
            <w:pPr>
              <w:pStyle w:val="TableText"/>
              <w:numPr>
                <w:ilvl w:val="0"/>
                <w:numId w:val="6"/>
              </w:numPr>
              <w:spacing w:before="120" w:after="120" w:line="240" w:lineRule="auto"/>
              <w:rPr>
                <w:i/>
              </w:rPr>
            </w:pPr>
            <w:r>
              <w:rPr>
                <w:sz w:val="24"/>
              </w:rPr>
              <w:t>the</w:t>
            </w:r>
            <w:r w:rsidRPr="00F7675A">
              <w:rPr>
                <w:sz w:val="24"/>
              </w:rPr>
              <w:t xml:space="preserve"> </w:t>
            </w:r>
            <w:r w:rsidRPr="00F7675A">
              <w:rPr>
                <w:i/>
                <w:sz w:val="24"/>
              </w:rPr>
              <w:t>Customs Act 190</w:t>
            </w:r>
            <w:r w:rsidR="00D473E7">
              <w:rPr>
                <w:i/>
                <w:sz w:val="24"/>
              </w:rPr>
              <w:t>1</w:t>
            </w:r>
            <w:r w:rsidRPr="00876D5D">
              <w:rPr>
                <w:sz w:val="24"/>
              </w:rPr>
              <w:t>;</w:t>
            </w:r>
          </w:p>
          <w:p w:rsidR="00B16433" w:rsidRPr="00876D5D" w:rsidRDefault="00B16433" w:rsidP="00B16433">
            <w:pPr>
              <w:pStyle w:val="TableText"/>
              <w:numPr>
                <w:ilvl w:val="0"/>
                <w:numId w:val="6"/>
              </w:numPr>
              <w:spacing w:before="120" w:after="120" w:line="240" w:lineRule="auto"/>
              <w:rPr>
                <w:i/>
              </w:rPr>
            </w:pPr>
            <w:r w:rsidRPr="00F7675A">
              <w:rPr>
                <w:sz w:val="24"/>
              </w:rPr>
              <w:t>the</w:t>
            </w:r>
            <w:r w:rsidR="00D473E7">
              <w:rPr>
                <w:i/>
                <w:sz w:val="24"/>
              </w:rPr>
              <w:t xml:space="preserve"> Customs Tariff</w:t>
            </w:r>
            <w:r w:rsidRPr="00F7675A">
              <w:rPr>
                <w:i/>
                <w:sz w:val="24"/>
              </w:rPr>
              <w:t xml:space="preserve"> Act 1995</w:t>
            </w:r>
            <w:r w:rsidR="00D44B33">
              <w:rPr>
                <w:sz w:val="24"/>
              </w:rPr>
              <w:t>;</w:t>
            </w:r>
          </w:p>
          <w:p w:rsidR="00B16433" w:rsidRPr="00876D5D" w:rsidRDefault="00B16433" w:rsidP="00B16433">
            <w:pPr>
              <w:pStyle w:val="TableText"/>
              <w:numPr>
                <w:ilvl w:val="0"/>
                <w:numId w:val="6"/>
              </w:numPr>
              <w:spacing w:before="120" w:after="120" w:line="240" w:lineRule="auto"/>
              <w:rPr>
                <w:i/>
              </w:rPr>
            </w:pPr>
            <w:r w:rsidRPr="00F7675A">
              <w:rPr>
                <w:sz w:val="24"/>
              </w:rPr>
              <w:t xml:space="preserve">the </w:t>
            </w:r>
            <w:r w:rsidRPr="00F7675A">
              <w:rPr>
                <w:i/>
                <w:sz w:val="24"/>
              </w:rPr>
              <w:t>Disability Discrimination Act 1992</w:t>
            </w:r>
            <w:r>
              <w:rPr>
                <w:sz w:val="24"/>
              </w:rPr>
              <w:t>;</w:t>
            </w:r>
          </w:p>
          <w:p w:rsidR="00B16433" w:rsidRDefault="00B16433" w:rsidP="00B16433">
            <w:pPr>
              <w:pStyle w:val="TableText"/>
              <w:numPr>
                <w:ilvl w:val="0"/>
                <w:numId w:val="6"/>
              </w:numPr>
              <w:spacing w:before="120" w:after="120" w:line="240" w:lineRule="auto"/>
              <w:rPr>
                <w:i/>
              </w:rPr>
            </w:pPr>
            <w:r w:rsidRPr="00F7675A">
              <w:rPr>
                <w:sz w:val="24"/>
              </w:rPr>
              <w:t xml:space="preserve">the </w:t>
            </w:r>
            <w:r w:rsidRPr="00F7675A">
              <w:rPr>
                <w:i/>
                <w:sz w:val="24"/>
              </w:rPr>
              <w:t>Industry Research and Development Act 1986</w:t>
            </w:r>
            <w:r>
              <w:rPr>
                <w:sz w:val="24"/>
              </w:rPr>
              <w:t>;</w:t>
            </w:r>
          </w:p>
          <w:p w:rsidR="00A81387" w:rsidRPr="00B16433" w:rsidRDefault="00B16433" w:rsidP="00B16433">
            <w:pPr>
              <w:pStyle w:val="TableText"/>
              <w:numPr>
                <w:ilvl w:val="0"/>
                <w:numId w:val="6"/>
              </w:numPr>
              <w:spacing w:before="120" w:after="120" w:line="240" w:lineRule="auto"/>
              <w:rPr>
                <w:i/>
              </w:rPr>
            </w:pPr>
            <w:r w:rsidRPr="00B16433">
              <w:rPr>
                <w:sz w:val="24"/>
              </w:rPr>
              <w:t xml:space="preserve">the </w:t>
            </w:r>
            <w:r w:rsidRPr="00B16433">
              <w:rPr>
                <w:i/>
                <w:sz w:val="24"/>
              </w:rPr>
              <w:t>Migration Regulations 1994</w:t>
            </w:r>
          </w:p>
        </w:tc>
      </w:tr>
    </w:tbl>
    <w:p w:rsidR="008B328F" w:rsidRPr="004C47B7" w:rsidRDefault="008B328F" w:rsidP="008B328F">
      <w:pPr>
        <w:spacing w:before="120" w:after="120"/>
        <w:rPr>
          <w:rFonts w:ascii="Times New Roman" w:hAnsi="Times New Roman"/>
          <w:b/>
          <w:szCs w:val="24"/>
        </w:rPr>
      </w:pPr>
    </w:p>
    <w:p w:rsidR="008B328F" w:rsidRPr="004C47B7" w:rsidRDefault="008B328F" w:rsidP="008B328F">
      <w:pPr>
        <w:rPr>
          <w:rFonts w:ascii="Times New Roman" w:hAnsi="Times New Roman"/>
          <w:szCs w:val="24"/>
          <w:u w:val="single"/>
        </w:rPr>
      </w:pPr>
      <w:r w:rsidRPr="004C47B7">
        <w:rPr>
          <w:rFonts w:ascii="Times New Roman" w:hAnsi="Times New Roman"/>
          <w:szCs w:val="24"/>
          <w:u w:val="single"/>
        </w:rPr>
        <w:t xml:space="preserve">Amendments to Schedule 2 </w:t>
      </w:r>
      <w:r w:rsidR="009D358E">
        <w:rPr>
          <w:rFonts w:ascii="Times New Roman" w:hAnsi="Times New Roman"/>
          <w:szCs w:val="24"/>
          <w:u w:val="single"/>
        </w:rPr>
        <w:t>to</w:t>
      </w:r>
      <w:r w:rsidRPr="004C47B7">
        <w:rPr>
          <w:rFonts w:ascii="Times New Roman" w:hAnsi="Times New Roman"/>
          <w:szCs w:val="24"/>
          <w:u w:val="single"/>
        </w:rPr>
        <w:t xml:space="preserve"> the original Order</w:t>
      </w:r>
    </w:p>
    <w:p w:rsidR="00A81387" w:rsidRPr="00F7675A" w:rsidRDefault="00A81387" w:rsidP="00A81387">
      <w:pPr>
        <w:spacing w:before="120" w:after="120"/>
        <w:rPr>
          <w:rFonts w:ascii="Times New Roman" w:hAnsi="Times New Roman"/>
          <w:szCs w:val="24"/>
        </w:rPr>
      </w:pPr>
      <w:r w:rsidRPr="00F7675A">
        <w:rPr>
          <w:rFonts w:ascii="Times New Roman" w:hAnsi="Times New Roman"/>
          <w:b/>
          <w:szCs w:val="24"/>
        </w:rPr>
        <w:t>Item [</w:t>
      </w:r>
      <w:r>
        <w:rPr>
          <w:rFonts w:ascii="Times New Roman" w:hAnsi="Times New Roman"/>
          <w:b/>
          <w:szCs w:val="24"/>
        </w:rPr>
        <w:t>3</w:t>
      </w:r>
      <w:r w:rsidRPr="00F7675A">
        <w:rPr>
          <w:rFonts w:ascii="Times New Roman" w:hAnsi="Times New Roman"/>
          <w:b/>
          <w:szCs w:val="24"/>
        </w:rPr>
        <w:t xml:space="preserve">] </w:t>
      </w:r>
      <w:r w:rsidRPr="00F7675A">
        <w:rPr>
          <w:rFonts w:ascii="Times New Roman" w:hAnsi="Times New Roman"/>
          <w:szCs w:val="24"/>
        </w:rPr>
        <w:t>substitute</w:t>
      </w:r>
      <w:r>
        <w:rPr>
          <w:rFonts w:ascii="Times New Roman" w:hAnsi="Times New Roman"/>
          <w:szCs w:val="24"/>
        </w:rPr>
        <w:t>s</w:t>
      </w:r>
      <w:r w:rsidRPr="00F7675A">
        <w:rPr>
          <w:rFonts w:ascii="Times New Roman" w:hAnsi="Times New Roman"/>
          <w:szCs w:val="24"/>
        </w:rPr>
        <w:t xml:space="preserve"> a new heading for Part 11 of Schedule 2 to the original Order.  The current heading makes reference to substitutions made on the commencement of the </w:t>
      </w:r>
      <w:r w:rsidRPr="00F7675A">
        <w:rPr>
          <w:rFonts w:ascii="Times New Roman" w:hAnsi="Times New Roman"/>
          <w:i/>
          <w:szCs w:val="24"/>
        </w:rPr>
        <w:t>Acts Interpretation (Substituted References – S</w:t>
      </w:r>
      <w:r w:rsidR="003D3D39">
        <w:rPr>
          <w:rFonts w:ascii="Times New Roman" w:hAnsi="Times New Roman"/>
          <w:i/>
          <w:szCs w:val="24"/>
        </w:rPr>
        <w:t>ection 19B) Amendment Order 2013</w:t>
      </w:r>
      <w:r w:rsidRPr="00F7675A">
        <w:rPr>
          <w:rFonts w:ascii="Times New Roman" w:hAnsi="Times New Roman"/>
          <w:i/>
          <w:szCs w:val="24"/>
        </w:rPr>
        <w:t xml:space="preserve"> (No. 1)</w:t>
      </w:r>
      <w:r w:rsidRPr="00F7675A">
        <w:rPr>
          <w:rFonts w:ascii="Times New Roman" w:hAnsi="Times New Roman"/>
          <w:szCs w:val="24"/>
        </w:rPr>
        <w:t>.</w:t>
      </w:r>
      <w:r w:rsidRPr="00F7675A">
        <w:rPr>
          <w:rFonts w:ascii="Times New Roman" w:hAnsi="Times New Roman"/>
          <w:i/>
          <w:szCs w:val="24"/>
        </w:rPr>
        <w:t xml:space="preserve"> </w:t>
      </w:r>
      <w:r w:rsidRPr="00F7675A">
        <w:rPr>
          <w:rFonts w:ascii="Times New Roman" w:hAnsi="Times New Roman"/>
          <w:szCs w:val="24"/>
        </w:rPr>
        <w:t xml:space="preserve"> The heading </w:t>
      </w:r>
      <w:r>
        <w:rPr>
          <w:rFonts w:ascii="Times New Roman" w:hAnsi="Times New Roman"/>
          <w:szCs w:val="24"/>
        </w:rPr>
        <w:t>is</w:t>
      </w:r>
      <w:r w:rsidRPr="00F7675A">
        <w:rPr>
          <w:rFonts w:ascii="Times New Roman" w:hAnsi="Times New Roman"/>
          <w:szCs w:val="24"/>
        </w:rPr>
        <w:t xml:space="preserve"> updated to the specific date </w:t>
      </w:r>
      <w:r w:rsidR="00B16433" w:rsidRPr="00F7675A">
        <w:rPr>
          <w:rFonts w:ascii="Times New Roman" w:hAnsi="Times New Roman"/>
          <w:szCs w:val="24"/>
        </w:rPr>
        <w:t>(</w:t>
      </w:r>
      <w:r w:rsidR="00B16433">
        <w:rPr>
          <w:rFonts w:ascii="Times New Roman" w:hAnsi="Times New Roman"/>
          <w:szCs w:val="24"/>
        </w:rPr>
        <w:t>9</w:t>
      </w:r>
      <w:r w:rsidR="00B16433" w:rsidRPr="00F7675A">
        <w:rPr>
          <w:rFonts w:ascii="Times New Roman" w:hAnsi="Times New Roman"/>
          <w:szCs w:val="24"/>
        </w:rPr>
        <w:t xml:space="preserve"> February 2012)</w:t>
      </w:r>
      <w:r w:rsidR="00B16433">
        <w:rPr>
          <w:rFonts w:ascii="Times New Roman" w:hAnsi="Times New Roman"/>
          <w:szCs w:val="24"/>
        </w:rPr>
        <w:t>,</w:t>
      </w:r>
      <w:r w:rsidR="00B16433" w:rsidRPr="00876D5D">
        <w:rPr>
          <w:rFonts w:ascii="Times New Roman" w:hAnsi="Times New Roman"/>
          <w:szCs w:val="24"/>
        </w:rPr>
        <w:t xml:space="preserve"> </w:t>
      </w:r>
      <w:r w:rsidR="00B16433">
        <w:rPr>
          <w:rFonts w:ascii="Times New Roman" w:hAnsi="Times New Roman"/>
          <w:szCs w:val="24"/>
        </w:rPr>
        <w:t>which is the date the instrument was made.</w:t>
      </w:r>
    </w:p>
    <w:p w:rsidR="008B328F" w:rsidRPr="004C47B7" w:rsidRDefault="008B328F" w:rsidP="008B328F">
      <w:pPr>
        <w:spacing w:before="120" w:after="120"/>
        <w:rPr>
          <w:rFonts w:ascii="Times New Roman" w:hAnsi="Times New Roman"/>
          <w:szCs w:val="24"/>
        </w:rPr>
      </w:pPr>
      <w:r w:rsidRPr="004C47B7">
        <w:rPr>
          <w:rFonts w:ascii="Times New Roman" w:hAnsi="Times New Roman"/>
          <w:b/>
          <w:szCs w:val="24"/>
        </w:rPr>
        <w:t>Item [</w:t>
      </w:r>
      <w:r w:rsidR="00A81387">
        <w:rPr>
          <w:rFonts w:ascii="Times New Roman" w:hAnsi="Times New Roman"/>
          <w:b/>
          <w:szCs w:val="24"/>
        </w:rPr>
        <w:t>4</w:t>
      </w:r>
      <w:r w:rsidRPr="004C47B7">
        <w:rPr>
          <w:rFonts w:ascii="Times New Roman" w:hAnsi="Times New Roman"/>
          <w:b/>
          <w:szCs w:val="24"/>
        </w:rPr>
        <w:t xml:space="preserve">] </w:t>
      </w:r>
      <w:r w:rsidRPr="004C47B7">
        <w:rPr>
          <w:rFonts w:ascii="Times New Roman" w:hAnsi="Times New Roman"/>
          <w:szCs w:val="24"/>
        </w:rPr>
        <w:t>insert</w:t>
      </w:r>
      <w:r w:rsidR="00786528">
        <w:rPr>
          <w:rFonts w:ascii="Times New Roman" w:hAnsi="Times New Roman"/>
          <w:szCs w:val="24"/>
        </w:rPr>
        <w:t>s</w:t>
      </w:r>
      <w:r w:rsidRPr="004C47B7">
        <w:rPr>
          <w:rFonts w:ascii="Times New Roman" w:hAnsi="Times New Roman"/>
          <w:szCs w:val="24"/>
        </w:rPr>
        <w:t xml:space="preserve"> a new Part 1</w:t>
      </w:r>
      <w:r w:rsidR="00A81387">
        <w:rPr>
          <w:rFonts w:ascii="Times New Roman" w:hAnsi="Times New Roman"/>
          <w:szCs w:val="24"/>
        </w:rPr>
        <w:t>2</w:t>
      </w:r>
      <w:r w:rsidRPr="004C47B7">
        <w:rPr>
          <w:rFonts w:ascii="Times New Roman" w:hAnsi="Times New Roman"/>
          <w:szCs w:val="24"/>
        </w:rPr>
        <w:t xml:space="preserve"> into Schedule 2 </w:t>
      </w:r>
      <w:r w:rsidR="009D358E">
        <w:rPr>
          <w:rFonts w:ascii="Times New Roman" w:hAnsi="Times New Roman"/>
          <w:szCs w:val="24"/>
        </w:rPr>
        <w:t>to</w:t>
      </w:r>
      <w:r w:rsidRPr="004C47B7">
        <w:rPr>
          <w:rFonts w:ascii="Times New Roman" w:hAnsi="Times New Roman"/>
          <w:szCs w:val="24"/>
        </w:rPr>
        <w:t xml:space="preserve"> the original Order</w:t>
      </w:r>
      <w:r w:rsidRPr="004C47B7">
        <w:rPr>
          <w:rFonts w:ascii="Times New Roman" w:hAnsi="Times New Roman"/>
          <w:i/>
          <w:szCs w:val="24"/>
        </w:rPr>
        <w:t>.</w:t>
      </w:r>
      <w:r w:rsidRPr="004C47B7">
        <w:rPr>
          <w:rFonts w:ascii="Times New Roman" w:hAnsi="Times New Roman"/>
          <w:szCs w:val="24"/>
        </w:rPr>
        <w:t xml:space="preserve">  Section 4 of the original Order provides for each item in a Part of Schedule 2 to substitute references to the Department mentioned in column 2 for references to the Department mentioned in column 3, wherever such references occur in a provision mentioned in column 4.  </w:t>
      </w:r>
      <w:r w:rsidR="00096583">
        <w:rPr>
          <w:rFonts w:ascii="Times New Roman" w:hAnsi="Times New Roman"/>
          <w:szCs w:val="24"/>
        </w:rPr>
        <w:t>The n</w:t>
      </w:r>
      <w:r w:rsidRPr="004C47B7">
        <w:rPr>
          <w:rFonts w:ascii="Times New Roman" w:hAnsi="Times New Roman"/>
          <w:szCs w:val="24"/>
        </w:rPr>
        <w:t>ew Part 1</w:t>
      </w:r>
      <w:r w:rsidR="00A81387">
        <w:rPr>
          <w:rFonts w:ascii="Times New Roman" w:hAnsi="Times New Roman"/>
          <w:szCs w:val="24"/>
        </w:rPr>
        <w:t>2</w:t>
      </w:r>
      <w:r w:rsidRPr="004C47B7">
        <w:rPr>
          <w:rFonts w:ascii="Times New Roman" w:hAnsi="Times New Roman"/>
          <w:szCs w:val="24"/>
        </w:rPr>
        <w:t xml:space="preserve"> of Schedule 2 set</w:t>
      </w:r>
      <w:r w:rsidR="00786528">
        <w:rPr>
          <w:rFonts w:ascii="Times New Roman" w:hAnsi="Times New Roman"/>
          <w:szCs w:val="24"/>
        </w:rPr>
        <w:t>s</w:t>
      </w:r>
      <w:r w:rsidRPr="004C47B7">
        <w:rPr>
          <w:rFonts w:ascii="Times New Roman" w:hAnsi="Times New Roman"/>
          <w:szCs w:val="24"/>
        </w:rPr>
        <w:t xml:space="preserve"> out a new item, the relevant existing reference, substitute reference and affected provisions, for the machinery changes referred to in section 4 of the original Order.  </w:t>
      </w:r>
    </w:p>
    <w:p w:rsidR="008B328F" w:rsidRPr="004C47B7" w:rsidRDefault="008B328F" w:rsidP="008B328F">
      <w:pPr>
        <w:spacing w:before="120" w:after="120"/>
        <w:rPr>
          <w:rFonts w:ascii="Times New Roman" w:hAnsi="Times New Roman"/>
          <w:szCs w:val="24"/>
        </w:rPr>
      </w:pPr>
      <w:r w:rsidRPr="004C47B7">
        <w:rPr>
          <w:rFonts w:ascii="Times New Roman" w:hAnsi="Times New Roman"/>
          <w:szCs w:val="24"/>
        </w:rPr>
        <w:t>As shown in the table below, a reference to the De</w:t>
      </w:r>
      <w:r w:rsidR="00724311">
        <w:rPr>
          <w:rFonts w:ascii="Times New Roman" w:hAnsi="Times New Roman"/>
          <w:szCs w:val="24"/>
        </w:rPr>
        <w:t xml:space="preserve">partment listed in column 2 of </w:t>
      </w:r>
      <w:r w:rsidRPr="004C47B7">
        <w:rPr>
          <w:rFonts w:ascii="Times New Roman" w:hAnsi="Times New Roman"/>
          <w:szCs w:val="24"/>
        </w:rPr>
        <w:t>Part 1</w:t>
      </w:r>
      <w:r w:rsidR="00A81387">
        <w:rPr>
          <w:rFonts w:ascii="Times New Roman" w:hAnsi="Times New Roman"/>
          <w:szCs w:val="24"/>
        </w:rPr>
        <w:t>2</w:t>
      </w:r>
      <w:r w:rsidRPr="004C47B7">
        <w:rPr>
          <w:rFonts w:ascii="Times New Roman" w:hAnsi="Times New Roman"/>
          <w:szCs w:val="24"/>
        </w:rPr>
        <w:t xml:space="preserve">, in a provision listed in column 4, </w:t>
      </w:r>
      <w:r w:rsidR="00246D54">
        <w:rPr>
          <w:rFonts w:ascii="Times New Roman" w:hAnsi="Times New Roman"/>
          <w:szCs w:val="24"/>
        </w:rPr>
        <w:t>is</w:t>
      </w:r>
      <w:r w:rsidR="00786528">
        <w:rPr>
          <w:rFonts w:ascii="Times New Roman" w:hAnsi="Times New Roman"/>
          <w:szCs w:val="24"/>
        </w:rPr>
        <w:t xml:space="preserve"> </w:t>
      </w:r>
      <w:r w:rsidRPr="004C47B7">
        <w:rPr>
          <w:rFonts w:ascii="Times New Roman" w:hAnsi="Times New Roman"/>
          <w:szCs w:val="24"/>
        </w:rPr>
        <w:t xml:space="preserve">replaced by a reference to the Department listed in column 3.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1"/>
        <w:gridCol w:w="2665"/>
        <w:gridCol w:w="2665"/>
        <w:gridCol w:w="2931"/>
      </w:tblGrid>
      <w:tr w:rsidR="008B328F" w:rsidRPr="004C47B7" w:rsidTr="00B16433">
        <w:trPr>
          <w:tblHeader/>
        </w:trPr>
        <w:tc>
          <w:tcPr>
            <w:tcW w:w="811" w:type="dxa"/>
            <w:tcBorders>
              <w:bottom w:val="single" w:sz="4" w:space="0" w:color="auto"/>
            </w:tcBorders>
          </w:tcPr>
          <w:p w:rsidR="008B328F" w:rsidRPr="004C47B7" w:rsidRDefault="008B328F" w:rsidP="00497B5A">
            <w:pPr>
              <w:pStyle w:val="TableColHead"/>
              <w:spacing w:after="120" w:line="240" w:lineRule="auto"/>
              <w:jc w:val="left"/>
              <w:rPr>
                <w:rFonts w:ascii="Times New Roman" w:hAnsi="Times New Roman"/>
                <w:sz w:val="24"/>
              </w:rPr>
            </w:pPr>
            <w:r w:rsidRPr="004C47B7">
              <w:rPr>
                <w:rFonts w:ascii="Times New Roman" w:hAnsi="Times New Roman"/>
                <w:sz w:val="24"/>
              </w:rPr>
              <w:t>Item</w:t>
            </w:r>
          </w:p>
        </w:tc>
        <w:tc>
          <w:tcPr>
            <w:tcW w:w="2665" w:type="dxa"/>
            <w:tcBorders>
              <w:bottom w:val="single" w:sz="4" w:space="0" w:color="auto"/>
            </w:tcBorders>
          </w:tcPr>
          <w:p w:rsidR="008B328F" w:rsidRPr="004C47B7" w:rsidRDefault="008B328F" w:rsidP="00497B5A">
            <w:pPr>
              <w:pStyle w:val="TableColHead"/>
              <w:spacing w:after="120" w:line="240" w:lineRule="auto"/>
              <w:rPr>
                <w:rFonts w:ascii="Times New Roman" w:hAnsi="Times New Roman"/>
                <w:sz w:val="24"/>
              </w:rPr>
            </w:pPr>
            <w:r w:rsidRPr="004C47B7">
              <w:rPr>
                <w:rFonts w:ascii="Times New Roman" w:hAnsi="Times New Roman"/>
                <w:sz w:val="24"/>
              </w:rPr>
              <w:t>Existing reference</w:t>
            </w:r>
          </w:p>
        </w:tc>
        <w:tc>
          <w:tcPr>
            <w:tcW w:w="2665" w:type="dxa"/>
            <w:tcBorders>
              <w:bottom w:val="single" w:sz="4" w:space="0" w:color="auto"/>
            </w:tcBorders>
          </w:tcPr>
          <w:p w:rsidR="008B328F" w:rsidRPr="004C47B7" w:rsidRDefault="008B328F" w:rsidP="00497B5A">
            <w:pPr>
              <w:pStyle w:val="TableColHead"/>
              <w:spacing w:after="120" w:line="240" w:lineRule="auto"/>
              <w:rPr>
                <w:rFonts w:ascii="Times New Roman" w:hAnsi="Times New Roman"/>
                <w:sz w:val="24"/>
              </w:rPr>
            </w:pPr>
            <w:r w:rsidRPr="004C47B7">
              <w:rPr>
                <w:rFonts w:ascii="Times New Roman" w:hAnsi="Times New Roman"/>
                <w:sz w:val="24"/>
              </w:rPr>
              <w:t>Substitute reference</w:t>
            </w:r>
          </w:p>
        </w:tc>
        <w:tc>
          <w:tcPr>
            <w:tcW w:w="2931" w:type="dxa"/>
            <w:tcBorders>
              <w:bottom w:val="single" w:sz="4" w:space="0" w:color="auto"/>
            </w:tcBorders>
          </w:tcPr>
          <w:p w:rsidR="008B328F" w:rsidRPr="004C47B7" w:rsidRDefault="008B328F" w:rsidP="00497B5A">
            <w:pPr>
              <w:pStyle w:val="TableColHead"/>
              <w:spacing w:after="120" w:line="240" w:lineRule="auto"/>
              <w:rPr>
                <w:rFonts w:ascii="Times New Roman" w:hAnsi="Times New Roman"/>
                <w:sz w:val="24"/>
              </w:rPr>
            </w:pPr>
            <w:r w:rsidRPr="004C47B7">
              <w:rPr>
                <w:rFonts w:ascii="Times New Roman" w:hAnsi="Times New Roman"/>
                <w:sz w:val="24"/>
              </w:rPr>
              <w:t>Affected provisions</w:t>
            </w:r>
          </w:p>
        </w:tc>
      </w:tr>
      <w:tr w:rsidR="00B16433" w:rsidRPr="004C47B7" w:rsidTr="00B16433">
        <w:tc>
          <w:tcPr>
            <w:tcW w:w="811" w:type="dxa"/>
            <w:tcBorders>
              <w:top w:val="single" w:sz="4" w:space="0" w:color="auto"/>
              <w:bottom w:val="single" w:sz="4" w:space="0" w:color="auto"/>
            </w:tcBorders>
          </w:tcPr>
          <w:p w:rsidR="00B16433" w:rsidRPr="00F7675A" w:rsidRDefault="00B16433" w:rsidP="005D6D4C">
            <w:pPr>
              <w:pStyle w:val="TableText"/>
              <w:spacing w:before="120" w:after="120" w:line="240" w:lineRule="auto"/>
              <w:rPr>
                <w:sz w:val="24"/>
              </w:rPr>
            </w:pPr>
            <w:r w:rsidRPr="00F7675A">
              <w:rPr>
                <w:sz w:val="24"/>
              </w:rPr>
              <w:t>1</w:t>
            </w:r>
          </w:p>
        </w:tc>
        <w:tc>
          <w:tcPr>
            <w:tcW w:w="2665" w:type="dxa"/>
            <w:tcBorders>
              <w:top w:val="single" w:sz="4" w:space="0" w:color="auto"/>
              <w:bottom w:val="single" w:sz="4" w:space="0" w:color="auto"/>
            </w:tcBorders>
          </w:tcPr>
          <w:p w:rsidR="00B16433" w:rsidRPr="00F7675A" w:rsidRDefault="00B16433" w:rsidP="005D6D4C">
            <w:pPr>
              <w:pStyle w:val="TableText"/>
              <w:spacing w:before="120" w:after="120" w:line="240" w:lineRule="auto"/>
              <w:rPr>
                <w:sz w:val="24"/>
              </w:rPr>
            </w:pPr>
            <w:r w:rsidRPr="00F7675A">
              <w:rPr>
                <w:sz w:val="24"/>
              </w:rPr>
              <w:t>Department of Industry, Innovation, Science, Research and Tertiary Education</w:t>
            </w:r>
          </w:p>
        </w:tc>
        <w:tc>
          <w:tcPr>
            <w:tcW w:w="2665" w:type="dxa"/>
            <w:tcBorders>
              <w:top w:val="single" w:sz="4" w:space="0" w:color="auto"/>
              <w:bottom w:val="single" w:sz="4" w:space="0" w:color="auto"/>
            </w:tcBorders>
          </w:tcPr>
          <w:p w:rsidR="00B16433" w:rsidRPr="00F7675A" w:rsidRDefault="00B16433" w:rsidP="005D6D4C">
            <w:pPr>
              <w:pStyle w:val="TableText"/>
              <w:spacing w:before="120" w:after="120" w:line="240" w:lineRule="auto"/>
              <w:rPr>
                <w:sz w:val="24"/>
              </w:rPr>
            </w:pPr>
            <w:r w:rsidRPr="00F7675A">
              <w:rPr>
                <w:sz w:val="24"/>
              </w:rPr>
              <w:t>Department of Industry, Innovation, Climate Change, Science, Research and Tertiary Education</w:t>
            </w:r>
          </w:p>
        </w:tc>
        <w:tc>
          <w:tcPr>
            <w:tcW w:w="2931" w:type="dxa"/>
            <w:tcBorders>
              <w:top w:val="single" w:sz="4" w:space="0" w:color="auto"/>
              <w:bottom w:val="single" w:sz="4" w:space="0" w:color="auto"/>
            </w:tcBorders>
          </w:tcPr>
          <w:p w:rsidR="00B16433" w:rsidRPr="00F7675A" w:rsidRDefault="00AC775E" w:rsidP="006B7EA6">
            <w:pPr>
              <w:pStyle w:val="TableText"/>
              <w:spacing w:before="120" w:after="120" w:line="240" w:lineRule="auto"/>
              <w:rPr>
                <w:sz w:val="24"/>
              </w:rPr>
            </w:pPr>
            <w:r>
              <w:rPr>
                <w:sz w:val="24"/>
              </w:rPr>
              <w:t>P</w:t>
            </w:r>
            <w:r w:rsidR="00B16433" w:rsidRPr="00F7675A">
              <w:rPr>
                <w:sz w:val="24"/>
              </w:rPr>
              <w:t>rovisions of</w:t>
            </w:r>
            <w:r w:rsidR="00B16433">
              <w:rPr>
                <w:sz w:val="24"/>
              </w:rPr>
              <w:t xml:space="preserve"> the following</w:t>
            </w:r>
            <w:r w:rsidR="00B16433" w:rsidRPr="00F7675A">
              <w:rPr>
                <w:sz w:val="24"/>
              </w:rPr>
              <w:t xml:space="preserve">: </w:t>
            </w:r>
          </w:p>
          <w:p w:rsidR="00B16433" w:rsidRDefault="00B16433" w:rsidP="00B16433">
            <w:pPr>
              <w:pStyle w:val="TableText"/>
              <w:numPr>
                <w:ilvl w:val="0"/>
                <w:numId w:val="7"/>
              </w:numPr>
              <w:spacing w:before="120" w:after="120" w:line="240" w:lineRule="auto"/>
              <w:rPr>
                <w:sz w:val="24"/>
              </w:rPr>
            </w:pPr>
            <w:r w:rsidRPr="00DB78AE">
              <w:rPr>
                <w:sz w:val="24"/>
              </w:rPr>
              <w:t xml:space="preserve">the </w:t>
            </w:r>
            <w:proofErr w:type="spellStart"/>
            <w:r w:rsidRPr="00DB78AE">
              <w:rPr>
                <w:i/>
                <w:sz w:val="24"/>
              </w:rPr>
              <w:t>ASIC</w:t>
            </w:r>
            <w:proofErr w:type="spellEnd"/>
            <w:r w:rsidRPr="00DB78AE">
              <w:rPr>
                <w:i/>
                <w:sz w:val="24"/>
              </w:rPr>
              <w:t xml:space="preserve"> Market Integrity Rules (Competition in Exchange Markets) 2011</w:t>
            </w:r>
            <w:r w:rsidRPr="00DB78AE">
              <w:rPr>
                <w:sz w:val="24"/>
              </w:rPr>
              <w:t xml:space="preserve">; </w:t>
            </w:r>
          </w:p>
          <w:p w:rsidR="00B16433" w:rsidRDefault="00B16433" w:rsidP="00B16433">
            <w:pPr>
              <w:pStyle w:val="TableText"/>
              <w:numPr>
                <w:ilvl w:val="0"/>
                <w:numId w:val="7"/>
              </w:numPr>
              <w:spacing w:before="120" w:after="120" w:line="240" w:lineRule="auto"/>
              <w:rPr>
                <w:sz w:val="24"/>
              </w:rPr>
            </w:pPr>
            <w:r w:rsidRPr="00DB78AE">
              <w:rPr>
                <w:sz w:val="24"/>
              </w:rPr>
              <w:t xml:space="preserve">the </w:t>
            </w:r>
            <w:r w:rsidRPr="00DB78AE">
              <w:rPr>
                <w:i/>
                <w:sz w:val="24"/>
              </w:rPr>
              <w:t>Migration Regulations 1994</w:t>
            </w:r>
            <w:r w:rsidRPr="00DB78AE">
              <w:rPr>
                <w:sz w:val="24"/>
              </w:rPr>
              <w:t xml:space="preserve">; </w:t>
            </w:r>
          </w:p>
          <w:p w:rsidR="00B16433" w:rsidRDefault="00B16433" w:rsidP="00B16433">
            <w:pPr>
              <w:pStyle w:val="TableText"/>
              <w:numPr>
                <w:ilvl w:val="0"/>
                <w:numId w:val="7"/>
              </w:numPr>
              <w:spacing w:before="120" w:after="120" w:line="240" w:lineRule="auto"/>
              <w:rPr>
                <w:sz w:val="24"/>
              </w:rPr>
            </w:pPr>
            <w:r w:rsidRPr="00DB78AE">
              <w:rPr>
                <w:sz w:val="24"/>
              </w:rPr>
              <w:lastRenderedPageBreak/>
              <w:t xml:space="preserve">the </w:t>
            </w:r>
            <w:r w:rsidRPr="00DB78AE">
              <w:rPr>
                <w:i/>
                <w:sz w:val="24"/>
              </w:rPr>
              <w:t>Motor Vehicle Standards Regulations 1989</w:t>
            </w:r>
          </w:p>
          <w:p w:rsidR="00B16433" w:rsidRDefault="00D473E7" w:rsidP="006B7EA6">
            <w:pPr>
              <w:pStyle w:val="TableText"/>
              <w:spacing w:before="120" w:after="120" w:line="240" w:lineRule="auto"/>
              <w:rPr>
                <w:sz w:val="24"/>
              </w:rPr>
            </w:pPr>
            <w:r>
              <w:rPr>
                <w:sz w:val="24"/>
              </w:rPr>
              <w:t>P</w:t>
            </w:r>
            <w:r w:rsidR="00B16433">
              <w:rPr>
                <w:sz w:val="24"/>
              </w:rPr>
              <w:t xml:space="preserve">rovisions of </w:t>
            </w:r>
            <w:r w:rsidR="00B16433" w:rsidRPr="00F7675A">
              <w:rPr>
                <w:sz w:val="24"/>
              </w:rPr>
              <w:t xml:space="preserve">instruments made under the </w:t>
            </w:r>
            <w:r w:rsidR="00B16433">
              <w:rPr>
                <w:sz w:val="24"/>
              </w:rPr>
              <w:t>following:</w:t>
            </w:r>
          </w:p>
          <w:p w:rsidR="00B16433" w:rsidRDefault="00B16433" w:rsidP="00AC775E">
            <w:pPr>
              <w:pStyle w:val="TableText"/>
              <w:numPr>
                <w:ilvl w:val="0"/>
                <w:numId w:val="9"/>
              </w:numPr>
              <w:spacing w:before="120" w:after="120" w:line="240" w:lineRule="auto"/>
              <w:rPr>
                <w:sz w:val="24"/>
              </w:rPr>
            </w:pPr>
            <w:r w:rsidRPr="00F7675A">
              <w:rPr>
                <w:sz w:val="24"/>
              </w:rPr>
              <w:t xml:space="preserve">the </w:t>
            </w:r>
            <w:r w:rsidRPr="00F7675A">
              <w:rPr>
                <w:i/>
                <w:sz w:val="24"/>
              </w:rPr>
              <w:t>Civil Aviation Act 1988</w:t>
            </w:r>
            <w:r>
              <w:rPr>
                <w:sz w:val="24"/>
              </w:rPr>
              <w:t>;</w:t>
            </w:r>
          </w:p>
          <w:p w:rsidR="00B16433" w:rsidRDefault="00B16433" w:rsidP="00AC775E">
            <w:pPr>
              <w:pStyle w:val="TableText"/>
              <w:numPr>
                <w:ilvl w:val="0"/>
                <w:numId w:val="9"/>
              </w:numPr>
              <w:spacing w:before="120" w:after="120" w:line="240" w:lineRule="auto"/>
              <w:rPr>
                <w:sz w:val="24"/>
              </w:rPr>
            </w:pPr>
            <w:r w:rsidRPr="00F7675A">
              <w:rPr>
                <w:sz w:val="24"/>
              </w:rPr>
              <w:t xml:space="preserve">the </w:t>
            </w:r>
            <w:r w:rsidRPr="00F7675A">
              <w:rPr>
                <w:i/>
                <w:sz w:val="24"/>
              </w:rPr>
              <w:t>Customs Act 1901</w:t>
            </w:r>
            <w:r>
              <w:rPr>
                <w:sz w:val="24"/>
              </w:rPr>
              <w:t>;</w:t>
            </w:r>
          </w:p>
          <w:p w:rsidR="00B16433" w:rsidRDefault="00B16433" w:rsidP="00AC775E">
            <w:pPr>
              <w:pStyle w:val="TableText"/>
              <w:numPr>
                <w:ilvl w:val="0"/>
                <w:numId w:val="9"/>
              </w:numPr>
              <w:spacing w:before="120" w:after="120" w:line="240" w:lineRule="auto"/>
              <w:rPr>
                <w:sz w:val="24"/>
              </w:rPr>
            </w:pPr>
            <w:r w:rsidRPr="00F7675A">
              <w:rPr>
                <w:sz w:val="24"/>
              </w:rPr>
              <w:t xml:space="preserve">the </w:t>
            </w:r>
            <w:r w:rsidRPr="00F7675A">
              <w:rPr>
                <w:i/>
                <w:sz w:val="24"/>
              </w:rPr>
              <w:t>Customs Administration Act 1985</w:t>
            </w:r>
            <w:r>
              <w:rPr>
                <w:sz w:val="24"/>
              </w:rPr>
              <w:t>;</w:t>
            </w:r>
          </w:p>
          <w:p w:rsidR="00B16433" w:rsidRDefault="00B16433" w:rsidP="00AC775E">
            <w:pPr>
              <w:pStyle w:val="TableText"/>
              <w:numPr>
                <w:ilvl w:val="0"/>
                <w:numId w:val="9"/>
              </w:numPr>
              <w:spacing w:before="120" w:after="120" w:line="240" w:lineRule="auto"/>
              <w:rPr>
                <w:sz w:val="24"/>
              </w:rPr>
            </w:pPr>
            <w:r w:rsidRPr="00F7675A">
              <w:rPr>
                <w:sz w:val="24"/>
              </w:rPr>
              <w:t xml:space="preserve">the </w:t>
            </w:r>
            <w:r w:rsidRPr="00F7675A">
              <w:rPr>
                <w:i/>
                <w:sz w:val="24"/>
              </w:rPr>
              <w:t>Education Services for Overseas Students Act 2000</w:t>
            </w:r>
            <w:r>
              <w:rPr>
                <w:sz w:val="24"/>
              </w:rPr>
              <w:t>;</w:t>
            </w:r>
          </w:p>
          <w:p w:rsidR="00B16433" w:rsidRDefault="00B16433" w:rsidP="00AC775E">
            <w:pPr>
              <w:pStyle w:val="TableText"/>
              <w:numPr>
                <w:ilvl w:val="0"/>
                <w:numId w:val="9"/>
              </w:numPr>
              <w:spacing w:before="120" w:after="120" w:line="240" w:lineRule="auto"/>
              <w:rPr>
                <w:sz w:val="24"/>
              </w:rPr>
            </w:pPr>
            <w:r w:rsidRPr="00F7675A">
              <w:rPr>
                <w:sz w:val="24"/>
              </w:rPr>
              <w:t xml:space="preserve">the </w:t>
            </w:r>
            <w:r w:rsidRPr="00F7675A">
              <w:rPr>
                <w:i/>
                <w:sz w:val="24"/>
              </w:rPr>
              <w:t>Food Standards Australia New Zealand Act 1991</w:t>
            </w:r>
            <w:r>
              <w:rPr>
                <w:sz w:val="24"/>
              </w:rPr>
              <w:t xml:space="preserve">; </w:t>
            </w:r>
          </w:p>
          <w:p w:rsidR="00B16433" w:rsidRDefault="00B16433" w:rsidP="00AC775E">
            <w:pPr>
              <w:pStyle w:val="TableText"/>
              <w:numPr>
                <w:ilvl w:val="0"/>
                <w:numId w:val="9"/>
              </w:numPr>
              <w:spacing w:before="120" w:after="120" w:line="240" w:lineRule="auto"/>
              <w:rPr>
                <w:sz w:val="24"/>
              </w:rPr>
            </w:pPr>
            <w:r>
              <w:rPr>
                <w:sz w:val="24"/>
              </w:rPr>
              <w:t xml:space="preserve">the </w:t>
            </w:r>
            <w:r w:rsidRPr="00F7675A">
              <w:rPr>
                <w:i/>
                <w:sz w:val="24"/>
              </w:rPr>
              <w:t>Higher Education Support Act 2003</w:t>
            </w:r>
            <w:r>
              <w:rPr>
                <w:sz w:val="24"/>
              </w:rPr>
              <w:t>;</w:t>
            </w:r>
          </w:p>
          <w:p w:rsidR="00B16433" w:rsidRPr="00CD7899" w:rsidRDefault="00B16433" w:rsidP="00CD7899">
            <w:pPr>
              <w:pStyle w:val="TableText"/>
              <w:numPr>
                <w:ilvl w:val="0"/>
                <w:numId w:val="9"/>
              </w:numPr>
              <w:spacing w:before="120" w:after="120" w:line="240" w:lineRule="auto"/>
              <w:rPr>
                <w:sz w:val="24"/>
              </w:rPr>
            </w:pPr>
            <w:r w:rsidRPr="00F7675A">
              <w:rPr>
                <w:sz w:val="24"/>
              </w:rPr>
              <w:t xml:space="preserve">the </w:t>
            </w:r>
            <w:r w:rsidRPr="00F7675A">
              <w:rPr>
                <w:i/>
                <w:sz w:val="24"/>
              </w:rPr>
              <w:t>Industry Research and Development Act 1986</w:t>
            </w:r>
          </w:p>
        </w:tc>
      </w:tr>
      <w:tr w:rsidR="00A81387" w:rsidRPr="004C47B7" w:rsidTr="00B16433">
        <w:tc>
          <w:tcPr>
            <w:tcW w:w="811" w:type="dxa"/>
            <w:tcBorders>
              <w:top w:val="single" w:sz="4" w:space="0" w:color="auto"/>
              <w:bottom w:val="single" w:sz="4" w:space="0" w:color="auto"/>
            </w:tcBorders>
          </w:tcPr>
          <w:p w:rsidR="00A81387" w:rsidRPr="00F7675A" w:rsidRDefault="00A81387" w:rsidP="005D6D4C">
            <w:pPr>
              <w:pStyle w:val="TableText"/>
              <w:spacing w:before="120" w:after="120" w:line="240" w:lineRule="auto"/>
              <w:rPr>
                <w:sz w:val="24"/>
              </w:rPr>
            </w:pPr>
            <w:r w:rsidRPr="00F7675A">
              <w:rPr>
                <w:sz w:val="24"/>
              </w:rPr>
              <w:lastRenderedPageBreak/>
              <w:t>2</w:t>
            </w:r>
          </w:p>
        </w:tc>
        <w:tc>
          <w:tcPr>
            <w:tcW w:w="2665" w:type="dxa"/>
            <w:tcBorders>
              <w:top w:val="single" w:sz="4" w:space="0" w:color="auto"/>
              <w:bottom w:val="single" w:sz="4" w:space="0" w:color="auto"/>
            </w:tcBorders>
          </w:tcPr>
          <w:p w:rsidR="00A81387" w:rsidRPr="00F7675A" w:rsidRDefault="00A81387" w:rsidP="005D6D4C">
            <w:pPr>
              <w:pStyle w:val="TableText"/>
              <w:spacing w:before="120" w:after="120" w:line="240" w:lineRule="auto"/>
              <w:rPr>
                <w:sz w:val="24"/>
              </w:rPr>
            </w:pPr>
            <w:r w:rsidRPr="00F7675A">
              <w:rPr>
                <w:sz w:val="24"/>
              </w:rPr>
              <w:t xml:space="preserve">Department of Climate Change and Energy Efficiency </w:t>
            </w:r>
          </w:p>
        </w:tc>
        <w:tc>
          <w:tcPr>
            <w:tcW w:w="2665" w:type="dxa"/>
            <w:tcBorders>
              <w:top w:val="single" w:sz="4" w:space="0" w:color="auto"/>
              <w:bottom w:val="single" w:sz="4" w:space="0" w:color="auto"/>
            </w:tcBorders>
          </w:tcPr>
          <w:p w:rsidR="00A81387" w:rsidRPr="00F7675A" w:rsidRDefault="00A81387" w:rsidP="005D6D4C">
            <w:pPr>
              <w:pStyle w:val="TableText"/>
              <w:spacing w:before="120" w:after="120" w:line="240" w:lineRule="auto"/>
              <w:rPr>
                <w:sz w:val="24"/>
              </w:rPr>
            </w:pPr>
            <w:r w:rsidRPr="00F7675A">
              <w:rPr>
                <w:sz w:val="24"/>
              </w:rPr>
              <w:t>Department of Industry, Innovation, Climate Change, Science, Research and Tertiary Education</w:t>
            </w:r>
          </w:p>
        </w:tc>
        <w:tc>
          <w:tcPr>
            <w:tcW w:w="2931" w:type="dxa"/>
            <w:tcBorders>
              <w:top w:val="single" w:sz="4" w:space="0" w:color="auto"/>
              <w:bottom w:val="single" w:sz="4" w:space="0" w:color="auto"/>
            </w:tcBorders>
          </w:tcPr>
          <w:p w:rsidR="00B16433" w:rsidRDefault="00CD7899" w:rsidP="00B16433">
            <w:pPr>
              <w:pStyle w:val="TableText"/>
              <w:spacing w:before="120" w:after="120" w:line="240" w:lineRule="auto"/>
              <w:rPr>
                <w:sz w:val="24"/>
              </w:rPr>
            </w:pPr>
            <w:r>
              <w:rPr>
                <w:sz w:val="24"/>
              </w:rPr>
              <w:t>P</w:t>
            </w:r>
            <w:r w:rsidR="00B16433" w:rsidRPr="00F7675A">
              <w:rPr>
                <w:sz w:val="24"/>
              </w:rPr>
              <w:t xml:space="preserve">rovisions of the </w:t>
            </w:r>
            <w:r w:rsidR="00B16433">
              <w:rPr>
                <w:sz w:val="24"/>
              </w:rPr>
              <w:t>following:</w:t>
            </w:r>
          </w:p>
          <w:p w:rsidR="00B16433" w:rsidRDefault="00B16433" w:rsidP="00B16433">
            <w:pPr>
              <w:pStyle w:val="TableText"/>
              <w:numPr>
                <w:ilvl w:val="0"/>
                <w:numId w:val="8"/>
              </w:numPr>
              <w:spacing w:before="120" w:after="120" w:line="240" w:lineRule="auto"/>
              <w:rPr>
                <w:sz w:val="24"/>
              </w:rPr>
            </w:pPr>
            <w:r w:rsidRPr="00F7675A">
              <w:rPr>
                <w:i/>
                <w:sz w:val="24"/>
              </w:rPr>
              <w:t>Renewable Energy (Electricity) Regulations 2001</w:t>
            </w:r>
            <w:r>
              <w:rPr>
                <w:sz w:val="24"/>
              </w:rPr>
              <w:t>;</w:t>
            </w:r>
          </w:p>
          <w:p w:rsidR="00A81387" w:rsidRPr="00B16433" w:rsidRDefault="00B16433" w:rsidP="00B16433">
            <w:pPr>
              <w:pStyle w:val="TableText"/>
              <w:numPr>
                <w:ilvl w:val="0"/>
                <w:numId w:val="8"/>
              </w:numPr>
              <w:spacing w:before="120" w:after="120" w:line="240" w:lineRule="auto"/>
              <w:rPr>
                <w:sz w:val="24"/>
              </w:rPr>
            </w:pPr>
            <w:r w:rsidRPr="00B16433">
              <w:rPr>
                <w:sz w:val="24"/>
              </w:rPr>
              <w:t xml:space="preserve">methodology determinations made under section 106 of the </w:t>
            </w:r>
            <w:r w:rsidRPr="00B16433">
              <w:rPr>
                <w:i/>
                <w:sz w:val="24"/>
              </w:rPr>
              <w:t>Carbon Credits (Carbon Farming Initiative) Act 2011</w:t>
            </w:r>
          </w:p>
        </w:tc>
      </w:tr>
    </w:tbl>
    <w:p w:rsidR="009D358E" w:rsidRDefault="009D358E" w:rsidP="008B328F">
      <w:pPr>
        <w:rPr>
          <w:rFonts w:ascii="Times New Roman" w:hAnsi="Times New Roman"/>
          <w:szCs w:val="24"/>
          <w:u w:val="single"/>
        </w:rPr>
      </w:pPr>
    </w:p>
    <w:p w:rsidR="009D358E" w:rsidRDefault="009D358E" w:rsidP="008B328F">
      <w:pPr>
        <w:rPr>
          <w:rFonts w:ascii="Times New Roman" w:hAnsi="Times New Roman"/>
          <w:szCs w:val="24"/>
          <w:u w:val="single"/>
        </w:rPr>
      </w:pPr>
    </w:p>
    <w:p w:rsidR="008B328F" w:rsidRPr="004C47B7" w:rsidRDefault="008B328F" w:rsidP="008B328F">
      <w:pPr>
        <w:rPr>
          <w:rFonts w:ascii="Times New Roman" w:hAnsi="Times New Roman"/>
          <w:szCs w:val="24"/>
          <w:u w:val="single"/>
        </w:rPr>
      </w:pPr>
      <w:r w:rsidRPr="004C47B7">
        <w:rPr>
          <w:rFonts w:ascii="Times New Roman" w:hAnsi="Times New Roman"/>
          <w:szCs w:val="24"/>
          <w:u w:val="single"/>
        </w:rPr>
        <w:t xml:space="preserve">Amendments to Schedule 3 </w:t>
      </w:r>
      <w:r w:rsidR="00D473E7">
        <w:rPr>
          <w:rFonts w:ascii="Times New Roman" w:hAnsi="Times New Roman"/>
          <w:szCs w:val="24"/>
          <w:u w:val="single"/>
        </w:rPr>
        <w:t>to</w:t>
      </w:r>
      <w:r w:rsidRPr="004C47B7">
        <w:rPr>
          <w:rFonts w:ascii="Times New Roman" w:hAnsi="Times New Roman"/>
          <w:szCs w:val="24"/>
          <w:u w:val="single"/>
        </w:rPr>
        <w:t xml:space="preserve"> the original Order</w:t>
      </w:r>
    </w:p>
    <w:p w:rsidR="00B16433" w:rsidRDefault="00A81387" w:rsidP="008B328F">
      <w:pPr>
        <w:spacing w:before="120" w:after="120"/>
        <w:rPr>
          <w:rFonts w:ascii="Times New Roman" w:hAnsi="Times New Roman"/>
          <w:szCs w:val="24"/>
        </w:rPr>
      </w:pPr>
      <w:r w:rsidRPr="00F7675A">
        <w:rPr>
          <w:rFonts w:ascii="Times New Roman" w:hAnsi="Times New Roman"/>
          <w:b/>
          <w:szCs w:val="24"/>
        </w:rPr>
        <w:t>Item [</w:t>
      </w:r>
      <w:r>
        <w:rPr>
          <w:rFonts w:ascii="Times New Roman" w:hAnsi="Times New Roman"/>
          <w:b/>
          <w:szCs w:val="24"/>
        </w:rPr>
        <w:t>5</w:t>
      </w:r>
      <w:r w:rsidRPr="00F7675A">
        <w:rPr>
          <w:rFonts w:ascii="Times New Roman" w:hAnsi="Times New Roman"/>
          <w:b/>
          <w:szCs w:val="24"/>
        </w:rPr>
        <w:t xml:space="preserve">] </w:t>
      </w:r>
      <w:r w:rsidRPr="00F7675A">
        <w:rPr>
          <w:rFonts w:ascii="Times New Roman" w:hAnsi="Times New Roman"/>
          <w:szCs w:val="24"/>
        </w:rPr>
        <w:t>substitute</w:t>
      </w:r>
      <w:r>
        <w:rPr>
          <w:rFonts w:ascii="Times New Roman" w:hAnsi="Times New Roman"/>
          <w:szCs w:val="24"/>
        </w:rPr>
        <w:t>s</w:t>
      </w:r>
      <w:r w:rsidRPr="00F7675A">
        <w:rPr>
          <w:rFonts w:ascii="Times New Roman" w:hAnsi="Times New Roman"/>
          <w:szCs w:val="24"/>
        </w:rPr>
        <w:t xml:space="preserve"> a new heading for Part 11 of Schedule </w:t>
      </w:r>
      <w:r>
        <w:rPr>
          <w:rFonts w:ascii="Times New Roman" w:hAnsi="Times New Roman"/>
          <w:szCs w:val="24"/>
        </w:rPr>
        <w:t>3</w:t>
      </w:r>
      <w:r w:rsidRPr="00F7675A">
        <w:rPr>
          <w:rFonts w:ascii="Times New Roman" w:hAnsi="Times New Roman"/>
          <w:szCs w:val="24"/>
        </w:rPr>
        <w:t xml:space="preserve"> to the original Order.  The current heading makes reference to substitutions made on the commencement of the </w:t>
      </w:r>
      <w:r w:rsidRPr="00F7675A">
        <w:rPr>
          <w:rFonts w:ascii="Times New Roman" w:hAnsi="Times New Roman"/>
          <w:i/>
          <w:szCs w:val="24"/>
        </w:rPr>
        <w:t>Acts Interpretation (Substituted References – S</w:t>
      </w:r>
      <w:r w:rsidR="003D3D39">
        <w:rPr>
          <w:rFonts w:ascii="Times New Roman" w:hAnsi="Times New Roman"/>
          <w:i/>
          <w:szCs w:val="24"/>
        </w:rPr>
        <w:t>ection 19B) Amendment Order 2013</w:t>
      </w:r>
      <w:bookmarkStart w:id="1" w:name="_GoBack"/>
      <w:bookmarkEnd w:id="1"/>
      <w:r w:rsidRPr="00F7675A">
        <w:rPr>
          <w:rFonts w:ascii="Times New Roman" w:hAnsi="Times New Roman"/>
          <w:i/>
          <w:szCs w:val="24"/>
        </w:rPr>
        <w:t xml:space="preserve"> (No. 1)</w:t>
      </w:r>
      <w:r w:rsidRPr="00F7675A">
        <w:rPr>
          <w:rFonts w:ascii="Times New Roman" w:hAnsi="Times New Roman"/>
          <w:szCs w:val="24"/>
        </w:rPr>
        <w:t>.</w:t>
      </w:r>
      <w:r w:rsidRPr="00F7675A">
        <w:rPr>
          <w:rFonts w:ascii="Times New Roman" w:hAnsi="Times New Roman"/>
          <w:i/>
          <w:szCs w:val="24"/>
        </w:rPr>
        <w:t xml:space="preserve"> </w:t>
      </w:r>
      <w:r w:rsidRPr="00F7675A">
        <w:rPr>
          <w:rFonts w:ascii="Times New Roman" w:hAnsi="Times New Roman"/>
          <w:szCs w:val="24"/>
        </w:rPr>
        <w:t xml:space="preserve"> The heading </w:t>
      </w:r>
      <w:r>
        <w:rPr>
          <w:rFonts w:ascii="Times New Roman" w:hAnsi="Times New Roman"/>
          <w:szCs w:val="24"/>
        </w:rPr>
        <w:t>is</w:t>
      </w:r>
      <w:r w:rsidRPr="00F7675A">
        <w:rPr>
          <w:rFonts w:ascii="Times New Roman" w:hAnsi="Times New Roman"/>
          <w:szCs w:val="24"/>
        </w:rPr>
        <w:t xml:space="preserve"> updated to the specific date </w:t>
      </w:r>
      <w:r w:rsidR="00B16433" w:rsidRPr="00F7675A">
        <w:rPr>
          <w:rFonts w:ascii="Times New Roman" w:hAnsi="Times New Roman"/>
          <w:szCs w:val="24"/>
        </w:rPr>
        <w:t>(</w:t>
      </w:r>
      <w:r w:rsidR="00B16433">
        <w:rPr>
          <w:rFonts w:ascii="Times New Roman" w:hAnsi="Times New Roman"/>
          <w:szCs w:val="24"/>
        </w:rPr>
        <w:t xml:space="preserve">9 </w:t>
      </w:r>
      <w:r w:rsidR="00B16433" w:rsidRPr="00F7675A">
        <w:rPr>
          <w:rFonts w:ascii="Times New Roman" w:hAnsi="Times New Roman"/>
          <w:szCs w:val="24"/>
        </w:rPr>
        <w:t>February 2012)</w:t>
      </w:r>
      <w:r w:rsidR="00B16433">
        <w:rPr>
          <w:rFonts w:ascii="Times New Roman" w:hAnsi="Times New Roman"/>
          <w:szCs w:val="24"/>
        </w:rPr>
        <w:t>,</w:t>
      </w:r>
      <w:r w:rsidR="00B16433" w:rsidRPr="00876D5D">
        <w:rPr>
          <w:rFonts w:ascii="Times New Roman" w:hAnsi="Times New Roman"/>
          <w:szCs w:val="24"/>
        </w:rPr>
        <w:t xml:space="preserve"> </w:t>
      </w:r>
      <w:r w:rsidR="00B16433">
        <w:rPr>
          <w:rFonts w:ascii="Times New Roman" w:hAnsi="Times New Roman"/>
          <w:szCs w:val="24"/>
        </w:rPr>
        <w:t>which is the date the instrument was made.</w:t>
      </w:r>
    </w:p>
    <w:p w:rsidR="008B328F" w:rsidRPr="004C47B7" w:rsidRDefault="008B328F" w:rsidP="008B328F">
      <w:pPr>
        <w:spacing w:before="120" w:after="120"/>
        <w:rPr>
          <w:rFonts w:ascii="Times New Roman" w:hAnsi="Times New Roman"/>
          <w:szCs w:val="24"/>
        </w:rPr>
      </w:pPr>
      <w:r w:rsidRPr="004C47B7">
        <w:rPr>
          <w:rFonts w:ascii="Times New Roman" w:hAnsi="Times New Roman"/>
          <w:b/>
          <w:szCs w:val="24"/>
        </w:rPr>
        <w:t>Item [</w:t>
      </w:r>
      <w:r w:rsidR="00A81387">
        <w:rPr>
          <w:rFonts w:ascii="Times New Roman" w:hAnsi="Times New Roman"/>
          <w:b/>
          <w:szCs w:val="24"/>
        </w:rPr>
        <w:t>6</w:t>
      </w:r>
      <w:r w:rsidRPr="004C47B7">
        <w:rPr>
          <w:rFonts w:ascii="Times New Roman" w:hAnsi="Times New Roman"/>
          <w:b/>
          <w:szCs w:val="24"/>
        </w:rPr>
        <w:t xml:space="preserve">] </w:t>
      </w:r>
      <w:r w:rsidRPr="004C47B7">
        <w:rPr>
          <w:rFonts w:ascii="Times New Roman" w:hAnsi="Times New Roman"/>
          <w:szCs w:val="24"/>
        </w:rPr>
        <w:t>insert</w:t>
      </w:r>
      <w:r w:rsidR="00120C1C">
        <w:rPr>
          <w:rFonts w:ascii="Times New Roman" w:hAnsi="Times New Roman"/>
          <w:szCs w:val="24"/>
        </w:rPr>
        <w:t>s</w:t>
      </w:r>
      <w:r w:rsidRPr="004C47B7">
        <w:rPr>
          <w:rFonts w:ascii="Times New Roman" w:hAnsi="Times New Roman"/>
          <w:szCs w:val="24"/>
        </w:rPr>
        <w:t xml:space="preserve"> a new Part 1</w:t>
      </w:r>
      <w:r w:rsidR="00A81387">
        <w:rPr>
          <w:rFonts w:ascii="Times New Roman" w:hAnsi="Times New Roman"/>
          <w:szCs w:val="24"/>
        </w:rPr>
        <w:t>2</w:t>
      </w:r>
      <w:r w:rsidRPr="004C47B7">
        <w:rPr>
          <w:rFonts w:ascii="Times New Roman" w:hAnsi="Times New Roman"/>
          <w:szCs w:val="24"/>
        </w:rPr>
        <w:t xml:space="preserve"> into Schedule 3 </w:t>
      </w:r>
      <w:r w:rsidR="009D358E">
        <w:rPr>
          <w:rFonts w:ascii="Times New Roman" w:hAnsi="Times New Roman"/>
          <w:szCs w:val="24"/>
        </w:rPr>
        <w:t>to</w:t>
      </w:r>
      <w:r w:rsidRPr="004C47B7">
        <w:rPr>
          <w:rFonts w:ascii="Times New Roman" w:hAnsi="Times New Roman"/>
          <w:szCs w:val="24"/>
        </w:rPr>
        <w:t xml:space="preserve"> the original Order</w:t>
      </w:r>
      <w:r w:rsidRPr="004C47B7">
        <w:rPr>
          <w:rFonts w:ascii="Times New Roman" w:hAnsi="Times New Roman"/>
          <w:i/>
          <w:szCs w:val="24"/>
        </w:rPr>
        <w:t>.</w:t>
      </w:r>
      <w:r w:rsidRPr="004C47B7">
        <w:rPr>
          <w:rFonts w:ascii="Times New Roman" w:hAnsi="Times New Roman"/>
          <w:szCs w:val="24"/>
        </w:rPr>
        <w:t xml:space="preserve">  Section 5 of the original Order provides for each item in a Part of Schedule 3 to substitute references to the Secretary </w:t>
      </w:r>
      <w:r w:rsidRPr="004C47B7">
        <w:rPr>
          <w:rFonts w:ascii="Times New Roman" w:hAnsi="Times New Roman"/>
          <w:szCs w:val="24"/>
        </w:rPr>
        <w:lastRenderedPageBreak/>
        <w:t xml:space="preserve">mentioned in column 2 for references to the Secretary mentioned in column 3, wherever such references occur in a provision mentioned in column 4.  </w:t>
      </w:r>
      <w:r w:rsidR="00096583">
        <w:rPr>
          <w:rFonts w:ascii="Times New Roman" w:hAnsi="Times New Roman"/>
          <w:szCs w:val="24"/>
        </w:rPr>
        <w:t>The n</w:t>
      </w:r>
      <w:r w:rsidRPr="004C47B7">
        <w:rPr>
          <w:rFonts w:ascii="Times New Roman" w:hAnsi="Times New Roman"/>
          <w:szCs w:val="24"/>
        </w:rPr>
        <w:t>ew Part 1</w:t>
      </w:r>
      <w:r w:rsidR="00A81387">
        <w:rPr>
          <w:rFonts w:ascii="Times New Roman" w:hAnsi="Times New Roman"/>
          <w:szCs w:val="24"/>
        </w:rPr>
        <w:t>2</w:t>
      </w:r>
      <w:r w:rsidRPr="004C47B7">
        <w:rPr>
          <w:rFonts w:ascii="Times New Roman" w:hAnsi="Times New Roman"/>
          <w:szCs w:val="24"/>
        </w:rPr>
        <w:t xml:space="preserve"> of Schedule 3 set</w:t>
      </w:r>
      <w:r w:rsidR="00246D54">
        <w:rPr>
          <w:rFonts w:ascii="Times New Roman" w:hAnsi="Times New Roman"/>
          <w:szCs w:val="24"/>
        </w:rPr>
        <w:t>s</w:t>
      </w:r>
      <w:r w:rsidRPr="004C47B7">
        <w:rPr>
          <w:rFonts w:ascii="Times New Roman" w:hAnsi="Times New Roman"/>
          <w:szCs w:val="24"/>
        </w:rPr>
        <w:t xml:space="preserve"> out a new item, the relevant existing reference, substitute reference and affected provisions, for the machinery</w:t>
      </w:r>
      <w:r w:rsidR="009D358E">
        <w:rPr>
          <w:rFonts w:ascii="Times New Roman" w:hAnsi="Times New Roman"/>
          <w:szCs w:val="24"/>
        </w:rPr>
        <w:t xml:space="preserve"> </w:t>
      </w:r>
      <w:r w:rsidRPr="004C47B7">
        <w:rPr>
          <w:rFonts w:ascii="Times New Roman" w:hAnsi="Times New Roman"/>
          <w:szCs w:val="24"/>
        </w:rPr>
        <w:t xml:space="preserve">changes referred to in section 5 of the original Order.  </w:t>
      </w:r>
    </w:p>
    <w:p w:rsidR="008B328F" w:rsidRPr="004C47B7" w:rsidRDefault="008B328F" w:rsidP="008B328F">
      <w:pPr>
        <w:spacing w:before="120" w:after="120"/>
        <w:rPr>
          <w:rFonts w:ascii="Times New Roman" w:hAnsi="Times New Roman"/>
          <w:szCs w:val="24"/>
        </w:rPr>
      </w:pPr>
      <w:r w:rsidRPr="004C47B7">
        <w:rPr>
          <w:rFonts w:ascii="Times New Roman" w:hAnsi="Times New Roman"/>
          <w:szCs w:val="24"/>
        </w:rPr>
        <w:t>As shown in the table below, a reference to the S</w:t>
      </w:r>
      <w:r w:rsidR="00724311">
        <w:rPr>
          <w:rFonts w:ascii="Times New Roman" w:hAnsi="Times New Roman"/>
          <w:szCs w:val="24"/>
        </w:rPr>
        <w:t xml:space="preserve">ecretary listed in column 2 of </w:t>
      </w:r>
      <w:r w:rsidRPr="004C47B7">
        <w:rPr>
          <w:rFonts w:ascii="Times New Roman" w:hAnsi="Times New Roman"/>
          <w:szCs w:val="24"/>
        </w:rPr>
        <w:t>Part 1</w:t>
      </w:r>
      <w:r w:rsidR="00A81387">
        <w:rPr>
          <w:rFonts w:ascii="Times New Roman" w:hAnsi="Times New Roman"/>
          <w:szCs w:val="24"/>
        </w:rPr>
        <w:t>2</w:t>
      </w:r>
      <w:r w:rsidRPr="004C47B7">
        <w:rPr>
          <w:rFonts w:ascii="Times New Roman" w:hAnsi="Times New Roman"/>
          <w:szCs w:val="24"/>
        </w:rPr>
        <w:t xml:space="preserve">, in a provision listed in column 4, </w:t>
      </w:r>
      <w:r w:rsidR="00246D54">
        <w:rPr>
          <w:rFonts w:ascii="Times New Roman" w:hAnsi="Times New Roman"/>
          <w:szCs w:val="24"/>
        </w:rPr>
        <w:t>is</w:t>
      </w:r>
      <w:r w:rsidRPr="004C47B7">
        <w:rPr>
          <w:rFonts w:ascii="Times New Roman" w:hAnsi="Times New Roman"/>
          <w:szCs w:val="24"/>
        </w:rPr>
        <w:t xml:space="preserve"> replaced by a reference to the Secretary listed in column 3.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1"/>
        <w:gridCol w:w="2665"/>
        <w:gridCol w:w="2665"/>
        <w:gridCol w:w="2931"/>
      </w:tblGrid>
      <w:tr w:rsidR="008B328F" w:rsidRPr="004C47B7" w:rsidTr="00A81387">
        <w:trPr>
          <w:cantSplit/>
          <w:tblHeader/>
        </w:trPr>
        <w:tc>
          <w:tcPr>
            <w:tcW w:w="811" w:type="dxa"/>
            <w:tcBorders>
              <w:bottom w:val="single" w:sz="4" w:space="0" w:color="auto"/>
            </w:tcBorders>
          </w:tcPr>
          <w:p w:rsidR="008B328F" w:rsidRPr="004C47B7" w:rsidRDefault="008B328F" w:rsidP="00497B5A">
            <w:pPr>
              <w:pStyle w:val="TableColHead"/>
              <w:spacing w:after="120" w:line="240" w:lineRule="auto"/>
              <w:jc w:val="left"/>
              <w:rPr>
                <w:rFonts w:ascii="Times New Roman" w:hAnsi="Times New Roman"/>
                <w:sz w:val="24"/>
              </w:rPr>
            </w:pPr>
            <w:r w:rsidRPr="004C47B7">
              <w:rPr>
                <w:rFonts w:ascii="Times New Roman" w:hAnsi="Times New Roman"/>
                <w:sz w:val="24"/>
              </w:rPr>
              <w:t>Item</w:t>
            </w:r>
          </w:p>
        </w:tc>
        <w:tc>
          <w:tcPr>
            <w:tcW w:w="2665" w:type="dxa"/>
            <w:tcBorders>
              <w:bottom w:val="single" w:sz="4" w:space="0" w:color="auto"/>
            </w:tcBorders>
          </w:tcPr>
          <w:p w:rsidR="008B328F" w:rsidRPr="004C47B7" w:rsidRDefault="008B328F" w:rsidP="00497B5A">
            <w:pPr>
              <w:pStyle w:val="TableColHead"/>
              <w:spacing w:after="120" w:line="240" w:lineRule="auto"/>
              <w:rPr>
                <w:rFonts w:ascii="Times New Roman" w:hAnsi="Times New Roman"/>
                <w:sz w:val="24"/>
              </w:rPr>
            </w:pPr>
            <w:r w:rsidRPr="004C47B7">
              <w:rPr>
                <w:rFonts w:ascii="Times New Roman" w:hAnsi="Times New Roman"/>
                <w:sz w:val="24"/>
              </w:rPr>
              <w:t>Existing reference</w:t>
            </w:r>
          </w:p>
        </w:tc>
        <w:tc>
          <w:tcPr>
            <w:tcW w:w="2665" w:type="dxa"/>
            <w:tcBorders>
              <w:bottom w:val="single" w:sz="4" w:space="0" w:color="auto"/>
            </w:tcBorders>
          </w:tcPr>
          <w:p w:rsidR="008B328F" w:rsidRPr="004C47B7" w:rsidRDefault="008B328F" w:rsidP="00497B5A">
            <w:pPr>
              <w:pStyle w:val="TableColHead"/>
              <w:spacing w:after="120" w:line="240" w:lineRule="auto"/>
              <w:rPr>
                <w:rFonts w:ascii="Times New Roman" w:hAnsi="Times New Roman"/>
                <w:sz w:val="24"/>
              </w:rPr>
            </w:pPr>
            <w:r w:rsidRPr="004C47B7">
              <w:rPr>
                <w:rFonts w:ascii="Times New Roman" w:hAnsi="Times New Roman"/>
                <w:sz w:val="24"/>
              </w:rPr>
              <w:t>Substitute reference</w:t>
            </w:r>
          </w:p>
        </w:tc>
        <w:tc>
          <w:tcPr>
            <w:tcW w:w="2931" w:type="dxa"/>
            <w:tcBorders>
              <w:bottom w:val="single" w:sz="4" w:space="0" w:color="auto"/>
            </w:tcBorders>
          </w:tcPr>
          <w:p w:rsidR="008B328F" w:rsidRPr="004C47B7" w:rsidRDefault="008B328F" w:rsidP="00497B5A">
            <w:pPr>
              <w:pStyle w:val="TableColHead"/>
              <w:spacing w:after="120" w:line="240" w:lineRule="auto"/>
              <w:rPr>
                <w:rFonts w:ascii="Times New Roman" w:hAnsi="Times New Roman"/>
                <w:sz w:val="24"/>
              </w:rPr>
            </w:pPr>
            <w:r w:rsidRPr="004C47B7">
              <w:rPr>
                <w:rFonts w:ascii="Times New Roman" w:hAnsi="Times New Roman"/>
                <w:sz w:val="24"/>
              </w:rPr>
              <w:t>Affected provisions</w:t>
            </w:r>
          </w:p>
        </w:tc>
      </w:tr>
      <w:tr w:rsidR="00A81387" w:rsidRPr="004C47B7" w:rsidTr="00A81387">
        <w:trPr>
          <w:cantSplit/>
        </w:trPr>
        <w:tc>
          <w:tcPr>
            <w:tcW w:w="811" w:type="dxa"/>
            <w:tcBorders>
              <w:top w:val="single" w:sz="4" w:space="0" w:color="auto"/>
              <w:bottom w:val="single" w:sz="4" w:space="0" w:color="auto"/>
            </w:tcBorders>
          </w:tcPr>
          <w:p w:rsidR="00A81387" w:rsidRPr="00F7675A" w:rsidRDefault="00A81387" w:rsidP="005D6D4C">
            <w:pPr>
              <w:pStyle w:val="TableText"/>
              <w:spacing w:before="120" w:after="120" w:line="240" w:lineRule="auto"/>
              <w:rPr>
                <w:sz w:val="24"/>
              </w:rPr>
            </w:pPr>
            <w:r w:rsidRPr="00F7675A">
              <w:rPr>
                <w:sz w:val="24"/>
              </w:rPr>
              <w:t>1</w:t>
            </w:r>
          </w:p>
        </w:tc>
        <w:tc>
          <w:tcPr>
            <w:tcW w:w="2665" w:type="dxa"/>
            <w:tcBorders>
              <w:top w:val="single" w:sz="4" w:space="0" w:color="auto"/>
              <w:bottom w:val="single" w:sz="4" w:space="0" w:color="auto"/>
            </w:tcBorders>
          </w:tcPr>
          <w:p w:rsidR="00A81387" w:rsidRPr="00F7675A" w:rsidRDefault="00A81387" w:rsidP="005D6D4C">
            <w:pPr>
              <w:pStyle w:val="TableText"/>
              <w:spacing w:before="120" w:after="120" w:line="240" w:lineRule="auto"/>
              <w:rPr>
                <w:sz w:val="24"/>
              </w:rPr>
            </w:pPr>
            <w:r w:rsidRPr="00F7675A">
              <w:rPr>
                <w:sz w:val="24"/>
              </w:rPr>
              <w:t>Secretary of the Department of Industry, Innovation, Science, Research and Tertiary Education</w:t>
            </w:r>
          </w:p>
        </w:tc>
        <w:tc>
          <w:tcPr>
            <w:tcW w:w="2665" w:type="dxa"/>
            <w:tcBorders>
              <w:top w:val="single" w:sz="4" w:space="0" w:color="auto"/>
              <w:bottom w:val="single" w:sz="4" w:space="0" w:color="auto"/>
            </w:tcBorders>
          </w:tcPr>
          <w:p w:rsidR="00A81387" w:rsidRPr="00F7675A" w:rsidRDefault="00A81387" w:rsidP="005D6D4C">
            <w:pPr>
              <w:pStyle w:val="TableText"/>
              <w:spacing w:before="120" w:after="120" w:line="240" w:lineRule="auto"/>
              <w:rPr>
                <w:sz w:val="24"/>
              </w:rPr>
            </w:pPr>
            <w:r w:rsidRPr="00F7675A">
              <w:rPr>
                <w:sz w:val="24"/>
              </w:rPr>
              <w:t>Secretary of the Department of Industry, Innovation, Climate Change, Science, Research and Tertiary Education</w:t>
            </w:r>
          </w:p>
        </w:tc>
        <w:tc>
          <w:tcPr>
            <w:tcW w:w="2931" w:type="dxa"/>
            <w:tcBorders>
              <w:top w:val="single" w:sz="4" w:space="0" w:color="auto"/>
              <w:bottom w:val="single" w:sz="4" w:space="0" w:color="auto"/>
            </w:tcBorders>
          </w:tcPr>
          <w:p w:rsidR="00A81387" w:rsidRPr="00F7675A" w:rsidRDefault="00CD7899" w:rsidP="005D6D4C">
            <w:pPr>
              <w:pStyle w:val="TableText"/>
              <w:spacing w:before="120" w:after="120" w:line="240" w:lineRule="auto"/>
              <w:rPr>
                <w:sz w:val="24"/>
              </w:rPr>
            </w:pPr>
            <w:r>
              <w:rPr>
                <w:sz w:val="24"/>
              </w:rPr>
              <w:t>P</w:t>
            </w:r>
            <w:r w:rsidR="00B16433" w:rsidRPr="00F7675A">
              <w:rPr>
                <w:sz w:val="24"/>
              </w:rPr>
              <w:t>rovisions of</w:t>
            </w:r>
            <w:r w:rsidR="00B16433">
              <w:rPr>
                <w:sz w:val="24"/>
              </w:rPr>
              <w:t xml:space="preserve"> instruments made under</w:t>
            </w:r>
            <w:r w:rsidR="00B16433" w:rsidRPr="00F7675A">
              <w:rPr>
                <w:sz w:val="24"/>
              </w:rPr>
              <w:t xml:space="preserve"> the </w:t>
            </w:r>
            <w:r w:rsidR="00A81387" w:rsidRPr="00F7675A">
              <w:rPr>
                <w:i/>
                <w:sz w:val="24"/>
              </w:rPr>
              <w:t xml:space="preserve">Freedom of Information Act 1982 </w:t>
            </w:r>
            <w:r w:rsidR="00A81387" w:rsidRPr="00F7675A">
              <w:rPr>
                <w:sz w:val="24"/>
              </w:rPr>
              <w:t xml:space="preserve"> </w:t>
            </w:r>
          </w:p>
        </w:tc>
      </w:tr>
    </w:tbl>
    <w:p w:rsidR="008B328F" w:rsidRPr="005A6382" w:rsidRDefault="008B328F" w:rsidP="008B328F">
      <w:pPr>
        <w:spacing w:before="120" w:after="120"/>
        <w:rPr>
          <w:rFonts w:ascii="Times New Roman" w:hAnsi="Times New Roman"/>
          <w:b/>
          <w:szCs w:val="24"/>
        </w:rPr>
      </w:pPr>
    </w:p>
    <w:p w:rsidR="00D7123F" w:rsidRPr="005A6382" w:rsidRDefault="00D7123F" w:rsidP="003079AB">
      <w:pPr>
        <w:rPr>
          <w:rFonts w:ascii="Times New Roman" w:hAnsi="Times New Roman"/>
          <w:b/>
          <w:szCs w:val="24"/>
        </w:rPr>
      </w:pPr>
    </w:p>
    <w:sectPr w:rsidR="00D7123F" w:rsidRPr="005A6382" w:rsidSect="00A111F1">
      <w:headerReference w:type="even" r:id="rId9"/>
      <w:type w:val="continuous"/>
      <w:pgSz w:w="11880" w:h="16820"/>
      <w:pgMar w:top="1418" w:right="1418" w:bottom="1418" w:left="1418" w:header="737" w:footer="737" w:gutter="0"/>
      <w:cols w:space="737"/>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C14" w:rsidRDefault="00235C14">
      <w:r>
        <w:separator/>
      </w:r>
    </w:p>
  </w:endnote>
  <w:endnote w:type="continuationSeparator" w:id="0">
    <w:p w:rsidR="00235C14" w:rsidRDefault="00235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C14" w:rsidRDefault="00235C14">
      <w:r>
        <w:separator/>
      </w:r>
    </w:p>
  </w:footnote>
  <w:footnote w:type="continuationSeparator" w:id="0">
    <w:p w:rsidR="00235C14" w:rsidRDefault="00235C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A5A" w:rsidRDefault="004C0A5A" w:rsidP="00E3640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C0A5A" w:rsidRDefault="004C0A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C1EFB"/>
    <w:multiLevelType w:val="hybridMultilevel"/>
    <w:tmpl w:val="7A4E8FEC"/>
    <w:lvl w:ilvl="0" w:tplc="0C090001">
      <w:start w:val="1"/>
      <w:numFmt w:val="bullet"/>
      <w:lvlText w:val=""/>
      <w:lvlJc w:val="left"/>
      <w:pPr>
        <w:ind w:left="1003" w:hanging="360"/>
      </w:pPr>
      <w:rPr>
        <w:rFonts w:ascii="Symbol" w:hAnsi="Symbol"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1">
    <w:nsid w:val="23D738A9"/>
    <w:multiLevelType w:val="hybridMultilevel"/>
    <w:tmpl w:val="A6102C14"/>
    <w:lvl w:ilvl="0" w:tplc="1C600BB6">
      <w:start w:val="1"/>
      <w:numFmt w:val="lowerLetter"/>
      <w:lvlText w:val="(%1)"/>
      <w:lvlJc w:val="left"/>
      <w:pPr>
        <w:tabs>
          <w:tab w:val="num" w:pos="1140"/>
        </w:tabs>
        <w:ind w:left="1140" w:hanging="840"/>
      </w:pPr>
      <w:rPr>
        <w:rFonts w:hint="default"/>
      </w:rPr>
    </w:lvl>
    <w:lvl w:ilvl="1" w:tplc="0C090019" w:tentative="1">
      <w:start w:val="1"/>
      <w:numFmt w:val="lowerLetter"/>
      <w:lvlText w:val="%2."/>
      <w:lvlJc w:val="left"/>
      <w:pPr>
        <w:tabs>
          <w:tab w:val="num" w:pos="1380"/>
        </w:tabs>
        <w:ind w:left="1380" w:hanging="360"/>
      </w:pPr>
    </w:lvl>
    <w:lvl w:ilvl="2" w:tplc="0C09001B" w:tentative="1">
      <w:start w:val="1"/>
      <w:numFmt w:val="lowerRoman"/>
      <w:lvlText w:val="%3."/>
      <w:lvlJc w:val="right"/>
      <w:pPr>
        <w:tabs>
          <w:tab w:val="num" w:pos="2100"/>
        </w:tabs>
        <w:ind w:left="2100" w:hanging="180"/>
      </w:pPr>
    </w:lvl>
    <w:lvl w:ilvl="3" w:tplc="0C09000F" w:tentative="1">
      <w:start w:val="1"/>
      <w:numFmt w:val="decimal"/>
      <w:lvlText w:val="%4."/>
      <w:lvlJc w:val="left"/>
      <w:pPr>
        <w:tabs>
          <w:tab w:val="num" w:pos="2820"/>
        </w:tabs>
        <w:ind w:left="2820" w:hanging="360"/>
      </w:pPr>
    </w:lvl>
    <w:lvl w:ilvl="4" w:tplc="0C090019" w:tentative="1">
      <w:start w:val="1"/>
      <w:numFmt w:val="lowerLetter"/>
      <w:lvlText w:val="%5."/>
      <w:lvlJc w:val="left"/>
      <w:pPr>
        <w:tabs>
          <w:tab w:val="num" w:pos="3540"/>
        </w:tabs>
        <w:ind w:left="3540" w:hanging="360"/>
      </w:pPr>
    </w:lvl>
    <w:lvl w:ilvl="5" w:tplc="0C09001B" w:tentative="1">
      <w:start w:val="1"/>
      <w:numFmt w:val="lowerRoman"/>
      <w:lvlText w:val="%6."/>
      <w:lvlJc w:val="right"/>
      <w:pPr>
        <w:tabs>
          <w:tab w:val="num" w:pos="4260"/>
        </w:tabs>
        <w:ind w:left="4260" w:hanging="180"/>
      </w:pPr>
    </w:lvl>
    <w:lvl w:ilvl="6" w:tplc="0C09000F" w:tentative="1">
      <w:start w:val="1"/>
      <w:numFmt w:val="decimal"/>
      <w:lvlText w:val="%7."/>
      <w:lvlJc w:val="left"/>
      <w:pPr>
        <w:tabs>
          <w:tab w:val="num" w:pos="4980"/>
        </w:tabs>
        <w:ind w:left="4980" w:hanging="360"/>
      </w:pPr>
    </w:lvl>
    <w:lvl w:ilvl="7" w:tplc="0C090019" w:tentative="1">
      <w:start w:val="1"/>
      <w:numFmt w:val="lowerLetter"/>
      <w:lvlText w:val="%8."/>
      <w:lvlJc w:val="left"/>
      <w:pPr>
        <w:tabs>
          <w:tab w:val="num" w:pos="5700"/>
        </w:tabs>
        <w:ind w:left="5700" w:hanging="360"/>
      </w:pPr>
    </w:lvl>
    <w:lvl w:ilvl="8" w:tplc="0C09001B" w:tentative="1">
      <w:start w:val="1"/>
      <w:numFmt w:val="lowerRoman"/>
      <w:lvlText w:val="%9."/>
      <w:lvlJc w:val="right"/>
      <w:pPr>
        <w:tabs>
          <w:tab w:val="num" w:pos="6420"/>
        </w:tabs>
        <w:ind w:left="6420" w:hanging="180"/>
      </w:pPr>
    </w:lvl>
  </w:abstractNum>
  <w:abstractNum w:abstractNumId="2">
    <w:nsid w:val="2D8A3F8C"/>
    <w:multiLevelType w:val="hybridMultilevel"/>
    <w:tmpl w:val="3F66A9F2"/>
    <w:lvl w:ilvl="0" w:tplc="77CA1D9C">
      <w:start w:val="1"/>
      <w:numFmt w:val="lowerLetter"/>
      <w:lvlText w:val="(%1)"/>
      <w:lvlJc w:val="left"/>
      <w:pPr>
        <w:tabs>
          <w:tab w:val="num" w:pos="940"/>
        </w:tabs>
        <w:ind w:left="9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nsid w:val="304747A8"/>
    <w:multiLevelType w:val="hybridMultilevel"/>
    <w:tmpl w:val="0F709AEC"/>
    <w:lvl w:ilvl="0" w:tplc="0390F5C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31AF48EC"/>
    <w:multiLevelType w:val="hybridMultilevel"/>
    <w:tmpl w:val="D9FA082C"/>
    <w:lvl w:ilvl="0" w:tplc="E7D8D48E">
      <w:start w:val="3"/>
      <w:numFmt w:val="lowerLetter"/>
      <w:lvlText w:val="(%1)"/>
      <w:lvlJc w:val="left"/>
      <w:pPr>
        <w:tabs>
          <w:tab w:val="num" w:pos="640"/>
        </w:tabs>
        <w:ind w:left="640" w:hanging="360"/>
      </w:pPr>
      <w:rPr>
        <w:rFonts w:hint="default"/>
      </w:rPr>
    </w:lvl>
    <w:lvl w:ilvl="1" w:tplc="0C090019" w:tentative="1">
      <w:start w:val="1"/>
      <w:numFmt w:val="lowerLetter"/>
      <w:lvlText w:val="%2."/>
      <w:lvlJc w:val="left"/>
      <w:pPr>
        <w:tabs>
          <w:tab w:val="num" w:pos="1360"/>
        </w:tabs>
        <w:ind w:left="1360" w:hanging="360"/>
      </w:pPr>
    </w:lvl>
    <w:lvl w:ilvl="2" w:tplc="0C09001B" w:tentative="1">
      <w:start w:val="1"/>
      <w:numFmt w:val="lowerRoman"/>
      <w:lvlText w:val="%3."/>
      <w:lvlJc w:val="right"/>
      <w:pPr>
        <w:tabs>
          <w:tab w:val="num" w:pos="2080"/>
        </w:tabs>
        <w:ind w:left="2080" w:hanging="180"/>
      </w:pPr>
    </w:lvl>
    <w:lvl w:ilvl="3" w:tplc="0C09000F" w:tentative="1">
      <w:start w:val="1"/>
      <w:numFmt w:val="decimal"/>
      <w:lvlText w:val="%4."/>
      <w:lvlJc w:val="left"/>
      <w:pPr>
        <w:tabs>
          <w:tab w:val="num" w:pos="2800"/>
        </w:tabs>
        <w:ind w:left="2800" w:hanging="360"/>
      </w:pPr>
    </w:lvl>
    <w:lvl w:ilvl="4" w:tplc="0C090019" w:tentative="1">
      <w:start w:val="1"/>
      <w:numFmt w:val="lowerLetter"/>
      <w:lvlText w:val="%5."/>
      <w:lvlJc w:val="left"/>
      <w:pPr>
        <w:tabs>
          <w:tab w:val="num" w:pos="3520"/>
        </w:tabs>
        <w:ind w:left="3520" w:hanging="360"/>
      </w:pPr>
    </w:lvl>
    <w:lvl w:ilvl="5" w:tplc="0C09001B" w:tentative="1">
      <w:start w:val="1"/>
      <w:numFmt w:val="lowerRoman"/>
      <w:lvlText w:val="%6."/>
      <w:lvlJc w:val="right"/>
      <w:pPr>
        <w:tabs>
          <w:tab w:val="num" w:pos="4240"/>
        </w:tabs>
        <w:ind w:left="4240" w:hanging="180"/>
      </w:pPr>
    </w:lvl>
    <w:lvl w:ilvl="6" w:tplc="0C09000F" w:tentative="1">
      <w:start w:val="1"/>
      <w:numFmt w:val="decimal"/>
      <w:lvlText w:val="%7."/>
      <w:lvlJc w:val="left"/>
      <w:pPr>
        <w:tabs>
          <w:tab w:val="num" w:pos="4960"/>
        </w:tabs>
        <w:ind w:left="4960" w:hanging="360"/>
      </w:pPr>
    </w:lvl>
    <w:lvl w:ilvl="7" w:tplc="0C090019" w:tentative="1">
      <w:start w:val="1"/>
      <w:numFmt w:val="lowerLetter"/>
      <w:lvlText w:val="%8."/>
      <w:lvlJc w:val="left"/>
      <w:pPr>
        <w:tabs>
          <w:tab w:val="num" w:pos="5680"/>
        </w:tabs>
        <w:ind w:left="5680" w:hanging="360"/>
      </w:pPr>
    </w:lvl>
    <w:lvl w:ilvl="8" w:tplc="0C09001B" w:tentative="1">
      <w:start w:val="1"/>
      <w:numFmt w:val="lowerRoman"/>
      <w:lvlText w:val="%9."/>
      <w:lvlJc w:val="right"/>
      <w:pPr>
        <w:tabs>
          <w:tab w:val="num" w:pos="6400"/>
        </w:tabs>
        <w:ind w:left="6400" w:hanging="180"/>
      </w:pPr>
    </w:lvl>
  </w:abstractNum>
  <w:abstractNum w:abstractNumId="5">
    <w:nsid w:val="35203A82"/>
    <w:multiLevelType w:val="hybridMultilevel"/>
    <w:tmpl w:val="A8F402D6"/>
    <w:lvl w:ilvl="0" w:tplc="869A30D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5CCC3BC9"/>
    <w:multiLevelType w:val="hybridMultilevel"/>
    <w:tmpl w:val="D5629BB8"/>
    <w:lvl w:ilvl="0" w:tplc="9EFCD2F0">
      <w:start w:val="1"/>
      <w:numFmt w:val="lowerLetter"/>
      <w:lvlText w:val="(%1)"/>
      <w:lvlJc w:val="left"/>
      <w:pPr>
        <w:ind w:left="720" w:hanging="360"/>
      </w:pPr>
      <w:rPr>
        <w:rFonts w:hint="default"/>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6810066E"/>
    <w:multiLevelType w:val="hybridMultilevel"/>
    <w:tmpl w:val="A8F402D6"/>
    <w:lvl w:ilvl="0" w:tplc="869A30D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683A56C3"/>
    <w:multiLevelType w:val="hybridMultilevel"/>
    <w:tmpl w:val="78F26F5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1"/>
  </w:num>
  <w:num w:numId="4">
    <w:abstractNumId w:val="8"/>
  </w:num>
  <w:num w:numId="5">
    <w:abstractNumId w:val="0"/>
  </w:num>
  <w:num w:numId="6">
    <w:abstractNumId w:val="6"/>
  </w:num>
  <w:num w:numId="7">
    <w:abstractNumId w:val="5"/>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1BE"/>
    <w:rsid w:val="0002321E"/>
    <w:rsid w:val="000254A7"/>
    <w:rsid w:val="00040044"/>
    <w:rsid w:val="00047C08"/>
    <w:rsid w:val="00071395"/>
    <w:rsid w:val="00073A12"/>
    <w:rsid w:val="00076F49"/>
    <w:rsid w:val="00090E18"/>
    <w:rsid w:val="00096583"/>
    <w:rsid w:val="000B1D22"/>
    <w:rsid w:val="000B5FB2"/>
    <w:rsid w:val="000D0CC8"/>
    <w:rsid w:val="000D6111"/>
    <w:rsid w:val="000E4F98"/>
    <w:rsid w:val="00120C1C"/>
    <w:rsid w:val="00141874"/>
    <w:rsid w:val="00142CC7"/>
    <w:rsid w:val="0014313F"/>
    <w:rsid w:val="00151272"/>
    <w:rsid w:val="0015674A"/>
    <w:rsid w:val="00193DCA"/>
    <w:rsid w:val="001C6FF0"/>
    <w:rsid w:val="001D7B3B"/>
    <w:rsid w:val="002025B2"/>
    <w:rsid w:val="00216A13"/>
    <w:rsid w:val="00220029"/>
    <w:rsid w:val="00235C14"/>
    <w:rsid w:val="00237E66"/>
    <w:rsid w:val="0024591A"/>
    <w:rsid w:val="00245F61"/>
    <w:rsid w:val="00246D54"/>
    <w:rsid w:val="0026094E"/>
    <w:rsid w:val="00262760"/>
    <w:rsid w:val="00277B36"/>
    <w:rsid w:val="00277E23"/>
    <w:rsid w:val="00287583"/>
    <w:rsid w:val="002D09F5"/>
    <w:rsid w:val="002D2671"/>
    <w:rsid w:val="002F2BB0"/>
    <w:rsid w:val="002F7216"/>
    <w:rsid w:val="00302735"/>
    <w:rsid w:val="00303376"/>
    <w:rsid w:val="003079AB"/>
    <w:rsid w:val="00310CC9"/>
    <w:rsid w:val="00322D04"/>
    <w:rsid w:val="00331CF1"/>
    <w:rsid w:val="00341408"/>
    <w:rsid w:val="00356BF6"/>
    <w:rsid w:val="00370A99"/>
    <w:rsid w:val="00382D49"/>
    <w:rsid w:val="00384152"/>
    <w:rsid w:val="0038708E"/>
    <w:rsid w:val="003C2543"/>
    <w:rsid w:val="003D3D39"/>
    <w:rsid w:val="003F3175"/>
    <w:rsid w:val="00400E75"/>
    <w:rsid w:val="004218F9"/>
    <w:rsid w:val="00431A60"/>
    <w:rsid w:val="004354B4"/>
    <w:rsid w:val="00435991"/>
    <w:rsid w:val="00440F82"/>
    <w:rsid w:val="00445057"/>
    <w:rsid w:val="004624D5"/>
    <w:rsid w:val="0047367D"/>
    <w:rsid w:val="00497B5A"/>
    <w:rsid w:val="004A0E8C"/>
    <w:rsid w:val="004A6CED"/>
    <w:rsid w:val="004C02C6"/>
    <w:rsid w:val="004C0A5A"/>
    <w:rsid w:val="004C1BEF"/>
    <w:rsid w:val="004D266B"/>
    <w:rsid w:val="004D2D20"/>
    <w:rsid w:val="004E1340"/>
    <w:rsid w:val="004E19DD"/>
    <w:rsid w:val="004E1A44"/>
    <w:rsid w:val="004F1B38"/>
    <w:rsid w:val="004F2669"/>
    <w:rsid w:val="004F37FE"/>
    <w:rsid w:val="005416A4"/>
    <w:rsid w:val="005418E2"/>
    <w:rsid w:val="00552323"/>
    <w:rsid w:val="00594110"/>
    <w:rsid w:val="0059673D"/>
    <w:rsid w:val="005A6382"/>
    <w:rsid w:val="005B79D8"/>
    <w:rsid w:val="005C10CC"/>
    <w:rsid w:val="005C513E"/>
    <w:rsid w:val="005D4236"/>
    <w:rsid w:val="005E1AE3"/>
    <w:rsid w:val="005E34ED"/>
    <w:rsid w:val="005E7AEC"/>
    <w:rsid w:val="005F65F7"/>
    <w:rsid w:val="00607194"/>
    <w:rsid w:val="0060779A"/>
    <w:rsid w:val="00612A03"/>
    <w:rsid w:val="00620BA9"/>
    <w:rsid w:val="00622419"/>
    <w:rsid w:val="006338EE"/>
    <w:rsid w:val="00640A98"/>
    <w:rsid w:val="0064570C"/>
    <w:rsid w:val="006553DA"/>
    <w:rsid w:val="006836A3"/>
    <w:rsid w:val="00687910"/>
    <w:rsid w:val="00691191"/>
    <w:rsid w:val="006F32BD"/>
    <w:rsid w:val="006F3F1B"/>
    <w:rsid w:val="006F4945"/>
    <w:rsid w:val="00705DDC"/>
    <w:rsid w:val="00715107"/>
    <w:rsid w:val="00724311"/>
    <w:rsid w:val="0074725D"/>
    <w:rsid w:val="00760908"/>
    <w:rsid w:val="00771EE9"/>
    <w:rsid w:val="007830F6"/>
    <w:rsid w:val="00786528"/>
    <w:rsid w:val="0079124C"/>
    <w:rsid w:val="00793D36"/>
    <w:rsid w:val="007A378C"/>
    <w:rsid w:val="007A6EC3"/>
    <w:rsid w:val="007B3856"/>
    <w:rsid w:val="007D0763"/>
    <w:rsid w:val="007D4553"/>
    <w:rsid w:val="007E4115"/>
    <w:rsid w:val="007F503D"/>
    <w:rsid w:val="008055A4"/>
    <w:rsid w:val="00811888"/>
    <w:rsid w:val="008119BB"/>
    <w:rsid w:val="008561EA"/>
    <w:rsid w:val="00872487"/>
    <w:rsid w:val="00881EC3"/>
    <w:rsid w:val="008B328F"/>
    <w:rsid w:val="008B332B"/>
    <w:rsid w:val="008B51BE"/>
    <w:rsid w:val="008C07A8"/>
    <w:rsid w:val="008C6231"/>
    <w:rsid w:val="008D2BBC"/>
    <w:rsid w:val="008D5CAD"/>
    <w:rsid w:val="008D60DC"/>
    <w:rsid w:val="008E25AB"/>
    <w:rsid w:val="00905FEA"/>
    <w:rsid w:val="00924154"/>
    <w:rsid w:val="00941CBF"/>
    <w:rsid w:val="009502BE"/>
    <w:rsid w:val="00950705"/>
    <w:rsid w:val="00957651"/>
    <w:rsid w:val="00957F8A"/>
    <w:rsid w:val="00965462"/>
    <w:rsid w:val="00965E7B"/>
    <w:rsid w:val="0097691B"/>
    <w:rsid w:val="00980E70"/>
    <w:rsid w:val="009841F3"/>
    <w:rsid w:val="009850A6"/>
    <w:rsid w:val="00995787"/>
    <w:rsid w:val="009A37F7"/>
    <w:rsid w:val="009A565D"/>
    <w:rsid w:val="009A5B0B"/>
    <w:rsid w:val="009B3620"/>
    <w:rsid w:val="009C66D2"/>
    <w:rsid w:val="009D358E"/>
    <w:rsid w:val="00A0476B"/>
    <w:rsid w:val="00A04BD4"/>
    <w:rsid w:val="00A06411"/>
    <w:rsid w:val="00A111F1"/>
    <w:rsid w:val="00A14373"/>
    <w:rsid w:val="00A22180"/>
    <w:rsid w:val="00A2628C"/>
    <w:rsid w:val="00A27B1B"/>
    <w:rsid w:val="00A346D0"/>
    <w:rsid w:val="00A518B5"/>
    <w:rsid w:val="00A625A8"/>
    <w:rsid w:val="00A81387"/>
    <w:rsid w:val="00A85F40"/>
    <w:rsid w:val="00A92099"/>
    <w:rsid w:val="00AC3428"/>
    <w:rsid w:val="00AC775E"/>
    <w:rsid w:val="00AD2486"/>
    <w:rsid w:val="00AD3639"/>
    <w:rsid w:val="00B1174C"/>
    <w:rsid w:val="00B117C5"/>
    <w:rsid w:val="00B14725"/>
    <w:rsid w:val="00B16433"/>
    <w:rsid w:val="00B1670A"/>
    <w:rsid w:val="00B26BF6"/>
    <w:rsid w:val="00B31FC7"/>
    <w:rsid w:val="00B40172"/>
    <w:rsid w:val="00B52134"/>
    <w:rsid w:val="00B60294"/>
    <w:rsid w:val="00B802F7"/>
    <w:rsid w:val="00B83FD1"/>
    <w:rsid w:val="00BB0C37"/>
    <w:rsid w:val="00BE4ECB"/>
    <w:rsid w:val="00BF2F13"/>
    <w:rsid w:val="00C505AF"/>
    <w:rsid w:val="00C77DD5"/>
    <w:rsid w:val="00C9296E"/>
    <w:rsid w:val="00CA0B32"/>
    <w:rsid w:val="00CB1722"/>
    <w:rsid w:val="00CC7875"/>
    <w:rsid w:val="00CD470B"/>
    <w:rsid w:val="00CD7899"/>
    <w:rsid w:val="00CE71E6"/>
    <w:rsid w:val="00D0021F"/>
    <w:rsid w:val="00D0260F"/>
    <w:rsid w:val="00D131C9"/>
    <w:rsid w:val="00D42776"/>
    <w:rsid w:val="00D44B33"/>
    <w:rsid w:val="00D44DBE"/>
    <w:rsid w:val="00D473E7"/>
    <w:rsid w:val="00D7123F"/>
    <w:rsid w:val="00D77D27"/>
    <w:rsid w:val="00D92F3A"/>
    <w:rsid w:val="00DA58BD"/>
    <w:rsid w:val="00DB324F"/>
    <w:rsid w:val="00DD0B0B"/>
    <w:rsid w:val="00DD2FB4"/>
    <w:rsid w:val="00DD5247"/>
    <w:rsid w:val="00DE0C7D"/>
    <w:rsid w:val="00DE113D"/>
    <w:rsid w:val="00DE1CA9"/>
    <w:rsid w:val="00DF393B"/>
    <w:rsid w:val="00DF63CE"/>
    <w:rsid w:val="00E30EED"/>
    <w:rsid w:val="00E36406"/>
    <w:rsid w:val="00E43FCD"/>
    <w:rsid w:val="00E85D9D"/>
    <w:rsid w:val="00E87E32"/>
    <w:rsid w:val="00EA17F8"/>
    <w:rsid w:val="00EA6336"/>
    <w:rsid w:val="00EB555C"/>
    <w:rsid w:val="00EB717D"/>
    <w:rsid w:val="00EC71D0"/>
    <w:rsid w:val="00ED28CD"/>
    <w:rsid w:val="00ED67F3"/>
    <w:rsid w:val="00EF268C"/>
    <w:rsid w:val="00EF31AE"/>
    <w:rsid w:val="00F00A92"/>
    <w:rsid w:val="00F56B2D"/>
    <w:rsid w:val="00F6186D"/>
    <w:rsid w:val="00F6703A"/>
    <w:rsid w:val="00F77310"/>
    <w:rsid w:val="00FE02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BF6"/>
    <w:rPr>
      <w:sz w:val="24"/>
    </w:rPr>
  </w:style>
  <w:style w:type="paragraph" w:styleId="Heading1">
    <w:name w:val="heading 1"/>
    <w:aliases w:val="h1"/>
    <w:basedOn w:val="Body"/>
    <w:next w:val="Paragraph"/>
    <w:qFormat/>
    <w:pPr>
      <w:keepNext/>
      <w:pageBreakBefore/>
      <w:spacing w:after="120"/>
      <w:jc w:val="center"/>
      <w:outlineLvl w:val="0"/>
    </w:pPr>
    <w:rPr>
      <w:rFonts w:ascii="Optima" w:hAnsi="Optima"/>
      <w:b/>
      <w:smallCaps/>
      <w:sz w:val="32"/>
    </w:rPr>
  </w:style>
  <w:style w:type="paragraph" w:styleId="Heading2">
    <w:name w:val="heading 2"/>
    <w:aliases w:val="h2"/>
    <w:basedOn w:val="Body"/>
    <w:next w:val="Paragraph"/>
    <w:qFormat/>
    <w:pPr>
      <w:keepNext/>
      <w:spacing w:before="480"/>
      <w:outlineLvl w:val="1"/>
    </w:pPr>
    <w:rPr>
      <w:rFonts w:ascii="Optima" w:hAnsi="Optima"/>
      <w:b/>
      <w:smallCaps/>
      <w:sz w:val="30"/>
    </w:rPr>
  </w:style>
  <w:style w:type="paragraph" w:styleId="Heading3">
    <w:name w:val="heading 3"/>
    <w:aliases w:val="h3"/>
    <w:basedOn w:val="Body"/>
    <w:next w:val="Paragraph"/>
    <w:qFormat/>
    <w:pPr>
      <w:keepNext/>
      <w:spacing w:before="360"/>
      <w:ind w:left="567" w:hanging="567"/>
      <w:outlineLvl w:val="2"/>
    </w:pPr>
    <w:rPr>
      <w:rFonts w:ascii="Optima" w:hAnsi="Optima"/>
      <w:b/>
      <w:sz w:val="28"/>
    </w:rPr>
  </w:style>
  <w:style w:type="paragraph" w:styleId="Heading4">
    <w:name w:val="heading 4"/>
    <w:aliases w:val="h4"/>
    <w:basedOn w:val="Body"/>
    <w:next w:val="Paragraph"/>
    <w:qFormat/>
    <w:pPr>
      <w:keepNext/>
      <w:spacing w:before="300"/>
      <w:ind w:left="567" w:hanging="567"/>
      <w:outlineLvl w:val="3"/>
    </w:pPr>
    <w:rPr>
      <w:rFonts w:ascii="Optima" w:hAnsi="Optim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Pr>
      <w:rFonts w:ascii="Times" w:hAnsi="Times"/>
      <w:sz w:val="26"/>
    </w:rPr>
  </w:style>
  <w:style w:type="paragraph" w:customStyle="1" w:styleId="Paragraph">
    <w:name w:val="Paragraph"/>
    <w:basedOn w:val="Body"/>
    <w:pPr>
      <w:spacing w:before="240"/>
    </w:pPr>
  </w:style>
  <w:style w:type="paragraph" w:styleId="Footer">
    <w:name w:val="footer"/>
    <w:basedOn w:val="Body"/>
    <w:pPr>
      <w:tabs>
        <w:tab w:val="center" w:pos="4536"/>
        <w:tab w:val="right" w:pos="9072"/>
      </w:tabs>
      <w:spacing w:line="260" w:lineRule="atLeast"/>
    </w:pPr>
    <w:rPr>
      <w:sz w:val="20"/>
    </w:rPr>
  </w:style>
  <w:style w:type="paragraph" w:styleId="Header">
    <w:name w:val="header"/>
    <w:basedOn w:val="Body"/>
    <w:rPr>
      <w:sz w:val="20"/>
    </w:rPr>
  </w:style>
  <w:style w:type="paragraph" w:customStyle="1" w:styleId="i1">
    <w:name w:val="i1"/>
    <w:aliases w:val="-&gt;•-&gt;1cm"/>
    <w:basedOn w:val="Body"/>
    <w:pPr>
      <w:tabs>
        <w:tab w:val="right" w:pos="340"/>
      </w:tabs>
      <w:spacing w:before="240"/>
      <w:ind w:left="567" w:hanging="567"/>
    </w:pPr>
  </w:style>
  <w:style w:type="paragraph" w:customStyle="1" w:styleId="i3">
    <w:name w:val="i3"/>
    <w:aliases w:val="---&gt;•-&gt;3cm"/>
    <w:basedOn w:val="Body"/>
    <w:pPr>
      <w:tabs>
        <w:tab w:val="right" w:pos="1474"/>
      </w:tabs>
      <w:spacing w:before="240"/>
      <w:ind w:left="1700" w:hanging="1700"/>
    </w:pPr>
  </w:style>
  <w:style w:type="paragraph" w:customStyle="1" w:styleId="i2">
    <w:name w:val="i2"/>
    <w:aliases w:val="--&gt;•-&gt;2cm"/>
    <w:basedOn w:val="Body"/>
    <w:pPr>
      <w:tabs>
        <w:tab w:val="right" w:pos="907"/>
      </w:tabs>
      <w:spacing w:before="240"/>
      <w:ind w:left="1134" w:hanging="1134"/>
    </w:pPr>
  </w:style>
  <w:style w:type="paragraph" w:customStyle="1" w:styleId="i4">
    <w:name w:val="i4"/>
    <w:aliases w:val="----&gt;•-&gt;4cm"/>
    <w:basedOn w:val="Body"/>
    <w:pPr>
      <w:tabs>
        <w:tab w:val="right" w:pos="2041"/>
      </w:tabs>
      <w:spacing w:before="240"/>
      <w:ind w:left="2268" w:hanging="2268"/>
    </w:pPr>
  </w:style>
  <w:style w:type="paragraph" w:customStyle="1" w:styleId="Letterhead">
    <w:name w:val="Letterhead"/>
    <w:pPr>
      <w:spacing w:after="180"/>
      <w:jc w:val="right"/>
    </w:pPr>
    <w:rPr>
      <w:rFonts w:ascii="Optima" w:hAnsi="Optima"/>
      <w:sz w:val="32"/>
    </w:rPr>
  </w:style>
  <w:style w:type="paragraph" w:customStyle="1" w:styleId="Quotation">
    <w:name w:val="Quotation"/>
    <w:basedOn w:val="Body"/>
    <w:pPr>
      <w:spacing w:before="240"/>
      <w:ind w:left="851" w:right="851"/>
      <w:jc w:val="both"/>
    </w:pPr>
  </w:style>
  <w:style w:type="character" w:styleId="PageNumber">
    <w:name w:val="page number"/>
    <w:basedOn w:val="DefaultParagraphFont"/>
  </w:style>
  <w:style w:type="table" w:styleId="TableGrid">
    <w:name w:val="Table Grid"/>
    <w:basedOn w:val="TableNormal"/>
    <w:rsid w:val="007B3856"/>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DE0C7D"/>
    <w:rPr>
      <w:rFonts w:ascii="Tahoma" w:hAnsi="Tahoma" w:cs="Tahoma"/>
      <w:sz w:val="16"/>
      <w:szCs w:val="16"/>
    </w:rPr>
  </w:style>
  <w:style w:type="paragraph" w:styleId="BodyTextIndent">
    <w:name w:val="Body Text Indent"/>
    <w:basedOn w:val="Normal"/>
    <w:rsid w:val="00322D04"/>
    <w:pPr>
      <w:spacing w:after="120"/>
      <w:ind w:left="283"/>
    </w:pPr>
  </w:style>
  <w:style w:type="paragraph" w:styleId="BodyTextFirstIndent2">
    <w:name w:val="Body Text First Indent 2"/>
    <w:basedOn w:val="BodyTextIndent"/>
    <w:rsid w:val="00322D04"/>
    <w:pPr>
      <w:ind w:firstLine="210"/>
      <w:jc w:val="both"/>
    </w:pPr>
    <w:rPr>
      <w:rFonts w:ascii="Times New Roman" w:hAnsi="Times New Roman"/>
      <w:szCs w:val="24"/>
    </w:rPr>
  </w:style>
  <w:style w:type="paragraph" w:customStyle="1" w:styleId="TableColHead">
    <w:name w:val="TableColHead"/>
    <w:basedOn w:val="Normal"/>
    <w:rsid w:val="00322D04"/>
    <w:pPr>
      <w:keepNext/>
      <w:spacing w:before="120" w:after="60" w:line="200" w:lineRule="exact"/>
      <w:jc w:val="both"/>
    </w:pPr>
    <w:rPr>
      <w:rFonts w:ascii="Arial" w:hAnsi="Arial"/>
      <w:b/>
      <w:sz w:val="18"/>
      <w:szCs w:val="24"/>
    </w:rPr>
  </w:style>
  <w:style w:type="paragraph" w:customStyle="1" w:styleId="TableText">
    <w:name w:val="TableText"/>
    <w:basedOn w:val="Normal"/>
    <w:rsid w:val="00322D04"/>
    <w:pPr>
      <w:spacing w:before="60" w:after="60" w:line="240" w:lineRule="exact"/>
    </w:pPr>
    <w:rPr>
      <w:rFonts w:ascii="Times New Roman" w:hAnsi="Times New Roman"/>
      <w:sz w:val="22"/>
      <w:szCs w:val="24"/>
    </w:rPr>
  </w:style>
  <w:style w:type="character" w:styleId="Emphasis">
    <w:name w:val="Emphasis"/>
    <w:basedOn w:val="DefaultParagraphFont"/>
    <w:qFormat/>
    <w:rsid w:val="00322D04"/>
    <w:rPr>
      <w:i/>
      <w:iCs/>
    </w:rPr>
  </w:style>
  <w:style w:type="character" w:styleId="Strong">
    <w:name w:val="Strong"/>
    <w:basedOn w:val="DefaultParagraphFont"/>
    <w:qFormat/>
    <w:rsid w:val="00322D04"/>
    <w:rPr>
      <w:b/>
      <w:bCs/>
    </w:rPr>
  </w:style>
  <w:style w:type="paragraph" w:customStyle="1" w:styleId="Default">
    <w:name w:val="Default"/>
    <w:rsid w:val="00B802F7"/>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uiPriority w:val="99"/>
    <w:semiHidden/>
    <w:unhideWhenUsed/>
    <w:rsid w:val="008C07A8"/>
    <w:rPr>
      <w:sz w:val="16"/>
      <w:szCs w:val="16"/>
    </w:rPr>
  </w:style>
  <w:style w:type="paragraph" w:styleId="CommentText">
    <w:name w:val="annotation text"/>
    <w:basedOn w:val="Normal"/>
    <w:link w:val="CommentTextChar"/>
    <w:uiPriority w:val="99"/>
    <w:semiHidden/>
    <w:unhideWhenUsed/>
    <w:rsid w:val="008C07A8"/>
    <w:rPr>
      <w:sz w:val="20"/>
    </w:rPr>
  </w:style>
  <w:style w:type="character" w:customStyle="1" w:styleId="CommentTextChar">
    <w:name w:val="Comment Text Char"/>
    <w:basedOn w:val="DefaultParagraphFont"/>
    <w:link w:val="CommentText"/>
    <w:uiPriority w:val="99"/>
    <w:semiHidden/>
    <w:rsid w:val="008C07A8"/>
  </w:style>
  <w:style w:type="paragraph" w:styleId="CommentSubject">
    <w:name w:val="annotation subject"/>
    <w:basedOn w:val="CommentText"/>
    <w:next w:val="CommentText"/>
    <w:link w:val="CommentSubjectChar"/>
    <w:uiPriority w:val="99"/>
    <w:semiHidden/>
    <w:unhideWhenUsed/>
    <w:rsid w:val="008C07A8"/>
    <w:rPr>
      <w:b/>
      <w:bCs/>
    </w:rPr>
  </w:style>
  <w:style w:type="character" w:customStyle="1" w:styleId="CommentSubjectChar">
    <w:name w:val="Comment Subject Char"/>
    <w:basedOn w:val="CommentTextChar"/>
    <w:link w:val="CommentSubject"/>
    <w:uiPriority w:val="99"/>
    <w:semiHidden/>
    <w:rsid w:val="008C07A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BF6"/>
    <w:rPr>
      <w:sz w:val="24"/>
    </w:rPr>
  </w:style>
  <w:style w:type="paragraph" w:styleId="Heading1">
    <w:name w:val="heading 1"/>
    <w:aliases w:val="h1"/>
    <w:basedOn w:val="Body"/>
    <w:next w:val="Paragraph"/>
    <w:qFormat/>
    <w:pPr>
      <w:keepNext/>
      <w:pageBreakBefore/>
      <w:spacing w:after="120"/>
      <w:jc w:val="center"/>
      <w:outlineLvl w:val="0"/>
    </w:pPr>
    <w:rPr>
      <w:rFonts w:ascii="Optima" w:hAnsi="Optima"/>
      <w:b/>
      <w:smallCaps/>
      <w:sz w:val="32"/>
    </w:rPr>
  </w:style>
  <w:style w:type="paragraph" w:styleId="Heading2">
    <w:name w:val="heading 2"/>
    <w:aliases w:val="h2"/>
    <w:basedOn w:val="Body"/>
    <w:next w:val="Paragraph"/>
    <w:qFormat/>
    <w:pPr>
      <w:keepNext/>
      <w:spacing w:before="480"/>
      <w:outlineLvl w:val="1"/>
    </w:pPr>
    <w:rPr>
      <w:rFonts w:ascii="Optima" w:hAnsi="Optima"/>
      <w:b/>
      <w:smallCaps/>
      <w:sz w:val="30"/>
    </w:rPr>
  </w:style>
  <w:style w:type="paragraph" w:styleId="Heading3">
    <w:name w:val="heading 3"/>
    <w:aliases w:val="h3"/>
    <w:basedOn w:val="Body"/>
    <w:next w:val="Paragraph"/>
    <w:qFormat/>
    <w:pPr>
      <w:keepNext/>
      <w:spacing w:before="360"/>
      <w:ind w:left="567" w:hanging="567"/>
      <w:outlineLvl w:val="2"/>
    </w:pPr>
    <w:rPr>
      <w:rFonts w:ascii="Optima" w:hAnsi="Optima"/>
      <w:b/>
      <w:sz w:val="28"/>
    </w:rPr>
  </w:style>
  <w:style w:type="paragraph" w:styleId="Heading4">
    <w:name w:val="heading 4"/>
    <w:aliases w:val="h4"/>
    <w:basedOn w:val="Body"/>
    <w:next w:val="Paragraph"/>
    <w:qFormat/>
    <w:pPr>
      <w:keepNext/>
      <w:spacing w:before="300"/>
      <w:ind w:left="567" w:hanging="567"/>
      <w:outlineLvl w:val="3"/>
    </w:pPr>
    <w:rPr>
      <w:rFonts w:ascii="Optima" w:hAnsi="Optim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Pr>
      <w:rFonts w:ascii="Times" w:hAnsi="Times"/>
      <w:sz w:val="26"/>
    </w:rPr>
  </w:style>
  <w:style w:type="paragraph" w:customStyle="1" w:styleId="Paragraph">
    <w:name w:val="Paragraph"/>
    <w:basedOn w:val="Body"/>
    <w:pPr>
      <w:spacing w:before="240"/>
    </w:pPr>
  </w:style>
  <w:style w:type="paragraph" w:styleId="Footer">
    <w:name w:val="footer"/>
    <w:basedOn w:val="Body"/>
    <w:pPr>
      <w:tabs>
        <w:tab w:val="center" w:pos="4536"/>
        <w:tab w:val="right" w:pos="9072"/>
      </w:tabs>
      <w:spacing w:line="260" w:lineRule="atLeast"/>
    </w:pPr>
    <w:rPr>
      <w:sz w:val="20"/>
    </w:rPr>
  </w:style>
  <w:style w:type="paragraph" w:styleId="Header">
    <w:name w:val="header"/>
    <w:basedOn w:val="Body"/>
    <w:rPr>
      <w:sz w:val="20"/>
    </w:rPr>
  </w:style>
  <w:style w:type="paragraph" w:customStyle="1" w:styleId="i1">
    <w:name w:val="i1"/>
    <w:aliases w:val="-&gt;•-&gt;1cm"/>
    <w:basedOn w:val="Body"/>
    <w:pPr>
      <w:tabs>
        <w:tab w:val="right" w:pos="340"/>
      </w:tabs>
      <w:spacing w:before="240"/>
      <w:ind w:left="567" w:hanging="567"/>
    </w:pPr>
  </w:style>
  <w:style w:type="paragraph" w:customStyle="1" w:styleId="i3">
    <w:name w:val="i3"/>
    <w:aliases w:val="---&gt;•-&gt;3cm"/>
    <w:basedOn w:val="Body"/>
    <w:pPr>
      <w:tabs>
        <w:tab w:val="right" w:pos="1474"/>
      </w:tabs>
      <w:spacing w:before="240"/>
      <w:ind w:left="1700" w:hanging="1700"/>
    </w:pPr>
  </w:style>
  <w:style w:type="paragraph" w:customStyle="1" w:styleId="i2">
    <w:name w:val="i2"/>
    <w:aliases w:val="--&gt;•-&gt;2cm"/>
    <w:basedOn w:val="Body"/>
    <w:pPr>
      <w:tabs>
        <w:tab w:val="right" w:pos="907"/>
      </w:tabs>
      <w:spacing w:before="240"/>
      <w:ind w:left="1134" w:hanging="1134"/>
    </w:pPr>
  </w:style>
  <w:style w:type="paragraph" w:customStyle="1" w:styleId="i4">
    <w:name w:val="i4"/>
    <w:aliases w:val="----&gt;•-&gt;4cm"/>
    <w:basedOn w:val="Body"/>
    <w:pPr>
      <w:tabs>
        <w:tab w:val="right" w:pos="2041"/>
      </w:tabs>
      <w:spacing w:before="240"/>
      <w:ind w:left="2268" w:hanging="2268"/>
    </w:pPr>
  </w:style>
  <w:style w:type="paragraph" w:customStyle="1" w:styleId="Letterhead">
    <w:name w:val="Letterhead"/>
    <w:pPr>
      <w:spacing w:after="180"/>
      <w:jc w:val="right"/>
    </w:pPr>
    <w:rPr>
      <w:rFonts w:ascii="Optima" w:hAnsi="Optima"/>
      <w:sz w:val="32"/>
    </w:rPr>
  </w:style>
  <w:style w:type="paragraph" w:customStyle="1" w:styleId="Quotation">
    <w:name w:val="Quotation"/>
    <w:basedOn w:val="Body"/>
    <w:pPr>
      <w:spacing w:before="240"/>
      <w:ind w:left="851" w:right="851"/>
      <w:jc w:val="both"/>
    </w:pPr>
  </w:style>
  <w:style w:type="character" w:styleId="PageNumber">
    <w:name w:val="page number"/>
    <w:basedOn w:val="DefaultParagraphFont"/>
  </w:style>
  <w:style w:type="table" w:styleId="TableGrid">
    <w:name w:val="Table Grid"/>
    <w:basedOn w:val="TableNormal"/>
    <w:rsid w:val="007B3856"/>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DE0C7D"/>
    <w:rPr>
      <w:rFonts w:ascii="Tahoma" w:hAnsi="Tahoma" w:cs="Tahoma"/>
      <w:sz w:val="16"/>
      <w:szCs w:val="16"/>
    </w:rPr>
  </w:style>
  <w:style w:type="paragraph" w:styleId="BodyTextIndent">
    <w:name w:val="Body Text Indent"/>
    <w:basedOn w:val="Normal"/>
    <w:rsid w:val="00322D04"/>
    <w:pPr>
      <w:spacing w:after="120"/>
      <w:ind w:left="283"/>
    </w:pPr>
  </w:style>
  <w:style w:type="paragraph" w:styleId="BodyTextFirstIndent2">
    <w:name w:val="Body Text First Indent 2"/>
    <w:basedOn w:val="BodyTextIndent"/>
    <w:rsid w:val="00322D04"/>
    <w:pPr>
      <w:ind w:firstLine="210"/>
      <w:jc w:val="both"/>
    </w:pPr>
    <w:rPr>
      <w:rFonts w:ascii="Times New Roman" w:hAnsi="Times New Roman"/>
      <w:szCs w:val="24"/>
    </w:rPr>
  </w:style>
  <w:style w:type="paragraph" w:customStyle="1" w:styleId="TableColHead">
    <w:name w:val="TableColHead"/>
    <w:basedOn w:val="Normal"/>
    <w:rsid w:val="00322D04"/>
    <w:pPr>
      <w:keepNext/>
      <w:spacing w:before="120" w:after="60" w:line="200" w:lineRule="exact"/>
      <w:jc w:val="both"/>
    </w:pPr>
    <w:rPr>
      <w:rFonts w:ascii="Arial" w:hAnsi="Arial"/>
      <w:b/>
      <w:sz w:val="18"/>
      <w:szCs w:val="24"/>
    </w:rPr>
  </w:style>
  <w:style w:type="paragraph" w:customStyle="1" w:styleId="TableText">
    <w:name w:val="TableText"/>
    <w:basedOn w:val="Normal"/>
    <w:rsid w:val="00322D04"/>
    <w:pPr>
      <w:spacing w:before="60" w:after="60" w:line="240" w:lineRule="exact"/>
    </w:pPr>
    <w:rPr>
      <w:rFonts w:ascii="Times New Roman" w:hAnsi="Times New Roman"/>
      <w:sz w:val="22"/>
      <w:szCs w:val="24"/>
    </w:rPr>
  </w:style>
  <w:style w:type="character" w:styleId="Emphasis">
    <w:name w:val="Emphasis"/>
    <w:basedOn w:val="DefaultParagraphFont"/>
    <w:qFormat/>
    <w:rsid w:val="00322D04"/>
    <w:rPr>
      <w:i/>
      <w:iCs/>
    </w:rPr>
  </w:style>
  <w:style w:type="character" w:styleId="Strong">
    <w:name w:val="Strong"/>
    <w:basedOn w:val="DefaultParagraphFont"/>
    <w:qFormat/>
    <w:rsid w:val="00322D04"/>
    <w:rPr>
      <w:b/>
      <w:bCs/>
    </w:rPr>
  </w:style>
  <w:style w:type="paragraph" w:customStyle="1" w:styleId="Default">
    <w:name w:val="Default"/>
    <w:rsid w:val="00B802F7"/>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uiPriority w:val="99"/>
    <w:semiHidden/>
    <w:unhideWhenUsed/>
    <w:rsid w:val="008C07A8"/>
    <w:rPr>
      <w:sz w:val="16"/>
      <w:szCs w:val="16"/>
    </w:rPr>
  </w:style>
  <w:style w:type="paragraph" w:styleId="CommentText">
    <w:name w:val="annotation text"/>
    <w:basedOn w:val="Normal"/>
    <w:link w:val="CommentTextChar"/>
    <w:uiPriority w:val="99"/>
    <w:semiHidden/>
    <w:unhideWhenUsed/>
    <w:rsid w:val="008C07A8"/>
    <w:rPr>
      <w:sz w:val="20"/>
    </w:rPr>
  </w:style>
  <w:style w:type="character" w:customStyle="1" w:styleId="CommentTextChar">
    <w:name w:val="Comment Text Char"/>
    <w:basedOn w:val="DefaultParagraphFont"/>
    <w:link w:val="CommentText"/>
    <w:uiPriority w:val="99"/>
    <w:semiHidden/>
    <w:rsid w:val="008C07A8"/>
  </w:style>
  <w:style w:type="paragraph" w:styleId="CommentSubject">
    <w:name w:val="annotation subject"/>
    <w:basedOn w:val="CommentText"/>
    <w:next w:val="CommentText"/>
    <w:link w:val="CommentSubjectChar"/>
    <w:uiPriority w:val="99"/>
    <w:semiHidden/>
    <w:unhideWhenUsed/>
    <w:rsid w:val="008C07A8"/>
    <w:rPr>
      <w:b/>
      <w:bCs/>
    </w:rPr>
  </w:style>
  <w:style w:type="character" w:customStyle="1" w:styleId="CommentSubjectChar">
    <w:name w:val="Comment Subject Char"/>
    <w:basedOn w:val="CommentTextChar"/>
    <w:link w:val="CommentSubject"/>
    <w:uiPriority w:val="99"/>
    <w:semiHidden/>
    <w:rsid w:val="008C07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029782">
      <w:bodyDiv w:val="1"/>
      <w:marLeft w:val="0"/>
      <w:marRight w:val="0"/>
      <w:marTop w:val="0"/>
      <w:marBottom w:val="0"/>
      <w:divBdr>
        <w:top w:val="none" w:sz="0" w:space="0" w:color="auto"/>
        <w:left w:val="none" w:sz="0" w:space="0" w:color="auto"/>
        <w:bottom w:val="none" w:sz="0" w:space="0" w:color="auto"/>
        <w:right w:val="none" w:sz="0" w:space="0" w:color="auto"/>
      </w:divBdr>
    </w:div>
    <w:div w:id="1553882434">
      <w:bodyDiv w:val="1"/>
      <w:marLeft w:val="0"/>
      <w:marRight w:val="0"/>
      <w:marTop w:val="0"/>
      <w:marBottom w:val="0"/>
      <w:divBdr>
        <w:top w:val="none" w:sz="0" w:space="0" w:color="auto"/>
        <w:left w:val="none" w:sz="0" w:space="0" w:color="auto"/>
        <w:bottom w:val="none" w:sz="0" w:space="0" w:color="auto"/>
        <w:right w:val="none" w:sz="0" w:space="0" w:color="auto"/>
      </w:divBdr>
      <w:divsChild>
        <w:div w:id="215701342">
          <w:marLeft w:val="0"/>
          <w:marRight w:val="0"/>
          <w:marTop w:val="0"/>
          <w:marBottom w:val="0"/>
          <w:divBdr>
            <w:top w:val="none" w:sz="0" w:space="0" w:color="auto"/>
            <w:left w:val="none" w:sz="0" w:space="0" w:color="auto"/>
            <w:bottom w:val="none" w:sz="0" w:space="0" w:color="auto"/>
            <w:right w:val="none" w:sz="0" w:space="0" w:color="auto"/>
          </w:divBdr>
          <w:divsChild>
            <w:div w:id="7102367">
              <w:marLeft w:val="0"/>
              <w:marRight w:val="0"/>
              <w:marTop w:val="0"/>
              <w:marBottom w:val="0"/>
              <w:divBdr>
                <w:top w:val="none" w:sz="0" w:space="0" w:color="auto"/>
                <w:left w:val="none" w:sz="0" w:space="0" w:color="auto"/>
                <w:bottom w:val="none" w:sz="0" w:space="0" w:color="auto"/>
                <w:right w:val="none" w:sz="0" w:space="0" w:color="auto"/>
              </w:divBdr>
              <w:divsChild>
                <w:div w:id="976228440">
                  <w:marLeft w:val="0"/>
                  <w:marRight w:val="0"/>
                  <w:marTop w:val="0"/>
                  <w:marBottom w:val="0"/>
                  <w:divBdr>
                    <w:top w:val="none" w:sz="0" w:space="0" w:color="auto"/>
                    <w:left w:val="none" w:sz="0" w:space="0" w:color="auto"/>
                    <w:bottom w:val="none" w:sz="0" w:space="0" w:color="auto"/>
                    <w:right w:val="none" w:sz="0" w:space="0" w:color="auto"/>
                  </w:divBdr>
                </w:div>
                <w:div w:id="1509295567">
                  <w:marLeft w:val="0"/>
                  <w:marRight w:val="0"/>
                  <w:marTop w:val="0"/>
                  <w:marBottom w:val="0"/>
                  <w:divBdr>
                    <w:top w:val="none" w:sz="0" w:space="0" w:color="auto"/>
                    <w:left w:val="none" w:sz="0" w:space="0" w:color="auto"/>
                    <w:bottom w:val="none" w:sz="0" w:space="0" w:color="auto"/>
                    <w:right w:val="none" w:sz="0" w:space="0" w:color="auto"/>
                  </w:divBdr>
                </w:div>
                <w:div w:id="1780685540">
                  <w:marLeft w:val="0"/>
                  <w:marRight w:val="0"/>
                  <w:marTop w:val="0"/>
                  <w:marBottom w:val="0"/>
                  <w:divBdr>
                    <w:top w:val="none" w:sz="0" w:space="0" w:color="auto"/>
                    <w:left w:val="none" w:sz="0" w:space="0" w:color="auto"/>
                    <w:bottom w:val="none" w:sz="0" w:space="0" w:color="auto"/>
                    <w:right w:val="none" w:sz="0" w:space="0" w:color="auto"/>
                  </w:divBdr>
                </w:div>
              </w:divsChild>
            </w:div>
            <w:div w:id="360710240">
              <w:marLeft w:val="0"/>
              <w:marRight w:val="0"/>
              <w:marTop w:val="0"/>
              <w:marBottom w:val="0"/>
              <w:divBdr>
                <w:top w:val="none" w:sz="0" w:space="0" w:color="auto"/>
                <w:left w:val="none" w:sz="0" w:space="0" w:color="auto"/>
                <w:bottom w:val="none" w:sz="0" w:space="0" w:color="auto"/>
                <w:right w:val="none" w:sz="0" w:space="0" w:color="auto"/>
              </w:divBdr>
            </w:div>
            <w:div w:id="193254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2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A9742-450F-4D76-AAAE-BD2889EC2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1637</Words>
  <Characters>8821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Attorney-General's Department</Company>
  <LinksUpToDate>false</LinksUpToDate>
  <CharactersWithSpaces>10438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mackaa</dc:creator>
  <cp:lastModifiedBy>Hilhorst, Matt</cp:lastModifiedBy>
  <cp:revision>3</cp:revision>
  <cp:lastPrinted>2010-01-08T00:05:00Z</cp:lastPrinted>
  <dcterms:created xsi:type="dcterms:W3CDTF">2013-04-22T05:50:00Z</dcterms:created>
  <dcterms:modified xsi:type="dcterms:W3CDTF">2013-04-24T06:43:00Z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-244847459</vt:i4>
  </property>
  <property fmtid="{D5CDD505-2E9C-101B-9397-08002B2CF9AE}" pid="3" name="_EmailSubject">
    <vt:lpwstr>s19B Order</vt:lpwstr>
  </property>
  <property fmtid="{D5CDD505-2E9C-101B-9397-08002B2CF9AE}" pid="4" name="_AuthorEmail">
    <vt:lpwstr>Patrick.Collins@ag.gov.au</vt:lpwstr>
  </property>
  <property fmtid="{D5CDD505-2E9C-101B-9397-08002B2CF9AE}" pid="5" name="_AuthorEmailDisplayName">
    <vt:lpwstr>Collins, Patrick</vt:lpwstr>
  </property>
  <property fmtid="{D5CDD505-2E9C-101B-9397-08002B2CF9AE}" pid="6" name="_PreviousAdHocReviewCycleID">
    <vt:i4>1069668880</vt:i4>
  </property>
  <property fmtid="{D5CDD505-2E9C-101B-9397-08002B2CF9AE}" pid="7" name="_ReviewingToolsShownOnce">
    <vt:lpwstr/>
  </property>
</Properties>
</file>