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3B4346" w:rsidP="00C102E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7" o:title=""/>
          </v:shape>
        </w:pict>
      </w:r>
    </w:p>
    <w:p w:rsidR="004C1976" w:rsidRPr="001409F1" w:rsidRDefault="004C1976" w:rsidP="001229DF">
      <w:pPr>
        <w:pStyle w:val="Title"/>
        <w:pBdr>
          <w:bottom w:val="single" w:sz="4" w:space="3" w:color="auto"/>
        </w:pBdr>
      </w:pPr>
      <w:bookmarkStart w:id="0" w:name="Citation"/>
      <w:r>
        <w:t>Radiocommunications (Low Interference Potential Devices) Class Licence Variation</w:t>
      </w:r>
      <w:r w:rsidR="001229DF">
        <w:t xml:space="preserve"> Notice</w:t>
      </w:r>
      <w:r>
        <w:t xml:space="preserve"> </w:t>
      </w:r>
      <w:r w:rsidR="00852F8D">
        <w:t xml:space="preserve">2013 </w:t>
      </w:r>
      <w:r>
        <w:t>(No.</w:t>
      </w:r>
      <w:r w:rsidR="00AC2470">
        <w:t> </w:t>
      </w:r>
      <w:r w:rsidR="00A24E81">
        <w:t>1</w:t>
      </w:r>
      <w:r>
        <w:t>)</w:t>
      </w:r>
      <w:bookmarkEnd w:id="0"/>
      <w:r w:rsidR="001058AA" w:rsidRPr="001058AA">
        <w:rPr>
          <w:b w:val="0"/>
          <w:position w:val="6"/>
          <w:sz w:val="24"/>
          <w:vertAlign w:val="superscript"/>
        </w:rPr>
        <w:t>1</w:t>
      </w:r>
    </w:p>
    <w:p w:rsidR="004C1976" w:rsidRDefault="004C1976">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rsidR="004C1976" w:rsidRPr="004C1976" w:rsidRDefault="004C1976" w:rsidP="001229DF">
      <w:pPr>
        <w:spacing w:before="360"/>
        <w:jc w:val="both"/>
      </w:pPr>
      <w:r>
        <w:t xml:space="preserve">The AUSTRALIAN COMMUNICATIONS AND MEDIA AUTHORITY makes this </w:t>
      </w:r>
      <w:r w:rsidR="001229DF">
        <w:t>Notice under section 134</w:t>
      </w:r>
      <w:r>
        <w:t xml:space="preserve"> of the </w:t>
      </w:r>
      <w:r w:rsidRPr="004C1976">
        <w:rPr>
          <w:i/>
        </w:rPr>
        <w:t>Radiocommunications Act 1992</w:t>
      </w:r>
      <w:r>
        <w:t>.</w:t>
      </w:r>
    </w:p>
    <w:p w:rsidR="004C1976" w:rsidRDefault="004C1976" w:rsidP="004C1976">
      <w:pPr>
        <w:tabs>
          <w:tab w:val="right" w:pos="3686"/>
        </w:tabs>
        <w:spacing w:before="300" w:line="300" w:lineRule="exact"/>
      </w:pPr>
      <w:r>
        <w:t xml:space="preserve">Dated </w:t>
      </w:r>
      <w:bookmarkStart w:id="1" w:name="MadeDate"/>
      <w:bookmarkStart w:id="2" w:name="Year"/>
      <w:bookmarkEnd w:id="1"/>
      <w:r w:rsidR="00683C34" w:rsidRPr="00683C34">
        <w:rPr>
          <w:i/>
        </w:rPr>
        <w:t>19</w:t>
      </w:r>
      <w:r w:rsidR="00683C34" w:rsidRPr="00683C34">
        <w:rPr>
          <w:i/>
          <w:vertAlign w:val="superscript"/>
        </w:rPr>
        <w:t>th</w:t>
      </w:r>
      <w:r w:rsidR="00683C34" w:rsidRPr="00683C34">
        <w:rPr>
          <w:i/>
        </w:rPr>
        <w:t xml:space="preserve"> April</w:t>
      </w:r>
      <w:r w:rsidR="00683C34">
        <w:t xml:space="preserve"> </w:t>
      </w:r>
      <w:bookmarkEnd w:id="2"/>
      <w:r w:rsidR="00852F8D">
        <w:t>2013</w:t>
      </w:r>
    </w:p>
    <w:p w:rsidR="004C1976" w:rsidRDefault="003A584D" w:rsidP="00683C34">
      <w:pPr>
        <w:tabs>
          <w:tab w:val="right" w:pos="3686"/>
        </w:tabs>
        <w:spacing w:before="600" w:line="300" w:lineRule="exact"/>
        <w:jc w:val="right"/>
      </w:pPr>
      <w:r>
        <w:t xml:space="preserve"> </w:t>
      </w:r>
      <w:r>
        <w:br/>
      </w:r>
      <w:r w:rsidR="00683C34" w:rsidRPr="00683C34">
        <w:rPr>
          <w:i/>
        </w:rPr>
        <w:t>Chris Chapman</w:t>
      </w:r>
      <w:r w:rsidR="00683C34">
        <w:t xml:space="preserve"> </w:t>
      </w:r>
      <w:r w:rsidR="00683C34">
        <w:br/>
        <w:t>[signed</w:t>
      </w:r>
      <w:proofErr w:type="gramStart"/>
      <w:r w:rsidR="00683C34">
        <w:t>]</w:t>
      </w:r>
      <w:proofErr w:type="gramEnd"/>
      <w:r w:rsidR="00683C34">
        <w:br/>
      </w:r>
      <w:r w:rsidR="001058AA">
        <w:t>Member</w:t>
      </w:r>
      <w:r w:rsidR="00683C34">
        <w:br/>
      </w:r>
      <w:r w:rsidR="00683C34">
        <w:br/>
      </w:r>
      <w:r w:rsidR="00683C34">
        <w:br/>
      </w:r>
      <w:r w:rsidR="00683C34">
        <w:rPr>
          <w:i/>
        </w:rPr>
        <w:t>R</w:t>
      </w:r>
      <w:r w:rsidR="00683C34" w:rsidRPr="00683C34">
        <w:rPr>
          <w:i/>
        </w:rPr>
        <w:t>ichard Bean</w:t>
      </w:r>
      <w:r w:rsidR="00683C34">
        <w:br/>
        <w:t xml:space="preserve"> [signed]</w:t>
      </w:r>
      <w:r w:rsidR="00683C34">
        <w:br/>
      </w:r>
      <w:r w:rsidR="001058AA">
        <w:t>Member</w:t>
      </w:r>
      <w:r w:rsidR="008F12F6">
        <w:t>/</w:t>
      </w:r>
      <w:r w:rsidR="008F12F6" w:rsidRPr="00683C34">
        <w:rPr>
          <w:strike/>
        </w:rPr>
        <w:t>General Manager</w:t>
      </w:r>
    </w:p>
    <w:p w:rsidR="004C1976" w:rsidRDefault="004C1976">
      <w:pPr>
        <w:pBdr>
          <w:bottom w:val="single" w:sz="4" w:space="12" w:color="auto"/>
        </w:pBdr>
        <w:spacing w:line="240" w:lineRule="exact"/>
      </w:pPr>
      <w:bookmarkStart w:id="3" w:name="MinisterSign"/>
      <w:bookmarkStart w:id="4" w:name="Minister"/>
      <w:r>
        <w:t>Australian Communications and Media Authority</w:t>
      </w:r>
      <w:bookmarkEnd w:id="3"/>
      <w:bookmarkEnd w:id="4"/>
    </w:p>
    <w:p w:rsidR="004C1976" w:rsidRDefault="004C1976">
      <w:pPr>
        <w:pStyle w:val="SigningPageBreak"/>
        <w:sectPr w:rsidR="004C1976">
          <w:headerReference w:type="even" r:id="rId8"/>
          <w:headerReference w:type="default" r:id="rId9"/>
          <w:footerReference w:type="even" r:id="rId10"/>
          <w:footerReference w:type="default" r:id="rId11"/>
          <w:footerReference w:type="first" r:id="rId12"/>
          <w:type w:val="continuous"/>
          <w:pgSz w:w="11907" w:h="16839" w:code="9"/>
          <w:pgMar w:top="1440" w:right="1797" w:bottom="1440" w:left="1797" w:header="709" w:footer="709" w:gutter="0"/>
          <w:cols w:space="708"/>
          <w:titlePg/>
          <w:docGrid w:linePitch="360"/>
        </w:sectPr>
      </w:pPr>
    </w:p>
    <w:p w:rsidR="004C1976" w:rsidRDefault="004C1976" w:rsidP="001229DF">
      <w:pPr>
        <w:pStyle w:val="A1"/>
      </w:pPr>
      <w:r w:rsidRPr="00050501">
        <w:rPr>
          <w:rStyle w:val="CharSectnoAm"/>
        </w:rPr>
        <w:lastRenderedPageBreak/>
        <w:t>1</w:t>
      </w:r>
      <w:r>
        <w:tab/>
        <w:t xml:space="preserve">Name of </w:t>
      </w:r>
      <w:r w:rsidR="001229DF">
        <w:t>Notice</w:t>
      </w:r>
    </w:p>
    <w:p w:rsidR="004C1976" w:rsidRDefault="004C1976" w:rsidP="003B0810">
      <w:pPr>
        <w:pStyle w:val="A2"/>
      </w:pPr>
      <w:r>
        <w:tab/>
      </w:r>
      <w:r>
        <w:tab/>
        <w:t xml:space="preserve">This </w:t>
      </w:r>
      <w:r w:rsidR="003B0810">
        <w:t>Notice</w:t>
      </w:r>
      <w:r>
        <w:t xml:space="preserve"> is the</w:t>
      </w:r>
      <w:r w:rsidR="00F0706D">
        <w:t xml:space="preserve"> </w:t>
      </w:r>
      <w:r w:rsidR="00F0706D">
        <w:rPr>
          <w:i/>
        </w:rPr>
        <w:t xml:space="preserve">Radiocommunications (Low Interference Potential Devices) Class Licence Variation Notice </w:t>
      </w:r>
      <w:r w:rsidR="00852F8D">
        <w:rPr>
          <w:i/>
        </w:rPr>
        <w:t xml:space="preserve">2013 </w:t>
      </w:r>
      <w:r w:rsidR="00F0706D">
        <w:rPr>
          <w:i/>
        </w:rPr>
        <w:t>(No. 1)</w:t>
      </w:r>
      <w:r>
        <w:t>.</w:t>
      </w:r>
    </w:p>
    <w:p w:rsidR="004C1976" w:rsidRDefault="004C1976" w:rsidP="004C1976">
      <w:pPr>
        <w:pStyle w:val="A1"/>
      </w:pPr>
      <w:r w:rsidRPr="00050501">
        <w:rPr>
          <w:rStyle w:val="CharSectnoAm"/>
        </w:rPr>
        <w:t>2</w:t>
      </w:r>
      <w:r>
        <w:tab/>
        <w:t>Commencement</w:t>
      </w:r>
    </w:p>
    <w:p w:rsidR="00FB33A8" w:rsidRDefault="004C1976" w:rsidP="004C1976">
      <w:pPr>
        <w:pStyle w:val="A2"/>
      </w:pPr>
      <w:r>
        <w:tab/>
      </w:r>
      <w:r>
        <w:tab/>
        <w:t xml:space="preserve">This </w:t>
      </w:r>
      <w:r w:rsidR="001229DF">
        <w:t>Notice</w:t>
      </w:r>
      <w:r>
        <w:t xml:space="preserve"> commences on the</w:t>
      </w:r>
      <w:r w:rsidR="00FB33A8">
        <w:t xml:space="preserve"> later of:</w:t>
      </w:r>
    </w:p>
    <w:p w:rsidR="00FB33A8" w:rsidRDefault="00FB33A8" w:rsidP="00FB33A8">
      <w:pPr>
        <w:pStyle w:val="A4"/>
      </w:pPr>
      <w:r>
        <w:tab/>
        <w:t>(a)</w:t>
      </w:r>
      <w:r>
        <w:tab/>
        <w:t xml:space="preserve">the day after it is registered; </w:t>
      </w:r>
      <w:r w:rsidR="00214B66">
        <w:t>or</w:t>
      </w:r>
    </w:p>
    <w:p w:rsidR="004C1976" w:rsidRDefault="00FB33A8" w:rsidP="00FB33A8">
      <w:pPr>
        <w:pStyle w:val="A4"/>
      </w:pPr>
      <w:r>
        <w:tab/>
        <w:t>(b)</w:t>
      </w:r>
      <w:r>
        <w:tab/>
        <w:t>the</w:t>
      </w:r>
      <w:r w:rsidR="004C1976">
        <w:t xml:space="preserve"> </w:t>
      </w:r>
      <w:r w:rsidR="00BE7013">
        <w:t xml:space="preserve">day </w:t>
      </w:r>
      <w:r>
        <w:t xml:space="preserve">on which </w:t>
      </w:r>
      <w:r w:rsidR="00CC7F2C">
        <w:t xml:space="preserve">it </w:t>
      </w:r>
      <w:r w:rsidR="00763AB9">
        <w:t>is</w:t>
      </w:r>
      <w:r w:rsidR="00BE7013">
        <w:t xml:space="preserve"> published in the </w:t>
      </w:r>
      <w:r w:rsidR="00BE7013">
        <w:rPr>
          <w:i/>
        </w:rPr>
        <w:t>Gazette</w:t>
      </w:r>
      <w:r w:rsidR="004C1976">
        <w:t>.</w:t>
      </w:r>
    </w:p>
    <w:p w:rsidR="00AB3628" w:rsidRDefault="00710D9F">
      <w:pPr>
        <w:pStyle w:val="A4"/>
        <w:tabs>
          <w:tab w:val="left" w:pos="993"/>
        </w:tabs>
      </w:pPr>
      <w:r>
        <w:tab/>
      </w:r>
    </w:p>
    <w:p w:rsidR="00AB3628" w:rsidRDefault="00710D9F">
      <w:pPr>
        <w:pStyle w:val="A4"/>
        <w:tabs>
          <w:tab w:val="left" w:pos="993"/>
        </w:tabs>
        <w:rPr>
          <w:sz w:val="20"/>
          <w:szCs w:val="20"/>
        </w:rPr>
      </w:pPr>
      <w:r>
        <w:tab/>
      </w:r>
      <w:r w:rsidR="00FE2967" w:rsidRPr="00FE2967">
        <w:rPr>
          <w:i/>
          <w:sz w:val="20"/>
          <w:szCs w:val="20"/>
        </w:rPr>
        <w:t>Note</w:t>
      </w:r>
      <w:r w:rsidR="00FE2967" w:rsidRPr="00FE2967">
        <w:rPr>
          <w:i/>
          <w:sz w:val="20"/>
          <w:szCs w:val="20"/>
        </w:rPr>
        <w:tab/>
      </w:r>
      <w:r w:rsidR="00FE2967" w:rsidRPr="00FE2967">
        <w:rPr>
          <w:sz w:val="20"/>
          <w:szCs w:val="20"/>
        </w:rPr>
        <w:t>Both (a) and (b) must occur for this Notice to commence.</w:t>
      </w:r>
    </w:p>
    <w:p w:rsidR="004C1976" w:rsidRDefault="004C1976" w:rsidP="004C1976">
      <w:pPr>
        <w:pStyle w:val="A1"/>
      </w:pPr>
      <w:r w:rsidRPr="00050501">
        <w:rPr>
          <w:rStyle w:val="CharSectnoAm"/>
        </w:rPr>
        <w:lastRenderedPageBreak/>
        <w:t>3</w:t>
      </w:r>
      <w:r>
        <w:tab/>
        <w:t xml:space="preserve">Amendment of </w:t>
      </w:r>
      <w:r w:rsidRPr="004C1976">
        <w:rPr>
          <w:i/>
        </w:rPr>
        <w:t>Radiocommunications (Low Interference Potential Devices) Class Licence 2000</w:t>
      </w:r>
    </w:p>
    <w:p w:rsidR="004C1976" w:rsidRPr="004C1976" w:rsidRDefault="004C1976" w:rsidP="001229DF">
      <w:pPr>
        <w:pStyle w:val="A2"/>
      </w:pPr>
      <w:r>
        <w:tab/>
      </w:r>
      <w:r>
        <w:tab/>
        <w:t xml:space="preserve">Schedule 1 </w:t>
      </w:r>
      <w:r w:rsidR="001229DF">
        <w:t>varies</w:t>
      </w:r>
      <w:r>
        <w:t xml:space="preserve"> the </w:t>
      </w:r>
      <w:r w:rsidRPr="004C1976">
        <w:rPr>
          <w:i/>
        </w:rPr>
        <w:t>Radiocommunications (Low Interference Potential Devices) Class Licence 2000</w:t>
      </w:r>
      <w:r>
        <w:t>.</w:t>
      </w:r>
    </w:p>
    <w:p w:rsidR="004C1976" w:rsidRDefault="004C1976">
      <w:pPr>
        <w:pStyle w:val="MainBodySectionBreak"/>
        <w:sectPr w:rsidR="004C1976">
          <w:headerReference w:type="even" r:id="rId13"/>
          <w:headerReference w:type="default" r:id="rId14"/>
          <w:footerReference w:type="even" r:id="rId15"/>
          <w:footerReference w:type="default" r:id="rId16"/>
          <w:type w:val="continuous"/>
          <w:pgSz w:w="11907" w:h="16839" w:code="9"/>
          <w:pgMar w:top="1440" w:right="1797" w:bottom="1440" w:left="1797" w:header="709" w:footer="709" w:gutter="0"/>
          <w:cols w:space="708"/>
          <w:docGrid w:linePitch="360"/>
        </w:sectPr>
      </w:pPr>
    </w:p>
    <w:p w:rsidR="004C1976" w:rsidRDefault="004C1976" w:rsidP="001229DF">
      <w:pPr>
        <w:pStyle w:val="AS"/>
      </w:pPr>
      <w:r w:rsidRPr="00050501">
        <w:rPr>
          <w:rStyle w:val="CharAmSchNo"/>
        </w:rPr>
        <w:lastRenderedPageBreak/>
        <w:t>Schedule 1</w:t>
      </w:r>
      <w:r>
        <w:tab/>
      </w:r>
      <w:r w:rsidR="001229DF" w:rsidRPr="00050501">
        <w:rPr>
          <w:rStyle w:val="CharAmSchText"/>
        </w:rPr>
        <w:t>Variation</w:t>
      </w:r>
      <w:r w:rsidRPr="00050501">
        <w:rPr>
          <w:rStyle w:val="CharAmSchText"/>
        </w:rPr>
        <w:t>s</w:t>
      </w:r>
    </w:p>
    <w:p w:rsidR="004C1976" w:rsidRDefault="004C1976">
      <w:pPr>
        <w:pStyle w:val="ASref"/>
      </w:pPr>
      <w:r>
        <w:t>(section 3)</w:t>
      </w:r>
    </w:p>
    <w:p w:rsidR="00B84E28" w:rsidRPr="00B84E28" w:rsidRDefault="00B84E28" w:rsidP="00B84E28">
      <w:pPr>
        <w:pStyle w:val="Header"/>
        <w:rPr>
          <w:vanish/>
        </w:rPr>
      </w:pPr>
      <w:r w:rsidRPr="00B84E28">
        <w:rPr>
          <w:rStyle w:val="CharAmSchPTNo"/>
          <w:vanish/>
        </w:rPr>
        <w:t xml:space="preserve"> </w:t>
      </w:r>
      <w:r w:rsidRPr="00B84E28">
        <w:rPr>
          <w:rStyle w:val="CharAmSchPTText"/>
          <w:vanish/>
        </w:rPr>
        <w:t xml:space="preserve"> </w:t>
      </w:r>
    </w:p>
    <w:p w:rsidR="008F12F6" w:rsidRPr="00C47C11" w:rsidRDefault="004C1976" w:rsidP="00F0706D">
      <w:pPr>
        <w:pStyle w:val="A1S"/>
      </w:pPr>
      <w:r>
        <w:t>[</w:t>
      </w:r>
      <w:r w:rsidR="00F0706D">
        <w:t>1</w:t>
      </w:r>
      <w:r>
        <w:t>]</w:t>
      </w:r>
      <w:r>
        <w:tab/>
      </w:r>
      <w:r w:rsidR="002F12DC">
        <w:t>S</w:t>
      </w:r>
      <w:r w:rsidR="00F0706D">
        <w:t xml:space="preserve">chedule 1, item 22A </w:t>
      </w:r>
    </w:p>
    <w:p w:rsidR="00A93559" w:rsidRPr="00BD11AB" w:rsidRDefault="00A93559" w:rsidP="00AC2470">
      <w:pPr>
        <w:pStyle w:val="A2S"/>
        <w:spacing w:after="120"/>
      </w:pPr>
      <w:r w:rsidRPr="00BD11AB">
        <w:t>substitute</w:t>
      </w:r>
    </w:p>
    <w:tbl>
      <w:tblPr>
        <w:tblW w:w="8931" w:type="dxa"/>
        <w:tblInd w:w="-177" w:type="dxa"/>
        <w:tblLayout w:type="fixed"/>
        <w:tblCellMar>
          <w:left w:w="107" w:type="dxa"/>
          <w:right w:w="107" w:type="dxa"/>
        </w:tblCellMar>
        <w:tblLook w:val="0000"/>
      </w:tblPr>
      <w:tblGrid>
        <w:gridCol w:w="710"/>
        <w:gridCol w:w="1985"/>
        <w:gridCol w:w="2268"/>
        <w:gridCol w:w="1418"/>
        <w:gridCol w:w="2550"/>
      </w:tblGrid>
      <w:tr w:rsidR="00FF1B21" w:rsidRPr="0024530F" w:rsidTr="001C7796">
        <w:tc>
          <w:tcPr>
            <w:tcW w:w="710" w:type="dxa"/>
            <w:tcBorders>
              <w:top w:val="nil"/>
              <w:left w:val="nil"/>
              <w:bottom w:val="nil"/>
              <w:right w:val="nil"/>
            </w:tcBorders>
          </w:tcPr>
          <w:p w:rsidR="00FF1B21" w:rsidRPr="0024530F" w:rsidRDefault="00F0706D" w:rsidP="004356A1">
            <w:pPr>
              <w:spacing w:after="120"/>
              <w:ind w:right="113"/>
              <w:jc w:val="right"/>
              <w:rPr>
                <w:sz w:val="22"/>
                <w:szCs w:val="22"/>
              </w:rPr>
            </w:pPr>
            <w:r>
              <w:rPr>
                <w:sz w:val="22"/>
                <w:szCs w:val="22"/>
              </w:rPr>
              <w:t>22A</w:t>
            </w:r>
          </w:p>
        </w:tc>
        <w:tc>
          <w:tcPr>
            <w:tcW w:w="1985" w:type="dxa"/>
            <w:tcBorders>
              <w:top w:val="nil"/>
              <w:left w:val="nil"/>
              <w:bottom w:val="nil"/>
              <w:right w:val="nil"/>
            </w:tcBorders>
          </w:tcPr>
          <w:p w:rsidR="00FF1B21" w:rsidRPr="0024530F" w:rsidRDefault="00F0706D" w:rsidP="00F0706D">
            <w:pPr>
              <w:spacing w:after="120"/>
              <w:rPr>
                <w:sz w:val="22"/>
                <w:szCs w:val="22"/>
              </w:rPr>
            </w:pPr>
            <w:r>
              <w:rPr>
                <w:sz w:val="22"/>
                <w:szCs w:val="22"/>
              </w:rPr>
              <w:t xml:space="preserve">Wireless audio transmitters </w:t>
            </w:r>
          </w:p>
        </w:tc>
        <w:tc>
          <w:tcPr>
            <w:tcW w:w="2268" w:type="dxa"/>
            <w:tcBorders>
              <w:top w:val="nil"/>
              <w:left w:val="nil"/>
              <w:bottom w:val="nil"/>
              <w:right w:val="nil"/>
            </w:tcBorders>
          </w:tcPr>
          <w:p w:rsidR="00FF1B21" w:rsidRDefault="00FF1B21" w:rsidP="004356A1">
            <w:pPr>
              <w:ind w:left="317" w:hanging="289"/>
              <w:rPr>
                <w:sz w:val="22"/>
                <w:szCs w:val="22"/>
              </w:rPr>
            </w:pPr>
            <w:r w:rsidRPr="0024530F">
              <w:rPr>
                <w:sz w:val="22"/>
                <w:szCs w:val="22"/>
              </w:rPr>
              <w:t>1.</w:t>
            </w:r>
            <w:r w:rsidRPr="0024530F">
              <w:rPr>
                <w:sz w:val="22"/>
                <w:szCs w:val="22"/>
              </w:rPr>
              <w:tab/>
            </w:r>
            <w:r w:rsidR="00F0706D">
              <w:rPr>
                <w:sz w:val="22"/>
                <w:szCs w:val="22"/>
              </w:rPr>
              <w:t>520 – 820 (</w:t>
            </w:r>
            <w:r w:rsidR="005E3916">
              <w:rPr>
                <w:sz w:val="22"/>
                <w:szCs w:val="22"/>
              </w:rPr>
              <w:t>until 31 December 2014)</w:t>
            </w:r>
          </w:p>
          <w:p w:rsidR="005E3916" w:rsidRPr="0024530F" w:rsidRDefault="005E3916" w:rsidP="004356A1">
            <w:pPr>
              <w:ind w:left="317" w:hanging="289"/>
              <w:rPr>
                <w:sz w:val="22"/>
                <w:szCs w:val="22"/>
              </w:rPr>
            </w:pPr>
          </w:p>
          <w:p w:rsidR="00FF1B21" w:rsidRPr="0024530F" w:rsidRDefault="00FF1B21" w:rsidP="006B375F">
            <w:pPr>
              <w:ind w:left="317" w:hanging="289"/>
              <w:rPr>
                <w:sz w:val="22"/>
                <w:szCs w:val="22"/>
              </w:rPr>
            </w:pPr>
            <w:r w:rsidRPr="0024530F">
              <w:rPr>
                <w:sz w:val="22"/>
                <w:szCs w:val="22"/>
              </w:rPr>
              <w:t>2.</w:t>
            </w:r>
            <w:r w:rsidRPr="0024530F">
              <w:rPr>
                <w:sz w:val="22"/>
                <w:szCs w:val="22"/>
              </w:rPr>
              <w:tab/>
            </w:r>
            <w:r w:rsidR="006B375F">
              <w:rPr>
                <w:sz w:val="22"/>
                <w:szCs w:val="22"/>
              </w:rPr>
              <w:t>520</w:t>
            </w:r>
            <w:r w:rsidR="005E3916">
              <w:rPr>
                <w:sz w:val="22"/>
                <w:szCs w:val="22"/>
              </w:rPr>
              <w:t xml:space="preserve">– </w:t>
            </w:r>
            <w:r w:rsidR="006B375F">
              <w:rPr>
                <w:sz w:val="22"/>
                <w:szCs w:val="22"/>
              </w:rPr>
              <w:t>694</w:t>
            </w:r>
            <w:r w:rsidR="005E3916">
              <w:rPr>
                <w:sz w:val="22"/>
                <w:szCs w:val="22"/>
              </w:rPr>
              <w:t xml:space="preserve"> (from 1 January 2015) </w:t>
            </w:r>
          </w:p>
        </w:tc>
        <w:tc>
          <w:tcPr>
            <w:tcW w:w="1418" w:type="dxa"/>
            <w:tcBorders>
              <w:top w:val="nil"/>
              <w:left w:val="nil"/>
              <w:bottom w:val="nil"/>
              <w:right w:val="nil"/>
            </w:tcBorders>
          </w:tcPr>
          <w:p w:rsidR="00FF1B21" w:rsidRDefault="00FF1B21" w:rsidP="004356A1">
            <w:pPr>
              <w:spacing w:after="120"/>
              <w:ind w:right="113"/>
              <w:rPr>
                <w:sz w:val="22"/>
                <w:szCs w:val="22"/>
              </w:rPr>
            </w:pPr>
            <w:r w:rsidRPr="0024530F">
              <w:rPr>
                <w:sz w:val="22"/>
                <w:szCs w:val="22"/>
              </w:rPr>
              <w:t>100 mW</w:t>
            </w:r>
          </w:p>
          <w:p w:rsidR="005E3916" w:rsidRPr="0024530F" w:rsidRDefault="005E3916" w:rsidP="004356A1">
            <w:pPr>
              <w:spacing w:after="120"/>
              <w:ind w:right="113"/>
              <w:rPr>
                <w:sz w:val="22"/>
                <w:szCs w:val="22"/>
              </w:rPr>
            </w:pPr>
            <w:r>
              <w:rPr>
                <w:sz w:val="22"/>
                <w:szCs w:val="22"/>
              </w:rPr>
              <w:t>(~60.95 mW ERP)</w:t>
            </w:r>
          </w:p>
        </w:tc>
        <w:tc>
          <w:tcPr>
            <w:tcW w:w="2550" w:type="dxa"/>
            <w:tcBorders>
              <w:top w:val="nil"/>
              <w:left w:val="nil"/>
              <w:bottom w:val="nil"/>
              <w:right w:val="nil"/>
            </w:tcBorders>
          </w:tcPr>
          <w:p w:rsidR="00FF1B21" w:rsidRDefault="005E3916" w:rsidP="005E3916">
            <w:pPr>
              <w:spacing w:after="120"/>
              <w:rPr>
                <w:sz w:val="22"/>
                <w:szCs w:val="22"/>
              </w:rPr>
            </w:pPr>
            <w:r>
              <w:rPr>
                <w:sz w:val="22"/>
                <w:szCs w:val="22"/>
              </w:rPr>
              <w:t xml:space="preserve">1. Wireless audio transmitters must not be operated in the frequency range 694-820 </w:t>
            </w:r>
            <w:r w:rsidR="009B7064">
              <w:rPr>
                <w:sz w:val="22"/>
                <w:szCs w:val="22"/>
              </w:rPr>
              <w:t xml:space="preserve">MHz </w:t>
            </w:r>
            <w:r>
              <w:rPr>
                <w:sz w:val="22"/>
                <w:szCs w:val="22"/>
              </w:rPr>
              <w:t xml:space="preserve">after 31 December 2014. </w:t>
            </w:r>
          </w:p>
          <w:p w:rsidR="005E3916" w:rsidRDefault="005E3916" w:rsidP="005E3916">
            <w:pPr>
              <w:spacing w:after="120"/>
              <w:rPr>
                <w:sz w:val="22"/>
                <w:szCs w:val="22"/>
              </w:rPr>
            </w:pPr>
            <w:r>
              <w:rPr>
                <w:sz w:val="22"/>
                <w:szCs w:val="22"/>
              </w:rPr>
              <w:t>2. Emission must be frequency modulated and have a maximum bandwidth of 330 kHz.</w:t>
            </w:r>
          </w:p>
          <w:p w:rsidR="005E3916" w:rsidRDefault="005E3916" w:rsidP="005E3916">
            <w:pPr>
              <w:spacing w:after="120"/>
              <w:rPr>
                <w:sz w:val="22"/>
                <w:szCs w:val="22"/>
              </w:rPr>
            </w:pPr>
            <w:r>
              <w:rPr>
                <w:sz w:val="22"/>
                <w:szCs w:val="22"/>
              </w:rPr>
              <w:t>3. Transmission in a broadcasting services band channel must not originate in the coverage area of a broadcasting station or a datacasting service station (including a repeater or translator station) operating in the same channel.</w:t>
            </w:r>
          </w:p>
          <w:p w:rsidR="005E3916" w:rsidRDefault="005E3916" w:rsidP="005E3916">
            <w:pPr>
              <w:spacing w:after="120"/>
              <w:rPr>
                <w:sz w:val="22"/>
                <w:szCs w:val="22"/>
              </w:rPr>
            </w:pPr>
            <w:r>
              <w:rPr>
                <w:sz w:val="22"/>
                <w:szCs w:val="22"/>
              </w:rPr>
              <w:t>4. The origin of a transmission in a broadcasting services bands channel must be such that the resulting field strength at the nearest boundary of the coverage area of a broadcasting station or a datacasting service station using the channel does not exceed 30 dBuV/m.</w:t>
            </w:r>
          </w:p>
          <w:p w:rsidR="005E3916" w:rsidRPr="0024530F" w:rsidRDefault="005E3916" w:rsidP="000A2CCB">
            <w:pPr>
              <w:spacing w:after="120"/>
              <w:rPr>
                <w:sz w:val="22"/>
                <w:szCs w:val="22"/>
              </w:rPr>
            </w:pPr>
            <w:r>
              <w:rPr>
                <w:sz w:val="22"/>
                <w:szCs w:val="22"/>
              </w:rPr>
              <w:t xml:space="preserve">5. When transmitting in an unused broadcasting services bands channel, and in the coverage area </w:t>
            </w:r>
            <w:r>
              <w:rPr>
                <w:sz w:val="22"/>
                <w:szCs w:val="22"/>
              </w:rPr>
              <w:lastRenderedPageBreak/>
              <w:t xml:space="preserve">of a broadcasting </w:t>
            </w:r>
            <w:r w:rsidR="000A2CCB">
              <w:rPr>
                <w:sz w:val="22"/>
                <w:szCs w:val="22"/>
              </w:rPr>
              <w:t>station or a datacasting</w:t>
            </w:r>
            <w:r>
              <w:rPr>
                <w:sz w:val="22"/>
                <w:szCs w:val="22"/>
              </w:rPr>
              <w:t xml:space="preserve"> station (including a repeater </w:t>
            </w:r>
            <w:r w:rsidR="001C7796">
              <w:rPr>
                <w:sz w:val="22"/>
                <w:szCs w:val="22"/>
              </w:rPr>
              <w:t xml:space="preserve">or translator </w:t>
            </w:r>
            <w:r>
              <w:rPr>
                <w:sz w:val="22"/>
                <w:szCs w:val="22"/>
              </w:rPr>
              <w:t xml:space="preserve">station) operating in an adjacent channel, the channel centre frequency of the wireless audio transmitter must be at least 400 </w:t>
            </w:r>
            <w:r w:rsidR="0047144A">
              <w:rPr>
                <w:sz w:val="22"/>
                <w:szCs w:val="22"/>
              </w:rPr>
              <w:t>k</w:t>
            </w:r>
            <w:r>
              <w:rPr>
                <w:sz w:val="22"/>
                <w:szCs w:val="22"/>
              </w:rPr>
              <w:t>Hz above the upper edge of the adjacent channel, or 400 kHz below the lower edge of the adjacent channel.</w:t>
            </w:r>
          </w:p>
        </w:tc>
      </w:tr>
    </w:tbl>
    <w:p w:rsidR="00A93559" w:rsidRPr="0001259E" w:rsidRDefault="006B375F" w:rsidP="00743BE6">
      <w:pPr>
        <w:pStyle w:val="A1S"/>
      </w:pPr>
      <w:r w:rsidRPr="0001259E">
        <w:lastRenderedPageBreak/>
        <w:t xml:space="preserve"> </w:t>
      </w:r>
      <w:r w:rsidR="00A93559" w:rsidRPr="0001259E">
        <w:t>[</w:t>
      </w:r>
      <w:r w:rsidR="001C7796" w:rsidRPr="0001259E">
        <w:t>2</w:t>
      </w:r>
      <w:r w:rsidR="00A93559" w:rsidRPr="0001259E">
        <w:t>]</w:t>
      </w:r>
      <w:r w:rsidR="00A93559" w:rsidRPr="0001259E">
        <w:tab/>
        <w:t xml:space="preserve">Schedule 1, </w:t>
      </w:r>
      <w:r w:rsidR="001C7796" w:rsidRPr="0001259E">
        <w:t>after item 22A</w:t>
      </w:r>
    </w:p>
    <w:p w:rsidR="00A93559" w:rsidRPr="00BD11AB" w:rsidRDefault="00FF1B21" w:rsidP="00AC2470">
      <w:pPr>
        <w:pStyle w:val="A2S"/>
        <w:spacing w:after="120"/>
      </w:pPr>
      <w:r>
        <w:t>insert</w:t>
      </w:r>
    </w:p>
    <w:tbl>
      <w:tblPr>
        <w:tblW w:w="8931" w:type="dxa"/>
        <w:tblInd w:w="-177" w:type="dxa"/>
        <w:tblLayout w:type="fixed"/>
        <w:tblCellMar>
          <w:left w:w="107" w:type="dxa"/>
          <w:right w:w="107" w:type="dxa"/>
        </w:tblCellMar>
        <w:tblLook w:val="0000"/>
      </w:tblPr>
      <w:tblGrid>
        <w:gridCol w:w="710"/>
        <w:gridCol w:w="1985"/>
        <w:gridCol w:w="2268"/>
        <w:gridCol w:w="1418"/>
        <w:gridCol w:w="2550"/>
      </w:tblGrid>
      <w:tr w:rsidR="00FF1B21" w:rsidRPr="0024530F" w:rsidTr="00A412AF">
        <w:tc>
          <w:tcPr>
            <w:tcW w:w="710" w:type="dxa"/>
            <w:tcBorders>
              <w:top w:val="nil"/>
              <w:left w:val="nil"/>
              <w:bottom w:val="nil"/>
              <w:right w:val="nil"/>
            </w:tcBorders>
          </w:tcPr>
          <w:p w:rsidR="00FF1B21" w:rsidRPr="0024530F" w:rsidRDefault="001C7796" w:rsidP="001C7796">
            <w:pPr>
              <w:tabs>
                <w:tab w:val="right" w:pos="284"/>
              </w:tabs>
              <w:spacing w:after="120"/>
              <w:ind w:right="113"/>
              <w:jc w:val="right"/>
              <w:rPr>
                <w:sz w:val="22"/>
                <w:szCs w:val="22"/>
              </w:rPr>
            </w:pPr>
            <w:r>
              <w:rPr>
                <w:sz w:val="22"/>
                <w:szCs w:val="22"/>
              </w:rPr>
              <w:t>22B</w:t>
            </w:r>
          </w:p>
        </w:tc>
        <w:tc>
          <w:tcPr>
            <w:tcW w:w="1985" w:type="dxa"/>
            <w:tcBorders>
              <w:top w:val="nil"/>
              <w:left w:val="nil"/>
              <w:bottom w:val="nil"/>
              <w:right w:val="nil"/>
            </w:tcBorders>
          </w:tcPr>
          <w:p w:rsidR="00FF1B21" w:rsidRPr="0024530F" w:rsidRDefault="001C7796" w:rsidP="00A24E81">
            <w:pPr>
              <w:spacing w:after="120"/>
              <w:rPr>
                <w:sz w:val="22"/>
                <w:szCs w:val="22"/>
              </w:rPr>
            </w:pPr>
            <w:r>
              <w:rPr>
                <w:sz w:val="22"/>
                <w:szCs w:val="22"/>
              </w:rPr>
              <w:t>Digitally modulated wireless audio transmitters</w:t>
            </w:r>
          </w:p>
        </w:tc>
        <w:tc>
          <w:tcPr>
            <w:tcW w:w="2268" w:type="dxa"/>
            <w:tcBorders>
              <w:top w:val="nil"/>
              <w:left w:val="nil"/>
              <w:bottom w:val="nil"/>
              <w:right w:val="nil"/>
            </w:tcBorders>
          </w:tcPr>
          <w:p w:rsidR="00FF1B21" w:rsidRDefault="001C7796" w:rsidP="00FF1B21">
            <w:pPr>
              <w:ind w:left="317" w:hanging="289"/>
              <w:rPr>
                <w:sz w:val="22"/>
                <w:szCs w:val="22"/>
              </w:rPr>
            </w:pPr>
            <w:r>
              <w:rPr>
                <w:sz w:val="22"/>
                <w:szCs w:val="22"/>
              </w:rPr>
              <w:t xml:space="preserve">520-694 MHz </w:t>
            </w:r>
          </w:p>
          <w:p w:rsidR="00FF1B21" w:rsidRPr="0024530F" w:rsidRDefault="00FF1B21" w:rsidP="00FF1B21">
            <w:pPr>
              <w:ind w:left="317" w:hanging="289"/>
              <w:rPr>
                <w:sz w:val="22"/>
                <w:szCs w:val="22"/>
              </w:rPr>
            </w:pPr>
          </w:p>
        </w:tc>
        <w:tc>
          <w:tcPr>
            <w:tcW w:w="1418" w:type="dxa"/>
            <w:tcBorders>
              <w:top w:val="nil"/>
              <w:left w:val="nil"/>
              <w:bottom w:val="nil"/>
              <w:right w:val="nil"/>
            </w:tcBorders>
          </w:tcPr>
          <w:p w:rsidR="00FF1B21" w:rsidRDefault="001C7796" w:rsidP="004356A1">
            <w:pPr>
              <w:spacing w:after="120"/>
              <w:ind w:right="113"/>
              <w:rPr>
                <w:sz w:val="22"/>
                <w:szCs w:val="22"/>
              </w:rPr>
            </w:pPr>
            <w:r>
              <w:rPr>
                <w:sz w:val="22"/>
                <w:szCs w:val="22"/>
              </w:rPr>
              <w:t>100</w:t>
            </w:r>
            <w:r w:rsidR="00FF1B21" w:rsidRPr="0024530F">
              <w:rPr>
                <w:sz w:val="22"/>
                <w:szCs w:val="22"/>
              </w:rPr>
              <w:t xml:space="preserve"> mW</w:t>
            </w:r>
          </w:p>
          <w:p w:rsidR="001C7796" w:rsidRPr="0024530F" w:rsidRDefault="001C7796" w:rsidP="004356A1">
            <w:pPr>
              <w:spacing w:after="120"/>
              <w:ind w:right="113"/>
              <w:rPr>
                <w:sz w:val="22"/>
                <w:szCs w:val="22"/>
              </w:rPr>
            </w:pPr>
            <w:r>
              <w:rPr>
                <w:sz w:val="22"/>
                <w:szCs w:val="22"/>
              </w:rPr>
              <w:t>(~60.95 mW ERP)</w:t>
            </w:r>
          </w:p>
        </w:tc>
        <w:tc>
          <w:tcPr>
            <w:tcW w:w="2550" w:type="dxa"/>
            <w:tcBorders>
              <w:top w:val="nil"/>
              <w:left w:val="nil"/>
              <w:bottom w:val="nil"/>
              <w:right w:val="nil"/>
            </w:tcBorders>
          </w:tcPr>
          <w:p w:rsidR="00FF1B21" w:rsidRDefault="001C7796" w:rsidP="004356A1">
            <w:pPr>
              <w:spacing w:after="120"/>
              <w:rPr>
                <w:sz w:val="22"/>
                <w:szCs w:val="22"/>
              </w:rPr>
            </w:pPr>
            <w:r>
              <w:rPr>
                <w:sz w:val="22"/>
                <w:szCs w:val="22"/>
              </w:rPr>
              <w:t>1</w:t>
            </w:r>
            <w:r w:rsidRPr="0047144A">
              <w:rPr>
                <w:sz w:val="22"/>
                <w:szCs w:val="22"/>
              </w:rPr>
              <w:t xml:space="preserve">. Emission must have a maximum bandwidth of </w:t>
            </w:r>
            <w:r w:rsidR="006340B2">
              <w:rPr>
                <w:sz w:val="22"/>
                <w:szCs w:val="22"/>
              </w:rPr>
              <w:t>330 kHz</w:t>
            </w:r>
            <w:r>
              <w:rPr>
                <w:sz w:val="22"/>
                <w:szCs w:val="22"/>
              </w:rPr>
              <w:t>.</w:t>
            </w:r>
          </w:p>
          <w:p w:rsidR="001C7796" w:rsidRDefault="001C7796" w:rsidP="001C7796">
            <w:pPr>
              <w:spacing w:after="120"/>
              <w:rPr>
                <w:sz w:val="22"/>
                <w:szCs w:val="22"/>
              </w:rPr>
            </w:pPr>
            <w:r>
              <w:rPr>
                <w:sz w:val="22"/>
                <w:szCs w:val="22"/>
              </w:rPr>
              <w:t>2. Transmission in a broadcasting services bands channel must not originate in the coverage area of a broadcasting station or a datacasting service station (including a repeater or translator station) operating in the same channel.</w:t>
            </w:r>
          </w:p>
          <w:p w:rsidR="001C7796" w:rsidRDefault="001C7796" w:rsidP="001C7796">
            <w:pPr>
              <w:spacing w:after="120"/>
              <w:rPr>
                <w:sz w:val="22"/>
                <w:szCs w:val="22"/>
              </w:rPr>
            </w:pPr>
            <w:r>
              <w:rPr>
                <w:sz w:val="22"/>
                <w:szCs w:val="22"/>
              </w:rPr>
              <w:t>3. The origin of a transmission in a broadcasting services bands channel must be such that the resulting field strength at the nearest boundary of the coverage area of a broadcasting station or a datacasting service station using the channel does not exceed 30 dBuV/m.</w:t>
            </w:r>
          </w:p>
          <w:p w:rsidR="00835734" w:rsidRPr="0024530F" w:rsidRDefault="001C7796" w:rsidP="001C7796">
            <w:pPr>
              <w:spacing w:after="120"/>
              <w:rPr>
                <w:sz w:val="22"/>
                <w:szCs w:val="22"/>
              </w:rPr>
            </w:pPr>
            <w:r>
              <w:rPr>
                <w:sz w:val="22"/>
                <w:szCs w:val="22"/>
              </w:rPr>
              <w:t xml:space="preserve">4. When transmitting in an unused broadcasting services bands channel, and in the coverage area of a broadcasting station </w:t>
            </w:r>
            <w:r>
              <w:rPr>
                <w:sz w:val="22"/>
                <w:szCs w:val="22"/>
              </w:rPr>
              <w:lastRenderedPageBreak/>
              <w:t xml:space="preserve">or a datacasting service station (including a repeater or translator station) operating in an adjacent channel, the channel centre frequency of the wireless audio transmitter must be at least 400 kHz above the upper edge of the adjacent channel, or 400 kHz below the lower edge of the adjacent channel. </w:t>
            </w:r>
          </w:p>
        </w:tc>
      </w:tr>
    </w:tbl>
    <w:p w:rsidR="006B375F" w:rsidRPr="0001259E" w:rsidRDefault="006B375F" w:rsidP="006B375F">
      <w:pPr>
        <w:pStyle w:val="A1S"/>
      </w:pPr>
      <w:r w:rsidRPr="0001259E">
        <w:lastRenderedPageBreak/>
        <w:t>[</w:t>
      </w:r>
      <w:r>
        <w:t>3</w:t>
      </w:r>
      <w:r w:rsidRPr="0001259E">
        <w:t>]</w:t>
      </w:r>
      <w:r w:rsidRPr="0001259E">
        <w:tab/>
        <w:t>Schedule 1, after item 22</w:t>
      </w:r>
      <w:r>
        <w:t>B</w:t>
      </w:r>
    </w:p>
    <w:p w:rsidR="006B375F" w:rsidRPr="00BD11AB" w:rsidRDefault="006B375F" w:rsidP="006B375F">
      <w:pPr>
        <w:pStyle w:val="A2S"/>
        <w:spacing w:after="120"/>
      </w:pPr>
      <w:r>
        <w:t>insert</w:t>
      </w:r>
    </w:p>
    <w:tbl>
      <w:tblPr>
        <w:tblW w:w="8931" w:type="dxa"/>
        <w:tblInd w:w="-177" w:type="dxa"/>
        <w:tblLayout w:type="fixed"/>
        <w:tblCellMar>
          <w:left w:w="107" w:type="dxa"/>
          <w:right w:w="107" w:type="dxa"/>
        </w:tblCellMar>
        <w:tblLook w:val="0000"/>
      </w:tblPr>
      <w:tblGrid>
        <w:gridCol w:w="710"/>
        <w:gridCol w:w="1985"/>
        <w:gridCol w:w="2268"/>
        <w:gridCol w:w="1418"/>
        <w:gridCol w:w="2550"/>
      </w:tblGrid>
      <w:tr w:rsidR="006B375F" w:rsidRPr="0024530F" w:rsidTr="00031B9D">
        <w:tc>
          <w:tcPr>
            <w:tcW w:w="710" w:type="dxa"/>
            <w:tcBorders>
              <w:top w:val="nil"/>
              <w:left w:val="nil"/>
              <w:bottom w:val="nil"/>
              <w:right w:val="nil"/>
            </w:tcBorders>
          </w:tcPr>
          <w:p w:rsidR="006B375F" w:rsidRPr="0024530F" w:rsidRDefault="00275D63" w:rsidP="00275D63">
            <w:pPr>
              <w:tabs>
                <w:tab w:val="right" w:pos="284"/>
              </w:tabs>
              <w:spacing w:after="120"/>
              <w:ind w:right="113"/>
              <w:jc w:val="right"/>
              <w:rPr>
                <w:sz w:val="22"/>
                <w:szCs w:val="22"/>
              </w:rPr>
            </w:pPr>
            <w:r>
              <w:rPr>
                <w:sz w:val="22"/>
                <w:szCs w:val="22"/>
              </w:rPr>
              <w:t>22C</w:t>
            </w:r>
          </w:p>
        </w:tc>
        <w:tc>
          <w:tcPr>
            <w:tcW w:w="1985" w:type="dxa"/>
            <w:tcBorders>
              <w:top w:val="nil"/>
              <w:left w:val="nil"/>
              <w:bottom w:val="nil"/>
              <w:right w:val="nil"/>
            </w:tcBorders>
          </w:tcPr>
          <w:p w:rsidR="006B375F" w:rsidRPr="0024530F" w:rsidRDefault="00795222" w:rsidP="00031B9D">
            <w:pPr>
              <w:spacing w:after="120"/>
              <w:rPr>
                <w:sz w:val="22"/>
                <w:szCs w:val="22"/>
              </w:rPr>
            </w:pPr>
            <w:r>
              <w:rPr>
                <w:sz w:val="22"/>
                <w:szCs w:val="22"/>
              </w:rPr>
              <w:t xml:space="preserve">Wireless </w:t>
            </w:r>
            <w:r w:rsidR="006B375F">
              <w:rPr>
                <w:sz w:val="22"/>
                <w:szCs w:val="22"/>
              </w:rPr>
              <w:t>audio transmitters</w:t>
            </w:r>
          </w:p>
        </w:tc>
        <w:tc>
          <w:tcPr>
            <w:tcW w:w="2268" w:type="dxa"/>
            <w:tcBorders>
              <w:top w:val="nil"/>
              <w:left w:val="nil"/>
              <w:bottom w:val="nil"/>
              <w:right w:val="nil"/>
            </w:tcBorders>
          </w:tcPr>
          <w:p w:rsidR="006B375F" w:rsidRDefault="004C624F" w:rsidP="00031B9D">
            <w:pPr>
              <w:ind w:left="317" w:hanging="289"/>
              <w:rPr>
                <w:sz w:val="22"/>
                <w:szCs w:val="22"/>
              </w:rPr>
            </w:pPr>
            <w:r>
              <w:rPr>
                <w:sz w:val="22"/>
                <w:szCs w:val="22"/>
              </w:rPr>
              <w:t xml:space="preserve">1790 </w:t>
            </w:r>
            <w:r w:rsidR="006B375F">
              <w:rPr>
                <w:sz w:val="22"/>
                <w:szCs w:val="22"/>
              </w:rPr>
              <w:t xml:space="preserve">– </w:t>
            </w:r>
            <w:r>
              <w:rPr>
                <w:sz w:val="22"/>
                <w:szCs w:val="22"/>
              </w:rPr>
              <w:t xml:space="preserve">1800 </w:t>
            </w:r>
            <w:r w:rsidR="006B375F">
              <w:rPr>
                <w:sz w:val="22"/>
                <w:szCs w:val="22"/>
              </w:rPr>
              <w:t xml:space="preserve">MHz </w:t>
            </w:r>
          </w:p>
          <w:p w:rsidR="006B375F" w:rsidRPr="0024530F" w:rsidRDefault="006B375F" w:rsidP="00031B9D">
            <w:pPr>
              <w:ind w:left="317" w:hanging="289"/>
              <w:rPr>
                <w:sz w:val="22"/>
                <w:szCs w:val="22"/>
              </w:rPr>
            </w:pPr>
          </w:p>
        </w:tc>
        <w:tc>
          <w:tcPr>
            <w:tcW w:w="1418" w:type="dxa"/>
            <w:tcBorders>
              <w:top w:val="nil"/>
              <w:left w:val="nil"/>
              <w:bottom w:val="nil"/>
              <w:right w:val="nil"/>
            </w:tcBorders>
          </w:tcPr>
          <w:p w:rsidR="006B375F" w:rsidRDefault="007631E9" w:rsidP="00031B9D">
            <w:pPr>
              <w:spacing w:after="120"/>
              <w:ind w:right="113"/>
              <w:rPr>
                <w:sz w:val="22"/>
                <w:szCs w:val="22"/>
              </w:rPr>
            </w:pPr>
            <w:r>
              <w:rPr>
                <w:sz w:val="22"/>
                <w:szCs w:val="22"/>
              </w:rPr>
              <w:t xml:space="preserve">100 </w:t>
            </w:r>
            <w:r w:rsidR="006B375F" w:rsidRPr="0024530F">
              <w:rPr>
                <w:sz w:val="22"/>
                <w:szCs w:val="22"/>
              </w:rPr>
              <w:t>mW</w:t>
            </w:r>
          </w:p>
          <w:p w:rsidR="006B375F" w:rsidRPr="0024530F" w:rsidRDefault="006B375F" w:rsidP="007631E9">
            <w:pPr>
              <w:spacing w:after="120"/>
              <w:ind w:right="113"/>
              <w:rPr>
                <w:sz w:val="22"/>
                <w:szCs w:val="22"/>
              </w:rPr>
            </w:pPr>
            <w:r>
              <w:rPr>
                <w:sz w:val="22"/>
                <w:szCs w:val="22"/>
              </w:rPr>
              <w:t>(~</w:t>
            </w:r>
            <w:r w:rsidR="007631E9">
              <w:rPr>
                <w:sz w:val="22"/>
                <w:szCs w:val="22"/>
              </w:rPr>
              <w:t>6</w:t>
            </w:r>
            <w:r w:rsidR="005A62D7">
              <w:rPr>
                <w:sz w:val="22"/>
                <w:szCs w:val="22"/>
              </w:rPr>
              <w:t>0.</w:t>
            </w:r>
            <w:r w:rsidR="007631E9">
              <w:rPr>
                <w:sz w:val="22"/>
                <w:szCs w:val="22"/>
              </w:rPr>
              <w:t>9</w:t>
            </w:r>
            <w:r w:rsidR="005A62D7">
              <w:rPr>
                <w:sz w:val="22"/>
                <w:szCs w:val="22"/>
              </w:rPr>
              <w:t xml:space="preserve">5 </w:t>
            </w:r>
            <w:r>
              <w:rPr>
                <w:sz w:val="22"/>
                <w:szCs w:val="22"/>
              </w:rPr>
              <w:t>mW ERP)</w:t>
            </w:r>
          </w:p>
        </w:tc>
        <w:tc>
          <w:tcPr>
            <w:tcW w:w="2550" w:type="dxa"/>
            <w:tcBorders>
              <w:top w:val="nil"/>
              <w:left w:val="nil"/>
              <w:bottom w:val="nil"/>
              <w:right w:val="nil"/>
            </w:tcBorders>
          </w:tcPr>
          <w:p w:rsidR="00031B9D" w:rsidRPr="0024530F" w:rsidRDefault="00031B9D" w:rsidP="003E4AA1">
            <w:pPr>
              <w:spacing w:after="120"/>
              <w:rPr>
                <w:sz w:val="22"/>
                <w:szCs w:val="22"/>
              </w:rPr>
            </w:pPr>
            <w:r>
              <w:rPr>
                <w:sz w:val="22"/>
                <w:szCs w:val="22"/>
              </w:rPr>
              <w:t>1.</w:t>
            </w:r>
            <w:r w:rsidR="003E4AA1">
              <w:rPr>
                <w:sz w:val="22"/>
                <w:szCs w:val="22"/>
              </w:rPr>
              <w:t xml:space="preserve"> A transmitter mentioned in this item must comply with either ETSI Standard EN 301 840 or ETSI Standard EN 300 422.</w:t>
            </w:r>
            <w:r>
              <w:rPr>
                <w:sz w:val="22"/>
                <w:szCs w:val="22"/>
              </w:rPr>
              <w:t xml:space="preserve"> </w:t>
            </w:r>
          </w:p>
        </w:tc>
      </w:tr>
    </w:tbl>
    <w:p w:rsidR="006B375F" w:rsidRPr="00835734" w:rsidRDefault="006B375F" w:rsidP="00835734">
      <w:pPr>
        <w:sectPr w:rsidR="006B375F" w:rsidRPr="00835734">
          <w:headerReference w:type="even" r:id="rId17"/>
          <w:headerReference w:type="default" r:id="rId18"/>
          <w:footerReference w:type="even" r:id="rId19"/>
          <w:footerReference w:type="default" r:id="rId20"/>
          <w:type w:val="continuous"/>
          <w:pgSz w:w="11907" w:h="16839" w:code="9"/>
          <w:pgMar w:top="1440" w:right="1797" w:bottom="1440" w:left="1797" w:header="709" w:footer="709" w:gutter="0"/>
          <w:cols w:space="708"/>
          <w:docGrid w:linePitch="360"/>
        </w:sectPr>
      </w:pPr>
    </w:p>
    <w:p w:rsidR="001058AA" w:rsidRPr="00BD11AB" w:rsidRDefault="001058AA">
      <w:pPr>
        <w:pStyle w:val="NoteEnd"/>
        <w:pBdr>
          <w:top w:val="single" w:sz="4" w:space="3" w:color="auto"/>
        </w:pBdr>
        <w:spacing w:before="480"/>
        <w:rPr>
          <w:rFonts w:ascii="Arial" w:hAnsi="Arial"/>
          <w:b/>
          <w:sz w:val="24"/>
        </w:rPr>
      </w:pPr>
      <w:r w:rsidRPr="00BD11AB">
        <w:rPr>
          <w:rFonts w:ascii="Arial" w:hAnsi="Arial"/>
          <w:b/>
          <w:sz w:val="24"/>
        </w:rPr>
        <w:t>Note</w:t>
      </w:r>
    </w:p>
    <w:p w:rsidR="001058AA" w:rsidRDefault="001058AA" w:rsidP="0071513D">
      <w:pPr>
        <w:pStyle w:val="NoteEnd"/>
        <w:sectPr w:rsidR="001058A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797" w:bottom="1440" w:left="1797" w:header="709" w:footer="709" w:gutter="0"/>
          <w:cols w:space="708"/>
          <w:docGrid w:linePitch="360"/>
        </w:sectPr>
      </w:pPr>
      <w:r w:rsidRPr="000A2CCB">
        <w:rPr>
          <w:color w:val="000000"/>
          <w:sz w:val="20"/>
          <w:szCs w:val="20"/>
        </w:rPr>
        <w:t>1.</w:t>
      </w:r>
      <w:r w:rsidRPr="000A2CCB">
        <w:rPr>
          <w:color w:val="000000"/>
          <w:sz w:val="20"/>
          <w:szCs w:val="20"/>
        </w:rPr>
        <w:tab/>
        <w:t xml:space="preserve">All legislative instruments and compilations are registered on the Federal Register of Legislative Instruments kept under the </w:t>
      </w:r>
      <w:r w:rsidRPr="000A2CCB">
        <w:rPr>
          <w:i/>
          <w:color w:val="000000"/>
          <w:sz w:val="20"/>
          <w:szCs w:val="20"/>
        </w:rPr>
        <w:t xml:space="preserve">Legislative Instruments Act 2003. </w:t>
      </w:r>
      <w:r w:rsidRPr="000A2CCB">
        <w:rPr>
          <w:color w:val="000000"/>
          <w:sz w:val="20"/>
          <w:szCs w:val="20"/>
        </w:rPr>
        <w:t xml:space="preserve">See </w:t>
      </w:r>
      <w:r w:rsidRPr="000A2CCB">
        <w:rPr>
          <w:color w:val="000000"/>
          <w:sz w:val="20"/>
          <w:szCs w:val="20"/>
          <w:u w:val="single"/>
        </w:rPr>
        <w:t>http://www.frli.gov.au</w:t>
      </w:r>
      <w:r w:rsidRPr="000A2CCB">
        <w:rPr>
          <w:color w:val="000000"/>
          <w:sz w:val="20"/>
          <w:szCs w:val="20"/>
        </w:rPr>
        <w:t>.</w:t>
      </w:r>
    </w:p>
    <w:p w:rsidR="004C3987" w:rsidRPr="00674B00" w:rsidRDefault="004C3987" w:rsidP="00674B00"/>
    <w:sectPr w:rsidR="004C3987" w:rsidRPr="00674B00" w:rsidSect="004C1976">
      <w:headerReference w:type="even" r:id="rId27"/>
      <w:headerReference w:type="default" r:id="rId28"/>
      <w:footerReference w:type="even" r:id="rId29"/>
      <w:footerReference w:type="default" r:id="rId30"/>
      <w:footerReference w:type="first" r:id="rId31"/>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516" w:rsidRDefault="00CA0516" w:rsidP="004356A1">
      <w:r>
        <w:separator/>
      </w:r>
    </w:p>
  </w:endnote>
  <w:endnote w:type="continuationSeparator" w:id="0">
    <w:p w:rsidR="00CA0516" w:rsidRDefault="00CA0516" w:rsidP="00435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Pr="003839ED" w:rsidRDefault="003B4346" w:rsidP="003839ED">
          <w:pPr>
            <w:spacing w:line="240" w:lineRule="exact"/>
            <w:rPr>
              <w:rFonts w:ascii="Arial" w:hAnsi="Arial" w:cs="Arial"/>
              <w:sz w:val="22"/>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38566A">
            <w:rPr>
              <w:rStyle w:val="PageNumber"/>
              <w:rFonts w:cs="Arial"/>
              <w:noProof/>
              <w:szCs w:val="22"/>
            </w:rPr>
            <w:t>3</w:t>
          </w:r>
          <w:r w:rsidRPr="003839ED">
            <w:rPr>
              <w:rStyle w:val="PageNumber"/>
              <w:rFonts w:cs="Arial"/>
              <w:szCs w:val="22"/>
            </w:rPr>
            <w:fldChar w:fldCharType="end"/>
          </w:r>
        </w:p>
      </w:tc>
      <w:tc>
        <w:tcPr>
          <w:tcW w:w="6095" w:type="dxa"/>
        </w:tcPr>
        <w:p w:rsidR="0038566A" w:rsidRPr="004F5D6D" w:rsidRDefault="003B4346" w:rsidP="003839ED">
          <w:pPr>
            <w:pStyle w:val="Footer"/>
            <w:spacing w:before="20" w:line="240" w:lineRule="exact"/>
          </w:pPr>
          <w:r>
            <w:fldChar w:fldCharType="begin"/>
          </w:r>
          <w:r w:rsidR="00CC1B8F">
            <w:instrText xml:space="preserve"> REF  Citation\*charformat </w:instrText>
          </w:r>
          <w:r>
            <w:fldChar w:fldCharType="separate"/>
          </w:r>
          <w:r w:rsidR="000118FA">
            <w:t>Radiocommunications (Low Interference Potential Devices) Class Licence Variation Notice 2013 (No. 1)</w:t>
          </w:r>
          <w:r>
            <w:fldChar w:fldCharType="end"/>
          </w:r>
        </w:p>
      </w:tc>
      <w:tc>
        <w:tcPr>
          <w:tcW w:w="1134" w:type="dxa"/>
        </w:tcPr>
        <w:p w:rsidR="0038566A" w:rsidRPr="00451BF5" w:rsidRDefault="0038566A" w:rsidP="003839ED">
          <w:pPr>
            <w:spacing w:line="240" w:lineRule="exact"/>
            <w:jc w:val="right"/>
            <w:rPr>
              <w:rStyle w:val="PageNumber"/>
            </w:rPr>
          </w:pPr>
        </w:p>
      </w:tc>
    </w:tr>
  </w:tbl>
  <w:p w:rsidR="0038566A" w:rsidRDefault="0038566A">
    <w:pPr>
      <w:pStyle w:val="FooterDraft"/>
      <w:ind w:right="360" w:firstLine="360"/>
    </w:pPr>
  </w:p>
  <w:p w:rsidR="0038566A" w:rsidRDefault="0038566A">
    <w:pPr>
      <w:pStyle w:val="FooterInf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Pr="00556EB9" w:rsidRDefault="0038566A">
    <w:pPr>
      <w:pStyle w:val="FooterCitation"/>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38566A">
      <w:tc>
        <w:tcPr>
          <w:tcW w:w="1134" w:type="dxa"/>
        </w:tcPr>
        <w:p w:rsidR="0038566A" w:rsidRPr="003D7214" w:rsidRDefault="003B4346" w:rsidP="00BD545A">
          <w:pPr>
            <w:spacing w:line="240" w:lineRule="exact"/>
            <w:rPr>
              <w:rFonts w:ascii="Arial" w:hAnsi="Arial" w:cs="Arial"/>
              <w:sz w:val="22"/>
              <w:szCs w:val="22"/>
            </w:rPr>
          </w:pPr>
          <w:r w:rsidRPr="003D7214">
            <w:rPr>
              <w:rStyle w:val="PageNumber"/>
              <w:rFonts w:cs="Arial"/>
              <w:szCs w:val="22"/>
            </w:rPr>
            <w:fldChar w:fldCharType="begin"/>
          </w:r>
          <w:r w:rsidR="0038566A" w:rsidRPr="003D7214">
            <w:rPr>
              <w:rStyle w:val="PageNumber"/>
              <w:rFonts w:cs="Arial"/>
              <w:szCs w:val="22"/>
            </w:rPr>
            <w:instrText xml:space="preserve">PAGE  </w:instrText>
          </w:r>
          <w:r w:rsidRPr="003D7214">
            <w:rPr>
              <w:rStyle w:val="PageNumber"/>
              <w:rFonts w:cs="Arial"/>
              <w:szCs w:val="22"/>
            </w:rPr>
            <w:fldChar w:fldCharType="separate"/>
          </w:r>
          <w:r w:rsidR="0038566A">
            <w:rPr>
              <w:rStyle w:val="PageNumber"/>
              <w:rFonts w:cs="Arial"/>
              <w:noProof/>
              <w:szCs w:val="22"/>
            </w:rPr>
            <w:t>3</w:t>
          </w:r>
          <w:r w:rsidRPr="003D7214">
            <w:rPr>
              <w:rStyle w:val="PageNumber"/>
              <w:rFonts w:cs="Arial"/>
              <w:szCs w:val="22"/>
            </w:rPr>
            <w:fldChar w:fldCharType="end"/>
          </w:r>
        </w:p>
      </w:tc>
      <w:tc>
        <w:tcPr>
          <w:tcW w:w="6095" w:type="dxa"/>
        </w:tcPr>
        <w:p w:rsidR="0038566A" w:rsidRPr="004F5D6D" w:rsidRDefault="003B4346" w:rsidP="00BD545A">
          <w:pPr>
            <w:pStyle w:val="Footer"/>
            <w:spacing w:before="20" w:line="240" w:lineRule="exact"/>
          </w:pPr>
          <w:r>
            <w:fldChar w:fldCharType="begin"/>
          </w:r>
          <w:r w:rsidR="00CC1B8F">
            <w:instrText xml:space="preserve"> REF  Citation </w:instrText>
          </w:r>
          <w:r>
            <w:fldChar w:fldCharType="separate"/>
          </w:r>
          <w:r w:rsidR="000118FA">
            <w:t>Radiocommunications (Low Interference Potential Devices) Class Licence Variation Notice 2013 (No. 1)</w:t>
          </w:r>
          <w:r>
            <w:fldChar w:fldCharType="end"/>
          </w:r>
        </w:p>
      </w:tc>
      <w:tc>
        <w:tcPr>
          <w:tcW w:w="1134" w:type="dxa"/>
        </w:tcPr>
        <w:p w:rsidR="0038566A" w:rsidRPr="00451BF5" w:rsidRDefault="0038566A" w:rsidP="00BD545A">
          <w:pPr>
            <w:spacing w:line="240" w:lineRule="exact"/>
            <w:jc w:val="right"/>
            <w:rPr>
              <w:rStyle w:val="PageNumber"/>
            </w:rPr>
          </w:pPr>
        </w:p>
      </w:tc>
    </w:tr>
  </w:tbl>
  <w:p w:rsidR="0038566A" w:rsidRDefault="0038566A" w:rsidP="00BD545A">
    <w:pPr>
      <w:pStyle w:val="FooterDraft"/>
      <w:ind w:right="360" w:firstLine="360"/>
    </w:pPr>
  </w:p>
  <w:p w:rsidR="0038566A" w:rsidRDefault="0038566A" w:rsidP="00BD545A">
    <w:pPr>
      <w:pStyle w:val="FooterInf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38566A">
      <w:tc>
        <w:tcPr>
          <w:tcW w:w="1134" w:type="dxa"/>
        </w:tcPr>
        <w:p w:rsidR="0038566A" w:rsidRDefault="0038566A" w:rsidP="00BD545A">
          <w:pPr>
            <w:spacing w:line="240" w:lineRule="exact"/>
          </w:pPr>
        </w:p>
      </w:tc>
      <w:tc>
        <w:tcPr>
          <w:tcW w:w="6095" w:type="dxa"/>
        </w:tcPr>
        <w:p w:rsidR="0038566A" w:rsidRPr="004F5D6D" w:rsidRDefault="003B4346" w:rsidP="00BD545A">
          <w:pPr>
            <w:pStyle w:val="FooterCitation"/>
          </w:pPr>
          <w:r>
            <w:fldChar w:fldCharType="begin"/>
          </w:r>
          <w:r w:rsidR="00CC1B8F">
            <w:instrText xml:space="preserve"> REF  Citation </w:instrText>
          </w:r>
          <w:r>
            <w:fldChar w:fldCharType="separate"/>
          </w:r>
          <w:r w:rsidR="000118FA">
            <w:t>Radiocommunications (Low Interference Potential Devices) Class Licence Variation Notice 2013 (No. 1)</w:t>
          </w:r>
          <w:r>
            <w:fldChar w:fldCharType="end"/>
          </w:r>
        </w:p>
      </w:tc>
      <w:tc>
        <w:tcPr>
          <w:tcW w:w="1134" w:type="dxa"/>
        </w:tcPr>
        <w:p w:rsidR="0038566A" w:rsidRPr="003D7214" w:rsidRDefault="003B4346" w:rsidP="00BD545A">
          <w:pPr>
            <w:spacing w:line="240" w:lineRule="exact"/>
            <w:jc w:val="right"/>
            <w:rPr>
              <w:rStyle w:val="PageNumber"/>
              <w:rFonts w:cs="Arial"/>
              <w:szCs w:val="22"/>
            </w:rPr>
          </w:pPr>
          <w:r w:rsidRPr="003D7214">
            <w:rPr>
              <w:rStyle w:val="PageNumber"/>
              <w:rFonts w:cs="Arial"/>
              <w:szCs w:val="22"/>
            </w:rPr>
            <w:fldChar w:fldCharType="begin"/>
          </w:r>
          <w:r w:rsidR="0038566A" w:rsidRPr="003D7214">
            <w:rPr>
              <w:rStyle w:val="PageNumber"/>
              <w:rFonts w:cs="Arial"/>
              <w:szCs w:val="22"/>
            </w:rPr>
            <w:instrText xml:space="preserve">PAGE  </w:instrText>
          </w:r>
          <w:r w:rsidRPr="003D7214">
            <w:rPr>
              <w:rStyle w:val="PageNumber"/>
              <w:rFonts w:cs="Arial"/>
              <w:szCs w:val="22"/>
            </w:rPr>
            <w:fldChar w:fldCharType="separate"/>
          </w:r>
          <w:r w:rsidR="0038566A">
            <w:rPr>
              <w:rStyle w:val="PageNumber"/>
              <w:rFonts w:cs="Arial"/>
              <w:noProof/>
              <w:szCs w:val="22"/>
            </w:rPr>
            <w:t>3</w:t>
          </w:r>
          <w:r w:rsidRPr="003D7214">
            <w:rPr>
              <w:rStyle w:val="PageNumber"/>
              <w:rFonts w:cs="Arial"/>
              <w:szCs w:val="22"/>
            </w:rPr>
            <w:fldChar w:fldCharType="end"/>
          </w:r>
        </w:p>
      </w:tc>
    </w:tr>
  </w:tbl>
  <w:p w:rsidR="0038566A" w:rsidRDefault="0038566A" w:rsidP="00BD545A">
    <w:pPr>
      <w:pStyle w:val="FooterDraft"/>
    </w:pPr>
  </w:p>
  <w:p w:rsidR="0038566A" w:rsidRDefault="0038566A" w:rsidP="00BD545A">
    <w:pPr>
      <w:pStyle w:val="FooterInf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pStyle w:val="FooterDraft"/>
    </w:pPr>
  </w:p>
  <w:p w:rsidR="0038566A" w:rsidRPr="00974D8C" w:rsidRDefault="0038566A">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Default="0038566A" w:rsidP="003839ED">
          <w:pPr>
            <w:spacing w:line="240" w:lineRule="exact"/>
          </w:pPr>
        </w:p>
      </w:tc>
      <w:tc>
        <w:tcPr>
          <w:tcW w:w="6095" w:type="dxa"/>
        </w:tcPr>
        <w:p w:rsidR="0038566A" w:rsidRPr="004F5D6D" w:rsidRDefault="003B4346">
          <w:pPr>
            <w:pStyle w:val="FooterCitation"/>
          </w:pPr>
          <w:r w:rsidRPr="004F5D6D">
            <w:fldChar w:fldCharType="begin"/>
          </w:r>
          <w:r w:rsidR="0038566A">
            <w:instrText>REF Citation</w:instrText>
          </w:r>
          <w:r w:rsidRPr="004F5D6D">
            <w:fldChar w:fldCharType="separate"/>
          </w:r>
          <w:r w:rsidR="000118FA">
            <w:t>Radiocommunications (Low Interference Potential Devices) Class Licence Variation Notice 2013 (No. 1)</w:t>
          </w:r>
          <w:r w:rsidRPr="004F5D6D">
            <w:fldChar w:fldCharType="end"/>
          </w:r>
        </w:p>
      </w:tc>
      <w:tc>
        <w:tcPr>
          <w:tcW w:w="1134" w:type="dxa"/>
        </w:tcPr>
        <w:p w:rsidR="0038566A" w:rsidRPr="003839ED" w:rsidRDefault="003B4346" w:rsidP="003839ED">
          <w:pPr>
            <w:spacing w:line="240" w:lineRule="exact"/>
            <w:jc w:val="right"/>
            <w:rPr>
              <w:rStyle w:val="PageNumber"/>
              <w:rFonts w:cs="Arial"/>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38566A">
            <w:rPr>
              <w:rStyle w:val="PageNumber"/>
              <w:rFonts w:cs="Arial"/>
              <w:noProof/>
              <w:szCs w:val="22"/>
            </w:rPr>
            <w:t>3</w:t>
          </w:r>
          <w:r w:rsidRPr="003839ED">
            <w:rPr>
              <w:rStyle w:val="PageNumber"/>
              <w:rFonts w:cs="Arial"/>
              <w:szCs w:val="22"/>
            </w:rPr>
            <w:fldChar w:fldCharType="end"/>
          </w:r>
        </w:p>
      </w:tc>
    </w:tr>
  </w:tbl>
  <w:p w:rsidR="0038566A" w:rsidRDefault="0038566A">
    <w:pPr>
      <w:pStyle w:val="FooterDraft"/>
    </w:pPr>
  </w:p>
  <w:p w:rsidR="0038566A" w:rsidRDefault="0038566A">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pStyle w:val="FooterDraft"/>
    </w:pPr>
  </w:p>
  <w:p w:rsidR="0038566A" w:rsidRPr="00974D8C" w:rsidRDefault="0038566A">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Pr="003839ED" w:rsidRDefault="003B4346" w:rsidP="003839ED">
          <w:pPr>
            <w:spacing w:line="240" w:lineRule="exact"/>
            <w:rPr>
              <w:rFonts w:ascii="Arial" w:hAnsi="Arial" w:cs="Arial"/>
              <w:sz w:val="22"/>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AB1E92">
            <w:rPr>
              <w:rStyle w:val="PageNumber"/>
              <w:rFonts w:cs="Arial"/>
              <w:noProof/>
              <w:szCs w:val="22"/>
            </w:rPr>
            <w:t>2</w:t>
          </w:r>
          <w:r w:rsidRPr="003839ED">
            <w:rPr>
              <w:rStyle w:val="PageNumber"/>
              <w:rFonts w:cs="Arial"/>
              <w:szCs w:val="22"/>
            </w:rPr>
            <w:fldChar w:fldCharType="end"/>
          </w:r>
        </w:p>
      </w:tc>
      <w:tc>
        <w:tcPr>
          <w:tcW w:w="6095" w:type="dxa"/>
        </w:tcPr>
        <w:p w:rsidR="0038566A" w:rsidRPr="004F5D6D" w:rsidRDefault="0038566A" w:rsidP="00852F8D">
          <w:pPr>
            <w:pStyle w:val="Footer"/>
            <w:spacing w:before="20" w:line="240" w:lineRule="exact"/>
          </w:pPr>
          <w:r>
            <w:t>Radiocommunications (Low Interference Potential Devices) Class Licence Variation Notice 2013 (No. 1)</w:t>
          </w:r>
        </w:p>
      </w:tc>
      <w:tc>
        <w:tcPr>
          <w:tcW w:w="1134" w:type="dxa"/>
        </w:tcPr>
        <w:p w:rsidR="0038566A" w:rsidRPr="00451BF5" w:rsidRDefault="0038566A" w:rsidP="003839ED">
          <w:pPr>
            <w:spacing w:line="240" w:lineRule="exact"/>
            <w:jc w:val="right"/>
            <w:rPr>
              <w:rStyle w:val="PageNumber"/>
            </w:rPr>
          </w:pPr>
        </w:p>
      </w:tc>
    </w:tr>
  </w:tbl>
  <w:p w:rsidR="0038566A" w:rsidRDefault="0038566A">
    <w:pPr>
      <w:pStyle w:val="FooterDraft"/>
      <w:ind w:right="360" w:firstLine="360"/>
    </w:pPr>
  </w:p>
  <w:p w:rsidR="0038566A" w:rsidRDefault="0038566A">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Default="0038566A" w:rsidP="003839ED">
          <w:pPr>
            <w:spacing w:line="240" w:lineRule="exact"/>
          </w:pPr>
        </w:p>
      </w:tc>
      <w:tc>
        <w:tcPr>
          <w:tcW w:w="6095" w:type="dxa"/>
        </w:tcPr>
        <w:p w:rsidR="0038566A" w:rsidRPr="004F5D6D" w:rsidRDefault="003B4346">
          <w:pPr>
            <w:pStyle w:val="FooterCitation"/>
          </w:pPr>
          <w:r w:rsidRPr="004F5D6D">
            <w:fldChar w:fldCharType="begin"/>
          </w:r>
          <w:r w:rsidR="0038566A">
            <w:instrText>REF Citation</w:instrText>
          </w:r>
          <w:r w:rsidRPr="004F5D6D">
            <w:fldChar w:fldCharType="separate"/>
          </w:r>
          <w:r w:rsidR="000118FA">
            <w:t>Radiocommunications (Low Interference Potential Devices) Class Licence Variation Notice 2013 (No. 1)</w:t>
          </w:r>
          <w:r w:rsidRPr="004F5D6D">
            <w:fldChar w:fldCharType="end"/>
          </w:r>
        </w:p>
      </w:tc>
      <w:tc>
        <w:tcPr>
          <w:tcW w:w="1134" w:type="dxa"/>
        </w:tcPr>
        <w:p w:rsidR="0038566A" w:rsidRPr="003839ED" w:rsidRDefault="003B4346" w:rsidP="003839ED">
          <w:pPr>
            <w:spacing w:line="240" w:lineRule="exact"/>
            <w:jc w:val="right"/>
            <w:rPr>
              <w:rStyle w:val="PageNumber"/>
              <w:rFonts w:cs="Arial"/>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38566A">
            <w:rPr>
              <w:rStyle w:val="PageNumber"/>
              <w:rFonts w:cs="Arial"/>
              <w:noProof/>
              <w:szCs w:val="22"/>
            </w:rPr>
            <w:t>3</w:t>
          </w:r>
          <w:r w:rsidRPr="003839ED">
            <w:rPr>
              <w:rStyle w:val="PageNumber"/>
              <w:rFonts w:cs="Arial"/>
              <w:szCs w:val="22"/>
            </w:rPr>
            <w:fldChar w:fldCharType="end"/>
          </w:r>
        </w:p>
      </w:tc>
    </w:tr>
  </w:tbl>
  <w:p w:rsidR="0038566A" w:rsidRDefault="0038566A">
    <w:pPr>
      <w:pStyle w:val="FooterDraft"/>
    </w:pPr>
  </w:p>
  <w:p w:rsidR="0038566A" w:rsidRDefault="0038566A">
    <w:pPr>
      <w:pStyle w:val="FooterInf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Pr="003839ED" w:rsidRDefault="003B4346" w:rsidP="003839ED">
          <w:pPr>
            <w:spacing w:line="240" w:lineRule="exact"/>
            <w:rPr>
              <w:rFonts w:ascii="Arial" w:hAnsi="Arial" w:cs="Arial"/>
              <w:sz w:val="22"/>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AB1E92">
            <w:rPr>
              <w:rStyle w:val="PageNumber"/>
              <w:rFonts w:cs="Arial"/>
              <w:noProof/>
              <w:szCs w:val="22"/>
            </w:rPr>
            <w:t>4</w:t>
          </w:r>
          <w:r w:rsidRPr="003839ED">
            <w:rPr>
              <w:rStyle w:val="PageNumber"/>
              <w:rFonts w:cs="Arial"/>
              <w:szCs w:val="22"/>
            </w:rPr>
            <w:fldChar w:fldCharType="end"/>
          </w:r>
        </w:p>
      </w:tc>
      <w:tc>
        <w:tcPr>
          <w:tcW w:w="6095" w:type="dxa"/>
        </w:tcPr>
        <w:p w:rsidR="0038566A" w:rsidRPr="004F5D6D" w:rsidRDefault="0038566A" w:rsidP="00852F8D">
          <w:pPr>
            <w:pStyle w:val="Footer"/>
            <w:spacing w:before="20" w:line="240" w:lineRule="exact"/>
          </w:pPr>
          <w:r>
            <w:t>Radiocommunications (Low Interference Potential Devices) Class Licence Variation Notice 2013 (No. 1)</w:t>
          </w:r>
        </w:p>
      </w:tc>
      <w:tc>
        <w:tcPr>
          <w:tcW w:w="1134" w:type="dxa"/>
        </w:tcPr>
        <w:p w:rsidR="0038566A" w:rsidRPr="00451BF5" w:rsidRDefault="0038566A" w:rsidP="003839ED">
          <w:pPr>
            <w:spacing w:line="240" w:lineRule="exact"/>
            <w:jc w:val="right"/>
            <w:rPr>
              <w:rStyle w:val="PageNumber"/>
            </w:rPr>
          </w:pPr>
        </w:p>
      </w:tc>
    </w:tr>
  </w:tbl>
  <w:p w:rsidR="0038566A" w:rsidRDefault="0038566A">
    <w:pPr>
      <w:pStyle w:val="FooterDraft"/>
      <w:ind w:right="360" w:firstLine="360"/>
    </w:pPr>
  </w:p>
  <w:p w:rsidR="0038566A" w:rsidRDefault="0038566A">
    <w:pPr>
      <w:pStyle w:val="FooterInf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38566A">
      <w:tc>
        <w:tcPr>
          <w:tcW w:w="1134" w:type="dxa"/>
        </w:tcPr>
        <w:p w:rsidR="0038566A" w:rsidRDefault="0038566A" w:rsidP="003839ED">
          <w:pPr>
            <w:spacing w:line="240" w:lineRule="exact"/>
          </w:pPr>
        </w:p>
      </w:tc>
      <w:tc>
        <w:tcPr>
          <w:tcW w:w="6095" w:type="dxa"/>
        </w:tcPr>
        <w:p w:rsidR="0038566A" w:rsidRPr="004F5D6D" w:rsidRDefault="0038566A" w:rsidP="00852F8D">
          <w:pPr>
            <w:pStyle w:val="FooterCitation"/>
          </w:pPr>
          <w:r>
            <w:t>Radiocommunications (Low Interference Potential Devices) Class Licence Variation Notice 2013 (No. 1)</w:t>
          </w:r>
        </w:p>
      </w:tc>
      <w:tc>
        <w:tcPr>
          <w:tcW w:w="1134" w:type="dxa"/>
        </w:tcPr>
        <w:p w:rsidR="0038566A" w:rsidRPr="003839ED" w:rsidRDefault="003B4346" w:rsidP="003839ED">
          <w:pPr>
            <w:spacing w:line="240" w:lineRule="exact"/>
            <w:jc w:val="right"/>
            <w:rPr>
              <w:rStyle w:val="PageNumber"/>
              <w:rFonts w:cs="Arial"/>
              <w:szCs w:val="22"/>
            </w:rPr>
          </w:pPr>
          <w:r w:rsidRPr="003839ED">
            <w:rPr>
              <w:rStyle w:val="PageNumber"/>
              <w:rFonts w:cs="Arial"/>
              <w:szCs w:val="22"/>
            </w:rPr>
            <w:fldChar w:fldCharType="begin"/>
          </w:r>
          <w:r w:rsidR="0038566A" w:rsidRPr="003839ED">
            <w:rPr>
              <w:rStyle w:val="PageNumber"/>
              <w:rFonts w:cs="Arial"/>
              <w:szCs w:val="22"/>
            </w:rPr>
            <w:instrText xml:space="preserve">PAGE  </w:instrText>
          </w:r>
          <w:r w:rsidRPr="003839ED">
            <w:rPr>
              <w:rStyle w:val="PageNumber"/>
              <w:rFonts w:cs="Arial"/>
              <w:szCs w:val="22"/>
            </w:rPr>
            <w:fldChar w:fldCharType="separate"/>
          </w:r>
          <w:r w:rsidR="00AB1E92">
            <w:rPr>
              <w:rStyle w:val="PageNumber"/>
              <w:rFonts w:cs="Arial"/>
              <w:noProof/>
              <w:szCs w:val="22"/>
            </w:rPr>
            <w:t>3</w:t>
          </w:r>
          <w:r w:rsidRPr="003839ED">
            <w:rPr>
              <w:rStyle w:val="PageNumber"/>
              <w:rFonts w:cs="Arial"/>
              <w:szCs w:val="22"/>
            </w:rPr>
            <w:fldChar w:fldCharType="end"/>
          </w:r>
        </w:p>
      </w:tc>
    </w:tr>
  </w:tbl>
  <w:p w:rsidR="0038566A" w:rsidRDefault="0038566A">
    <w:pPr>
      <w:pStyle w:val="FooterDraft"/>
    </w:pPr>
  </w:p>
  <w:p w:rsidR="0038566A" w:rsidRDefault="0038566A">
    <w:pPr>
      <w:pStyle w:val="FooterInf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38566A">
      <w:tc>
        <w:tcPr>
          <w:tcW w:w="1134" w:type="dxa"/>
          <w:shd w:val="clear" w:color="auto" w:fill="auto"/>
        </w:tcPr>
        <w:p w:rsidR="0038566A" w:rsidRPr="003D7214" w:rsidRDefault="003B4346">
          <w:pPr>
            <w:spacing w:line="240" w:lineRule="exact"/>
            <w:rPr>
              <w:rFonts w:ascii="Arial" w:hAnsi="Arial" w:cs="Arial"/>
              <w:sz w:val="22"/>
              <w:szCs w:val="22"/>
            </w:rPr>
          </w:pPr>
          <w:r w:rsidRPr="003D7214">
            <w:rPr>
              <w:rStyle w:val="PageNumber"/>
              <w:rFonts w:cs="Arial"/>
            </w:rPr>
            <w:fldChar w:fldCharType="begin"/>
          </w:r>
          <w:r w:rsidR="0038566A" w:rsidRPr="003D7214">
            <w:rPr>
              <w:rStyle w:val="PageNumber"/>
              <w:rFonts w:cs="Arial"/>
            </w:rPr>
            <w:instrText xml:space="preserve">PAGE  </w:instrText>
          </w:r>
          <w:r w:rsidRPr="003D7214">
            <w:rPr>
              <w:rStyle w:val="PageNumber"/>
              <w:rFonts w:cs="Arial"/>
            </w:rPr>
            <w:fldChar w:fldCharType="separate"/>
          </w:r>
          <w:r w:rsidR="0038566A">
            <w:rPr>
              <w:rStyle w:val="PageNumber"/>
              <w:rFonts w:cs="Arial"/>
              <w:noProof/>
            </w:rPr>
            <w:t>4</w:t>
          </w:r>
          <w:r w:rsidRPr="003D7214">
            <w:rPr>
              <w:rStyle w:val="PageNumber"/>
              <w:rFonts w:cs="Arial"/>
            </w:rPr>
            <w:fldChar w:fldCharType="end"/>
          </w:r>
        </w:p>
      </w:tc>
      <w:tc>
        <w:tcPr>
          <w:tcW w:w="6095" w:type="dxa"/>
          <w:shd w:val="clear" w:color="auto" w:fill="auto"/>
        </w:tcPr>
        <w:p w:rsidR="0038566A" w:rsidRPr="004F5D6D" w:rsidRDefault="003B4346">
          <w:pPr>
            <w:pStyle w:val="FooterCitation"/>
          </w:pPr>
          <w:r>
            <w:fldChar w:fldCharType="begin"/>
          </w:r>
          <w:r w:rsidR="00CC1B8F">
            <w:instrText xml:space="preserve"> REF  Citation\*charformat </w:instrText>
          </w:r>
          <w:r>
            <w:fldChar w:fldCharType="separate"/>
          </w:r>
          <w:r w:rsidR="000118FA">
            <w:t>Radiocommunications (Low Interference Potential Devices) Class Licence Variation Notice 2013 (No. 1)</w:t>
          </w:r>
          <w:r>
            <w:fldChar w:fldCharType="end"/>
          </w:r>
        </w:p>
      </w:tc>
      <w:tc>
        <w:tcPr>
          <w:tcW w:w="1134" w:type="dxa"/>
          <w:shd w:val="clear" w:color="auto" w:fill="auto"/>
        </w:tcPr>
        <w:p w:rsidR="0038566A" w:rsidRPr="00451BF5" w:rsidRDefault="0038566A">
          <w:pPr>
            <w:spacing w:line="240" w:lineRule="exact"/>
            <w:jc w:val="right"/>
            <w:rPr>
              <w:rStyle w:val="PageNumber"/>
            </w:rPr>
          </w:pPr>
        </w:p>
      </w:tc>
    </w:tr>
  </w:tbl>
  <w:p w:rsidR="0038566A" w:rsidRDefault="0038566A">
    <w:pPr>
      <w:pStyle w:val="FooterDraft"/>
      <w:ind w:right="360" w:firstLine="360"/>
    </w:pPr>
  </w:p>
  <w:p w:rsidR="0038566A" w:rsidRDefault="0038566A">
    <w:pPr>
      <w:pStyle w:val="FooterInfo"/>
    </w:pPr>
  </w:p>
  <w:p w:rsidR="0038566A" w:rsidRPr="0055794B" w:rsidRDefault="0038566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spacing w:line="200" w:lineRule="exact"/>
    </w:pPr>
  </w:p>
  <w:tbl>
    <w:tblPr>
      <w:tblW w:w="0" w:type="auto"/>
      <w:tblBorders>
        <w:top w:val="single" w:sz="4" w:space="0" w:color="auto"/>
      </w:tblBorders>
      <w:tblLayout w:type="fixed"/>
      <w:tblLook w:val="01E0"/>
    </w:tblPr>
    <w:tblGrid>
      <w:gridCol w:w="1134"/>
      <w:gridCol w:w="6095"/>
      <w:gridCol w:w="1134"/>
    </w:tblGrid>
    <w:tr w:rsidR="0038566A">
      <w:tc>
        <w:tcPr>
          <w:tcW w:w="1134" w:type="dxa"/>
          <w:shd w:val="clear" w:color="auto" w:fill="auto"/>
        </w:tcPr>
        <w:p w:rsidR="0038566A" w:rsidRDefault="0038566A">
          <w:pPr>
            <w:spacing w:line="240" w:lineRule="exact"/>
          </w:pPr>
        </w:p>
      </w:tc>
      <w:tc>
        <w:tcPr>
          <w:tcW w:w="6095" w:type="dxa"/>
          <w:shd w:val="clear" w:color="auto" w:fill="auto"/>
        </w:tcPr>
        <w:p w:rsidR="0038566A" w:rsidRPr="004F5D6D" w:rsidRDefault="003B4346">
          <w:pPr>
            <w:pStyle w:val="FooterCitation"/>
          </w:pPr>
          <w:r>
            <w:fldChar w:fldCharType="begin"/>
          </w:r>
          <w:r w:rsidR="00CC1B8F">
            <w:instrText xml:space="preserve"> REF  Citation\*charformat </w:instrText>
          </w:r>
          <w:r>
            <w:fldChar w:fldCharType="separate"/>
          </w:r>
          <w:r w:rsidR="000118FA">
            <w:t>Radiocommunications (Low Interference Potential Devices) Class Licence Variation Notice 2013 (No. 1)</w:t>
          </w:r>
          <w:r>
            <w:fldChar w:fldCharType="end"/>
          </w:r>
        </w:p>
      </w:tc>
      <w:tc>
        <w:tcPr>
          <w:tcW w:w="1134" w:type="dxa"/>
          <w:shd w:val="clear" w:color="auto" w:fill="auto"/>
        </w:tcPr>
        <w:p w:rsidR="0038566A" w:rsidRPr="003D7214" w:rsidRDefault="003B4346">
          <w:pPr>
            <w:spacing w:line="240" w:lineRule="exact"/>
            <w:jc w:val="right"/>
            <w:rPr>
              <w:rStyle w:val="PageNumber"/>
              <w:rFonts w:cs="Arial"/>
            </w:rPr>
          </w:pPr>
          <w:r w:rsidRPr="003D7214">
            <w:rPr>
              <w:rStyle w:val="PageNumber"/>
              <w:rFonts w:cs="Arial"/>
            </w:rPr>
            <w:fldChar w:fldCharType="begin"/>
          </w:r>
          <w:r w:rsidR="0038566A" w:rsidRPr="003D7214">
            <w:rPr>
              <w:rStyle w:val="PageNumber"/>
              <w:rFonts w:cs="Arial"/>
            </w:rPr>
            <w:instrText xml:space="preserve">PAGE  </w:instrText>
          </w:r>
          <w:r w:rsidRPr="003D7214">
            <w:rPr>
              <w:rStyle w:val="PageNumber"/>
              <w:rFonts w:cs="Arial"/>
            </w:rPr>
            <w:fldChar w:fldCharType="separate"/>
          </w:r>
          <w:r w:rsidR="0038566A">
            <w:rPr>
              <w:rStyle w:val="PageNumber"/>
              <w:rFonts w:cs="Arial"/>
              <w:noProof/>
            </w:rPr>
            <w:t>5</w:t>
          </w:r>
          <w:r w:rsidRPr="003D7214">
            <w:rPr>
              <w:rStyle w:val="PageNumber"/>
              <w:rFonts w:cs="Arial"/>
            </w:rPr>
            <w:fldChar w:fldCharType="end"/>
          </w:r>
        </w:p>
      </w:tc>
    </w:tr>
  </w:tbl>
  <w:p w:rsidR="0038566A" w:rsidRDefault="0038566A">
    <w:pPr>
      <w:pStyle w:val="FooterDraft"/>
    </w:pPr>
  </w:p>
  <w:p w:rsidR="0038566A" w:rsidRDefault="0038566A">
    <w:pPr>
      <w:pStyle w:val="FooterInfo"/>
    </w:pPr>
  </w:p>
  <w:p w:rsidR="0038566A" w:rsidRPr="00C83A6D" w:rsidRDefault="00385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516" w:rsidRDefault="00CA0516" w:rsidP="004356A1">
      <w:r>
        <w:separator/>
      </w:r>
    </w:p>
  </w:footnote>
  <w:footnote w:type="continuationSeparator" w:id="0">
    <w:p w:rsidR="00CA0516" w:rsidRDefault="00CA0516" w:rsidP="00435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38566A" w:rsidRPr="003839ED">
      <w:tc>
        <w:tcPr>
          <w:tcW w:w="8385" w:type="dxa"/>
        </w:tcPr>
        <w:p w:rsidR="0038566A" w:rsidRDefault="0038566A">
          <w:pPr>
            <w:pStyle w:val="HeaderLiteEven"/>
          </w:pPr>
        </w:p>
      </w:tc>
    </w:tr>
    <w:tr w:rsidR="0038566A" w:rsidRPr="003839ED">
      <w:tc>
        <w:tcPr>
          <w:tcW w:w="8385" w:type="dxa"/>
        </w:tcPr>
        <w:p w:rsidR="0038566A" w:rsidRDefault="0038566A">
          <w:pPr>
            <w:pStyle w:val="HeaderLiteEven"/>
          </w:pPr>
        </w:p>
      </w:tc>
    </w:tr>
    <w:tr w:rsidR="0038566A" w:rsidRPr="003839ED">
      <w:tc>
        <w:tcPr>
          <w:tcW w:w="8385" w:type="dxa"/>
        </w:tcPr>
        <w:p w:rsidR="0038566A" w:rsidRDefault="0038566A">
          <w:pPr>
            <w:pStyle w:val="HeaderBoldEven"/>
          </w:pPr>
        </w:p>
      </w:tc>
    </w:tr>
  </w:tbl>
  <w:p w:rsidR="0038566A" w:rsidRDefault="0038566A"/>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38566A">
      <w:tc>
        <w:tcPr>
          <w:tcW w:w="1494" w:type="dxa"/>
        </w:tcPr>
        <w:p w:rsidR="0038566A" w:rsidRDefault="0038566A" w:rsidP="00BD545A">
          <w:pPr>
            <w:pStyle w:val="HeaderLiteEven"/>
          </w:pPr>
        </w:p>
      </w:tc>
      <w:tc>
        <w:tcPr>
          <w:tcW w:w="6891" w:type="dxa"/>
        </w:tcPr>
        <w:p w:rsidR="0038566A" w:rsidRDefault="0038566A" w:rsidP="00BD545A">
          <w:pPr>
            <w:pStyle w:val="HeaderLiteEven"/>
          </w:pPr>
        </w:p>
      </w:tc>
    </w:tr>
    <w:tr w:rsidR="0038566A">
      <w:tc>
        <w:tcPr>
          <w:tcW w:w="1494" w:type="dxa"/>
        </w:tcPr>
        <w:p w:rsidR="0038566A" w:rsidRDefault="0038566A" w:rsidP="00BD545A">
          <w:pPr>
            <w:pStyle w:val="HeaderLiteEven"/>
          </w:pPr>
        </w:p>
      </w:tc>
      <w:tc>
        <w:tcPr>
          <w:tcW w:w="6891" w:type="dxa"/>
        </w:tcPr>
        <w:p w:rsidR="0038566A" w:rsidRDefault="0038566A" w:rsidP="00BD545A">
          <w:pPr>
            <w:pStyle w:val="HeaderLiteEven"/>
          </w:pPr>
        </w:p>
      </w:tc>
    </w:tr>
    <w:tr w:rsidR="0038566A">
      <w:tc>
        <w:tcPr>
          <w:tcW w:w="8385" w:type="dxa"/>
          <w:gridSpan w:val="2"/>
          <w:tcBorders>
            <w:bottom w:val="single" w:sz="4" w:space="0" w:color="auto"/>
          </w:tcBorders>
        </w:tcPr>
        <w:p w:rsidR="0038566A" w:rsidRDefault="0038566A" w:rsidP="00BD545A">
          <w:pPr>
            <w:pStyle w:val="HeaderBoldEven"/>
          </w:pPr>
        </w:p>
      </w:tc>
    </w:tr>
  </w:tbl>
  <w:p w:rsidR="0038566A" w:rsidRDefault="0038566A" w:rsidP="00BD545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38566A">
      <w:tc>
        <w:tcPr>
          <w:tcW w:w="6914" w:type="dxa"/>
        </w:tcPr>
        <w:p w:rsidR="0038566A" w:rsidRDefault="0038566A" w:rsidP="00BD545A">
          <w:pPr>
            <w:pStyle w:val="HeaderLiteOdd"/>
          </w:pPr>
        </w:p>
      </w:tc>
      <w:tc>
        <w:tcPr>
          <w:tcW w:w="1471" w:type="dxa"/>
        </w:tcPr>
        <w:p w:rsidR="0038566A" w:rsidRDefault="0038566A" w:rsidP="00BD545A">
          <w:pPr>
            <w:pStyle w:val="HeaderLiteOdd"/>
          </w:pPr>
        </w:p>
      </w:tc>
    </w:tr>
    <w:tr w:rsidR="0038566A">
      <w:tc>
        <w:tcPr>
          <w:tcW w:w="6914" w:type="dxa"/>
        </w:tcPr>
        <w:p w:rsidR="0038566A" w:rsidRDefault="0038566A" w:rsidP="00BD545A">
          <w:pPr>
            <w:pStyle w:val="HeaderLiteOdd"/>
          </w:pPr>
        </w:p>
      </w:tc>
      <w:tc>
        <w:tcPr>
          <w:tcW w:w="1471" w:type="dxa"/>
        </w:tcPr>
        <w:p w:rsidR="0038566A" w:rsidRDefault="0038566A" w:rsidP="00BD545A">
          <w:pPr>
            <w:pStyle w:val="HeaderLiteOdd"/>
          </w:pPr>
        </w:p>
      </w:tc>
    </w:tr>
    <w:tr w:rsidR="0038566A">
      <w:tc>
        <w:tcPr>
          <w:tcW w:w="8385" w:type="dxa"/>
          <w:gridSpan w:val="2"/>
          <w:tcBorders>
            <w:bottom w:val="single" w:sz="4" w:space="0" w:color="auto"/>
          </w:tcBorders>
        </w:tcPr>
        <w:p w:rsidR="0038566A" w:rsidRDefault="0038566A" w:rsidP="00BD545A">
          <w:pPr>
            <w:pStyle w:val="HeaderBoldOdd"/>
          </w:pPr>
        </w:p>
      </w:tc>
    </w:tr>
  </w:tbl>
  <w:p w:rsidR="0038566A" w:rsidRDefault="0038566A" w:rsidP="00BD54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38566A" w:rsidRPr="003839ED">
      <w:tc>
        <w:tcPr>
          <w:tcW w:w="8385" w:type="dxa"/>
        </w:tcPr>
        <w:p w:rsidR="0038566A" w:rsidRDefault="0038566A"/>
      </w:tc>
    </w:tr>
    <w:tr w:rsidR="0038566A" w:rsidRPr="003839ED">
      <w:tc>
        <w:tcPr>
          <w:tcW w:w="8385" w:type="dxa"/>
        </w:tcPr>
        <w:p w:rsidR="0038566A" w:rsidRDefault="0038566A"/>
      </w:tc>
    </w:tr>
    <w:tr w:rsidR="0038566A" w:rsidRPr="003839ED">
      <w:tc>
        <w:tcPr>
          <w:tcW w:w="8385" w:type="dxa"/>
        </w:tcPr>
        <w:p w:rsidR="0038566A" w:rsidRDefault="0038566A"/>
      </w:tc>
    </w:tr>
  </w:tbl>
  <w:p w:rsidR="0038566A" w:rsidRDefault="0038566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38566A">
      <w:trPr>
        <w:cantSplit/>
      </w:trPr>
      <w:tc>
        <w:tcPr>
          <w:tcW w:w="1494" w:type="dxa"/>
        </w:tcPr>
        <w:p w:rsidR="0038566A" w:rsidRDefault="0038566A">
          <w:pPr>
            <w:pStyle w:val="HeaderLiteEven"/>
          </w:pPr>
        </w:p>
      </w:tc>
      <w:tc>
        <w:tcPr>
          <w:tcW w:w="6891" w:type="dxa"/>
          <w:vAlign w:val="bottom"/>
        </w:tcPr>
        <w:p w:rsidR="0038566A" w:rsidRDefault="0038566A">
          <w:pPr>
            <w:pStyle w:val="HeaderLiteEven"/>
          </w:pPr>
        </w:p>
      </w:tc>
    </w:tr>
    <w:tr w:rsidR="0038566A">
      <w:trPr>
        <w:cantSplit/>
      </w:trPr>
      <w:tc>
        <w:tcPr>
          <w:tcW w:w="1494" w:type="dxa"/>
        </w:tcPr>
        <w:p w:rsidR="0038566A" w:rsidRDefault="0038566A">
          <w:pPr>
            <w:pStyle w:val="HeaderLiteEven"/>
          </w:pPr>
        </w:p>
      </w:tc>
      <w:tc>
        <w:tcPr>
          <w:tcW w:w="6891" w:type="dxa"/>
          <w:vAlign w:val="bottom"/>
        </w:tcPr>
        <w:p w:rsidR="0038566A" w:rsidRDefault="0038566A">
          <w:pPr>
            <w:pStyle w:val="HeaderLiteEven"/>
          </w:pPr>
        </w:p>
      </w:tc>
    </w:tr>
    <w:tr w:rsidR="0038566A" w:rsidRPr="003839ED">
      <w:trPr>
        <w:cantSplit/>
      </w:trPr>
      <w:tc>
        <w:tcPr>
          <w:tcW w:w="8385" w:type="dxa"/>
          <w:gridSpan w:val="2"/>
        </w:tcPr>
        <w:p w:rsidR="0038566A" w:rsidRPr="00050501" w:rsidRDefault="0038566A">
          <w:pPr>
            <w:pStyle w:val="HeaderBoldEven"/>
          </w:pPr>
          <w:r>
            <w:t xml:space="preserve">Section </w:t>
          </w:r>
          <w:r w:rsidR="003B4346" w:rsidRPr="00050501">
            <w:fldChar w:fldCharType="begin"/>
          </w:r>
          <w:r w:rsidRPr="00050501">
            <w:instrText xml:space="preserve"> If </w:instrText>
          </w:r>
          <w:fldSimple w:instr=" STYLEREF CharSectnoAm \*Charformat ">
            <w:r w:rsidR="00AB1E92">
              <w:rPr>
                <w:noProof/>
              </w:rPr>
              <w:instrText>3</w:instrText>
            </w:r>
          </w:fldSimple>
          <w:r w:rsidRPr="00050501">
            <w:instrText xml:space="preserve"> &lt;&gt; "Error*" </w:instrText>
          </w:r>
          <w:fldSimple w:instr=" STYLEREF CharSectnoAm \*Charformat ">
            <w:r w:rsidR="00AB1E92">
              <w:rPr>
                <w:noProof/>
              </w:rPr>
              <w:instrText>3</w:instrText>
            </w:r>
          </w:fldSimple>
          <w:r w:rsidRPr="00050501">
            <w:instrText xml:space="preserve"> </w:instrText>
          </w:r>
          <w:r w:rsidR="003B4346" w:rsidRPr="00050501">
            <w:fldChar w:fldCharType="separate"/>
          </w:r>
          <w:r w:rsidR="00AB1E92">
            <w:rPr>
              <w:noProof/>
            </w:rPr>
            <w:t>3</w:t>
          </w:r>
          <w:r w:rsidR="003B4346" w:rsidRPr="00050501">
            <w:fldChar w:fldCharType="end"/>
          </w:r>
        </w:p>
      </w:tc>
    </w:tr>
  </w:tbl>
  <w:p w:rsidR="0038566A" w:rsidRDefault="003856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38566A">
      <w:trPr>
        <w:cantSplit/>
      </w:trPr>
      <w:tc>
        <w:tcPr>
          <w:tcW w:w="6914" w:type="dxa"/>
          <w:vAlign w:val="bottom"/>
        </w:tcPr>
        <w:p w:rsidR="0038566A" w:rsidRDefault="0038566A">
          <w:pPr>
            <w:pStyle w:val="HeaderLiteOdd"/>
          </w:pPr>
        </w:p>
      </w:tc>
      <w:tc>
        <w:tcPr>
          <w:tcW w:w="1485" w:type="dxa"/>
        </w:tcPr>
        <w:p w:rsidR="0038566A" w:rsidRDefault="0038566A">
          <w:pPr>
            <w:pStyle w:val="HeaderLiteOdd"/>
          </w:pPr>
        </w:p>
      </w:tc>
    </w:tr>
    <w:tr w:rsidR="0038566A">
      <w:trPr>
        <w:cantSplit/>
      </w:trPr>
      <w:tc>
        <w:tcPr>
          <w:tcW w:w="6914" w:type="dxa"/>
          <w:vAlign w:val="bottom"/>
        </w:tcPr>
        <w:p w:rsidR="0038566A" w:rsidRDefault="0038566A">
          <w:pPr>
            <w:pStyle w:val="HeaderLiteOdd"/>
          </w:pPr>
        </w:p>
      </w:tc>
      <w:tc>
        <w:tcPr>
          <w:tcW w:w="1485" w:type="dxa"/>
        </w:tcPr>
        <w:p w:rsidR="0038566A" w:rsidRDefault="0038566A">
          <w:pPr>
            <w:pStyle w:val="HeaderLiteOdd"/>
          </w:pPr>
        </w:p>
      </w:tc>
    </w:tr>
    <w:tr w:rsidR="0038566A" w:rsidRPr="003839ED">
      <w:trPr>
        <w:cantSplit/>
      </w:trPr>
      <w:tc>
        <w:tcPr>
          <w:tcW w:w="8399" w:type="dxa"/>
          <w:gridSpan w:val="2"/>
        </w:tcPr>
        <w:p w:rsidR="0038566A" w:rsidRPr="00050501" w:rsidRDefault="0038566A">
          <w:pPr>
            <w:pStyle w:val="HeaderBoldOdd"/>
          </w:pPr>
          <w:r>
            <w:t xml:space="preserve">Section </w:t>
          </w:r>
          <w:r w:rsidR="003B4346" w:rsidRPr="00050501">
            <w:fldChar w:fldCharType="begin"/>
          </w:r>
          <w:r w:rsidRPr="00050501">
            <w:instrText xml:space="preserve"> If </w:instrText>
          </w:r>
          <w:fldSimple w:instr=" STYLEREF CharSectnoAm \*Charformat \l ">
            <w:r w:rsidR="000118FA">
              <w:rPr>
                <w:noProof/>
              </w:rPr>
              <w:instrText>1</w:instrText>
            </w:r>
          </w:fldSimple>
          <w:r w:rsidRPr="00050501">
            <w:instrText xml:space="preserve"> &lt;&gt; "Error*" </w:instrText>
          </w:r>
          <w:fldSimple w:instr=" STYLEREF CharSectnoAm \*Charformat \l ">
            <w:r w:rsidR="000118FA">
              <w:rPr>
                <w:noProof/>
              </w:rPr>
              <w:instrText>1</w:instrText>
            </w:r>
          </w:fldSimple>
          <w:r w:rsidRPr="00050501">
            <w:instrText xml:space="preserve"> </w:instrText>
          </w:r>
          <w:r w:rsidR="003B4346" w:rsidRPr="00050501">
            <w:fldChar w:fldCharType="separate"/>
          </w:r>
          <w:r w:rsidR="000118FA">
            <w:rPr>
              <w:noProof/>
            </w:rPr>
            <w:t>1</w:t>
          </w:r>
          <w:r w:rsidR="003B4346" w:rsidRPr="00050501">
            <w:fldChar w:fldCharType="end"/>
          </w:r>
        </w:p>
      </w:tc>
    </w:tr>
  </w:tbl>
  <w:p w:rsidR="0038566A" w:rsidRDefault="003856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38566A">
      <w:trPr>
        <w:cantSplit/>
      </w:trPr>
      <w:tc>
        <w:tcPr>
          <w:tcW w:w="1494" w:type="dxa"/>
        </w:tcPr>
        <w:p w:rsidR="0038566A" w:rsidRDefault="003B4346">
          <w:pPr>
            <w:pStyle w:val="HeaderLiteEven"/>
          </w:pPr>
          <w:r>
            <w:fldChar w:fldCharType="begin"/>
          </w:r>
          <w:r w:rsidR="0038566A">
            <w:instrText xml:space="preserve"> If </w:instrText>
          </w:r>
          <w:fldSimple w:instr=" STYLEREF CharAmSchNo \*Charformat ">
            <w:r w:rsidR="00AB1E92">
              <w:rPr>
                <w:noProof/>
              </w:rPr>
              <w:instrText>Schedule 1</w:instrText>
            </w:r>
          </w:fldSimple>
          <w:r w:rsidR="0038566A">
            <w:instrText xml:space="preserve"> &lt;&gt; "Error*" </w:instrText>
          </w:r>
          <w:fldSimple w:instr=" STYLEREF CharAmSchNo \*Charformat ">
            <w:r w:rsidR="00AB1E92">
              <w:rPr>
                <w:noProof/>
              </w:rPr>
              <w:instrText>Schedule 1</w:instrText>
            </w:r>
          </w:fldSimple>
          <w:r w:rsidR="0038566A">
            <w:instrText xml:space="preserve"> </w:instrText>
          </w:r>
          <w:r>
            <w:fldChar w:fldCharType="separate"/>
          </w:r>
          <w:r w:rsidR="00AB1E92">
            <w:rPr>
              <w:noProof/>
            </w:rPr>
            <w:t>Schedule 1</w:t>
          </w:r>
          <w:r>
            <w:fldChar w:fldCharType="end"/>
          </w:r>
        </w:p>
      </w:tc>
      <w:tc>
        <w:tcPr>
          <w:tcW w:w="6891" w:type="dxa"/>
          <w:vAlign w:val="bottom"/>
        </w:tcPr>
        <w:p w:rsidR="0038566A" w:rsidRDefault="003B4346">
          <w:pPr>
            <w:pStyle w:val="HeaderLiteEven"/>
          </w:pPr>
          <w:r>
            <w:fldChar w:fldCharType="begin"/>
          </w:r>
          <w:r w:rsidR="0038566A">
            <w:instrText xml:space="preserve"> If </w:instrText>
          </w:r>
          <w:fldSimple w:instr=" STYLEREF CharAmSchText \*Charformat ">
            <w:r w:rsidR="00AB1E92">
              <w:rPr>
                <w:noProof/>
              </w:rPr>
              <w:instrText>Variations</w:instrText>
            </w:r>
          </w:fldSimple>
          <w:r w:rsidR="0038566A">
            <w:instrText xml:space="preserve"> &lt;&gt; "Error*" </w:instrText>
          </w:r>
          <w:fldSimple w:instr=" STYLEREF CharAmSchText \*Charformat ">
            <w:r w:rsidR="00AB1E92">
              <w:rPr>
                <w:noProof/>
              </w:rPr>
              <w:instrText>Variations</w:instrText>
            </w:r>
          </w:fldSimple>
          <w:r w:rsidR="0038566A">
            <w:instrText xml:space="preserve"> </w:instrText>
          </w:r>
          <w:r>
            <w:fldChar w:fldCharType="separate"/>
          </w:r>
          <w:r w:rsidR="00AB1E92">
            <w:rPr>
              <w:noProof/>
            </w:rPr>
            <w:t>Variations</w:t>
          </w:r>
          <w:r>
            <w:fldChar w:fldCharType="end"/>
          </w:r>
        </w:p>
      </w:tc>
    </w:tr>
    <w:tr w:rsidR="0038566A">
      <w:trPr>
        <w:cantSplit/>
      </w:trPr>
      <w:tc>
        <w:tcPr>
          <w:tcW w:w="1494" w:type="dxa"/>
        </w:tcPr>
        <w:p w:rsidR="0038566A" w:rsidRDefault="0038566A">
          <w:pPr>
            <w:pStyle w:val="HeaderLiteEven"/>
          </w:pPr>
        </w:p>
      </w:tc>
      <w:tc>
        <w:tcPr>
          <w:tcW w:w="6891" w:type="dxa"/>
          <w:vAlign w:val="bottom"/>
        </w:tcPr>
        <w:p w:rsidR="0038566A" w:rsidRDefault="0038566A">
          <w:pPr>
            <w:pStyle w:val="HeaderLiteEven"/>
          </w:pPr>
        </w:p>
      </w:tc>
    </w:tr>
    <w:tr w:rsidR="0038566A" w:rsidRPr="003839ED">
      <w:trPr>
        <w:cantSplit/>
      </w:trPr>
      <w:tc>
        <w:tcPr>
          <w:tcW w:w="8385" w:type="dxa"/>
          <w:gridSpan w:val="2"/>
        </w:tcPr>
        <w:p w:rsidR="0038566A" w:rsidRDefault="0038566A">
          <w:pPr>
            <w:pStyle w:val="HeaderBoldEven"/>
          </w:pPr>
        </w:p>
      </w:tc>
    </w:tr>
  </w:tbl>
  <w:p w:rsidR="0038566A" w:rsidRDefault="0038566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6914"/>
      <w:gridCol w:w="1471"/>
    </w:tblGrid>
    <w:tr w:rsidR="0038566A">
      <w:trPr>
        <w:cantSplit/>
      </w:trPr>
      <w:tc>
        <w:tcPr>
          <w:tcW w:w="6914" w:type="dxa"/>
          <w:vAlign w:val="bottom"/>
        </w:tcPr>
        <w:p w:rsidR="0038566A" w:rsidRDefault="003B4346">
          <w:pPr>
            <w:pStyle w:val="HeaderLiteOdd"/>
          </w:pPr>
          <w:r>
            <w:fldChar w:fldCharType="begin"/>
          </w:r>
          <w:r w:rsidR="0038566A">
            <w:instrText xml:space="preserve"> If </w:instrText>
          </w:r>
          <w:fldSimple w:instr=" STYLEREF CharAmSchText \*Charformat \l ">
            <w:r w:rsidR="00AB1E92">
              <w:rPr>
                <w:noProof/>
              </w:rPr>
              <w:instrText>Variations</w:instrText>
            </w:r>
          </w:fldSimple>
          <w:r w:rsidR="0038566A">
            <w:instrText xml:space="preserve"> &lt;&gt; "Error*" </w:instrText>
          </w:r>
          <w:fldSimple w:instr=" STYLEREF CharAmSchText \*Charformat \l ">
            <w:r w:rsidR="00AB1E92">
              <w:rPr>
                <w:noProof/>
              </w:rPr>
              <w:instrText>Variations</w:instrText>
            </w:r>
          </w:fldSimple>
          <w:r w:rsidR="0038566A">
            <w:instrText xml:space="preserve"> </w:instrText>
          </w:r>
          <w:r>
            <w:fldChar w:fldCharType="separate"/>
          </w:r>
          <w:r w:rsidR="00AB1E92">
            <w:rPr>
              <w:noProof/>
            </w:rPr>
            <w:t>Variations</w:t>
          </w:r>
          <w:r>
            <w:fldChar w:fldCharType="end"/>
          </w:r>
        </w:p>
      </w:tc>
      <w:tc>
        <w:tcPr>
          <w:tcW w:w="1471" w:type="dxa"/>
        </w:tcPr>
        <w:p w:rsidR="0038566A" w:rsidRDefault="003B4346">
          <w:pPr>
            <w:pStyle w:val="HeaderLiteOdd"/>
          </w:pPr>
          <w:r>
            <w:fldChar w:fldCharType="begin"/>
          </w:r>
          <w:r w:rsidR="0038566A">
            <w:instrText xml:space="preserve"> If </w:instrText>
          </w:r>
          <w:fldSimple w:instr=" STYLEREF CharAmSchNo \*Charformat \l ">
            <w:r w:rsidR="00AB1E92">
              <w:rPr>
                <w:noProof/>
              </w:rPr>
              <w:instrText>Schedule 1</w:instrText>
            </w:r>
          </w:fldSimple>
          <w:r w:rsidR="0038566A">
            <w:instrText xml:space="preserve"> &lt;&gt; "Error*" </w:instrText>
          </w:r>
          <w:fldSimple w:instr=" STYLEREF CharAmSchNo \*Charformat \l ">
            <w:r w:rsidR="00AB1E92">
              <w:rPr>
                <w:noProof/>
              </w:rPr>
              <w:instrText>Schedule 1</w:instrText>
            </w:r>
          </w:fldSimple>
          <w:r w:rsidR="0038566A">
            <w:instrText xml:space="preserve"> </w:instrText>
          </w:r>
          <w:r>
            <w:fldChar w:fldCharType="separate"/>
          </w:r>
          <w:r w:rsidR="00AB1E92">
            <w:rPr>
              <w:noProof/>
            </w:rPr>
            <w:t>Schedule 1</w:t>
          </w:r>
          <w:r>
            <w:fldChar w:fldCharType="end"/>
          </w:r>
        </w:p>
      </w:tc>
    </w:tr>
    <w:tr w:rsidR="0038566A">
      <w:trPr>
        <w:cantSplit/>
      </w:trPr>
      <w:tc>
        <w:tcPr>
          <w:tcW w:w="6914" w:type="dxa"/>
          <w:vAlign w:val="bottom"/>
        </w:tcPr>
        <w:p w:rsidR="0038566A" w:rsidRDefault="0038566A">
          <w:pPr>
            <w:pStyle w:val="HeaderLiteOdd"/>
          </w:pPr>
        </w:p>
      </w:tc>
      <w:tc>
        <w:tcPr>
          <w:tcW w:w="1471" w:type="dxa"/>
        </w:tcPr>
        <w:p w:rsidR="0038566A" w:rsidRDefault="0038566A">
          <w:pPr>
            <w:pStyle w:val="HeaderLiteOdd"/>
          </w:pPr>
        </w:p>
      </w:tc>
    </w:tr>
    <w:tr w:rsidR="0038566A" w:rsidRPr="003839ED">
      <w:trPr>
        <w:cantSplit/>
      </w:trPr>
      <w:tc>
        <w:tcPr>
          <w:tcW w:w="8385" w:type="dxa"/>
          <w:gridSpan w:val="2"/>
        </w:tcPr>
        <w:p w:rsidR="0038566A" w:rsidRDefault="0038566A">
          <w:pPr>
            <w:pStyle w:val="HeaderBoldOdd"/>
          </w:pPr>
        </w:p>
      </w:tc>
    </w:tr>
  </w:tbl>
  <w:p w:rsidR="0038566A" w:rsidRDefault="0038566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38566A" w:rsidRPr="00375ADF">
      <w:tc>
        <w:tcPr>
          <w:tcW w:w="8357" w:type="dxa"/>
        </w:tcPr>
        <w:p w:rsidR="0038566A" w:rsidRPr="00375ADF" w:rsidRDefault="0038566A">
          <w:pPr>
            <w:pStyle w:val="HeaderLiteEven"/>
          </w:pPr>
          <w:r>
            <w:t>Note</w:t>
          </w:r>
        </w:p>
      </w:tc>
    </w:tr>
    <w:tr w:rsidR="0038566A">
      <w:tc>
        <w:tcPr>
          <w:tcW w:w="8357" w:type="dxa"/>
        </w:tcPr>
        <w:p w:rsidR="0038566A" w:rsidRDefault="0038566A">
          <w:pPr>
            <w:pStyle w:val="HeaderLiteEven"/>
          </w:pPr>
        </w:p>
      </w:tc>
    </w:tr>
    <w:tr w:rsidR="0038566A">
      <w:tc>
        <w:tcPr>
          <w:tcW w:w="8357" w:type="dxa"/>
          <w:tcBorders>
            <w:bottom w:val="single" w:sz="4" w:space="0" w:color="auto"/>
          </w:tcBorders>
          <w:shd w:val="clear" w:color="auto" w:fill="auto"/>
        </w:tcPr>
        <w:p w:rsidR="0038566A" w:rsidRPr="000D4CDA" w:rsidRDefault="0038566A">
          <w:pPr>
            <w:pStyle w:val="HeaderBoldEven"/>
          </w:pPr>
        </w:p>
      </w:tc>
    </w:tr>
  </w:tbl>
  <w:p w:rsidR="0038566A" w:rsidRDefault="0038566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38566A" w:rsidRPr="00375ADF">
      <w:tc>
        <w:tcPr>
          <w:tcW w:w="8357" w:type="dxa"/>
        </w:tcPr>
        <w:p w:rsidR="0038566A" w:rsidRPr="00375ADF" w:rsidRDefault="0038566A">
          <w:pPr>
            <w:pStyle w:val="HeaderLiteOdd"/>
          </w:pPr>
          <w:r>
            <w:t>Note</w:t>
          </w:r>
        </w:p>
      </w:tc>
    </w:tr>
    <w:tr w:rsidR="0038566A">
      <w:tc>
        <w:tcPr>
          <w:tcW w:w="8357" w:type="dxa"/>
        </w:tcPr>
        <w:p w:rsidR="0038566A" w:rsidRDefault="0038566A">
          <w:pPr>
            <w:pStyle w:val="HeaderLiteOdd"/>
          </w:pPr>
        </w:p>
      </w:tc>
    </w:tr>
    <w:tr w:rsidR="0038566A">
      <w:tc>
        <w:tcPr>
          <w:tcW w:w="8357" w:type="dxa"/>
          <w:tcBorders>
            <w:bottom w:val="single" w:sz="4" w:space="0" w:color="auto"/>
          </w:tcBorders>
          <w:shd w:val="clear" w:color="auto" w:fill="auto"/>
        </w:tcPr>
        <w:p w:rsidR="0038566A" w:rsidRPr="000D4CDA" w:rsidRDefault="0038566A">
          <w:pPr>
            <w:pStyle w:val="HeaderBoldOdd"/>
          </w:pPr>
        </w:p>
      </w:tc>
    </w:tr>
  </w:tbl>
  <w:p w:rsidR="0038566A" w:rsidRDefault="0038566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6A" w:rsidRDefault="00385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3FE1A2A"/>
    <w:multiLevelType w:val="hybridMultilevel"/>
    <w:tmpl w:val="B7D4B750"/>
    <w:lvl w:ilvl="0" w:tplc="B1881BE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0808"/>
  <w:doNotTrackMoves/>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5FDA81E2-4D13-4384-8D74-66044128C3BA}"/>
    <w:docVar w:name="dgnword-eventsink" w:val="35057808"/>
  </w:docVars>
  <w:rsids>
    <w:rsidRoot w:val="00370DD7"/>
    <w:rsid w:val="00001559"/>
    <w:rsid w:val="000038A0"/>
    <w:rsid w:val="000118FA"/>
    <w:rsid w:val="0001259E"/>
    <w:rsid w:val="00012F8A"/>
    <w:rsid w:val="0001662A"/>
    <w:rsid w:val="00020108"/>
    <w:rsid w:val="00031B9D"/>
    <w:rsid w:val="00032F2C"/>
    <w:rsid w:val="00040090"/>
    <w:rsid w:val="000403D5"/>
    <w:rsid w:val="000427E4"/>
    <w:rsid w:val="00044D5C"/>
    <w:rsid w:val="00045BA4"/>
    <w:rsid w:val="00045F1B"/>
    <w:rsid w:val="00050501"/>
    <w:rsid w:val="000521B7"/>
    <w:rsid w:val="0005339D"/>
    <w:rsid w:val="00060076"/>
    <w:rsid w:val="000646EC"/>
    <w:rsid w:val="00065118"/>
    <w:rsid w:val="00065296"/>
    <w:rsid w:val="000715D1"/>
    <w:rsid w:val="00082916"/>
    <w:rsid w:val="00083189"/>
    <w:rsid w:val="0008560A"/>
    <w:rsid w:val="00091146"/>
    <w:rsid w:val="00095849"/>
    <w:rsid w:val="000A0788"/>
    <w:rsid w:val="000A0CCA"/>
    <w:rsid w:val="000A1742"/>
    <w:rsid w:val="000A2CCB"/>
    <w:rsid w:val="000A55CC"/>
    <w:rsid w:val="000A620C"/>
    <w:rsid w:val="000A7869"/>
    <w:rsid w:val="000B4121"/>
    <w:rsid w:val="000B51B3"/>
    <w:rsid w:val="000D1916"/>
    <w:rsid w:val="000E16EC"/>
    <w:rsid w:val="000E27E3"/>
    <w:rsid w:val="000E48BD"/>
    <w:rsid w:val="000E7494"/>
    <w:rsid w:val="001058AA"/>
    <w:rsid w:val="00105BB8"/>
    <w:rsid w:val="00111D90"/>
    <w:rsid w:val="00116422"/>
    <w:rsid w:val="00116989"/>
    <w:rsid w:val="00120ABC"/>
    <w:rsid w:val="001229DF"/>
    <w:rsid w:val="00125657"/>
    <w:rsid w:val="001312D8"/>
    <w:rsid w:val="001328CE"/>
    <w:rsid w:val="00134DDC"/>
    <w:rsid w:val="0013501F"/>
    <w:rsid w:val="00140090"/>
    <w:rsid w:val="001409F1"/>
    <w:rsid w:val="0014186A"/>
    <w:rsid w:val="00141CBA"/>
    <w:rsid w:val="00144DE3"/>
    <w:rsid w:val="00153195"/>
    <w:rsid w:val="00162609"/>
    <w:rsid w:val="00164935"/>
    <w:rsid w:val="00165D61"/>
    <w:rsid w:val="0017685B"/>
    <w:rsid w:val="001816ED"/>
    <w:rsid w:val="00185F83"/>
    <w:rsid w:val="00186360"/>
    <w:rsid w:val="00186E22"/>
    <w:rsid w:val="00187D63"/>
    <w:rsid w:val="00191FA5"/>
    <w:rsid w:val="00192C10"/>
    <w:rsid w:val="00193F32"/>
    <w:rsid w:val="001A20A1"/>
    <w:rsid w:val="001A479F"/>
    <w:rsid w:val="001A4B9F"/>
    <w:rsid w:val="001A4DD7"/>
    <w:rsid w:val="001A6C59"/>
    <w:rsid w:val="001C22F5"/>
    <w:rsid w:val="001C25FE"/>
    <w:rsid w:val="001C2842"/>
    <w:rsid w:val="001C7796"/>
    <w:rsid w:val="001D6D71"/>
    <w:rsid w:val="001E092D"/>
    <w:rsid w:val="001E1749"/>
    <w:rsid w:val="001E4597"/>
    <w:rsid w:val="001E765D"/>
    <w:rsid w:val="001F0091"/>
    <w:rsid w:val="001F108C"/>
    <w:rsid w:val="001F41C5"/>
    <w:rsid w:val="002015B2"/>
    <w:rsid w:val="00203232"/>
    <w:rsid w:val="00210652"/>
    <w:rsid w:val="00214B66"/>
    <w:rsid w:val="00214C3B"/>
    <w:rsid w:val="00222FD0"/>
    <w:rsid w:val="002252C7"/>
    <w:rsid w:val="0022734F"/>
    <w:rsid w:val="00227CDF"/>
    <w:rsid w:val="00233C57"/>
    <w:rsid w:val="0023489C"/>
    <w:rsid w:val="0024222C"/>
    <w:rsid w:val="00243601"/>
    <w:rsid w:val="00244C01"/>
    <w:rsid w:val="00246042"/>
    <w:rsid w:val="00252F17"/>
    <w:rsid w:val="00253DDD"/>
    <w:rsid w:val="00260912"/>
    <w:rsid w:val="00271A04"/>
    <w:rsid w:val="00275245"/>
    <w:rsid w:val="00275D63"/>
    <w:rsid w:val="00281E63"/>
    <w:rsid w:val="0028609E"/>
    <w:rsid w:val="00286CEA"/>
    <w:rsid w:val="00293BC3"/>
    <w:rsid w:val="002A0984"/>
    <w:rsid w:val="002A0B74"/>
    <w:rsid w:val="002A19B0"/>
    <w:rsid w:val="002A2050"/>
    <w:rsid w:val="002A37DA"/>
    <w:rsid w:val="002B1EBA"/>
    <w:rsid w:val="002B265A"/>
    <w:rsid w:val="002B3023"/>
    <w:rsid w:val="002B3196"/>
    <w:rsid w:val="002B32C5"/>
    <w:rsid w:val="002B519A"/>
    <w:rsid w:val="002B7DCF"/>
    <w:rsid w:val="002D4558"/>
    <w:rsid w:val="002D5271"/>
    <w:rsid w:val="002D71AC"/>
    <w:rsid w:val="002D7932"/>
    <w:rsid w:val="002E1644"/>
    <w:rsid w:val="002E5749"/>
    <w:rsid w:val="002F12DC"/>
    <w:rsid w:val="002F42E6"/>
    <w:rsid w:val="002F78D5"/>
    <w:rsid w:val="00306194"/>
    <w:rsid w:val="003231FF"/>
    <w:rsid w:val="0033573E"/>
    <w:rsid w:val="00336724"/>
    <w:rsid w:val="00343B24"/>
    <w:rsid w:val="003469E3"/>
    <w:rsid w:val="0035001E"/>
    <w:rsid w:val="00353F3B"/>
    <w:rsid w:val="00357657"/>
    <w:rsid w:val="00367E3F"/>
    <w:rsid w:val="00370DD7"/>
    <w:rsid w:val="0037255F"/>
    <w:rsid w:val="0038199B"/>
    <w:rsid w:val="003839ED"/>
    <w:rsid w:val="0038469C"/>
    <w:rsid w:val="0038566A"/>
    <w:rsid w:val="00387F34"/>
    <w:rsid w:val="00392557"/>
    <w:rsid w:val="0039396B"/>
    <w:rsid w:val="003A584D"/>
    <w:rsid w:val="003A5AF1"/>
    <w:rsid w:val="003A77F7"/>
    <w:rsid w:val="003B0810"/>
    <w:rsid w:val="003B0D29"/>
    <w:rsid w:val="003B4346"/>
    <w:rsid w:val="003B7E2B"/>
    <w:rsid w:val="003C1D25"/>
    <w:rsid w:val="003D1079"/>
    <w:rsid w:val="003D1FD3"/>
    <w:rsid w:val="003D5FC8"/>
    <w:rsid w:val="003D659C"/>
    <w:rsid w:val="003D6F03"/>
    <w:rsid w:val="003E4AA1"/>
    <w:rsid w:val="003E6D06"/>
    <w:rsid w:val="003F6833"/>
    <w:rsid w:val="004005D4"/>
    <w:rsid w:val="00403F78"/>
    <w:rsid w:val="00421964"/>
    <w:rsid w:val="00422522"/>
    <w:rsid w:val="004255DD"/>
    <w:rsid w:val="00433B06"/>
    <w:rsid w:val="004356A1"/>
    <w:rsid w:val="004361A5"/>
    <w:rsid w:val="00440B24"/>
    <w:rsid w:val="00441FEE"/>
    <w:rsid w:val="00442AA3"/>
    <w:rsid w:val="00443890"/>
    <w:rsid w:val="0044430D"/>
    <w:rsid w:val="00444F77"/>
    <w:rsid w:val="004459DE"/>
    <w:rsid w:val="00450DE1"/>
    <w:rsid w:val="004533FC"/>
    <w:rsid w:val="0045590F"/>
    <w:rsid w:val="00464092"/>
    <w:rsid w:val="004640EA"/>
    <w:rsid w:val="00466DBA"/>
    <w:rsid w:val="0047144A"/>
    <w:rsid w:val="00481A11"/>
    <w:rsid w:val="004879CB"/>
    <w:rsid w:val="0049172E"/>
    <w:rsid w:val="004A20E2"/>
    <w:rsid w:val="004A7713"/>
    <w:rsid w:val="004A7AA7"/>
    <w:rsid w:val="004B1AC1"/>
    <w:rsid w:val="004B56D3"/>
    <w:rsid w:val="004B6C4F"/>
    <w:rsid w:val="004C1976"/>
    <w:rsid w:val="004C3987"/>
    <w:rsid w:val="004C624F"/>
    <w:rsid w:val="004D32C2"/>
    <w:rsid w:val="004D5EAB"/>
    <w:rsid w:val="004D6045"/>
    <w:rsid w:val="004E0619"/>
    <w:rsid w:val="004E1C75"/>
    <w:rsid w:val="004E2FEB"/>
    <w:rsid w:val="004E406F"/>
    <w:rsid w:val="004E50D1"/>
    <w:rsid w:val="004E7590"/>
    <w:rsid w:val="004F5D6D"/>
    <w:rsid w:val="00501E0C"/>
    <w:rsid w:val="00502981"/>
    <w:rsid w:val="005056C8"/>
    <w:rsid w:val="00506681"/>
    <w:rsid w:val="0051137B"/>
    <w:rsid w:val="00511776"/>
    <w:rsid w:val="00511924"/>
    <w:rsid w:val="00512974"/>
    <w:rsid w:val="0051511D"/>
    <w:rsid w:val="0052220C"/>
    <w:rsid w:val="005234C7"/>
    <w:rsid w:val="005238E0"/>
    <w:rsid w:val="005277E8"/>
    <w:rsid w:val="0053173E"/>
    <w:rsid w:val="00532282"/>
    <w:rsid w:val="0054351E"/>
    <w:rsid w:val="005438A9"/>
    <w:rsid w:val="00550AE8"/>
    <w:rsid w:val="005516CA"/>
    <w:rsid w:val="00554BD8"/>
    <w:rsid w:val="005672DE"/>
    <w:rsid w:val="005728CF"/>
    <w:rsid w:val="005749F6"/>
    <w:rsid w:val="00576569"/>
    <w:rsid w:val="00580301"/>
    <w:rsid w:val="005859FB"/>
    <w:rsid w:val="005924C4"/>
    <w:rsid w:val="005943B6"/>
    <w:rsid w:val="005A4031"/>
    <w:rsid w:val="005A62D7"/>
    <w:rsid w:val="005B0462"/>
    <w:rsid w:val="005B5BAF"/>
    <w:rsid w:val="005B7B02"/>
    <w:rsid w:val="005C4A85"/>
    <w:rsid w:val="005C7D21"/>
    <w:rsid w:val="005D0D39"/>
    <w:rsid w:val="005D2F97"/>
    <w:rsid w:val="005D692B"/>
    <w:rsid w:val="005E3916"/>
    <w:rsid w:val="005E43E5"/>
    <w:rsid w:val="005E563D"/>
    <w:rsid w:val="005F0DDB"/>
    <w:rsid w:val="005F47D8"/>
    <w:rsid w:val="005F52A1"/>
    <w:rsid w:val="00602748"/>
    <w:rsid w:val="00602B37"/>
    <w:rsid w:val="00603098"/>
    <w:rsid w:val="006047C5"/>
    <w:rsid w:val="00621915"/>
    <w:rsid w:val="00624074"/>
    <w:rsid w:val="00627396"/>
    <w:rsid w:val="0062769F"/>
    <w:rsid w:val="006340B2"/>
    <w:rsid w:val="00641664"/>
    <w:rsid w:val="00643D1E"/>
    <w:rsid w:val="0065001E"/>
    <w:rsid w:val="006533B7"/>
    <w:rsid w:val="00674B00"/>
    <w:rsid w:val="00683C34"/>
    <w:rsid w:val="006845D4"/>
    <w:rsid w:val="006B3334"/>
    <w:rsid w:val="006B375F"/>
    <w:rsid w:val="006C2616"/>
    <w:rsid w:val="006C5742"/>
    <w:rsid w:val="006D018E"/>
    <w:rsid w:val="006D3078"/>
    <w:rsid w:val="006D4034"/>
    <w:rsid w:val="006E13C8"/>
    <w:rsid w:val="006E2530"/>
    <w:rsid w:val="006E548F"/>
    <w:rsid w:val="006E7E7A"/>
    <w:rsid w:val="006F0BD8"/>
    <w:rsid w:val="006F3905"/>
    <w:rsid w:val="006F73F0"/>
    <w:rsid w:val="00702998"/>
    <w:rsid w:val="0071055A"/>
    <w:rsid w:val="00710D9F"/>
    <w:rsid w:val="0071414A"/>
    <w:rsid w:val="0071513D"/>
    <w:rsid w:val="0071514F"/>
    <w:rsid w:val="00716F1E"/>
    <w:rsid w:val="00727685"/>
    <w:rsid w:val="00730AF8"/>
    <w:rsid w:val="00735D7F"/>
    <w:rsid w:val="00736932"/>
    <w:rsid w:val="007375F7"/>
    <w:rsid w:val="00740322"/>
    <w:rsid w:val="00740916"/>
    <w:rsid w:val="007431FF"/>
    <w:rsid w:val="00743BE6"/>
    <w:rsid w:val="007558BD"/>
    <w:rsid w:val="00756F9E"/>
    <w:rsid w:val="007631E9"/>
    <w:rsid w:val="00763AB9"/>
    <w:rsid w:val="00770E5A"/>
    <w:rsid w:val="00772ADE"/>
    <w:rsid w:val="0078300B"/>
    <w:rsid w:val="007833A9"/>
    <w:rsid w:val="007851E9"/>
    <w:rsid w:val="007910D2"/>
    <w:rsid w:val="00794754"/>
    <w:rsid w:val="00795222"/>
    <w:rsid w:val="007963E6"/>
    <w:rsid w:val="00797707"/>
    <w:rsid w:val="007A3064"/>
    <w:rsid w:val="007C7959"/>
    <w:rsid w:val="007D0B10"/>
    <w:rsid w:val="007D1A1E"/>
    <w:rsid w:val="007E231D"/>
    <w:rsid w:val="007E3AA5"/>
    <w:rsid w:val="007E6E5D"/>
    <w:rsid w:val="007F75DF"/>
    <w:rsid w:val="008002E8"/>
    <w:rsid w:val="008006D5"/>
    <w:rsid w:val="008149B7"/>
    <w:rsid w:val="00825250"/>
    <w:rsid w:val="008322B6"/>
    <w:rsid w:val="008349F1"/>
    <w:rsid w:val="00835734"/>
    <w:rsid w:val="00836024"/>
    <w:rsid w:val="00836392"/>
    <w:rsid w:val="008416EA"/>
    <w:rsid w:val="00844132"/>
    <w:rsid w:val="008468BB"/>
    <w:rsid w:val="00847850"/>
    <w:rsid w:val="00852F8D"/>
    <w:rsid w:val="008546A9"/>
    <w:rsid w:val="00854857"/>
    <w:rsid w:val="0085574F"/>
    <w:rsid w:val="00856EB5"/>
    <w:rsid w:val="00863597"/>
    <w:rsid w:val="0086648B"/>
    <w:rsid w:val="008673F2"/>
    <w:rsid w:val="00867E7D"/>
    <w:rsid w:val="008731F9"/>
    <w:rsid w:val="00873699"/>
    <w:rsid w:val="00873E3C"/>
    <w:rsid w:val="008750E2"/>
    <w:rsid w:val="008755B7"/>
    <w:rsid w:val="00876486"/>
    <w:rsid w:val="00886003"/>
    <w:rsid w:val="008866E8"/>
    <w:rsid w:val="0088671C"/>
    <w:rsid w:val="00886C7C"/>
    <w:rsid w:val="00894C2E"/>
    <w:rsid w:val="008A4808"/>
    <w:rsid w:val="008A656F"/>
    <w:rsid w:val="008A6DFE"/>
    <w:rsid w:val="008B0EFE"/>
    <w:rsid w:val="008B183C"/>
    <w:rsid w:val="008B1E93"/>
    <w:rsid w:val="008B5981"/>
    <w:rsid w:val="008B6C52"/>
    <w:rsid w:val="008C3068"/>
    <w:rsid w:val="008C43C2"/>
    <w:rsid w:val="008C48D9"/>
    <w:rsid w:val="008D23D2"/>
    <w:rsid w:val="008D5B3D"/>
    <w:rsid w:val="008D7F97"/>
    <w:rsid w:val="008E2235"/>
    <w:rsid w:val="008E3423"/>
    <w:rsid w:val="008E63C4"/>
    <w:rsid w:val="008F12F6"/>
    <w:rsid w:val="008F16BC"/>
    <w:rsid w:val="008F1DAB"/>
    <w:rsid w:val="008F3C01"/>
    <w:rsid w:val="009007F1"/>
    <w:rsid w:val="009078CC"/>
    <w:rsid w:val="00911F7B"/>
    <w:rsid w:val="00913281"/>
    <w:rsid w:val="00913EA5"/>
    <w:rsid w:val="009146C1"/>
    <w:rsid w:val="009147C4"/>
    <w:rsid w:val="00915D96"/>
    <w:rsid w:val="009209CD"/>
    <w:rsid w:val="00927849"/>
    <w:rsid w:val="00930919"/>
    <w:rsid w:val="00943CEA"/>
    <w:rsid w:val="00945A5E"/>
    <w:rsid w:val="009549F3"/>
    <w:rsid w:val="009612A7"/>
    <w:rsid w:val="00963ADB"/>
    <w:rsid w:val="00967444"/>
    <w:rsid w:val="00976374"/>
    <w:rsid w:val="00983A1F"/>
    <w:rsid w:val="009849FF"/>
    <w:rsid w:val="00987485"/>
    <w:rsid w:val="0099167B"/>
    <w:rsid w:val="009A0CC8"/>
    <w:rsid w:val="009A207B"/>
    <w:rsid w:val="009A5A0D"/>
    <w:rsid w:val="009A679E"/>
    <w:rsid w:val="009A6D1B"/>
    <w:rsid w:val="009B303B"/>
    <w:rsid w:val="009B3BDA"/>
    <w:rsid w:val="009B7064"/>
    <w:rsid w:val="009B76D8"/>
    <w:rsid w:val="009B785F"/>
    <w:rsid w:val="009C0398"/>
    <w:rsid w:val="009C065E"/>
    <w:rsid w:val="009D0CA6"/>
    <w:rsid w:val="009D6B2A"/>
    <w:rsid w:val="009D7BDF"/>
    <w:rsid w:val="009E1C06"/>
    <w:rsid w:val="009E28DB"/>
    <w:rsid w:val="009E2D2F"/>
    <w:rsid w:val="009F3F7B"/>
    <w:rsid w:val="00A00C88"/>
    <w:rsid w:val="00A046F7"/>
    <w:rsid w:val="00A13F63"/>
    <w:rsid w:val="00A21D2D"/>
    <w:rsid w:val="00A223AA"/>
    <w:rsid w:val="00A24E81"/>
    <w:rsid w:val="00A24F06"/>
    <w:rsid w:val="00A266F5"/>
    <w:rsid w:val="00A30ABA"/>
    <w:rsid w:val="00A314B9"/>
    <w:rsid w:val="00A33D5D"/>
    <w:rsid w:val="00A412AF"/>
    <w:rsid w:val="00A41885"/>
    <w:rsid w:val="00A41B45"/>
    <w:rsid w:val="00A52515"/>
    <w:rsid w:val="00A54B37"/>
    <w:rsid w:val="00A609DD"/>
    <w:rsid w:val="00A60B57"/>
    <w:rsid w:val="00A61815"/>
    <w:rsid w:val="00A644DE"/>
    <w:rsid w:val="00A6740F"/>
    <w:rsid w:val="00A93559"/>
    <w:rsid w:val="00A95A88"/>
    <w:rsid w:val="00AA1B63"/>
    <w:rsid w:val="00AA3188"/>
    <w:rsid w:val="00AA420D"/>
    <w:rsid w:val="00AB1E92"/>
    <w:rsid w:val="00AB2C8C"/>
    <w:rsid w:val="00AB3628"/>
    <w:rsid w:val="00AB444A"/>
    <w:rsid w:val="00AC2470"/>
    <w:rsid w:val="00AC405E"/>
    <w:rsid w:val="00AE732F"/>
    <w:rsid w:val="00AF074C"/>
    <w:rsid w:val="00AF6CA2"/>
    <w:rsid w:val="00AF716F"/>
    <w:rsid w:val="00B03AF0"/>
    <w:rsid w:val="00B05373"/>
    <w:rsid w:val="00B067E6"/>
    <w:rsid w:val="00B11A88"/>
    <w:rsid w:val="00B12260"/>
    <w:rsid w:val="00B13F00"/>
    <w:rsid w:val="00B156E1"/>
    <w:rsid w:val="00B17A6E"/>
    <w:rsid w:val="00B218B2"/>
    <w:rsid w:val="00B25433"/>
    <w:rsid w:val="00B2626C"/>
    <w:rsid w:val="00B3285B"/>
    <w:rsid w:val="00B3728B"/>
    <w:rsid w:val="00B408B6"/>
    <w:rsid w:val="00B41388"/>
    <w:rsid w:val="00B5281B"/>
    <w:rsid w:val="00B531ED"/>
    <w:rsid w:val="00B53574"/>
    <w:rsid w:val="00B60027"/>
    <w:rsid w:val="00B63AE9"/>
    <w:rsid w:val="00B670FF"/>
    <w:rsid w:val="00B73368"/>
    <w:rsid w:val="00B76BE0"/>
    <w:rsid w:val="00B80913"/>
    <w:rsid w:val="00B84E28"/>
    <w:rsid w:val="00B91A8D"/>
    <w:rsid w:val="00BA34AD"/>
    <w:rsid w:val="00BA4B2A"/>
    <w:rsid w:val="00BB69FF"/>
    <w:rsid w:val="00BD11AB"/>
    <w:rsid w:val="00BD545A"/>
    <w:rsid w:val="00BE7013"/>
    <w:rsid w:val="00BF1C2D"/>
    <w:rsid w:val="00BF2735"/>
    <w:rsid w:val="00BF738E"/>
    <w:rsid w:val="00C0402F"/>
    <w:rsid w:val="00C047BD"/>
    <w:rsid w:val="00C101AC"/>
    <w:rsid w:val="00C102E9"/>
    <w:rsid w:val="00C11EB4"/>
    <w:rsid w:val="00C12A74"/>
    <w:rsid w:val="00C14CE5"/>
    <w:rsid w:val="00C24D41"/>
    <w:rsid w:val="00C314D2"/>
    <w:rsid w:val="00C329A2"/>
    <w:rsid w:val="00C35EC8"/>
    <w:rsid w:val="00C4065A"/>
    <w:rsid w:val="00C412B4"/>
    <w:rsid w:val="00C42FF3"/>
    <w:rsid w:val="00C447FD"/>
    <w:rsid w:val="00C44BA2"/>
    <w:rsid w:val="00C464FB"/>
    <w:rsid w:val="00C479EC"/>
    <w:rsid w:val="00C5024F"/>
    <w:rsid w:val="00C51630"/>
    <w:rsid w:val="00C52F4B"/>
    <w:rsid w:val="00C53754"/>
    <w:rsid w:val="00C6035E"/>
    <w:rsid w:val="00C61B2B"/>
    <w:rsid w:val="00C639B5"/>
    <w:rsid w:val="00C651A6"/>
    <w:rsid w:val="00C72C99"/>
    <w:rsid w:val="00C736F3"/>
    <w:rsid w:val="00C822F8"/>
    <w:rsid w:val="00C8251B"/>
    <w:rsid w:val="00C83482"/>
    <w:rsid w:val="00C83A6F"/>
    <w:rsid w:val="00C92D6F"/>
    <w:rsid w:val="00C93DEA"/>
    <w:rsid w:val="00C97351"/>
    <w:rsid w:val="00C97D8E"/>
    <w:rsid w:val="00CA0516"/>
    <w:rsid w:val="00CA2A23"/>
    <w:rsid w:val="00CA752C"/>
    <w:rsid w:val="00CB009F"/>
    <w:rsid w:val="00CB1040"/>
    <w:rsid w:val="00CB221F"/>
    <w:rsid w:val="00CC1B8F"/>
    <w:rsid w:val="00CC2F46"/>
    <w:rsid w:val="00CC3524"/>
    <w:rsid w:val="00CC6E0D"/>
    <w:rsid w:val="00CC7F2C"/>
    <w:rsid w:val="00CD3C04"/>
    <w:rsid w:val="00CD3C3C"/>
    <w:rsid w:val="00CD51E1"/>
    <w:rsid w:val="00CE05CC"/>
    <w:rsid w:val="00CE662A"/>
    <w:rsid w:val="00CF73A6"/>
    <w:rsid w:val="00D05575"/>
    <w:rsid w:val="00D118BD"/>
    <w:rsid w:val="00D13C76"/>
    <w:rsid w:val="00D15738"/>
    <w:rsid w:val="00D2157E"/>
    <w:rsid w:val="00D22AE7"/>
    <w:rsid w:val="00D2550B"/>
    <w:rsid w:val="00D271FF"/>
    <w:rsid w:val="00D3367E"/>
    <w:rsid w:val="00D33956"/>
    <w:rsid w:val="00D34F1B"/>
    <w:rsid w:val="00D41229"/>
    <w:rsid w:val="00D4367A"/>
    <w:rsid w:val="00D436A0"/>
    <w:rsid w:val="00D57D13"/>
    <w:rsid w:val="00D6243F"/>
    <w:rsid w:val="00D62A43"/>
    <w:rsid w:val="00D6403A"/>
    <w:rsid w:val="00D67295"/>
    <w:rsid w:val="00D774C6"/>
    <w:rsid w:val="00D80163"/>
    <w:rsid w:val="00D84CCB"/>
    <w:rsid w:val="00D84E18"/>
    <w:rsid w:val="00D95125"/>
    <w:rsid w:val="00DB125F"/>
    <w:rsid w:val="00DB2470"/>
    <w:rsid w:val="00DC573B"/>
    <w:rsid w:val="00DC7FB4"/>
    <w:rsid w:val="00DE5043"/>
    <w:rsid w:val="00DF44BE"/>
    <w:rsid w:val="00DF64FD"/>
    <w:rsid w:val="00E05AF6"/>
    <w:rsid w:val="00E06C4E"/>
    <w:rsid w:val="00E10958"/>
    <w:rsid w:val="00E118A6"/>
    <w:rsid w:val="00E127AC"/>
    <w:rsid w:val="00E13174"/>
    <w:rsid w:val="00E14318"/>
    <w:rsid w:val="00E170E2"/>
    <w:rsid w:val="00E24EF9"/>
    <w:rsid w:val="00E24FB9"/>
    <w:rsid w:val="00E26CD1"/>
    <w:rsid w:val="00E26F82"/>
    <w:rsid w:val="00E276C1"/>
    <w:rsid w:val="00E35189"/>
    <w:rsid w:val="00E44149"/>
    <w:rsid w:val="00E44A49"/>
    <w:rsid w:val="00E44D80"/>
    <w:rsid w:val="00E44ECA"/>
    <w:rsid w:val="00E459C3"/>
    <w:rsid w:val="00E53A61"/>
    <w:rsid w:val="00E57384"/>
    <w:rsid w:val="00E5755C"/>
    <w:rsid w:val="00E6578A"/>
    <w:rsid w:val="00E678BB"/>
    <w:rsid w:val="00E71200"/>
    <w:rsid w:val="00E7293B"/>
    <w:rsid w:val="00E74109"/>
    <w:rsid w:val="00E750F1"/>
    <w:rsid w:val="00E814E3"/>
    <w:rsid w:val="00E83542"/>
    <w:rsid w:val="00E92EF6"/>
    <w:rsid w:val="00EA00A7"/>
    <w:rsid w:val="00EA0DE3"/>
    <w:rsid w:val="00EA0E4D"/>
    <w:rsid w:val="00EB1E0E"/>
    <w:rsid w:val="00EB77D8"/>
    <w:rsid w:val="00EB7CEA"/>
    <w:rsid w:val="00EC100A"/>
    <w:rsid w:val="00ED1C66"/>
    <w:rsid w:val="00EE4BF8"/>
    <w:rsid w:val="00EE739D"/>
    <w:rsid w:val="00EF15F7"/>
    <w:rsid w:val="00EF1EE8"/>
    <w:rsid w:val="00EF63BE"/>
    <w:rsid w:val="00EF69B2"/>
    <w:rsid w:val="00EF779C"/>
    <w:rsid w:val="00F02711"/>
    <w:rsid w:val="00F02993"/>
    <w:rsid w:val="00F02A8B"/>
    <w:rsid w:val="00F0706D"/>
    <w:rsid w:val="00F10F95"/>
    <w:rsid w:val="00F112AE"/>
    <w:rsid w:val="00F11A57"/>
    <w:rsid w:val="00F12D9A"/>
    <w:rsid w:val="00F172D2"/>
    <w:rsid w:val="00F242C4"/>
    <w:rsid w:val="00F26FA1"/>
    <w:rsid w:val="00F336D9"/>
    <w:rsid w:val="00F37E63"/>
    <w:rsid w:val="00F41F12"/>
    <w:rsid w:val="00F44A97"/>
    <w:rsid w:val="00F511C0"/>
    <w:rsid w:val="00F719EC"/>
    <w:rsid w:val="00F7591B"/>
    <w:rsid w:val="00F76ECD"/>
    <w:rsid w:val="00F86BD5"/>
    <w:rsid w:val="00F92D2D"/>
    <w:rsid w:val="00F9606B"/>
    <w:rsid w:val="00F96711"/>
    <w:rsid w:val="00FB1906"/>
    <w:rsid w:val="00FB33A8"/>
    <w:rsid w:val="00FB5C0A"/>
    <w:rsid w:val="00FC7104"/>
    <w:rsid w:val="00FD119D"/>
    <w:rsid w:val="00FD6632"/>
    <w:rsid w:val="00FE262A"/>
    <w:rsid w:val="00FE2967"/>
    <w:rsid w:val="00FE36CF"/>
    <w:rsid w:val="00FE3A0D"/>
    <w:rsid w:val="00FF1B21"/>
    <w:rsid w:val="00FF2CBF"/>
    <w:rsid w:val="00FF3AA5"/>
    <w:rsid w:val="00FF4830"/>
    <w:rsid w:val="00FF72D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ACMABodyText">
    <w:name w:val="ACMA Body Text"/>
    <w:rsid w:val="001229DF"/>
    <w:pPr>
      <w:suppressAutoHyphens/>
      <w:spacing w:before="80" w:after="120" w:line="280" w:lineRule="atLeast"/>
    </w:pPr>
    <w:rPr>
      <w:snapToGrid w:val="0"/>
      <w:sz w:val="24"/>
      <w:lang w:eastAsia="en-US"/>
    </w:rPr>
  </w:style>
  <w:style w:type="character" w:customStyle="1" w:styleId="CharSectnoAm">
    <w:name w:val="CharSectnoAm"/>
    <w:basedOn w:val="DefaultParagraphFont"/>
    <w:rsid w:val="00AC24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Radiocommunications (Low Interference Potential Devices) Class Licence Amendment Variation 2009 (No.   )</vt:lpstr>
    </vt:vector>
  </TitlesOfParts>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(Low Interference Potential Devices) Class Licence Amendment Variation 2009 (No.   )</dc:title>
  <dc:creator/>
  <cp:lastModifiedBy/>
  <cp:revision>1</cp:revision>
  <cp:lastPrinted>2010-08-09T23:55:00Z</cp:lastPrinted>
  <dcterms:created xsi:type="dcterms:W3CDTF">2013-04-22T23:59:00Z</dcterms:created>
  <dcterms:modified xsi:type="dcterms:W3CDTF">2013-04-24T04:21:00Z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ies>
</file>