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6B0" w:rsidRDefault="007636B0" w:rsidP="007C6B5D">
      <w:pPr>
        <w:ind w:left="-1134"/>
        <w:jc w:val="center"/>
      </w:pPr>
      <w:r>
        <w:rPr>
          <w:noProof/>
          <w:lang w:eastAsia="en-AU"/>
        </w:rPr>
        <mc:AlternateContent>
          <mc:Choice Requires="wps">
            <w:drawing>
              <wp:inline distT="0" distB="0" distL="0" distR="0">
                <wp:extent cx="6934200" cy="3924300"/>
                <wp:effectExtent l="0" t="0" r="0" b="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3924300"/>
                        </a:xfrm>
                        <a:prstGeom prst="rect">
                          <a:avLst/>
                        </a:prstGeom>
                        <a:gradFill rotWithShape="1">
                          <a:gsLst>
                            <a:gs pos="0">
                              <a:srgbClr val="DDDDDD">
                                <a:alpha val="0"/>
                              </a:srgbClr>
                            </a:gs>
                            <a:gs pos="100000">
                              <a:srgbClr val="DDDDDD">
                                <a:gamma/>
                                <a:shade val="46275"/>
                                <a:invGamma/>
                                <a:alpha val="34000"/>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97F" w:rsidRDefault="00A0097F" w:rsidP="007636B0">
                            <w:pPr>
                              <w:pStyle w:val="TitleHeading"/>
                              <w:ind w:left="0"/>
                              <w:jc w:val="both"/>
                              <w:rPr>
                                <w:rFonts w:ascii="Calibri" w:hAnsi="Calibri"/>
                                <w:color w:val="C0C0C0"/>
                                <w:sz w:val="30"/>
                                <w:szCs w:val="30"/>
                              </w:rPr>
                            </w:pP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National Environment Protection (Assessment of Site</w:t>
                            </w:r>
                            <w:r w:rsidRPr="00A76A0B">
                              <w:rPr>
                                <w:rFonts w:ascii="Calibri" w:hAnsi="Calibri"/>
                                <w:color w:val="C0C0C0"/>
                                <w:sz w:val="30"/>
                                <w:szCs w:val="30"/>
                              </w:rPr>
                              <w:t xml:space="preserve"> </w:t>
                            </w:r>
                            <w:r w:rsidRPr="00E70BF3">
                              <w:rPr>
                                <w:rFonts w:ascii="Calibri" w:hAnsi="Calibri"/>
                                <w:color w:val="C0C0C0"/>
                                <w:sz w:val="30"/>
                                <w:szCs w:val="30"/>
                              </w:rPr>
                              <w:t xml:space="preserve">Contamination) Measure </w:t>
                            </w:r>
                            <w:r w:rsidRPr="00F91573">
                              <w:rPr>
                                <w:rFonts w:ascii="Arial" w:hAnsi="Arial" w:cs="Arial"/>
                                <w:color w:val="C0C0C0"/>
                                <w:sz w:val="30"/>
                                <w:szCs w:val="30"/>
                              </w:rPr>
                              <w:t>1999</w:t>
                            </w:r>
                            <w:r>
                              <w:rPr>
                                <w:rFonts w:ascii="Calibri" w:hAnsi="Calibri"/>
                                <w:color w:val="C0C0C0"/>
                                <w:sz w:val="30"/>
                                <w:szCs w:val="30"/>
                              </w:rPr>
                              <w:t xml:space="preserve"> </w:t>
                            </w:r>
                            <w:r w:rsidRPr="00E70BF3">
                              <w:rPr>
                                <w:rFonts w:ascii="Book Antiqua" w:hAnsi="Book Antiqua"/>
                                <w:b w:val="0"/>
                                <w:bCs/>
                                <w:color w:val="C0C0C0"/>
                                <w:sz w:val="30"/>
                                <w:szCs w:val="30"/>
                              </w:rPr>
                              <w:t>National Environmen</w:t>
                            </w:r>
                            <w:r>
                              <w:rPr>
                                <w:rFonts w:ascii="Book Antiqua" w:hAnsi="Book Antiqua"/>
                                <w:b w:val="0"/>
                                <w:bCs/>
                                <w:color w:val="C0C0C0"/>
                                <w:sz w:val="30"/>
                                <w:szCs w:val="30"/>
                              </w:rPr>
                              <w:t>t Protection (Assessment of</w:t>
                            </w:r>
                            <w:r>
                              <w:rPr>
                                <w:rFonts w:ascii="Book Antiqua" w:hAnsi="Book Antiqua"/>
                                <w:b w:val="0"/>
                                <w:bCs/>
                                <w:color w:val="C0C0C0"/>
                                <w:sz w:val="30"/>
                                <w:szCs w:val="30"/>
                              </w:rPr>
                              <w:br/>
                            </w:r>
                          </w:p>
                          <w:p w:rsidR="00A0097F" w:rsidRPr="00E70BF3" w:rsidRDefault="00A0097F" w:rsidP="007636B0">
                            <w:pPr>
                              <w:pStyle w:val="TitleHeading"/>
                              <w:ind w:left="0"/>
                              <w:jc w:val="right"/>
                              <w:rPr>
                                <w:rFonts w:ascii="Calibri" w:hAnsi="Calibri"/>
                                <w:color w:val="C0C0C0"/>
                                <w:sz w:val="30"/>
                                <w:szCs w:val="30"/>
                              </w:rPr>
                            </w:pPr>
                            <w:r w:rsidRPr="000E0F3F">
                              <w:rPr>
                                <w:rFonts w:ascii="Georgia" w:eastAsia="Kozuka Mincho Pro B" w:hAnsi="Georgia"/>
                                <w:color w:val="000000"/>
                                <w:sz w:val="80"/>
                                <w:szCs w:val="80"/>
                              </w:rPr>
                              <w:t>Schedule B</w:t>
                            </w:r>
                            <w:r>
                              <w:rPr>
                                <w:rFonts w:ascii="Georgia" w:eastAsia="Kozuka Mincho Pro B" w:hAnsi="Georgia"/>
                                <w:color w:val="000000"/>
                                <w:sz w:val="80"/>
                                <w:szCs w:val="80"/>
                              </w:rPr>
                              <w:t>7</w:t>
                            </w:r>
                          </w:p>
                          <w:p w:rsidR="00A0097F" w:rsidRPr="00E70BF3" w:rsidRDefault="00A0097F" w:rsidP="007636B0">
                            <w:pPr>
                              <w:pStyle w:val="TitleHeading"/>
                              <w:ind w:left="0"/>
                              <w:jc w:val="both"/>
                              <w:rPr>
                                <w:rFonts w:ascii="Calibri" w:hAnsi="Calibri"/>
                                <w:color w:val="C0C0C0"/>
                                <w:sz w:val="30"/>
                                <w:szCs w:val="30"/>
                              </w:rPr>
                            </w:pPr>
                            <w:r w:rsidRPr="00E70BF3">
                              <w:rPr>
                                <w:rFonts w:ascii="Calibri" w:hAnsi="Calibri"/>
                                <w:color w:val="C0C0C0"/>
                                <w:sz w:val="30"/>
                                <w:szCs w:val="30"/>
                              </w:rPr>
                              <w:br/>
                            </w:r>
                          </w:p>
                          <w:p w:rsidR="00A0097F" w:rsidRPr="00E70BF3" w:rsidRDefault="00A0097F" w:rsidP="007636B0">
                            <w:pPr>
                              <w:pStyle w:val="TitleHeading"/>
                              <w:ind w:left="0"/>
                              <w:jc w:val="both"/>
                              <w:rPr>
                                <w:rFonts w:ascii="Calibri" w:hAnsi="Calibri"/>
                                <w:color w:val="C0C0C0"/>
                                <w:sz w:val="30"/>
                                <w:szCs w:val="30"/>
                              </w:rPr>
                            </w:pPr>
                          </w:p>
                          <w:p w:rsidR="00A0097F" w:rsidRPr="00E70BF3" w:rsidRDefault="00A0097F" w:rsidP="007636B0">
                            <w:pPr>
                              <w:pStyle w:val="TitleHeading"/>
                              <w:ind w:left="0"/>
                              <w:jc w:val="both"/>
                              <w:rPr>
                                <w:rFonts w:ascii="Calibri" w:hAnsi="Calibri"/>
                                <w:color w:val="C0C0C0"/>
                                <w:sz w:val="30"/>
                                <w:szCs w:val="30"/>
                              </w:rPr>
                            </w:pPr>
                          </w:p>
                          <w:p w:rsidR="00A0097F" w:rsidRPr="00E70BF3" w:rsidRDefault="00A0097F" w:rsidP="007636B0">
                            <w:pPr>
                              <w:rPr>
                                <w:color w:val="C0C0C0"/>
                                <w:sz w:val="30"/>
                                <w:szCs w:val="30"/>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4" o:spid="_x0000_s1026" type="#_x0000_t202" style="width:546pt;height: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" fillcolor="#ddd" stroked="f">
                <v:fill opacity="0" color2="#666" o:opacity2="22282f" rotate="t" focus="100%" type="gradient"/>
                <v:textbox>
                  <w:txbxContent>
                    <w:p w:rsidR="009C6751" w:rsidRDefault="009C6751" w:rsidP="007636B0">
                      <w:pPr>
                        <w:pStyle w:val="TitleHeading"/>
                        <w:ind w:left="0"/>
                        <w:jc w:val="both"/>
                        <w:rPr>
                          <w:rFonts w:ascii="Calibri" w:hAnsi="Calibri"/>
                          <w:color w:val="C0C0C0"/>
                          <w:sz w:val="30"/>
                          <w:szCs w:val="30"/>
                        </w:rPr>
                      </w:pP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color w:val="C0C0C0"/>
                          <w:sz w:val="30"/>
                          <w:szCs w:val="30"/>
                        </w:rPr>
                        <w:t xml:space="preserve"> </w:t>
                      </w:r>
                      <w:r w:rsidRPr="00E70BF3">
                        <w:rPr>
                          <w:rFonts w:ascii="Book Antiqua" w:hAnsi="Book Antiqua"/>
                          <w:b w:val="0"/>
                          <w:bCs/>
                          <w:color w:val="C0C0C0"/>
                          <w:sz w:val="30"/>
                          <w:szCs w:val="30"/>
                        </w:rPr>
                        <w:t xml:space="preserve">National Environment Protection (Assessment of Site Contamination) Measure </w:t>
                      </w:r>
                      <w:r w:rsidRPr="00F91573">
                        <w:rPr>
                          <w:rFonts w:ascii="Arial" w:hAnsi="Arial" w:cs="Arial"/>
                          <w:bCs/>
                          <w:color w:val="C0C0C0"/>
                          <w:sz w:val="30"/>
                          <w:szCs w:val="30"/>
                        </w:rPr>
                        <w:t>1999</w:t>
                      </w:r>
                      <w:r w:rsidRPr="00E70BF3">
                        <w:rPr>
                          <w:rFonts w:ascii="Book Antiqua" w:hAnsi="Book Antiqua"/>
                          <w:color w:val="C0C0C0"/>
                          <w:sz w:val="30"/>
                          <w:szCs w:val="30"/>
                        </w:rPr>
                        <w:t xml:space="preserve"> </w:t>
                      </w:r>
                      <w:r w:rsidRPr="00E70BF3">
                        <w:rPr>
                          <w:rFonts w:ascii="Calibri" w:hAnsi="Calibri"/>
                          <w:color w:val="C0C0C0"/>
                          <w:sz w:val="30"/>
                          <w:szCs w:val="30"/>
                        </w:rPr>
                        <w:t xml:space="preserve">National Environment Protection (Assessment of Site Contamination) Measure </w:t>
                      </w:r>
                      <w:r w:rsidRPr="00F91573">
                        <w:rPr>
                          <w:rFonts w:ascii="Arial" w:hAnsi="Arial" w:cs="Arial"/>
                          <w:color w:val="C0C0C0"/>
                          <w:sz w:val="30"/>
                          <w:szCs w:val="30"/>
                        </w:rPr>
                        <w:t>1999</w:t>
                      </w:r>
                      <w:r w:rsidRPr="00E70BF3">
                        <w:rPr>
                          <w:rFonts w:ascii="Calibri" w:hAnsi="Calibri"/>
                          <w:color w:val="C0C0C0"/>
                          <w:sz w:val="30"/>
                          <w:szCs w:val="30"/>
                        </w:rPr>
                        <w:t xml:space="preserve"> </w:t>
                      </w:r>
                      <w:r w:rsidRPr="00E70BF3">
                        <w:rPr>
                          <w:color w:val="C0C0C0"/>
                          <w:sz w:val="30"/>
                          <w:szCs w:val="30"/>
                        </w:rPr>
                        <w:t>National Environment Protection (Assessment of Site</w:t>
                      </w:r>
                      <w:r w:rsidRPr="00A76A0B">
                        <w:rPr>
                          <w:rFonts w:ascii="Calibri" w:hAnsi="Calibri"/>
                          <w:color w:val="C0C0C0"/>
                          <w:sz w:val="30"/>
                          <w:szCs w:val="30"/>
                        </w:rPr>
                        <w:t xml:space="preserve"> </w:t>
                      </w:r>
                      <w:r w:rsidRPr="00E70BF3">
                        <w:rPr>
                          <w:rFonts w:ascii="Calibri" w:hAnsi="Calibri"/>
                          <w:color w:val="C0C0C0"/>
                          <w:sz w:val="30"/>
                          <w:szCs w:val="30"/>
                        </w:rPr>
                        <w:t xml:space="preserve">Contamination) Measure </w:t>
                      </w:r>
                      <w:r w:rsidRPr="00F91573">
                        <w:rPr>
                          <w:rFonts w:ascii="Arial" w:hAnsi="Arial" w:cs="Arial"/>
                          <w:color w:val="C0C0C0"/>
                          <w:sz w:val="30"/>
                          <w:szCs w:val="30"/>
                        </w:rPr>
                        <w:t>1999</w:t>
                      </w:r>
                      <w:r>
                        <w:rPr>
                          <w:rFonts w:ascii="Calibri" w:hAnsi="Calibri"/>
                          <w:color w:val="C0C0C0"/>
                          <w:sz w:val="30"/>
                          <w:szCs w:val="30"/>
                        </w:rPr>
                        <w:t xml:space="preserve"> </w:t>
                      </w:r>
                      <w:r w:rsidRPr="00E70BF3">
                        <w:rPr>
                          <w:rFonts w:ascii="Book Antiqua" w:hAnsi="Book Antiqua"/>
                          <w:b w:val="0"/>
                          <w:bCs/>
                          <w:color w:val="C0C0C0"/>
                          <w:sz w:val="30"/>
                          <w:szCs w:val="30"/>
                        </w:rPr>
                        <w:t>National Environmen</w:t>
                      </w:r>
                      <w:r>
                        <w:rPr>
                          <w:rFonts w:ascii="Book Antiqua" w:hAnsi="Book Antiqua"/>
                          <w:b w:val="0"/>
                          <w:bCs/>
                          <w:color w:val="C0C0C0"/>
                          <w:sz w:val="30"/>
                          <w:szCs w:val="30"/>
                        </w:rPr>
                        <w:t>t Protection (Assessment of</w:t>
                      </w:r>
                      <w:r>
                        <w:rPr>
                          <w:rFonts w:ascii="Book Antiqua" w:hAnsi="Book Antiqua"/>
                          <w:b w:val="0"/>
                          <w:bCs/>
                          <w:color w:val="C0C0C0"/>
                          <w:sz w:val="30"/>
                          <w:szCs w:val="30"/>
                        </w:rPr>
                        <w:br/>
                      </w:r>
                    </w:p>
                    <w:p w:rsidR="009C6751" w:rsidRPr="00E70BF3" w:rsidRDefault="009C6751" w:rsidP="007636B0">
                      <w:pPr>
                        <w:pStyle w:val="TitleHeading"/>
                        <w:ind w:left="0"/>
                        <w:jc w:val="right"/>
                        <w:rPr>
                          <w:rFonts w:ascii="Calibri" w:hAnsi="Calibri"/>
                          <w:color w:val="C0C0C0"/>
                          <w:sz w:val="30"/>
                          <w:szCs w:val="30"/>
                        </w:rPr>
                      </w:pPr>
                      <w:r w:rsidRPr="000E0F3F">
                        <w:rPr>
                          <w:rFonts w:ascii="Georgia" w:eastAsia="Kozuka Mincho Pro B" w:hAnsi="Georgia"/>
                          <w:color w:val="000000"/>
                          <w:sz w:val="80"/>
                          <w:szCs w:val="80"/>
                        </w:rPr>
                        <w:t>Schedule B</w:t>
                      </w:r>
                      <w:r>
                        <w:rPr>
                          <w:rFonts w:ascii="Georgia" w:eastAsia="Kozuka Mincho Pro B" w:hAnsi="Georgia"/>
                          <w:color w:val="000000"/>
                          <w:sz w:val="80"/>
                          <w:szCs w:val="80"/>
                        </w:rPr>
                        <w:t>7</w:t>
                      </w:r>
                    </w:p>
                    <w:p w:rsidR="009C6751" w:rsidRPr="00E70BF3" w:rsidRDefault="009C6751" w:rsidP="007636B0">
                      <w:pPr>
                        <w:pStyle w:val="TitleHeading"/>
                        <w:ind w:left="0"/>
                        <w:jc w:val="both"/>
                        <w:rPr>
                          <w:rFonts w:ascii="Calibri" w:hAnsi="Calibri"/>
                          <w:color w:val="C0C0C0"/>
                          <w:sz w:val="30"/>
                          <w:szCs w:val="30"/>
                        </w:rPr>
                      </w:pPr>
                      <w:r w:rsidRPr="00E70BF3">
                        <w:rPr>
                          <w:rFonts w:ascii="Calibri" w:hAnsi="Calibri"/>
                          <w:color w:val="C0C0C0"/>
                          <w:sz w:val="30"/>
                          <w:szCs w:val="30"/>
                        </w:rPr>
                        <w:br/>
                      </w:r>
                    </w:p>
                    <w:p w:rsidR="009C6751" w:rsidRPr="00E70BF3" w:rsidRDefault="009C6751" w:rsidP="007636B0">
                      <w:pPr>
                        <w:pStyle w:val="TitleHeading"/>
                        <w:ind w:left="0"/>
                        <w:jc w:val="both"/>
                        <w:rPr>
                          <w:rFonts w:ascii="Calibri" w:hAnsi="Calibri"/>
                          <w:color w:val="C0C0C0"/>
                          <w:sz w:val="30"/>
                          <w:szCs w:val="30"/>
                        </w:rPr>
                      </w:pPr>
                    </w:p>
                    <w:p w:rsidR="009C6751" w:rsidRPr="00E70BF3" w:rsidRDefault="009C6751" w:rsidP="007636B0">
                      <w:pPr>
                        <w:pStyle w:val="TitleHeading"/>
                        <w:ind w:left="0"/>
                        <w:jc w:val="both"/>
                        <w:rPr>
                          <w:rFonts w:ascii="Calibri" w:hAnsi="Calibri"/>
                          <w:color w:val="C0C0C0"/>
                          <w:sz w:val="30"/>
                          <w:szCs w:val="30"/>
                        </w:rPr>
                      </w:pPr>
                    </w:p>
                    <w:p w:rsidR="009C6751" w:rsidRPr="00E70BF3" w:rsidRDefault="009C6751" w:rsidP="007636B0">
                      <w:pPr>
                        <w:rPr>
                          <w:color w:val="C0C0C0"/>
                          <w:sz w:val="30"/>
                          <w:szCs w:val="30"/>
                        </w:rPr>
                      </w:pPr>
                    </w:p>
                  </w:txbxContent>
                </v:textbox>
                <w10:anchorlock/>
              </v:shape>
            </w:pict>
          </mc:Fallback>
        </mc:AlternateContent>
      </w:r>
    </w:p>
    <w:p w:rsidR="007636B0" w:rsidRPr="003F4DD3" w:rsidRDefault="007636B0" w:rsidP="009C6751">
      <w:pPr>
        <w:ind w:left="-1134" w:right="-285"/>
        <w:jc w:val="right"/>
      </w:pPr>
      <w:r>
        <w:rPr>
          <w:noProof/>
          <w:lang w:eastAsia="en-AU"/>
        </w:rPr>
        <mc:AlternateContent>
          <mc:Choice Requires="wps">
            <w:drawing>
              <wp:inline distT="0" distB="0" distL="0" distR="0" wp14:anchorId="356AEF47" wp14:editId="626A4C49">
                <wp:extent cx="0" cy="1828800"/>
                <wp:effectExtent l="38100" t="0" r="38100" b="0"/>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76200">
                          <a:solidFill>
                            <a:srgbClr val="808080"/>
                          </a:solidFill>
                          <a:prstDash val="dash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13" o:spid="_x0000_s1026" style="visibility:visible;mso-wrap-style:square;mso-left-percent:-10001;mso-top-percent:-10001;mso-position-horizontal:absolute;mso-position-horizontal-relative:char;mso-position-vertical:absolute;mso-position-vertical-relative:line;mso-left-percent:-10001;mso-top-percent:-10001" from="0,0" to="0,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" strokecolor="gray" strokeweight="6pt">
                <v:stroke dashstyle="dashDot"/>
                <w10:anchorlock/>
              </v:line>
            </w:pict>
          </mc:Fallback>
        </mc:AlternateContent>
      </w:r>
      <w:r w:rsidR="007C6B5D">
        <w:rPr>
          <w:noProof/>
          <w:lang w:eastAsia="en-AU"/>
        </w:rPr>
        <mc:AlternateContent>
          <mc:Choice Requires="wps">
            <w:drawing>
              <wp:inline distT="0" distB="0" distL="0" distR="0" wp14:anchorId="6FBF7868" wp14:editId="1F7B3302">
                <wp:extent cx="0" cy="504825"/>
                <wp:effectExtent l="38100" t="0" r="38100" b="0"/>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line">
                          <a:avLst/>
                        </a:prstGeom>
                        <a:noFill/>
                        <a:ln w="76200">
                          <a:solidFill>
                            <a:srgbClr val="808080"/>
                          </a:solidFill>
                          <a:prstDash val="dash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0,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" strokecolor="gray" strokeweight="6pt">
                <v:stroke dashstyle="dashDot"/>
                <w10:anchorlock/>
              </v:line>
            </w:pict>
          </mc:Fallback>
        </mc:AlternateContent>
      </w:r>
    </w:p>
    <w:p w:rsidR="007636B0" w:rsidRPr="003F4DD3" w:rsidRDefault="007636B0" w:rsidP="007C6B5D">
      <w:pPr>
        <w:ind w:left="-1560"/>
      </w:pPr>
      <w:r>
        <w:rPr>
          <w:noProof/>
          <w:lang w:eastAsia="en-AU"/>
        </w:rPr>
        <mc:AlternateContent>
          <mc:Choice Requires="wps">
            <w:drawing>
              <wp:inline distT="0" distB="0" distL="0" distR="0" wp14:anchorId="787CC41C" wp14:editId="657C51C4">
                <wp:extent cx="7429500" cy="2360930"/>
                <wp:effectExtent l="0" t="0" r="19050" b="2032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2360930"/>
                        </a:xfrm>
                        <a:prstGeom prst="rect">
                          <a:avLst/>
                        </a:prstGeom>
                        <a:solidFill>
                          <a:srgbClr val="FFFFFF"/>
                        </a:solidFill>
                        <a:ln w="9525">
                          <a:solidFill>
                            <a:srgbClr val="808080"/>
                          </a:solidFill>
                          <a:miter lim="800000"/>
                          <a:headEnd/>
                          <a:tailEnd/>
                        </a:ln>
                      </wps:spPr>
                      <wps:txbx>
                        <w:txbxContent>
                          <w:p w:rsidR="00A0097F" w:rsidRPr="000E0F3F" w:rsidRDefault="00A0097F" w:rsidP="007636B0">
                            <w:pPr>
                              <w:pStyle w:val="TitleHeading"/>
                              <w:spacing w:before="240"/>
                              <w:ind w:left="0" w:right="284"/>
                              <w:jc w:val="right"/>
                              <w:rPr>
                                <w:spacing w:val="60"/>
                                <w:sz w:val="50"/>
                                <w:szCs w:val="50"/>
                              </w:rPr>
                            </w:pPr>
                            <w:r>
                              <w:rPr>
                                <w:spacing w:val="60"/>
                                <w:sz w:val="50"/>
                                <w:szCs w:val="50"/>
                              </w:rPr>
                              <w:t>APPENDIX A4</w:t>
                            </w:r>
                          </w:p>
                          <w:p w:rsidR="00A0097F" w:rsidRDefault="00A0097F" w:rsidP="007636B0">
                            <w:pPr>
                              <w:pStyle w:val="TitleHeading"/>
                              <w:ind w:left="0" w:right="284"/>
                              <w:jc w:val="left"/>
                              <w:rPr>
                                <w:color w:val="CC0066"/>
                                <w:spacing w:val="60"/>
                                <w:sz w:val="50"/>
                                <w:szCs w:val="50"/>
                              </w:rPr>
                            </w:pPr>
                          </w:p>
                          <w:p w:rsidR="00A0097F" w:rsidRPr="003711A3" w:rsidRDefault="00A0097F" w:rsidP="007636B0">
                            <w:pPr>
                              <w:pStyle w:val="TitleHeading"/>
                              <w:ind w:left="0" w:right="284"/>
                              <w:jc w:val="right"/>
                              <w:rPr>
                                <w:color w:val="CC0066"/>
                                <w:spacing w:val="60"/>
                                <w:sz w:val="50"/>
                                <w:szCs w:val="50"/>
                              </w:rPr>
                            </w:pPr>
                            <w:r>
                              <w:rPr>
                                <w:color w:val="CC0066"/>
                                <w:spacing w:val="60"/>
                                <w:sz w:val="50"/>
                                <w:szCs w:val="50"/>
                              </w:rPr>
                              <w:t>The Derivation of HILs</w:t>
                            </w:r>
                            <w:r>
                              <w:rPr>
                                <w:color w:val="CC0066"/>
                                <w:spacing w:val="60"/>
                                <w:sz w:val="50"/>
                                <w:szCs w:val="50"/>
                              </w:rPr>
                              <w:br/>
                              <w:t>for Herbicides and Other Pesticides</w:t>
                            </w:r>
                          </w:p>
                          <w:p w:rsidR="00A0097F" w:rsidRPr="00B72F2E" w:rsidRDefault="00A0097F" w:rsidP="007636B0">
                            <w:pPr>
                              <w:jc w:val="right"/>
                              <w:rPr>
                                <w:sz w:val="60"/>
                                <w:szCs w:val="60"/>
                              </w:rPr>
                            </w:pPr>
                          </w:p>
                          <w:p w:rsidR="00A0097F" w:rsidRPr="002830CA" w:rsidRDefault="00A0097F" w:rsidP="007636B0">
                            <w:pPr>
                              <w:rPr>
                                <w:szCs w:val="60"/>
                              </w:rPr>
                            </w:pPr>
                          </w:p>
                        </w:txbxContent>
                      </wps:txbx>
                      <wps:bodyPr rot="0" vert="horz" wrap="square" lIns="91440" tIns="45720" rIns="91440" bIns="45720" anchor="t" anchorCtr="0" upright="1">
                        <a:noAutofit/>
                      </wps:bodyPr>
                    </wps:wsp>
                  </a:graphicData>
                </a:graphic>
              </wp:inline>
            </w:drawing>
          </mc:Choice>
          <mc:Fallback>
            <w:pict>
              <v:shape id="Text Box 12" o:spid="_x0000_s1027" type="#_x0000_t202" style="width:585pt;height:18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" strokecolor="gray">
                <v:textbox>
                  <w:txbxContent>
                    <w:p w:rsidR="009C6751" w:rsidRPr="000E0F3F" w:rsidRDefault="009C6751" w:rsidP="007636B0">
                      <w:pPr>
                        <w:pStyle w:val="TitleHeading"/>
                        <w:spacing w:before="240"/>
                        <w:ind w:left="0" w:right="284"/>
                        <w:jc w:val="right"/>
                        <w:rPr>
                          <w:spacing w:val="60"/>
                          <w:sz w:val="50"/>
                          <w:szCs w:val="50"/>
                        </w:rPr>
                      </w:pPr>
                      <w:r>
                        <w:rPr>
                          <w:spacing w:val="60"/>
                          <w:sz w:val="50"/>
                          <w:szCs w:val="50"/>
                        </w:rPr>
                        <w:t>APPENDIX A4</w:t>
                      </w:r>
                    </w:p>
                    <w:p w:rsidR="009C6751" w:rsidRDefault="009C6751" w:rsidP="007636B0">
                      <w:pPr>
                        <w:pStyle w:val="TitleHeading"/>
                        <w:ind w:left="0" w:right="284"/>
                        <w:jc w:val="left"/>
                        <w:rPr>
                          <w:color w:val="CC0066"/>
                          <w:spacing w:val="60"/>
                          <w:sz w:val="50"/>
                          <w:szCs w:val="50"/>
                        </w:rPr>
                      </w:pPr>
                    </w:p>
                    <w:p w:rsidR="009C6751" w:rsidRPr="003711A3" w:rsidRDefault="009C6751" w:rsidP="007636B0">
                      <w:pPr>
                        <w:pStyle w:val="TitleHeading"/>
                        <w:ind w:left="0" w:right="284"/>
                        <w:jc w:val="right"/>
                        <w:rPr>
                          <w:color w:val="CC0066"/>
                          <w:spacing w:val="60"/>
                          <w:sz w:val="50"/>
                          <w:szCs w:val="50"/>
                        </w:rPr>
                      </w:pPr>
                      <w:r>
                        <w:rPr>
                          <w:color w:val="CC0066"/>
                          <w:spacing w:val="60"/>
                          <w:sz w:val="50"/>
                          <w:szCs w:val="50"/>
                        </w:rPr>
                        <w:t>The Derivation of HILs</w:t>
                      </w:r>
                      <w:r>
                        <w:rPr>
                          <w:color w:val="CC0066"/>
                          <w:spacing w:val="60"/>
                          <w:sz w:val="50"/>
                          <w:szCs w:val="50"/>
                        </w:rPr>
                        <w:br/>
                        <w:t>for Herbicides and Other Pesticides</w:t>
                      </w:r>
                    </w:p>
                    <w:p w:rsidR="009C6751" w:rsidRPr="00B72F2E" w:rsidRDefault="009C6751" w:rsidP="007636B0">
                      <w:pPr>
                        <w:jc w:val="right"/>
                        <w:rPr>
                          <w:sz w:val="60"/>
                          <w:szCs w:val="60"/>
                        </w:rPr>
                      </w:pPr>
                    </w:p>
                    <w:p w:rsidR="009C6751" w:rsidRPr="002830CA" w:rsidRDefault="009C6751" w:rsidP="007636B0">
                      <w:pPr>
                        <w:rPr>
                          <w:szCs w:val="60"/>
                        </w:rPr>
                      </w:pPr>
                    </w:p>
                  </w:txbxContent>
                </v:textbox>
                <w10:anchorlock/>
              </v:shape>
            </w:pict>
          </mc:Fallback>
        </mc:AlternateContent>
      </w:r>
    </w:p>
    <w:p w:rsidR="007636B0" w:rsidRPr="003F4DD3" w:rsidRDefault="007636B0" w:rsidP="007C6B5D">
      <w:pPr>
        <w:ind w:left="-1560"/>
      </w:pPr>
    </w:p>
    <w:p w:rsidR="007636B0" w:rsidRPr="003F4DD3" w:rsidRDefault="007636B0" w:rsidP="007636B0"/>
    <w:p w:rsidR="007636B0" w:rsidRPr="003F4DD3" w:rsidRDefault="007636B0" w:rsidP="007636B0">
      <w:pPr>
        <w:pStyle w:val="text"/>
      </w:pPr>
    </w:p>
    <w:p w:rsidR="007636B0" w:rsidRPr="003F4DD3" w:rsidRDefault="007636B0" w:rsidP="007636B0">
      <w:pPr>
        <w:pStyle w:val="text"/>
        <w:rPr>
          <w:rFonts w:ascii="Arial" w:hAnsi="Arial" w:cs="Arial"/>
        </w:rPr>
      </w:pPr>
    </w:p>
    <w:p w:rsidR="007636B0" w:rsidRPr="003F4DD3" w:rsidRDefault="007636B0" w:rsidP="007636B0">
      <w:pPr>
        <w:sectPr w:rsidR="007636B0" w:rsidRPr="003F4DD3" w:rsidSect="007636B0">
          <w:footerReference w:type="even" r:id="rId9"/>
          <w:footerReference w:type="default" r:id="rId10"/>
          <w:headerReference w:type="first" r:id="rId11"/>
          <w:pgSz w:w="11906" w:h="16838" w:code="9"/>
          <w:pgMar w:top="1134" w:right="1418" w:bottom="1134" w:left="1701" w:header="720" w:footer="720" w:gutter="0"/>
          <w:cols w:space="720"/>
        </w:sectPr>
      </w:pPr>
    </w:p>
    <w:p w:rsidR="007636B0" w:rsidRPr="003F4DD3" w:rsidRDefault="007636B0" w:rsidP="0006666F">
      <w:pPr>
        <w:pStyle w:val="TOC1"/>
      </w:pPr>
      <w:r>
        <w:rPr>
          <w:noProof/>
        </w:rPr>
        <w:lastRenderedPageBreak/>
        <mc:AlternateContent>
          <mc:Choice Requires="wps">
            <w:drawing>
              <wp:anchor distT="0" distB="0" distL="114300" distR="114300" simplePos="0" relativeHeight="251661312" behindDoc="0" locked="0" layoutInCell="0" allowOverlap="1">
                <wp:simplePos x="0" y="0"/>
                <wp:positionH relativeFrom="page">
                  <wp:posOffset>914400</wp:posOffset>
                </wp:positionH>
                <wp:positionV relativeFrom="page">
                  <wp:posOffset>833755</wp:posOffset>
                </wp:positionV>
                <wp:extent cx="6126480" cy="1328420"/>
                <wp:effectExtent l="0" t="0" r="26670" b="2413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328420"/>
                        </a:xfrm>
                        <a:prstGeom prst="rect">
                          <a:avLst/>
                        </a:prstGeom>
                        <a:noFill/>
                        <a:ln w="9525">
                          <a:solidFill>
                            <a:srgbClr val="000000"/>
                          </a:solidFill>
                          <a:miter lim="800000"/>
                          <a:headEnd/>
                          <a:tailEnd/>
                        </a:ln>
                        <a:extLst>
                          <a:ext uri="{909E8E84-426E-40DD-AFC4-6F175D3DCCD1}">
                            <a14:hiddenFill xmlns:a14="http://schemas.microsoft.com/office/drawing/2010/main">
                              <a:gradFill rotWithShape="0">
                                <a:gsLst>
                                  <a:gs pos="0">
                                    <a:srgbClr val="FFFFFF">
                                      <a:gamma/>
                                      <a:shade val="46275"/>
                                      <a:invGamma/>
                                    </a:srgbClr>
                                  </a:gs>
                                  <a:gs pos="100000">
                                    <a:srgbClr val="FFFFFF"/>
                                  </a:gs>
                                </a:gsLst>
                                <a:lin ang="5400000" scaled="1"/>
                              </a:gradFill>
                            </a14:hiddenFill>
                          </a:ext>
                        </a:extLst>
                      </wps:spPr>
                      <wps:txbx>
                        <w:txbxContent>
                          <w:p w:rsidR="00A0097F" w:rsidRPr="00E025E6" w:rsidRDefault="00A0097F" w:rsidP="007636B0">
                            <w:pPr>
                              <w:jc w:val="center"/>
                              <w:rPr>
                                <w:rFonts w:ascii="Arial" w:hAnsi="Arial" w:cs="Arial"/>
                                <w:b/>
                                <w:sz w:val="32"/>
                                <w:szCs w:val="32"/>
                              </w:rPr>
                            </w:pPr>
                            <w:r w:rsidRPr="00E025E6">
                              <w:rPr>
                                <w:rFonts w:ascii="Arial" w:hAnsi="Arial" w:cs="Arial"/>
                                <w:b/>
                                <w:sz w:val="32"/>
                                <w:szCs w:val="32"/>
                              </w:rPr>
                              <w:t>Contents</w:t>
                            </w:r>
                          </w:p>
                          <w:p w:rsidR="00A0097F" w:rsidRPr="00E025E6" w:rsidRDefault="00A0097F" w:rsidP="007636B0">
                            <w:pPr>
                              <w:jc w:val="center"/>
                              <w:rPr>
                                <w:rFonts w:ascii="Arial" w:hAnsi="Arial" w:cs="Arial"/>
                                <w:b/>
                                <w:sz w:val="32"/>
                                <w:szCs w:val="32"/>
                              </w:rPr>
                            </w:pPr>
                            <w:r>
                              <w:rPr>
                                <w:rFonts w:ascii="Arial" w:hAnsi="Arial" w:cs="Arial"/>
                                <w:b/>
                                <w:sz w:val="32"/>
                                <w:szCs w:val="32"/>
                              </w:rPr>
                              <w:t>The derivation of HILs for herbicides and other pesticides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left:0;text-align:left;margin-left:1in;margin-top:65.65pt;width:482.4pt;height:104.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" o:allowincell="f" filled="f" fillcolor="#767676">
                <v:fill focus="100%" type="gradient"/>
                <v:textbox>
                  <w:txbxContent>
                    <w:p w:rsidR="00A0097F" w:rsidRPr="00E025E6" w:rsidRDefault="00A0097F" w:rsidP="007636B0">
                      <w:pPr>
                        <w:jc w:val="center"/>
                        <w:rPr>
                          <w:rFonts w:ascii="Arial" w:hAnsi="Arial" w:cs="Arial"/>
                          <w:b/>
                          <w:sz w:val="32"/>
                          <w:szCs w:val="32"/>
                        </w:rPr>
                      </w:pPr>
                      <w:r w:rsidRPr="00E025E6">
                        <w:rPr>
                          <w:rFonts w:ascii="Arial" w:hAnsi="Arial" w:cs="Arial"/>
                          <w:b/>
                          <w:sz w:val="32"/>
                          <w:szCs w:val="32"/>
                        </w:rPr>
                        <w:t>Contents</w:t>
                      </w:r>
                    </w:p>
                    <w:p w:rsidR="00A0097F" w:rsidRPr="00E025E6" w:rsidRDefault="00A0097F" w:rsidP="007636B0">
                      <w:pPr>
                        <w:jc w:val="center"/>
                        <w:rPr>
                          <w:rFonts w:ascii="Arial" w:hAnsi="Arial" w:cs="Arial"/>
                          <w:b/>
                          <w:sz w:val="32"/>
                          <w:szCs w:val="32"/>
                        </w:rPr>
                      </w:pPr>
                      <w:r>
                        <w:rPr>
                          <w:rFonts w:ascii="Arial" w:hAnsi="Arial" w:cs="Arial"/>
                          <w:b/>
                          <w:sz w:val="32"/>
                          <w:szCs w:val="32"/>
                        </w:rPr>
                        <w:t>The derivation of HILs for herbicides and other pesticides</w:t>
                      </w:r>
                    </w:p>
                  </w:txbxContent>
                </v:textbox>
                <w10:wrap type="square" anchorx="page" anchory="page"/>
              </v:shape>
            </w:pict>
          </mc:Fallback>
        </mc:AlternateContent>
      </w:r>
      <w:r w:rsidR="0006666F">
        <w:tab/>
      </w:r>
      <w:r w:rsidR="0006666F">
        <w:tab/>
      </w:r>
      <w:r w:rsidRPr="003F4DD3">
        <w:t>Page</w:t>
      </w:r>
    </w:p>
    <w:p w:rsidR="00297258" w:rsidRDefault="0006666F" w:rsidP="00297258">
      <w:pPr>
        <w:pStyle w:val="TOC1"/>
        <w:keepNext w:val="0"/>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297258">
        <w:rPr>
          <w:noProof/>
        </w:rPr>
        <w:t>1</w:t>
      </w:r>
      <w:r w:rsidR="00297258">
        <w:rPr>
          <w:rFonts w:asciiTheme="minorHAnsi" w:eastAsiaTheme="minorEastAsia" w:hAnsiTheme="minorHAnsi" w:cstheme="minorBidi"/>
          <w:b w:val="0"/>
          <w:noProof/>
          <w:kern w:val="0"/>
          <w:sz w:val="22"/>
          <w:szCs w:val="22"/>
        </w:rPr>
        <w:tab/>
      </w:r>
      <w:r w:rsidR="00297258">
        <w:rPr>
          <w:noProof/>
        </w:rPr>
        <w:t>2,4,5-T</w:t>
      </w:r>
      <w:r w:rsidR="00297258">
        <w:rPr>
          <w:noProof/>
        </w:rPr>
        <w:tab/>
      </w:r>
      <w:r w:rsidR="00297258">
        <w:rPr>
          <w:noProof/>
        </w:rPr>
        <w:fldChar w:fldCharType="begin"/>
      </w:r>
      <w:r w:rsidR="00297258">
        <w:rPr>
          <w:noProof/>
        </w:rPr>
        <w:instrText xml:space="preserve"> PAGEREF _Toc351714241 \h </w:instrText>
      </w:r>
      <w:r w:rsidR="00297258">
        <w:rPr>
          <w:noProof/>
        </w:rPr>
      </w:r>
      <w:r w:rsidR="00297258">
        <w:rPr>
          <w:noProof/>
        </w:rPr>
        <w:fldChar w:fldCharType="separate"/>
      </w:r>
      <w:r w:rsidR="00F46106">
        <w:rPr>
          <w:noProof/>
        </w:rPr>
        <w:t>1</w:t>
      </w:r>
      <w:r w:rsidR="00297258">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1.1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_Toc351714242 \h </w:instrText>
      </w:r>
      <w:r>
        <w:rPr>
          <w:noProof/>
        </w:rPr>
      </w:r>
      <w:r>
        <w:rPr>
          <w:noProof/>
        </w:rPr>
        <w:fldChar w:fldCharType="separate"/>
      </w:r>
      <w:r w:rsidR="00F46106">
        <w:rPr>
          <w:noProof/>
        </w:rPr>
        <w:t>1</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1.2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_Toc351714243 \h </w:instrText>
      </w:r>
      <w:r>
        <w:rPr>
          <w:noProof/>
        </w:rPr>
      </w:r>
      <w:r>
        <w:rPr>
          <w:noProof/>
        </w:rPr>
        <w:fldChar w:fldCharType="separate"/>
      </w:r>
      <w:r w:rsidR="00F46106">
        <w:rPr>
          <w:noProof/>
        </w:rPr>
        <w:t>1</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1.3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_Toc351714244 \h </w:instrText>
      </w:r>
      <w:r>
        <w:rPr>
          <w:noProof/>
        </w:rPr>
      </w:r>
      <w:r>
        <w:rPr>
          <w:noProof/>
        </w:rPr>
        <w:fldChar w:fldCharType="separate"/>
      </w:r>
      <w:r w:rsidR="00F46106">
        <w:rPr>
          <w:noProof/>
        </w:rPr>
        <w:t>1</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1.3.1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_Toc351714245 \h </w:instrText>
      </w:r>
      <w:r>
        <w:rPr>
          <w:noProof/>
        </w:rPr>
      </w:r>
      <w:r>
        <w:rPr>
          <w:noProof/>
        </w:rPr>
        <w:fldChar w:fldCharType="separate"/>
      </w:r>
      <w:r w:rsidR="00F46106">
        <w:rPr>
          <w:noProof/>
        </w:rPr>
        <w:t>1</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1.3.2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_Toc351714246 \h </w:instrText>
      </w:r>
      <w:r>
        <w:rPr>
          <w:noProof/>
        </w:rPr>
      </w:r>
      <w:r>
        <w:rPr>
          <w:noProof/>
        </w:rPr>
        <w:fldChar w:fldCharType="separate"/>
      </w:r>
      <w:r w:rsidR="00F46106">
        <w:rPr>
          <w:noProof/>
        </w:rPr>
        <w:t>1</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1.3.3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_Toc351714247 \h </w:instrText>
      </w:r>
      <w:r>
        <w:rPr>
          <w:noProof/>
        </w:rPr>
      </w:r>
      <w:r>
        <w:rPr>
          <w:noProof/>
        </w:rPr>
        <w:fldChar w:fldCharType="separate"/>
      </w:r>
      <w:r w:rsidR="00F46106">
        <w:rPr>
          <w:noProof/>
        </w:rPr>
        <w:t>1</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1.3.4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_Toc351714248 \h </w:instrText>
      </w:r>
      <w:r>
        <w:rPr>
          <w:noProof/>
        </w:rPr>
      </w:r>
      <w:r>
        <w:rPr>
          <w:noProof/>
        </w:rPr>
        <w:fldChar w:fldCharType="separate"/>
      </w:r>
      <w:r w:rsidR="00F46106">
        <w:rPr>
          <w:noProof/>
        </w:rPr>
        <w:t>1</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1.3.5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_Toc351714249 \h </w:instrText>
      </w:r>
      <w:r>
        <w:rPr>
          <w:noProof/>
        </w:rPr>
      </w:r>
      <w:r>
        <w:rPr>
          <w:noProof/>
        </w:rPr>
        <w:fldChar w:fldCharType="separate"/>
      </w:r>
      <w:r w:rsidR="00F46106">
        <w:rPr>
          <w:noProof/>
        </w:rPr>
        <w:t>2</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1.4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_Toc351714250 \h </w:instrText>
      </w:r>
      <w:r>
        <w:rPr>
          <w:noProof/>
        </w:rPr>
      </w:r>
      <w:r>
        <w:rPr>
          <w:noProof/>
        </w:rPr>
        <w:fldChar w:fldCharType="separate"/>
      </w:r>
      <w:r w:rsidR="00F46106">
        <w:rPr>
          <w:noProof/>
        </w:rPr>
        <w:t>2</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1.4.1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_Toc351714251 \h </w:instrText>
      </w:r>
      <w:r>
        <w:rPr>
          <w:noProof/>
        </w:rPr>
      </w:r>
      <w:r>
        <w:rPr>
          <w:noProof/>
        </w:rPr>
        <w:fldChar w:fldCharType="separate"/>
      </w:r>
      <w:r w:rsidR="00F46106">
        <w:rPr>
          <w:noProof/>
        </w:rPr>
        <w:t>2</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1.4.2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_Toc351714252 \h </w:instrText>
      </w:r>
      <w:r>
        <w:rPr>
          <w:noProof/>
        </w:rPr>
      </w:r>
      <w:r>
        <w:rPr>
          <w:noProof/>
        </w:rPr>
        <w:fldChar w:fldCharType="separate"/>
      </w:r>
      <w:r w:rsidR="00F46106">
        <w:rPr>
          <w:noProof/>
        </w:rPr>
        <w:t>2</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1.4.3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_Toc351714253 \h </w:instrText>
      </w:r>
      <w:r>
        <w:rPr>
          <w:noProof/>
        </w:rPr>
      </w:r>
      <w:r>
        <w:rPr>
          <w:noProof/>
        </w:rPr>
        <w:fldChar w:fldCharType="separate"/>
      </w:r>
      <w:r w:rsidR="00F46106">
        <w:rPr>
          <w:noProof/>
        </w:rPr>
        <w:t>3</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1.5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_Toc351714254 \h </w:instrText>
      </w:r>
      <w:r>
        <w:rPr>
          <w:noProof/>
        </w:rPr>
      </w:r>
      <w:r>
        <w:rPr>
          <w:noProof/>
        </w:rPr>
        <w:fldChar w:fldCharType="separate"/>
      </w:r>
      <w:r w:rsidR="00F46106">
        <w:rPr>
          <w:noProof/>
        </w:rPr>
        <w:t>4</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1.6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_Toc351714255 \h </w:instrText>
      </w:r>
      <w:r>
        <w:rPr>
          <w:noProof/>
        </w:rPr>
      </w:r>
      <w:r>
        <w:rPr>
          <w:noProof/>
        </w:rPr>
        <w:fldChar w:fldCharType="separate"/>
      </w:r>
      <w:r w:rsidR="00F46106">
        <w:rPr>
          <w:noProof/>
        </w:rPr>
        <w:t>4</w:t>
      </w:r>
      <w:r>
        <w:rPr>
          <w:noProof/>
        </w:rPr>
        <w:fldChar w:fldCharType="end"/>
      </w:r>
    </w:p>
    <w:p w:rsidR="00297258" w:rsidRDefault="00297258" w:rsidP="00297258">
      <w:pPr>
        <w:pStyle w:val="TOC1"/>
        <w:keepNext w:val="0"/>
        <w:rPr>
          <w:rFonts w:asciiTheme="minorHAnsi" w:eastAsiaTheme="minorEastAsia" w:hAnsiTheme="minorHAnsi" w:cstheme="minorBidi"/>
          <w:b w:val="0"/>
          <w:noProof/>
          <w:kern w:val="0"/>
          <w:sz w:val="22"/>
          <w:szCs w:val="22"/>
        </w:rPr>
      </w:pPr>
      <w:r>
        <w:rPr>
          <w:noProof/>
        </w:rPr>
        <w:t>2</w:t>
      </w:r>
      <w:r>
        <w:rPr>
          <w:rFonts w:asciiTheme="minorHAnsi" w:eastAsiaTheme="minorEastAsia" w:hAnsiTheme="minorHAnsi" w:cstheme="minorBidi"/>
          <w:b w:val="0"/>
          <w:noProof/>
          <w:kern w:val="0"/>
          <w:sz w:val="22"/>
          <w:szCs w:val="22"/>
        </w:rPr>
        <w:tab/>
      </w:r>
      <w:r>
        <w:rPr>
          <w:noProof/>
        </w:rPr>
        <w:t>2,4-D</w:t>
      </w:r>
      <w:r>
        <w:rPr>
          <w:noProof/>
        </w:rPr>
        <w:tab/>
      </w:r>
      <w:r>
        <w:rPr>
          <w:noProof/>
        </w:rPr>
        <w:fldChar w:fldCharType="begin"/>
      </w:r>
      <w:r>
        <w:rPr>
          <w:noProof/>
        </w:rPr>
        <w:instrText xml:space="preserve"> PAGEREF _Toc351714256 \h </w:instrText>
      </w:r>
      <w:r>
        <w:rPr>
          <w:noProof/>
        </w:rPr>
      </w:r>
      <w:r>
        <w:rPr>
          <w:noProof/>
        </w:rPr>
        <w:fldChar w:fldCharType="separate"/>
      </w:r>
      <w:r w:rsidR="00F46106">
        <w:rPr>
          <w:noProof/>
        </w:rPr>
        <w:t>6</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2.1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_Toc351714257 \h </w:instrText>
      </w:r>
      <w:r>
        <w:rPr>
          <w:noProof/>
        </w:rPr>
      </w:r>
      <w:r>
        <w:rPr>
          <w:noProof/>
        </w:rPr>
        <w:fldChar w:fldCharType="separate"/>
      </w:r>
      <w:r w:rsidR="00F46106">
        <w:rPr>
          <w:noProof/>
        </w:rPr>
        <w:t>6</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2.2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_Toc351714258 \h </w:instrText>
      </w:r>
      <w:r>
        <w:rPr>
          <w:noProof/>
        </w:rPr>
      </w:r>
      <w:r>
        <w:rPr>
          <w:noProof/>
        </w:rPr>
        <w:fldChar w:fldCharType="separate"/>
      </w:r>
      <w:r w:rsidR="00F46106">
        <w:rPr>
          <w:noProof/>
        </w:rPr>
        <w:t>6</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2.3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_Toc351714259 \h </w:instrText>
      </w:r>
      <w:r>
        <w:rPr>
          <w:noProof/>
        </w:rPr>
      </w:r>
      <w:r>
        <w:rPr>
          <w:noProof/>
        </w:rPr>
        <w:fldChar w:fldCharType="separate"/>
      </w:r>
      <w:r w:rsidR="00F46106">
        <w:rPr>
          <w:noProof/>
        </w:rPr>
        <w:t>6</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2.3.1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_Toc351714260 \h </w:instrText>
      </w:r>
      <w:r>
        <w:rPr>
          <w:noProof/>
        </w:rPr>
      </w:r>
      <w:r>
        <w:rPr>
          <w:noProof/>
        </w:rPr>
        <w:fldChar w:fldCharType="separate"/>
      </w:r>
      <w:r w:rsidR="00F46106">
        <w:rPr>
          <w:noProof/>
        </w:rPr>
        <w:t>6</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2.3.2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_Toc351714261 \h </w:instrText>
      </w:r>
      <w:r>
        <w:rPr>
          <w:noProof/>
        </w:rPr>
      </w:r>
      <w:r>
        <w:rPr>
          <w:noProof/>
        </w:rPr>
        <w:fldChar w:fldCharType="separate"/>
      </w:r>
      <w:r w:rsidR="00F46106">
        <w:rPr>
          <w:noProof/>
        </w:rPr>
        <w:t>6</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2.3.3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_Toc351714262 \h </w:instrText>
      </w:r>
      <w:r>
        <w:rPr>
          <w:noProof/>
        </w:rPr>
      </w:r>
      <w:r>
        <w:rPr>
          <w:noProof/>
        </w:rPr>
        <w:fldChar w:fldCharType="separate"/>
      </w:r>
      <w:r w:rsidR="00F46106">
        <w:rPr>
          <w:noProof/>
        </w:rPr>
        <w:t>7</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2.3.4</w:t>
      </w:r>
      <w:r>
        <w:rPr>
          <w:rFonts w:asciiTheme="minorHAnsi" w:eastAsiaTheme="minorEastAsia" w:hAnsiTheme="minorHAnsi" w:cstheme="minorBidi"/>
          <w:b w:val="0"/>
          <w:noProof/>
          <w:kern w:val="0"/>
          <w:szCs w:val="22"/>
        </w:rPr>
        <w:tab/>
      </w:r>
      <w:r>
        <w:rPr>
          <w:noProof/>
        </w:rPr>
        <w:t>Pl</w:t>
      </w:r>
      <w:bookmarkStart w:id="0" w:name="_GoBack"/>
      <w:bookmarkEnd w:id="0"/>
      <w:r>
        <w:rPr>
          <w:noProof/>
        </w:rPr>
        <w:t>ant Uptake</w:t>
      </w:r>
      <w:r>
        <w:rPr>
          <w:noProof/>
        </w:rPr>
        <w:tab/>
      </w:r>
      <w:r>
        <w:rPr>
          <w:noProof/>
        </w:rPr>
        <w:fldChar w:fldCharType="begin"/>
      </w:r>
      <w:r>
        <w:rPr>
          <w:noProof/>
        </w:rPr>
        <w:instrText xml:space="preserve"> PAGEREF _Toc351714263 \h </w:instrText>
      </w:r>
      <w:r>
        <w:rPr>
          <w:noProof/>
        </w:rPr>
      </w:r>
      <w:r>
        <w:rPr>
          <w:noProof/>
        </w:rPr>
        <w:fldChar w:fldCharType="separate"/>
      </w:r>
      <w:r w:rsidR="00F46106">
        <w:rPr>
          <w:noProof/>
        </w:rPr>
        <w:t>7</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2.3.5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_Toc351714264 \h </w:instrText>
      </w:r>
      <w:r>
        <w:rPr>
          <w:noProof/>
        </w:rPr>
      </w:r>
      <w:r>
        <w:rPr>
          <w:noProof/>
        </w:rPr>
        <w:fldChar w:fldCharType="separate"/>
      </w:r>
      <w:r w:rsidR="00F46106">
        <w:rPr>
          <w:noProof/>
        </w:rPr>
        <w:t>7</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2.4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_Toc351714265 \h </w:instrText>
      </w:r>
      <w:r>
        <w:rPr>
          <w:noProof/>
        </w:rPr>
      </w:r>
      <w:r>
        <w:rPr>
          <w:noProof/>
        </w:rPr>
        <w:fldChar w:fldCharType="separate"/>
      </w:r>
      <w:r w:rsidR="00F46106">
        <w:rPr>
          <w:noProof/>
        </w:rPr>
        <w:t>7</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2.4.1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_Toc351714266 \h </w:instrText>
      </w:r>
      <w:r>
        <w:rPr>
          <w:noProof/>
        </w:rPr>
      </w:r>
      <w:r>
        <w:rPr>
          <w:noProof/>
        </w:rPr>
        <w:fldChar w:fldCharType="separate"/>
      </w:r>
      <w:r w:rsidR="00F46106">
        <w:rPr>
          <w:noProof/>
        </w:rPr>
        <w:t>7</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2.4.2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_Toc351714267 \h </w:instrText>
      </w:r>
      <w:r>
        <w:rPr>
          <w:noProof/>
        </w:rPr>
      </w:r>
      <w:r>
        <w:rPr>
          <w:noProof/>
        </w:rPr>
        <w:fldChar w:fldCharType="separate"/>
      </w:r>
      <w:r w:rsidR="00F46106">
        <w:rPr>
          <w:noProof/>
        </w:rPr>
        <w:t>7</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2.4.3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_Toc351714268 \h </w:instrText>
      </w:r>
      <w:r>
        <w:rPr>
          <w:noProof/>
        </w:rPr>
      </w:r>
      <w:r>
        <w:rPr>
          <w:noProof/>
        </w:rPr>
        <w:fldChar w:fldCharType="separate"/>
      </w:r>
      <w:r w:rsidR="00F46106">
        <w:rPr>
          <w:noProof/>
        </w:rPr>
        <w:t>8</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2.5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_Toc351714269 \h </w:instrText>
      </w:r>
      <w:r>
        <w:rPr>
          <w:noProof/>
        </w:rPr>
      </w:r>
      <w:r>
        <w:rPr>
          <w:noProof/>
        </w:rPr>
        <w:fldChar w:fldCharType="separate"/>
      </w:r>
      <w:r w:rsidR="00F46106">
        <w:rPr>
          <w:noProof/>
        </w:rPr>
        <w:t>9</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2.6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_Toc351714270 \h </w:instrText>
      </w:r>
      <w:r>
        <w:rPr>
          <w:noProof/>
        </w:rPr>
      </w:r>
      <w:r>
        <w:rPr>
          <w:noProof/>
        </w:rPr>
        <w:fldChar w:fldCharType="separate"/>
      </w:r>
      <w:r w:rsidR="00F46106">
        <w:rPr>
          <w:noProof/>
        </w:rPr>
        <w:t>9</w:t>
      </w:r>
      <w:r>
        <w:rPr>
          <w:noProof/>
        </w:rPr>
        <w:fldChar w:fldCharType="end"/>
      </w:r>
    </w:p>
    <w:p w:rsidR="00297258" w:rsidRDefault="00297258" w:rsidP="00297258">
      <w:pPr>
        <w:pStyle w:val="TOC1"/>
        <w:keepNext w:val="0"/>
        <w:rPr>
          <w:rFonts w:asciiTheme="minorHAnsi" w:eastAsiaTheme="minorEastAsia" w:hAnsiTheme="minorHAnsi" w:cstheme="minorBidi"/>
          <w:b w:val="0"/>
          <w:noProof/>
          <w:kern w:val="0"/>
          <w:sz w:val="22"/>
          <w:szCs w:val="22"/>
        </w:rPr>
      </w:pPr>
      <w:r>
        <w:rPr>
          <w:noProof/>
        </w:rPr>
        <w:t>3</w:t>
      </w:r>
      <w:r>
        <w:rPr>
          <w:rFonts w:asciiTheme="minorHAnsi" w:eastAsiaTheme="minorEastAsia" w:hAnsiTheme="minorHAnsi" w:cstheme="minorBidi"/>
          <w:b w:val="0"/>
          <w:noProof/>
          <w:kern w:val="0"/>
          <w:sz w:val="22"/>
          <w:szCs w:val="22"/>
        </w:rPr>
        <w:tab/>
      </w:r>
      <w:r>
        <w:rPr>
          <w:noProof/>
        </w:rPr>
        <w:t>MCPA, MCPB and Mecoprop</w:t>
      </w:r>
      <w:r>
        <w:rPr>
          <w:noProof/>
        </w:rPr>
        <w:tab/>
      </w:r>
      <w:r>
        <w:rPr>
          <w:noProof/>
        </w:rPr>
        <w:fldChar w:fldCharType="begin"/>
      </w:r>
      <w:r>
        <w:rPr>
          <w:noProof/>
        </w:rPr>
        <w:instrText xml:space="preserve"> PAGEREF _Toc351714271 \h </w:instrText>
      </w:r>
      <w:r>
        <w:rPr>
          <w:noProof/>
        </w:rPr>
      </w:r>
      <w:r>
        <w:rPr>
          <w:noProof/>
        </w:rPr>
        <w:fldChar w:fldCharType="separate"/>
      </w:r>
      <w:r w:rsidR="00F46106">
        <w:rPr>
          <w:noProof/>
        </w:rPr>
        <w:t>11</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3.1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_Toc351714272 \h </w:instrText>
      </w:r>
      <w:r>
        <w:rPr>
          <w:noProof/>
        </w:rPr>
      </w:r>
      <w:r>
        <w:rPr>
          <w:noProof/>
        </w:rPr>
        <w:fldChar w:fldCharType="separate"/>
      </w:r>
      <w:r w:rsidR="00F46106">
        <w:rPr>
          <w:noProof/>
        </w:rPr>
        <w:t>11</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lastRenderedPageBreak/>
        <w:t>3.2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_Toc351714273 \h </w:instrText>
      </w:r>
      <w:r>
        <w:rPr>
          <w:noProof/>
        </w:rPr>
      </w:r>
      <w:r>
        <w:rPr>
          <w:noProof/>
        </w:rPr>
        <w:fldChar w:fldCharType="separate"/>
      </w:r>
      <w:r w:rsidR="00F46106">
        <w:rPr>
          <w:noProof/>
        </w:rPr>
        <w:t>11</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3.3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_Toc351714274 \h </w:instrText>
      </w:r>
      <w:r>
        <w:rPr>
          <w:noProof/>
        </w:rPr>
      </w:r>
      <w:r>
        <w:rPr>
          <w:noProof/>
        </w:rPr>
        <w:fldChar w:fldCharType="separate"/>
      </w:r>
      <w:r w:rsidR="00F46106">
        <w:rPr>
          <w:noProof/>
        </w:rPr>
        <w:t>11</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3.3.1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_Toc351714275 \h </w:instrText>
      </w:r>
      <w:r>
        <w:rPr>
          <w:noProof/>
        </w:rPr>
      </w:r>
      <w:r>
        <w:rPr>
          <w:noProof/>
        </w:rPr>
        <w:fldChar w:fldCharType="separate"/>
      </w:r>
      <w:r w:rsidR="00F46106">
        <w:rPr>
          <w:noProof/>
        </w:rPr>
        <w:t>11</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3.3.2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_Toc351714276 \h </w:instrText>
      </w:r>
      <w:r>
        <w:rPr>
          <w:noProof/>
        </w:rPr>
      </w:r>
      <w:r>
        <w:rPr>
          <w:noProof/>
        </w:rPr>
        <w:fldChar w:fldCharType="separate"/>
      </w:r>
      <w:r w:rsidR="00F46106">
        <w:rPr>
          <w:noProof/>
        </w:rPr>
        <w:t>11</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3.3.3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_Toc351714277 \h </w:instrText>
      </w:r>
      <w:r>
        <w:rPr>
          <w:noProof/>
        </w:rPr>
      </w:r>
      <w:r>
        <w:rPr>
          <w:noProof/>
        </w:rPr>
        <w:fldChar w:fldCharType="separate"/>
      </w:r>
      <w:r w:rsidR="00F46106">
        <w:rPr>
          <w:noProof/>
        </w:rPr>
        <w:t>11</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3.3.4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_Toc351714278 \h </w:instrText>
      </w:r>
      <w:r>
        <w:rPr>
          <w:noProof/>
        </w:rPr>
      </w:r>
      <w:r>
        <w:rPr>
          <w:noProof/>
        </w:rPr>
        <w:fldChar w:fldCharType="separate"/>
      </w:r>
      <w:r w:rsidR="00F46106">
        <w:rPr>
          <w:noProof/>
        </w:rPr>
        <w:t>11</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3.3.5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_Toc351714279 \h </w:instrText>
      </w:r>
      <w:r>
        <w:rPr>
          <w:noProof/>
        </w:rPr>
      </w:r>
      <w:r>
        <w:rPr>
          <w:noProof/>
        </w:rPr>
        <w:fldChar w:fldCharType="separate"/>
      </w:r>
      <w:r w:rsidR="00F46106">
        <w:rPr>
          <w:noProof/>
        </w:rPr>
        <w:t>12</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3.4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_Toc351714280 \h </w:instrText>
      </w:r>
      <w:r>
        <w:rPr>
          <w:noProof/>
        </w:rPr>
      </w:r>
      <w:r>
        <w:rPr>
          <w:noProof/>
        </w:rPr>
        <w:fldChar w:fldCharType="separate"/>
      </w:r>
      <w:r w:rsidR="00F46106">
        <w:rPr>
          <w:noProof/>
        </w:rPr>
        <w:t>12</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3.4.1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_Toc351714281 \h </w:instrText>
      </w:r>
      <w:r>
        <w:rPr>
          <w:noProof/>
        </w:rPr>
      </w:r>
      <w:r>
        <w:rPr>
          <w:noProof/>
        </w:rPr>
        <w:fldChar w:fldCharType="separate"/>
      </w:r>
      <w:r w:rsidR="00F46106">
        <w:rPr>
          <w:noProof/>
        </w:rPr>
        <w:t>12</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3.4.2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_Toc351714282 \h </w:instrText>
      </w:r>
      <w:r>
        <w:rPr>
          <w:noProof/>
        </w:rPr>
      </w:r>
      <w:r>
        <w:rPr>
          <w:noProof/>
        </w:rPr>
        <w:fldChar w:fldCharType="separate"/>
      </w:r>
      <w:r w:rsidR="00F46106">
        <w:rPr>
          <w:noProof/>
        </w:rPr>
        <w:t>12</w:t>
      </w:r>
      <w:r>
        <w:rPr>
          <w:noProof/>
        </w:rPr>
        <w:fldChar w:fldCharType="end"/>
      </w:r>
    </w:p>
    <w:p w:rsidR="00297258" w:rsidRDefault="00297258" w:rsidP="00297258">
      <w:pPr>
        <w:pStyle w:val="TOC4"/>
        <w:tabs>
          <w:tab w:val="left" w:pos="2183"/>
        </w:tabs>
        <w:rPr>
          <w:rFonts w:asciiTheme="minorHAnsi" w:eastAsiaTheme="minorEastAsia" w:hAnsiTheme="minorHAnsi" w:cstheme="minorBidi"/>
          <w:b w:val="0"/>
          <w:noProof/>
          <w:kern w:val="0"/>
          <w:sz w:val="22"/>
          <w:szCs w:val="22"/>
        </w:rPr>
      </w:pPr>
      <w:r>
        <w:rPr>
          <w:noProof/>
        </w:rPr>
        <w:t>3.4.2.1</w:t>
      </w:r>
      <w:r>
        <w:rPr>
          <w:rFonts w:asciiTheme="minorHAnsi" w:eastAsiaTheme="minorEastAsia" w:hAnsiTheme="minorHAnsi" w:cstheme="minorBidi"/>
          <w:b w:val="0"/>
          <w:noProof/>
          <w:kern w:val="0"/>
          <w:sz w:val="22"/>
          <w:szCs w:val="22"/>
        </w:rPr>
        <w:tab/>
      </w:r>
      <w:r>
        <w:rPr>
          <w:noProof/>
        </w:rPr>
        <w:t>MCPA</w:t>
      </w:r>
      <w:r>
        <w:rPr>
          <w:noProof/>
        </w:rPr>
        <w:tab/>
      </w:r>
      <w:r>
        <w:rPr>
          <w:noProof/>
        </w:rPr>
        <w:fldChar w:fldCharType="begin"/>
      </w:r>
      <w:r>
        <w:rPr>
          <w:noProof/>
        </w:rPr>
        <w:instrText xml:space="preserve"> PAGEREF _Toc351714283 \h </w:instrText>
      </w:r>
      <w:r>
        <w:rPr>
          <w:noProof/>
        </w:rPr>
      </w:r>
      <w:r>
        <w:rPr>
          <w:noProof/>
        </w:rPr>
        <w:fldChar w:fldCharType="separate"/>
      </w:r>
      <w:r w:rsidR="00F46106">
        <w:rPr>
          <w:noProof/>
        </w:rPr>
        <w:t>12</w:t>
      </w:r>
      <w:r>
        <w:rPr>
          <w:noProof/>
        </w:rPr>
        <w:fldChar w:fldCharType="end"/>
      </w:r>
    </w:p>
    <w:p w:rsidR="00297258" w:rsidRDefault="00297258" w:rsidP="00297258">
      <w:pPr>
        <w:pStyle w:val="TOC4"/>
        <w:tabs>
          <w:tab w:val="left" w:pos="2183"/>
        </w:tabs>
        <w:rPr>
          <w:rFonts w:asciiTheme="minorHAnsi" w:eastAsiaTheme="minorEastAsia" w:hAnsiTheme="minorHAnsi" w:cstheme="minorBidi"/>
          <w:b w:val="0"/>
          <w:noProof/>
          <w:kern w:val="0"/>
          <w:sz w:val="22"/>
          <w:szCs w:val="22"/>
        </w:rPr>
      </w:pPr>
      <w:r>
        <w:rPr>
          <w:noProof/>
        </w:rPr>
        <w:t>3.4.2.2</w:t>
      </w:r>
      <w:r>
        <w:rPr>
          <w:rFonts w:asciiTheme="minorHAnsi" w:eastAsiaTheme="minorEastAsia" w:hAnsiTheme="minorHAnsi" w:cstheme="minorBidi"/>
          <w:b w:val="0"/>
          <w:noProof/>
          <w:kern w:val="0"/>
          <w:sz w:val="22"/>
          <w:szCs w:val="22"/>
        </w:rPr>
        <w:tab/>
      </w:r>
      <w:r>
        <w:rPr>
          <w:noProof/>
        </w:rPr>
        <w:t>MCPB</w:t>
      </w:r>
      <w:r>
        <w:rPr>
          <w:noProof/>
        </w:rPr>
        <w:tab/>
      </w:r>
      <w:r>
        <w:rPr>
          <w:noProof/>
        </w:rPr>
        <w:fldChar w:fldCharType="begin"/>
      </w:r>
      <w:r>
        <w:rPr>
          <w:noProof/>
        </w:rPr>
        <w:instrText xml:space="preserve"> PAGEREF _Toc351714284 \h </w:instrText>
      </w:r>
      <w:r>
        <w:rPr>
          <w:noProof/>
        </w:rPr>
      </w:r>
      <w:r>
        <w:rPr>
          <w:noProof/>
        </w:rPr>
        <w:fldChar w:fldCharType="separate"/>
      </w:r>
      <w:r w:rsidR="00F46106">
        <w:rPr>
          <w:noProof/>
        </w:rPr>
        <w:t>13</w:t>
      </w:r>
      <w:r>
        <w:rPr>
          <w:noProof/>
        </w:rPr>
        <w:fldChar w:fldCharType="end"/>
      </w:r>
    </w:p>
    <w:p w:rsidR="00297258" w:rsidRDefault="00297258" w:rsidP="00297258">
      <w:pPr>
        <w:pStyle w:val="TOC4"/>
        <w:tabs>
          <w:tab w:val="left" w:pos="2183"/>
        </w:tabs>
        <w:rPr>
          <w:rFonts w:asciiTheme="minorHAnsi" w:eastAsiaTheme="minorEastAsia" w:hAnsiTheme="minorHAnsi" w:cstheme="minorBidi"/>
          <w:b w:val="0"/>
          <w:noProof/>
          <w:kern w:val="0"/>
          <w:sz w:val="22"/>
          <w:szCs w:val="22"/>
        </w:rPr>
      </w:pPr>
      <w:r>
        <w:rPr>
          <w:noProof/>
        </w:rPr>
        <w:t>3.4.2.3</w:t>
      </w:r>
      <w:r>
        <w:rPr>
          <w:rFonts w:asciiTheme="minorHAnsi" w:eastAsiaTheme="minorEastAsia" w:hAnsiTheme="minorHAnsi" w:cstheme="minorBidi"/>
          <w:b w:val="0"/>
          <w:noProof/>
          <w:kern w:val="0"/>
          <w:sz w:val="22"/>
          <w:szCs w:val="22"/>
        </w:rPr>
        <w:tab/>
      </w:r>
      <w:r>
        <w:rPr>
          <w:noProof/>
        </w:rPr>
        <w:t>Mecoprop (MCPP)</w:t>
      </w:r>
      <w:r>
        <w:rPr>
          <w:noProof/>
        </w:rPr>
        <w:tab/>
      </w:r>
      <w:r>
        <w:rPr>
          <w:noProof/>
        </w:rPr>
        <w:fldChar w:fldCharType="begin"/>
      </w:r>
      <w:r>
        <w:rPr>
          <w:noProof/>
        </w:rPr>
        <w:instrText xml:space="preserve"> PAGEREF _Toc351714285 \h </w:instrText>
      </w:r>
      <w:r>
        <w:rPr>
          <w:noProof/>
        </w:rPr>
      </w:r>
      <w:r>
        <w:rPr>
          <w:noProof/>
        </w:rPr>
        <w:fldChar w:fldCharType="separate"/>
      </w:r>
      <w:r w:rsidR="00F46106">
        <w:rPr>
          <w:noProof/>
        </w:rPr>
        <w:t>13</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3.4.3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_Toc351714286 \h </w:instrText>
      </w:r>
      <w:r>
        <w:rPr>
          <w:noProof/>
        </w:rPr>
      </w:r>
      <w:r>
        <w:rPr>
          <w:noProof/>
        </w:rPr>
        <w:fldChar w:fldCharType="separate"/>
      </w:r>
      <w:r w:rsidR="00F46106">
        <w:rPr>
          <w:noProof/>
        </w:rPr>
        <w:t>14</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3.5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_Toc351714287 \h </w:instrText>
      </w:r>
      <w:r>
        <w:rPr>
          <w:noProof/>
        </w:rPr>
      </w:r>
      <w:r>
        <w:rPr>
          <w:noProof/>
        </w:rPr>
        <w:fldChar w:fldCharType="separate"/>
      </w:r>
      <w:r w:rsidR="00F46106">
        <w:rPr>
          <w:noProof/>
        </w:rPr>
        <w:t>14</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3.6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_Toc351714288 \h </w:instrText>
      </w:r>
      <w:r>
        <w:rPr>
          <w:noProof/>
        </w:rPr>
      </w:r>
      <w:r>
        <w:rPr>
          <w:noProof/>
        </w:rPr>
        <w:fldChar w:fldCharType="separate"/>
      </w:r>
      <w:r w:rsidR="00F46106">
        <w:rPr>
          <w:noProof/>
        </w:rPr>
        <w:t>14</w:t>
      </w:r>
      <w:r>
        <w:rPr>
          <w:noProof/>
        </w:rPr>
        <w:fldChar w:fldCharType="end"/>
      </w:r>
    </w:p>
    <w:p w:rsidR="00297258" w:rsidRDefault="00297258" w:rsidP="00297258">
      <w:pPr>
        <w:pStyle w:val="TOC1"/>
        <w:keepNext w:val="0"/>
        <w:rPr>
          <w:rFonts w:asciiTheme="minorHAnsi" w:eastAsiaTheme="minorEastAsia" w:hAnsiTheme="minorHAnsi" w:cstheme="minorBidi"/>
          <w:b w:val="0"/>
          <w:noProof/>
          <w:kern w:val="0"/>
          <w:sz w:val="22"/>
          <w:szCs w:val="22"/>
        </w:rPr>
      </w:pPr>
      <w:r>
        <w:rPr>
          <w:noProof/>
        </w:rPr>
        <w:t>4</w:t>
      </w:r>
      <w:r>
        <w:rPr>
          <w:rFonts w:asciiTheme="minorHAnsi" w:eastAsiaTheme="minorEastAsia" w:hAnsiTheme="minorHAnsi" w:cstheme="minorBidi"/>
          <w:b w:val="0"/>
          <w:noProof/>
          <w:kern w:val="0"/>
          <w:sz w:val="22"/>
          <w:szCs w:val="22"/>
        </w:rPr>
        <w:tab/>
      </w:r>
      <w:r>
        <w:rPr>
          <w:noProof/>
        </w:rPr>
        <w:t>Picloram</w:t>
      </w:r>
      <w:r>
        <w:rPr>
          <w:noProof/>
        </w:rPr>
        <w:tab/>
      </w:r>
      <w:r>
        <w:rPr>
          <w:noProof/>
        </w:rPr>
        <w:fldChar w:fldCharType="begin"/>
      </w:r>
      <w:r>
        <w:rPr>
          <w:noProof/>
        </w:rPr>
        <w:instrText xml:space="preserve"> PAGEREF _Toc351714289 \h </w:instrText>
      </w:r>
      <w:r>
        <w:rPr>
          <w:noProof/>
        </w:rPr>
      </w:r>
      <w:r>
        <w:rPr>
          <w:noProof/>
        </w:rPr>
        <w:fldChar w:fldCharType="separate"/>
      </w:r>
      <w:r w:rsidR="00F46106">
        <w:rPr>
          <w:noProof/>
        </w:rPr>
        <w:t>16</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4.1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_Toc351714290 \h </w:instrText>
      </w:r>
      <w:r>
        <w:rPr>
          <w:noProof/>
        </w:rPr>
      </w:r>
      <w:r>
        <w:rPr>
          <w:noProof/>
        </w:rPr>
        <w:fldChar w:fldCharType="separate"/>
      </w:r>
      <w:r w:rsidR="00F46106">
        <w:rPr>
          <w:noProof/>
        </w:rPr>
        <w:t>16</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4.2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_Toc351714291 \h </w:instrText>
      </w:r>
      <w:r>
        <w:rPr>
          <w:noProof/>
        </w:rPr>
      </w:r>
      <w:r>
        <w:rPr>
          <w:noProof/>
        </w:rPr>
        <w:fldChar w:fldCharType="separate"/>
      </w:r>
      <w:r w:rsidR="00F46106">
        <w:rPr>
          <w:noProof/>
        </w:rPr>
        <w:t>16</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4.3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_Toc351714292 \h </w:instrText>
      </w:r>
      <w:r>
        <w:rPr>
          <w:noProof/>
        </w:rPr>
      </w:r>
      <w:r>
        <w:rPr>
          <w:noProof/>
        </w:rPr>
        <w:fldChar w:fldCharType="separate"/>
      </w:r>
      <w:r w:rsidR="00F46106">
        <w:rPr>
          <w:noProof/>
        </w:rPr>
        <w:t>16</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4.3.1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_Toc351714293 \h </w:instrText>
      </w:r>
      <w:r>
        <w:rPr>
          <w:noProof/>
        </w:rPr>
      </w:r>
      <w:r>
        <w:rPr>
          <w:noProof/>
        </w:rPr>
        <w:fldChar w:fldCharType="separate"/>
      </w:r>
      <w:r w:rsidR="00F46106">
        <w:rPr>
          <w:noProof/>
        </w:rPr>
        <w:t>16</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4.3.2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_Toc351714294 \h </w:instrText>
      </w:r>
      <w:r>
        <w:rPr>
          <w:noProof/>
        </w:rPr>
      </w:r>
      <w:r>
        <w:rPr>
          <w:noProof/>
        </w:rPr>
        <w:fldChar w:fldCharType="separate"/>
      </w:r>
      <w:r w:rsidR="00F46106">
        <w:rPr>
          <w:noProof/>
        </w:rPr>
        <w:t>16</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4.3.3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_Toc351714295 \h </w:instrText>
      </w:r>
      <w:r>
        <w:rPr>
          <w:noProof/>
        </w:rPr>
      </w:r>
      <w:r>
        <w:rPr>
          <w:noProof/>
        </w:rPr>
        <w:fldChar w:fldCharType="separate"/>
      </w:r>
      <w:r w:rsidR="00F46106">
        <w:rPr>
          <w:noProof/>
        </w:rPr>
        <w:t>16</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4.3.4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_Toc351714296 \h </w:instrText>
      </w:r>
      <w:r>
        <w:rPr>
          <w:noProof/>
        </w:rPr>
      </w:r>
      <w:r>
        <w:rPr>
          <w:noProof/>
        </w:rPr>
        <w:fldChar w:fldCharType="separate"/>
      </w:r>
      <w:r w:rsidR="00F46106">
        <w:rPr>
          <w:noProof/>
        </w:rPr>
        <w:t>16</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4.3.5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_Toc351714297 \h </w:instrText>
      </w:r>
      <w:r>
        <w:rPr>
          <w:noProof/>
        </w:rPr>
      </w:r>
      <w:r>
        <w:rPr>
          <w:noProof/>
        </w:rPr>
        <w:fldChar w:fldCharType="separate"/>
      </w:r>
      <w:r w:rsidR="00F46106">
        <w:rPr>
          <w:noProof/>
        </w:rPr>
        <w:t>17</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4.4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_Toc351714298 \h </w:instrText>
      </w:r>
      <w:r>
        <w:rPr>
          <w:noProof/>
        </w:rPr>
      </w:r>
      <w:r>
        <w:rPr>
          <w:noProof/>
        </w:rPr>
        <w:fldChar w:fldCharType="separate"/>
      </w:r>
      <w:r w:rsidR="00F46106">
        <w:rPr>
          <w:noProof/>
        </w:rPr>
        <w:t>17</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4.4.1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_Toc351714299 \h </w:instrText>
      </w:r>
      <w:r>
        <w:rPr>
          <w:noProof/>
        </w:rPr>
      </w:r>
      <w:r>
        <w:rPr>
          <w:noProof/>
        </w:rPr>
        <w:fldChar w:fldCharType="separate"/>
      </w:r>
      <w:r w:rsidR="00F46106">
        <w:rPr>
          <w:noProof/>
        </w:rPr>
        <w:t>17</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4.4.2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_Toc351714300 \h </w:instrText>
      </w:r>
      <w:r>
        <w:rPr>
          <w:noProof/>
        </w:rPr>
      </w:r>
      <w:r>
        <w:rPr>
          <w:noProof/>
        </w:rPr>
        <w:fldChar w:fldCharType="separate"/>
      </w:r>
      <w:r w:rsidR="00F46106">
        <w:rPr>
          <w:noProof/>
        </w:rPr>
        <w:t>17</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4.4.3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_Toc351714301 \h </w:instrText>
      </w:r>
      <w:r>
        <w:rPr>
          <w:noProof/>
        </w:rPr>
      </w:r>
      <w:r>
        <w:rPr>
          <w:noProof/>
        </w:rPr>
        <w:fldChar w:fldCharType="separate"/>
      </w:r>
      <w:r w:rsidR="00F46106">
        <w:rPr>
          <w:noProof/>
        </w:rPr>
        <w:t>18</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4.5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_Toc351714302 \h </w:instrText>
      </w:r>
      <w:r>
        <w:rPr>
          <w:noProof/>
        </w:rPr>
      </w:r>
      <w:r>
        <w:rPr>
          <w:noProof/>
        </w:rPr>
        <w:fldChar w:fldCharType="separate"/>
      </w:r>
      <w:r w:rsidR="00F46106">
        <w:rPr>
          <w:noProof/>
        </w:rPr>
        <w:t>18</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4.6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_Toc351714303 \h </w:instrText>
      </w:r>
      <w:r>
        <w:rPr>
          <w:noProof/>
        </w:rPr>
      </w:r>
      <w:r>
        <w:rPr>
          <w:noProof/>
        </w:rPr>
        <w:fldChar w:fldCharType="separate"/>
      </w:r>
      <w:r w:rsidR="00F46106">
        <w:rPr>
          <w:noProof/>
        </w:rPr>
        <w:t>19</w:t>
      </w:r>
      <w:r>
        <w:rPr>
          <w:noProof/>
        </w:rPr>
        <w:fldChar w:fldCharType="end"/>
      </w:r>
    </w:p>
    <w:p w:rsidR="00297258" w:rsidRDefault="00297258" w:rsidP="00297258">
      <w:pPr>
        <w:pStyle w:val="TOC1"/>
        <w:keepNext w:val="0"/>
        <w:rPr>
          <w:rFonts w:asciiTheme="minorHAnsi" w:eastAsiaTheme="minorEastAsia" w:hAnsiTheme="minorHAnsi" w:cstheme="minorBidi"/>
          <w:b w:val="0"/>
          <w:noProof/>
          <w:kern w:val="0"/>
          <w:sz w:val="22"/>
          <w:szCs w:val="22"/>
        </w:rPr>
      </w:pPr>
      <w:r>
        <w:rPr>
          <w:noProof/>
        </w:rPr>
        <w:t>5</w:t>
      </w:r>
      <w:r>
        <w:rPr>
          <w:rFonts w:asciiTheme="minorHAnsi" w:eastAsiaTheme="minorEastAsia" w:hAnsiTheme="minorHAnsi" w:cstheme="minorBidi"/>
          <w:b w:val="0"/>
          <w:noProof/>
          <w:kern w:val="0"/>
          <w:sz w:val="22"/>
          <w:szCs w:val="22"/>
        </w:rPr>
        <w:tab/>
      </w:r>
      <w:r>
        <w:rPr>
          <w:noProof/>
        </w:rPr>
        <w:t>Atrazine</w:t>
      </w:r>
      <w:r>
        <w:rPr>
          <w:noProof/>
        </w:rPr>
        <w:tab/>
      </w:r>
      <w:r>
        <w:rPr>
          <w:noProof/>
        </w:rPr>
        <w:fldChar w:fldCharType="begin"/>
      </w:r>
      <w:r>
        <w:rPr>
          <w:noProof/>
        </w:rPr>
        <w:instrText xml:space="preserve"> PAGEREF _Toc351714304 \h </w:instrText>
      </w:r>
      <w:r>
        <w:rPr>
          <w:noProof/>
        </w:rPr>
      </w:r>
      <w:r>
        <w:rPr>
          <w:noProof/>
        </w:rPr>
        <w:fldChar w:fldCharType="separate"/>
      </w:r>
      <w:r w:rsidR="00F46106">
        <w:rPr>
          <w:noProof/>
        </w:rPr>
        <w:t>20</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5.1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_Toc351714305 \h </w:instrText>
      </w:r>
      <w:r>
        <w:rPr>
          <w:noProof/>
        </w:rPr>
      </w:r>
      <w:r>
        <w:rPr>
          <w:noProof/>
        </w:rPr>
        <w:fldChar w:fldCharType="separate"/>
      </w:r>
      <w:r w:rsidR="00F46106">
        <w:rPr>
          <w:noProof/>
        </w:rPr>
        <w:t>20</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5.2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_Toc351714306 \h </w:instrText>
      </w:r>
      <w:r>
        <w:rPr>
          <w:noProof/>
        </w:rPr>
      </w:r>
      <w:r>
        <w:rPr>
          <w:noProof/>
        </w:rPr>
        <w:fldChar w:fldCharType="separate"/>
      </w:r>
      <w:r w:rsidR="00F46106">
        <w:rPr>
          <w:noProof/>
        </w:rPr>
        <w:t>21</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5.3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_Toc351714307 \h </w:instrText>
      </w:r>
      <w:r>
        <w:rPr>
          <w:noProof/>
        </w:rPr>
      </w:r>
      <w:r>
        <w:rPr>
          <w:noProof/>
        </w:rPr>
        <w:fldChar w:fldCharType="separate"/>
      </w:r>
      <w:r w:rsidR="00F46106">
        <w:rPr>
          <w:noProof/>
        </w:rPr>
        <w:t>21</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5.3.1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_Toc351714308 \h </w:instrText>
      </w:r>
      <w:r>
        <w:rPr>
          <w:noProof/>
        </w:rPr>
      </w:r>
      <w:r>
        <w:rPr>
          <w:noProof/>
        </w:rPr>
        <w:fldChar w:fldCharType="separate"/>
      </w:r>
      <w:r w:rsidR="00F46106">
        <w:rPr>
          <w:noProof/>
        </w:rPr>
        <w:t>21</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5.3.2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_Toc351714309 \h </w:instrText>
      </w:r>
      <w:r>
        <w:rPr>
          <w:noProof/>
        </w:rPr>
      </w:r>
      <w:r>
        <w:rPr>
          <w:noProof/>
        </w:rPr>
        <w:fldChar w:fldCharType="separate"/>
      </w:r>
      <w:r w:rsidR="00F46106">
        <w:rPr>
          <w:noProof/>
        </w:rPr>
        <w:t>21</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5.3.3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_Toc351714310 \h </w:instrText>
      </w:r>
      <w:r>
        <w:rPr>
          <w:noProof/>
        </w:rPr>
      </w:r>
      <w:r>
        <w:rPr>
          <w:noProof/>
        </w:rPr>
        <w:fldChar w:fldCharType="separate"/>
      </w:r>
      <w:r w:rsidR="00F46106">
        <w:rPr>
          <w:noProof/>
        </w:rPr>
        <w:t>21</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5.3.4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_Toc351714311 \h </w:instrText>
      </w:r>
      <w:r>
        <w:rPr>
          <w:noProof/>
        </w:rPr>
      </w:r>
      <w:r>
        <w:rPr>
          <w:noProof/>
        </w:rPr>
        <w:fldChar w:fldCharType="separate"/>
      </w:r>
      <w:r w:rsidR="00F46106">
        <w:rPr>
          <w:noProof/>
        </w:rPr>
        <w:t>21</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5.3.5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_Toc351714312 \h </w:instrText>
      </w:r>
      <w:r>
        <w:rPr>
          <w:noProof/>
        </w:rPr>
      </w:r>
      <w:r>
        <w:rPr>
          <w:noProof/>
        </w:rPr>
        <w:fldChar w:fldCharType="separate"/>
      </w:r>
      <w:r w:rsidR="00F46106">
        <w:rPr>
          <w:noProof/>
        </w:rPr>
        <w:t>21</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lastRenderedPageBreak/>
        <w:t>5.4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_Toc351714313 \h </w:instrText>
      </w:r>
      <w:r>
        <w:rPr>
          <w:noProof/>
        </w:rPr>
      </w:r>
      <w:r>
        <w:rPr>
          <w:noProof/>
        </w:rPr>
        <w:fldChar w:fldCharType="separate"/>
      </w:r>
      <w:r w:rsidR="00F46106">
        <w:rPr>
          <w:noProof/>
        </w:rPr>
        <w:t>22</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5.4.1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_Toc351714314 \h </w:instrText>
      </w:r>
      <w:r>
        <w:rPr>
          <w:noProof/>
        </w:rPr>
      </w:r>
      <w:r>
        <w:rPr>
          <w:noProof/>
        </w:rPr>
        <w:fldChar w:fldCharType="separate"/>
      </w:r>
      <w:r w:rsidR="00F46106">
        <w:rPr>
          <w:noProof/>
        </w:rPr>
        <w:t>22</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5.4.2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_Toc351714315 \h </w:instrText>
      </w:r>
      <w:r>
        <w:rPr>
          <w:noProof/>
        </w:rPr>
      </w:r>
      <w:r>
        <w:rPr>
          <w:noProof/>
        </w:rPr>
        <w:fldChar w:fldCharType="separate"/>
      </w:r>
      <w:r w:rsidR="00F46106">
        <w:rPr>
          <w:noProof/>
        </w:rPr>
        <w:t>22</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5.4.3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_Toc351714316 \h </w:instrText>
      </w:r>
      <w:r>
        <w:rPr>
          <w:noProof/>
        </w:rPr>
      </w:r>
      <w:r>
        <w:rPr>
          <w:noProof/>
        </w:rPr>
        <w:fldChar w:fldCharType="separate"/>
      </w:r>
      <w:r w:rsidR="00F46106">
        <w:rPr>
          <w:noProof/>
        </w:rPr>
        <w:t>23</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5.5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_Toc351714317 \h </w:instrText>
      </w:r>
      <w:r>
        <w:rPr>
          <w:noProof/>
        </w:rPr>
      </w:r>
      <w:r>
        <w:rPr>
          <w:noProof/>
        </w:rPr>
        <w:fldChar w:fldCharType="separate"/>
      </w:r>
      <w:r w:rsidR="00F46106">
        <w:rPr>
          <w:noProof/>
        </w:rPr>
        <w:t>24</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5.6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_Toc351714318 \h </w:instrText>
      </w:r>
      <w:r>
        <w:rPr>
          <w:noProof/>
        </w:rPr>
      </w:r>
      <w:r>
        <w:rPr>
          <w:noProof/>
        </w:rPr>
        <w:fldChar w:fldCharType="separate"/>
      </w:r>
      <w:r w:rsidR="00F46106">
        <w:rPr>
          <w:noProof/>
        </w:rPr>
        <w:t>24</w:t>
      </w:r>
      <w:r>
        <w:rPr>
          <w:noProof/>
        </w:rPr>
        <w:fldChar w:fldCharType="end"/>
      </w:r>
    </w:p>
    <w:p w:rsidR="00297258" w:rsidRDefault="00297258" w:rsidP="00297258">
      <w:pPr>
        <w:pStyle w:val="TOC1"/>
        <w:keepNext w:val="0"/>
        <w:rPr>
          <w:rFonts w:asciiTheme="minorHAnsi" w:eastAsiaTheme="minorEastAsia" w:hAnsiTheme="minorHAnsi" w:cstheme="minorBidi"/>
          <w:b w:val="0"/>
          <w:noProof/>
          <w:kern w:val="0"/>
          <w:sz w:val="22"/>
          <w:szCs w:val="22"/>
        </w:rPr>
      </w:pPr>
      <w:r>
        <w:rPr>
          <w:noProof/>
        </w:rPr>
        <w:t>6</w:t>
      </w:r>
      <w:r>
        <w:rPr>
          <w:rFonts w:asciiTheme="minorHAnsi" w:eastAsiaTheme="minorEastAsia" w:hAnsiTheme="minorHAnsi" w:cstheme="minorBidi"/>
          <w:b w:val="0"/>
          <w:noProof/>
          <w:kern w:val="0"/>
          <w:sz w:val="22"/>
          <w:szCs w:val="22"/>
        </w:rPr>
        <w:tab/>
      </w:r>
      <w:r>
        <w:rPr>
          <w:noProof/>
        </w:rPr>
        <w:t>Chlorpyrifos</w:t>
      </w:r>
      <w:r>
        <w:rPr>
          <w:noProof/>
        </w:rPr>
        <w:tab/>
      </w:r>
      <w:r>
        <w:rPr>
          <w:noProof/>
        </w:rPr>
        <w:fldChar w:fldCharType="begin"/>
      </w:r>
      <w:r>
        <w:rPr>
          <w:noProof/>
        </w:rPr>
        <w:instrText xml:space="preserve"> PAGEREF _Toc351714319 \h </w:instrText>
      </w:r>
      <w:r>
        <w:rPr>
          <w:noProof/>
        </w:rPr>
      </w:r>
      <w:r>
        <w:rPr>
          <w:noProof/>
        </w:rPr>
        <w:fldChar w:fldCharType="separate"/>
      </w:r>
      <w:r w:rsidR="00F46106">
        <w:rPr>
          <w:noProof/>
        </w:rPr>
        <w:t>26</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6.1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_Toc351714320 \h </w:instrText>
      </w:r>
      <w:r>
        <w:rPr>
          <w:noProof/>
        </w:rPr>
      </w:r>
      <w:r>
        <w:rPr>
          <w:noProof/>
        </w:rPr>
        <w:fldChar w:fldCharType="separate"/>
      </w:r>
      <w:r w:rsidR="00F46106">
        <w:rPr>
          <w:noProof/>
        </w:rPr>
        <w:t>26</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6.2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_Toc351714321 \h </w:instrText>
      </w:r>
      <w:r>
        <w:rPr>
          <w:noProof/>
        </w:rPr>
      </w:r>
      <w:r>
        <w:rPr>
          <w:noProof/>
        </w:rPr>
        <w:fldChar w:fldCharType="separate"/>
      </w:r>
      <w:r w:rsidR="00F46106">
        <w:rPr>
          <w:noProof/>
        </w:rPr>
        <w:t>26</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6.3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_Toc351714322 \h </w:instrText>
      </w:r>
      <w:r>
        <w:rPr>
          <w:noProof/>
        </w:rPr>
      </w:r>
      <w:r>
        <w:rPr>
          <w:noProof/>
        </w:rPr>
        <w:fldChar w:fldCharType="separate"/>
      </w:r>
      <w:r w:rsidR="00F46106">
        <w:rPr>
          <w:noProof/>
        </w:rPr>
        <w:t>27</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6.3.1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_Toc351714323 \h </w:instrText>
      </w:r>
      <w:r>
        <w:rPr>
          <w:noProof/>
        </w:rPr>
      </w:r>
      <w:r>
        <w:rPr>
          <w:noProof/>
        </w:rPr>
        <w:fldChar w:fldCharType="separate"/>
      </w:r>
      <w:r w:rsidR="00F46106">
        <w:rPr>
          <w:noProof/>
        </w:rPr>
        <w:t>27</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6.3.2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_Toc351714324 \h </w:instrText>
      </w:r>
      <w:r>
        <w:rPr>
          <w:noProof/>
        </w:rPr>
      </w:r>
      <w:r>
        <w:rPr>
          <w:noProof/>
        </w:rPr>
        <w:fldChar w:fldCharType="separate"/>
      </w:r>
      <w:r w:rsidR="00F46106">
        <w:rPr>
          <w:noProof/>
        </w:rPr>
        <w:t>27</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6.3.3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_Toc351714325 \h </w:instrText>
      </w:r>
      <w:r>
        <w:rPr>
          <w:noProof/>
        </w:rPr>
      </w:r>
      <w:r>
        <w:rPr>
          <w:noProof/>
        </w:rPr>
        <w:fldChar w:fldCharType="separate"/>
      </w:r>
      <w:r w:rsidR="00F46106">
        <w:rPr>
          <w:noProof/>
        </w:rPr>
        <w:t>27</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6.3.4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_Toc351714326 \h </w:instrText>
      </w:r>
      <w:r>
        <w:rPr>
          <w:noProof/>
        </w:rPr>
      </w:r>
      <w:r>
        <w:rPr>
          <w:noProof/>
        </w:rPr>
        <w:fldChar w:fldCharType="separate"/>
      </w:r>
      <w:r w:rsidR="00F46106">
        <w:rPr>
          <w:noProof/>
        </w:rPr>
        <w:t>27</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6.3.5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_Toc351714327 \h </w:instrText>
      </w:r>
      <w:r>
        <w:rPr>
          <w:noProof/>
        </w:rPr>
      </w:r>
      <w:r>
        <w:rPr>
          <w:noProof/>
        </w:rPr>
        <w:fldChar w:fldCharType="separate"/>
      </w:r>
      <w:r w:rsidR="00F46106">
        <w:rPr>
          <w:noProof/>
        </w:rPr>
        <w:t>27</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6.4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_Toc351714328 \h </w:instrText>
      </w:r>
      <w:r>
        <w:rPr>
          <w:noProof/>
        </w:rPr>
      </w:r>
      <w:r>
        <w:rPr>
          <w:noProof/>
        </w:rPr>
        <w:fldChar w:fldCharType="separate"/>
      </w:r>
      <w:r w:rsidR="00F46106">
        <w:rPr>
          <w:noProof/>
        </w:rPr>
        <w:t>28</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6.4.1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_Toc351714329 \h </w:instrText>
      </w:r>
      <w:r>
        <w:rPr>
          <w:noProof/>
        </w:rPr>
      </w:r>
      <w:r>
        <w:rPr>
          <w:noProof/>
        </w:rPr>
        <w:fldChar w:fldCharType="separate"/>
      </w:r>
      <w:r w:rsidR="00F46106">
        <w:rPr>
          <w:noProof/>
        </w:rPr>
        <w:t>28</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6.4.2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_Toc351714330 \h </w:instrText>
      </w:r>
      <w:r>
        <w:rPr>
          <w:noProof/>
        </w:rPr>
      </w:r>
      <w:r>
        <w:rPr>
          <w:noProof/>
        </w:rPr>
        <w:fldChar w:fldCharType="separate"/>
      </w:r>
      <w:r w:rsidR="00F46106">
        <w:rPr>
          <w:noProof/>
        </w:rPr>
        <w:t>28</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6.4.3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_Toc351714331 \h </w:instrText>
      </w:r>
      <w:r>
        <w:rPr>
          <w:noProof/>
        </w:rPr>
      </w:r>
      <w:r>
        <w:rPr>
          <w:noProof/>
        </w:rPr>
        <w:fldChar w:fldCharType="separate"/>
      </w:r>
      <w:r w:rsidR="00F46106">
        <w:rPr>
          <w:noProof/>
        </w:rPr>
        <w:t>30</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6.5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_Toc351714332 \h </w:instrText>
      </w:r>
      <w:r>
        <w:rPr>
          <w:noProof/>
        </w:rPr>
      </w:r>
      <w:r>
        <w:rPr>
          <w:noProof/>
        </w:rPr>
        <w:fldChar w:fldCharType="separate"/>
      </w:r>
      <w:r w:rsidR="00F46106">
        <w:rPr>
          <w:noProof/>
        </w:rPr>
        <w:t>30</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6.6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_Toc351714333 \h </w:instrText>
      </w:r>
      <w:r>
        <w:rPr>
          <w:noProof/>
        </w:rPr>
      </w:r>
      <w:r>
        <w:rPr>
          <w:noProof/>
        </w:rPr>
        <w:fldChar w:fldCharType="separate"/>
      </w:r>
      <w:r w:rsidR="00F46106">
        <w:rPr>
          <w:noProof/>
        </w:rPr>
        <w:t>31</w:t>
      </w:r>
      <w:r>
        <w:rPr>
          <w:noProof/>
        </w:rPr>
        <w:fldChar w:fldCharType="end"/>
      </w:r>
    </w:p>
    <w:p w:rsidR="00297258" w:rsidRDefault="00297258" w:rsidP="00297258">
      <w:pPr>
        <w:pStyle w:val="TOC1"/>
        <w:keepNext w:val="0"/>
        <w:rPr>
          <w:rFonts w:asciiTheme="minorHAnsi" w:eastAsiaTheme="minorEastAsia" w:hAnsiTheme="minorHAnsi" w:cstheme="minorBidi"/>
          <w:b w:val="0"/>
          <w:noProof/>
          <w:kern w:val="0"/>
          <w:sz w:val="22"/>
          <w:szCs w:val="22"/>
        </w:rPr>
      </w:pPr>
      <w:r>
        <w:rPr>
          <w:noProof/>
        </w:rPr>
        <w:t>7</w:t>
      </w:r>
      <w:r>
        <w:rPr>
          <w:rFonts w:asciiTheme="minorHAnsi" w:eastAsiaTheme="minorEastAsia" w:hAnsiTheme="minorHAnsi" w:cstheme="minorBidi"/>
          <w:b w:val="0"/>
          <w:noProof/>
          <w:kern w:val="0"/>
          <w:sz w:val="22"/>
          <w:szCs w:val="22"/>
        </w:rPr>
        <w:tab/>
      </w:r>
      <w:r>
        <w:rPr>
          <w:noProof/>
        </w:rPr>
        <w:t>Bifenthrin</w:t>
      </w:r>
      <w:r>
        <w:rPr>
          <w:noProof/>
        </w:rPr>
        <w:tab/>
      </w:r>
      <w:r>
        <w:rPr>
          <w:noProof/>
        </w:rPr>
        <w:fldChar w:fldCharType="begin"/>
      </w:r>
      <w:r>
        <w:rPr>
          <w:noProof/>
        </w:rPr>
        <w:instrText xml:space="preserve"> PAGEREF _Toc351714334 \h </w:instrText>
      </w:r>
      <w:r>
        <w:rPr>
          <w:noProof/>
        </w:rPr>
      </w:r>
      <w:r>
        <w:rPr>
          <w:noProof/>
        </w:rPr>
        <w:fldChar w:fldCharType="separate"/>
      </w:r>
      <w:r w:rsidR="00F46106">
        <w:rPr>
          <w:noProof/>
        </w:rPr>
        <w:t>33</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7.1</w:t>
      </w:r>
      <w:r>
        <w:rPr>
          <w:rFonts w:asciiTheme="minorHAnsi" w:eastAsiaTheme="minorEastAsia" w:hAnsiTheme="minorHAnsi" w:cstheme="minorBidi"/>
          <w:b w:val="0"/>
          <w:noProof/>
          <w:kern w:val="0"/>
          <w:sz w:val="22"/>
          <w:szCs w:val="22"/>
        </w:rPr>
        <w:tab/>
      </w:r>
      <w:r>
        <w:rPr>
          <w:noProof/>
        </w:rPr>
        <w:t>General</w:t>
      </w:r>
      <w:r>
        <w:rPr>
          <w:noProof/>
        </w:rPr>
        <w:tab/>
      </w:r>
      <w:r>
        <w:rPr>
          <w:noProof/>
        </w:rPr>
        <w:fldChar w:fldCharType="begin"/>
      </w:r>
      <w:r>
        <w:rPr>
          <w:noProof/>
        </w:rPr>
        <w:instrText xml:space="preserve"> PAGEREF _Toc351714335 \h </w:instrText>
      </w:r>
      <w:r>
        <w:rPr>
          <w:noProof/>
        </w:rPr>
      </w:r>
      <w:r>
        <w:rPr>
          <w:noProof/>
        </w:rPr>
        <w:fldChar w:fldCharType="separate"/>
      </w:r>
      <w:r w:rsidR="00F46106">
        <w:rPr>
          <w:noProof/>
        </w:rPr>
        <w:t>33</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7.2</w:t>
      </w:r>
      <w:r>
        <w:rPr>
          <w:rFonts w:asciiTheme="minorHAnsi" w:eastAsiaTheme="minorEastAsia" w:hAnsiTheme="minorHAnsi" w:cstheme="minorBidi"/>
          <w:b w:val="0"/>
          <w:noProof/>
          <w:kern w:val="0"/>
          <w:sz w:val="22"/>
          <w:szCs w:val="22"/>
        </w:rPr>
        <w:tab/>
      </w:r>
      <w:r>
        <w:rPr>
          <w:noProof/>
        </w:rPr>
        <w:t>Previous HIL</w:t>
      </w:r>
      <w:r>
        <w:rPr>
          <w:noProof/>
        </w:rPr>
        <w:tab/>
      </w:r>
      <w:r>
        <w:rPr>
          <w:noProof/>
        </w:rPr>
        <w:fldChar w:fldCharType="begin"/>
      </w:r>
      <w:r>
        <w:rPr>
          <w:noProof/>
        </w:rPr>
        <w:instrText xml:space="preserve"> PAGEREF _Toc351714336 \h </w:instrText>
      </w:r>
      <w:r>
        <w:rPr>
          <w:noProof/>
        </w:rPr>
      </w:r>
      <w:r>
        <w:rPr>
          <w:noProof/>
        </w:rPr>
        <w:fldChar w:fldCharType="separate"/>
      </w:r>
      <w:r w:rsidR="00F46106">
        <w:rPr>
          <w:noProof/>
        </w:rPr>
        <w:t>33</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7.3</w:t>
      </w:r>
      <w:r>
        <w:rPr>
          <w:rFonts w:asciiTheme="minorHAnsi" w:eastAsiaTheme="minorEastAsia" w:hAnsiTheme="minorHAnsi" w:cstheme="minorBidi"/>
          <w:b w:val="0"/>
          <w:noProof/>
          <w:kern w:val="0"/>
          <w:sz w:val="22"/>
          <w:szCs w:val="22"/>
        </w:rPr>
        <w:tab/>
      </w:r>
      <w:r>
        <w:rPr>
          <w:noProof/>
        </w:rPr>
        <w:t>Significance of Exposure Pathways</w:t>
      </w:r>
      <w:r>
        <w:rPr>
          <w:noProof/>
        </w:rPr>
        <w:tab/>
      </w:r>
      <w:r>
        <w:rPr>
          <w:noProof/>
        </w:rPr>
        <w:fldChar w:fldCharType="begin"/>
      </w:r>
      <w:r>
        <w:rPr>
          <w:noProof/>
        </w:rPr>
        <w:instrText xml:space="preserve"> PAGEREF _Toc351714337 \h </w:instrText>
      </w:r>
      <w:r>
        <w:rPr>
          <w:noProof/>
        </w:rPr>
      </w:r>
      <w:r>
        <w:rPr>
          <w:noProof/>
        </w:rPr>
        <w:fldChar w:fldCharType="separate"/>
      </w:r>
      <w:r w:rsidR="00F46106">
        <w:rPr>
          <w:noProof/>
        </w:rPr>
        <w:t>33</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7.3.1</w:t>
      </w:r>
      <w:r>
        <w:rPr>
          <w:rFonts w:asciiTheme="minorHAnsi" w:eastAsiaTheme="minorEastAsia" w:hAnsiTheme="minorHAnsi" w:cstheme="minorBidi"/>
          <w:b w:val="0"/>
          <w:noProof/>
          <w:kern w:val="0"/>
          <w:szCs w:val="22"/>
        </w:rPr>
        <w:tab/>
      </w:r>
      <w:r>
        <w:rPr>
          <w:noProof/>
        </w:rPr>
        <w:t>Oral Bioavailability</w:t>
      </w:r>
      <w:r>
        <w:rPr>
          <w:noProof/>
        </w:rPr>
        <w:tab/>
      </w:r>
      <w:r>
        <w:rPr>
          <w:noProof/>
        </w:rPr>
        <w:fldChar w:fldCharType="begin"/>
      </w:r>
      <w:r>
        <w:rPr>
          <w:noProof/>
        </w:rPr>
        <w:instrText xml:space="preserve"> PAGEREF _Toc351714338 \h </w:instrText>
      </w:r>
      <w:r>
        <w:rPr>
          <w:noProof/>
        </w:rPr>
      </w:r>
      <w:r>
        <w:rPr>
          <w:noProof/>
        </w:rPr>
        <w:fldChar w:fldCharType="separate"/>
      </w:r>
      <w:r w:rsidR="00F46106">
        <w:rPr>
          <w:noProof/>
        </w:rPr>
        <w:t>33</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7.3.2</w:t>
      </w:r>
      <w:r>
        <w:rPr>
          <w:rFonts w:asciiTheme="minorHAnsi" w:eastAsiaTheme="minorEastAsia" w:hAnsiTheme="minorHAnsi" w:cstheme="minorBidi"/>
          <w:b w:val="0"/>
          <w:noProof/>
          <w:kern w:val="0"/>
          <w:szCs w:val="22"/>
        </w:rPr>
        <w:tab/>
      </w:r>
      <w:r>
        <w:rPr>
          <w:noProof/>
        </w:rPr>
        <w:t>Dermal absorption</w:t>
      </w:r>
      <w:r>
        <w:rPr>
          <w:noProof/>
        </w:rPr>
        <w:tab/>
      </w:r>
      <w:r>
        <w:rPr>
          <w:noProof/>
        </w:rPr>
        <w:fldChar w:fldCharType="begin"/>
      </w:r>
      <w:r>
        <w:rPr>
          <w:noProof/>
        </w:rPr>
        <w:instrText xml:space="preserve"> PAGEREF _Toc351714339 \h </w:instrText>
      </w:r>
      <w:r>
        <w:rPr>
          <w:noProof/>
        </w:rPr>
      </w:r>
      <w:r>
        <w:rPr>
          <w:noProof/>
        </w:rPr>
        <w:fldChar w:fldCharType="separate"/>
      </w:r>
      <w:r w:rsidR="00F46106">
        <w:rPr>
          <w:noProof/>
        </w:rPr>
        <w:t>33</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7.3.3</w:t>
      </w:r>
      <w:r>
        <w:rPr>
          <w:rFonts w:asciiTheme="minorHAnsi" w:eastAsiaTheme="minorEastAsia" w:hAnsiTheme="minorHAnsi" w:cstheme="minorBidi"/>
          <w:b w:val="0"/>
          <w:noProof/>
          <w:kern w:val="0"/>
          <w:szCs w:val="22"/>
        </w:rPr>
        <w:tab/>
      </w:r>
      <w:r>
        <w:rPr>
          <w:noProof/>
        </w:rPr>
        <w:t>Inhalation of Dust</w:t>
      </w:r>
      <w:r>
        <w:rPr>
          <w:noProof/>
        </w:rPr>
        <w:tab/>
      </w:r>
      <w:r>
        <w:rPr>
          <w:noProof/>
        </w:rPr>
        <w:fldChar w:fldCharType="begin"/>
      </w:r>
      <w:r>
        <w:rPr>
          <w:noProof/>
        </w:rPr>
        <w:instrText xml:space="preserve"> PAGEREF _Toc351714340 \h </w:instrText>
      </w:r>
      <w:r>
        <w:rPr>
          <w:noProof/>
        </w:rPr>
      </w:r>
      <w:r>
        <w:rPr>
          <w:noProof/>
        </w:rPr>
        <w:fldChar w:fldCharType="separate"/>
      </w:r>
      <w:r w:rsidR="00F46106">
        <w:rPr>
          <w:noProof/>
        </w:rPr>
        <w:t>33</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7.3.4</w:t>
      </w:r>
      <w:r>
        <w:rPr>
          <w:rFonts w:asciiTheme="minorHAnsi" w:eastAsiaTheme="minorEastAsia" w:hAnsiTheme="minorHAnsi" w:cstheme="minorBidi"/>
          <w:b w:val="0"/>
          <w:noProof/>
          <w:kern w:val="0"/>
          <w:szCs w:val="22"/>
        </w:rPr>
        <w:tab/>
      </w:r>
      <w:r>
        <w:rPr>
          <w:noProof/>
        </w:rPr>
        <w:t>Plant Uptake</w:t>
      </w:r>
      <w:r>
        <w:rPr>
          <w:noProof/>
        </w:rPr>
        <w:tab/>
      </w:r>
      <w:r>
        <w:rPr>
          <w:noProof/>
        </w:rPr>
        <w:fldChar w:fldCharType="begin"/>
      </w:r>
      <w:r>
        <w:rPr>
          <w:noProof/>
        </w:rPr>
        <w:instrText xml:space="preserve"> PAGEREF _Toc351714341 \h </w:instrText>
      </w:r>
      <w:r>
        <w:rPr>
          <w:noProof/>
        </w:rPr>
      </w:r>
      <w:r>
        <w:rPr>
          <w:noProof/>
        </w:rPr>
        <w:fldChar w:fldCharType="separate"/>
      </w:r>
      <w:r w:rsidR="00F46106">
        <w:rPr>
          <w:noProof/>
        </w:rPr>
        <w:t>33</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7.3.5</w:t>
      </w:r>
      <w:r>
        <w:rPr>
          <w:rFonts w:asciiTheme="minorHAnsi" w:eastAsiaTheme="minorEastAsia" w:hAnsiTheme="minorHAnsi" w:cstheme="minorBidi"/>
          <w:b w:val="0"/>
          <w:noProof/>
          <w:kern w:val="0"/>
          <w:szCs w:val="22"/>
        </w:rPr>
        <w:tab/>
      </w:r>
      <w:r>
        <w:rPr>
          <w:noProof/>
        </w:rPr>
        <w:t>Intakes from Other Sources – Background</w:t>
      </w:r>
      <w:r>
        <w:rPr>
          <w:noProof/>
        </w:rPr>
        <w:tab/>
      </w:r>
      <w:r>
        <w:rPr>
          <w:noProof/>
        </w:rPr>
        <w:fldChar w:fldCharType="begin"/>
      </w:r>
      <w:r>
        <w:rPr>
          <w:noProof/>
        </w:rPr>
        <w:instrText xml:space="preserve"> PAGEREF _Toc351714342 \h </w:instrText>
      </w:r>
      <w:r>
        <w:rPr>
          <w:noProof/>
        </w:rPr>
      </w:r>
      <w:r>
        <w:rPr>
          <w:noProof/>
        </w:rPr>
        <w:fldChar w:fldCharType="separate"/>
      </w:r>
      <w:r w:rsidR="00F46106">
        <w:rPr>
          <w:noProof/>
        </w:rPr>
        <w:t>34</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7.4</w:t>
      </w:r>
      <w:r>
        <w:rPr>
          <w:rFonts w:asciiTheme="minorHAnsi" w:eastAsiaTheme="minorEastAsia" w:hAnsiTheme="minorHAnsi" w:cstheme="minorBidi"/>
          <w:b w:val="0"/>
          <w:noProof/>
          <w:kern w:val="0"/>
          <w:sz w:val="22"/>
          <w:szCs w:val="22"/>
        </w:rPr>
        <w:tab/>
      </w:r>
      <w:r>
        <w:rPr>
          <w:noProof/>
        </w:rPr>
        <w:t>Identification of Toxicity Reference Values</w:t>
      </w:r>
      <w:r>
        <w:rPr>
          <w:noProof/>
        </w:rPr>
        <w:tab/>
      </w:r>
      <w:r>
        <w:rPr>
          <w:noProof/>
        </w:rPr>
        <w:fldChar w:fldCharType="begin"/>
      </w:r>
      <w:r>
        <w:rPr>
          <w:noProof/>
        </w:rPr>
        <w:instrText xml:space="preserve"> PAGEREF _Toc351714343 \h </w:instrText>
      </w:r>
      <w:r>
        <w:rPr>
          <w:noProof/>
        </w:rPr>
      </w:r>
      <w:r>
        <w:rPr>
          <w:noProof/>
        </w:rPr>
        <w:fldChar w:fldCharType="separate"/>
      </w:r>
      <w:r w:rsidR="00F46106">
        <w:rPr>
          <w:noProof/>
        </w:rPr>
        <w:t>34</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7.4.1</w:t>
      </w:r>
      <w:r>
        <w:rPr>
          <w:rFonts w:asciiTheme="minorHAnsi" w:eastAsiaTheme="minorEastAsia" w:hAnsiTheme="minorHAnsi" w:cstheme="minorBidi"/>
          <w:b w:val="0"/>
          <w:noProof/>
          <w:kern w:val="0"/>
          <w:szCs w:val="22"/>
        </w:rPr>
        <w:tab/>
      </w:r>
      <w:r>
        <w:rPr>
          <w:noProof/>
        </w:rPr>
        <w:t>Classification</w:t>
      </w:r>
      <w:r>
        <w:rPr>
          <w:noProof/>
        </w:rPr>
        <w:tab/>
      </w:r>
      <w:r>
        <w:rPr>
          <w:noProof/>
        </w:rPr>
        <w:fldChar w:fldCharType="begin"/>
      </w:r>
      <w:r>
        <w:rPr>
          <w:noProof/>
        </w:rPr>
        <w:instrText xml:space="preserve"> PAGEREF _Toc351714344 \h </w:instrText>
      </w:r>
      <w:r>
        <w:rPr>
          <w:noProof/>
        </w:rPr>
      </w:r>
      <w:r>
        <w:rPr>
          <w:noProof/>
        </w:rPr>
        <w:fldChar w:fldCharType="separate"/>
      </w:r>
      <w:r w:rsidR="00F46106">
        <w:rPr>
          <w:noProof/>
        </w:rPr>
        <w:t>34</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7.4.2</w:t>
      </w:r>
      <w:r>
        <w:rPr>
          <w:rFonts w:asciiTheme="minorHAnsi" w:eastAsiaTheme="minorEastAsia" w:hAnsiTheme="minorHAnsi" w:cstheme="minorBidi"/>
          <w:b w:val="0"/>
          <w:noProof/>
          <w:kern w:val="0"/>
          <w:szCs w:val="22"/>
        </w:rPr>
        <w:tab/>
      </w:r>
      <w:r>
        <w:rPr>
          <w:noProof/>
        </w:rPr>
        <w:t>Review of Available Values/Information</w:t>
      </w:r>
      <w:r>
        <w:rPr>
          <w:noProof/>
        </w:rPr>
        <w:tab/>
      </w:r>
      <w:r>
        <w:rPr>
          <w:noProof/>
        </w:rPr>
        <w:fldChar w:fldCharType="begin"/>
      </w:r>
      <w:r>
        <w:rPr>
          <w:noProof/>
        </w:rPr>
        <w:instrText xml:space="preserve"> PAGEREF _Toc351714345 \h </w:instrText>
      </w:r>
      <w:r>
        <w:rPr>
          <w:noProof/>
        </w:rPr>
      </w:r>
      <w:r>
        <w:rPr>
          <w:noProof/>
        </w:rPr>
        <w:fldChar w:fldCharType="separate"/>
      </w:r>
      <w:r w:rsidR="00F46106">
        <w:rPr>
          <w:noProof/>
        </w:rPr>
        <w:t>34</w:t>
      </w:r>
      <w:r>
        <w:rPr>
          <w:noProof/>
        </w:rPr>
        <w:fldChar w:fldCharType="end"/>
      </w:r>
    </w:p>
    <w:p w:rsidR="00297258" w:rsidRDefault="00297258" w:rsidP="00297258">
      <w:pPr>
        <w:pStyle w:val="TOC3"/>
        <w:keepNext w:val="0"/>
        <w:rPr>
          <w:rFonts w:asciiTheme="minorHAnsi" w:eastAsiaTheme="minorEastAsia" w:hAnsiTheme="minorHAnsi" w:cstheme="minorBidi"/>
          <w:b w:val="0"/>
          <w:noProof/>
          <w:kern w:val="0"/>
          <w:szCs w:val="22"/>
        </w:rPr>
      </w:pPr>
      <w:r>
        <w:rPr>
          <w:noProof/>
        </w:rPr>
        <w:t>7.4.3</w:t>
      </w:r>
      <w:r>
        <w:rPr>
          <w:rFonts w:asciiTheme="minorHAnsi" w:eastAsiaTheme="minorEastAsia" w:hAnsiTheme="minorHAnsi" w:cstheme="minorBidi"/>
          <w:b w:val="0"/>
          <w:noProof/>
          <w:kern w:val="0"/>
          <w:szCs w:val="22"/>
        </w:rPr>
        <w:tab/>
      </w:r>
      <w:r>
        <w:rPr>
          <w:noProof/>
        </w:rPr>
        <w:t>Recommendation</w:t>
      </w:r>
      <w:r>
        <w:rPr>
          <w:noProof/>
        </w:rPr>
        <w:tab/>
      </w:r>
      <w:r>
        <w:rPr>
          <w:noProof/>
        </w:rPr>
        <w:fldChar w:fldCharType="begin"/>
      </w:r>
      <w:r>
        <w:rPr>
          <w:noProof/>
        </w:rPr>
        <w:instrText xml:space="preserve"> PAGEREF _Toc351714346 \h </w:instrText>
      </w:r>
      <w:r>
        <w:rPr>
          <w:noProof/>
        </w:rPr>
      </w:r>
      <w:r>
        <w:rPr>
          <w:noProof/>
        </w:rPr>
        <w:fldChar w:fldCharType="separate"/>
      </w:r>
      <w:r w:rsidR="00F46106">
        <w:rPr>
          <w:noProof/>
        </w:rPr>
        <w:t>35</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7.5</w:t>
      </w:r>
      <w:r>
        <w:rPr>
          <w:rFonts w:asciiTheme="minorHAnsi" w:eastAsiaTheme="minorEastAsia" w:hAnsiTheme="minorHAnsi" w:cstheme="minorBidi"/>
          <w:b w:val="0"/>
          <w:noProof/>
          <w:kern w:val="0"/>
          <w:sz w:val="22"/>
          <w:szCs w:val="22"/>
        </w:rPr>
        <w:tab/>
      </w:r>
      <w:r>
        <w:rPr>
          <w:noProof/>
        </w:rPr>
        <w:t>Calculated HILs</w:t>
      </w:r>
      <w:r>
        <w:rPr>
          <w:noProof/>
        </w:rPr>
        <w:tab/>
      </w:r>
      <w:r>
        <w:rPr>
          <w:noProof/>
        </w:rPr>
        <w:fldChar w:fldCharType="begin"/>
      </w:r>
      <w:r>
        <w:rPr>
          <w:noProof/>
        </w:rPr>
        <w:instrText xml:space="preserve"> PAGEREF _Toc351714347 \h </w:instrText>
      </w:r>
      <w:r>
        <w:rPr>
          <w:noProof/>
        </w:rPr>
      </w:r>
      <w:r>
        <w:rPr>
          <w:noProof/>
        </w:rPr>
        <w:fldChar w:fldCharType="separate"/>
      </w:r>
      <w:r w:rsidR="00F46106">
        <w:rPr>
          <w:noProof/>
        </w:rPr>
        <w:t>35</w:t>
      </w:r>
      <w:r>
        <w:rPr>
          <w:noProof/>
        </w:rPr>
        <w:fldChar w:fldCharType="end"/>
      </w:r>
    </w:p>
    <w:p w:rsidR="00297258" w:rsidRDefault="00297258" w:rsidP="00297258">
      <w:pPr>
        <w:pStyle w:val="TOC2"/>
        <w:keepNext w:val="0"/>
        <w:rPr>
          <w:rFonts w:asciiTheme="minorHAnsi" w:eastAsiaTheme="minorEastAsia" w:hAnsiTheme="minorHAnsi" w:cstheme="minorBidi"/>
          <w:b w:val="0"/>
          <w:noProof/>
          <w:kern w:val="0"/>
          <w:sz w:val="22"/>
          <w:szCs w:val="22"/>
        </w:rPr>
      </w:pPr>
      <w:r>
        <w:rPr>
          <w:noProof/>
        </w:rPr>
        <w:t>7.6</w:t>
      </w:r>
      <w:r>
        <w:rPr>
          <w:rFonts w:asciiTheme="minorHAnsi" w:eastAsiaTheme="minorEastAsia" w:hAnsiTheme="minorHAnsi" w:cstheme="minorBidi"/>
          <w:b w:val="0"/>
          <w:noProof/>
          <w:kern w:val="0"/>
          <w:sz w:val="22"/>
          <w:szCs w:val="22"/>
        </w:rPr>
        <w:tab/>
      </w:r>
      <w:r>
        <w:rPr>
          <w:noProof/>
        </w:rPr>
        <w:t>References</w:t>
      </w:r>
      <w:r>
        <w:rPr>
          <w:noProof/>
        </w:rPr>
        <w:tab/>
      </w:r>
      <w:r>
        <w:rPr>
          <w:noProof/>
        </w:rPr>
        <w:fldChar w:fldCharType="begin"/>
      </w:r>
      <w:r>
        <w:rPr>
          <w:noProof/>
        </w:rPr>
        <w:instrText xml:space="preserve"> PAGEREF _Toc351714348 \h </w:instrText>
      </w:r>
      <w:r>
        <w:rPr>
          <w:noProof/>
        </w:rPr>
      </w:r>
      <w:r>
        <w:rPr>
          <w:noProof/>
        </w:rPr>
        <w:fldChar w:fldCharType="separate"/>
      </w:r>
      <w:r w:rsidR="00F46106">
        <w:rPr>
          <w:noProof/>
        </w:rPr>
        <w:t>36</w:t>
      </w:r>
      <w:r>
        <w:rPr>
          <w:noProof/>
        </w:rPr>
        <w:fldChar w:fldCharType="end"/>
      </w:r>
    </w:p>
    <w:p w:rsidR="00297258" w:rsidRDefault="00297258" w:rsidP="00297258">
      <w:pPr>
        <w:pStyle w:val="TOC1"/>
        <w:keepNext w:val="0"/>
        <w:rPr>
          <w:rFonts w:asciiTheme="minorHAnsi" w:eastAsiaTheme="minorEastAsia" w:hAnsiTheme="minorHAnsi" w:cstheme="minorBidi"/>
          <w:b w:val="0"/>
          <w:noProof/>
          <w:kern w:val="0"/>
          <w:sz w:val="22"/>
          <w:szCs w:val="22"/>
        </w:rPr>
      </w:pPr>
      <w:r>
        <w:rPr>
          <w:noProof/>
        </w:rPr>
        <w:t>8</w:t>
      </w:r>
      <w:r>
        <w:rPr>
          <w:rFonts w:asciiTheme="minorHAnsi" w:eastAsiaTheme="minorEastAsia" w:hAnsiTheme="minorHAnsi" w:cstheme="minorBidi"/>
          <w:b w:val="0"/>
          <w:noProof/>
          <w:kern w:val="0"/>
          <w:sz w:val="22"/>
          <w:szCs w:val="22"/>
        </w:rPr>
        <w:tab/>
      </w:r>
      <w:r>
        <w:rPr>
          <w:noProof/>
        </w:rPr>
        <w:t>Shortened forms</w:t>
      </w:r>
      <w:r>
        <w:rPr>
          <w:noProof/>
        </w:rPr>
        <w:tab/>
      </w:r>
      <w:r>
        <w:rPr>
          <w:noProof/>
        </w:rPr>
        <w:fldChar w:fldCharType="begin"/>
      </w:r>
      <w:r>
        <w:rPr>
          <w:noProof/>
        </w:rPr>
        <w:instrText xml:space="preserve"> PAGEREF _Toc351714349 \h </w:instrText>
      </w:r>
      <w:r>
        <w:rPr>
          <w:noProof/>
        </w:rPr>
      </w:r>
      <w:r>
        <w:rPr>
          <w:noProof/>
        </w:rPr>
        <w:fldChar w:fldCharType="separate"/>
      </w:r>
      <w:r w:rsidR="00F46106">
        <w:rPr>
          <w:noProof/>
        </w:rPr>
        <w:t>37</w:t>
      </w:r>
      <w:r>
        <w:rPr>
          <w:noProof/>
        </w:rPr>
        <w:fldChar w:fldCharType="end"/>
      </w:r>
    </w:p>
    <w:p w:rsidR="007636B0" w:rsidRPr="003F4DD3" w:rsidRDefault="0006666F" w:rsidP="00297258">
      <w:pPr>
        <w:sectPr w:rsidR="007636B0" w:rsidRPr="003F4DD3" w:rsidSect="00B45DD6">
          <w:headerReference w:type="even" r:id="rId12"/>
          <w:headerReference w:type="default" r:id="rId13"/>
          <w:footerReference w:type="default" r:id="rId14"/>
          <w:headerReference w:type="first" r:id="rId15"/>
          <w:footerReference w:type="first" r:id="rId16"/>
          <w:pgSz w:w="11906" w:h="16838" w:code="9"/>
          <w:pgMar w:top="1134" w:right="1418" w:bottom="1134" w:left="1701" w:header="720" w:footer="567" w:gutter="0"/>
          <w:pgNumType w:start="1"/>
          <w:cols w:space="720"/>
          <w:titlePg/>
        </w:sectPr>
      </w:pPr>
      <w:r>
        <w:fldChar w:fldCharType="end"/>
      </w:r>
    </w:p>
    <w:p w:rsidR="007636B0" w:rsidRDefault="007636B0" w:rsidP="007636B0">
      <w:pPr>
        <w:pStyle w:val="Heading1"/>
        <w:tabs>
          <w:tab w:val="clear" w:pos="1209"/>
          <w:tab w:val="num" w:pos="720"/>
        </w:tabs>
      </w:pPr>
      <w:bookmarkStart w:id="1" w:name="_Toc351714241"/>
      <w:r>
        <w:lastRenderedPageBreak/>
        <w:t>2,4,5-T</w:t>
      </w:r>
      <w:bookmarkEnd w:id="1"/>
    </w:p>
    <w:p w:rsidR="007636B0" w:rsidRDefault="007636B0" w:rsidP="007636B0">
      <w:pPr>
        <w:pStyle w:val="Heading2"/>
        <w:tabs>
          <w:tab w:val="clear" w:pos="1209"/>
        </w:tabs>
      </w:pPr>
      <w:bookmarkStart w:id="2" w:name="_Toc351714242"/>
      <w:r>
        <w:t>General</w:t>
      </w:r>
      <w:bookmarkEnd w:id="2"/>
    </w:p>
    <w:p w:rsidR="007636B0" w:rsidRDefault="007636B0" w:rsidP="007636B0">
      <w:r w:rsidRPr="00A35E24">
        <w:t>2,4,5-T is the common name for 2,4,5-trichlorophenoxyacetic acid (</w:t>
      </w:r>
      <w:r>
        <w:t>or</w:t>
      </w:r>
      <w:r w:rsidRPr="00A35E24">
        <w:t xml:space="preserve"> 2,4,5-triphenoxyacetic acid), a chlorophenoxy herbicide.</w:t>
      </w:r>
    </w:p>
    <w:p w:rsidR="0021528E" w:rsidRPr="00A35E24" w:rsidRDefault="0021528E" w:rsidP="007636B0"/>
    <w:p w:rsidR="007636B0" w:rsidRDefault="007636B0" w:rsidP="007636B0">
      <w:r>
        <w:t xml:space="preserve">Several comprehensive reviews of </w:t>
      </w:r>
      <w:r w:rsidRPr="00A35E24">
        <w:rPr>
          <w:rFonts w:cs="Arial"/>
        </w:rPr>
        <w:t>2,4,5-T</w:t>
      </w:r>
      <w:r>
        <w:t xml:space="preserve"> in the environment and its toxicity to humans are available and should be consulted for more detailed information not presented in this summary ( OCS 2004; HSDB 2010). The following provides a summary of the key aspects of </w:t>
      </w:r>
      <w:r w:rsidRPr="00A35E24">
        <w:rPr>
          <w:rFonts w:cs="Arial"/>
        </w:rPr>
        <w:t>2,4,5-T</w:t>
      </w:r>
      <w:r>
        <w:t xml:space="preserve"> that are relevant to the derivation of a soil HIL.</w:t>
      </w:r>
    </w:p>
    <w:p w:rsidR="0021528E" w:rsidRDefault="0021528E" w:rsidP="007636B0"/>
    <w:p w:rsidR="007636B0" w:rsidRDefault="007636B0" w:rsidP="007636B0">
      <w:r w:rsidRPr="00A35E24">
        <w:t>The herbicide was also commercially produced as an amine salt, alkali metal salt and ester derivative of 2,4,5-T. Pure 2,4,5-T is a white to light tan solid. It is slightly soluble in water whereas the amine and alkali metal salt derivatives are highly soluble. The ester</w:t>
      </w:r>
      <w:r>
        <w:t>,</w:t>
      </w:r>
      <w:r w:rsidRPr="00A35E24">
        <w:t xml:space="preserve"> howe</w:t>
      </w:r>
      <w:r>
        <w:t>ver, is insoluble in water</w:t>
      </w:r>
      <w:r w:rsidRPr="00A35E24">
        <w:t>.</w:t>
      </w:r>
      <w:r>
        <w:t xml:space="preserve"> </w:t>
      </w:r>
      <w:r w:rsidRPr="00A35E24">
        <w:t>2,3,7,8-tetrachlorodibenzo</w:t>
      </w:r>
      <w:r w:rsidRPr="00A35E24">
        <w:rPr>
          <w:i/>
          <w:iCs/>
        </w:rPr>
        <w:t>p</w:t>
      </w:r>
      <w:r w:rsidRPr="00A35E24">
        <w:t>-dioxin (TCDD), a known human carcinogen, was a common contaminant in the manufacture of 2,4,5-T and its derivatives and was typically present in the l</w:t>
      </w:r>
      <w:r>
        <w:t>ow mg/kg to high mg/kg level (OCS 2004)</w:t>
      </w:r>
      <w:r w:rsidRPr="00A35E24">
        <w:t xml:space="preserve">. 2,4,5-T with TCDD contamination is now controlled in international trade through the 'Rotterdam Convention’ </w:t>
      </w:r>
      <w:r>
        <w:t>(</w:t>
      </w:r>
      <w:r w:rsidRPr="009974B0">
        <w:t>Joint FAO/UNEP 2005).</w:t>
      </w:r>
      <w:r>
        <w:t xml:space="preserve"> It is noted that 2,4,5-T is not expected to persist in the environment for any significant period of time but TCDD will remain and should be considered in a site-specific assessment where a 2,4,5-T source may have been present.</w:t>
      </w:r>
    </w:p>
    <w:p w:rsidR="0021528E" w:rsidRPr="009974B0" w:rsidRDefault="0021528E" w:rsidP="007636B0"/>
    <w:p w:rsidR="007636B0" w:rsidRDefault="007636B0" w:rsidP="007636B0">
      <w:r w:rsidRPr="00A35E24">
        <w:t xml:space="preserve">2,4,5-T and its derivatives were introduced in the 1960s and were used as herbicides for broad-leaved wood plants such as blackberries. 2,4,5-T was also combined with the compound 2,4-D to form the </w:t>
      </w:r>
      <w:r>
        <w:t>‘</w:t>
      </w:r>
      <w:r w:rsidRPr="00A35E24">
        <w:t>agent orange</w:t>
      </w:r>
      <w:r>
        <w:t>’</w:t>
      </w:r>
      <w:r w:rsidRPr="00A35E24">
        <w:t xml:space="preserve"> herbicide which was widely used by the US </w:t>
      </w:r>
      <w:r>
        <w:t>m</w:t>
      </w:r>
      <w:r w:rsidRPr="00A35E24">
        <w:t>ilitary in the V</w:t>
      </w:r>
      <w:r>
        <w:t>ietnam war (OCS 2004)</w:t>
      </w:r>
      <w:r w:rsidRPr="00A35E24">
        <w:t xml:space="preserve">. 2,4,5-T and its derivatives were withdrawn from use in the late 1980s and are no longer approved for </w:t>
      </w:r>
      <w:r>
        <w:t>use or marketed in Australia</w:t>
      </w:r>
      <w:r w:rsidRPr="00A35E24">
        <w:t>.</w:t>
      </w:r>
    </w:p>
    <w:p w:rsidR="007636B0" w:rsidRDefault="007636B0" w:rsidP="007636B0">
      <w:pPr>
        <w:pStyle w:val="Heading2"/>
        <w:tabs>
          <w:tab w:val="clear" w:pos="1209"/>
        </w:tabs>
      </w:pPr>
      <w:bookmarkStart w:id="3" w:name="_Toc351714243"/>
      <w:r w:rsidRPr="00775D98">
        <w:t>Previous</w:t>
      </w:r>
      <w:r>
        <w:t xml:space="preserve"> HIL</w:t>
      </w:r>
      <w:bookmarkEnd w:id="3"/>
    </w:p>
    <w:p w:rsidR="007636B0" w:rsidRDefault="007636B0" w:rsidP="007636B0">
      <w:r>
        <w:t xml:space="preserve">No previous HIL is available for </w:t>
      </w:r>
      <w:r w:rsidRPr="00A35E24">
        <w:t>2,4,5-T</w:t>
      </w:r>
      <w:r>
        <w:t xml:space="preserve"> (NEPC 1999).</w:t>
      </w:r>
    </w:p>
    <w:p w:rsidR="007636B0" w:rsidRDefault="007636B0" w:rsidP="007636B0">
      <w:pPr>
        <w:pStyle w:val="Heading2"/>
        <w:tabs>
          <w:tab w:val="clear" w:pos="1209"/>
        </w:tabs>
      </w:pPr>
      <w:bookmarkStart w:id="4" w:name="_Toc351714244"/>
      <w:r>
        <w:t>Significance of Exposure Pathways</w:t>
      </w:r>
      <w:bookmarkEnd w:id="4"/>
    </w:p>
    <w:p w:rsidR="007636B0" w:rsidRPr="00E00A6A" w:rsidRDefault="007636B0" w:rsidP="007636B0">
      <w:pPr>
        <w:pStyle w:val="Heading3"/>
      </w:pPr>
      <w:bookmarkStart w:id="5" w:name="_Toc351714245"/>
      <w:r>
        <w:t xml:space="preserve">Oral </w:t>
      </w:r>
      <w:r w:rsidRPr="00E00A6A">
        <w:t>Bioavailability</w:t>
      </w:r>
      <w:bookmarkEnd w:id="5"/>
    </w:p>
    <w:p w:rsidR="007636B0" w:rsidRDefault="007636B0" w:rsidP="007636B0">
      <w:r>
        <w:t xml:space="preserve">Insufficient data is available to adequately define the bioavailability of </w:t>
      </w:r>
      <w:r w:rsidRPr="00A35E24">
        <w:t>2,4,5-T</w:t>
      </w:r>
      <w:r>
        <w:t>, hence a default approach of assuming 100% oral bioavailability has been adopted in the derivation of an HIL. It is noted that a site-specific assessment of bioavailability can be undertaken where required.</w:t>
      </w:r>
    </w:p>
    <w:p w:rsidR="007636B0" w:rsidRPr="002D7B71" w:rsidRDefault="007636B0" w:rsidP="007636B0">
      <w:pPr>
        <w:pStyle w:val="Heading3"/>
      </w:pPr>
      <w:bookmarkStart w:id="6" w:name="_Toc351714246"/>
      <w:r w:rsidRPr="002D7B71">
        <w:t>Dermal absorption</w:t>
      </w:r>
      <w:bookmarkEnd w:id="6"/>
    </w:p>
    <w:p w:rsidR="007636B0" w:rsidRDefault="007636B0" w:rsidP="007636B0">
      <w:r>
        <w:t xml:space="preserve">Insufficient data is available on the dermal absorption of </w:t>
      </w:r>
      <w:r w:rsidRPr="00A35E24">
        <w:t>2,4,5-T</w:t>
      </w:r>
      <w:r>
        <w:t xml:space="preserve"> from soil. Hence the default value of 0.1 (10%) suggested by US EPA (1995) for pesticides has been adopted in the derivation of HILs.</w:t>
      </w:r>
    </w:p>
    <w:p w:rsidR="007636B0" w:rsidRPr="009338FB" w:rsidRDefault="007636B0" w:rsidP="007636B0">
      <w:pPr>
        <w:pStyle w:val="Heading3"/>
      </w:pPr>
      <w:bookmarkStart w:id="7" w:name="_Toc351714247"/>
      <w:r w:rsidRPr="009338FB">
        <w:t>Inhalation of Dust</w:t>
      </w:r>
      <w:bookmarkEnd w:id="7"/>
    </w:p>
    <w:p w:rsidR="007636B0" w:rsidRDefault="007636B0" w:rsidP="007636B0">
      <w:r w:rsidRPr="00A35E24">
        <w:t>2,4,5-T</w:t>
      </w:r>
      <w:r>
        <w:t xml:space="preserve"> is not considered sufficiently volatile to be of significance and inhalation exposures associated with particulates outdoors and indoors are expected to be of less significance than ingestion of soil. While likely to be negligible, potential inhalation exposures associated with dust have been considered in the HIL derived.</w:t>
      </w:r>
    </w:p>
    <w:p w:rsidR="007636B0" w:rsidRPr="009338FB" w:rsidRDefault="007636B0" w:rsidP="007636B0">
      <w:pPr>
        <w:pStyle w:val="Heading3"/>
      </w:pPr>
      <w:bookmarkStart w:id="8" w:name="_Toc351714248"/>
      <w:r w:rsidRPr="009338FB">
        <w:t>Plant Uptake</w:t>
      </w:r>
      <w:bookmarkEnd w:id="8"/>
    </w:p>
    <w:p w:rsidR="007636B0" w:rsidRDefault="007636B0" w:rsidP="007636B0">
      <w:r>
        <w:t xml:space="preserve">Most </w:t>
      </w:r>
      <w:r w:rsidRPr="00A35E24">
        <w:rPr>
          <w:rFonts w:cs="Arial"/>
        </w:rPr>
        <w:t>chlorophenoxy herbicide</w:t>
      </w:r>
      <w:r>
        <w:t xml:space="preserve">s are toxic to plants and, as such, will be phytotoxic to almost all broadleaf crops including tomatoes, grapes and fruit trees, well before plant uptake into edible portions </w:t>
      </w:r>
      <w:r>
        <w:lastRenderedPageBreak/>
        <w:t>of fruit and vegetable crops is of significance. Hence the uptake of these compounds into home-grown produce has not been considered in the derivation of HIL A.</w:t>
      </w:r>
    </w:p>
    <w:p w:rsidR="0021528E" w:rsidRDefault="0021528E" w:rsidP="007636B0"/>
    <w:p w:rsidR="007636B0" w:rsidRDefault="007636B0" w:rsidP="007636B0">
      <w:r>
        <w:t>Note that the phytotoxic effects of these compounds may need to be addressed on a site-specific basis if detected in soil.</w:t>
      </w:r>
    </w:p>
    <w:p w:rsidR="007636B0" w:rsidRPr="0089652E" w:rsidRDefault="007636B0" w:rsidP="007636B0">
      <w:pPr>
        <w:pStyle w:val="Heading3"/>
      </w:pPr>
      <w:bookmarkStart w:id="9" w:name="_Toc351714249"/>
      <w:r w:rsidRPr="0089652E">
        <w:t xml:space="preserve">Intakes from Other Sources </w:t>
      </w:r>
      <w:r>
        <w:t>–</w:t>
      </w:r>
      <w:r w:rsidRPr="0089652E">
        <w:t xml:space="preserve"> Background</w:t>
      </w:r>
      <w:bookmarkEnd w:id="9"/>
    </w:p>
    <w:p w:rsidR="007636B0" w:rsidRDefault="007636B0" w:rsidP="007636B0">
      <w:r>
        <w:t>Review of available publications suggests that very little data is available for Australia. Based on the available information on 2,4,5-T and 2,4-D in the environment, it is likely that background intakes by the general public will be similar to those considered for 2,4-D, which can be considered to be essentially negligible (0%).</w:t>
      </w:r>
    </w:p>
    <w:p w:rsidR="007636B0" w:rsidRDefault="007636B0" w:rsidP="007636B0">
      <w:pPr>
        <w:pStyle w:val="Heading2"/>
        <w:tabs>
          <w:tab w:val="clear" w:pos="1209"/>
        </w:tabs>
      </w:pPr>
      <w:bookmarkStart w:id="10" w:name="_Toc351714250"/>
      <w:r>
        <w:t>Identification of Toxicity Reference Values</w:t>
      </w:r>
      <w:bookmarkEnd w:id="10"/>
    </w:p>
    <w:p w:rsidR="007636B0" w:rsidRPr="00983A79" w:rsidRDefault="007636B0" w:rsidP="007636B0">
      <w:pPr>
        <w:pStyle w:val="Heading3"/>
      </w:pPr>
      <w:bookmarkStart w:id="11" w:name="_Toc351714251"/>
      <w:r w:rsidRPr="00983A79">
        <w:t>Classification</w:t>
      </w:r>
      <w:bookmarkEnd w:id="11"/>
    </w:p>
    <w:p w:rsidR="007636B0" w:rsidRDefault="007636B0" w:rsidP="007636B0">
      <w:r w:rsidRPr="00C259C1">
        <w:t>The International Agency for Research on Cancer (IARC</w:t>
      </w:r>
      <w:r>
        <w:t xml:space="preserve"> 1987) has classified </w:t>
      </w:r>
      <w:r w:rsidRPr="00A35E24">
        <w:t>chlor</w:t>
      </w:r>
      <w:r>
        <w:t>ophenoxy herbicides as Group 2B—possibly carcinogenic to humans.</w:t>
      </w:r>
    </w:p>
    <w:p w:rsidR="0021528E" w:rsidRDefault="0021528E" w:rsidP="007636B0"/>
    <w:p w:rsidR="007636B0" w:rsidRDefault="007636B0" w:rsidP="007636B0">
      <w:r>
        <w:t>US EPA has not classified 2,4,5-T.</w:t>
      </w:r>
    </w:p>
    <w:p w:rsidR="007636B0" w:rsidRPr="00907E92" w:rsidRDefault="007636B0" w:rsidP="007636B0">
      <w:pPr>
        <w:pStyle w:val="Heading3"/>
      </w:pPr>
      <w:bookmarkStart w:id="12" w:name="_Toc351714252"/>
      <w:r w:rsidRPr="00907E92">
        <w:t>Review of Available Values</w:t>
      </w:r>
      <w:r>
        <w:t>/Information</w:t>
      </w:r>
      <w:bookmarkEnd w:id="12"/>
    </w:p>
    <w:p w:rsidR="007636B0" w:rsidRDefault="007636B0" w:rsidP="007636B0">
      <w:r>
        <w:t xml:space="preserve">Limited data is available on the assessment of carcinogenicity and genotoxicity for 2,4,5-T. Available information on 2,4,5-T is often confounded with the presence of dioxin (TCDD) which was a common </w:t>
      </w:r>
      <w:r w:rsidRPr="009974B0">
        <w:t>contaminant in 2,4,5-T herbicides</w:t>
      </w:r>
      <w:r>
        <w:t xml:space="preserve">. </w:t>
      </w:r>
      <w:r w:rsidRPr="009974B0">
        <w:t>2,4,5-T alone has not been found to be carcinogenic (Joint FAO/UNEP 2005)</w:t>
      </w:r>
      <w:r>
        <w:t>.</w:t>
      </w:r>
    </w:p>
    <w:p w:rsidR="0021528E" w:rsidRPr="009974B0" w:rsidRDefault="0021528E" w:rsidP="007636B0"/>
    <w:p w:rsidR="007636B0" w:rsidRDefault="007636B0" w:rsidP="007636B0">
      <w:r>
        <w:t>On the basis of the available information, it is considered appropriate that a threshold dose-response approach be adopted for 2,4-5-T. The following are available from Level 1 Australian and International sources: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2"/>
        <w:gridCol w:w="2238"/>
        <w:gridCol w:w="5537"/>
      </w:tblGrid>
      <w:tr w:rsidR="007636B0" w:rsidRPr="00775D98" w:rsidTr="00B45DD6">
        <w:trPr>
          <w:cantSplit/>
          <w:tblHeader/>
        </w:trPr>
        <w:tc>
          <w:tcPr>
            <w:tcW w:w="1384" w:type="dxa"/>
            <w:shd w:val="clear" w:color="auto" w:fill="C6D9F1" w:themeFill="text2" w:themeFillTint="33"/>
          </w:tcPr>
          <w:p w:rsidR="007636B0" w:rsidRPr="00775D98" w:rsidRDefault="007636B0" w:rsidP="00B45DD6">
            <w:pPr>
              <w:spacing w:before="20"/>
              <w:jc w:val="center"/>
              <w:rPr>
                <w:b/>
                <w:szCs w:val="22"/>
              </w:rPr>
            </w:pPr>
            <w:r w:rsidRPr="00775D98">
              <w:rPr>
                <w:b/>
                <w:szCs w:val="22"/>
              </w:rPr>
              <w:t>Source</w:t>
            </w:r>
          </w:p>
        </w:tc>
        <w:tc>
          <w:tcPr>
            <w:tcW w:w="2410" w:type="dxa"/>
            <w:shd w:val="clear" w:color="auto" w:fill="C6D9F1" w:themeFill="text2" w:themeFillTint="33"/>
          </w:tcPr>
          <w:p w:rsidR="007636B0" w:rsidRPr="00775D98" w:rsidRDefault="007636B0" w:rsidP="00B45DD6">
            <w:pPr>
              <w:spacing w:before="20"/>
              <w:jc w:val="center"/>
              <w:rPr>
                <w:b/>
                <w:szCs w:val="22"/>
              </w:rPr>
            </w:pPr>
            <w:r w:rsidRPr="00775D98">
              <w:rPr>
                <w:b/>
                <w:szCs w:val="22"/>
              </w:rPr>
              <w:t>Value</w:t>
            </w:r>
          </w:p>
        </w:tc>
        <w:tc>
          <w:tcPr>
            <w:tcW w:w="6169" w:type="dxa"/>
            <w:shd w:val="clear" w:color="auto" w:fill="C6D9F1" w:themeFill="text2" w:themeFillTint="33"/>
          </w:tcPr>
          <w:p w:rsidR="007636B0" w:rsidRPr="00775D98" w:rsidRDefault="007636B0" w:rsidP="00B45DD6">
            <w:pPr>
              <w:spacing w:before="20"/>
              <w:jc w:val="center"/>
              <w:rPr>
                <w:b/>
                <w:szCs w:val="22"/>
              </w:rPr>
            </w:pPr>
            <w:r w:rsidRPr="00775D98">
              <w:rPr>
                <w:b/>
                <w:szCs w:val="22"/>
              </w:rPr>
              <w:t>Basis/Comments</w:t>
            </w:r>
          </w:p>
        </w:tc>
      </w:tr>
      <w:tr w:rsidR="007636B0" w:rsidRPr="00775D98" w:rsidTr="00B45DD6">
        <w:trPr>
          <w:cantSplit/>
        </w:trPr>
        <w:tc>
          <w:tcPr>
            <w:tcW w:w="9963" w:type="dxa"/>
            <w:gridSpan w:val="3"/>
          </w:tcPr>
          <w:p w:rsidR="007636B0" w:rsidRPr="00775D98" w:rsidRDefault="007636B0" w:rsidP="00B45DD6">
            <w:pPr>
              <w:spacing w:before="20"/>
              <w:jc w:val="center"/>
              <w:rPr>
                <w:b/>
                <w:szCs w:val="22"/>
              </w:rPr>
            </w:pPr>
            <w:r w:rsidRPr="00775D98">
              <w:rPr>
                <w:b/>
                <w:szCs w:val="22"/>
              </w:rPr>
              <w:t>Australian</w:t>
            </w:r>
          </w:p>
        </w:tc>
      </w:tr>
      <w:tr w:rsidR="007636B0" w:rsidRPr="00775D98" w:rsidTr="00B45DD6">
        <w:trPr>
          <w:cantSplit/>
        </w:trPr>
        <w:tc>
          <w:tcPr>
            <w:tcW w:w="1384" w:type="dxa"/>
          </w:tcPr>
          <w:p w:rsidR="007636B0" w:rsidRPr="00775D98" w:rsidRDefault="007636B0" w:rsidP="00B45DD6">
            <w:pPr>
              <w:spacing w:before="20"/>
              <w:rPr>
                <w:szCs w:val="22"/>
              </w:rPr>
            </w:pPr>
            <w:r w:rsidRPr="00775D98">
              <w:rPr>
                <w:szCs w:val="22"/>
              </w:rPr>
              <w:t xml:space="preserve">ADWG (NHMRC 2011) </w:t>
            </w:r>
          </w:p>
        </w:tc>
        <w:tc>
          <w:tcPr>
            <w:tcW w:w="2410" w:type="dxa"/>
          </w:tcPr>
          <w:p w:rsidR="007636B0" w:rsidRPr="00775D98" w:rsidRDefault="007636B0" w:rsidP="00B45DD6">
            <w:pPr>
              <w:spacing w:before="20"/>
              <w:rPr>
                <w:szCs w:val="22"/>
              </w:rPr>
            </w:pPr>
            <w:r w:rsidRPr="00775D98">
              <w:rPr>
                <w:szCs w:val="22"/>
              </w:rPr>
              <w:t>TDI = 0.03 mg/kg/day</w:t>
            </w:r>
          </w:p>
        </w:tc>
        <w:tc>
          <w:tcPr>
            <w:tcW w:w="6169" w:type="dxa"/>
          </w:tcPr>
          <w:p w:rsidR="007636B0" w:rsidRPr="00775D98" w:rsidRDefault="007636B0" w:rsidP="00B45DD6">
            <w:pPr>
              <w:spacing w:before="20"/>
              <w:rPr>
                <w:szCs w:val="22"/>
              </w:rPr>
            </w:pPr>
            <w:r w:rsidRPr="00775D98">
              <w:rPr>
                <w:szCs w:val="22"/>
              </w:rPr>
              <w:t>Current drinking water guideline of 0.1 mg/L based on 10% intake from drinking water. Based on equations presented in the ADWG (NHMRC 2011), the TDI considered in this derivation is equal to 0.029 mg/kg/day, essentially equivalent to the ADI available from the Joint FAO/WHO. No further information on the basis for this value is available.</w:t>
            </w:r>
          </w:p>
        </w:tc>
      </w:tr>
      <w:tr w:rsidR="007636B0" w:rsidRPr="00775D98" w:rsidTr="00B45DD6">
        <w:trPr>
          <w:cantSplit/>
        </w:trPr>
        <w:tc>
          <w:tcPr>
            <w:tcW w:w="1384" w:type="dxa"/>
          </w:tcPr>
          <w:p w:rsidR="007636B0" w:rsidRPr="00775D98" w:rsidRDefault="007636B0" w:rsidP="00B45DD6">
            <w:pPr>
              <w:spacing w:before="20"/>
              <w:rPr>
                <w:szCs w:val="22"/>
              </w:rPr>
            </w:pPr>
            <w:r w:rsidRPr="00775D98">
              <w:rPr>
                <w:szCs w:val="22"/>
              </w:rPr>
              <w:t>OCS (2012)</w:t>
            </w:r>
          </w:p>
        </w:tc>
        <w:tc>
          <w:tcPr>
            <w:tcW w:w="2410" w:type="dxa"/>
          </w:tcPr>
          <w:p w:rsidR="007636B0" w:rsidRPr="00775D98" w:rsidRDefault="007636B0" w:rsidP="00B45DD6">
            <w:pPr>
              <w:spacing w:before="20"/>
              <w:rPr>
                <w:szCs w:val="22"/>
              </w:rPr>
            </w:pPr>
            <w:r w:rsidRPr="00775D98">
              <w:rPr>
                <w:szCs w:val="22"/>
              </w:rPr>
              <w:t>Deleted from current list in 2003. Prior to this, the ADI was listed as 0.03 mg/kg/day.</w:t>
            </w:r>
          </w:p>
        </w:tc>
        <w:tc>
          <w:tcPr>
            <w:tcW w:w="6169" w:type="dxa"/>
          </w:tcPr>
          <w:p w:rsidR="007636B0" w:rsidRPr="00775D98" w:rsidRDefault="007636B0" w:rsidP="00B45DD6">
            <w:pPr>
              <w:spacing w:before="20"/>
              <w:rPr>
                <w:szCs w:val="22"/>
              </w:rPr>
            </w:pPr>
            <w:r w:rsidRPr="00775D98">
              <w:rPr>
                <w:szCs w:val="22"/>
              </w:rPr>
              <w:t>Previous ADI referenced from Joint FAO/WHO evaluation from 1981.</w:t>
            </w:r>
          </w:p>
        </w:tc>
      </w:tr>
      <w:tr w:rsidR="007636B0" w:rsidRPr="00775D98" w:rsidTr="00B45DD6">
        <w:trPr>
          <w:cantSplit/>
        </w:trPr>
        <w:tc>
          <w:tcPr>
            <w:tcW w:w="9963" w:type="dxa"/>
            <w:gridSpan w:val="3"/>
          </w:tcPr>
          <w:p w:rsidR="007636B0" w:rsidRPr="00775D98" w:rsidRDefault="007636B0" w:rsidP="00B45DD6">
            <w:pPr>
              <w:spacing w:before="20"/>
              <w:jc w:val="center"/>
              <w:rPr>
                <w:b/>
                <w:szCs w:val="22"/>
              </w:rPr>
            </w:pPr>
            <w:r w:rsidRPr="00775D98">
              <w:rPr>
                <w:b/>
                <w:szCs w:val="22"/>
              </w:rPr>
              <w:t>International</w:t>
            </w:r>
          </w:p>
        </w:tc>
      </w:tr>
      <w:tr w:rsidR="007636B0" w:rsidRPr="00775D98" w:rsidTr="00B45DD6">
        <w:trPr>
          <w:cantSplit/>
        </w:trPr>
        <w:tc>
          <w:tcPr>
            <w:tcW w:w="1384" w:type="dxa"/>
          </w:tcPr>
          <w:p w:rsidR="007636B0" w:rsidRPr="00775D98" w:rsidRDefault="007636B0" w:rsidP="00B45DD6">
            <w:pPr>
              <w:spacing w:before="20"/>
              <w:rPr>
                <w:szCs w:val="22"/>
              </w:rPr>
            </w:pPr>
            <w:r w:rsidRPr="00775D98">
              <w:rPr>
                <w:szCs w:val="22"/>
              </w:rPr>
              <w:t>WHO (1981)</w:t>
            </w:r>
          </w:p>
        </w:tc>
        <w:tc>
          <w:tcPr>
            <w:tcW w:w="2410" w:type="dxa"/>
          </w:tcPr>
          <w:p w:rsidR="007636B0" w:rsidRPr="00775D98" w:rsidRDefault="007636B0" w:rsidP="00B45DD6">
            <w:pPr>
              <w:spacing w:before="20"/>
              <w:rPr>
                <w:szCs w:val="22"/>
              </w:rPr>
            </w:pPr>
            <w:r w:rsidRPr="00775D98">
              <w:rPr>
                <w:szCs w:val="22"/>
              </w:rPr>
              <w:t>Temporary ADI of 0-0.03 mg/kg/day</w:t>
            </w:r>
          </w:p>
        </w:tc>
        <w:tc>
          <w:tcPr>
            <w:tcW w:w="6169" w:type="dxa"/>
          </w:tcPr>
          <w:p w:rsidR="007636B0" w:rsidRPr="00775D98" w:rsidRDefault="007636B0" w:rsidP="00B45DD6">
            <w:pPr>
              <w:spacing w:before="20"/>
              <w:rPr>
                <w:szCs w:val="22"/>
              </w:rPr>
            </w:pPr>
            <w:r w:rsidRPr="00775D98">
              <w:rPr>
                <w:szCs w:val="22"/>
              </w:rPr>
              <w:t>Temporary ADI based on a NOEL of 3 mg/kg/day from a rat carcinogenicity study with 2,4,5-T containing 0.05 ppm TCDD.</w:t>
            </w:r>
          </w:p>
        </w:tc>
      </w:tr>
      <w:tr w:rsidR="007636B0" w:rsidRPr="00775D98" w:rsidTr="00B45DD6">
        <w:trPr>
          <w:cantSplit/>
        </w:trPr>
        <w:tc>
          <w:tcPr>
            <w:tcW w:w="1384" w:type="dxa"/>
          </w:tcPr>
          <w:p w:rsidR="007636B0" w:rsidRPr="00775D98" w:rsidRDefault="007636B0" w:rsidP="00B45DD6">
            <w:pPr>
              <w:spacing w:before="20"/>
              <w:rPr>
                <w:szCs w:val="22"/>
              </w:rPr>
            </w:pPr>
            <w:r w:rsidRPr="00775D98">
              <w:rPr>
                <w:szCs w:val="22"/>
              </w:rPr>
              <w:lastRenderedPageBreak/>
              <w:t>WHO (2011)</w:t>
            </w:r>
          </w:p>
        </w:tc>
        <w:tc>
          <w:tcPr>
            <w:tcW w:w="2410" w:type="dxa"/>
          </w:tcPr>
          <w:p w:rsidR="007636B0" w:rsidRPr="00775D98" w:rsidRDefault="007636B0" w:rsidP="00B45DD6">
            <w:pPr>
              <w:spacing w:before="20"/>
              <w:rPr>
                <w:szCs w:val="22"/>
              </w:rPr>
            </w:pPr>
            <w:r w:rsidRPr="00775D98">
              <w:rPr>
                <w:szCs w:val="22"/>
              </w:rPr>
              <w:t>TDI = 0.003 mg/kg/day</w:t>
            </w:r>
          </w:p>
        </w:tc>
        <w:tc>
          <w:tcPr>
            <w:tcW w:w="6169" w:type="dxa"/>
          </w:tcPr>
          <w:p w:rsidR="007636B0" w:rsidRDefault="007636B0" w:rsidP="00B45DD6">
            <w:pPr>
              <w:spacing w:before="20"/>
              <w:rPr>
                <w:szCs w:val="22"/>
              </w:rPr>
            </w:pPr>
            <w:r w:rsidRPr="00775D98">
              <w:rPr>
                <w:szCs w:val="22"/>
              </w:rPr>
              <w:t>2,4,5-T has been reviewed in the WHO DWG (originally reviewed and established in 1996,) with a TDI of 0.003 mg/kg/day derived based on a NOAEL for reduced body weight gain, increased liver and kidney weights and renal toxicity in a 2 -year rat study. The same NOAEL was derived for reproductive effects from a three-generation rat study. It is noted that the derivation of the TDI included an additional 10 fold factor to address a suggested association between 2,4,5-T and soft-tissue sarcoma and non-Hodgkin lymphoma (not noted in other reviews available).</w:t>
            </w:r>
          </w:p>
          <w:p w:rsidR="00E80517" w:rsidRPr="00775D98" w:rsidRDefault="00E80517" w:rsidP="00B45DD6">
            <w:pPr>
              <w:spacing w:before="20"/>
              <w:rPr>
                <w:szCs w:val="22"/>
              </w:rPr>
            </w:pPr>
          </w:p>
          <w:p w:rsidR="007636B0" w:rsidRPr="00775D98" w:rsidRDefault="007636B0" w:rsidP="00B45DD6">
            <w:pPr>
              <w:spacing w:before="20"/>
              <w:rPr>
                <w:szCs w:val="22"/>
              </w:rPr>
            </w:pPr>
            <w:r w:rsidRPr="00775D98">
              <w:rPr>
                <w:szCs w:val="22"/>
              </w:rPr>
              <w:t>2,4,5-T is included in the WHO plan for rolling revisions to the drinking water guidelines. No reviews with respect to this chemical are currently available.</w:t>
            </w:r>
          </w:p>
        </w:tc>
      </w:tr>
      <w:tr w:rsidR="007636B0" w:rsidRPr="00775D98" w:rsidTr="00B45DD6">
        <w:trPr>
          <w:cantSplit/>
        </w:trPr>
        <w:tc>
          <w:tcPr>
            <w:tcW w:w="1384" w:type="dxa"/>
          </w:tcPr>
          <w:p w:rsidR="007636B0" w:rsidRPr="00775D98" w:rsidRDefault="007636B0" w:rsidP="00B45DD6">
            <w:pPr>
              <w:spacing w:before="20"/>
              <w:rPr>
                <w:szCs w:val="22"/>
              </w:rPr>
            </w:pPr>
            <w:r w:rsidRPr="00775D98">
              <w:rPr>
                <w:szCs w:val="22"/>
              </w:rPr>
              <w:t>ATSDR</w:t>
            </w:r>
          </w:p>
        </w:tc>
        <w:tc>
          <w:tcPr>
            <w:tcW w:w="2410" w:type="dxa"/>
          </w:tcPr>
          <w:p w:rsidR="007636B0" w:rsidRPr="00775D98" w:rsidRDefault="007636B0" w:rsidP="00B45DD6">
            <w:pPr>
              <w:spacing w:before="20"/>
              <w:rPr>
                <w:szCs w:val="22"/>
              </w:rPr>
            </w:pPr>
            <w:r w:rsidRPr="00775D98">
              <w:rPr>
                <w:szCs w:val="22"/>
              </w:rPr>
              <w:t>No evaluation available</w:t>
            </w:r>
          </w:p>
        </w:tc>
        <w:tc>
          <w:tcPr>
            <w:tcW w:w="6169" w:type="dxa"/>
          </w:tcPr>
          <w:p w:rsidR="007636B0" w:rsidRPr="00775D98" w:rsidRDefault="007636B0" w:rsidP="00B45DD6">
            <w:pPr>
              <w:spacing w:before="20"/>
              <w:rPr>
                <w:szCs w:val="22"/>
              </w:rPr>
            </w:pPr>
          </w:p>
        </w:tc>
      </w:tr>
      <w:tr w:rsidR="007636B0" w:rsidRPr="00775D98" w:rsidTr="00B45DD6">
        <w:trPr>
          <w:cantSplit/>
        </w:trPr>
        <w:tc>
          <w:tcPr>
            <w:tcW w:w="1384" w:type="dxa"/>
          </w:tcPr>
          <w:p w:rsidR="007636B0" w:rsidRPr="00775D98" w:rsidRDefault="007636B0" w:rsidP="00B45DD6">
            <w:pPr>
              <w:spacing w:before="20"/>
              <w:rPr>
                <w:szCs w:val="22"/>
              </w:rPr>
            </w:pPr>
            <w:r w:rsidRPr="00775D98">
              <w:rPr>
                <w:szCs w:val="22"/>
              </w:rPr>
              <w:t>US EPA (IRIS 2012)</w:t>
            </w:r>
          </w:p>
        </w:tc>
        <w:tc>
          <w:tcPr>
            <w:tcW w:w="2410" w:type="dxa"/>
          </w:tcPr>
          <w:p w:rsidR="007636B0" w:rsidRPr="00775D98" w:rsidRDefault="007636B0" w:rsidP="00B45DD6">
            <w:pPr>
              <w:spacing w:before="20"/>
              <w:rPr>
                <w:szCs w:val="22"/>
              </w:rPr>
            </w:pPr>
            <w:r w:rsidRPr="00775D98">
              <w:rPr>
                <w:szCs w:val="22"/>
              </w:rPr>
              <w:t>RfD = 0.01 mg/kg/day</w:t>
            </w:r>
          </w:p>
          <w:p w:rsidR="007636B0" w:rsidRPr="00775D98" w:rsidRDefault="007636B0" w:rsidP="00B45DD6">
            <w:pPr>
              <w:spacing w:before="20"/>
              <w:rPr>
                <w:szCs w:val="22"/>
              </w:rPr>
            </w:pPr>
          </w:p>
        </w:tc>
        <w:tc>
          <w:tcPr>
            <w:tcW w:w="6169" w:type="dxa"/>
          </w:tcPr>
          <w:p w:rsidR="007636B0" w:rsidRDefault="007636B0" w:rsidP="00B45DD6">
            <w:pPr>
              <w:spacing w:before="20"/>
              <w:rPr>
                <w:szCs w:val="22"/>
              </w:rPr>
            </w:pPr>
            <w:r w:rsidRPr="00775D98">
              <w:rPr>
                <w:szCs w:val="22"/>
              </w:rPr>
              <w:t>The US EPA evaluation was established in 1982 and last reviewed in 1988 and provides an oral RfD of 0.01 mg/kg/day, based on a NOAEL of 3 mg/kg/day based on kidney effects in rats, and a 300-fold uncertainty factor.</w:t>
            </w:r>
          </w:p>
          <w:p w:rsidR="00E80517" w:rsidRPr="00775D98" w:rsidRDefault="00E80517" w:rsidP="00B45DD6">
            <w:pPr>
              <w:spacing w:before="20"/>
              <w:rPr>
                <w:szCs w:val="22"/>
              </w:rPr>
            </w:pPr>
          </w:p>
          <w:p w:rsidR="007636B0" w:rsidRPr="00775D98" w:rsidRDefault="007636B0" w:rsidP="00B45DD6">
            <w:pPr>
              <w:spacing w:before="20"/>
              <w:rPr>
                <w:szCs w:val="22"/>
              </w:rPr>
            </w:pPr>
            <w:r w:rsidRPr="00775D98">
              <w:rPr>
                <w:szCs w:val="22"/>
              </w:rPr>
              <w:t xml:space="preserve">The value derived is considered protective of reproductive end points. </w:t>
            </w:r>
          </w:p>
        </w:tc>
      </w:tr>
    </w:tbl>
    <w:p w:rsidR="007636B0" w:rsidRDefault="007636B0" w:rsidP="007636B0"/>
    <w:p w:rsidR="007636B0" w:rsidRDefault="007636B0" w:rsidP="007636B0">
      <w:r>
        <w:t>The available information from all the above sources is dated. There are some issues with the temporary ADI derived by the Joint FAO/WHO (1981) in that the study considered for the derivation of the ADI included the dioxin (TCDD) contaminant and addressed an end point not associated with 2,4,5-T alone. This value has subsequently been adopted in the derivation of the current ADWG without further review.</w:t>
      </w:r>
    </w:p>
    <w:p w:rsidR="0021528E" w:rsidRDefault="0021528E" w:rsidP="007636B0"/>
    <w:p w:rsidR="007636B0" w:rsidRDefault="007636B0" w:rsidP="007636B0">
      <w:r>
        <w:t>The value has been deleted from the current ADI list (OCS 2012). The TDI available in the current WHO DWG (2011) is based on the same studies as considered in 1981, though an additional uncertainty factor has been incorporated to address uncertainties in the database, including potential carcinogenic effects. The basis for this additional factor is not clear, as the carcinogenic effects noted have not been identified in other studies. On this basis, the most appropriate threshold reference value for 2,4,5-T is from US EPA, which is similar to the previous ADI from WHO (and is considered in the current ADWG (NHMRC 2011)).</w:t>
      </w:r>
    </w:p>
    <w:p w:rsidR="0021528E" w:rsidRDefault="0021528E" w:rsidP="007636B0"/>
    <w:p w:rsidR="007636B0" w:rsidRDefault="007636B0" w:rsidP="007636B0">
      <w:r>
        <w:t>No dermal or inhalation specific studies or data are available. For the presence of 2,4,5-T in soil, it is considered appropriate to consider use of the available US EPA RfD as a TRV for all pathways of exposures.</w:t>
      </w:r>
    </w:p>
    <w:p w:rsidR="007636B0" w:rsidRPr="00921D7B" w:rsidRDefault="007636B0" w:rsidP="007636B0">
      <w:pPr>
        <w:pStyle w:val="Heading3"/>
      </w:pPr>
      <w:bookmarkStart w:id="13" w:name="_Toc351714253"/>
      <w:r w:rsidRPr="00921D7B">
        <w:t>Recommendation</w:t>
      </w:r>
      <w:bookmarkEnd w:id="13"/>
    </w:p>
    <w:p w:rsidR="007636B0" w:rsidRPr="00191EC8" w:rsidRDefault="007636B0" w:rsidP="007636B0">
      <w:r>
        <w:t>On the basis of the discussion above, the following toxicity reference values (TRVs) have been adopted for 2,4,5-T in the derivation of HILs:</w:t>
      </w:r>
    </w:p>
    <w:p w:rsidR="007636B0" w:rsidRDefault="007636B0" w:rsidP="007636B0">
      <w:r>
        <w:rPr>
          <w:noProof/>
          <w:lang w:eastAsia="en-AU"/>
        </w:rPr>
        <w:lastRenderedPageBreak/>
        <mc:AlternateContent>
          <mc:Choice Requires="wps">
            <w:drawing>
              <wp:inline distT="0" distB="0" distL="0" distR="0">
                <wp:extent cx="5640705" cy="1819275"/>
                <wp:effectExtent l="13335" t="5715" r="13335" b="133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819275"/>
                        </a:xfrm>
                        <a:prstGeom prst="rect">
                          <a:avLst/>
                        </a:prstGeom>
                        <a:solidFill>
                          <a:srgbClr val="D8D8D8"/>
                        </a:solidFill>
                        <a:ln w="9525">
                          <a:solidFill>
                            <a:srgbClr val="000000"/>
                          </a:solidFill>
                          <a:miter lim="800000"/>
                          <a:headEnd/>
                          <a:tailEnd/>
                        </a:ln>
                      </wps:spPr>
                      <wps:txbx>
                        <w:txbxContent>
                          <w:p w:rsidR="00A0097F" w:rsidRPr="00742163" w:rsidRDefault="00A0097F" w:rsidP="007636B0">
                            <w:pPr>
                              <w:spacing w:after="40"/>
                              <w:rPr>
                                <w:b/>
                                <w:u w:val="single"/>
                              </w:rPr>
                            </w:pPr>
                            <w:r w:rsidRPr="00742163">
                              <w:rPr>
                                <w:b/>
                                <w:u w:val="single"/>
                              </w:rPr>
                              <w:t>Recommendation for 2,4</w:t>
                            </w:r>
                            <w:r>
                              <w:rPr>
                                <w:b/>
                                <w:u w:val="single"/>
                              </w:rPr>
                              <w:t>,5-T</w:t>
                            </w:r>
                          </w:p>
                          <w:p w:rsidR="00A0097F" w:rsidRDefault="00A0097F" w:rsidP="007636B0">
                            <w:pPr>
                              <w:spacing w:after="40"/>
                            </w:pPr>
                            <w:r>
                              <w:t>Oral TRV (TRV</w:t>
                            </w:r>
                            <w:r w:rsidRPr="00A54613">
                              <w:rPr>
                                <w:vertAlign w:val="subscript"/>
                              </w:rPr>
                              <w:t>O</w:t>
                            </w:r>
                            <w:r>
                              <w:t>) = 0.01 mg/kg/day (RfD from US EPA (IRIS 2012) relevant to all pathways of exposure</w:t>
                            </w:r>
                          </w:p>
                          <w:p w:rsidR="00A0097F" w:rsidRDefault="00A0097F" w:rsidP="007636B0">
                            <w:pPr>
                              <w:spacing w:after="40"/>
                            </w:pPr>
                            <w:r>
                              <w:t>Dermal absorption factor (DAF) = 0.1 (or 10%) (US EPA 1995)</w:t>
                            </w:r>
                          </w:p>
                          <w:p w:rsidR="00A0097F" w:rsidRDefault="00A0097F" w:rsidP="007636B0">
                            <w:pPr>
                              <w:spacing w:after="40"/>
                            </w:pPr>
                            <w:r>
                              <w:t>Background intakes from other sources (as % of TRV):</w:t>
                            </w:r>
                          </w:p>
                          <w:p w:rsidR="00A0097F" w:rsidRDefault="00A0097F" w:rsidP="007636B0">
                            <w:pPr>
                              <w:spacing w:after="40"/>
                              <w:ind w:left="720"/>
                            </w:pPr>
                            <w:r>
                              <w:t>BI</w:t>
                            </w:r>
                            <w:r w:rsidRPr="002049F5">
                              <w:rPr>
                                <w:vertAlign w:val="subscript"/>
                              </w:rPr>
                              <w:t>O</w:t>
                            </w:r>
                            <w:r>
                              <w:t xml:space="preserve"> = 0% for oral and dermal intakes</w:t>
                            </w:r>
                          </w:p>
                          <w:p w:rsidR="00A0097F" w:rsidRDefault="00A0097F" w:rsidP="007636B0">
                            <w:pPr>
                              <w:spacing w:after="40"/>
                              <w:ind w:left="720"/>
                            </w:pPr>
                            <w:r>
                              <w:t>BIi = 0% for inhalation</w:t>
                            </w:r>
                            <w:r w:rsidDel="00C81411">
                              <w:t xml:space="preserve"> </w:t>
                            </w:r>
                          </w:p>
                        </w:txbxContent>
                      </wps:txbx>
                      <wps:bodyPr rot="0" vert="horz" wrap="square" lIns="91440" tIns="45720" rIns="91440" bIns="45720" anchor="t" anchorCtr="0" upright="1">
                        <a:noAutofit/>
                      </wps:bodyPr>
                    </wps:wsp>
                  </a:graphicData>
                </a:graphic>
              </wp:inline>
            </w:drawing>
          </mc:Choice>
          <mc:Fallback>
            <w:pict>
              <v:shape id="Text Box 9" o:spid="_x0000_s1029" type="#_x0000_t202" style="width:444.15pt;height:14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" fillcolor="#d8d8d8">
                <v:textbox>
                  <w:txbxContent>
                    <w:p w:rsidR="009C6751" w:rsidRPr="00742163" w:rsidRDefault="009C6751" w:rsidP="007636B0">
                      <w:pPr>
                        <w:spacing w:after="40"/>
                        <w:rPr>
                          <w:b/>
                          <w:u w:val="single"/>
                        </w:rPr>
                      </w:pPr>
                      <w:r w:rsidRPr="00742163">
                        <w:rPr>
                          <w:b/>
                          <w:u w:val="single"/>
                        </w:rPr>
                        <w:t>Recommendation for 2,4</w:t>
                      </w:r>
                      <w:r>
                        <w:rPr>
                          <w:b/>
                          <w:u w:val="single"/>
                        </w:rPr>
                        <w:t>,5-T</w:t>
                      </w:r>
                    </w:p>
                    <w:p w:rsidR="009C6751" w:rsidRDefault="009C6751" w:rsidP="007636B0">
                      <w:pPr>
                        <w:spacing w:after="40"/>
                      </w:pPr>
                      <w:r>
                        <w:t>Oral TRV (TRV</w:t>
                      </w:r>
                      <w:r w:rsidRPr="00A54613">
                        <w:rPr>
                          <w:vertAlign w:val="subscript"/>
                        </w:rPr>
                        <w:t>O</w:t>
                      </w:r>
                      <w:r>
                        <w:t>) = 0.01 mg/kg/day (RfD from US EPA (IRIS 2012) relevant to all pathways of exposure</w:t>
                      </w:r>
                    </w:p>
                    <w:p w:rsidR="009C6751" w:rsidRDefault="009C6751" w:rsidP="007636B0">
                      <w:pPr>
                        <w:spacing w:after="40"/>
                      </w:pPr>
                      <w:r>
                        <w:t>Dermal absorption factor (DAF) = 0.1 (or 10%) (US EPA 1995)</w:t>
                      </w:r>
                    </w:p>
                    <w:p w:rsidR="009C6751" w:rsidRDefault="009C6751" w:rsidP="007636B0">
                      <w:pPr>
                        <w:spacing w:after="40"/>
                      </w:pPr>
                      <w:r>
                        <w:t>Background intakes from other sources (as % of TRV):</w:t>
                      </w:r>
                    </w:p>
                    <w:p w:rsidR="009C6751" w:rsidRDefault="009C6751" w:rsidP="007636B0">
                      <w:pPr>
                        <w:spacing w:after="40"/>
                        <w:ind w:left="720"/>
                      </w:pPr>
                      <w:r>
                        <w:t>BI</w:t>
                      </w:r>
                      <w:r w:rsidRPr="002049F5">
                        <w:rPr>
                          <w:vertAlign w:val="subscript"/>
                        </w:rPr>
                        <w:t>O</w:t>
                      </w:r>
                      <w:r>
                        <w:t xml:space="preserve"> = 0% for oral and dermal intakes</w:t>
                      </w:r>
                    </w:p>
                    <w:p w:rsidR="009C6751" w:rsidRDefault="009C6751" w:rsidP="007636B0">
                      <w:pPr>
                        <w:spacing w:after="40"/>
                        <w:ind w:left="720"/>
                      </w:pPr>
                      <w:r>
                        <w:t>BIi = 0% for inhalation</w:t>
                      </w:r>
                      <w:r w:rsidDel="00C81411">
                        <w:t xml:space="preserve"> </w:t>
                      </w:r>
                    </w:p>
                  </w:txbxContent>
                </v:textbox>
                <w10:anchorlock/>
              </v:shape>
            </w:pict>
          </mc:Fallback>
        </mc:AlternateContent>
      </w:r>
    </w:p>
    <w:p w:rsidR="007636B0" w:rsidRDefault="007636B0" w:rsidP="007636B0">
      <w:pPr>
        <w:pStyle w:val="Heading2"/>
        <w:tabs>
          <w:tab w:val="clear" w:pos="1209"/>
        </w:tabs>
      </w:pPr>
      <w:bookmarkStart w:id="14" w:name="_Toc351714254"/>
      <w:r w:rsidRPr="00775D98">
        <w:t>Calculated</w:t>
      </w:r>
      <w:r>
        <w:t xml:space="preserve"> HILs</w:t>
      </w:r>
      <w:bookmarkEnd w:id="14"/>
    </w:p>
    <w:p w:rsidR="007636B0" w:rsidRDefault="007636B0" w:rsidP="007636B0">
      <w:r>
        <w:t>On the basis of the above, the following HILs have been derived for 2,4,5-T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287"/>
        <w:gridCol w:w="1445"/>
        <w:gridCol w:w="1517"/>
        <w:gridCol w:w="1553"/>
        <w:gridCol w:w="1392"/>
      </w:tblGrid>
      <w:tr w:rsidR="007636B0" w:rsidRPr="00775D98" w:rsidTr="00B45DD6">
        <w:tc>
          <w:tcPr>
            <w:tcW w:w="1639" w:type="dxa"/>
            <w:vMerge w:val="restart"/>
            <w:shd w:val="clear" w:color="auto" w:fill="C6D9F1" w:themeFill="text2" w:themeFillTint="33"/>
          </w:tcPr>
          <w:p w:rsidR="007636B0" w:rsidRPr="00775D98" w:rsidRDefault="007636B0" w:rsidP="00B45DD6">
            <w:pPr>
              <w:spacing w:after="40"/>
              <w:rPr>
                <w:b/>
                <w:szCs w:val="22"/>
              </w:rPr>
            </w:pPr>
            <w:r w:rsidRPr="00775D98">
              <w:rPr>
                <w:b/>
                <w:szCs w:val="22"/>
              </w:rPr>
              <w:t>HIL Scenario</w:t>
            </w:r>
          </w:p>
        </w:tc>
        <w:tc>
          <w:tcPr>
            <w:tcW w:w="1287" w:type="dxa"/>
            <w:vMerge w:val="restart"/>
            <w:shd w:val="clear" w:color="auto" w:fill="C6D9F1" w:themeFill="text2" w:themeFillTint="33"/>
          </w:tcPr>
          <w:p w:rsidR="007636B0" w:rsidRPr="00775D98" w:rsidRDefault="007636B0" w:rsidP="00B45DD6">
            <w:pPr>
              <w:spacing w:after="40"/>
              <w:jc w:val="center"/>
              <w:rPr>
                <w:b/>
                <w:szCs w:val="22"/>
              </w:rPr>
            </w:pPr>
            <w:r w:rsidRPr="00775D98">
              <w:rPr>
                <w:b/>
                <w:szCs w:val="22"/>
              </w:rPr>
              <w:t>HIL (mg/kg)</w:t>
            </w:r>
          </w:p>
        </w:tc>
        <w:tc>
          <w:tcPr>
            <w:tcW w:w="5907" w:type="dxa"/>
            <w:gridSpan w:val="4"/>
            <w:shd w:val="clear" w:color="auto" w:fill="C6D9F1" w:themeFill="text2" w:themeFillTint="33"/>
          </w:tcPr>
          <w:p w:rsidR="007636B0" w:rsidRPr="00775D98" w:rsidRDefault="007636B0" w:rsidP="00B45DD6">
            <w:pPr>
              <w:spacing w:after="40"/>
              <w:jc w:val="center"/>
              <w:rPr>
                <w:b/>
                <w:szCs w:val="22"/>
              </w:rPr>
            </w:pPr>
            <w:r w:rsidRPr="00775D98">
              <w:rPr>
                <w:b/>
                <w:szCs w:val="22"/>
              </w:rPr>
              <w:t>Percentage Contribution from Exposure Pathways</w:t>
            </w:r>
          </w:p>
        </w:tc>
      </w:tr>
      <w:tr w:rsidR="007636B0" w:rsidRPr="00775D98" w:rsidTr="00B45DD6">
        <w:trPr>
          <w:trHeight w:val="427"/>
        </w:trPr>
        <w:tc>
          <w:tcPr>
            <w:tcW w:w="1639" w:type="dxa"/>
            <w:vMerge/>
            <w:shd w:val="clear" w:color="auto" w:fill="C6D9F1" w:themeFill="text2" w:themeFillTint="33"/>
          </w:tcPr>
          <w:p w:rsidR="007636B0" w:rsidRPr="00775D98" w:rsidRDefault="007636B0" w:rsidP="00B45DD6">
            <w:pPr>
              <w:spacing w:after="40"/>
              <w:rPr>
                <w:szCs w:val="22"/>
              </w:rPr>
            </w:pPr>
          </w:p>
        </w:tc>
        <w:tc>
          <w:tcPr>
            <w:tcW w:w="1287" w:type="dxa"/>
            <w:vMerge/>
            <w:shd w:val="clear" w:color="auto" w:fill="C6D9F1" w:themeFill="text2" w:themeFillTint="33"/>
          </w:tcPr>
          <w:p w:rsidR="007636B0" w:rsidRPr="00775D98" w:rsidRDefault="007636B0" w:rsidP="00B45DD6">
            <w:pPr>
              <w:spacing w:after="40"/>
              <w:jc w:val="center"/>
              <w:rPr>
                <w:szCs w:val="22"/>
              </w:rPr>
            </w:pPr>
          </w:p>
        </w:tc>
        <w:tc>
          <w:tcPr>
            <w:tcW w:w="1445" w:type="dxa"/>
            <w:shd w:val="clear" w:color="auto" w:fill="C6D9F1" w:themeFill="text2" w:themeFillTint="33"/>
          </w:tcPr>
          <w:p w:rsidR="007636B0" w:rsidRPr="00775D98" w:rsidRDefault="007636B0" w:rsidP="00B45DD6">
            <w:pPr>
              <w:spacing w:after="40"/>
              <w:jc w:val="center"/>
              <w:rPr>
                <w:b/>
                <w:szCs w:val="22"/>
              </w:rPr>
            </w:pPr>
            <w:r w:rsidRPr="00775D98">
              <w:rPr>
                <w:b/>
                <w:szCs w:val="22"/>
              </w:rPr>
              <w:t>Ingestion of Soil/Dust</w:t>
            </w:r>
          </w:p>
        </w:tc>
        <w:tc>
          <w:tcPr>
            <w:tcW w:w="1517" w:type="dxa"/>
            <w:shd w:val="clear" w:color="auto" w:fill="C6D9F1" w:themeFill="text2" w:themeFillTint="33"/>
          </w:tcPr>
          <w:p w:rsidR="007636B0" w:rsidRPr="00775D98" w:rsidRDefault="007636B0" w:rsidP="00B45DD6">
            <w:pPr>
              <w:spacing w:after="40"/>
              <w:jc w:val="center"/>
              <w:rPr>
                <w:b/>
                <w:szCs w:val="22"/>
              </w:rPr>
            </w:pPr>
            <w:r w:rsidRPr="00775D98">
              <w:rPr>
                <w:b/>
                <w:szCs w:val="22"/>
              </w:rPr>
              <w:t>Ingestion of Home-grown Produce</w:t>
            </w:r>
          </w:p>
        </w:tc>
        <w:tc>
          <w:tcPr>
            <w:tcW w:w="1553" w:type="dxa"/>
            <w:shd w:val="clear" w:color="auto" w:fill="C6D9F1" w:themeFill="text2" w:themeFillTint="33"/>
          </w:tcPr>
          <w:p w:rsidR="007636B0" w:rsidRPr="00775D98" w:rsidRDefault="007636B0" w:rsidP="00B45DD6">
            <w:pPr>
              <w:spacing w:after="40"/>
              <w:jc w:val="center"/>
              <w:rPr>
                <w:b/>
                <w:szCs w:val="22"/>
              </w:rPr>
            </w:pPr>
            <w:r w:rsidRPr="00775D98">
              <w:rPr>
                <w:b/>
                <w:szCs w:val="22"/>
              </w:rPr>
              <w:t>Dermal Absorption of Soil/Dust</w:t>
            </w:r>
          </w:p>
        </w:tc>
        <w:tc>
          <w:tcPr>
            <w:tcW w:w="1392" w:type="dxa"/>
            <w:shd w:val="clear" w:color="auto" w:fill="C6D9F1" w:themeFill="text2" w:themeFillTint="33"/>
          </w:tcPr>
          <w:p w:rsidR="007636B0" w:rsidRPr="00775D98" w:rsidRDefault="007636B0" w:rsidP="00B45DD6">
            <w:pPr>
              <w:spacing w:after="40"/>
              <w:jc w:val="center"/>
              <w:rPr>
                <w:b/>
                <w:szCs w:val="22"/>
              </w:rPr>
            </w:pPr>
            <w:r w:rsidRPr="00775D98">
              <w:rPr>
                <w:b/>
                <w:szCs w:val="22"/>
              </w:rPr>
              <w:t>Inhalation (dust)</w:t>
            </w:r>
          </w:p>
        </w:tc>
      </w:tr>
      <w:tr w:rsidR="007636B0" w:rsidRPr="00775D98" w:rsidTr="00B45DD6">
        <w:tc>
          <w:tcPr>
            <w:tcW w:w="1639" w:type="dxa"/>
          </w:tcPr>
          <w:p w:rsidR="007636B0" w:rsidRPr="00775D98" w:rsidRDefault="007636B0" w:rsidP="00B45DD6">
            <w:pPr>
              <w:spacing w:after="40"/>
              <w:rPr>
                <w:szCs w:val="22"/>
              </w:rPr>
            </w:pPr>
            <w:r w:rsidRPr="00775D98">
              <w:rPr>
                <w:szCs w:val="22"/>
              </w:rPr>
              <w:t>Residential A</w:t>
            </w:r>
          </w:p>
        </w:tc>
        <w:tc>
          <w:tcPr>
            <w:tcW w:w="1287" w:type="dxa"/>
            <w:tcMar>
              <w:right w:w="397" w:type="dxa"/>
            </w:tcMar>
          </w:tcPr>
          <w:p w:rsidR="007636B0" w:rsidRPr="00775D98" w:rsidRDefault="007636B0" w:rsidP="00B45DD6">
            <w:pPr>
              <w:spacing w:after="40"/>
              <w:jc w:val="right"/>
              <w:rPr>
                <w:szCs w:val="22"/>
              </w:rPr>
            </w:pPr>
            <w:r w:rsidRPr="00775D98">
              <w:rPr>
                <w:szCs w:val="22"/>
              </w:rPr>
              <w:t>600</w:t>
            </w:r>
          </w:p>
        </w:tc>
        <w:tc>
          <w:tcPr>
            <w:tcW w:w="1445" w:type="dxa"/>
          </w:tcPr>
          <w:p w:rsidR="007636B0" w:rsidRPr="00775D98" w:rsidRDefault="007636B0" w:rsidP="00B45DD6">
            <w:pPr>
              <w:spacing w:after="40"/>
              <w:jc w:val="center"/>
              <w:rPr>
                <w:szCs w:val="22"/>
              </w:rPr>
            </w:pPr>
            <w:r w:rsidRPr="00775D98">
              <w:rPr>
                <w:szCs w:val="22"/>
              </w:rPr>
              <w:t>43</w:t>
            </w:r>
          </w:p>
        </w:tc>
        <w:tc>
          <w:tcPr>
            <w:tcW w:w="1517" w:type="dxa"/>
          </w:tcPr>
          <w:p w:rsidR="007636B0" w:rsidRPr="00775D98" w:rsidRDefault="007636B0" w:rsidP="00B45DD6">
            <w:pPr>
              <w:spacing w:after="40"/>
              <w:jc w:val="center"/>
              <w:rPr>
                <w:szCs w:val="22"/>
              </w:rPr>
            </w:pPr>
            <w:r w:rsidRPr="00775D98">
              <w:rPr>
                <w:szCs w:val="22"/>
              </w:rPr>
              <w:t>--</w:t>
            </w:r>
          </w:p>
        </w:tc>
        <w:tc>
          <w:tcPr>
            <w:tcW w:w="1553" w:type="dxa"/>
          </w:tcPr>
          <w:p w:rsidR="007636B0" w:rsidRPr="00775D98" w:rsidRDefault="007636B0" w:rsidP="00B45DD6">
            <w:pPr>
              <w:spacing w:after="40"/>
              <w:jc w:val="center"/>
              <w:rPr>
                <w:szCs w:val="22"/>
              </w:rPr>
            </w:pPr>
            <w:r w:rsidRPr="00775D98">
              <w:rPr>
                <w:szCs w:val="22"/>
              </w:rPr>
              <w:t>57</w:t>
            </w:r>
          </w:p>
        </w:tc>
        <w:tc>
          <w:tcPr>
            <w:tcW w:w="1392" w:type="dxa"/>
          </w:tcPr>
          <w:p w:rsidR="007636B0" w:rsidRPr="00775D98" w:rsidRDefault="007636B0" w:rsidP="00B45DD6">
            <w:pPr>
              <w:spacing w:after="40"/>
              <w:jc w:val="center"/>
              <w:rPr>
                <w:szCs w:val="22"/>
              </w:rPr>
            </w:pPr>
            <w:r w:rsidRPr="00775D98">
              <w:rPr>
                <w:szCs w:val="22"/>
              </w:rPr>
              <w:t>&lt;1</w:t>
            </w:r>
          </w:p>
        </w:tc>
      </w:tr>
      <w:tr w:rsidR="007636B0" w:rsidRPr="00775D98" w:rsidTr="00B45DD6">
        <w:tc>
          <w:tcPr>
            <w:tcW w:w="1639" w:type="dxa"/>
          </w:tcPr>
          <w:p w:rsidR="007636B0" w:rsidRPr="00775D98" w:rsidRDefault="007636B0" w:rsidP="00B45DD6">
            <w:pPr>
              <w:spacing w:after="40"/>
              <w:rPr>
                <w:szCs w:val="22"/>
              </w:rPr>
            </w:pPr>
            <w:r w:rsidRPr="00775D98">
              <w:rPr>
                <w:szCs w:val="22"/>
              </w:rPr>
              <w:t>Residential B</w:t>
            </w:r>
          </w:p>
        </w:tc>
        <w:tc>
          <w:tcPr>
            <w:tcW w:w="1287" w:type="dxa"/>
            <w:tcMar>
              <w:right w:w="397" w:type="dxa"/>
            </w:tcMar>
          </w:tcPr>
          <w:p w:rsidR="007636B0" w:rsidRPr="00775D98" w:rsidRDefault="007636B0" w:rsidP="00B45DD6">
            <w:pPr>
              <w:spacing w:after="40"/>
              <w:jc w:val="right"/>
              <w:rPr>
                <w:szCs w:val="22"/>
              </w:rPr>
            </w:pPr>
            <w:r w:rsidRPr="00775D98">
              <w:rPr>
                <w:szCs w:val="22"/>
              </w:rPr>
              <w:t>900</w:t>
            </w:r>
          </w:p>
        </w:tc>
        <w:tc>
          <w:tcPr>
            <w:tcW w:w="1445" w:type="dxa"/>
          </w:tcPr>
          <w:p w:rsidR="007636B0" w:rsidRPr="00775D98" w:rsidRDefault="007636B0" w:rsidP="00B45DD6">
            <w:pPr>
              <w:spacing w:after="40"/>
              <w:jc w:val="center"/>
              <w:rPr>
                <w:szCs w:val="22"/>
              </w:rPr>
            </w:pPr>
            <w:r w:rsidRPr="00775D98">
              <w:rPr>
                <w:szCs w:val="22"/>
              </w:rPr>
              <w:t>16</w:t>
            </w:r>
          </w:p>
        </w:tc>
        <w:tc>
          <w:tcPr>
            <w:tcW w:w="1517" w:type="dxa"/>
          </w:tcPr>
          <w:p w:rsidR="007636B0" w:rsidRPr="00775D98" w:rsidRDefault="007636B0" w:rsidP="00B45DD6">
            <w:pPr>
              <w:spacing w:after="40"/>
              <w:jc w:val="center"/>
              <w:rPr>
                <w:szCs w:val="22"/>
              </w:rPr>
            </w:pPr>
            <w:r w:rsidRPr="00775D98">
              <w:rPr>
                <w:szCs w:val="22"/>
              </w:rPr>
              <w:t>--</w:t>
            </w:r>
          </w:p>
        </w:tc>
        <w:tc>
          <w:tcPr>
            <w:tcW w:w="1553" w:type="dxa"/>
          </w:tcPr>
          <w:p w:rsidR="007636B0" w:rsidRPr="00775D98" w:rsidRDefault="007636B0" w:rsidP="00B45DD6">
            <w:pPr>
              <w:spacing w:after="40"/>
              <w:jc w:val="center"/>
              <w:rPr>
                <w:szCs w:val="22"/>
              </w:rPr>
            </w:pPr>
            <w:r w:rsidRPr="00775D98">
              <w:rPr>
                <w:szCs w:val="22"/>
              </w:rPr>
              <w:t>84</w:t>
            </w:r>
          </w:p>
        </w:tc>
        <w:tc>
          <w:tcPr>
            <w:tcW w:w="1392" w:type="dxa"/>
          </w:tcPr>
          <w:p w:rsidR="007636B0" w:rsidRPr="00775D98" w:rsidRDefault="007636B0" w:rsidP="00B45DD6">
            <w:pPr>
              <w:spacing w:after="40"/>
              <w:jc w:val="center"/>
              <w:rPr>
                <w:szCs w:val="22"/>
              </w:rPr>
            </w:pPr>
            <w:r w:rsidRPr="00775D98">
              <w:rPr>
                <w:szCs w:val="22"/>
              </w:rPr>
              <w:t>&lt;1</w:t>
            </w:r>
          </w:p>
        </w:tc>
      </w:tr>
      <w:tr w:rsidR="007636B0" w:rsidRPr="00775D98" w:rsidTr="00B45DD6">
        <w:tc>
          <w:tcPr>
            <w:tcW w:w="1639" w:type="dxa"/>
          </w:tcPr>
          <w:p w:rsidR="007636B0" w:rsidRPr="00775D98" w:rsidRDefault="007636B0" w:rsidP="00B45DD6">
            <w:pPr>
              <w:spacing w:after="40"/>
              <w:rPr>
                <w:szCs w:val="22"/>
              </w:rPr>
            </w:pPr>
            <w:r w:rsidRPr="00775D98">
              <w:rPr>
                <w:szCs w:val="22"/>
              </w:rPr>
              <w:t>Recreational C</w:t>
            </w:r>
          </w:p>
        </w:tc>
        <w:tc>
          <w:tcPr>
            <w:tcW w:w="1287" w:type="dxa"/>
            <w:tcMar>
              <w:right w:w="397" w:type="dxa"/>
            </w:tcMar>
          </w:tcPr>
          <w:p w:rsidR="007636B0" w:rsidRPr="00775D98" w:rsidRDefault="007636B0" w:rsidP="00B45DD6">
            <w:pPr>
              <w:spacing w:after="40"/>
              <w:jc w:val="right"/>
              <w:rPr>
                <w:szCs w:val="22"/>
              </w:rPr>
            </w:pPr>
            <w:r w:rsidRPr="00775D98">
              <w:rPr>
                <w:szCs w:val="22"/>
              </w:rPr>
              <w:t>800</w:t>
            </w:r>
          </w:p>
        </w:tc>
        <w:tc>
          <w:tcPr>
            <w:tcW w:w="1445" w:type="dxa"/>
          </w:tcPr>
          <w:p w:rsidR="007636B0" w:rsidRPr="00775D98" w:rsidRDefault="007636B0" w:rsidP="00B45DD6">
            <w:pPr>
              <w:spacing w:after="40"/>
              <w:jc w:val="center"/>
              <w:rPr>
                <w:szCs w:val="22"/>
              </w:rPr>
            </w:pPr>
            <w:r w:rsidRPr="00775D98">
              <w:rPr>
                <w:szCs w:val="22"/>
              </w:rPr>
              <w:t>27</w:t>
            </w:r>
          </w:p>
        </w:tc>
        <w:tc>
          <w:tcPr>
            <w:tcW w:w="1517" w:type="dxa"/>
          </w:tcPr>
          <w:p w:rsidR="007636B0" w:rsidRPr="00775D98" w:rsidRDefault="007636B0" w:rsidP="00B45DD6">
            <w:pPr>
              <w:spacing w:after="40"/>
              <w:jc w:val="center"/>
              <w:rPr>
                <w:szCs w:val="22"/>
              </w:rPr>
            </w:pPr>
            <w:r w:rsidRPr="00775D98">
              <w:rPr>
                <w:szCs w:val="22"/>
              </w:rPr>
              <w:t>--</w:t>
            </w:r>
          </w:p>
        </w:tc>
        <w:tc>
          <w:tcPr>
            <w:tcW w:w="1553" w:type="dxa"/>
          </w:tcPr>
          <w:p w:rsidR="007636B0" w:rsidRPr="00775D98" w:rsidRDefault="007636B0" w:rsidP="00B45DD6">
            <w:pPr>
              <w:spacing w:after="40"/>
              <w:jc w:val="center"/>
              <w:rPr>
                <w:szCs w:val="22"/>
              </w:rPr>
            </w:pPr>
            <w:r w:rsidRPr="00775D98">
              <w:rPr>
                <w:szCs w:val="22"/>
              </w:rPr>
              <w:t>73</w:t>
            </w:r>
          </w:p>
        </w:tc>
        <w:tc>
          <w:tcPr>
            <w:tcW w:w="1392" w:type="dxa"/>
          </w:tcPr>
          <w:p w:rsidR="007636B0" w:rsidRPr="00775D98" w:rsidRDefault="007636B0" w:rsidP="00B45DD6">
            <w:pPr>
              <w:spacing w:after="40"/>
              <w:jc w:val="center"/>
              <w:rPr>
                <w:szCs w:val="22"/>
              </w:rPr>
            </w:pPr>
            <w:r w:rsidRPr="00775D98">
              <w:rPr>
                <w:szCs w:val="22"/>
              </w:rPr>
              <w:t>&lt;1</w:t>
            </w:r>
          </w:p>
        </w:tc>
      </w:tr>
      <w:tr w:rsidR="007636B0" w:rsidRPr="00775D98" w:rsidTr="00B45DD6">
        <w:tc>
          <w:tcPr>
            <w:tcW w:w="1639" w:type="dxa"/>
          </w:tcPr>
          <w:p w:rsidR="007636B0" w:rsidRPr="00775D98" w:rsidRDefault="007636B0" w:rsidP="00B45DD6">
            <w:pPr>
              <w:spacing w:after="40"/>
              <w:rPr>
                <w:szCs w:val="22"/>
              </w:rPr>
            </w:pPr>
            <w:r w:rsidRPr="00775D98">
              <w:rPr>
                <w:szCs w:val="22"/>
              </w:rPr>
              <w:t>Commercial D</w:t>
            </w:r>
          </w:p>
        </w:tc>
        <w:tc>
          <w:tcPr>
            <w:tcW w:w="1287" w:type="dxa"/>
            <w:tcMar>
              <w:right w:w="397" w:type="dxa"/>
            </w:tcMar>
          </w:tcPr>
          <w:p w:rsidR="007636B0" w:rsidRPr="00775D98" w:rsidRDefault="007636B0" w:rsidP="00B45DD6">
            <w:pPr>
              <w:spacing w:after="40"/>
              <w:jc w:val="right"/>
              <w:rPr>
                <w:szCs w:val="22"/>
              </w:rPr>
            </w:pPr>
            <w:r w:rsidRPr="00775D98">
              <w:rPr>
                <w:szCs w:val="22"/>
              </w:rPr>
              <w:t>5000</w:t>
            </w:r>
          </w:p>
        </w:tc>
        <w:tc>
          <w:tcPr>
            <w:tcW w:w="1445" w:type="dxa"/>
          </w:tcPr>
          <w:p w:rsidR="007636B0" w:rsidRPr="00775D98" w:rsidRDefault="007636B0" w:rsidP="00B45DD6">
            <w:pPr>
              <w:spacing w:after="40"/>
              <w:jc w:val="center"/>
              <w:rPr>
                <w:szCs w:val="22"/>
              </w:rPr>
            </w:pPr>
            <w:r w:rsidRPr="00775D98">
              <w:rPr>
                <w:szCs w:val="22"/>
              </w:rPr>
              <w:t>12</w:t>
            </w:r>
          </w:p>
        </w:tc>
        <w:tc>
          <w:tcPr>
            <w:tcW w:w="1517" w:type="dxa"/>
          </w:tcPr>
          <w:p w:rsidR="007636B0" w:rsidRPr="00775D98" w:rsidRDefault="007636B0" w:rsidP="00B45DD6">
            <w:pPr>
              <w:spacing w:after="40"/>
              <w:jc w:val="center"/>
              <w:rPr>
                <w:szCs w:val="22"/>
              </w:rPr>
            </w:pPr>
            <w:r w:rsidRPr="00775D98">
              <w:rPr>
                <w:szCs w:val="22"/>
              </w:rPr>
              <w:t>--</w:t>
            </w:r>
          </w:p>
        </w:tc>
        <w:tc>
          <w:tcPr>
            <w:tcW w:w="1553" w:type="dxa"/>
          </w:tcPr>
          <w:p w:rsidR="007636B0" w:rsidRPr="00775D98" w:rsidRDefault="007636B0" w:rsidP="00B45DD6">
            <w:pPr>
              <w:spacing w:after="40"/>
              <w:jc w:val="center"/>
              <w:rPr>
                <w:szCs w:val="22"/>
              </w:rPr>
            </w:pPr>
            <w:r w:rsidRPr="00775D98">
              <w:rPr>
                <w:szCs w:val="22"/>
              </w:rPr>
              <w:t>88</w:t>
            </w:r>
          </w:p>
        </w:tc>
        <w:tc>
          <w:tcPr>
            <w:tcW w:w="1392" w:type="dxa"/>
          </w:tcPr>
          <w:p w:rsidR="007636B0" w:rsidRPr="00775D98" w:rsidRDefault="007636B0" w:rsidP="00B45DD6">
            <w:pPr>
              <w:spacing w:after="40"/>
              <w:jc w:val="center"/>
              <w:rPr>
                <w:szCs w:val="22"/>
              </w:rPr>
            </w:pPr>
            <w:r w:rsidRPr="00775D98">
              <w:rPr>
                <w:szCs w:val="22"/>
              </w:rPr>
              <w:t>&lt;1</w:t>
            </w:r>
          </w:p>
        </w:tc>
      </w:tr>
    </w:tbl>
    <w:p w:rsidR="007636B0" w:rsidRPr="00775D98" w:rsidRDefault="007636B0" w:rsidP="007636B0">
      <w:pPr>
        <w:rPr>
          <w:sz w:val="18"/>
          <w:szCs w:val="18"/>
        </w:rPr>
      </w:pPr>
      <w:r w:rsidRPr="00775D98">
        <w:rPr>
          <w:sz w:val="18"/>
          <w:szCs w:val="18"/>
        </w:rPr>
        <w:t>-- Pathway not included in derivation of HIL</w:t>
      </w:r>
    </w:p>
    <w:p w:rsidR="007636B0" w:rsidRDefault="007636B0" w:rsidP="007636B0">
      <w:pPr>
        <w:pStyle w:val="Heading2"/>
        <w:tabs>
          <w:tab w:val="clear" w:pos="1209"/>
        </w:tabs>
      </w:pPr>
      <w:bookmarkStart w:id="15" w:name="_Toc351714255"/>
      <w:r w:rsidRPr="00775D98">
        <w:t>References</w:t>
      </w:r>
      <w:bookmarkEnd w:id="15"/>
    </w:p>
    <w:p w:rsidR="007636B0" w:rsidRPr="00775D98" w:rsidRDefault="007636B0" w:rsidP="007636B0">
      <w:pPr>
        <w:pStyle w:val="StyletextLeft0cmHanging1cm"/>
      </w:pPr>
      <w:r w:rsidRPr="00775D98">
        <w:t xml:space="preserve">HSDB 2010, </w:t>
      </w:r>
      <w:r w:rsidRPr="00775D98">
        <w:rPr>
          <w:i/>
        </w:rPr>
        <w:t>Hazardous Substances Data Bank</w:t>
      </w:r>
      <w:r w:rsidRPr="00775D98">
        <w:t xml:space="preserve">, online database available from: </w:t>
      </w:r>
      <w:hyperlink r:id="rId17" w:history="1">
        <w:r w:rsidRPr="00775D98">
          <w:rPr>
            <w:rStyle w:val="Hyperlink"/>
            <w:szCs w:val="22"/>
          </w:rPr>
          <w:t>http://toxnet.nlm.nih.gov/cgi-bin/sis/htmlgen?HSDB</w:t>
        </w:r>
      </w:hyperlink>
      <w:r w:rsidRPr="00775D98">
        <w:t>.</w:t>
      </w:r>
    </w:p>
    <w:p w:rsidR="007636B0" w:rsidRPr="00775D98" w:rsidRDefault="007636B0" w:rsidP="007636B0">
      <w:pPr>
        <w:pStyle w:val="StyletextLeft0cmHanging1cm"/>
      </w:pPr>
      <w:r w:rsidRPr="00775D98">
        <w:t xml:space="preserve">IARC 1987, </w:t>
      </w:r>
      <w:r w:rsidRPr="00775D98">
        <w:rPr>
          <w:i/>
        </w:rPr>
        <w:t>Summaries and Evaluations, Chlorophenoxy herbicides,</w:t>
      </w:r>
      <w:r w:rsidRPr="00775D98">
        <w:t xml:space="preserve"> Supplement 7: (1987), p.256, International Agency for Research on Cancer.</w:t>
      </w:r>
    </w:p>
    <w:p w:rsidR="007636B0" w:rsidRPr="00775D98" w:rsidRDefault="007636B0" w:rsidP="007636B0">
      <w:pPr>
        <w:pStyle w:val="StyletextLeft0cmHanging1cm"/>
      </w:pPr>
      <w:r w:rsidRPr="00775D98">
        <w:t xml:space="preserve">NEPC 1999, </w:t>
      </w:r>
      <w:r w:rsidRPr="00775D98">
        <w:rPr>
          <w:i/>
        </w:rPr>
        <w:t>Schedule B (7a), Guideline on Health-Based Investigation Levels, National Environment Protection (Assessment of Site Contamination) Measure,</w:t>
      </w:r>
      <w:r w:rsidRPr="00775D98">
        <w:t xml:space="preserve"> National Environment Protection Council, Australia.</w:t>
      </w:r>
    </w:p>
    <w:p w:rsidR="007636B0" w:rsidRPr="00775D98" w:rsidRDefault="007636B0" w:rsidP="007636B0">
      <w:pPr>
        <w:pStyle w:val="StyletextLeft0cmHanging1cm"/>
        <w:rPr>
          <w:rFonts w:cs="Arial"/>
          <w:noProof/>
        </w:rPr>
      </w:pPr>
      <w:r w:rsidRPr="00775D98">
        <w:t xml:space="preserve">NHMRC 2011, </w:t>
      </w:r>
      <w:r w:rsidRPr="00775D98">
        <w:rPr>
          <w:i/>
          <w:iCs/>
        </w:rPr>
        <w:t>National water quality management strategy, Australian drinking water guidelines</w:t>
      </w:r>
      <w:r w:rsidRPr="00775D98">
        <w:t>, National Health and Medical Research Council, Australia.</w:t>
      </w:r>
      <w:r w:rsidRPr="00775D98" w:rsidDel="007C2C25">
        <w:rPr>
          <w:rFonts w:cs="Arial"/>
          <w:noProof/>
        </w:rPr>
        <w:t xml:space="preserve"> </w:t>
      </w:r>
    </w:p>
    <w:p w:rsidR="007636B0" w:rsidRPr="00775D98" w:rsidRDefault="007636B0" w:rsidP="007636B0">
      <w:pPr>
        <w:pStyle w:val="StyletextLeft0cmHanging1cm"/>
        <w:rPr>
          <w:rFonts w:cs="Arial"/>
          <w:noProof/>
        </w:rPr>
      </w:pPr>
      <w:r w:rsidRPr="00775D98">
        <w:rPr>
          <w:rFonts w:cs="Arial"/>
        </w:rPr>
        <w:t xml:space="preserve">OCS 2004, </w:t>
      </w:r>
      <w:r w:rsidRPr="00775D98">
        <w:rPr>
          <w:rFonts w:cs="Arial"/>
          <w:i/>
          <w:iCs/>
        </w:rPr>
        <w:t>Human Health Risk Assessment of Dioxins in Australia, National Dioxins Program, Technical Report No. 12</w:t>
      </w:r>
      <w:r w:rsidRPr="00775D98">
        <w:rPr>
          <w:rFonts w:cs="Arial"/>
        </w:rPr>
        <w:t>, Department of the Environment and Heritage, Australian Government, Canberra, Australia.</w:t>
      </w:r>
    </w:p>
    <w:p w:rsidR="007636B0" w:rsidRPr="00775D98" w:rsidRDefault="007636B0" w:rsidP="007636B0">
      <w:pPr>
        <w:pStyle w:val="StyletextLeft0cmHanging1cm"/>
        <w:rPr>
          <w:rFonts w:cs="Arial"/>
          <w:noProof/>
        </w:rPr>
      </w:pPr>
      <w:r w:rsidRPr="00775D98">
        <w:rPr>
          <w:rFonts w:cs="Arial"/>
          <w:noProof/>
        </w:rPr>
        <w:t xml:space="preserve">OCS 2012, </w:t>
      </w:r>
      <w:r w:rsidRPr="00775D98">
        <w:rPr>
          <w:rFonts w:cs="Arial"/>
          <w:i/>
          <w:noProof/>
        </w:rPr>
        <w:t>ADI List, Acceptable Daily Intakes for Agricultural and Veterinary Chemicals</w:t>
      </w:r>
      <w:r w:rsidRPr="00775D98">
        <w:rPr>
          <w:rFonts w:cs="Arial"/>
          <w:noProof/>
        </w:rPr>
        <w:t xml:space="preserve">, current to 31 March 2012, Australian Government, Department of Health and Ageing, Office of Chemical Safety (OCS), available from: </w:t>
      </w:r>
      <w:r w:rsidRPr="00775D98">
        <w:rPr>
          <w:rFonts w:cs="Arial"/>
        </w:rPr>
        <w:t>http://www.health.gov.au/internet/main/publishing.nsf/content/E8F4D2F95D616584CA2573D700770C2A/$File/ADI-apr12.pdf.</w:t>
      </w:r>
    </w:p>
    <w:p w:rsidR="007636B0" w:rsidRPr="00775D98" w:rsidRDefault="007636B0" w:rsidP="007636B0">
      <w:pPr>
        <w:pStyle w:val="StyletextLeft0cmHanging1cm"/>
        <w:rPr>
          <w:rFonts w:cs="Arial"/>
        </w:rPr>
      </w:pPr>
      <w:r w:rsidRPr="00775D98">
        <w:rPr>
          <w:rFonts w:cs="Arial"/>
        </w:rPr>
        <w:t xml:space="preserve">Joint FAO/UNEP 2005, Rotterdam Convention on the Prior Informed Consent Procedure for Certain Hazardous Chemicals and Pesticides in International Trade, 2005, </w:t>
      </w:r>
      <w:r w:rsidRPr="00775D98">
        <w:rPr>
          <w:rFonts w:cs="Arial"/>
          <w:i/>
          <w:iCs/>
        </w:rPr>
        <w:t>Decision Guidance Document: 2,4,5-T and its Salts and Esters</w:t>
      </w:r>
      <w:r w:rsidRPr="00775D98">
        <w:rPr>
          <w:rFonts w:cs="Arial"/>
        </w:rPr>
        <w:t>, Joint Food and Agriculture Organisation of the United Nations and United Nations Environment Programme for the Operation of the Operation of the Prior Informed Consent, Geneva.</w:t>
      </w:r>
    </w:p>
    <w:p w:rsidR="007636B0" w:rsidRPr="00775D98" w:rsidRDefault="007636B0" w:rsidP="007636B0">
      <w:pPr>
        <w:pStyle w:val="StyletextLeft0cmHanging1cm"/>
      </w:pPr>
      <w:r w:rsidRPr="00775D98">
        <w:lastRenderedPageBreak/>
        <w:t xml:space="preserve">US EPA 1995, </w:t>
      </w:r>
      <w:r w:rsidRPr="00775D98">
        <w:rPr>
          <w:i/>
        </w:rPr>
        <w:t>Technical Guidance Manual, Assessing Dermal Exposure from Soil</w:t>
      </w:r>
      <w:r w:rsidRPr="00775D98">
        <w:t xml:space="preserve">, US EPA Region 3, December 1995, available from: </w:t>
      </w:r>
      <w:hyperlink r:id="rId18" w:history="1">
        <w:r w:rsidRPr="00775D98">
          <w:rPr>
            <w:rStyle w:val="Hyperlink"/>
            <w:szCs w:val="22"/>
          </w:rPr>
          <w:t>http://www.epa.gov/reg3hwmd/risk/human/info/solabsg2.htm</w:t>
        </w:r>
      </w:hyperlink>
      <w:r w:rsidRPr="00775D98">
        <w:t>.</w:t>
      </w:r>
    </w:p>
    <w:p w:rsidR="007636B0" w:rsidRPr="00775D98" w:rsidRDefault="007636B0" w:rsidP="007636B0">
      <w:pPr>
        <w:pStyle w:val="StyletextLeft0cmHanging1cm"/>
        <w:rPr>
          <w:rFonts w:cs="Arial"/>
        </w:rPr>
      </w:pPr>
      <w:r w:rsidRPr="00775D98">
        <w:rPr>
          <w:rFonts w:cs="Arial"/>
        </w:rPr>
        <w:t xml:space="preserve">US EPA (IRIS 2012), data and information available from the </w:t>
      </w:r>
      <w:r w:rsidRPr="00775D98">
        <w:rPr>
          <w:rFonts w:cs="Arial"/>
          <w:i/>
        </w:rPr>
        <w:t>Integrated Risk Information System</w:t>
      </w:r>
      <w:r w:rsidRPr="00775D98">
        <w:rPr>
          <w:rFonts w:cs="Arial"/>
        </w:rPr>
        <w:t xml:space="preserve">, an online database, available from </w:t>
      </w:r>
      <w:hyperlink r:id="rId19" w:history="1">
        <w:r w:rsidRPr="00775D98">
          <w:rPr>
            <w:rStyle w:val="Hyperlink"/>
            <w:rFonts w:cs="Arial"/>
            <w:szCs w:val="22"/>
          </w:rPr>
          <w:t>http://www.epa.gov/iris/</w:t>
        </w:r>
      </w:hyperlink>
      <w:r w:rsidRPr="00775D98">
        <w:rPr>
          <w:rFonts w:cs="Arial"/>
        </w:rPr>
        <w:t>.</w:t>
      </w:r>
    </w:p>
    <w:p w:rsidR="007636B0" w:rsidRPr="00775D98" w:rsidRDefault="007636B0" w:rsidP="007636B0">
      <w:pPr>
        <w:pStyle w:val="StyletextLeft0cmHanging1cm"/>
        <w:rPr>
          <w:rFonts w:cs="Arial"/>
        </w:rPr>
      </w:pPr>
      <w:r w:rsidRPr="00775D98">
        <w:rPr>
          <w:rFonts w:cs="Arial"/>
        </w:rPr>
        <w:t xml:space="preserve">WHO 1981, </w:t>
      </w:r>
      <w:r w:rsidRPr="00775D98">
        <w:rPr>
          <w:rFonts w:cs="Arial"/>
          <w:i/>
        </w:rPr>
        <w:t>Pesticide Residues in Food, Evaluations 1981</w:t>
      </w:r>
      <w:r w:rsidRPr="00775D98">
        <w:rPr>
          <w:rFonts w:cs="Arial"/>
        </w:rPr>
        <w:t>, FAO Plant Production and Protection Paper 42, Joint FAO/WHO review.</w:t>
      </w:r>
    </w:p>
    <w:p w:rsidR="007636B0" w:rsidRPr="00775D98" w:rsidRDefault="007636B0" w:rsidP="007636B0">
      <w:pPr>
        <w:pStyle w:val="StyletextLeft0cmHanging1cm"/>
        <w:rPr>
          <w:rFonts w:cs="Arial"/>
        </w:rPr>
      </w:pPr>
      <w:r w:rsidRPr="00775D98">
        <w:t xml:space="preserve">WHO 2011, </w:t>
      </w:r>
      <w:r w:rsidRPr="00775D98">
        <w:rPr>
          <w:i/>
        </w:rPr>
        <w:t>Guidelines for drinking-water quality, 4</w:t>
      </w:r>
      <w:r w:rsidRPr="00775D98">
        <w:rPr>
          <w:i/>
          <w:vertAlign w:val="superscript"/>
        </w:rPr>
        <w:t>th</w:t>
      </w:r>
      <w:r w:rsidRPr="00775D98">
        <w:rPr>
          <w:i/>
        </w:rPr>
        <w:t xml:space="preserve"> edn</w:t>
      </w:r>
      <w:r w:rsidRPr="00775D98">
        <w:t xml:space="preserve">, World Health Organization, Geneva, available from </w:t>
      </w:r>
      <w:hyperlink r:id="rId20" w:history="1">
        <w:r w:rsidRPr="00775D98">
          <w:rPr>
            <w:rStyle w:val="Hyperlink"/>
            <w:szCs w:val="22"/>
          </w:rPr>
          <w:t>http://www.who.int/water_sanitation_health/dwq/chemicals/en/index.html</w:t>
        </w:r>
      </w:hyperlink>
      <w:r w:rsidRPr="00775D98">
        <w:rPr>
          <w:rFonts w:cs="Arial"/>
        </w:rPr>
        <w:t>.</w:t>
      </w:r>
    </w:p>
    <w:p w:rsidR="007636B0" w:rsidRDefault="007636B0" w:rsidP="007636B0"/>
    <w:p w:rsidR="007636B0" w:rsidRDefault="007636B0" w:rsidP="007636B0">
      <w:pPr>
        <w:pStyle w:val="Heading1"/>
        <w:tabs>
          <w:tab w:val="clear" w:pos="1209"/>
          <w:tab w:val="num" w:pos="720"/>
        </w:tabs>
      </w:pPr>
      <w:bookmarkStart w:id="16" w:name="_Toc351714256"/>
      <w:r>
        <w:lastRenderedPageBreak/>
        <w:t>2,4-D</w:t>
      </w:r>
      <w:bookmarkEnd w:id="16"/>
    </w:p>
    <w:p w:rsidR="007636B0" w:rsidRDefault="007636B0" w:rsidP="007636B0">
      <w:pPr>
        <w:pStyle w:val="Heading2"/>
        <w:tabs>
          <w:tab w:val="clear" w:pos="1209"/>
        </w:tabs>
      </w:pPr>
      <w:bookmarkStart w:id="17" w:name="_Toc351714257"/>
      <w:r>
        <w:t>General</w:t>
      </w:r>
      <w:bookmarkEnd w:id="17"/>
    </w:p>
    <w:p w:rsidR="007636B0" w:rsidRDefault="007636B0" w:rsidP="007636B0">
      <w:r w:rsidRPr="008103C1">
        <w:t xml:space="preserve">2,4-D is the common name for the chlorophenoxy herbicide 2,4-dichlophenoxy acetic acid. </w:t>
      </w:r>
    </w:p>
    <w:p w:rsidR="0021528E" w:rsidRDefault="0021528E" w:rsidP="007636B0"/>
    <w:p w:rsidR="007636B0" w:rsidRDefault="007636B0" w:rsidP="007636B0">
      <w:r>
        <w:t xml:space="preserve">Several comprehensive reviews of </w:t>
      </w:r>
      <w:r w:rsidRPr="008103C1">
        <w:t>2,4-D</w:t>
      </w:r>
      <w:r>
        <w:t xml:space="preserve"> in the environment and its toxicity to humans are available and should be consulted for more detailed information not presented in this summary (APVMA 2006; WHO 1984; WHO 1987). The following provides a summary of the key aspects of </w:t>
      </w:r>
      <w:r w:rsidRPr="008103C1">
        <w:t>2,4-D</w:t>
      </w:r>
      <w:r>
        <w:t xml:space="preserve"> that are relevant to the derivation of a soil HIL.</w:t>
      </w:r>
    </w:p>
    <w:p w:rsidR="0021528E" w:rsidRDefault="0021528E" w:rsidP="007636B0"/>
    <w:p w:rsidR="007636B0" w:rsidRDefault="007636B0" w:rsidP="007636B0">
      <w:r w:rsidRPr="008103C1">
        <w:t>The herbicide is also formulated as an amine salt, alkali metal salt and ester derivative of 2,4-D</w:t>
      </w:r>
      <w:r>
        <w:t xml:space="preserve"> (WHO 1984)</w:t>
      </w:r>
      <w:r w:rsidRPr="008103C1">
        <w:t>. Pure 2,4-D is a white to off</w:t>
      </w:r>
      <w:r>
        <w:t>-</w:t>
      </w:r>
      <w:r w:rsidRPr="008103C1">
        <w:t>white crystalline powder with a slight phenolic odour</w:t>
      </w:r>
      <w:r>
        <w:t xml:space="preserve"> (APVMA 2006)</w:t>
      </w:r>
      <w:r w:rsidRPr="008103C1">
        <w:t xml:space="preserve">. The commercial grade herbicide is often combined with solvents or surfactants and sold as granules, dust, emulsions and liquid concentrates </w:t>
      </w:r>
      <w:r>
        <w:t>(WHO 1984)</w:t>
      </w:r>
      <w:r w:rsidRPr="008103C1">
        <w:t>. 2,4-D is slightly soluble in water whereas the amine and alkali metal salt derivatives are highly</w:t>
      </w:r>
      <w:r>
        <w:t xml:space="preserve"> </w:t>
      </w:r>
      <w:r w:rsidRPr="008103C1">
        <w:t xml:space="preserve">soluble. The ester derivate is insoluble in water </w:t>
      </w:r>
      <w:r>
        <w:t>(WHO 1984)</w:t>
      </w:r>
      <w:r w:rsidRPr="008103C1">
        <w:t>. 2,4-D esters with short chain alcohols are highly volatile whereas 2,4-D and its salt and amine derivatives have a low volatility</w:t>
      </w:r>
      <w:r>
        <w:t xml:space="preserve"> (APVMA 2006)</w:t>
      </w:r>
      <w:r w:rsidRPr="008103C1">
        <w:t>.</w:t>
      </w:r>
    </w:p>
    <w:p w:rsidR="0021528E" w:rsidRPr="008103C1" w:rsidRDefault="0021528E" w:rsidP="007636B0"/>
    <w:p w:rsidR="007636B0" w:rsidRDefault="007636B0" w:rsidP="007636B0">
      <w:r w:rsidRPr="008103C1">
        <w:t xml:space="preserve">Some chlorinated by-products produced during manufacture of 2,4-D and its derivatives such as 2,7- dichlorodibenzo-p-dioxin, 1,3,6,8- and 1,3,7,9-tetrachlorodibenzo-p-dioxins and 1,3,7-trichlorodibenzo-p-dioxin have been associated with enhanced toxicity findings </w:t>
      </w:r>
      <w:r>
        <w:t>(WHO 1984)</w:t>
      </w:r>
      <w:r w:rsidRPr="008103C1">
        <w:t>.</w:t>
      </w:r>
    </w:p>
    <w:p w:rsidR="0021528E" w:rsidRPr="008103C1" w:rsidRDefault="0021528E" w:rsidP="007636B0"/>
    <w:p w:rsidR="007636B0" w:rsidRPr="00775D98" w:rsidRDefault="007636B0" w:rsidP="007636B0">
      <w:r w:rsidRPr="008103C1">
        <w:t>2,4-D and its derivatives are systemic herbicides commonly used in Australia to control</w:t>
      </w:r>
      <w:r>
        <w:t xml:space="preserve"> broadleaf and aquatic weeds (NHMRC 2004)</w:t>
      </w:r>
      <w:r w:rsidRPr="008103C1">
        <w:t>. At least 122 separate products containing these compounds were reg</w:t>
      </w:r>
      <w:r>
        <w:t>istered in Australia in 2003 (APVMA 2006)</w:t>
      </w:r>
      <w:r w:rsidRPr="008103C1">
        <w:t>. They were registered to control weeds in agricultural crops such as cereals, sugar cane and rice and in pastures and turf. 2,4-D herbicides were also applied at very low application rates to citrus and pears to reduce premature fruit drop and increase fruit storage life</w:t>
      </w:r>
      <w:r>
        <w:t xml:space="preserve"> (WHO 1984; APVMA 2006)</w:t>
      </w:r>
      <w:r w:rsidRPr="008103C1">
        <w:t>. In addition</w:t>
      </w:r>
      <w:r>
        <w:t>,</w:t>
      </w:r>
      <w:r w:rsidRPr="008103C1">
        <w:t xml:space="preserve"> 2,4-D is used to increase the proportion of medium</w:t>
      </w:r>
      <w:r>
        <w:t>-</w:t>
      </w:r>
      <w:r w:rsidRPr="008103C1">
        <w:t>sized potato tubers and the intensity of colour in red</w:t>
      </w:r>
      <w:r>
        <w:t>-</w:t>
      </w:r>
      <w:r w:rsidRPr="008103C1">
        <w:t>skinned varieties</w:t>
      </w:r>
      <w:r>
        <w:t xml:space="preserve"> (APVMA 2006)</w:t>
      </w:r>
      <w:r w:rsidRPr="008103C1">
        <w:t>. In 2006</w:t>
      </w:r>
      <w:r>
        <w:t>,</w:t>
      </w:r>
      <w:r w:rsidRPr="008103C1">
        <w:t xml:space="preserve"> the Australian Pesticides and </w:t>
      </w:r>
      <w:r w:rsidRPr="00775D98">
        <w:t>Veterinary Medicines Authority conducted a review of the environmental fate and ecotoxicity of volatile 2,4-D esters and concluded that the registration of these compounds should be suspended (APVMA 2006). This review process is ongoing and the APVMA website (</w:t>
      </w:r>
      <w:hyperlink r:id="rId21" w:history="1">
        <w:r w:rsidRPr="00775D98">
          <w:rPr>
            <w:rStyle w:val="Hyperlink"/>
          </w:rPr>
          <w:t>www.apvma.gov.au</w:t>
        </w:r>
      </w:hyperlink>
      <w:r w:rsidRPr="00775D98">
        <w:t>) should be checked for any updates on which products are currently registered.</w:t>
      </w:r>
    </w:p>
    <w:p w:rsidR="007636B0" w:rsidRDefault="007636B0" w:rsidP="007636B0">
      <w:pPr>
        <w:pStyle w:val="Heading2"/>
        <w:tabs>
          <w:tab w:val="clear" w:pos="1209"/>
        </w:tabs>
      </w:pPr>
      <w:bookmarkStart w:id="18" w:name="_Toc351714258"/>
      <w:r>
        <w:t>Previous HIL</w:t>
      </w:r>
      <w:bookmarkEnd w:id="18"/>
    </w:p>
    <w:p w:rsidR="007636B0" w:rsidRDefault="007636B0" w:rsidP="007636B0">
      <w:r>
        <w:t xml:space="preserve">No previous HIL is available for </w:t>
      </w:r>
      <w:r w:rsidRPr="008103C1">
        <w:t xml:space="preserve">2,4-D </w:t>
      </w:r>
      <w:r>
        <w:t>(NEPC 1999).</w:t>
      </w:r>
    </w:p>
    <w:p w:rsidR="007636B0" w:rsidRDefault="007636B0" w:rsidP="007636B0">
      <w:pPr>
        <w:pStyle w:val="Heading2"/>
        <w:tabs>
          <w:tab w:val="clear" w:pos="1209"/>
        </w:tabs>
      </w:pPr>
      <w:bookmarkStart w:id="19" w:name="_Toc351714259"/>
      <w:r>
        <w:t>Significance of Exposure Pathways</w:t>
      </w:r>
      <w:bookmarkEnd w:id="19"/>
    </w:p>
    <w:p w:rsidR="007636B0" w:rsidRPr="00E00A6A" w:rsidRDefault="007636B0" w:rsidP="007636B0">
      <w:pPr>
        <w:pStyle w:val="Heading3"/>
      </w:pPr>
      <w:bookmarkStart w:id="20" w:name="_Toc351714260"/>
      <w:r>
        <w:t xml:space="preserve">Oral </w:t>
      </w:r>
      <w:r w:rsidRPr="00E00A6A">
        <w:t>Bioavailability</w:t>
      </w:r>
      <w:bookmarkEnd w:id="20"/>
    </w:p>
    <w:p w:rsidR="007636B0" w:rsidRDefault="007636B0" w:rsidP="007636B0">
      <w:r>
        <w:t xml:space="preserve">Insufficient data is available to adequately define the bioavailability of </w:t>
      </w:r>
      <w:r w:rsidRPr="008103C1">
        <w:t>2,4-D</w:t>
      </w:r>
      <w:r>
        <w:t>,</w:t>
      </w:r>
      <w:r w:rsidRPr="008103C1">
        <w:t xml:space="preserve"> </w:t>
      </w:r>
      <w:r>
        <w:t>hence a default approach of assuming 100% oral bioavailability has been adopted in the derivation of an HIL. It is noted that a site-specific assessment of bioavailability can be undertaken where required.</w:t>
      </w:r>
    </w:p>
    <w:p w:rsidR="007636B0" w:rsidRPr="002D7B71" w:rsidRDefault="007636B0" w:rsidP="007636B0">
      <w:pPr>
        <w:pStyle w:val="Heading3"/>
      </w:pPr>
      <w:bookmarkStart w:id="21" w:name="_Toc351714261"/>
      <w:r w:rsidRPr="002D7B71">
        <w:t>Dermal absorption</w:t>
      </w:r>
      <w:bookmarkEnd w:id="21"/>
    </w:p>
    <w:p w:rsidR="007636B0" w:rsidRDefault="007636B0" w:rsidP="007636B0">
      <w:r>
        <w:t>A dermal absorption value of 0.05 (5%) is available from US EPA (2004) based on a study by Wester et al. (1996). This study evaluated potential dermal absorption of 2,4-D from soil, where absorption over time changed over time (noted to be not-linear). Data from the study showed low absorption over 8 hours (0.03-0.05%) with slightly higher absorption over 16 hours (2.2%). Limited other data is available on the dermal absorption of 2,4-D from soil, hence the value of 0.05 (5%) has been adopted.</w:t>
      </w:r>
    </w:p>
    <w:p w:rsidR="007636B0" w:rsidRPr="009338FB" w:rsidRDefault="007636B0" w:rsidP="007636B0">
      <w:pPr>
        <w:pStyle w:val="Heading3"/>
      </w:pPr>
      <w:bookmarkStart w:id="22" w:name="_Toc351714262"/>
      <w:r w:rsidRPr="009338FB">
        <w:lastRenderedPageBreak/>
        <w:t>Inhalation of Dust</w:t>
      </w:r>
      <w:bookmarkEnd w:id="22"/>
    </w:p>
    <w:p w:rsidR="007636B0" w:rsidRDefault="007636B0" w:rsidP="007636B0">
      <w:r w:rsidRPr="00A35E24">
        <w:t>2,4</w:t>
      </w:r>
      <w:r>
        <w:t>-D is not considered sufficiently volatile to be of significance and inhalation exposures associated with particulates outdoors and indoors are expected to be of less significance than ingestion of soil. While likely to be negligible, potential inhalation exposures associated with dust have been considered in the HIL derived.</w:t>
      </w:r>
    </w:p>
    <w:p w:rsidR="007636B0" w:rsidRPr="009338FB" w:rsidRDefault="007636B0" w:rsidP="007636B0">
      <w:pPr>
        <w:pStyle w:val="Heading3"/>
      </w:pPr>
      <w:bookmarkStart w:id="23" w:name="_Toc351714263"/>
      <w:r w:rsidRPr="009338FB">
        <w:t>Plant Uptake</w:t>
      </w:r>
      <w:bookmarkEnd w:id="23"/>
    </w:p>
    <w:p w:rsidR="007636B0" w:rsidRDefault="007636B0" w:rsidP="007636B0">
      <w:r>
        <w:t xml:space="preserve">Most </w:t>
      </w:r>
      <w:r w:rsidRPr="00A35E24">
        <w:rPr>
          <w:rFonts w:cs="Arial"/>
        </w:rPr>
        <w:t>chlorophenoxy herbicide</w:t>
      </w:r>
      <w:r>
        <w:t>s are toxic to plants and, as such, will be phytotoxic to almost all broadleaf crops including tomatoes, grapes and fruit trees well before plant uptake into edible portions of fruit and vegetable crops is of significance. Hence the uptake of these compounds into home-grown produce has not been considered in the derivation of an HIL A.</w:t>
      </w:r>
    </w:p>
    <w:p w:rsidR="0021528E" w:rsidRDefault="0021528E" w:rsidP="007636B0"/>
    <w:p w:rsidR="007636B0" w:rsidRDefault="007636B0" w:rsidP="007636B0">
      <w:r>
        <w:t>Note that the phytotoxic effects of these compounds may need to be addressed on a site-specific basis if detected in soil.</w:t>
      </w:r>
    </w:p>
    <w:p w:rsidR="007636B0" w:rsidRPr="0089652E" w:rsidRDefault="007636B0" w:rsidP="007636B0">
      <w:pPr>
        <w:pStyle w:val="Heading3"/>
      </w:pPr>
      <w:bookmarkStart w:id="24" w:name="_Toc351714264"/>
      <w:r w:rsidRPr="0089652E">
        <w:t xml:space="preserve">Intakes from Other Sources </w:t>
      </w:r>
      <w:r>
        <w:t>–</w:t>
      </w:r>
      <w:r w:rsidRPr="0089652E">
        <w:t xml:space="preserve"> Background</w:t>
      </w:r>
      <w:bookmarkEnd w:id="24"/>
    </w:p>
    <w:p w:rsidR="007636B0" w:rsidRDefault="007636B0" w:rsidP="007636B0">
      <w:r>
        <w:t>Exposure concentrations provided by WHO (1984, 1987) (as well as noted in APVMA (2006)) are derived from areas where 2,4-D is used and is not expected from the presence of 2,4-D contamination in soil. The intakes, however, may be of concern if the HILs were being applied to an area where products containing 2,4-D are used (or have been used in the recent past).</w:t>
      </w:r>
    </w:p>
    <w:p w:rsidR="0021528E" w:rsidRDefault="0021528E" w:rsidP="007636B0"/>
    <w:p w:rsidR="007636B0" w:rsidRDefault="007636B0" w:rsidP="007636B0">
      <w:r>
        <w:t>With respect to background intakes of 2,4-D, the following is noted from WHO (1987):</w:t>
      </w:r>
    </w:p>
    <w:p w:rsidR="007636B0" w:rsidRDefault="007636B0" w:rsidP="007636B0">
      <w:pPr>
        <w:pStyle w:val="Dot-points"/>
        <w:tabs>
          <w:tab w:val="clear" w:pos="926"/>
          <w:tab w:val="num" w:pos="360"/>
        </w:tabs>
      </w:pPr>
      <w:r>
        <w:t>It is expected background intakes for the general population will be associated with the presence of residues in food and water.</w:t>
      </w:r>
    </w:p>
    <w:p w:rsidR="007636B0" w:rsidRDefault="007636B0" w:rsidP="007636B0">
      <w:pPr>
        <w:pStyle w:val="Dot-points"/>
        <w:tabs>
          <w:tab w:val="clear" w:pos="926"/>
          <w:tab w:val="num" w:pos="360"/>
        </w:tabs>
      </w:pPr>
      <w:r>
        <w:t>Intakes from air is considered negligible.</w:t>
      </w:r>
    </w:p>
    <w:p w:rsidR="007636B0" w:rsidRDefault="007636B0" w:rsidP="007636B0">
      <w:pPr>
        <w:pStyle w:val="Dot-points"/>
        <w:tabs>
          <w:tab w:val="clear" w:pos="926"/>
          <w:tab w:val="num" w:pos="360"/>
        </w:tabs>
      </w:pPr>
      <w:r>
        <w:t>Where 2,4-D is not used, intakes by the general population are considered negligible.</w:t>
      </w:r>
    </w:p>
    <w:p w:rsidR="007636B0" w:rsidRDefault="007636B0" w:rsidP="007636B0">
      <w:pPr>
        <w:pStyle w:val="Dot-points"/>
        <w:tabs>
          <w:tab w:val="clear" w:pos="926"/>
          <w:tab w:val="num" w:pos="360"/>
        </w:tabs>
      </w:pPr>
      <w:r>
        <w:t xml:space="preserve">In areas where 2,4-D is used, background intakes from air, food and water are estimated to be 0.3–2 </w:t>
      </w:r>
      <w:r>
        <w:rPr>
          <w:rFonts w:cs="Arial"/>
        </w:rPr>
        <w:t>µ</w:t>
      </w:r>
      <w:r>
        <w:t>g/kg/day.</w:t>
      </w:r>
    </w:p>
    <w:p w:rsidR="007636B0" w:rsidRDefault="007636B0" w:rsidP="007636B0">
      <w:r>
        <w:t>FSANZ (2011) has estimated that the 90</w:t>
      </w:r>
      <w:r w:rsidRPr="00A54613">
        <w:rPr>
          <w:vertAlign w:val="superscript"/>
        </w:rPr>
        <w:t>th</w:t>
      </w:r>
      <w:r>
        <w:t xml:space="preserve"> percentile intake of 2,4-D by young children aged 2</w:t>
      </w:r>
      <w:r>
        <w:sym w:font="Symbol" w:char="F02D"/>
      </w:r>
      <w:r>
        <w:t xml:space="preserve">5 years (most sensitive) is 0.014 </w:t>
      </w:r>
      <w:r>
        <w:rPr>
          <w:rFonts w:ascii="Calibri" w:hAnsi="Calibri" w:cs="Calibri"/>
        </w:rPr>
        <w:t>µ</w:t>
      </w:r>
      <w:r>
        <w:t>g/kg/day or 0.000014 mg/kg/day. This intake is negligible in comparison with the adopted TRV of 0.01 mg/kg/day.</w:t>
      </w:r>
    </w:p>
    <w:p w:rsidR="0021528E" w:rsidRDefault="0021528E" w:rsidP="007636B0"/>
    <w:p w:rsidR="007636B0" w:rsidRDefault="007636B0" w:rsidP="007636B0">
      <w:r>
        <w:t xml:space="preserve">On the basis of the above, background intakes of 2,4-D have been assumed to be essentially negligible (where 2,4-D is not used). </w:t>
      </w:r>
    </w:p>
    <w:p w:rsidR="007636B0" w:rsidRDefault="007636B0" w:rsidP="007636B0">
      <w:pPr>
        <w:pStyle w:val="Heading2"/>
        <w:tabs>
          <w:tab w:val="clear" w:pos="1209"/>
        </w:tabs>
      </w:pPr>
      <w:bookmarkStart w:id="25" w:name="_Toc351714265"/>
      <w:r>
        <w:t>Identification of Toxicity Reference Values</w:t>
      </w:r>
      <w:bookmarkEnd w:id="25"/>
    </w:p>
    <w:p w:rsidR="007636B0" w:rsidRPr="00983A79" w:rsidRDefault="007636B0" w:rsidP="007636B0">
      <w:pPr>
        <w:pStyle w:val="Heading3"/>
      </w:pPr>
      <w:bookmarkStart w:id="26" w:name="_Toc351714266"/>
      <w:r w:rsidRPr="00983A79">
        <w:t>Classification</w:t>
      </w:r>
      <w:bookmarkEnd w:id="26"/>
    </w:p>
    <w:p w:rsidR="007636B0" w:rsidRDefault="007636B0" w:rsidP="007636B0">
      <w:r w:rsidRPr="00C259C1">
        <w:t>The International Agency for Research on Cancer (IARC</w:t>
      </w:r>
      <w:r>
        <w:t xml:space="preserve"> 1987) has classified </w:t>
      </w:r>
      <w:r w:rsidRPr="00A35E24">
        <w:t>chlor</w:t>
      </w:r>
      <w:r>
        <w:t>ophenoxy herbicides as Group 2B—possibly carcinogenic to humans.</w:t>
      </w:r>
    </w:p>
    <w:p w:rsidR="0021528E" w:rsidRDefault="0021528E" w:rsidP="007636B0"/>
    <w:p w:rsidR="007636B0" w:rsidRDefault="007636B0" w:rsidP="007636B0">
      <w:r>
        <w:t>US EPA has not classified 2,4-D.</w:t>
      </w:r>
    </w:p>
    <w:p w:rsidR="007636B0" w:rsidRPr="00907E92" w:rsidRDefault="007636B0" w:rsidP="007636B0">
      <w:pPr>
        <w:pStyle w:val="Heading3"/>
      </w:pPr>
      <w:bookmarkStart w:id="27" w:name="_Toc351714267"/>
      <w:r w:rsidRPr="00907E92">
        <w:t>Review of Available Values</w:t>
      </w:r>
      <w:r>
        <w:t>/Information</w:t>
      </w:r>
      <w:bookmarkEnd w:id="27"/>
    </w:p>
    <w:p w:rsidR="007636B0" w:rsidRDefault="007636B0" w:rsidP="007636B0">
      <w:r>
        <w:t xml:space="preserve">There is limited information on the assessment of carcinogenicity and genotoxicity for 2,4-D from IARC and US EPA. Ibrahim et al. (1991) provided a summary of a review of carcinogenicity of 2,4-D following review by a panel of 13 scientists. Based on a weight-of-evidence approach 2,4-D was considered unlikely to be a genotoxic carcinogen because it has not been shown to be mutagenic in </w:t>
      </w:r>
      <w:r w:rsidRPr="000E167C">
        <w:t>most in vitro and in vivo systems</w:t>
      </w:r>
      <w:r>
        <w:t>. The predominant opinion from the panel was that the weight of evidence indicates that it is possible that exposure to 2,4-D may cause cancer in humans.</w:t>
      </w:r>
    </w:p>
    <w:p w:rsidR="0021528E" w:rsidRDefault="0021528E" w:rsidP="007636B0"/>
    <w:p w:rsidR="007636B0" w:rsidRDefault="007636B0" w:rsidP="007636B0">
      <w:r>
        <w:t>On the basis of the available information, it is considered appropriate that a threshold dose-response approach be adopted for 2,4-D. The following are available from Level 1 Australian and International sources: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3"/>
        <w:gridCol w:w="2231"/>
        <w:gridCol w:w="5543"/>
      </w:tblGrid>
      <w:tr w:rsidR="007636B0" w:rsidRPr="00775D98" w:rsidTr="00B45DD6">
        <w:trPr>
          <w:tblHeader/>
        </w:trPr>
        <w:tc>
          <w:tcPr>
            <w:tcW w:w="1384" w:type="dxa"/>
            <w:shd w:val="clear" w:color="auto" w:fill="C6D9F1" w:themeFill="text2" w:themeFillTint="33"/>
          </w:tcPr>
          <w:p w:rsidR="007636B0" w:rsidRPr="00775D98" w:rsidRDefault="007636B0" w:rsidP="00B45DD6">
            <w:pPr>
              <w:spacing w:before="20"/>
              <w:jc w:val="center"/>
              <w:rPr>
                <w:b/>
                <w:szCs w:val="22"/>
              </w:rPr>
            </w:pPr>
            <w:r w:rsidRPr="00775D98">
              <w:rPr>
                <w:b/>
                <w:szCs w:val="22"/>
              </w:rPr>
              <w:t>Source</w:t>
            </w:r>
          </w:p>
        </w:tc>
        <w:tc>
          <w:tcPr>
            <w:tcW w:w="2410" w:type="dxa"/>
            <w:shd w:val="clear" w:color="auto" w:fill="C6D9F1" w:themeFill="text2" w:themeFillTint="33"/>
          </w:tcPr>
          <w:p w:rsidR="007636B0" w:rsidRPr="00775D98" w:rsidRDefault="007636B0" w:rsidP="00B45DD6">
            <w:pPr>
              <w:spacing w:before="20"/>
              <w:jc w:val="center"/>
              <w:rPr>
                <w:b/>
                <w:szCs w:val="22"/>
              </w:rPr>
            </w:pPr>
            <w:r w:rsidRPr="00775D98">
              <w:rPr>
                <w:b/>
                <w:szCs w:val="22"/>
              </w:rPr>
              <w:t>Value</w:t>
            </w:r>
          </w:p>
        </w:tc>
        <w:tc>
          <w:tcPr>
            <w:tcW w:w="6169" w:type="dxa"/>
            <w:shd w:val="clear" w:color="auto" w:fill="C6D9F1" w:themeFill="text2" w:themeFillTint="33"/>
          </w:tcPr>
          <w:p w:rsidR="007636B0" w:rsidRPr="00775D98" w:rsidRDefault="007636B0" w:rsidP="00B45DD6">
            <w:pPr>
              <w:spacing w:before="20"/>
              <w:jc w:val="center"/>
              <w:rPr>
                <w:b/>
                <w:szCs w:val="22"/>
              </w:rPr>
            </w:pPr>
            <w:r w:rsidRPr="00775D98">
              <w:rPr>
                <w:b/>
                <w:szCs w:val="22"/>
              </w:rPr>
              <w:t>Basis/Comments</w:t>
            </w:r>
          </w:p>
        </w:tc>
      </w:tr>
      <w:tr w:rsidR="007636B0" w:rsidRPr="00775D98" w:rsidTr="00B45DD6">
        <w:tc>
          <w:tcPr>
            <w:tcW w:w="9963" w:type="dxa"/>
            <w:gridSpan w:val="3"/>
          </w:tcPr>
          <w:p w:rsidR="007636B0" w:rsidRPr="00775D98" w:rsidRDefault="007636B0" w:rsidP="00B45DD6">
            <w:pPr>
              <w:spacing w:before="20"/>
              <w:jc w:val="center"/>
              <w:rPr>
                <w:b/>
                <w:szCs w:val="22"/>
              </w:rPr>
            </w:pPr>
            <w:r w:rsidRPr="00775D98">
              <w:rPr>
                <w:b/>
                <w:szCs w:val="22"/>
              </w:rPr>
              <w:t>Australian</w:t>
            </w:r>
          </w:p>
        </w:tc>
      </w:tr>
      <w:tr w:rsidR="007636B0" w:rsidRPr="00775D98" w:rsidTr="00B45DD6">
        <w:tc>
          <w:tcPr>
            <w:tcW w:w="1384" w:type="dxa"/>
          </w:tcPr>
          <w:p w:rsidR="007636B0" w:rsidRPr="00775D98" w:rsidRDefault="007636B0" w:rsidP="00B45DD6">
            <w:pPr>
              <w:spacing w:before="20"/>
              <w:rPr>
                <w:szCs w:val="22"/>
              </w:rPr>
            </w:pPr>
            <w:r w:rsidRPr="00775D98">
              <w:rPr>
                <w:szCs w:val="22"/>
              </w:rPr>
              <w:t xml:space="preserve">ADWG (NHMRC 2011) </w:t>
            </w:r>
          </w:p>
        </w:tc>
        <w:tc>
          <w:tcPr>
            <w:tcW w:w="2410" w:type="dxa"/>
          </w:tcPr>
          <w:p w:rsidR="007636B0" w:rsidRPr="00775D98" w:rsidRDefault="007636B0" w:rsidP="00B45DD6">
            <w:pPr>
              <w:spacing w:before="20"/>
              <w:rPr>
                <w:szCs w:val="22"/>
              </w:rPr>
            </w:pPr>
            <w:r w:rsidRPr="00775D98">
              <w:rPr>
                <w:szCs w:val="22"/>
              </w:rPr>
              <w:t>TDI = 0.01 mg/kg/day</w:t>
            </w:r>
          </w:p>
        </w:tc>
        <w:tc>
          <w:tcPr>
            <w:tcW w:w="6169" w:type="dxa"/>
          </w:tcPr>
          <w:p w:rsidR="007636B0" w:rsidRPr="00775D98" w:rsidRDefault="007636B0" w:rsidP="00B45DD6">
            <w:pPr>
              <w:spacing w:before="20"/>
              <w:rPr>
                <w:szCs w:val="22"/>
              </w:rPr>
            </w:pPr>
            <w:r w:rsidRPr="00775D98">
              <w:rPr>
                <w:szCs w:val="22"/>
              </w:rPr>
              <w:t xml:space="preserve">Current ADWG (NHMRC 2011) of 0.03 mg/L based on 10% intake from drinking water. Based on equations presented in the ADWG, the TDI considered in this derivation is equal to 0.009 mg/kg/day, which can be rounded to 0.01 mg/kg/day, essentially equivalent to the ADI available from the OCS. </w:t>
            </w:r>
          </w:p>
        </w:tc>
      </w:tr>
      <w:tr w:rsidR="007636B0" w:rsidRPr="00775D98" w:rsidTr="00B45DD6">
        <w:tc>
          <w:tcPr>
            <w:tcW w:w="1384" w:type="dxa"/>
          </w:tcPr>
          <w:p w:rsidR="007636B0" w:rsidRPr="00775D98" w:rsidRDefault="007636B0" w:rsidP="00B45DD6">
            <w:pPr>
              <w:spacing w:before="20"/>
              <w:rPr>
                <w:szCs w:val="22"/>
              </w:rPr>
            </w:pPr>
            <w:r w:rsidRPr="00775D98">
              <w:rPr>
                <w:szCs w:val="22"/>
              </w:rPr>
              <w:t>OCS (2012)</w:t>
            </w:r>
          </w:p>
        </w:tc>
        <w:tc>
          <w:tcPr>
            <w:tcW w:w="2410" w:type="dxa"/>
          </w:tcPr>
          <w:p w:rsidR="007636B0" w:rsidRPr="00775D98" w:rsidRDefault="007636B0" w:rsidP="00B45DD6">
            <w:pPr>
              <w:spacing w:before="20"/>
              <w:rPr>
                <w:szCs w:val="22"/>
              </w:rPr>
            </w:pPr>
            <w:r w:rsidRPr="00775D98">
              <w:rPr>
                <w:szCs w:val="22"/>
              </w:rPr>
              <w:t>ADI = 0.01 mg/kg/day</w:t>
            </w:r>
          </w:p>
        </w:tc>
        <w:tc>
          <w:tcPr>
            <w:tcW w:w="6169" w:type="dxa"/>
          </w:tcPr>
          <w:p w:rsidR="007636B0" w:rsidRPr="00775D98" w:rsidRDefault="007636B0" w:rsidP="00B45DD6">
            <w:pPr>
              <w:spacing w:before="20"/>
              <w:rPr>
                <w:szCs w:val="22"/>
              </w:rPr>
            </w:pPr>
            <w:r w:rsidRPr="00775D98">
              <w:rPr>
                <w:szCs w:val="22"/>
              </w:rPr>
              <w:t>The ADI is noted to have been last reviewed in June 2006 and is based on a NOEL of 1 mg/kg/day associated with abnormal renal morphology in a 2-year rat study, supported by the same NOELs (based on kidney effects) in a 2-year mouse and 1-year dog study.</w:t>
            </w:r>
          </w:p>
        </w:tc>
      </w:tr>
      <w:tr w:rsidR="007636B0" w:rsidRPr="00775D98" w:rsidTr="00B45DD6">
        <w:tc>
          <w:tcPr>
            <w:tcW w:w="9963" w:type="dxa"/>
            <w:gridSpan w:val="3"/>
          </w:tcPr>
          <w:p w:rsidR="007636B0" w:rsidRPr="00775D98" w:rsidRDefault="007636B0" w:rsidP="00B45DD6">
            <w:pPr>
              <w:spacing w:before="20"/>
              <w:jc w:val="center"/>
              <w:rPr>
                <w:b/>
                <w:szCs w:val="22"/>
              </w:rPr>
            </w:pPr>
            <w:r w:rsidRPr="00775D98">
              <w:rPr>
                <w:b/>
                <w:szCs w:val="22"/>
              </w:rPr>
              <w:t>International</w:t>
            </w:r>
          </w:p>
        </w:tc>
      </w:tr>
      <w:tr w:rsidR="007636B0" w:rsidRPr="00775D98" w:rsidTr="00B45DD6">
        <w:tc>
          <w:tcPr>
            <w:tcW w:w="1384" w:type="dxa"/>
          </w:tcPr>
          <w:p w:rsidR="007636B0" w:rsidRPr="00775D98" w:rsidRDefault="007636B0" w:rsidP="00B45DD6">
            <w:pPr>
              <w:spacing w:before="20"/>
              <w:rPr>
                <w:szCs w:val="22"/>
              </w:rPr>
            </w:pPr>
            <w:r w:rsidRPr="00775D98">
              <w:rPr>
                <w:szCs w:val="22"/>
              </w:rPr>
              <w:t>WHO (2011)</w:t>
            </w:r>
          </w:p>
        </w:tc>
        <w:tc>
          <w:tcPr>
            <w:tcW w:w="2410" w:type="dxa"/>
          </w:tcPr>
          <w:p w:rsidR="007636B0" w:rsidRPr="00775D98" w:rsidRDefault="007636B0" w:rsidP="00B45DD6">
            <w:pPr>
              <w:spacing w:before="20"/>
              <w:rPr>
                <w:szCs w:val="22"/>
              </w:rPr>
            </w:pPr>
            <w:r w:rsidRPr="00775D98">
              <w:rPr>
                <w:szCs w:val="22"/>
              </w:rPr>
              <w:t>ADI = 0.01 mg/kg/day</w:t>
            </w:r>
          </w:p>
        </w:tc>
        <w:tc>
          <w:tcPr>
            <w:tcW w:w="6169" w:type="dxa"/>
          </w:tcPr>
          <w:p w:rsidR="007636B0" w:rsidRPr="00775D98" w:rsidRDefault="007636B0" w:rsidP="00B45DD6">
            <w:pPr>
              <w:spacing w:before="20"/>
              <w:rPr>
                <w:szCs w:val="22"/>
              </w:rPr>
            </w:pPr>
            <w:r w:rsidRPr="00775D98">
              <w:rPr>
                <w:szCs w:val="22"/>
              </w:rPr>
              <w:t>ADI, used in the derivation of the current WHO DWG (2011), was established by JMPR (FAO/WHO 1997) for 2,4-D and its salts and esters on the basis of a NOAEL of 1 mg/kg/day in a 1-year toxicity study in dogs and 2-year study in rats, and an uncertainty factor of 100-fold.</w:t>
            </w:r>
          </w:p>
        </w:tc>
      </w:tr>
      <w:tr w:rsidR="007636B0" w:rsidRPr="00775D98" w:rsidTr="00B45DD6">
        <w:tc>
          <w:tcPr>
            <w:tcW w:w="1384" w:type="dxa"/>
          </w:tcPr>
          <w:p w:rsidR="007636B0" w:rsidRPr="00775D98" w:rsidRDefault="007636B0" w:rsidP="00B45DD6">
            <w:pPr>
              <w:spacing w:before="20"/>
              <w:rPr>
                <w:szCs w:val="22"/>
              </w:rPr>
            </w:pPr>
            <w:r w:rsidRPr="00775D98">
              <w:rPr>
                <w:szCs w:val="22"/>
              </w:rPr>
              <w:t>ATSDR</w:t>
            </w:r>
          </w:p>
        </w:tc>
        <w:tc>
          <w:tcPr>
            <w:tcW w:w="2410" w:type="dxa"/>
          </w:tcPr>
          <w:p w:rsidR="007636B0" w:rsidRPr="00775D98" w:rsidRDefault="007636B0" w:rsidP="00B45DD6">
            <w:pPr>
              <w:spacing w:before="20"/>
              <w:rPr>
                <w:szCs w:val="22"/>
              </w:rPr>
            </w:pPr>
            <w:r w:rsidRPr="00775D98">
              <w:rPr>
                <w:szCs w:val="22"/>
              </w:rPr>
              <w:t>No evaluation available</w:t>
            </w:r>
          </w:p>
        </w:tc>
        <w:tc>
          <w:tcPr>
            <w:tcW w:w="6169" w:type="dxa"/>
          </w:tcPr>
          <w:p w:rsidR="007636B0" w:rsidRPr="00775D98" w:rsidRDefault="007636B0" w:rsidP="00B45DD6">
            <w:pPr>
              <w:spacing w:before="20"/>
              <w:rPr>
                <w:szCs w:val="22"/>
              </w:rPr>
            </w:pPr>
          </w:p>
        </w:tc>
      </w:tr>
      <w:tr w:rsidR="007636B0" w:rsidRPr="00775D98" w:rsidTr="00B45DD6">
        <w:tc>
          <w:tcPr>
            <w:tcW w:w="1384" w:type="dxa"/>
          </w:tcPr>
          <w:p w:rsidR="007636B0" w:rsidRPr="00775D98" w:rsidRDefault="007636B0" w:rsidP="00B45DD6">
            <w:pPr>
              <w:spacing w:before="20"/>
              <w:rPr>
                <w:szCs w:val="22"/>
              </w:rPr>
            </w:pPr>
            <w:r w:rsidRPr="00775D98">
              <w:rPr>
                <w:szCs w:val="22"/>
              </w:rPr>
              <w:t>US EPA (IRIS 2012)</w:t>
            </w:r>
          </w:p>
        </w:tc>
        <w:tc>
          <w:tcPr>
            <w:tcW w:w="2410" w:type="dxa"/>
          </w:tcPr>
          <w:p w:rsidR="007636B0" w:rsidRPr="00775D98" w:rsidRDefault="007636B0" w:rsidP="00B45DD6">
            <w:pPr>
              <w:spacing w:before="20"/>
              <w:rPr>
                <w:szCs w:val="22"/>
              </w:rPr>
            </w:pPr>
            <w:r w:rsidRPr="00775D98">
              <w:rPr>
                <w:szCs w:val="22"/>
              </w:rPr>
              <w:t>RfD = 0.01 mg/kg/day</w:t>
            </w:r>
          </w:p>
          <w:p w:rsidR="007636B0" w:rsidRPr="00775D98" w:rsidRDefault="007636B0" w:rsidP="00B45DD6">
            <w:pPr>
              <w:spacing w:before="20"/>
              <w:rPr>
                <w:szCs w:val="22"/>
              </w:rPr>
            </w:pPr>
          </w:p>
        </w:tc>
        <w:tc>
          <w:tcPr>
            <w:tcW w:w="6169" w:type="dxa"/>
          </w:tcPr>
          <w:p w:rsidR="007636B0" w:rsidRPr="00775D98" w:rsidRDefault="007636B0" w:rsidP="00B45DD6">
            <w:pPr>
              <w:spacing w:before="20"/>
              <w:rPr>
                <w:szCs w:val="22"/>
              </w:rPr>
            </w:pPr>
            <w:r w:rsidRPr="00775D98">
              <w:rPr>
                <w:szCs w:val="22"/>
              </w:rPr>
              <w:t>US EPA has derived an oral RfD of 0.01 mg/kg/day. The value was last reviewed in 1986 and is derived based on a LOAEL of 1 mg/kg/day associated with abnormal renal morphology from a 90-day rat bioassay and a 1-year interim report from a 2 year rat study, and an uncertainty factor of 100.</w:t>
            </w:r>
          </w:p>
        </w:tc>
      </w:tr>
    </w:tbl>
    <w:p w:rsidR="007636B0" w:rsidRDefault="007636B0" w:rsidP="007636B0"/>
    <w:p w:rsidR="007636B0" w:rsidRDefault="007636B0" w:rsidP="007636B0">
      <w:r>
        <w:t>Based on the available data above, there is general agreement from Australian and international sources on the consideration of an oral toxicity reference value of 0.01 mg/kg/day.</w:t>
      </w:r>
    </w:p>
    <w:p w:rsidR="00E80517" w:rsidRDefault="00E80517" w:rsidP="007636B0"/>
    <w:p w:rsidR="007636B0" w:rsidRDefault="007636B0" w:rsidP="007636B0">
      <w:r>
        <w:t>No dermal or inhalation specific studies or data are available. For the presence of 2,4-D in soil (not during use), it is considered appropriate to consider the use of the available ADI for all pathways of exposures.</w:t>
      </w:r>
    </w:p>
    <w:p w:rsidR="007636B0" w:rsidRPr="00921D7B" w:rsidRDefault="007636B0" w:rsidP="007636B0">
      <w:pPr>
        <w:pStyle w:val="Heading3"/>
      </w:pPr>
      <w:bookmarkStart w:id="28" w:name="_Toc351714268"/>
      <w:r w:rsidRPr="00921D7B">
        <w:t>Recommendation</w:t>
      </w:r>
      <w:bookmarkEnd w:id="28"/>
    </w:p>
    <w:p w:rsidR="007636B0" w:rsidRPr="00191EC8" w:rsidRDefault="007636B0" w:rsidP="007636B0">
      <w:r>
        <w:t>On the basis of the discussion above, the following toxicity reference values (TRVs) have been adopted for 2,4-D in the d</w:t>
      </w:r>
      <w:r w:rsidRPr="00775D98">
        <w:t>e</w:t>
      </w:r>
      <w:r>
        <w:t>rivation of HILs:</w:t>
      </w:r>
    </w:p>
    <w:p w:rsidR="007636B0" w:rsidRDefault="007636B0" w:rsidP="007636B0">
      <w:r>
        <w:rPr>
          <w:noProof/>
          <w:lang w:eastAsia="en-AU"/>
        </w:rPr>
        <mc:AlternateContent>
          <mc:Choice Requires="wps">
            <w:drawing>
              <wp:inline distT="0" distB="0" distL="0" distR="0">
                <wp:extent cx="5638165" cy="1755140"/>
                <wp:effectExtent l="13335" t="6985" r="6350" b="952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165" cy="1755140"/>
                        </a:xfrm>
                        <a:prstGeom prst="rect">
                          <a:avLst/>
                        </a:prstGeom>
                        <a:solidFill>
                          <a:srgbClr val="D8D8D8"/>
                        </a:solidFill>
                        <a:ln w="9525">
                          <a:solidFill>
                            <a:srgbClr val="000000"/>
                          </a:solidFill>
                          <a:miter lim="800000"/>
                          <a:headEnd/>
                          <a:tailEnd/>
                        </a:ln>
                      </wps:spPr>
                      <wps:txbx>
                        <w:txbxContent>
                          <w:p w:rsidR="00A0097F" w:rsidRPr="00742163" w:rsidRDefault="00A0097F" w:rsidP="007636B0">
                            <w:pPr>
                              <w:spacing w:after="40"/>
                              <w:rPr>
                                <w:b/>
                                <w:u w:val="single"/>
                              </w:rPr>
                            </w:pPr>
                            <w:r w:rsidRPr="00742163">
                              <w:rPr>
                                <w:b/>
                                <w:u w:val="single"/>
                              </w:rPr>
                              <w:t>Recommendation for 2,4-D</w:t>
                            </w:r>
                          </w:p>
                          <w:p w:rsidR="00A0097F" w:rsidRDefault="00A0097F" w:rsidP="007636B0">
                            <w:pPr>
                              <w:spacing w:after="40"/>
                            </w:pPr>
                            <w:r>
                              <w:t>Oral TRV (TRV</w:t>
                            </w:r>
                            <w:r w:rsidRPr="00A54613">
                              <w:rPr>
                                <w:vertAlign w:val="subscript"/>
                              </w:rPr>
                              <w:t>O</w:t>
                            </w:r>
                            <w:r>
                              <w:t>) = 0.01 mg/kg/day (OCS 2012) for all pathways of exposure</w:t>
                            </w:r>
                          </w:p>
                          <w:p w:rsidR="00A0097F" w:rsidRDefault="00A0097F" w:rsidP="007636B0">
                            <w:pPr>
                              <w:spacing w:after="40"/>
                            </w:pPr>
                            <w:r>
                              <w:t>Dermal absorption factor (DAF) = 0.05 (or 5%) (US EPA 2004)</w:t>
                            </w:r>
                          </w:p>
                          <w:p w:rsidR="00A0097F" w:rsidRDefault="00A0097F" w:rsidP="007636B0">
                            <w:pPr>
                              <w:spacing w:after="40"/>
                            </w:pPr>
                            <w:r>
                              <w:t>Background intakes from other sources (as % of TRV):</w:t>
                            </w:r>
                          </w:p>
                          <w:p w:rsidR="00A0097F" w:rsidRDefault="00A0097F" w:rsidP="007636B0">
                            <w:pPr>
                              <w:spacing w:after="40"/>
                              <w:ind w:left="720"/>
                            </w:pPr>
                            <w:r>
                              <w:t>BI</w:t>
                            </w:r>
                            <w:r w:rsidRPr="002049F5">
                              <w:rPr>
                                <w:vertAlign w:val="subscript"/>
                              </w:rPr>
                              <w:t>O</w:t>
                            </w:r>
                            <w:r>
                              <w:t xml:space="preserve"> = 0% for oral and dermal intakes</w:t>
                            </w:r>
                          </w:p>
                          <w:p w:rsidR="00A0097F" w:rsidRDefault="00A0097F" w:rsidP="007636B0">
                            <w:pPr>
                              <w:spacing w:after="40"/>
                              <w:ind w:left="720"/>
                            </w:pPr>
                            <w:r>
                              <w:t>BIi = 0% for inhalation</w:t>
                            </w:r>
                            <w:r w:rsidDel="00C81411">
                              <w:t xml:space="preserve"> </w:t>
                            </w:r>
                          </w:p>
                        </w:txbxContent>
                      </wps:txbx>
                      <wps:bodyPr rot="0" vert="horz" wrap="square" lIns="91440" tIns="45720" rIns="91440" bIns="45720" anchor="t" anchorCtr="0" upright="1">
                        <a:noAutofit/>
                      </wps:bodyPr>
                    </wps:wsp>
                  </a:graphicData>
                </a:graphic>
              </wp:inline>
            </w:drawing>
          </mc:Choice>
          <mc:Fallback>
            <w:pict>
              <v:shape id="Text Box 8" o:spid="_x0000_s1030" type="#_x0000_t202" style="width:443.95pt;height:13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" fillcolor="#d8d8d8">
                <v:textbox>
                  <w:txbxContent>
                    <w:p w:rsidR="009C6751" w:rsidRPr="00742163" w:rsidRDefault="009C6751" w:rsidP="007636B0">
                      <w:pPr>
                        <w:spacing w:after="40"/>
                        <w:rPr>
                          <w:b/>
                          <w:u w:val="single"/>
                        </w:rPr>
                      </w:pPr>
                      <w:r w:rsidRPr="00742163">
                        <w:rPr>
                          <w:b/>
                          <w:u w:val="single"/>
                        </w:rPr>
                        <w:t>Recommendation for 2,4-D</w:t>
                      </w:r>
                    </w:p>
                    <w:p w:rsidR="009C6751" w:rsidRDefault="009C6751" w:rsidP="007636B0">
                      <w:pPr>
                        <w:spacing w:after="40"/>
                      </w:pPr>
                      <w:r>
                        <w:t>Oral TRV (TRV</w:t>
                      </w:r>
                      <w:r w:rsidRPr="00A54613">
                        <w:rPr>
                          <w:vertAlign w:val="subscript"/>
                        </w:rPr>
                        <w:t>O</w:t>
                      </w:r>
                      <w:r>
                        <w:t>) = 0.01 mg/kg/day (OCS 2012) for all pathways of exposure</w:t>
                      </w:r>
                    </w:p>
                    <w:p w:rsidR="009C6751" w:rsidRDefault="009C6751" w:rsidP="007636B0">
                      <w:pPr>
                        <w:spacing w:after="40"/>
                      </w:pPr>
                      <w:r>
                        <w:t>Dermal absorption factor (DAF) = 0.05 (or 5%) (US EPA 2004)</w:t>
                      </w:r>
                    </w:p>
                    <w:p w:rsidR="009C6751" w:rsidRDefault="009C6751" w:rsidP="007636B0">
                      <w:pPr>
                        <w:spacing w:after="40"/>
                      </w:pPr>
                      <w:r>
                        <w:t>Background intakes from other sources (as % of TRV):</w:t>
                      </w:r>
                    </w:p>
                    <w:p w:rsidR="009C6751" w:rsidRDefault="009C6751" w:rsidP="007636B0">
                      <w:pPr>
                        <w:spacing w:after="40"/>
                        <w:ind w:left="720"/>
                      </w:pPr>
                      <w:r>
                        <w:t>BI</w:t>
                      </w:r>
                      <w:r w:rsidRPr="002049F5">
                        <w:rPr>
                          <w:vertAlign w:val="subscript"/>
                        </w:rPr>
                        <w:t>O</w:t>
                      </w:r>
                      <w:r>
                        <w:t xml:space="preserve"> = 0% for oral and dermal intakes</w:t>
                      </w:r>
                    </w:p>
                    <w:p w:rsidR="009C6751" w:rsidRDefault="009C6751" w:rsidP="007636B0">
                      <w:pPr>
                        <w:spacing w:after="40"/>
                        <w:ind w:left="720"/>
                      </w:pPr>
                      <w:r>
                        <w:t>BIi = 0% for inhalation</w:t>
                      </w:r>
                      <w:r w:rsidDel="00C81411">
                        <w:t xml:space="preserve"> </w:t>
                      </w:r>
                    </w:p>
                  </w:txbxContent>
                </v:textbox>
                <w10:anchorlock/>
              </v:shape>
            </w:pict>
          </mc:Fallback>
        </mc:AlternateContent>
      </w:r>
    </w:p>
    <w:p w:rsidR="007636B0" w:rsidRDefault="007636B0" w:rsidP="007636B0"/>
    <w:p w:rsidR="007636B0" w:rsidRDefault="007636B0" w:rsidP="007636B0">
      <w:pPr>
        <w:pStyle w:val="Heading2"/>
        <w:tabs>
          <w:tab w:val="clear" w:pos="1209"/>
        </w:tabs>
      </w:pPr>
      <w:bookmarkStart w:id="29" w:name="_Toc351714269"/>
      <w:r>
        <w:t>Calculated HILs</w:t>
      </w:r>
      <w:bookmarkEnd w:id="29"/>
    </w:p>
    <w:p w:rsidR="007636B0" w:rsidRDefault="007636B0" w:rsidP="007636B0">
      <w:r>
        <w:t>On the basis of the above, the following HILs have been derived for 2,4-D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287"/>
        <w:gridCol w:w="1445"/>
        <w:gridCol w:w="1517"/>
        <w:gridCol w:w="1553"/>
        <w:gridCol w:w="1392"/>
      </w:tblGrid>
      <w:tr w:rsidR="007636B0" w:rsidRPr="00775D98" w:rsidTr="00B45DD6">
        <w:tc>
          <w:tcPr>
            <w:tcW w:w="1639" w:type="dxa"/>
            <w:vMerge w:val="restart"/>
            <w:shd w:val="clear" w:color="auto" w:fill="C6D9F1" w:themeFill="text2" w:themeFillTint="33"/>
          </w:tcPr>
          <w:p w:rsidR="007636B0" w:rsidRPr="00775D98" w:rsidRDefault="007636B0" w:rsidP="00B45DD6">
            <w:pPr>
              <w:spacing w:after="40"/>
              <w:rPr>
                <w:b/>
                <w:szCs w:val="22"/>
              </w:rPr>
            </w:pPr>
            <w:r w:rsidRPr="00775D98">
              <w:rPr>
                <w:b/>
                <w:szCs w:val="22"/>
              </w:rPr>
              <w:t>HIL Scenario</w:t>
            </w:r>
          </w:p>
        </w:tc>
        <w:tc>
          <w:tcPr>
            <w:tcW w:w="1287" w:type="dxa"/>
            <w:vMerge w:val="restart"/>
            <w:shd w:val="clear" w:color="auto" w:fill="C6D9F1" w:themeFill="text2" w:themeFillTint="33"/>
          </w:tcPr>
          <w:p w:rsidR="007636B0" w:rsidRPr="00775D98" w:rsidRDefault="007636B0" w:rsidP="00B45DD6">
            <w:pPr>
              <w:spacing w:after="40"/>
              <w:jc w:val="center"/>
              <w:rPr>
                <w:b/>
                <w:szCs w:val="22"/>
              </w:rPr>
            </w:pPr>
            <w:r w:rsidRPr="00775D98">
              <w:rPr>
                <w:b/>
                <w:szCs w:val="22"/>
              </w:rPr>
              <w:t>HIL (mg/kg)</w:t>
            </w:r>
          </w:p>
        </w:tc>
        <w:tc>
          <w:tcPr>
            <w:tcW w:w="5907" w:type="dxa"/>
            <w:gridSpan w:val="4"/>
            <w:shd w:val="clear" w:color="auto" w:fill="C6D9F1" w:themeFill="text2" w:themeFillTint="33"/>
          </w:tcPr>
          <w:p w:rsidR="007636B0" w:rsidRPr="00775D98" w:rsidRDefault="007636B0" w:rsidP="00B45DD6">
            <w:pPr>
              <w:spacing w:after="40"/>
              <w:jc w:val="center"/>
              <w:rPr>
                <w:b/>
                <w:szCs w:val="22"/>
              </w:rPr>
            </w:pPr>
            <w:r w:rsidRPr="00775D98">
              <w:rPr>
                <w:b/>
                <w:szCs w:val="22"/>
              </w:rPr>
              <w:t>Percentage Contribution from Exposure Pathways</w:t>
            </w:r>
          </w:p>
        </w:tc>
      </w:tr>
      <w:tr w:rsidR="007636B0" w:rsidRPr="00775D98" w:rsidTr="00B45DD6">
        <w:trPr>
          <w:trHeight w:val="427"/>
        </w:trPr>
        <w:tc>
          <w:tcPr>
            <w:tcW w:w="1639" w:type="dxa"/>
            <w:vMerge/>
            <w:shd w:val="clear" w:color="auto" w:fill="C6D9F1" w:themeFill="text2" w:themeFillTint="33"/>
          </w:tcPr>
          <w:p w:rsidR="007636B0" w:rsidRPr="00775D98" w:rsidRDefault="007636B0" w:rsidP="00B45DD6">
            <w:pPr>
              <w:spacing w:after="40"/>
              <w:rPr>
                <w:szCs w:val="22"/>
              </w:rPr>
            </w:pPr>
          </w:p>
        </w:tc>
        <w:tc>
          <w:tcPr>
            <w:tcW w:w="1287" w:type="dxa"/>
            <w:vMerge/>
            <w:shd w:val="clear" w:color="auto" w:fill="C6D9F1" w:themeFill="text2" w:themeFillTint="33"/>
          </w:tcPr>
          <w:p w:rsidR="007636B0" w:rsidRPr="00775D98" w:rsidRDefault="007636B0" w:rsidP="00B45DD6">
            <w:pPr>
              <w:spacing w:after="40"/>
              <w:jc w:val="center"/>
              <w:rPr>
                <w:szCs w:val="22"/>
              </w:rPr>
            </w:pPr>
          </w:p>
        </w:tc>
        <w:tc>
          <w:tcPr>
            <w:tcW w:w="1445" w:type="dxa"/>
            <w:shd w:val="clear" w:color="auto" w:fill="C6D9F1" w:themeFill="text2" w:themeFillTint="33"/>
          </w:tcPr>
          <w:p w:rsidR="007636B0" w:rsidRPr="00775D98" w:rsidRDefault="007636B0" w:rsidP="00B45DD6">
            <w:pPr>
              <w:spacing w:after="40"/>
              <w:jc w:val="center"/>
              <w:rPr>
                <w:b/>
                <w:szCs w:val="22"/>
              </w:rPr>
            </w:pPr>
            <w:r w:rsidRPr="00775D98">
              <w:rPr>
                <w:b/>
                <w:szCs w:val="22"/>
              </w:rPr>
              <w:t>Ingestion of Soil/Dust</w:t>
            </w:r>
          </w:p>
        </w:tc>
        <w:tc>
          <w:tcPr>
            <w:tcW w:w="1517" w:type="dxa"/>
            <w:shd w:val="clear" w:color="auto" w:fill="C6D9F1" w:themeFill="text2" w:themeFillTint="33"/>
          </w:tcPr>
          <w:p w:rsidR="007636B0" w:rsidRPr="00775D98" w:rsidRDefault="007636B0" w:rsidP="00B45DD6">
            <w:pPr>
              <w:spacing w:after="40"/>
              <w:jc w:val="center"/>
              <w:rPr>
                <w:b/>
                <w:szCs w:val="22"/>
              </w:rPr>
            </w:pPr>
            <w:r w:rsidRPr="00775D98">
              <w:rPr>
                <w:b/>
                <w:szCs w:val="22"/>
              </w:rPr>
              <w:t>Ingestion of Home-grown Produce</w:t>
            </w:r>
          </w:p>
        </w:tc>
        <w:tc>
          <w:tcPr>
            <w:tcW w:w="1553" w:type="dxa"/>
            <w:shd w:val="clear" w:color="auto" w:fill="C6D9F1" w:themeFill="text2" w:themeFillTint="33"/>
          </w:tcPr>
          <w:p w:rsidR="007636B0" w:rsidRPr="00775D98" w:rsidRDefault="007636B0" w:rsidP="00B45DD6">
            <w:pPr>
              <w:spacing w:after="40"/>
              <w:jc w:val="center"/>
              <w:rPr>
                <w:b/>
                <w:szCs w:val="22"/>
              </w:rPr>
            </w:pPr>
            <w:r w:rsidRPr="00775D98">
              <w:rPr>
                <w:b/>
                <w:szCs w:val="22"/>
              </w:rPr>
              <w:t>Dermal Absorption of Soil/Dust</w:t>
            </w:r>
          </w:p>
        </w:tc>
        <w:tc>
          <w:tcPr>
            <w:tcW w:w="1392" w:type="dxa"/>
            <w:shd w:val="clear" w:color="auto" w:fill="C6D9F1" w:themeFill="text2" w:themeFillTint="33"/>
          </w:tcPr>
          <w:p w:rsidR="007636B0" w:rsidRPr="00775D98" w:rsidRDefault="007636B0" w:rsidP="00B45DD6">
            <w:pPr>
              <w:spacing w:after="40"/>
              <w:jc w:val="center"/>
              <w:rPr>
                <w:b/>
                <w:szCs w:val="22"/>
              </w:rPr>
            </w:pPr>
            <w:r w:rsidRPr="00775D98">
              <w:rPr>
                <w:b/>
                <w:szCs w:val="22"/>
              </w:rPr>
              <w:t>Inhalation (dust)</w:t>
            </w:r>
          </w:p>
        </w:tc>
      </w:tr>
      <w:tr w:rsidR="007636B0" w:rsidRPr="00775D98" w:rsidTr="00B45DD6">
        <w:tc>
          <w:tcPr>
            <w:tcW w:w="1639" w:type="dxa"/>
          </w:tcPr>
          <w:p w:rsidR="007636B0" w:rsidRPr="00775D98" w:rsidRDefault="007636B0" w:rsidP="00B45DD6">
            <w:pPr>
              <w:spacing w:after="40"/>
              <w:rPr>
                <w:szCs w:val="22"/>
              </w:rPr>
            </w:pPr>
            <w:r w:rsidRPr="00775D98">
              <w:rPr>
                <w:szCs w:val="22"/>
              </w:rPr>
              <w:t>Residential A</w:t>
            </w:r>
          </w:p>
        </w:tc>
        <w:tc>
          <w:tcPr>
            <w:tcW w:w="1287" w:type="dxa"/>
            <w:tcMar>
              <w:right w:w="397" w:type="dxa"/>
            </w:tcMar>
          </w:tcPr>
          <w:p w:rsidR="007636B0" w:rsidRPr="00775D98" w:rsidRDefault="007636B0" w:rsidP="00B45DD6">
            <w:pPr>
              <w:spacing w:after="40"/>
              <w:jc w:val="right"/>
              <w:rPr>
                <w:szCs w:val="22"/>
              </w:rPr>
            </w:pPr>
            <w:r w:rsidRPr="00775D98">
              <w:rPr>
                <w:szCs w:val="22"/>
              </w:rPr>
              <w:t>900</w:t>
            </w:r>
          </w:p>
        </w:tc>
        <w:tc>
          <w:tcPr>
            <w:tcW w:w="1445" w:type="dxa"/>
          </w:tcPr>
          <w:p w:rsidR="007636B0" w:rsidRPr="00775D98" w:rsidRDefault="007636B0" w:rsidP="00B45DD6">
            <w:pPr>
              <w:spacing w:after="40"/>
              <w:jc w:val="center"/>
              <w:rPr>
                <w:szCs w:val="22"/>
              </w:rPr>
            </w:pPr>
            <w:r w:rsidRPr="00775D98">
              <w:rPr>
                <w:szCs w:val="22"/>
              </w:rPr>
              <w:t>59</w:t>
            </w:r>
          </w:p>
        </w:tc>
        <w:tc>
          <w:tcPr>
            <w:tcW w:w="1517" w:type="dxa"/>
          </w:tcPr>
          <w:p w:rsidR="007636B0" w:rsidRPr="00775D98" w:rsidRDefault="007636B0" w:rsidP="00B45DD6">
            <w:pPr>
              <w:spacing w:after="40"/>
              <w:jc w:val="center"/>
              <w:rPr>
                <w:szCs w:val="22"/>
              </w:rPr>
            </w:pPr>
            <w:r w:rsidRPr="00775D98">
              <w:rPr>
                <w:szCs w:val="22"/>
              </w:rPr>
              <w:t>--</w:t>
            </w:r>
          </w:p>
        </w:tc>
        <w:tc>
          <w:tcPr>
            <w:tcW w:w="1553" w:type="dxa"/>
          </w:tcPr>
          <w:p w:rsidR="007636B0" w:rsidRPr="00775D98" w:rsidRDefault="007636B0" w:rsidP="00B45DD6">
            <w:pPr>
              <w:spacing w:after="40"/>
              <w:jc w:val="center"/>
              <w:rPr>
                <w:szCs w:val="22"/>
              </w:rPr>
            </w:pPr>
            <w:r w:rsidRPr="00775D98">
              <w:rPr>
                <w:szCs w:val="22"/>
              </w:rPr>
              <w:t>41</w:t>
            </w:r>
          </w:p>
        </w:tc>
        <w:tc>
          <w:tcPr>
            <w:tcW w:w="1392" w:type="dxa"/>
          </w:tcPr>
          <w:p w:rsidR="007636B0" w:rsidRPr="00775D98" w:rsidRDefault="007636B0" w:rsidP="00B45DD6">
            <w:pPr>
              <w:spacing w:after="40"/>
              <w:jc w:val="center"/>
              <w:rPr>
                <w:szCs w:val="22"/>
              </w:rPr>
            </w:pPr>
            <w:r w:rsidRPr="00775D98">
              <w:rPr>
                <w:szCs w:val="22"/>
              </w:rPr>
              <w:t>&lt;1</w:t>
            </w:r>
          </w:p>
        </w:tc>
      </w:tr>
      <w:tr w:rsidR="007636B0" w:rsidRPr="00775D98" w:rsidTr="00B45DD6">
        <w:tc>
          <w:tcPr>
            <w:tcW w:w="1639" w:type="dxa"/>
          </w:tcPr>
          <w:p w:rsidR="007636B0" w:rsidRPr="00775D98" w:rsidRDefault="007636B0" w:rsidP="00B45DD6">
            <w:pPr>
              <w:spacing w:after="40"/>
              <w:rPr>
                <w:szCs w:val="22"/>
              </w:rPr>
            </w:pPr>
            <w:r w:rsidRPr="00775D98">
              <w:rPr>
                <w:szCs w:val="22"/>
              </w:rPr>
              <w:t>Residential B</w:t>
            </w:r>
          </w:p>
        </w:tc>
        <w:tc>
          <w:tcPr>
            <w:tcW w:w="1287" w:type="dxa"/>
            <w:tcMar>
              <w:right w:w="397" w:type="dxa"/>
            </w:tcMar>
          </w:tcPr>
          <w:p w:rsidR="007636B0" w:rsidRPr="00775D98" w:rsidRDefault="007636B0" w:rsidP="00B45DD6">
            <w:pPr>
              <w:spacing w:after="40"/>
              <w:jc w:val="right"/>
              <w:rPr>
                <w:szCs w:val="22"/>
              </w:rPr>
            </w:pPr>
            <w:r w:rsidRPr="00775D98">
              <w:rPr>
                <w:szCs w:val="22"/>
              </w:rPr>
              <w:t>1600</w:t>
            </w:r>
          </w:p>
        </w:tc>
        <w:tc>
          <w:tcPr>
            <w:tcW w:w="1445" w:type="dxa"/>
          </w:tcPr>
          <w:p w:rsidR="007636B0" w:rsidRPr="00775D98" w:rsidRDefault="007636B0" w:rsidP="00B45DD6">
            <w:pPr>
              <w:spacing w:after="40"/>
              <w:jc w:val="center"/>
              <w:rPr>
                <w:szCs w:val="22"/>
              </w:rPr>
            </w:pPr>
            <w:r w:rsidRPr="00775D98">
              <w:rPr>
                <w:szCs w:val="22"/>
              </w:rPr>
              <w:t>27</w:t>
            </w:r>
          </w:p>
        </w:tc>
        <w:tc>
          <w:tcPr>
            <w:tcW w:w="1517" w:type="dxa"/>
          </w:tcPr>
          <w:p w:rsidR="007636B0" w:rsidRPr="00775D98" w:rsidRDefault="007636B0" w:rsidP="00B45DD6">
            <w:pPr>
              <w:spacing w:after="40"/>
              <w:jc w:val="center"/>
              <w:rPr>
                <w:szCs w:val="22"/>
              </w:rPr>
            </w:pPr>
            <w:r w:rsidRPr="00775D98">
              <w:rPr>
                <w:szCs w:val="22"/>
              </w:rPr>
              <w:t>--</w:t>
            </w:r>
          </w:p>
        </w:tc>
        <w:tc>
          <w:tcPr>
            <w:tcW w:w="1553" w:type="dxa"/>
          </w:tcPr>
          <w:p w:rsidR="007636B0" w:rsidRPr="00775D98" w:rsidRDefault="007636B0" w:rsidP="00B45DD6">
            <w:pPr>
              <w:spacing w:after="40"/>
              <w:jc w:val="center"/>
              <w:rPr>
                <w:szCs w:val="22"/>
              </w:rPr>
            </w:pPr>
            <w:r w:rsidRPr="00775D98">
              <w:rPr>
                <w:szCs w:val="22"/>
              </w:rPr>
              <w:t>73</w:t>
            </w:r>
          </w:p>
        </w:tc>
        <w:tc>
          <w:tcPr>
            <w:tcW w:w="1392" w:type="dxa"/>
          </w:tcPr>
          <w:p w:rsidR="007636B0" w:rsidRPr="00775D98" w:rsidRDefault="007636B0" w:rsidP="00B45DD6">
            <w:pPr>
              <w:spacing w:after="40"/>
              <w:jc w:val="center"/>
              <w:rPr>
                <w:szCs w:val="22"/>
              </w:rPr>
            </w:pPr>
            <w:r w:rsidRPr="00775D98">
              <w:rPr>
                <w:szCs w:val="22"/>
              </w:rPr>
              <w:t>&lt;1</w:t>
            </w:r>
          </w:p>
        </w:tc>
      </w:tr>
      <w:tr w:rsidR="007636B0" w:rsidRPr="00775D98" w:rsidTr="00B45DD6">
        <w:tc>
          <w:tcPr>
            <w:tcW w:w="1639" w:type="dxa"/>
          </w:tcPr>
          <w:p w:rsidR="007636B0" w:rsidRPr="00775D98" w:rsidRDefault="007636B0" w:rsidP="00B45DD6">
            <w:pPr>
              <w:spacing w:after="40"/>
              <w:rPr>
                <w:szCs w:val="22"/>
              </w:rPr>
            </w:pPr>
            <w:r w:rsidRPr="00775D98">
              <w:rPr>
                <w:szCs w:val="22"/>
              </w:rPr>
              <w:t>Recreational C</w:t>
            </w:r>
          </w:p>
        </w:tc>
        <w:tc>
          <w:tcPr>
            <w:tcW w:w="1287" w:type="dxa"/>
            <w:tcMar>
              <w:right w:w="397" w:type="dxa"/>
            </w:tcMar>
          </w:tcPr>
          <w:p w:rsidR="007636B0" w:rsidRPr="00775D98" w:rsidRDefault="007636B0" w:rsidP="00B45DD6">
            <w:pPr>
              <w:spacing w:after="40"/>
              <w:jc w:val="right"/>
              <w:rPr>
                <w:szCs w:val="22"/>
              </w:rPr>
            </w:pPr>
            <w:r w:rsidRPr="00775D98">
              <w:rPr>
                <w:szCs w:val="22"/>
              </w:rPr>
              <w:t>1300</w:t>
            </w:r>
          </w:p>
        </w:tc>
        <w:tc>
          <w:tcPr>
            <w:tcW w:w="1445" w:type="dxa"/>
          </w:tcPr>
          <w:p w:rsidR="007636B0" w:rsidRPr="00775D98" w:rsidRDefault="007636B0" w:rsidP="00B45DD6">
            <w:pPr>
              <w:spacing w:after="40"/>
              <w:jc w:val="center"/>
              <w:rPr>
                <w:szCs w:val="22"/>
              </w:rPr>
            </w:pPr>
            <w:r w:rsidRPr="00775D98">
              <w:rPr>
                <w:szCs w:val="22"/>
              </w:rPr>
              <w:t>43</w:t>
            </w:r>
          </w:p>
        </w:tc>
        <w:tc>
          <w:tcPr>
            <w:tcW w:w="1517" w:type="dxa"/>
          </w:tcPr>
          <w:p w:rsidR="007636B0" w:rsidRPr="00775D98" w:rsidRDefault="007636B0" w:rsidP="00B45DD6">
            <w:pPr>
              <w:spacing w:after="40"/>
              <w:jc w:val="center"/>
              <w:rPr>
                <w:szCs w:val="22"/>
              </w:rPr>
            </w:pPr>
            <w:r w:rsidRPr="00775D98">
              <w:rPr>
                <w:szCs w:val="22"/>
              </w:rPr>
              <w:t>--</w:t>
            </w:r>
          </w:p>
        </w:tc>
        <w:tc>
          <w:tcPr>
            <w:tcW w:w="1553" w:type="dxa"/>
          </w:tcPr>
          <w:p w:rsidR="007636B0" w:rsidRPr="00775D98" w:rsidRDefault="007636B0" w:rsidP="00B45DD6">
            <w:pPr>
              <w:spacing w:after="40"/>
              <w:jc w:val="center"/>
              <w:rPr>
                <w:szCs w:val="22"/>
              </w:rPr>
            </w:pPr>
            <w:r w:rsidRPr="00775D98">
              <w:rPr>
                <w:szCs w:val="22"/>
              </w:rPr>
              <w:t>57</w:t>
            </w:r>
          </w:p>
        </w:tc>
        <w:tc>
          <w:tcPr>
            <w:tcW w:w="1392" w:type="dxa"/>
          </w:tcPr>
          <w:p w:rsidR="007636B0" w:rsidRPr="00775D98" w:rsidRDefault="007636B0" w:rsidP="00B45DD6">
            <w:pPr>
              <w:spacing w:after="40"/>
              <w:jc w:val="center"/>
              <w:rPr>
                <w:szCs w:val="22"/>
              </w:rPr>
            </w:pPr>
            <w:r w:rsidRPr="00775D98">
              <w:rPr>
                <w:szCs w:val="22"/>
              </w:rPr>
              <w:t>&lt;1</w:t>
            </w:r>
          </w:p>
        </w:tc>
      </w:tr>
      <w:tr w:rsidR="007636B0" w:rsidRPr="00775D98" w:rsidTr="00B45DD6">
        <w:tc>
          <w:tcPr>
            <w:tcW w:w="1639" w:type="dxa"/>
          </w:tcPr>
          <w:p w:rsidR="007636B0" w:rsidRPr="00775D98" w:rsidRDefault="007636B0" w:rsidP="00B45DD6">
            <w:pPr>
              <w:spacing w:after="40"/>
              <w:rPr>
                <w:szCs w:val="22"/>
              </w:rPr>
            </w:pPr>
            <w:r w:rsidRPr="00775D98">
              <w:rPr>
                <w:szCs w:val="22"/>
              </w:rPr>
              <w:t>Commercial D</w:t>
            </w:r>
          </w:p>
        </w:tc>
        <w:tc>
          <w:tcPr>
            <w:tcW w:w="1287" w:type="dxa"/>
            <w:tcMar>
              <w:right w:w="397" w:type="dxa"/>
            </w:tcMar>
          </w:tcPr>
          <w:p w:rsidR="007636B0" w:rsidRPr="00775D98" w:rsidRDefault="007636B0" w:rsidP="00B45DD6">
            <w:pPr>
              <w:spacing w:after="40"/>
              <w:jc w:val="right"/>
              <w:rPr>
                <w:szCs w:val="22"/>
              </w:rPr>
            </w:pPr>
            <w:r w:rsidRPr="00775D98">
              <w:rPr>
                <w:szCs w:val="22"/>
              </w:rPr>
              <w:t>9000</w:t>
            </w:r>
          </w:p>
        </w:tc>
        <w:tc>
          <w:tcPr>
            <w:tcW w:w="1445" w:type="dxa"/>
          </w:tcPr>
          <w:p w:rsidR="007636B0" w:rsidRPr="00775D98" w:rsidRDefault="007636B0" w:rsidP="00B45DD6">
            <w:pPr>
              <w:spacing w:after="40"/>
              <w:jc w:val="center"/>
              <w:rPr>
                <w:szCs w:val="22"/>
              </w:rPr>
            </w:pPr>
            <w:r w:rsidRPr="00775D98">
              <w:rPr>
                <w:szCs w:val="22"/>
              </w:rPr>
              <w:t>21</w:t>
            </w:r>
          </w:p>
        </w:tc>
        <w:tc>
          <w:tcPr>
            <w:tcW w:w="1517" w:type="dxa"/>
          </w:tcPr>
          <w:p w:rsidR="007636B0" w:rsidRPr="00775D98" w:rsidRDefault="007636B0" w:rsidP="00B45DD6">
            <w:pPr>
              <w:spacing w:after="40"/>
              <w:jc w:val="center"/>
              <w:rPr>
                <w:szCs w:val="22"/>
              </w:rPr>
            </w:pPr>
            <w:r w:rsidRPr="00775D98">
              <w:rPr>
                <w:szCs w:val="22"/>
              </w:rPr>
              <w:t>--</w:t>
            </w:r>
          </w:p>
        </w:tc>
        <w:tc>
          <w:tcPr>
            <w:tcW w:w="1553" w:type="dxa"/>
          </w:tcPr>
          <w:p w:rsidR="007636B0" w:rsidRPr="00775D98" w:rsidRDefault="007636B0" w:rsidP="00B45DD6">
            <w:pPr>
              <w:spacing w:after="40"/>
              <w:jc w:val="center"/>
              <w:rPr>
                <w:szCs w:val="22"/>
              </w:rPr>
            </w:pPr>
            <w:r w:rsidRPr="00775D98">
              <w:rPr>
                <w:szCs w:val="22"/>
              </w:rPr>
              <w:t>79</w:t>
            </w:r>
          </w:p>
        </w:tc>
        <w:tc>
          <w:tcPr>
            <w:tcW w:w="1392" w:type="dxa"/>
          </w:tcPr>
          <w:p w:rsidR="007636B0" w:rsidRPr="00775D98" w:rsidRDefault="007636B0" w:rsidP="00B45DD6">
            <w:pPr>
              <w:spacing w:after="40"/>
              <w:jc w:val="center"/>
              <w:rPr>
                <w:szCs w:val="22"/>
              </w:rPr>
            </w:pPr>
            <w:r w:rsidRPr="00775D98">
              <w:rPr>
                <w:szCs w:val="22"/>
              </w:rPr>
              <w:t>&lt;1</w:t>
            </w:r>
          </w:p>
        </w:tc>
      </w:tr>
    </w:tbl>
    <w:p w:rsidR="007636B0" w:rsidRPr="00775D98" w:rsidRDefault="007636B0" w:rsidP="007636B0">
      <w:pPr>
        <w:rPr>
          <w:sz w:val="18"/>
          <w:szCs w:val="18"/>
        </w:rPr>
      </w:pPr>
      <w:r w:rsidRPr="00775D98">
        <w:rPr>
          <w:sz w:val="18"/>
          <w:szCs w:val="18"/>
        </w:rPr>
        <w:t>-- Pathway not included in derivation of HIL</w:t>
      </w:r>
    </w:p>
    <w:p w:rsidR="007636B0" w:rsidRDefault="007636B0" w:rsidP="007636B0">
      <w:pPr>
        <w:pStyle w:val="Heading2"/>
        <w:tabs>
          <w:tab w:val="clear" w:pos="1209"/>
        </w:tabs>
      </w:pPr>
      <w:bookmarkStart w:id="30" w:name="_Toc351714270"/>
      <w:r>
        <w:t>References</w:t>
      </w:r>
      <w:bookmarkEnd w:id="30"/>
    </w:p>
    <w:p w:rsidR="007636B0" w:rsidRPr="00775D98" w:rsidRDefault="007636B0" w:rsidP="007636B0">
      <w:pPr>
        <w:pStyle w:val="StyletextLeft0cmHanging1cm"/>
      </w:pPr>
      <w:r w:rsidRPr="00775D98">
        <w:t>APVMA 2006, Preliminary Review Finding (Environment) Part 1: 2,4-D Esters. The Reconsideration of Approvals of the Active Constituents 2,4-D, Registrations of Products Containing 2,4-D and their Associated Labels, Australian Pesticides and Veterinary Medicines Authority, Canberra, Australia.</w:t>
      </w:r>
    </w:p>
    <w:p w:rsidR="007636B0" w:rsidRPr="00775D98" w:rsidRDefault="007636B0" w:rsidP="007636B0">
      <w:pPr>
        <w:pStyle w:val="StyletextLeft0cmHanging1cm"/>
      </w:pPr>
      <w:r w:rsidRPr="00775D98">
        <w:t>IARC 1987, Summaries and Evaluations, Chlorophenoxy herbicides, Supplement 7: (1987), p.256, International Agency for Research on Cancer.</w:t>
      </w:r>
    </w:p>
    <w:p w:rsidR="007636B0" w:rsidRPr="00775D98" w:rsidRDefault="007636B0" w:rsidP="007636B0">
      <w:pPr>
        <w:pStyle w:val="StyletextLeft0cmHanging1cm"/>
      </w:pPr>
      <w:r w:rsidRPr="00775D98">
        <w:t>Ibrahim ,MA, Bond, GG, Burke, TA, Cole, P, Dost, FN, Enterline, PE, Gough, M, Greenberg, RS, Halperin, WE, McConnell, E, Munro, IC, Swenberg, JA, Zahm, SH &amp; Graham, JD 1991, ‘Weight of the Evidence on the Human Carcinogenicity of 2,4-D’, Environmental Health Perspectives, vol. 96, pp. 213</w:t>
      </w:r>
      <w:r w:rsidRPr="00775D98">
        <w:sym w:font="Symbol" w:char="F02D"/>
      </w:r>
      <w:r w:rsidRPr="00775D98">
        <w:t>222.</w:t>
      </w:r>
    </w:p>
    <w:p w:rsidR="007636B0" w:rsidRPr="00775D98" w:rsidRDefault="007636B0" w:rsidP="007636B0">
      <w:pPr>
        <w:pStyle w:val="StyletextLeft0cmHanging1cm"/>
        <w:rPr>
          <w:lang w:eastAsia="en-US"/>
        </w:rPr>
      </w:pPr>
      <w:r w:rsidRPr="00775D98">
        <w:t xml:space="preserve">FAO/WHO (1997), Pesticide residues in food — 1996, Evaluations 1996, Part II — Toxicological, </w:t>
      </w:r>
      <w:r w:rsidRPr="00775D98">
        <w:rPr>
          <w:lang w:eastAsia="en-US"/>
        </w:rPr>
        <w:t>World Health Organization, International Programme on Chemical Safety, Joint FAO/WHO Meeting on Pesticide Residues (WHO/PCS/97.1), Geneva.</w:t>
      </w:r>
    </w:p>
    <w:p w:rsidR="007636B0" w:rsidRPr="00775D98" w:rsidRDefault="007636B0" w:rsidP="007636B0">
      <w:pPr>
        <w:pStyle w:val="StyletextLeft0cmHanging1cm"/>
        <w:rPr>
          <w:lang w:eastAsia="en-US"/>
        </w:rPr>
      </w:pPr>
      <w:r w:rsidRPr="00775D98">
        <w:rPr>
          <w:lang w:eastAsia="en-US"/>
        </w:rPr>
        <w:t>FSANZ 2011, The 23</w:t>
      </w:r>
      <w:r w:rsidRPr="00775D98">
        <w:rPr>
          <w:vertAlign w:val="superscript"/>
          <w:lang w:eastAsia="en-US"/>
        </w:rPr>
        <w:t>rd</w:t>
      </w:r>
      <w:r w:rsidRPr="00775D98">
        <w:rPr>
          <w:lang w:eastAsia="en-US"/>
        </w:rPr>
        <w:t xml:space="preserve"> Australian Total Diet Study, Food Standards Australia and New Zealand.</w:t>
      </w:r>
    </w:p>
    <w:p w:rsidR="007636B0" w:rsidRPr="00775D98" w:rsidRDefault="007636B0" w:rsidP="007636B0">
      <w:pPr>
        <w:pStyle w:val="StyletextLeft0cmHanging1cm"/>
      </w:pPr>
      <w:r w:rsidRPr="00775D98">
        <w:t>NEPC 1999, Schedule B (7a), Guideline on Health-Based Investigation Levels, National Environment Protection (Assessment of Site Contamination) Measure, National Environment Protection Council, Australia.</w:t>
      </w:r>
    </w:p>
    <w:p w:rsidR="007636B0" w:rsidRPr="00775D98" w:rsidRDefault="007636B0" w:rsidP="007636B0">
      <w:pPr>
        <w:pStyle w:val="StyletextLeft0cmHanging1cm"/>
        <w:rPr>
          <w:noProof/>
        </w:rPr>
      </w:pPr>
      <w:r w:rsidRPr="00775D98">
        <w:t>NHMRC 2011, National water quality management strategy, Australian drinking water guidelines, National Health and Medical Research Council, Australia</w:t>
      </w:r>
      <w:r w:rsidRPr="00775D98">
        <w:rPr>
          <w:noProof/>
        </w:rPr>
        <w:t>.</w:t>
      </w:r>
    </w:p>
    <w:p w:rsidR="007636B0" w:rsidRPr="00775D98" w:rsidRDefault="007636B0" w:rsidP="007636B0">
      <w:pPr>
        <w:pStyle w:val="StyletextLeft0cmHanging1cm"/>
        <w:rPr>
          <w:noProof/>
        </w:rPr>
      </w:pPr>
      <w:r w:rsidRPr="00775D98">
        <w:rPr>
          <w:noProof/>
        </w:rPr>
        <w:t xml:space="preserve">OCS 2012, ADI List, Acceptable Daily Intakes for Agricultural and Veterinary Chemicals, current to 31 March 2012, Australian Government, Department of Health and Ageing, Office of Chemical Safety (OCS), available from: </w:t>
      </w:r>
      <w:r w:rsidRPr="00775D98">
        <w:t>http://www.health.gov.au/internet/main/publishing.nsf/content/E8F4D2F95D616584CA2573D700770C2A/$File/ADI-apr12.pdf.</w:t>
      </w:r>
    </w:p>
    <w:p w:rsidR="007636B0" w:rsidRPr="00775D98" w:rsidRDefault="007636B0" w:rsidP="007636B0">
      <w:pPr>
        <w:pStyle w:val="StyletextLeft0cmHanging1cm"/>
      </w:pPr>
      <w:r w:rsidRPr="00775D98">
        <w:t>US EPA 2004, Risk Assessment Guidance for Superfund, Volume I: Human Health Evaluation Manual (Part E, Supplemental Guidance for Dermal Risk Assessment), Final, EPA/540/R/99/005, OSWER 9285.7-02EP, July 2004.</w:t>
      </w:r>
    </w:p>
    <w:p w:rsidR="007636B0" w:rsidRPr="00775D98" w:rsidRDefault="007636B0" w:rsidP="007636B0">
      <w:pPr>
        <w:pStyle w:val="StyletextLeft0cmHanging1cm"/>
      </w:pPr>
      <w:r w:rsidRPr="00775D98">
        <w:t xml:space="preserve">US EPA (IRIS 2012), data and information available from the Integrated Risk Information System, an online database, available from </w:t>
      </w:r>
      <w:hyperlink r:id="rId22" w:history="1">
        <w:r w:rsidRPr="00775D98">
          <w:rPr>
            <w:rStyle w:val="Hyperlink"/>
            <w:szCs w:val="22"/>
          </w:rPr>
          <w:t>http://www.epa.gov/iris/</w:t>
        </w:r>
      </w:hyperlink>
      <w:r w:rsidRPr="00775D98">
        <w:t>.</w:t>
      </w:r>
    </w:p>
    <w:p w:rsidR="007636B0" w:rsidRPr="00775D98" w:rsidRDefault="007636B0" w:rsidP="007636B0">
      <w:pPr>
        <w:pStyle w:val="StyletextLeft0cmHanging1cm"/>
      </w:pPr>
      <w:r w:rsidRPr="00775D98">
        <w:lastRenderedPageBreak/>
        <w:t>Wester, RC, Melendres, J, Logan, F, Hui, X, &amp; Maibach, HI 1996, ‘Percutaneous Absorption of 2,4-Dichlorophenoxyacetic Acid from Soil with Respect to the Soil Load and Skin Contact Time: In-vivo Absorption in Rhesus Monkey and in Vitro Absorption in Human Skin’, J. Toxicol. Environ. Health, vol.</w:t>
      </w:r>
      <w:r w:rsidRPr="00775D98">
        <w:rPr>
          <w:rFonts w:ascii="IIHGN H+ Times" w:hAnsi="IIHGN H+ Times" w:cs="IIHGN H+ Times"/>
        </w:rPr>
        <w:t xml:space="preserve"> </w:t>
      </w:r>
      <w:r w:rsidRPr="00775D98">
        <w:t>47, pp. 335</w:t>
      </w:r>
      <w:r w:rsidRPr="00775D98">
        <w:sym w:font="Symbol" w:char="F02D"/>
      </w:r>
      <w:r w:rsidRPr="00775D98">
        <w:t>344.</w:t>
      </w:r>
    </w:p>
    <w:p w:rsidR="007636B0" w:rsidRPr="00775D98" w:rsidRDefault="007636B0" w:rsidP="007636B0">
      <w:pPr>
        <w:pStyle w:val="StyletextLeft0cmHanging1cm"/>
      </w:pPr>
      <w:r w:rsidRPr="00775D98">
        <w:t>WHO 1984, Environmental Health Criteria No 29 2,4- Dichlorophenoxy Acetic Acid (2,4-D), World Health Organization, Geneva.</w:t>
      </w:r>
    </w:p>
    <w:p w:rsidR="007636B0" w:rsidRPr="00775D98" w:rsidRDefault="007636B0" w:rsidP="007636B0">
      <w:pPr>
        <w:pStyle w:val="StyletextLeft0cmHanging1cm"/>
      </w:pPr>
      <w:r w:rsidRPr="00775D98">
        <w:t>WHO 1987, Health and Safety Guide No. 5, 2,4-Dichlorophenoxyacetic (2,4-D), IPCS International Programme on Chemical Safety.</w:t>
      </w:r>
    </w:p>
    <w:p w:rsidR="007636B0" w:rsidRPr="00775D98" w:rsidRDefault="007636B0" w:rsidP="007636B0">
      <w:pPr>
        <w:pStyle w:val="StyletextLeft0cmHanging1cm"/>
      </w:pPr>
      <w:r w:rsidRPr="00775D98">
        <w:t>WHO 2011, Guidelines for drinking-water quality, 4</w:t>
      </w:r>
      <w:r w:rsidRPr="00775D98">
        <w:rPr>
          <w:vertAlign w:val="superscript"/>
        </w:rPr>
        <w:t>th</w:t>
      </w:r>
      <w:r w:rsidRPr="00775D98">
        <w:t xml:space="preserve"> edn, World Health Organization, Geneva</w:t>
      </w:r>
      <w:r>
        <w:t>,</w:t>
      </w:r>
      <w:r w:rsidRPr="00775D98">
        <w:t xml:space="preserve"> available from </w:t>
      </w:r>
      <w:hyperlink r:id="rId23" w:history="1">
        <w:r w:rsidRPr="00775D98">
          <w:rPr>
            <w:rStyle w:val="Hyperlink"/>
            <w:szCs w:val="22"/>
          </w:rPr>
          <w:t>http://www.who.int/water_sanitation_health/dwq/chemicals/en/index.html</w:t>
        </w:r>
      </w:hyperlink>
      <w:r w:rsidRPr="00775D98">
        <w:t>.</w:t>
      </w:r>
    </w:p>
    <w:p w:rsidR="007636B0" w:rsidRDefault="007636B0" w:rsidP="007636B0"/>
    <w:p w:rsidR="007636B0" w:rsidRPr="002F14A0" w:rsidRDefault="007636B0" w:rsidP="007636B0">
      <w:pPr>
        <w:rPr>
          <w:rFonts w:ascii="Courier New" w:hAnsi="Courier New" w:cs="Courier New"/>
        </w:rPr>
      </w:pPr>
      <w:r>
        <w:rPr>
          <w:rFonts w:ascii="Courier New" w:hAnsi="Courier New" w:cs="Courier New"/>
        </w:rPr>
        <w:t xml:space="preserve">  </w:t>
      </w:r>
    </w:p>
    <w:p w:rsidR="007636B0" w:rsidRDefault="007636B0" w:rsidP="007636B0">
      <w:pPr>
        <w:pStyle w:val="Heading1"/>
        <w:tabs>
          <w:tab w:val="clear" w:pos="1209"/>
          <w:tab w:val="num" w:pos="720"/>
        </w:tabs>
      </w:pPr>
      <w:bookmarkStart w:id="31" w:name="_Toc351714271"/>
      <w:r>
        <w:lastRenderedPageBreak/>
        <w:t>MCPA, MCPB and Mecoprop</w:t>
      </w:r>
      <w:bookmarkEnd w:id="31"/>
    </w:p>
    <w:p w:rsidR="007636B0" w:rsidRDefault="007636B0" w:rsidP="007636B0">
      <w:pPr>
        <w:pStyle w:val="Heading2"/>
        <w:tabs>
          <w:tab w:val="clear" w:pos="1209"/>
        </w:tabs>
      </w:pPr>
      <w:bookmarkStart w:id="32" w:name="_Toc351714272"/>
      <w:r>
        <w:t>General</w:t>
      </w:r>
      <w:bookmarkEnd w:id="32"/>
    </w:p>
    <w:p w:rsidR="007636B0" w:rsidRDefault="007636B0" w:rsidP="007636B0">
      <w:r w:rsidRPr="0008608D">
        <w:t>The</w:t>
      </w:r>
      <w:r>
        <w:t xml:space="preserve"> following information on</w:t>
      </w:r>
      <w:r w:rsidRPr="0008608D">
        <w:t xml:space="preserve"> MCPA (4-chloro-2-methylphenoxyacetic acid), MCPB (4-(2-methyl-4-chlorophenoxy)butyric acid) and mecoprop (also referenced as MCPP) are grouped together as they are structurally similar chlorophenoxy herbicides. </w:t>
      </w:r>
    </w:p>
    <w:p w:rsidR="0021528E" w:rsidRDefault="0021528E" w:rsidP="007636B0"/>
    <w:p w:rsidR="007636B0" w:rsidRDefault="007636B0" w:rsidP="007636B0">
      <w:r>
        <w:t>While limited data is available, reviews of these compounds in the environment and their toxicity to humans are available and should be consulted for more detailed information not presented in this summary (WHO 2011; HSDB 2010). The following provides a summary of the key aspects of these compounds that are relevant to the derivation of a soil HIL.</w:t>
      </w:r>
    </w:p>
    <w:p w:rsidR="0021528E" w:rsidRDefault="0021528E" w:rsidP="007636B0"/>
    <w:p w:rsidR="007636B0" w:rsidRPr="0008608D" w:rsidRDefault="007636B0" w:rsidP="007636B0">
      <w:r w:rsidRPr="0008608D">
        <w:t>In their pure form the three compounds are white crystalline solids</w:t>
      </w:r>
      <w:r>
        <w:t>,</w:t>
      </w:r>
      <w:r w:rsidRPr="0008608D">
        <w:t xml:space="preserve"> </w:t>
      </w:r>
      <w:r>
        <w:t>though</w:t>
      </w:r>
      <w:r w:rsidRPr="0008608D">
        <w:t xml:space="preserve"> technical grade products can be white to light brow</w:t>
      </w:r>
      <w:r>
        <w:t>n crystal powders or liquids</w:t>
      </w:r>
      <w:r w:rsidRPr="0008608D">
        <w:t>. The compounds are often formulated as salts (e.g. potassium or</w:t>
      </w:r>
      <w:r>
        <w:t xml:space="preserve"> </w:t>
      </w:r>
      <w:r w:rsidRPr="0008608D">
        <w:t>diethylamine salts) or esters (e.g. iso</w:t>
      </w:r>
      <w:r>
        <w:t>-</w:t>
      </w:r>
      <w:r w:rsidRPr="0008608D">
        <w:t>octyl esters).</w:t>
      </w:r>
      <w:r>
        <w:t xml:space="preserve"> </w:t>
      </w:r>
      <w:r w:rsidRPr="0008608D">
        <w:t>The three compounds are the active ingredients in post emergence herbicides used to control annual and perennial weeds in agricultural, commercial/industrial and domestic environments. In Australia all three compounds are registered for agricultural application on wheat, barley, oats, sorghum, rice, linseed, peas, grass pastures, turf, clover, corn/maize and oilseed poppies</w:t>
      </w:r>
      <w:r>
        <w:t>, and for</w:t>
      </w:r>
      <w:r w:rsidRPr="0008608D">
        <w:t xml:space="preserve"> the home garden to contr</w:t>
      </w:r>
      <w:r>
        <w:t>ol broadleaf weeds (WHO 2011)</w:t>
      </w:r>
      <w:r w:rsidRPr="0008608D">
        <w:t>.</w:t>
      </w:r>
    </w:p>
    <w:p w:rsidR="007636B0" w:rsidRDefault="007636B0" w:rsidP="007636B0">
      <w:pPr>
        <w:pStyle w:val="Heading2"/>
        <w:tabs>
          <w:tab w:val="clear" w:pos="1209"/>
        </w:tabs>
      </w:pPr>
      <w:bookmarkStart w:id="33" w:name="_Toc351714273"/>
      <w:r>
        <w:t>Previous HIL</w:t>
      </w:r>
      <w:bookmarkEnd w:id="33"/>
    </w:p>
    <w:p w:rsidR="007636B0" w:rsidRDefault="007636B0" w:rsidP="007636B0">
      <w:r>
        <w:t>No previous HIL is available for MCPA, MCPB or mecoprop (NEPC 1999).</w:t>
      </w:r>
    </w:p>
    <w:p w:rsidR="007636B0" w:rsidRDefault="007636B0" w:rsidP="007636B0">
      <w:pPr>
        <w:pStyle w:val="Heading2"/>
        <w:tabs>
          <w:tab w:val="clear" w:pos="1209"/>
        </w:tabs>
      </w:pPr>
      <w:bookmarkStart w:id="34" w:name="_Toc351714274"/>
      <w:r>
        <w:t>Significance of Exposure Pathways</w:t>
      </w:r>
      <w:bookmarkEnd w:id="34"/>
    </w:p>
    <w:p w:rsidR="007636B0" w:rsidRPr="00E00A6A" w:rsidRDefault="007636B0" w:rsidP="007636B0">
      <w:pPr>
        <w:pStyle w:val="Heading3"/>
      </w:pPr>
      <w:bookmarkStart w:id="35" w:name="_Toc351714275"/>
      <w:r>
        <w:t xml:space="preserve">Oral </w:t>
      </w:r>
      <w:r w:rsidRPr="00E00A6A">
        <w:t>Bioavailability</w:t>
      </w:r>
      <w:bookmarkEnd w:id="35"/>
    </w:p>
    <w:p w:rsidR="007636B0" w:rsidRDefault="007636B0" w:rsidP="007636B0">
      <w:r>
        <w:t>Insufficient data is available to adequately define the bioavailability of MCPA, MCPB or mecoprop, hence a default approach of assuming 100% oral bioavailability has been adopted in the derivation of an HIL. It is noted that a site-specific assessment of bioavailability can be undertaken where required.</w:t>
      </w:r>
    </w:p>
    <w:p w:rsidR="007636B0" w:rsidRPr="002D7B71" w:rsidRDefault="007636B0" w:rsidP="007636B0">
      <w:pPr>
        <w:pStyle w:val="Heading3"/>
      </w:pPr>
      <w:bookmarkStart w:id="36" w:name="_Toc351714276"/>
      <w:r w:rsidRPr="002D7B71">
        <w:t>Dermal absorption</w:t>
      </w:r>
      <w:bookmarkEnd w:id="36"/>
    </w:p>
    <w:p w:rsidR="007636B0" w:rsidRDefault="007636B0" w:rsidP="007636B0">
      <w:r>
        <w:t>Insufficient data is available on the dermal absorption of MCPA, MCPB or mecoprop from soil. Hence the default value of 0.1 (10%) suggested by US EPA (1995) for pesticides has been adopted in the derivation of HILs.</w:t>
      </w:r>
    </w:p>
    <w:p w:rsidR="007636B0" w:rsidRPr="009338FB" w:rsidRDefault="007636B0" w:rsidP="007636B0">
      <w:pPr>
        <w:pStyle w:val="Heading3"/>
      </w:pPr>
      <w:bookmarkStart w:id="37" w:name="_Toc351714277"/>
      <w:r w:rsidRPr="009338FB">
        <w:t>Inhalation of Dust</w:t>
      </w:r>
      <w:bookmarkEnd w:id="37"/>
    </w:p>
    <w:p w:rsidR="007636B0" w:rsidRDefault="007636B0" w:rsidP="007636B0">
      <w:r>
        <w:t>MCPA, MCPB and mecoprop are not considered sufficiently volatile to be of significance and inhalation exposures associated with particulates outdoors and indoors are expected to be of less significance than ingestion of soil. While likely to be negligible, potential inhalation exposures associated with dust have been considered in the HIL derived.</w:t>
      </w:r>
    </w:p>
    <w:p w:rsidR="007636B0" w:rsidRPr="009338FB" w:rsidRDefault="007636B0" w:rsidP="007636B0">
      <w:pPr>
        <w:pStyle w:val="Heading3"/>
      </w:pPr>
      <w:bookmarkStart w:id="38" w:name="_Toc351714278"/>
      <w:r w:rsidRPr="009338FB">
        <w:t>Plant Uptake</w:t>
      </w:r>
      <w:bookmarkEnd w:id="38"/>
    </w:p>
    <w:p w:rsidR="007636B0" w:rsidRDefault="007636B0" w:rsidP="007636B0">
      <w:r>
        <w:t xml:space="preserve">Most </w:t>
      </w:r>
      <w:r w:rsidRPr="00A35E24">
        <w:rPr>
          <w:rFonts w:cs="Arial"/>
        </w:rPr>
        <w:t>chlorophenoxy herbicide</w:t>
      </w:r>
      <w:r>
        <w:t>s are toxic to plants and, as such, will be phytotoxic to almost all broadleaf crops including tomatoes, grapes and fruit trees well before plant uptake into edible portions of fruit and vegetable crops is of significance. Hence the uptake of these compounds into home-grown produce has not been considered in the derivation of HIL A.</w:t>
      </w:r>
    </w:p>
    <w:p w:rsidR="0021528E" w:rsidRDefault="0021528E" w:rsidP="007636B0"/>
    <w:p w:rsidR="007636B0" w:rsidRDefault="007636B0" w:rsidP="007636B0">
      <w:r>
        <w:t>Note that the phytotoxic effects of these compounds may need to be addressed on a site-specific basis if detected in soil.</w:t>
      </w:r>
    </w:p>
    <w:p w:rsidR="007636B0" w:rsidRPr="0089652E" w:rsidRDefault="007636B0" w:rsidP="007636B0">
      <w:pPr>
        <w:pStyle w:val="Heading3"/>
      </w:pPr>
      <w:bookmarkStart w:id="39" w:name="_Toc351714279"/>
      <w:r w:rsidRPr="0089652E">
        <w:lastRenderedPageBreak/>
        <w:t xml:space="preserve">Intakes from Other Sources </w:t>
      </w:r>
      <w:r>
        <w:t>–</w:t>
      </w:r>
      <w:r w:rsidRPr="0089652E">
        <w:t xml:space="preserve"> Background</w:t>
      </w:r>
      <w:bookmarkEnd w:id="39"/>
    </w:p>
    <w:p w:rsidR="007636B0" w:rsidRDefault="007636B0" w:rsidP="007636B0">
      <w:r>
        <w:t>Limited data is available for the assessment of background intakes of MCPA, MCPB and mecoprop. These compounds are currently registered for use in Australia (while some areas are only allowed controlled use of MCPA) and they are generally not considered persistent in the environment. The compounds are not included in the Australian Total Diet Surveys (FSANZ 2003; FSANZ 2011) and there is no data regarding concentrations in drinking water or air in Australia. Away from areas where these herbicides are used, exposure by the general public is expected to be low. In the USA, MCPA was detected up to 0.54 µg/L in surface waters and up to 5.5 µg/L in groundwater (WHO 2011). Background intakes may be similar to those considered for 2,4-D, which is essentially negligible (where these products are not used).</w:t>
      </w:r>
    </w:p>
    <w:p w:rsidR="007636B0" w:rsidRDefault="007636B0" w:rsidP="007636B0">
      <w:pPr>
        <w:pStyle w:val="Heading2"/>
        <w:tabs>
          <w:tab w:val="clear" w:pos="1209"/>
        </w:tabs>
      </w:pPr>
      <w:bookmarkStart w:id="40" w:name="_Toc351714280"/>
      <w:r>
        <w:t>Identification of Toxicity Reference Values</w:t>
      </w:r>
      <w:bookmarkEnd w:id="40"/>
    </w:p>
    <w:p w:rsidR="007636B0" w:rsidRPr="00983A79" w:rsidRDefault="007636B0" w:rsidP="007636B0">
      <w:pPr>
        <w:pStyle w:val="Heading3"/>
      </w:pPr>
      <w:bookmarkStart w:id="41" w:name="_Toc351714281"/>
      <w:r w:rsidRPr="00983A79">
        <w:t>Classification</w:t>
      </w:r>
      <w:bookmarkEnd w:id="41"/>
    </w:p>
    <w:p w:rsidR="007636B0" w:rsidRDefault="007636B0" w:rsidP="007636B0">
      <w:pPr>
        <w:rPr>
          <w:rFonts w:cs="Arial"/>
        </w:rPr>
      </w:pPr>
      <w:r w:rsidRPr="00C259C1">
        <w:t>The International Agency for Research on Cancer (IARC</w:t>
      </w:r>
      <w:r>
        <w:t xml:space="preserve"> 1987) has classified </w:t>
      </w:r>
      <w:r w:rsidRPr="00A35E24">
        <w:rPr>
          <w:rFonts w:cs="Arial"/>
        </w:rPr>
        <w:t>chlor</w:t>
      </w:r>
      <w:r>
        <w:rPr>
          <w:rFonts w:cs="Arial"/>
        </w:rPr>
        <w:t xml:space="preserve">ophenoxy herbicides as Group 2B—possibly carcinogenic to humans. Information provided in the IARC evaluation relates more specifically to </w:t>
      </w:r>
      <w:r w:rsidRPr="0008608D">
        <w:rPr>
          <w:rFonts w:cs="Arial"/>
        </w:rPr>
        <w:t xml:space="preserve">MCPA and </w:t>
      </w:r>
      <w:r>
        <w:rPr>
          <w:rFonts w:cs="Arial"/>
        </w:rPr>
        <w:t xml:space="preserve">mecoprop. </w:t>
      </w:r>
      <w:r w:rsidRPr="0008608D">
        <w:rPr>
          <w:rFonts w:cs="Arial"/>
        </w:rPr>
        <w:t>No evaluation is available for MCPB</w:t>
      </w:r>
      <w:r>
        <w:rPr>
          <w:rFonts w:cs="Arial"/>
        </w:rPr>
        <w:t>.</w:t>
      </w:r>
    </w:p>
    <w:p w:rsidR="0021528E" w:rsidRDefault="0021528E" w:rsidP="007636B0">
      <w:pPr>
        <w:rPr>
          <w:rFonts w:cs="Arial"/>
        </w:rPr>
      </w:pPr>
    </w:p>
    <w:p w:rsidR="007636B0" w:rsidRDefault="007636B0" w:rsidP="007636B0">
      <w:pPr>
        <w:rPr>
          <w:rFonts w:cs="Arial"/>
        </w:rPr>
      </w:pPr>
      <w:r>
        <w:rPr>
          <w:rFonts w:cs="Arial"/>
        </w:rPr>
        <w:t xml:space="preserve">US EPA has not classified </w:t>
      </w:r>
      <w:r>
        <w:t>MCPA, MCPB or mecoprop</w:t>
      </w:r>
      <w:r>
        <w:rPr>
          <w:rFonts w:cs="Arial"/>
        </w:rPr>
        <w:t>.</w:t>
      </w:r>
    </w:p>
    <w:p w:rsidR="007636B0" w:rsidRPr="00907E92" w:rsidRDefault="007636B0" w:rsidP="007636B0">
      <w:pPr>
        <w:pStyle w:val="Heading3"/>
      </w:pPr>
      <w:bookmarkStart w:id="42" w:name="_Toc351714282"/>
      <w:r w:rsidRPr="00907E92">
        <w:t>Review of Available Values</w:t>
      </w:r>
      <w:r>
        <w:t>/Information</w:t>
      </w:r>
      <w:bookmarkEnd w:id="42"/>
    </w:p>
    <w:p w:rsidR="007636B0" w:rsidRDefault="007636B0" w:rsidP="007636B0">
      <w:r>
        <w:t>There is limited information on the assessment of carcinogenicity and genotoxicity for these compounds. WHO (2011) notes that recent studies on rats and mice do not indicate that MCPA was carcinogenic and there is only limited and inconclusive data on the genotoxicity of MCPA. Limited studies available on MCPB and mecoprop were negative with respect to genotoxicity. On the basis of the available information, it is considered appropriate that a threshold dose</w:t>
      </w:r>
      <w:r>
        <w:sym w:font="Symbol" w:char="F02D"/>
      </w:r>
      <w:r>
        <w:t>response approach be adopted for these herbicides. The following are available from Level 1 Australian and International sources:</w:t>
      </w:r>
    </w:p>
    <w:p w:rsidR="007636B0" w:rsidRPr="00D33179" w:rsidRDefault="007636B0" w:rsidP="007636B0">
      <w:pPr>
        <w:pStyle w:val="Heading4"/>
      </w:pPr>
      <w:bookmarkStart w:id="43" w:name="_Toc351714283"/>
      <w:r w:rsidRPr="00D33179">
        <w:t>MCPA</w:t>
      </w:r>
      <w:bookmarkEnd w:id="43"/>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0"/>
        <w:gridCol w:w="1717"/>
        <w:gridCol w:w="5776"/>
      </w:tblGrid>
      <w:tr w:rsidR="007636B0" w:rsidRPr="00775D98" w:rsidTr="00B45DD6">
        <w:trPr>
          <w:tblHeader/>
        </w:trPr>
        <w:tc>
          <w:tcPr>
            <w:tcW w:w="1340" w:type="dxa"/>
            <w:shd w:val="clear" w:color="auto" w:fill="C6D9F1" w:themeFill="text2" w:themeFillTint="33"/>
          </w:tcPr>
          <w:p w:rsidR="007636B0" w:rsidRPr="00775D98" w:rsidRDefault="007636B0" w:rsidP="00B45DD6">
            <w:pPr>
              <w:spacing w:before="20"/>
              <w:jc w:val="center"/>
              <w:rPr>
                <w:b/>
                <w:szCs w:val="22"/>
              </w:rPr>
            </w:pPr>
            <w:r w:rsidRPr="00775D98">
              <w:rPr>
                <w:b/>
                <w:szCs w:val="22"/>
              </w:rPr>
              <w:t>Source</w:t>
            </w:r>
          </w:p>
        </w:tc>
        <w:tc>
          <w:tcPr>
            <w:tcW w:w="1717" w:type="dxa"/>
            <w:shd w:val="clear" w:color="auto" w:fill="C6D9F1" w:themeFill="text2" w:themeFillTint="33"/>
          </w:tcPr>
          <w:p w:rsidR="007636B0" w:rsidRPr="00775D98" w:rsidRDefault="007636B0" w:rsidP="00B45DD6">
            <w:pPr>
              <w:spacing w:before="20"/>
              <w:jc w:val="center"/>
              <w:rPr>
                <w:b/>
                <w:szCs w:val="22"/>
              </w:rPr>
            </w:pPr>
            <w:r w:rsidRPr="00775D98">
              <w:rPr>
                <w:b/>
                <w:szCs w:val="22"/>
              </w:rPr>
              <w:t>Value</w:t>
            </w:r>
          </w:p>
        </w:tc>
        <w:tc>
          <w:tcPr>
            <w:tcW w:w="5776" w:type="dxa"/>
            <w:shd w:val="clear" w:color="auto" w:fill="C6D9F1" w:themeFill="text2" w:themeFillTint="33"/>
          </w:tcPr>
          <w:p w:rsidR="007636B0" w:rsidRPr="00775D98" w:rsidRDefault="007636B0" w:rsidP="00B45DD6">
            <w:pPr>
              <w:spacing w:before="20"/>
              <w:jc w:val="center"/>
              <w:rPr>
                <w:b/>
                <w:szCs w:val="22"/>
              </w:rPr>
            </w:pPr>
            <w:r w:rsidRPr="00775D98">
              <w:rPr>
                <w:b/>
                <w:szCs w:val="22"/>
              </w:rPr>
              <w:t>Basis/Comments</w:t>
            </w:r>
          </w:p>
        </w:tc>
      </w:tr>
      <w:tr w:rsidR="007636B0" w:rsidRPr="00775D98" w:rsidTr="00B45DD6">
        <w:tc>
          <w:tcPr>
            <w:tcW w:w="8833" w:type="dxa"/>
            <w:gridSpan w:val="3"/>
          </w:tcPr>
          <w:p w:rsidR="007636B0" w:rsidRPr="00775D98" w:rsidRDefault="007636B0" w:rsidP="00B45DD6">
            <w:pPr>
              <w:spacing w:before="20"/>
              <w:jc w:val="center"/>
              <w:rPr>
                <w:b/>
                <w:szCs w:val="22"/>
              </w:rPr>
            </w:pPr>
            <w:r w:rsidRPr="00775D98">
              <w:rPr>
                <w:b/>
                <w:szCs w:val="22"/>
              </w:rPr>
              <w:t>Australian</w:t>
            </w:r>
          </w:p>
        </w:tc>
      </w:tr>
      <w:tr w:rsidR="007636B0" w:rsidRPr="00775D98" w:rsidTr="00B45DD6">
        <w:tc>
          <w:tcPr>
            <w:tcW w:w="1340" w:type="dxa"/>
          </w:tcPr>
          <w:p w:rsidR="007636B0" w:rsidRPr="00775D98" w:rsidRDefault="007636B0" w:rsidP="00B45DD6">
            <w:pPr>
              <w:spacing w:before="20"/>
              <w:rPr>
                <w:szCs w:val="22"/>
              </w:rPr>
            </w:pPr>
            <w:r w:rsidRPr="00775D98">
              <w:rPr>
                <w:szCs w:val="22"/>
              </w:rPr>
              <w:t>ADWG (NHMRC 2011)</w:t>
            </w:r>
          </w:p>
        </w:tc>
        <w:tc>
          <w:tcPr>
            <w:tcW w:w="1717" w:type="dxa"/>
          </w:tcPr>
          <w:p w:rsidR="007636B0" w:rsidRPr="00775D98" w:rsidRDefault="007636B0" w:rsidP="00B45DD6">
            <w:pPr>
              <w:spacing w:before="20"/>
              <w:rPr>
                <w:szCs w:val="22"/>
              </w:rPr>
            </w:pPr>
            <w:r w:rsidRPr="00775D98">
              <w:rPr>
                <w:szCs w:val="22"/>
              </w:rPr>
              <w:t>TDI = 0.011 mg/kg/day</w:t>
            </w:r>
          </w:p>
        </w:tc>
        <w:tc>
          <w:tcPr>
            <w:tcW w:w="5776" w:type="dxa"/>
          </w:tcPr>
          <w:p w:rsidR="007636B0" w:rsidRPr="00C64237" w:rsidRDefault="007636B0" w:rsidP="00B45DD6">
            <w:pPr>
              <w:spacing w:before="20"/>
              <w:rPr>
                <w:szCs w:val="22"/>
              </w:rPr>
            </w:pPr>
            <w:r w:rsidRPr="00C64237">
              <w:rPr>
                <w:szCs w:val="22"/>
              </w:rPr>
              <w:t>MCPA has been assessed with a health-based guideline of 0.04 mg/L based on a TDI of 0.011 mg/kg/day based on a NOEL of 1.1 mg/kg/day from a 2-year study in rats, and an uncertainty factor of 100</w:t>
            </w:r>
          </w:p>
        </w:tc>
      </w:tr>
      <w:tr w:rsidR="007636B0" w:rsidRPr="00775D98" w:rsidTr="00B45DD6">
        <w:tc>
          <w:tcPr>
            <w:tcW w:w="1340" w:type="dxa"/>
          </w:tcPr>
          <w:p w:rsidR="007636B0" w:rsidRPr="00775D98" w:rsidRDefault="007636B0" w:rsidP="00B45DD6">
            <w:pPr>
              <w:spacing w:before="20"/>
              <w:rPr>
                <w:szCs w:val="22"/>
              </w:rPr>
            </w:pPr>
            <w:r w:rsidRPr="00775D98">
              <w:rPr>
                <w:szCs w:val="22"/>
              </w:rPr>
              <w:t>OCS (2012)</w:t>
            </w:r>
          </w:p>
        </w:tc>
        <w:tc>
          <w:tcPr>
            <w:tcW w:w="1717" w:type="dxa"/>
          </w:tcPr>
          <w:p w:rsidR="007636B0" w:rsidRPr="00775D98" w:rsidRDefault="007636B0" w:rsidP="00B45DD6">
            <w:pPr>
              <w:spacing w:before="20"/>
              <w:rPr>
                <w:szCs w:val="22"/>
              </w:rPr>
            </w:pPr>
            <w:r w:rsidRPr="00775D98">
              <w:rPr>
                <w:szCs w:val="22"/>
              </w:rPr>
              <w:t>ADI = 0.01 mg/kg/day</w:t>
            </w:r>
          </w:p>
        </w:tc>
        <w:tc>
          <w:tcPr>
            <w:tcW w:w="5776" w:type="dxa"/>
          </w:tcPr>
          <w:p w:rsidR="007636B0" w:rsidRPr="00C64237" w:rsidRDefault="007636B0" w:rsidP="00B45DD6">
            <w:pPr>
              <w:spacing w:before="20"/>
              <w:rPr>
                <w:szCs w:val="22"/>
              </w:rPr>
            </w:pPr>
            <w:r w:rsidRPr="00C64237">
              <w:rPr>
                <w:szCs w:val="22"/>
              </w:rPr>
              <w:t>The ADI is noted to have been set in April 1994 and is based on a NOEL of 1.1 mg/kg/day (as considered in the ADWG (NHMRC 2011)).</w:t>
            </w:r>
          </w:p>
        </w:tc>
      </w:tr>
      <w:tr w:rsidR="007636B0" w:rsidRPr="00775D98" w:rsidTr="00B45DD6">
        <w:tc>
          <w:tcPr>
            <w:tcW w:w="8833" w:type="dxa"/>
            <w:gridSpan w:val="3"/>
          </w:tcPr>
          <w:p w:rsidR="007636B0" w:rsidRPr="00C64237" w:rsidRDefault="007636B0" w:rsidP="00B45DD6">
            <w:pPr>
              <w:spacing w:before="20"/>
              <w:jc w:val="center"/>
              <w:rPr>
                <w:b/>
                <w:szCs w:val="22"/>
              </w:rPr>
            </w:pPr>
            <w:r w:rsidRPr="00C64237">
              <w:rPr>
                <w:b/>
                <w:szCs w:val="22"/>
              </w:rPr>
              <w:t>International</w:t>
            </w:r>
          </w:p>
        </w:tc>
      </w:tr>
      <w:tr w:rsidR="007636B0" w:rsidRPr="00775D98" w:rsidTr="00B45DD6">
        <w:tc>
          <w:tcPr>
            <w:tcW w:w="1340" w:type="dxa"/>
          </w:tcPr>
          <w:p w:rsidR="007636B0" w:rsidRPr="00775D98" w:rsidRDefault="007636B0" w:rsidP="00B45DD6">
            <w:pPr>
              <w:spacing w:before="20"/>
              <w:rPr>
                <w:szCs w:val="22"/>
              </w:rPr>
            </w:pPr>
            <w:r w:rsidRPr="00775D98">
              <w:rPr>
                <w:szCs w:val="22"/>
              </w:rPr>
              <w:t>WHO (2011)</w:t>
            </w:r>
          </w:p>
        </w:tc>
        <w:tc>
          <w:tcPr>
            <w:tcW w:w="1717" w:type="dxa"/>
          </w:tcPr>
          <w:p w:rsidR="007636B0" w:rsidRPr="00775D98" w:rsidRDefault="007636B0" w:rsidP="00B45DD6">
            <w:pPr>
              <w:spacing w:before="20"/>
              <w:rPr>
                <w:szCs w:val="22"/>
              </w:rPr>
            </w:pPr>
            <w:r w:rsidRPr="00775D98">
              <w:rPr>
                <w:szCs w:val="22"/>
              </w:rPr>
              <w:t>TDI = 0.0005 mg/kg/day</w:t>
            </w:r>
          </w:p>
        </w:tc>
        <w:tc>
          <w:tcPr>
            <w:tcW w:w="5776" w:type="dxa"/>
          </w:tcPr>
          <w:p w:rsidR="007636B0" w:rsidRPr="00C64237" w:rsidRDefault="007636B0" w:rsidP="00B45DD6">
            <w:pPr>
              <w:spacing w:before="20" w:line="220" w:lineRule="exact"/>
              <w:rPr>
                <w:szCs w:val="22"/>
              </w:rPr>
            </w:pPr>
            <w:r w:rsidRPr="00C64237">
              <w:rPr>
                <w:szCs w:val="22"/>
              </w:rPr>
              <w:t>The TDI was derived on the basis of a NOAEL of 0.15 mg/kg/day associated with renal and liver toxicity observed in a 1-year feeding study in dogs, and an uncertainty factor of 300. It is noted that the current guideline has remained unchanged since first derived in 1993. MCPA is included in the rolling revisions to the WHO DWG (2011) with no significant revisions issued to date.</w:t>
            </w:r>
          </w:p>
        </w:tc>
      </w:tr>
      <w:tr w:rsidR="007636B0" w:rsidRPr="00775D98" w:rsidTr="00B45DD6">
        <w:tc>
          <w:tcPr>
            <w:tcW w:w="1340" w:type="dxa"/>
          </w:tcPr>
          <w:p w:rsidR="007636B0" w:rsidRPr="00775D98" w:rsidRDefault="007636B0" w:rsidP="00B45DD6">
            <w:pPr>
              <w:spacing w:before="20"/>
              <w:rPr>
                <w:szCs w:val="22"/>
              </w:rPr>
            </w:pPr>
            <w:r w:rsidRPr="00775D98">
              <w:rPr>
                <w:szCs w:val="22"/>
              </w:rPr>
              <w:t>ATSDR</w:t>
            </w:r>
          </w:p>
        </w:tc>
        <w:tc>
          <w:tcPr>
            <w:tcW w:w="1717" w:type="dxa"/>
          </w:tcPr>
          <w:p w:rsidR="007636B0" w:rsidRPr="00775D98" w:rsidRDefault="007636B0" w:rsidP="00B45DD6">
            <w:pPr>
              <w:spacing w:before="20"/>
              <w:rPr>
                <w:sz w:val="20"/>
              </w:rPr>
            </w:pPr>
            <w:r w:rsidRPr="00775D98">
              <w:rPr>
                <w:sz w:val="20"/>
              </w:rPr>
              <w:t>No evaluation available</w:t>
            </w:r>
          </w:p>
        </w:tc>
        <w:tc>
          <w:tcPr>
            <w:tcW w:w="5776" w:type="dxa"/>
          </w:tcPr>
          <w:p w:rsidR="007636B0" w:rsidRPr="00775D98" w:rsidRDefault="007636B0" w:rsidP="00B45DD6">
            <w:pPr>
              <w:spacing w:before="20"/>
              <w:rPr>
                <w:szCs w:val="22"/>
              </w:rPr>
            </w:pPr>
          </w:p>
        </w:tc>
      </w:tr>
      <w:tr w:rsidR="007636B0" w:rsidRPr="00775D98" w:rsidTr="00B45DD6">
        <w:tc>
          <w:tcPr>
            <w:tcW w:w="1340" w:type="dxa"/>
          </w:tcPr>
          <w:p w:rsidR="007636B0" w:rsidRPr="00775D98" w:rsidRDefault="007636B0" w:rsidP="00B45DD6">
            <w:pPr>
              <w:spacing w:before="20"/>
              <w:rPr>
                <w:szCs w:val="22"/>
              </w:rPr>
            </w:pPr>
            <w:r w:rsidRPr="00775D98">
              <w:rPr>
                <w:szCs w:val="22"/>
              </w:rPr>
              <w:t>US EPA (IRIS 2012)</w:t>
            </w:r>
          </w:p>
        </w:tc>
        <w:tc>
          <w:tcPr>
            <w:tcW w:w="1717" w:type="dxa"/>
          </w:tcPr>
          <w:p w:rsidR="007636B0" w:rsidRPr="00775D98" w:rsidRDefault="007636B0" w:rsidP="00B45DD6">
            <w:pPr>
              <w:spacing w:before="20"/>
              <w:rPr>
                <w:szCs w:val="22"/>
              </w:rPr>
            </w:pPr>
            <w:r w:rsidRPr="00775D98">
              <w:rPr>
                <w:szCs w:val="22"/>
              </w:rPr>
              <w:t>RfD = 0.0005 mg/kg/day</w:t>
            </w:r>
          </w:p>
          <w:p w:rsidR="007636B0" w:rsidRPr="00775D98" w:rsidRDefault="007636B0" w:rsidP="00B45DD6">
            <w:pPr>
              <w:spacing w:before="20"/>
              <w:rPr>
                <w:szCs w:val="22"/>
              </w:rPr>
            </w:pPr>
          </w:p>
        </w:tc>
        <w:tc>
          <w:tcPr>
            <w:tcW w:w="5776" w:type="dxa"/>
          </w:tcPr>
          <w:p w:rsidR="007636B0" w:rsidRPr="00775D98" w:rsidRDefault="007636B0" w:rsidP="00B45DD6">
            <w:pPr>
              <w:spacing w:before="20"/>
              <w:rPr>
                <w:szCs w:val="22"/>
              </w:rPr>
            </w:pPr>
            <w:r w:rsidRPr="00775D98">
              <w:rPr>
                <w:szCs w:val="22"/>
              </w:rPr>
              <w:t>The RfD (last reviewed in 1987) is derived based on the same study and evaluation provided in the WHO DWG (2011).</w:t>
            </w:r>
          </w:p>
        </w:tc>
      </w:tr>
    </w:tbl>
    <w:p w:rsidR="007636B0" w:rsidRPr="00D33179" w:rsidRDefault="007636B0" w:rsidP="007636B0">
      <w:pPr>
        <w:pStyle w:val="Heading4"/>
      </w:pPr>
      <w:bookmarkStart w:id="44" w:name="_Toc351714284"/>
      <w:r>
        <w:lastRenderedPageBreak/>
        <w:t>MCPB</w:t>
      </w:r>
      <w:bookmarkEnd w:id="44"/>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3"/>
        <w:gridCol w:w="2242"/>
        <w:gridCol w:w="5532"/>
      </w:tblGrid>
      <w:tr w:rsidR="007636B0" w:rsidRPr="00775D98" w:rsidTr="00B45DD6">
        <w:trPr>
          <w:tblHeader/>
        </w:trPr>
        <w:tc>
          <w:tcPr>
            <w:tcW w:w="1384" w:type="dxa"/>
            <w:shd w:val="clear" w:color="auto" w:fill="C6D9F1" w:themeFill="text2" w:themeFillTint="33"/>
          </w:tcPr>
          <w:p w:rsidR="007636B0" w:rsidRPr="00775D98" w:rsidRDefault="007636B0" w:rsidP="00B45DD6">
            <w:pPr>
              <w:spacing w:before="20"/>
              <w:jc w:val="center"/>
              <w:rPr>
                <w:b/>
                <w:szCs w:val="22"/>
              </w:rPr>
            </w:pPr>
            <w:r w:rsidRPr="00775D98">
              <w:rPr>
                <w:b/>
                <w:szCs w:val="22"/>
              </w:rPr>
              <w:t>Source</w:t>
            </w:r>
          </w:p>
        </w:tc>
        <w:tc>
          <w:tcPr>
            <w:tcW w:w="2410" w:type="dxa"/>
            <w:shd w:val="clear" w:color="auto" w:fill="C6D9F1" w:themeFill="text2" w:themeFillTint="33"/>
          </w:tcPr>
          <w:p w:rsidR="007636B0" w:rsidRPr="00775D98" w:rsidRDefault="007636B0" w:rsidP="00B45DD6">
            <w:pPr>
              <w:spacing w:before="20"/>
              <w:jc w:val="center"/>
              <w:rPr>
                <w:b/>
                <w:szCs w:val="22"/>
              </w:rPr>
            </w:pPr>
            <w:r w:rsidRPr="00775D98">
              <w:rPr>
                <w:b/>
                <w:szCs w:val="22"/>
              </w:rPr>
              <w:t>Value</w:t>
            </w:r>
          </w:p>
        </w:tc>
        <w:tc>
          <w:tcPr>
            <w:tcW w:w="6169" w:type="dxa"/>
            <w:shd w:val="clear" w:color="auto" w:fill="C6D9F1" w:themeFill="text2" w:themeFillTint="33"/>
          </w:tcPr>
          <w:p w:rsidR="007636B0" w:rsidRPr="00775D98" w:rsidRDefault="007636B0" w:rsidP="00B45DD6">
            <w:pPr>
              <w:spacing w:before="20"/>
              <w:jc w:val="center"/>
              <w:rPr>
                <w:b/>
                <w:szCs w:val="22"/>
              </w:rPr>
            </w:pPr>
            <w:r w:rsidRPr="00775D98">
              <w:rPr>
                <w:b/>
                <w:szCs w:val="22"/>
              </w:rPr>
              <w:t>Basis/Comments</w:t>
            </w:r>
          </w:p>
        </w:tc>
      </w:tr>
      <w:tr w:rsidR="007636B0" w:rsidRPr="00775D98" w:rsidTr="00B45DD6">
        <w:tc>
          <w:tcPr>
            <w:tcW w:w="9963" w:type="dxa"/>
            <w:gridSpan w:val="3"/>
          </w:tcPr>
          <w:p w:rsidR="007636B0" w:rsidRPr="00775D98" w:rsidRDefault="007636B0" w:rsidP="00B45DD6">
            <w:pPr>
              <w:spacing w:before="20"/>
              <w:jc w:val="center"/>
              <w:rPr>
                <w:b/>
                <w:szCs w:val="22"/>
              </w:rPr>
            </w:pPr>
            <w:r w:rsidRPr="00775D98">
              <w:rPr>
                <w:b/>
                <w:szCs w:val="22"/>
              </w:rPr>
              <w:t>Australian</w:t>
            </w:r>
          </w:p>
        </w:tc>
      </w:tr>
      <w:tr w:rsidR="007636B0" w:rsidRPr="00775D98" w:rsidTr="00B45DD6">
        <w:tc>
          <w:tcPr>
            <w:tcW w:w="1384" w:type="dxa"/>
          </w:tcPr>
          <w:p w:rsidR="007636B0" w:rsidRPr="00775D98" w:rsidRDefault="007636B0" w:rsidP="00B45DD6">
            <w:pPr>
              <w:spacing w:before="20"/>
              <w:rPr>
                <w:szCs w:val="22"/>
              </w:rPr>
            </w:pPr>
            <w:r w:rsidRPr="00775D98">
              <w:rPr>
                <w:szCs w:val="22"/>
              </w:rPr>
              <w:t>ADWG (NHMRC 2011)</w:t>
            </w:r>
          </w:p>
        </w:tc>
        <w:tc>
          <w:tcPr>
            <w:tcW w:w="2410" w:type="dxa"/>
          </w:tcPr>
          <w:p w:rsidR="007636B0" w:rsidRPr="00775D98" w:rsidRDefault="007636B0" w:rsidP="00B45DD6">
            <w:pPr>
              <w:spacing w:before="20"/>
              <w:rPr>
                <w:szCs w:val="22"/>
              </w:rPr>
            </w:pPr>
            <w:r w:rsidRPr="00775D98">
              <w:rPr>
                <w:szCs w:val="22"/>
              </w:rPr>
              <w:t>No evaluation available</w:t>
            </w:r>
          </w:p>
        </w:tc>
        <w:tc>
          <w:tcPr>
            <w:tcW w:w="6169" w:type="dxa"/>
          </w:tcPr>
          <w:p w:rsidR="007636B0" w:rsidRPr="00775D98" w:rsidRDefault="007636B0" w:rsidP="00B45DD6">
            <w:pPr>
              <w:spacing w:before="20"/>
              <w:rPr>
                <w:szCs w:val="22"/>
              </w:rPr>
            </w:pPr>
          </w:p>
        </w:tc>
      </w:tr>
      <w:tr w:rsidR="007636B0" w:rsidRPr="00775D98" w:rsidTr="00B45DD6">
        <w:tc>
          <w:tcPr>
            <w:tcW w:w="1384" w:type="dxa"/>
          </w:tcPr>
          <w:p w:rsidR="007636B0" w:rsidRPr="00775D98" w:rsidRDefault="007636B0" w:rsidP="00B45DD6">
            <w:pPr>
              <w:spacing w:before="20"/>
              <w:rPr>
                <w:szCs w:val="22"/>
              </w:rPr>
            </w:pPr>
            <w:r w:rsidRPr="00775D98">
              <w:rPr>
                <w:szCs w:val="22"/>
              </w:rPr>
              <w:t>OCS (2012)</w:t>
            </w:r>
          </w:p>
        </w:tc>
        <w:tc>
          <w:tcPr>
            <w:tcW w:w="2410" w:type="dxa"/>
          </w:tcPr>
          <w:p w:rsidR="007636B0" w:rsidRPr="00775D98" w:rsidRDefault="007636B0" w:rsidP="00B45DD6">
            <w:pPr>
              <w:spacing w:before="20"/>
              <w:rPr>
                <w:szCs w:val="22"/>
              </w:rPr>
            </w:pPr>
            <w:r w:rsidRPr="00775D98">
              <w:rPr>
                <w:szCs w:val="22"/>
              </w:rPr>
              <w:t>ADI = 0.01 mg/kg/day</w:t>
            </w:r>
          </w:p>
        </w:tc>
        <w:tc>
          <w:tcPr>
            <w:tcW w:w="6169" w:type="dxa"/>
          </w:tcPr>
          <w:p w:rsidR="007636B0" w:rsidRPr="00775D98" w:rsidRDefault="007636B0" w:rsidP="00B45DD6">
            <w:pPr>
              <w:spacing w:before="20"/>
              <w:rPr>
                <w:szCs w:val="22"/>
              </w:rPr>
            </w:pPr>
            <w:r w:rsidRPr="00775D98">
              <w:rPr>
                <w:szCs w:val="22"/>
              </w:rPr>
              <w:t>The ADI is noted to have been set in May 1994 and is based on a NOEL of 1.1 mg/kg/day.</w:t>
            </w:r>
          </w:p>
        </w:tc>
      </w:tr>
      <w:tr w:rsidR="007636B0" w:rsidRPr="00775D98" w:rsidTr="00B45DD6">
        <w:tc>
          <w:tcPr>
            <w:tcW w:w="9963" w:type="dxa"/>
            <w:gridSpan w:val="3"/>
          </w:tcPr>
          <w:p w:rsidR="007636B0" w:rsidRPr="00775D98" w:rsidRDefault="007636B0" w:rsidP="00B45DD6">
            <w:pPr>
              <w:spacing w:before="20"/>
              <w:jc w:val="center"/>
              <w:rPr>
                <w:b/>
                <w:szCs w:val="22"/>
              </w:rPr>
            </w:pPr>
            <w:r w:rsidRPr="00775D98">
              <w:rPr>
                <w:b/>
                <w:szCs w:val="22"/>
              </w:rPr>
              <w:t>International</w:t>
            </w:r>
          </w:p>
        </w:tc>
      </w:tr>
      <w:tr w:rsidR="007636B0" w:rsidRPr="00775D98" w:rsidTr="00B45DD6">
        <w:tc>
          <w:tcPr>
            <w:tcW w:w="1384" w:type="dxa"/>
          </w:tcPr>
          <w:p w:rsidR="007636B0" w:rsidRPr="00775D98" w:rsidRDefault="007636B0" w:rsidP="00B45DD6">
            <w:pPr>
              <w:spacing w:before="20"/>
              <w:rPr>
                <w:szCs w:val="22"/>
              </w:rPr>
            </w:pPr>
            <w:r w:rsidRPr="00775D98">
              <w:rPr>
                <w:szCs w:val="22"/>
              </w:rPr>
              <w:t>WHO (2011)</w:t>
            </w:r>
          </w:p>
        </w:tc>
        <w:tc>
          <w:tcPr>
            <w:tcW w:w="2410" w:type="dxa"/>
          </w:tcPr>
          <w:p w:rsidR="007636B0" w:rsidRPr="00775D98" w:rsidRDefault="007636B0" w:rsidP="00B45DD6">
            <w:pPr>
              <w:spacing w:before="20"/>
              <w:rPr>
                <w:szCs w:val="22"/>
              </w:rPr>
            </w:pPr>
            <w:r w:rsidRPr="00775D98">
              <w:rPr>
                <w:szCs w:val="22"/>
              </w:rPr>
              <w:t>No quantitative value available</w:t>
            </w:r>
          </w:p>
        </w:tc>
        <w:tc>
          <w:tcPr>
            <w:tcW w:w="6169" w:type="dxa"/>
          </w:tcPr>
          <w:p w:rsidR="007636B0" w:rsidRPr="00775D98" w:rsidRDefault="007636B0" w:rsidP="00B45DD6">
            <w:pPr>
              <w:spacing w:before="20"/>
              <w:rPr>
                <w:szCs w:val="22"/>
              </w:rPr>
            </w:pPr>
            <w:r w:rsidRPr="00775D98">
              <w:rPr>
                <w:szCs w:val="22"/>
              </w:rPr>
              <w:t>Insufficient data was available to establish a guideline value for MCPB in drinking water.</w:t>
            </w:r>
          </w:p>
        </w:tc>
      </w:tr>
      <w:tr w:rsidR="007636B0" w:rsidRPr="00775D98" w:rsidTr="00B45DD6">
        <w:tc>
          <w:tcPr>
            <w:tcW w:w="1384" w:type="dxa"/>
          </w:tcPr>
          <w:p w:rsidR="007636B0" w:rsidRPr="00775D98" w:rsidRDefault="007636B0" w:rsidP="00B45DD6">
            <w:pPr>
              <w:spacing w:before="20"/>
              <w:rPr>
                <w:szCs w:val="22"/>
              </w:rPr>
            </w:pPr>
            <w:r w:rsidRPr="00775D98">
              <w:rPr>
                <w:szCs w:val="22"/>
              </w:rPr>
              <w:t>ATSDR</w:t>
            </w:r>
          </w:p>
        </w:tc>
        <w:tc>
          <w:tcPr>
            <w:tcW w:w="2410" w:type="dxa"/>
          </w:tcPr>
          <w:p w:rsidR="007636B0" w:rsidRPr="00775D98" w:rsidRDefault="007636B0" w:rsidP="00B45DD6">
            <w:pPr>
              <w:spacing w:before="20"/>
              <w:rPr>
                <w:szCs w:val="22"/>
              </w:rPr>
            </w:pPr>
            <w:r w:rsidRPr="00775D98">
              <w:rPr>
                <w:szCs w:val="22"/>
              </w:rPr>
              <w:t>No evaluation available</w:t>
            </w:r>
          </w:p>
        </w:tc>
        <w:tc>
          <w:tcPr>
            <w:tcW w:w="6169" w:type="dxa"/>
          </w:tcPr>
          <w:p w:rsidR="007636B0" w:rsidRPr="00775D98" w:rsidRDefault="007636B0" w:rsidP="00B45DD6">
            <w:pPr>
              <w:spacing w:before="20"/>
              <w:rPr>
                <w:szCs w:val="22"/>
              </w:rPr>
            </w:pPr>
          </w:p>
        </w:tc>
      </w:tr>
      <w:tr w:rsidR="007636B0" w:rsidRPr="00775D98" w:rsidTr="00B45DD6">
        <w:tc>
          <w:tcPr>
            <w:tcW w:w="1384" w:type="dxa"/>
          </w:tcPr>
          <w:p w:rsidR="007636B0" w:rsidRPr="00775D98" w:rsidRDefault="007636B0" w:rsidP="00B45DD6">
            <w:pPr>
              <w:spacing w:before="20"/>
              <w:rPr>
                <w:szCs w:val="22"/>
              </w:rPr>
            </w:pPr>
            <w:r w:rsidRPr="00775D98">
              <w:rPr>
                <w:szCs w:val="22"/>
              </w:rPr>
              <w:t>US EPA (IRIS 2012)</w:t>
            </w:r>
          </w:p>
        </w:tc>
        <w:tc>
          <w:tcPr>
            <w:tcW w:w="2410" w:type="dxa"/>
          </w:tcPr>
          <w:p w:rsidR="007636B0" w:rsidRPr="00775D98" w:rsidRDefault="007636B0" w:rsidP="00B45DD6">
            <w:pPr>
              <w:spacing w:before="20"/>
              <w:rPr>
                <w:szCs w:val="22"/>
              </w:rPr>
            </w:pPr>
            <w:r w:rsidRPr="00775D98">
              <w:rPr>
                <w:szCs w:val="22"/>
              </w:rPr>
              <w:t>RfD = 0.01 mg/kg/day</w:t>
            </w:r>
          </w:p>
          <w:p w:rsidR="007636B0" w:rsidRPr="00775D98" w:rsidRDefault="007636B0" w:rsidP="00B45DD6">
            <w:pPr>
              <w:spacing w:before="20"/>
              <w:rPr>
                <w:szCs w:val="22"/>
              </w:rPr>
            </w:pPr>
          </w:p>
        </w:tc>
        <w:tc>
          <w:tcPr>
            <w:tcW w:w="6169" w:type="dxa"/>
          </w:tcPr>
          <w:p w:rsidR="007636B0" w:rsidRPr="00775D98" w:rsidRDefault="007636B0" w:rsidP="00B45DD6">
            <w:pPr>
              <w:spacing w:before="20"/>
              <w:rPr>
                <w:szCs w:val="22"/>
              </w:rPr>
            </w:pPr>
            <w:r w:rsidRPr="00775D98">
              <w:rPr>
                <w:szCs w:val="22"/>
              </w:rPr>
              <w:t xml:space="preserve">The RfD (last reviewed in 1991) is derived based on a NOEL of 12 mg/kg/day associated with reproductive effects in a 13-week feeding study with dogs, and an uncertainty factor of 1000. </w:t>
            </w:r>
          </w:p>
        </w:tc>
      </w:tr>
    </w:tbl>
    <w:p w:rsidR="007636B0" w:rsidRPr="00D33179" w:rsidRDefault="007636B0" w:rsidP="007636B0">
      <w:pPr>
        <w:pStyle w:val="Heading4"/>
      </w:pPr>
      <w:bookmarkStart w:id="45" w:name="_Toc351714285"/>
      <w:r>
        <w:t>Mecoprop (MCPP)</w:t>
      </w:r>
      <w:bookmarkEnd w:id="45"/>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3"/>
        <w:gridCol w:w="2231"/>
        <w:gridCol w:w="5543"/>
      </w:tblGrid>
      <w:tr w:rsidR="007636B0" w:rsidRPr="00775D98" w:rsidTr="00B45DD6">
        <w:trPr>
          <w:tblHeader/>
        </w:trPr>
        <w:tc>
          <w:tcPr>
            <w:tcW w:w="1384" w:type="dxa"/>
            <w:shd w:val="clear" w:color="auto" w:fill="C6D9F1" w:themeFill="text2" w:themeFillTint="33"/>
          </w:tcPr>
          <w:p w:rsidR="007636B0" w:rsidRPr="00775D98" w:rsidRDefault="007636B0" w:rsidP="00B45DD6">
            <w:pPr>
              <w:spacing w:before="20"/>
              <w:jc w:val="center"/>
              <w:rPr>
                <w:b/>
                <w:szCs w:val="22"/>
              </w:rPr>
            </w:pPr>
            <w:r w:rsidRPr="00775D98">
              <w:rPr>
                <w:b/>
                <w:szCs w:val="22"/>
              </w:rPr>
              <w:t>Source</w:t>
            </w:r>
          </w:p>
        </w:tc>
        <w:tc>
          <w:tcPr>
            <w:tcW w:w="2410" w:type="dxa"/>
            <w:shd w:val="clear" w:color="auto" w:fill="C6D9F1" w:themeFill="text2" w:themeFillTint="33"/>
          </w:tcPr>
          <w:p w:rsidR="007636B0" w:rsidRPr="00775D98" w:rsidRDefault="007636B0" w:rsidP="00B45DD6">
            <w:pPr>
              <w:spacing w:before="20"/>
              <w:jc w:val="center"/>
              <w:rPr>
                <w:b/>
                <w:szCs w:val="22"/>
              </w:rPr>
            </w:pPr>
            <w:r w:rsidRPr="00775D98">
              <w:rPr>
                <w:b/>
                <w:szCs w:val="22"/>
              </w:rPr>
              <w:t>Value</w:t>
            </w:r>
          </w:p>
        </w:tc>
        <w:tc>
          <w:tcPr>
            <w:tcW w:w="6169" w:type="dxa"/>
            <w:shd w:val="clear" w:color="auto" w:fill="C6D9F1" w:themeFill="text2" w:themeFillTint="33"/>
          </w:tcPr>
          <w:p w:rsidR="007636B0" w:rsidRPr="00775D98" w:rsidRDefault="007636B0" w:rsidP="00B45DD6">
            <w:pPr>
              <w:spacing w:before="20"/>
              <w:jc w:val="center"/>
              <w:rPr>
                <w:b/>
                <w:szCs w:val="22"/>
              </w:rPr>
            </w:pPr>
            <w:r w:rsidRPr="00775D98">
              <w:rPr>
                <w:b/>
                <w:szCs w:val="22"/>
              </w:rPr>
              <w:t>Basis/Comments</w:t>
            </w:r>
          </w:p>
        </w:tc>
      </w:tr>
      <w:tr w:rsidR="007636B0" w:rsidRPr="00775D98" w:rsidTr="00B45DD6">
        <w:tc>
          <w:tcPr>
            <w:tcW w:w="9963" w:type="dxa"/>
            <w:gridSpan w:val="3"/>
          </w:tcPr>
          <w:p w:rsidR="007636B0" w:rsidRPr="00775D98" w:rsidRDefault="007636B0" w:rsidP="00B45DD6">
            <w:pPr>
              <w:spacing w:before="20"/>
              <w:jc w:val="center"/>
              <w:rPr>
                <w:b/>
                <w:szCs w:val="22"/>
              </w:rPr>
            </w:pPr>
            <w:r w:rsidRPr="00775D98">
              <w:rPr>
                <w:b/>
                <w:szCs w:val="22"/>
              </w:rPr>
              <w:t>Australian</w:t>
            </w:r>
          </w:p>
        </w:tc>
      </w:tr>
      <w:tr w:rsidR="007636B0" w:rsidRPr="00775D98" w:rsidTr="00B45DD6">
        <w:tc>
          <w:tcPr>
            <w:tcW w:w="1384" w:type="dxa"/>
          </w:tcPr>
          <w:p w:rsidR="007636B0" w:rsidRPr="00775D98" w:rsidRDefault="007636B0" w:rsidP="00B45DD6">
            <w:pPr>
              <w:spacing w:before="20"/>
              <w:rPr>
                <w:szCs w:val="22"/>
              </w:rPr>
            </w:pPr>
            <w:r w:rsidRPr="00775D98">
              <w:rPr>
                <w:szCs w:val="22"/>
              </w:rPr>
              <w:t>ADWG (NHMRC 2011)</w:t>
            </w:r>
          </w:p>
        </w:tc>
        <w:tc>
          <w:tcPr>
            <w:tcW w:w="2410" w:type="dxa"/>
          </w:tcPr>
          <w:p w:rsidR="007636B0" w:rsidRPr="00775D98" w:rsidRDefault="007636B0" w:rsidP="00B45DD6">
            <w:pPr>
              <w:spacing w:before="20"/>
              <w:rPr>
                <w:szCs w:val="22"/>
              </w:rPr>
            </w:pPr>
            <w:r w:rsidRPr="00775D98">
              <w:rPr>
                <w:szCs w:val="22"/>
              </w:rPr>
              <w:t>No evaluation available</w:t>
            </w:r>
          </w:p>
        </w:tc>
        <w:tc>
          <w:tcPr>
            <w:tcW w:w="6169" w:type="dxa"/>
          </w:tcPr>
          <w:p w:rsidR="007636B0" w:rsidRPr="00775D98" w:rsidRDefault="007636B0" w:rsidP="00B45DD6">
            <w:pPr>
              <w:spacing w:before="20"/>
              <w:rPr>
                <w:szCs w:val="22"/>
              </w:rPr>
            </w:pPr>
          </w:p>
        </w:tc>
      </w:tr>
      <w:tr w:rsidR="007636B0" w:rsidRPr="00775D98" w:rsidTr="00B45DD6">
        <w:tc>
          <w:tcPr>
            <w:tcW w:w="1384" w:type="dxa"/>
          </w:tcPr>
          <w:p w:rsidR="007636B0" w:rsidRPr="00775D98" w:rsidRDefault="007636B0" w:rsidP="00B45DD6">
            <w:pPr>
              <w:spacing w:before="20"/>
              <w:rPr>
                <w:szCs w:val="22"/>
              </w:rPr>
            </w:pPr>
            <w:r w:rsidRPr="00775D98">
              <w:rPr>
                <w:szCs w:val="22"/>
              </w:rPr>
              <w:t>OCS (2012)</w:t>
            </w:r>
          </w:p>
        </w:tc>
        <w:tc>
          <w:tcPr>
            <w:tcW w:w="2410" w:type="dxa"/>
          </w:tcPr>
          <w:p w:rsidR="007636B0" w:rsidRPr="00775D98" w:rsidRDefault="007636B0" w:rsidP="00B45DD6">
            <w:pPr>
              <w:spacing w:before="20"/>
              <w:rPr>
                <w:szCs w:val="22"/>
              </w:rPr>
            </w:pPr>
            <w:r w:rsidRPr="00775D98">
              <w:rPr>
                <w:szCs w:val="22"/>
              </w:rPr>
              <w:t>ADI = 0.01 mg/kg/day</w:t>
            </w:r>
          </w:p>
        </w:tc>
        <w:tc>
          <w:tcPr>
            <w:tcW w:w="6169" w:type="dxa"/>
          </w:tcPr>
          <w:p w:rsidR="007636B0" w:rsidRPr="00775D98" w:rsidRDefault="007636B0" w:rsidP="00B45DD6">
            <w:pPr>
              <w:spacing w:before="20"/>
              <w:rPr>
                <w:szCs w:val="22"/>
              </w:rPr>
            </w:pPr>
            <w:r w:rsidRPr="00775D98">
              <w:rPr>
                <w:szCs w:val="22"/>
              </w:rPr>
              <w:t>The ADI is noted to have been set in July 1998 and is based on a NOEL of 1 mg/kg/day, and an uncertainty factor of 100.</w:t>
            </w:r>
          </w:p>
        </w:tc>
      </w:tr>
      <w:tr w:rsidR="007636B0" w:rsidRPr="00775D98" w:rsidTr="00B45DD6">
        <w:tc>
          <w:tcPr>
            <w:tcW w:w="9963" w:type="dxa"/>
            <w:gridSpan w:val="3"/>
          </w:tcPr>
          <w:p w:rsidR="007636B0" w:rsidRPr="00775D98" w:rsidRDefault="007636B0" w:rsidP="00B45DD6">
            <w:pPr>
              <w:spacing w:before="20"/>
              <w:jc w:val="center"/>
              <w:rPr>
                <w:b/>
                <w:szCs w:val="22"/>
              </w:rPr>
            </w:pPr>
            <w:r w:rsidRPr="00775D98">
              <w:rPr>
                <w:b/>
                <w:szCs w:val="22"/>
              </w:rPr>
              <w:t>International</w:t>
            </w:r>
          </w:p>
        </w:tc>
      </w:tr>
      <w:tr w:rsidR="007636B0" w:rsidRPr="00775D98" w:rsidTr="00B45DD6">
        <w:tc>
          <w:tcPr>
            <w:tcW w:w="1384" w:type="dxa"/>
          </w:tcPr>
          <w:p w:rsidR="007636B0" w:rsidRPr="00775D98" w:rsidRDefault="007636B0" w:rsidP="00B45DD6">
            <w:pPr>
              <w:spacing w:before="20"/>
              <w:rPr>
                <w:szCs w:val="22"/>
              </w:rPr>
            </w:pPr>
            <w:r w:rsidRPr="00775D98">
              <w:rPr>
                <w:szCs w:val="22"/>
              </w:rPr>
              <w:t>WHO (2011)</w:t>
            </w:r>
          </w:p>
        </w:tc>
        <w:tc>
          <w:tcPr>
            <w:tcW w:w="2410" w:type="dxa"/>
          </w:tcPr>
          <w:p w:rsidR="007636B0" w:rsidRPr="00775D98" w:rsidRDefault="007636B0" w:rsidP="00B45DD6">
            <w:pPr>
              <w:spacing w:before="20"/>
              <w:rPr>
                <w:szCs w:val="22"/>
              </w:rPr>
            </w:pPr>
            <w:r w:rsidRPr="00775D98">
              <w:rPr>
                <w:szCs w:val="22"/>
              </w:rPr>
              <w:t>TDI = 0.0033 mg/kg/day</w:t>
            </w:r>
          </w:p>
        </w:tc>
        <w:tc>
          <w:tcPr>
            <w:tcW w:w="6169" w:type="dxa"/>
          </w:tcPr>
          <w:p w:rsidR="007636B0" w:rsidRPr="00775D98" w:rsidRDefault="007636B0" w:rsidP="00B45DD6">
            <w:pPr>
              <w:spacing w:before="20"/>
              <w:rPr>
                <w:szCs w:val="22"/>
              </w:rPr>
            </w:pPr>
            <w:r w:rsidRPr="00775D98">
              <w:rPr>
                <w:szCs w:val="22"/>
              </w:rPr>
              <w:t>The TDI was derived on the basis of a NOAEL of 1 mg/kg/day associated with kidney effects in 1- and 2-year studies in rats, and an uncertainty factor of 300. It is noted that the current guideline has remained unchanged since first published in 1996. Mecoprop is included in the rolling revisions to the WHO DWG (2011) with no significant revisions issued to date.</w:t>
            </w:r>
          </w:p>
        </w:tc>
      </w:tr>
      <w:tr w:rsidR="007636B0" w:rsidRPr="00775D98" w:rsidTr="00B45DD6">
        <w:tc>
          <w:tcPr>
            <w:tcW w:w="1384" w:type="dxa"/>
          </w:tcPr>
          <w:p w:rsidR="007636B0" w:rsidRPr="00775D98" w:rsidRDefault="007636B0" w:rsidP="00B45DD6">
            <w:pPr>
              <w:spacing w:before="20"/>
              <w:rPr>
                <w:szCs w:val="22"/>
              </w:rPr>
            </w:pPr>
            <w:r w:rsidRPr="00775D98">
              <w:rPr>
                <w:szCs w:val="22"/>
              </w:rPr>
              <w:t>ATSDR</w:t>
            </w:r>
          </w:p>
        </w:tc>
        <w:tc>
          <w:tcPr>
            <w:tcW w:w="2410" w:type="dxa"/>
          </w:tcPr>
          <w:p w:rsidR="007636B0" w:rsidRPr="00775D98" w:rsidRDefault="007636B0" w:rsidP="00B45DD6">
            <w:pPr>
              <w:spacing w:before="20"/>
              <w:rPr>
                <w:sz w:val="20"/>
              </w:rPr>
            </w:pPr>
            <w:r w:rsidRPr="00775D98">
              <w:rPr>
                <w:sz w:val="20"/>
              </w:rPr>
              <w:t>No evaluation available</w:t>
            </w:r>
          </w:p>
        </w:tc>
        <w:tc>
          <w:tcPr>
            <w:tcW w:w="6169" w:type="dxa"/>
          </w:tcPr>
          <w:p w:rsidR="007636B0" w:rsidRPr="00775D98" w:rsidRDefault="007636B0" w:rsidP="00B45DD6">
            <w:pPr>
              <w:spacing w:before="20"/>
              <w:rPr>
                <w:szCs w:val="22"/>
              </w:rPr>
            </w:pPr>
          </w:p>
        </w:tc>
      </w:tr>
      <w:tr w:rsidR="007636B0" w:rsidRPr="00775D98" w:rsidTr="00B45DD6">
        <w:tc>
          <w:tcPr>
            <w:tcW w:w="1384" w:type="dxa"/>
          </w:tcPr>
          <w:p w:rsidR="007636B0" w:rsidRPr="00775D98" w:rsidRDefault="007636B0" w:rsidP="00B45DD6">
            <w:pPr>
              <w:spacing w:before="20"/>
              <w:rPr>
                <w:szCs w:val="22"/>
              </w:rPr>
            </w:pPr>
            <w:r w:rsidRPr="00775D98">
              <w:rPr>
                <w:szCs w:val="22"/>
              </w:rPr>
              <w:t>US EPA (IRIS 2012)</w:t>
            </w:r>
          </w:p>
        </w:tc>
        <w:tc>
          <w:tcPr>
            <w:tcW w:w="2410" w:type="dxa"/>
          </w:tcPr>
          <w:p w:rsidR="007636B0" w:rsidRPr="00775D98" w:rsidRDefault="007636B0" w:rsidP="00B45DD6">
            <w:pPr>
              <w:spacing w:before="20"/>
              <w:rPr>
                <w:szCs w:val="22"/>
              </w:rPr>
            </w:pPr>
            <w:r w:rsidRPr="00775D98">
              <w:rPr>
                <w:szCs w:val="22"/>
              </w:rPr>
              <w:t>RfD = 0.001 mg/kg/day</w:t>
            </w:r>
          </w:p>
          <w:p w:rsidR="007636B0" w:rsidRPr="00775D98" w:rsidRDefault="007636B0" w:rsidP="00B45DD6">
            <w:pPr>
              <w:spacing w:before="20"/>
              <w:rPr>
                <w:szCs w:val="22"/>
              </w:rPr>
            </w:pPr>
          </w:p>
        </w:tc>
        <w:tc>
          <w:tcPr>
            <w:tcW w:w="6169" w:type="dxa"/>
          </w:tcPr>
          <w:p w:rsidR="007636B0" w:rsidRPr="00775D98" w:rsidRDefault="007636B0" w:rsidP="00B45DD6">
            <w:pPr>
              <w:spacing w:before="20"/>
              <w:rPr>
                <w:szCs w:val="22"/>
              </w:rPr>
            </w:pPr>
            <w:r w:rsidRPr="00775D98">
              <w:rPr>
                <w:szCs w:val="22"/>
              </w:rPr>
              <w:t xml:space="preserve">The RfD (last reviewed in 1990) is derived based on a NOEL of 3 mg/kg/day associated with kidney effects in a 90-day rat feeding study, and an uncertainty factor of 3000. </w:t>
            </w:r>
          </w:p>
        </w:tc>
      </w:tr>
    </w:tbl>
    <w:p w:rsidR="007636B0" w:rsidRDefault="007636B0" w:rsidP="007636B0"/>
    <w:p w:rsidR="007636B0" w:rsidRDefault="007636B0" w:rsidP="007636B0">
      <w:r>
        <w:t xml:space="preserve">The available evaluations in relation to MCPA, MCPB and mecoprop are all dated (none more recent than 1996) and are based on limited databases of studies. In relation to MCPB, the evaluations available from OCS (2012) and US EPA are consistent. In relation to MCPA and mecoprop, the critical studies identified for the determination of the point of departure differ between the OCS and WHO/US EPA evaluations. The subsequent application of uncertainty factors (with WHO/US EPA more conservative) also differs. Insufficient data is available to support any one evaluation, hence preference has been given to the Australian values adopted by OCS (2012), which have also been adopted in the derivation of the Australian Drinking Water Guidelines (NHMRC 2011). On this basis, the current Australian ADIs (as presented by OCS (2012)) have been adopted for the derivation of soil HILs. </w:t>
      </w:r>
    </w:p>
    <w:p w:rsidR="0021528E" w:rsidRDefault="0021528E" w:rsidP="007636B0"/>
    <w:p w:rsidR="007636B0" w:rsidRDefault="007636B0" w:rsidP="007636B0">
      <w:r>
        <w:lastRenderedPageBreak/>
        <w:t>No dermal or inhalation-specific studies or data are available. For the presence of MCPA, MCPB and mecoprop in soil (not during use) it is considered appropriate to consider use of the available ADI for all pathways of exposures.</w:t>
      </w:r>
    </w:p>
    <w:p w:rsidR="007636B0" w:rsidRPr="00921D7B" w:rsidRDefault="007636B0" w:rsidP="007636B0">
      <w:pPr>
        <w:pStyle w:val="Heading3"/>
      </w:pPr>
      <w:bookmarkStart w:id="46" w:name="_Toc351714286"/>
      <w:r w:rsidRPr="00921D7B">
        <w:t>Recommendation</w:t>
      </w:r>
      <w:bookmarkEnd w:id="46"/>
    </w:p>
    <w:p w:rsidR="007636B0" w:rsidRPr="00191EC8" w:rsidRDefault="007636B0" w:rsidP="007636B0">
      <w:r>
        <w:t>On the basis of the discussion above, the following toxicity reference values (TRVs) have been adopted for MCPA, MCPB and mecoprop in the derivation of HILs:</w:t>
      </w:r>
    </w:p>
    <w:p w:rsidR="009C6751" w:rsidRDefault="007636B0" w:rsidP="009C6751">
      <w:r>
        <w:rPr>
          <w:noProof/>
          <w:lang w:eastAsia="en-AU"/>
        </w:rPr>
        <mc:AlternateContent>
          <mc:Choice Requires="wps">
            <w:drawing>
              <wp:inline distT="0" distB="0" distL="0" distR="0" wp14:anchorId="3763C463" wp14:editId="0971E6F4">
                <wp:extent cx="5614035" cy="2285365"/>
                <wp:effectExtent l="13335" t="8255" r="11430"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035" cy="2285365"/>
                        </a:xfrm>
                        <a:prstGeom prst="rect">
                          <a:avLst/>
                        </a:prstGeom>
                        <a:solidFill>
                          <a:srgbClr val="D8D8D8"/>
                        </a:solidFill>
                        <a:ln w="9525">
                          <a:solidFill>
                            <a:srgbClr val="000000"/>
                          </a:solidFill>
                          <a:miter lim="800000"/>
                          <a:headEnd/>
                          <a:tailEnd/>
                        </a:ln>
                      </wps:spPr>
                      <wps:txbx>
                        <w:txbxContent>
                          <w:p w:rsidR="00A0097F" w:rsidRPr="00742163" w:rsidRDefault="00A0097F" w:rsidP="007636B0">
                            <w:pPr>
                              <w:spacing w:after="40"/>
                              <w:rPr>
                                <w:b/>
                                <w:u w:val="single"/>
                              </w:rPr>
                            </w:pPr>
                            <w:r w:rsidRPr="00742163">
                              <w:rPr>
                                <w:b/>
                                <w:u w:val="single"/>
                              </w:rPr>
                              <w:t xml:space="preserve">Recommendation for </w:t>
                            </w:r>
                            <w:r>
                              <w:rPr>
                                <w:b/>
                                <w:u w:val="single"/>
                              </w:rPr>
                              <w:t>MCPA, MCPB and Mecoprop</w:t>
                            </w:r>
                          </w:p>
                          <w:p w:rsidR="00A0097F" w:rsidRDefault="00A0097F" w:rsidP="007636B0">
                            <w:pPr>
                              <w:spacing w:after="40"/>
                            </w:pPr>
                            <w:r>
                              <w:t>Oral TRV (TRV</w:t>
                            </w:r>
                            <w:r w:rsidRPr="00A54613">
                              <w:rPr>
                                <w:vertAlign w:val="subscript"/>
                              </w:rPr>
                              <w:t>O</w:t>
                            </w:r>
                            <w:r>
                              <w:t>) = 0.01 mg/kg/day (OCS 2012) for each compound, for all pathways of exposure</w:t>
                            </w:r>
                          </w:p>
                          <w:p w:rsidR="00A0097F" w:rsidRDefault="00A0097F" w:rsidP="007636B0">
                            <w:pPr>
                              <w:spacing w:after="40"/>
                            </w:pPr>
                            <w:r>
                              <w:t>Dermal absorption factor (DAF) = 0.1 (or 10%) (US EPA 1995)</w:t>
                            </w:r>
                          </w:p>
                          <w:p w:rsidR="00A0097F" w:rsidRDefault="00A0097F" w:rsidP="007636B0">
                            <w:pPr>
                              <w:spacing w:after="40"/>
                            </w:pPr>
                            <w:r>
                              <w:t>Background intakes from other sources (as % of TRV):</w:t>
                            </w:r>
                          </w:p>
                          <w:p w:rsidR="00A0097F" w:rsidRDefault="00A0097F" w:rsidP="007636B0">
                            <w:pPr>
                              <w:spacing w:after="40"/>
                              <w:ind w:left="720"/>
                            </w:pPr>
                            <w:r>
                              <w:t>BI</w:t>
                            </w:r>
                            <w:r w:rsidRPr="002049F5">
                              <w:rPr>
                                <w:vertAlign w:val="subscript"/>
                              </w:rPr>
                              <w:t>O</w:t>
                            </w:r>
                            <w:r>
                              <w:t xml:space="preserve"> = 0% for oral and dermal intakes</w:t>
                            </w:r>
                          </w:p>
                          <w:p w:rsidR="00A0097F" w:rsidRDefault="00A0097F" w:rsidP="007636B0">
                            <w:pPr>
                              <w:spacing w:after="40"/>
                              <w:ind w:left="720"/>
                            </w:pPr>
                            <w:r>
                              <w:t>BIi = 0% for inhalation</w:t>
                            </w:r>
                            <w:r w:rsidDel="00C81411">
                              <w:t xml:space="preserve"> </w:t>
                            </w:r>
                          </w:p>
                          <w:p w:rsidR="00A0097F" w:rsidRDefault="00A0097F" w:rsidP="007636B0">
                            <w:pPr>
                              <w:spacing w:after="40"/>
                            </w:pPr>
                            <w:r>
                              <w:t>Note that background intakes in areas where herbicides are used need to be considered on a site-specific basis.</w:t>
                            </w:r>
                          </w:p>
                        </w:txbxContent>
                      </wps:txbx>
                      <wps:bodyPr rot="0" vert="horz" wrap="square" lIns="91440" tIns="45720" rIns="91440" bIns="45720" anchor="t" anchorCtr="0" upright="1">
                        <a:noAutofit/>
                      </wps:bodyPr>
                    </wps:wsp>
                  </a:graphicData>
                </a:graphic>
              </wp:inline>
            </w:drawing>
          </mc:Choice>
          <mc:Fallback>
            <w:pict>
              <v:shape id="Text Box 7" o:spid="_x0000_s1031" type="#_x0000_t202" style="width:442.05pt;height:17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" fillcolor="#d8d8d8">
                <v:textbox>
                  <w:txbxContent>
                    <w:p w:rsidR="009C6751" w:rsidRPr="00742163" w:rsidRDefault="009C6751" w:rsidP="007636B0">
                      <w:pPr>
                        <w:spacing w:after="40"/>
                        <w:rPr>
                          <w:b/>
                          <w:u w:val="single"/>
                        </w:rPr>
                      </w:pPr>
                      <w:r w:rsidRPr="00742163">
                        <w:rPr>
                          <w:b/>
                          <w:u w:val="single"/>
                        </w:rPr>
                        <w:t xml:space="preserve">Recommendation for </w:t>
                      </w:r>
                      <w:r>
                        <w:rPr>
                          <w:b/>
                          <w:u w:val="single"/>
                        </w:rPr>
                        <w:t>MCPA, MCPB and Mecoprop</w:t>
                      </w:r>
                    </w:p>
                    <w:p w:rsidR="009C6751" w:rsidRDefault="009C6751" w:rsidP="007636B0">
                      <w:pPr>
                        <w:spacing w:after="40"/>
                      </w:pPr>
                      <w:r>
                        <w:t>Oral TRV (TRV</w:t>
                      </w:r>
                      <w:r w:rsidRPr="00A54613">
                        <w:rPr>
                          <w:vertAlign w:val="subscript"/>
                        </w:rPr>
                        <w:t>O</w:t>
                      </w:r>
                      <w:r>
                        <w:t>) = 0.01 mg/kg/day (OCS 2012) for each compound, for all pathways of exposure</w:t>
                      </w:r>
                    </w:p>
                    <w:p w:rsidR="009C6751" w:rsidRDefault="009C6751" w:rsidP="007636B0">
                      <w:pPr>
                        <w:spacing w:after="40"/>
                      </w:pPr>
                      <w:r>
                        <w:t>Dermal absorption factor (DAF) = 0.1 (or 10%) (US EPA 1995)</w:t>
                      </w:r>
                    </w:p>
                    <w:p w:rsidR="009C6751" w:rsidRDefault="009C6751" w:rsidP="007636B0">
                      <w:pPr>
                        <w:spacing w:after="40"/>
                      </w:pPr>
                      <w:r>
                        <w:t>Background intakes from other sources (as % of TRV):</w:t>
                      </w:r>
                    </w:p>
                    <w:p w:rsidR="009C6751" w:rsidRDefault="009C6751" w:rsidP="007636B0">
                      <w:pPr>
                        <w:spacing w:after="40"/>
                        <w:ind w:left="720"/>
                      </w:pPr>
                      <w:r>
                        <w:t>BI</w:t>
                      </w:r>
                      <w:r w:rsidRPr="002049F5">
                        <w:rPr>
                          <w:vertAlign w:val="subscript"/>
                        </w:rPr>
                        <w:t>O</w:t>
                      </w:r>
                      <w:r>
                        <w:t xml:space="preserve"> = 0% for oral and dermal intakes</w:t>
                      </w:r>
                    </w:p>
                    <w:p w:rsidR="009C6751" w:rsidRDefault="009C6751" w:rsidP="007636B0">
                      <w:pPr>
                        <w:spacing w:after="40"/>
                        <w:ind w:left="720"/>
                      </w:pPr>
                      <w:r>
                        <w:t>BIi = 0% for inhalation</w:t>
                      </w:r>
                      <w:r w:rsidDel="00C81411">
                        <w:t xml:space="preserve"> </w:t>
                      </w:r>
                    </w:p>
                    <w:p w:rsidR="009C6751" w:rsidRDefault="009C6751" w:rsidP="007636B0">
                      <w:pPr>
                        <w:spacing w:after="40"/>
                      </w:pPr>
                      <w:r>
                        <w:t>Note that background intakes in areas where herbicides are used need to be considered on a site-specific basis.</w:t>
                      </w:r>
                    </w:p>
                  </w:txbxContent>
                </v:textbox>
                <w10:anchorlock/>
              </v:shape>
            </w:pict>
          </mc:Fallback>
        </mc:AlternateContent>
      </w:r>
    </w:p>
    <w:p w:rsidR="009C6751" w:rsidRDefault="009C6751" w:rsidP="009C6751"/>
    <w:p w:rsidR="007636B0" w:rsidRPr="00E37595" w:rsidRDefault="007636B0" w:rsidP="00E37595">
      <w:pPr>
        <w:pStyle w:val="Heading2"/>
      </w:pPr>
      <w:bookmarkStart w:id="47" w:name="_Toc351714287"/>
      <w:r w:rsidRPr="00E37595">
        <w:t>Calculated HILs</w:t>
      </w:r>
      <w:bookmarkEnd w:id="47"/>
    </w:p>
    <w:p w:rsidR="007636B0" w:rsidRDefault="007636B0" w:rsidP="007636B0">
      <w:r>
        <w:t>On the basis of the above, the following HILs have been derived for MCPA, MCPB and mecoprop (as individual compounds)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287"/>
        <w:gridCol w:w="1445"/>
        <w:gridCol w:w="1517"/>
        <w:gridCol w:w="1553"/>
        <w:gridCol w:w="1392"/>
      </w:tblGrid>
      <w:tr w:rsidR="007636B0" w:rsidRPr="00C64237" w:rsidTr="00B45DD6">
        <w:tc>
          <w:tcPr>
            <w:tcW w:w="1639" w:type="dxa"/>
            <w:vMerge w:val="restart"/>
            <w:shd w:val="clear" w:color="auto" w:fill="C6D9F1" w:themeFill="text2" w:themeFillTint="33"/>
          </w:tcPr>
          <w:p w:rsidR="007636B0" w:rsidRPr="00C64237" w:rsidRDefault="007636B0" w:rsidP="00B45DD6">
            <w:pPr>
              <w:spacing w:after="40"/>
              <w:rPr>
                <w:b/>
                <w:szCs w:val="22"/>
              </w:rPr>
            </w:pPr>
            <w:r w:rsidRPr="00C64237">
              <w:rPr>
                <w:b/>
                <w:szCs w:val="22"/>
              </w:rPr>
              <w:t>HIL Scenario</w:t>
            </w:r>
          </w:p>
        </w:tc>
        <w:tc>
          <w:tcPr>
            <w:tcW w:w="1287" w:type="dxa"/>
            <w:vMerge w:val="restart"/>
            <w:shd w:val="clear" w:color="auto" w:fill="C6D9F1" w:themeFill="text2" w:themeFillTint="33"/>
          </w:tcPr>
          <w:p w:rsidR="007636B0" w:rsidRPr="00C64237" w:rsidRDefault="007636B0" w:rsidP="00B45DD6">
            <w:pPr>
              <w:spacing w:after="40"/>
              <w:jc w:val="center"/>
              <w:rPr>
                <w:b/>
                <w:szCs w:val="22"/>
              </w:rPr>
            </w:pPr>
            <w:r w:rsidRPr="00C64237">
              <w:rPr>
                <w:b/>
                <w:szCs w:val="22"/>
              </w:rPr>
              <w:t>HIL (mg/kg)</w:t>
            </w:r>
          </w:p>
        </w:tc>
        <w:tc>
          <w:tcPr>
            <w:tcW w:w="5907" w:type="dxa"/>
            <w:gridSpan w:val="4"/>
            <w:shd w:val="clear" w:color="auto" w:fill="C6D9F1" w:themeFill="text2" w:themeFillTint="33"/>
          </w:tcPr>
          <w:p w:rsidR="007636B0" w:rsidRPr="00C64237" w:rsidRDefault="007636B0" w:rsidP="00B45DD6">
            <w:pPr>
              <w:spacing w:after="40"/>
              <w:jc w:val="center"/>
              <w:rPr>
                <w:b/>
                <w:szCs w:val="22"/>
              </w:rPr>
            </w:pPr>
            <w:r w:rsidRPr="00C64237">
              <w:rPr>
                <w:b/>
                <w:szCs w:val="22"/>
              </w:rPr>
              <w:t>Percentage Contribution from Exposure Pathways</w:t>
            </w:r>
          </w:p>
        </w:tc>
      </w:tr>
      <w:tr w:rsidR="007636B0" w:rsidRPr="00C64237" w:rsidTr="00B45DD6">
        <w:trPr>
          <w:trHeight w:val="427"/>
        </w:trPr>
        <w:tc>
          <w:tcPr>
            <w:tcW w:w="1639" w:type="dxa"/>
            <w:vMerge/>
            <w:shd w:val="clear" w:color="auto" w:fill="C6D9F1" w:themeFill="text2" w:themeFillTint="33"/>
          </w:tcPr>
          <w:p w:rsidR="007636B0" w:rsidRPr="00C64237" w:rsidRDefault="007636B0" w:rsidP="00B45DD6">
            <w:pPr>
              <w:spacing w:after="40"/>
              <w:rPr>
                <w:szCs w:val="22"/>
              </w:rPr>
            </w:pPr>
          </w:p>
        </w:tc>
        <w:tc>
          <w:tcPr>
            <w:tcW w:w="1287" w:type="dxa"/>
            <w:vMerge/>
            <w:shd w:val="clear" w:color="auto" w:fill="C6D9F1" w:themeFill="text2" w:themeFillTint="33"/>
          </w:tcPr>
          <w:p w:rsidR="007636B0" w:rsidRPr="00C64237" w:rsidRDefault="007636B0" w:rsidP="00B45DD6">
            <w:pPr>
              <w:spacing w:after="40"/>
              <w:jc w:val="center"/>
              <w:rPr>
                <w:szCs w:val="22"/>
              </w:rPr>
            </w:pPr>
          </w:p>
        </w:tc>
        <w:tc>
          <w:tcPr>
            <w:tcW w:w="1445" w:type="dxa"/>
            <w:shd w:val="clear" w:color="auto" w:fill="C6D9F1" w:themeFill="text2" w:themeFillTint="33"/>
          </w:tcPr>
          <w:p w:rsidR="007636B0" w:rsidRPr="00C64237" w:rsidRDefault="007636B0" w:rsidP="00B45DD6">
            <w:pPr>
              <w:spacing w:after="40"/>
              <w:jc w:val="center"/>
              <w:rPr>
                <w:b/>
                <w:szCs w:val="22"/>
              </w:rPr>
            </w:pPr>
            <w:r w:rsidRPr="00C64237">
              <w:rPr>
                <w:b/>
                <w:szCs w:val="22"/>
              </w:rPr>
              <w:t>Ingestion of Soil/Dust</w:t>
            </w:r>
          </w:p>
        </w:tc>
        <w:tc>
          <w:tcPr>
            <w:tcW w:w="1517" w:type="dxa"/>
            <w:shd w:val="clear" w:color="auto" w:fill="C6D9F1" w:themeFill="text2" w:themeFillTint="33"/>
          </w:tcPr>
          <w:p w:rsidR="007636B0" w:rsidRPr="00C64237" w:rsidRDefault="007636B0" w:rsidP="00B45DD6">
            <w:pPr>
              <w:spacing w:after="40"/>
              <w:jc w:val="center"/>
              <w:rPr>
                <w:b/>
                <w:szCs w:val="22"/>
              </w:rPr>
            </w:pPr>
            <w:r w:rsidRPr="00C64237">
              <w:rPr>
                <w:b/>
                <w:szCs w:val="22"/>
              </w:rPr>
              <w:t>Ingestion of Home-grown Produce</w:t>
            </w:r>
          </w:p>
        </w:tc>
        <w:tc>
          <w:tcPr>
            <w:tcW w:w="1553" w:type="dxa"/>
            <w:shd w:val="clear" w:color="auto" w:fill="C6D9F1" w:themeFill="text2" w:themeFillTint="33"/>
          </w:tcPr>
          <w:p w:rsidR="007636B0" w:rsidRPr="00C64237" w:rsidRDefault="007636B0" w:rsidP="00B45DD6">
            <w:pPr>
              <w:spacing w:after="40"/>
              <w:jc w:val="center"/>
              <w:rPr>
                <w:b/>
                <w:szCs w:val="22"/>
              </w:rPr>
            </w:pPr>
            <w:r w:rsidRPr="00C64237">
              <w:rPr>
                <w:b/>
                <w:szCs w:val="22"/>
              </w:rPr>
              <w:t>Dermal Absorption of Soil/Dust</w:t>
            </w:r>
          </w:p>
        </w:tc>
        <w:tc>
          <w:tcPr>
            <w:tcW w:w="1392" w:type="dxa"/>
            <w:shd w:val="clear" w:color="auto" w:fill="C6D9F1" w:themeFill="text2" w:themeFillTint="33"/>
          </w:tcPr>
          <w:p w:rsidR="007636B0" w:rsidRPr="00C64237" w:rsidRDefault="007636B0" w:rsidP="00B45DD6">
            <w:pPr>
              <w:spacing w:after="40"/>
              <w:jc w:val="center"/>
              <w:rPr>
                <w:b/>
                <w:szCs w:val="22"/>
              </w:rPr>
            </w:pPr>
            <w:r w:rsidRPr="00C64237">
              <w:rPr>
                <w:b/>
                <w:szCs w:val="22"/>
              </w:rPr>
              <w:t>Inhalation (dust)</w:t>
            </w:r>
          </w:p>
        </w:tc>
      </w:tr>
      <w:tr w:rsidR="007636B0" w:rsidRPr="00C64237" w:rsidTr="00B45DD6">
        <w:tc>
          <w:tcPr>
            <w:tcW w:w="1639" w:type="dxa"/>
          </w:tcPr>
          <w:p w:rsidR="007636B0" w:rsidRPr="00C64237" w:rsidRDefault="007636B0" w:rsidP="00B45DD6">
            <w:pPr>
              <w:spacing w:after="40"/>
              <w:rPr>
                <w:szCs w:val="22"/>
              </w:rPr>
            </w:pPr>
            <w:r w:rsidRPr="00C64237">
              <w:rPr>
                <w:szCs w:val="22"/>
              </w:rPr>
              <w:t>Residential A</w:t>
            </w:r>
          </w:p>
        </w:tc>
        <w:tc>
          <w:tcPr>
            <w:tcW w:w="1287" w:type="dxa"/>
            <w:tcMar>
              <w:right w:w="397" w:type="dxa"/>
            </w:tcMar>
          </w:tcPr>
          <w:p w:rsidR="007636B0" w:rsidRPr="00C64237" w:rsidRDefault="007636B0" w:rsidP="00B45DD6">
            <w:pPr>
              <w:spacing w:after="40"/>
              <w:jc w:val="right"/>
              <w:rPr>
                <w:szCs w:val="22"/>
              </w:rPr>
            </w:pPr>
            <w:r w:rsidRPr="00C64237">
              <w:rPr>
                <w:szCs w:val="22"/>
              </w:rPr>
              <w:t>600</w:t>
            </w:r>
          </w:p>
        </w:tc>
        <w:tc>
          <w:tcPr>
            <w:tcW w:w="1445" w:type="dxa"/>
          </w:tcPr>
          <w:p w:rsidR="007636B0" w:rsidRPr="00C64237" w:rsidRDefault="007636B0" w:rsidP="00B45DD6">
            <w:pPr>
              <w:spacing w:after="40"/>
              <w:jc w:val="center"/>
              <w:rPr>
                <w:szCs w:val="22"/>
              </w:rPr>
            </w:pPr>
            <w:r w:rsidRPr="00C64237">
              <w:rPr>
                <w:szCs w:val="22"/>
              </w:rPr>
              <w:t>43</w:t>
            </w:r>
          </w:p>
        </w:tc>
        <w:tc>
          <w:tcPr>
            <w:tcW w:w="1517" w:type="dxa"/>
          </w:tcPr>
          <w:p w:rsidR="007636B0" w:rsidRPr="00C64237" w:rsidRDefault="007636B0" w:rsidP="00B45DD6">
            <w:pPr>
              <w:spacing w:after="40"/>
              <w:jc w:val="center"/>
              <w:rPr>
                <w:szCs w:val="22"/>
              </w:rPr>
            </w:pPr>
            <w:r w:rsidRPr="00C64237">
              <w:rPr>
                <w:szCs w:val="22"/>
              </w:rPr>
              <w:t>--</w:t>
            </w:r>
          </w:p>
        </w:tc>
        <w:tc>
          <w:tcPr>
            <w:tcW w:w="1553" w:type="dxa"/>
          </w:tcPr>
          <w:p w:rsidR="007636B0" w:rsidRPr="00C64237" w:rsidRDefault="007636B0" w:rsidP="00B45DD6">
            <w:pPr>
              <w:spacing w:after="40"/>
              <w:jc w:val="center"/>
              <w:rPr>
                <w:szCs w:val="22"/>
              </w:rPr>
            </w:pPr>
            <w:r w:rsidRPr="00C64237">
              <w:rPr>
                <w:szCs w:val="22"/>
              </w:rPr>
              <w:t>57</w:t>
            </w:r>
          </w:p>
        </w:tc>
        <w:tc>
          <w:tcPr>
            <w:tcW w:w="1392" w:type="dxa"/>
          </w:tcPr>
          <w:p w:rsidR="007636B0" w:rsidRPr="00C64237" w:rsidRDefault="007636B0" w:rsidP="00B45DD6">
            <w:pPr>
              <w:spacing w:after="40"/>
              <w:jc w:val="center"/>
              <w:rPr>
                <w:szCs w:val="22"/>
              </w:rPr>
            </w:pPr>
            <w:r w:rsidRPr="00C64237">
              <w:rPr>
                <w:szCs w:val="22"/>
              </w:rPr>
              <w:t>&lt;1</w:t>
            </w:r>
          </w:p>
        </w:tc>
      </w:tr>
      <w:tr w:rsidR="007636B0" w:rsidRPr="00C64237" w:rsidTr="00B45DD6">
        <w:tc>
          <w:tcPr>
            <w:tcW w:w="1639" w:type="dxa"/>
          </w:tcPr>
          <w:p w:rsidR="007636B0" w:rsidRPr="00C64237" w:rsidRDefault="007636B0" w:rsidP="00B45DD6">
            <w:pPr>
              <w:spacing w:after="40"/>
              <w:rPr>
                <w:szCs w:val="22"/>
              </w:rPr>
            </w:pPr>
            <w:r w:rsidRPr="00C64237">
              <w:rPr>
                <w:szCs w:val="22"/>
              </w:rPr>
              <w:t>Residential B</w:t>
            </w:r>
          </w:p>
        </w:tc>
        <w:tc>
          <w:tcPr>
            <w:tcW w:w="1287" w:type="dxa"/>
            <w:tcMar>
              <w:right w:w="397" w:type="dxa"/>
            </w:tcMar>
          </w:tcPr>
          <w:p w:rsidR="007636B0" w:rsidRPr="00C64237" w:rsidRDefault="007636B0" w:rsidP="00B45DD6">
            <w:pPr>
              <w:spacing w:after="40"/>
              <w:jc w:val="right"/>
              <w:rPr>
                <w:szCs w:val="22"/>
              </w:rPr>
            </w:pPr>
            <w:r w:rsidRPr="00C64237">
              <w:rPr>
                <w:szCs w:val="22"/>
              </w:rPr>
              <w:t>900</w:t>
            </w:r>
          </w:p>
        </w:tc>
        <w:tc>
          <w:tcPr>
            <w:tcW w:w="1445" w:type="dxa"/>
          </w:tcPr>
          <w:p w:rsidR="007636B0" w:rsidRPr="00C64237" w:rsidRDefault="007636B0" w:rsidP="00B45DD6">
            <w:pPr>
              <w:spacing w:after="40"/>
              <w:jc w:val="center"/>
              <w:rPr>
                <w:szCs w:val="22"/>
              </w:rPr>
            </w:pPr>
            <w:r w:rsidRPr="00C64237">
              <w:rPr>
                <w:szCs w:val="22"/>
              </w:rPr>
              <w:t>16</w:t>
            </w:r>
          </w:p>
        </w:tc>
        <w:tc>
          <w:tcPr>
            <w:tcW w:w="1517" w:type="dxa"/>
          </w:tcPr>
          <w:p w:rsidR="007636B0" w:rsidRPr="00C64237" w:rsidRDefault="007636B0" w:rsidP="00B45DD6">
            <w:pPr>
              <w:spacing w:after="40"/>
              <w:jc w:val="center"/>
              <w:rPr>
                <w:szCs w:val="22"/>
              </w:rPr>
            </w:pPr>
            <w:r w:rsidRPr="00C64237">
              <w:rPr>
                <w:szCs w:val="22"/>
              </w:rPr>
              <w:t>--</w:t>
            </w:r>
          </w:p>
        </w:tc>
        <w:tc>
          <w:tcPr>
            <w:tcW w:w="1553" w:type="dxa"/>
          </w:tcPr>
          <w:p w:rsidR="007636B0" w:rsidRPr="00C64237" w:rsidRDefault="007636B0" w:rsidP="00B45DD6">
            <w:pPr>
              <w:spacing w:after="40"/>
              <w:jc w:val="center"/>
              <w:rPr>
                <w:szCs w:val="22"/>
              </w:rPr>
            </w:pPr>
            <w:r w:rsidRPr="00C64237">
              <w:rPr>
                <w:szCs w:val="22"/>
              </w:rPr>
              <w:t>84</w:t>
            </w:r>
          </w:p>
        </w:tc>
        <w:tc>
          <w:tcPr>
            <w:tcW w:w="1392" w:type="dxa"/>
          </w:tcPr>
          <w:p w:rsidR="007636B0" w:rsidRPr="00C64237" w:rsidRDefault="007636B0" w:rsidP="00B45DD6">
            <w:pPr>
              <w:spacing w:after="40"/>
              <w:jc w:val="center"/>
              <w:rPr>
                <w:szCs w:val="22"/>
              </w:rPr>
            </w:pPr>
            <w:r w:rsidRPr="00C64237">
              <w:rPr>
                <w:szCs w:val="22"/>
              </w:rPr>
              <w:t>&lt;1</w:t>
            </w:r>
          </w:p>
        </w:tc>
      </w:tr>
      <w:tr w:rsidR="007636B0" w:rsidRPr="00C64237" w:rsidTr="00B45DD6">
        <w:tc>
          <w:tcPr>
            <w:tcW w:w="1639" w:type="dxa"/>
          </w:tcPr>
          <w:p w:rsidR="007636B0" w:rsidRPr="00C64237" w:rsidRDefault="007636B0" w:rsidP="00B45DD6">
            <w:pPr>
              <w:spacing w:after="40"/>
              <w:rPr>
                <w:szCs w:val="22"/>
              </w:rPr>
            </w:pPr>
            <w:r w:rsidRPr="00C64237">
              <w:rPr>
                <w:szCs w:val="22"/>
              </w:rPr>
              <w:t>Recreational C</w:t>
            </w:r>
          </w:p>
        </w:tc>
        <w:tc>
          <w:tcPr>
            <w:tcW w:w="1287" w:type="dxa"/>
            <w:tcMar>
              <w:right w:w="397" w:type="dxa"/>
            </w:tcMar>
          </w:tcPr>
          <w:p w:rsidR="007636B0" w:rsidRPr="00C64237" w:rsidRDefault="007636B0" w:rsidP="00B45DD6">
            <w:pPr>
              <w:spacing w:after="40"/>
              <w:jc w:val="right"/>
              <w:rPr>
                <w:szCs w:val="22"/>
              </w:rPr>
            </w:pPr>
            <w:r w:rsidRPr="00C64237">
              <w:rPr>
                <w:szCs w:val="22"/>
              </w:rPr>
              <w:t>800</w:t>
            </w:r>
          </w:p>
        </w:tc>
        <w:tc>
          <w:tcPr>
            <w:tcW w:w="1445" w:type="dxa"/>
          </w:tcPr>
          <w:p w:rsidR="007636B0" w:rsidRPr="00C64237" w:rsidRDefault="007636B0" w:rsidP="00B45DD6">
            <w:pPr>
              <w:spacing w:after="40"/>
              <w:jc w:val="center"/>
              <w:rPr>
                <w:szCs w:val="22"/>
              </w:rPr>
            </w:pPr>
            <w:r w:rsidRPr="00C64237">
              <w:rPr>
                <w:szCs w:val="22"/>
              </w:rPr>
              <w:t>27</w:t>
            </w:r>
          </w:p>
        </w:tc>
        <w:tc>
          <w:tcPr>
            <w:tcW w:w="1517" w:type="dxa"/>
          </w:tcPr>
          <w:p w:rsidR="007636B0" w:rsidRPr="00C64237" w:rsidRDefault="007636B0" w:rsidP="00B45DD6">
            <w:pPr>
              <w:spacing w:after="40"/>
              <w:jc w:val="center"/>
              <w:rPr>
                <w:szCs w:val="22"/>
              </w:rPr>
            </w:pPr>
            <w:r w:rsidRPr="00C64237">
              <w:rPr>
                <w:szCs w:val="22"/>
              </w:rPr>
              <w:t>--</w:t>
            </w:r>
          </w:p>
        </w:tc>
        <w:tc>
          <w:tcPr>
            <w:tcW w:w="1553" w:type="dxa"/>
          </w:tcPr>
          <w:p w:rsidR="007636B0" w:rsidRPr="00C64237" w:rsidRDefault="007636B0" w:rsidP="00B45DD6">
            <w:pPr>
              <w:spacing w:after="40"/>
              <w:jc w:val="center"/>
              <w:rPr>
                <w:szCs w:val="22"/>
              </w:rPr>
            </w:pPr>
            <w:r w:rsidRPr="00C64237">
              <w:rPr>
                <w:szCs w:val="22"/>
              </w:rPr>
              <w:t>73</w:t>
            </w:r>
          </w:p>
        </w:tc>
        <w:tc>
          <w:tcPr>
            <w:tcW w:w="1392" w:type="dxa"/>
          </w:tcPr>
          <w:p w:rsidR="007636B0" w:rsidRPr="00C64237" w:rsidRDefault="007636B0" w:rsidP="00B45DD6">
            <w:pPr>
              <w:spacing w:after="40"/>
              <w:jc w:val="center"/>
              <w:rPr>
                <w:szCs w:val="22"/>
              </w:rPr>
            </w:pPr>
            <w:r w:rsidRPr="00C64237">
              <w:rPr>
                <w:szCs w:val="22"/>
              </w:rPr>
              <w:t>&lt;1</w:t>
            </w:r>
          </w:p>
        </w:tc>
      </w:tr>
      <w:tr w:rsidR="007636B0" w:rsidRPr="00C64237" w:rsidTr="00B45DD6">
        <w:tc>
          <w:tcPr>
            <w:tcW w:w="1639" w:type="dxa"/>
          </w:tcPr>
          <w:p w:rsidR="007636B0" w:rsidRPr="00C64237" w:rsidRDefault="007636B0" w:rsidP="00B45DD6">
            <w:pPr>
              <w:spacing w:after="40"/>
              <w:rPr>
                <w:szCs w:val="22"/>
              </w:rPr>
            </w:pPr>
            <w:r w:rsidRPr="00C64237">
              <w:rPr>
                <w:szCs w:val="22"/>
              </w:rPr>
              <w:t>Commercial D</w:t>
            </w:r>
          </w:p>
        </w:tc>
        <w:tc>
          <w:tcPr>
            <w:tcW w:w="1287" w:type="dxa"/>
            <w:tcMar>
              <w:right w:w="397" w:type="dxa"/>
            </w:tcMar>
          </w:tcPr>
          <w:p w:rsidR="007636B0" w:rsidRPr="00C64237" w:rsidRDefault="007636B0" w:rsidP="00B45DD6">
            <w:pPr>
              <w:spacing w:after="40"/>
              <w:jc w:val="right"/>
              <w:rPr>
                <w:szCs w:val="22"/>
              </w:rPr>
            </w:pPr>
            <w:r w:rsidRPr="00C64237">
              <w:rPr>
                <w:szCs w:val="22"/>
              </w:rPr>
              <w:t>5000</w:t>
            </w:r>
          </w:p>
        </w:tc>
        <w:tc>
          <w:tcPr>
            <w:tcW w:w="1445" w:type="dxa"/>
          </w:tcPr>
          <w:p w:rsidR="007636B0" w:rsidRPr="00C64237" w:rsidRDefault="007636B0" w:rsidP="00B45DD6">
            <w:pPr>
              <w:spacing w:after="40"/>
              <w:jc w:val="center"/>
              <w:rPr>
                <w:szCs w:val="22"/>
              </w:rPr>
            </w:pPr>
            <w:r w:rsidRPr="00C64237">
              <w:rPr>
                <w:szCs w:val="22"/>
              </w:rPr>
              <w:t>12</w:t>
            </w:r>
          </w:p>
        </w:tc>
        <w:tc>
          <w:tcPr>
            <w:tcW w:w="1517" w:type="dxa"/>
          </w:tcPr>
          <w:p w:rsidR="007636B0" w:rsidRPr="00C64237" w:rsidRDefault="007636B0" w:rsidP="00B45DD6">
            <w:pPr>
              <w:spacing w:after="40"/>
              <w:jc w:val="center"/>
              <w:rPr>
                <w:szCs w:val="22"/>
              </w:rPr>
            </w:pPr>
            <w:r w:rsidRPr="00C64237">
              <w:rPr>
                <w:szCs w:val="22"/>
              </w:rPr>
              <w:t>--</w:t>
            </w:r>
          </w:p>
        </w:tc>
        <w:tc>
          <w:tcPr>
            <w:tcW w:w="1553" w:type="dxa"/>
          </w:tcPr>
          <w:p w:rsidR="007636B0" w:rsidRPr="00C64237" w:rsidRDefault="007636B0" w:rsidP="00B45DD6">
            <w:pPr>
              <w:spacing w:after="40"/>
              <w:jc w:val="center"/>
              <w:rPr>
                <w:szCs w:val="22"/>
              </w:rPr>
            </w:pPr>
            <w:r w:rsidRPr="00C64237">
              <w:rPr>
                <w:szCs w:val="22"/>
              </w:rPr>
              <w:t>88</w:t>
            </w:r>
          </w:p>
        </w:tc>
        <w:tc>
          <w:tcPr>
            <w:tcW w:w="1392" w:type="dxa"/>
          </w:tcPr>
          <w:p w:rsidR="007636B0" w:rsidRPr="00C64237" w:rsidRDefault="007636B0" w:rsidP="00B45DD6">
            <w:pPr>
              <w:spacing w:after="40"/>
              <w:jc w:val="center"/>
              <w:rPr>
                <w:szCs w:val="22"/>
              </w:rPr>
            </w:pPr>
            <w:r w:rsidRPr="00C64237">
              <w:rPr>
                <w:szCs w:val="22"/>
              </w:rPr>
              <w:t>&lt;1</w:t>
            </w:r>
          </w:p>
        </w:tc>
      </w:tr>
    </w:tbl>
    <w:p w:rsidR="007636B0" w:rsidRPr="00C64237" w:rsidRDefault="007636B0" w:rsidP="007636B0">
      <w:pPr>
        <w:rPr>
          <w:sz w:val="18"/>
          <w:szCs w:val="18"/>
        </w:rPr>
      </w:pPr>
      <w:r w:rsidRPr="00C64237">
        <w:rPr>
          <w:sz w:val="18"/>
          <w:szCs w:val="18"/>
        </w:rPr>
        <w:t>-- Pathway not included in derivation of HIL</w:t>
      </w:r>
    </w:p>
    <w:p w:rsidR="007636B0" w:rsidRDefault="007636B0" w:rsidP="007636B0"/>
    <w:p w:rsidR="007636B0" w:rsidRDefault="007636B0" w:rsidP="007636B0">
      <w:pPr>
        <w:pStyle w:val="Heading2"/>
        <w:tabs>
          <w:tab w:val="clear" w:pos="1209"/>
        </w:tabs>
      </w:pPr>
      <w:bookmarkStart w:id="48" w:name="_Toc351714288"/>
      <w:r>
        <w:t>References</w:t>
      </w:r>
      <w:bookmarkEnd w:id="48"/>
    </w:p>
    <w:p w:rsidR="007636B0" w:rsidRPr="00C64237" w:rsidRDefault="007636B0" w:rsidP="007636B0">
      <w:pPr>
        <w:pStyle w:val="StyletextLeft0cmHanging1cm"/>
      </w:pPr>
      <w:r w:rsidRPr="00C64237">
        <w:t xml:space="preserve">FSANZ 2003, </w:t>
      </w:r>
      <w:r w:rsidRPr="00C64237">
        <w:rPr>
          <w:i/>
        </w:rPr>
        <w:t>The 20th Australian Total Diet Survey</w:t>
      </w:r>
      <w:r w:rsidRPr="00C64237">
        <w:t xml:space="preserve">, a total diet survey of pesticide residues and contaminants, website: </w:t>
      </w:r>
      <w:hyperlink r:id="rId24" w:history="1">
        <w:r w:rsidRPr="00C64237">
          <w:rPr>
            <w:rStyle w:val="Hyperlink"/>
            <w:i/>
            <w:iCs/>
            <w:szCs w:val="22"/>
          </w:rPr>
          <w:t>http://www.anzfa.gov.au/</w:t>
        </w:r>
      </w:hyperlink>
      <w:r w:rsidRPr="00C64237">
        <w:t>.</w:t>
      </w:r>
    </w:p>
    <w:p w:rsidR="007636B0" w:rsidRPr="00C64237" w:rsidRDefault="007636B0" w:rsidP="007636B0">
      <w:pPr>
        <w:pStyle w:val="StyletextLeft0cmHanging1cm"/>
        <w:rPr>
          <w:lang w:eastAsia="en-US"/>
        </w:rPr>
      </w:pPr>
      <w:r w:rsidRPr="00C64237">
        <w:rPr>
          <w:lang w:eastAsia="en-US"/>
        </w:rPr>
        <w:t xml:space="preserve">FSANZ 2011, </w:t>
      </w:r>
      <w:r w:rsidRPr="00C64237">
        <w:rPr>
          <w:i/>
          <w:lang w:eastAsia="en-US"/>
        </w:rPr>
        <w:t>The 23</w:t>
      </w:r>
      <w:r w:rsidRPr="00C64237">
        <w:rPr>
          <w:i/>
          <w:vertAlign w:val="superscript"/>
          <w:lang w:eastAsia="en-US"/>
        </w:rPr>
        <w:t>rd</w:t>
      </w:r>
      <w:r w:rsidRPr="00C64237">
        <w:rPr>
          <w:i/>
          <w:lang w:eastAsia="en-US"/>
        </w:rPr>
        <w:t xml:space="preserve"> Australian Total Diet Study</w:t>
      </w:r>
      <w:r w:rsidRPr="00C64237">
        <w:rPr>
          <w:lang w:eastAsia="en-US"/>
        </w:rPr>
        <w:t>, Food Standards Australia and New Zealand.</w:t>
      </w:r>
    </w:p>
    <w:p w:rsidR="007636B0" w:rsidRPr="00C64237" w:rsidRDefault="007636B0" w:rsidP="007636B0">
      <w:pPr>
        <w:pStyle w:val="StyletextLeft0cmHanging1cm"/>
      </w:pPr>
      <w:r w:rsidRPr="00C64237">
        <w:t xml:space="preserve">HSDB (2010), </w:t>
      </w:r>
      <w:r w:rsidRPr="00C64237">
        <w:rPr>
          <w:i/>
        </w:rPr>
        <w:t>Hazardous Substances Data Bank</w:t>
      </w:r>
      <w:r w:rsidRPr="00C64237">
        <w:t xml:space="preserve">, online database available from: </w:t>
      </w:r>
      <w:hyperlink r:id="rId25" w:history="1">
        <w:r w:rsidRPr="00C64237">
          <w:rPr>
            <w:rStyle w:val="Hyperlink"/>
            <w:szCs w:val="22"/>
          </w:rPr>
          <w:t>http://toxnet.nlm.nih.gov/cgi-bin/sis/htmlgen?HSDB</w:t>
        </w:r>
      </w:hyperlink>
      <w:r w:rsidRPr="00C64237">
        <w:t>.</w:t>
      </w:r>
    </w:p>
    <w:p w:rsidR="007636B0" w:rsidRPr="00C64237" w:rsidRDefault="007636B0" w:rsidP="007636B0">
      <w:pPr>
        <w:pStyle w:val="StyletextLeft0cmHanging1cm"/>
      </w:pPr>
      <w:r w:rsidRPr="00C64237">
        <w:t xml:space="preserve">IARC 1987, </w:t>
      </w:r>
      <w:r w:rsidRPr="00C64237">
        <w:rPr>
          <w:i/>
        </w:rPr>
        <w:t>Summaries and Evaluations, Chlorophenoxy herbicides</w:t>
      </w:r>
      <w:r w:rsidRPr="00C64237">
        <w:t>, Supplement 7, (1987), p.256, International Agency for Research on Cancer.</w:t>
      </w:r>
    </w:p>
    <w:p w:rsidR="007636B0" w:rsidRPr="00C64237" w:rsidRDefault="007636B0" w:rsidP="007636B0">
      <w:pPr>
        <w:pStyle w:val="StyletextLeft0cmHanging1cm"/>
      </w:pPr>
      <w:r w:rsidRPr="00C64237">
        <w:lastRenderedPageBreak/>
        <w:t xml:space="preserve">NEPC 1999, </w:t>
      </w:r>
      <w:r w:rsidRPr="00C64237">
        <w:rPr>
          <w:i/>
        </w:rPr>
        <w:t>Schedule B (7a), Guideline on Health-Based Investigation Levels, National Environment Protection (Assessment of Site Contamination) Measure</w:t>
      </w:r>
      <w:r w:rsidRPr="00C64237">
        <w:t>, National Environment Protection Council, Australia.</w:t>
      </w:r>
    </w:p>
    <w:p w:rsidR="007636B0" w:rsidRPr="00C64237" w:rsidRDefault="007636B0" w:rsidP="007636B0">
      <w:pPr>
        <w:pStyle w:val="StyletextLeft0cmHanging1cm"/>
        <w:rPr>
          <w:noProof/>
        </w:rPr>
      </w:pPr>
      <w:r w:rsidRPr="00C64237">
        <w:t xml:space="preserve">NHMRC 2011, </w:t>
      </w:r>
      <w:r w:rsidRPr="00C64237">
        <w:rPr>
          <w:i/>
          <w:iCs/>
        </w:rPr>
        <w:t>National water quality management strategy, Australian drinking water guidelines</w:t>
      </w:r>
      <w:r w:rsidRPr="00C64237">
        <w:t>, National Health and Medical Research Council, Australia</w:t>
      </w:r>
      <w:r w:rsidRPr="00C64237">
        <w:rPr>
          <w:noProof/>
        </w:rPr>
        <w:t>.</w:t>
      </w:r>
    </w:p>
    <w:p w:rsidR="007636B0" w:rsidRPr="00C64237" w:rsidRDefault="007636B0" w:rsidP="007636B0">
      <w:pPr>
        <w:pStyle w:val="StyletextLeft0cmHanging1cm"/>
        <w:rPr>
          <w:rFonts w:cs="Arial"/>
          <w:noProof/>
        </w:rPr>
      </w:pPr>
      <w:r w:rsidRPr="00C64237">
        <w:rPr>
          <w:rFonts w:cs="Arial"/>
          <w:noProof/>
        </w:rPr>
        <w:t xml:space="preserve">OCS 2012, </w:t>
      </w:r>
      <w:r w:rsidRPr="00C64237">
        <w:rPr>
          <w:rFonts w:cs="Arial"/>
          <w:i/>
          <w:noProof/>
        </w:rPr>
        <w:t>ADI List, Acceptable Daily Intakes for Agricultural and Veterinary Chemicals</w:t>
      </w:r>
      <w:r w:rsidRPr="00C64237">
        <w:rPr>
          <w:rFonts w:cs="Arial"/>
          <w:noProof/>
        </w:rPr>
        <w:t xml:space="preserve">, current to 31 March 2012, Australian Government, Department of Health and Ageing, Office of Chemical Safety (OCS), available from: </w:t>
      </w:r>
      <w:r w:rsidRPr="00C64237">
        <w:rPr>
          <w:rFonts w:cs="Arial"/>
        </w:rPr>
        <w:t>http://www.health.gov.au/internet/main/publishing.nsf/content/E8F4D2F95D616584CA2573D700770C2A/$File/ADI-apr12.pdf.</w:t>
      </w:r>
    </w:p>
    <w:p w:rsidR="007636B0" w:rsidRPr="00C64237" w:rsidRDefault="007636B0" w:rsidP="007636B0">
      <w:pPr>
        <w:pStyle w:val="StyletextLeft0cmHanging1cm"/>
      </w:pPr>
      <w:r w:rsidRPr="00C64237">
        <w:t xml:space="preserve">US EPA 1995, </w:t>
      </w:r>
      <w:r w:rsidRPr="00C64237">
        <w:rPr>
          <w:i/>
        </w:rPr>
        <w:t>Technical Guidance Manual, Assessing Dermal Exposure from Soil</w:t>
      </w:r>
      <w:r w:rsidRPr="00C64237">
        <w:t xml:space="preserve">, US EPA Region 3, December 1995, available from: </w:t>
      </w:r>
      <w:hyperlink r:id="rId26" w:history="1">
        <w:r w:rsidRPr="00C64237">
          <w:rPr>
            <w:rStyle w:val="Hyperlink"/>
            <w:szCs w:val="22"/>
          </w:rPr>
          <w:t>http://www.epa.gov/reg3hwmd/risk/human/info/solabsg2.htm</w:t>
        </w:r>
      </w:hyperlink>
      <w:r w:rsidRPr="00C64237">
        <w:t xml:space="preserve">. </w:t>
      </w:r>
    </w:p>
    <w:p w:rsidR="007636B0" w:rsidRPr="00C64237" w:rsidRDefault="007636B0" w:rsidP="007636B0">
      <w:pPr>
        <w:pStyle w:val="StyletextLeft0cmHanging1cm"/>
        <w:rPr>
          <w:rFonts w:cs="Arial"/>
        </w:rPr>
      </w:pPr>
      <w:r w:rsidRPr="00C64237">
        <w:t xml:space="preserve">US EPA (IRIS 2012), data and information available from the </w:t>
      </w:r>
      <w:r w:rsidRPr="00C64237">
        <w:rPr>
          <w:i/>
        </w:rPr>
        <w:t>Integrated Risk Information System</w:t>
      </w:r>
      <w:r w:rsidRPr="00C64237">
        <w:t xml:space="preserve">, an online database, available from </w:t>
      </w:r>
      <w:hyperlink r:id="rId27" w:history="1">
        <w:r w:rsidRPr="00C64237">
          <w:rPr>
            <w:rStyle w:val="Hyperlink"/>
            <w:szCs w:val="22"/>
          </w:rPr>
          <w:t>http://www.epa.gov/iris/</w:t>
        </w:r>
      </w:hyperlink>
      <w:r w:rsidRPr="00C64237">
        <w:t>.</w:t>
      </w:r>
    </w:p>
    <w:p w:rsidR="007636B0" w:rsidRPr="00C64237" w:rsidRDefault="007636B0" w:rsidP="007636B0">
      <w:pPr>
        <w:pStyle w:val="StyletextLeft0cmHanging1cm"/>
      </w:pPr>
      <w:r w:rsidRPr="00C64237">
        <w:t xml:space="preserve">WHO 2011, </w:t>
      </w:r>
      <w:r w:rsidRPr="00C64237">
        <w:rPr>
          <w:i/>
        </w:rPr>
        <w:t>Guidelines for drinking-water quality, 4</w:t>
      </w:r>
      <w:r w:rsidRPr="00C64237">
        <w:rPr>
          <w:i/>
          <w:vertAlign w:val="subscript"/>
        </w:rPr>
        <w:t>th</w:t>
      </w:r>
      <w:r w:rsidRPr="00C64237">
        <w:rPr>
          <w:i/>
        </w:rPr>
        <w:t xml:space="preserve"> edition</w:t>
      </w:r>
      <w:r w:rsidRPr="00C64237">
        <w:t>, World Health Organization, Geneva</w:t>
      </w:r>
      <w:r>
        <w:t>,</w:t>
      </w:r>
      <w:r w:rsidRPr="00C64237">
        <w:t xml:space="preserve"> available from </w:t>
      </w:r>
      <w:hyperlink r:id="rId28" w:history="1">
        <w:r w:rsidRPr="00C64237">
          <w:rPr>
            <w:rStyle w:val="Hyperlink"/>
            <w:szCs w:val="22"/>
          </w:rPr>
          <w:t>http://www.who.int/water_sanitation_health/dwq/chemicals/en/index.html</w:t>
        </w:r>
      </w:hyperlink>
      <w:r w:rsidRPr="00C64237">
        <w:t xml:space="preserve"> </w:t>
      </w:r>
    </w:p>
    <w:p w:rsidR="007636B0" w:rsidRDefault="007636B0" w:rsidP="007636B0">
      <w:pPr>
        <w:pStyle w:val="Heading1"/>
        <w:tabs>
          <w:tab w:val="clear" w:pos="1209"/>
          <w:tab w:val="num" w:pos="720"/>
        </w:tabs>
      </w:pPr>
      <w:bookmarkStart w:id="49" w:name="_Toc351714289"/>
      <w:r>
        <w:lastRenderedPageBreak/>
        <w:t>Picloram</w:t>
      </w:r>
      <w:bookmarkEnd w:id="49"/>
    </w:p>
    <w:p w:rsidR="007636B0" w:rsidRDefault="007636B0" w:rsidP="007636B0">
      <w:pPr>
        <w:pStyle w:val="Heading2"/>
        <w:tabs>
          <w:tab w:val="clear" w:pos="1209"/>
        </w:tabs>
      </w:pPr>
      <w:bookmarkStart w:id="50" w:name="_Toc351714290"/>
      <w:r>
        <w:t>General</w:t>
      </w:r>
      <w:bookmarkEnd w:id="50"/>
    </w:p>
    <w:p w:rsidR="007636B0" w:rsidRDefault="007636B0" w:rsidP="007636B0">
      <w:r>
        <w:t>Limited data is available on picloram, however reviews of this compound in the environment and its toxicity to humans are available and should be consulted for more detailed information not presented in this summary (Health Canada 1988; US EPA 1995a; OEHHA 1997). The following provides a summary of the key aspects of picloram that are relevant to the derivation of a soil HIL.</w:t>
      </w:r>
    </w:p>
    <w:p w:rsidR="0021528E" w:rsidRDefault="0021528E" w:rsidP="007636B0"/>
    <w:p w:rsidR="007636B0" w:rsidRDefault="007636B0" w:rsidP="007636B0">
      <w:r>
        <w:t>Picloram is a member of the pyridine carboxylic acid group and is manufactured in a number of forms. Picloram acid is only manufactured as an intermediate product in the production of herbicides whereas the amine salt, potassium salt and ester derivatives of picloram are produced as commercial herbicides. Technical grade picloram acid is an off-white to brown powder. It is slightly soluble in water and the amine and potassium salt derivatives are highly soluble. The ester derivative, however, is insoluble in water (US EPA 1995a).</w:t>
      </w:r>
    </w:p>
    <w:p w:rsidR="0021528E" w:rsidRDefault="0021528E" w:rsidP="007636B0"/>
    <w:p w:rsidR="007636B0" w:rsidRDefault="007636B0" w:rsidP="007636B0">
      <w:r w:rsidRPr="00F04F15">
        <w:t>Picloram</w:t>
      </w:r>
      <w:r>
        <w:t xml:space="preserve"> acid and its derivatives have been used since the 1960s as a systemic herbicide to control woody plants and broadleaf weeds in rights of way, forestry, rangeland and pasture. In Australia, picloram derivatives are used to control weeds in winter cereals and linseed crops and to control a number of environmental and noxious weeds (APVMA 2009).</w:t>
      </w:r>
    </w:p>
    <w:p w:rsidR="0021528E" w:rsidRDefault="0021528E" w:rsidP="007636B0"/>
    <w:p w:rsidR="007636B0" w:rsidRDefault="007636B0" w:rsidP="007636B0">
      <w:pPr>
        <w:rPr>
          <w:rFonts w:ascii="AGaramond-Regular" w:hAnsi="AGaramond-Regular" w:cs="AGaramond-Regular"/>
          <w:szCs w:val="22"/>
        </w:rPr>
      </w:pPr>
      <w:r>
        <w:t xml:space="preserve">Picloram products are commonly contaminated with hexachlorobenzene (HCB). The presence of HCB in picloram affects the assessment of toxicity in a number of studies. </w:t>
      </w:r>
      <w:r w:rsidRPr="008A1452">
        <w:t>Limited data is available for picloram alone</w:t>
      </w:r>
      <w:r>
        <w:t xml:space="preserve">. </w:t>
      </w:r>
      <w:r w:rsidRPr="008A1452">
        <w:t>Available data also show that picloram is synergistic with several common herbicides (in particular 2,4-D, atrazine and alachlor) with respect to its toxicity to mammals and fish</w:t>
      </w:r>
      <w:r>
        <w:t xml:space="preserve"> (NCAP 1998). </w:t>
      </w:r>
    </w:p>
    <w:p w:rsidR="007636B0" w:rsidRDefault="007636B0" w:rsidP="007636B0">
      <w:pPr>
        <w:pStyle w:val="Heading2"/>
        <w:tabs>
          <w:tab w:val="clear" w:pos="1209"/>
        </w:tabs>
      </w:pPr>
      <w:bookmarkStart w:id="51" w:name="_Toc351714291"/>
      <w:r>
        <w:t>Previous HIL</w:t>
      </w:r>
      <w:bookmarkEnd w:id="51"/>
    </w:p>
    <w:p w:rsidR="007636B0" w:rsidRDefault="007636B0" w:rsidP="007636B0">
      <w:r>
        <w:t xml:space="preserve">No previous HIL is available for </w:t>
      </w:r>
      <w:r w:rsidRPr="008A1452">
        <w:t>picloram</w:t>
      </w:r>
      <w:r>
        <w:t xml:space="preserve"> (NEPC 1999).</w:t>
      </w:r>
    </w:p>
    <w:p w:rsidR="007636B0" w:rsidRDefault="007636B0" w:rsidP="007636B0">
      <w:pPr>
        <w:pStyle w:val="Heading2"/>
        <w:tabs>
          <w:tab w:val="clear" w:pos="1209"/>
        </w:tabs>
      </w:pPr>
      <w:bookmarkStart w:id="52" w:name="_Toc351714292"/>
      <w:r>
        <w:t>Significance of Exposure Pathways</w:t>
      </w:r>
      <w:bookmarkEnd w:id="52"/>
    </w:p>
    <w:p w:rsidR="007636B0" w:rsidRPr="00E00A6A" w:rsidRDefault="007636B0" w:rsidP="007636B0">
      <w:pPr>
        <w:pStyle w:val="Heading3"/>
      </w:pPr>
      <w:bookmarkStart w:id="53" w:name="_Toc351714293"/>
      <w:r>
        <w:t xml:space="preserve">Oral </w:t>
      </w:r>
      <w:r w:rsidRPr="00E00A6A">
        <w:t>Bioavailability</w:t>
      </w:r>
      <w:bookmarkEnd w:id="53"/>
    </w:p>
    <w:p w:rsidR="007636B0" w:rsidRDefault="007636B0" w:rsidP="007636B0">
      <w:r>
        <w:t xml:space="preserve">Insufficient data is available to adequately define the bioavailability of </w:t>
      </w:r>
      <w:r w:rsidRPr="008A1452">
        <w:t>picloram</w:t>
      </w:r>
      <w:r>
        <w:t>, hence a default approach of assuming 100% oral bioavailability has been adopted in the derivation of an HIL. It is noted that a site-specific assessment of bioavailability can be undertaken where required.</w:t>
      </w:r>
    </w:p>
    <w:p w:rsidR="007636B0" w:rsidRPr="002D7B71" w:rsidRDefault="007636B0" w:rsidP="007636B0">
      <w:pPr>
        <w:pStyle w:val="Heading3"/>
      </w:pPr>
      <w:bookmarkStart w:id="54" w:name="_Toc351714294"/>
      <w:r w:rsidRPr="002D7B71">
        <w:t>Dermal absorption</w:t>
      </w:r>
      <w:bookmarkEnd w:id="54"/>
    </w:p>
    <w:p w:rsidR="007636B0" w:rsidRDefault="007636B0" w:rsidP="007636B0">
      <w:r>
        <w:t xml:space="preserve">Insufficient data is available on the dermal absorption of </w:t>
      </w:r>
      <w:r w:rsidRPr="008A1452">
        <w:t>picloram</w:t>
      </w:r>
      <w:r>
        <w:t xml:space="preserve"> from soil. Hence the default value of 0.1 (10%) suggested by US EPA (1995b) for pesticides has been adopted in the derivation of HILs.</w:t>
      </w:r>
    </w:p>
    <w:p w:rsidR="007636B0" w:rsidRPr="009338FB" w:rsidRDefault="007636B0" w:rsidP="007636B0">
      <w:pPr>
        <w:pStyle w:val="Heading3"/>
      </w:pPr>
      <w:bookmarkStart w:id="55" w:name="_Toc351714295"/>
      <w:r w:rsidRPr="009338FB">
        <w:t>Inhalation of Dust</w:t>
      </w:r>
      <w:bookmarkEnd w:id="55"/>
    </w:p>
    <w:p w:rsidR="007636B0" w:rsidRDefault="007636B0" w:rsidP="007636B0">
      <w:r>
        <w:t>P</w:t>
      </w:r>
      <w:r w:rsidRPr="008A1452">
        <w:t>icloram</w:t>
      </w:r>
      <w:r>
        <w:t xml:space="preserve"> is not considered sufficiently volatile to be of significance and inhalation exposures associated with particulates outdoors and indoors are expected to be of less significance than ingestion of soil. While likely to be negligible, potential inhalation exposures associated with dust have been considered in the HIL derived.</w:t>
      </w:r>
    </w:p>
    <w:p w:rsidR="007636B0" w:rsidRPr="009338FB" w:rsidRDefault="007636B0" w:rsidP="007636B0">
      <w:pPr>
        <w:pStyle w:val="Heading3"/>
      </w:pPr>
      <w:bookmarkStart w:id="56" w:name="_Toc351714296"/>
      <w:r w:rsidRPr="009338FB">
        <w:t>Plant Uptake</w:t>
      </w:r>
      <w:bookmarkEnd w:id="56"/>
    </w:p>
    <w:p w:rsidR="007636B0" w:rsidRDefault="007636B0" w:rsidP="007636B0">
      <w:r>
        <w:t>Most carboxylic</w:t>
      </w:r>
      <w:r w:rsidRPr="00A35E24" w:rsidDel="0038671B">
        <w:rPr>
          <w:rFonts w:cs="Arial"/>
        </w:rPr>
        <w:t xml:space="preserve"> </w:t>
      </w:r>
      <w:r w:rsidRPr="00A35E24">
        <w:rPr>
          <w:rFonts w:cs="Arial"/>
        </w:rPr>
        <w:t>herbicide</w:t>
      </w:r>
      <w:r>
        <w:t>s are toxic to plants and, as such, will be phytotoxic to almost all broadleaf crops including tomatoes, grapes and fruit trees well before plant uptake into edible portions of fruit and vegetable crops is of significance. Hence the uptake of these compounds into home-grown produce has not been considered in the derivation of HIL A.</w:t>
      </w:r>
    </w:p>
    <w:p w:rsidR="00E80517" w:rsidRDefault="00E80517" w:rsidP="007636B0"/>
    <w:p w:rsidR="007636B0" w:rsidRDefault="007636B0" w:rsidP="007636B0">
      <w:r>
        <w:t>Note that the phytotoxic effects of these compounds may need to be addressed on a site-specific basis if detected in soil.</w:t>
      </w:r>
    </w:p>
    <w:p w:rsidR="007636B0" w:rsidRPr="0089652E" w:rsidRDefault="007636B0" w:rsidP="007636B0">
      <w:pPr>
        <w:pStyle w:val="Heading3"/>
      </w:pPr>
      <w:bookmarkStart w:id="57" w:name="_Toc351714297"/>
      <w:r w:rsidRPr="0089652E">
        <w:t xml:space="preserve">Intakes from Other Sources </w:t>
      </w:r>
      <w:r>
        <w:t>–</w:t>
      </w:r>
      <w:r w:rsidRPr="0089652E">
        <w:t xml:space="preserve"> Background</w:t>
      </w:r>
      <w:bookmarkEnd w:id="57"/>
    </w:p>
    <w:p w:rsidR="007636B0" w:rsidRDefault="007636B0" w:rsidP="007636B0">
      <w:r>
        <w:t>Limited data is available for the assessment of background intakes of picloram. Picloram products are currently registered for use in Australia and the compound is considered persistent in the environment. Picloram is not included in the Australian Total Diet Surveys (FSANZ 2003; FSANZ 2011) and there is no data regarding concentrations in drinking water or air in Australia. Away from areas where picloram products are used, exposure by the general public is expected to be low. Review by US EPA (1995b) suggests that dietary intakes comprise only 0.5% of the threshold reference value (RfD) adopted (0.2 mg/kg/day) for most of the US population, with intakes from non-nursing infants highest at 1.9% of the RfD adopted. Review by Health Canada (1988) also noted the maximum dietary intake of picloram is estimated to be negligible, based on available data in Canada and the USA. On this basis, intakes from other sources have been assumed to be negligible in the derivation of HILs.</w:t>
      </w:r>
    </w:p>
    <w:p w:rsidR="007636B0" w:rsidRDefault="007636B0" w:rsidP="007636B0">
      <w:pPr>
        <w:pStyle w:val="Heading2"/>
        <w:tabs>
          <w:tab w:val="clear" w:pos="1209"/>
        </w:tabs>
      </w:pPr>
      <w:bookmarkStart w:id="58" w:name="_Toc351714298"/>
      <w:r>
        <w:t>Identification of Toxicity Reference Values</w:t>
      </w:r>
      <w:bookmarkEnd w:id="58"/>
    </w:p>
    <w:p w:rsidR="007636B0" w:rsidRPr="00983A79" w:rsidRDefault="007636B0" w:rsidP="007636B0">
      <w:pPr>
        <w:pStyle w:val="Heading3"/>
      </w:pPr>
      <w:bookmarkStart w:id="59" w:name="_Toc351714299"/>
      <w:r w:rsidRPr="00983A79">
        <w:t>Classification</w:t>
      </w:r>
      <w:bookmarkEnd w:id="59"/>
    </w:p>
    <w:p w:rsidR="007636B0" w:rsidRDefault="007636B0" w:rsidP="007636B0">
      <w:r w:rsidRPr="00C259C1">
        <w:t>The International Agency for Research on Cancer (IARC</w:t>
      </w:r>
      <w:r>
        <w:t xml:space="preserve"> 1991) has classified</w:t>
      </w:r>
      <w:r w:rsidRPr="008A1452">
        <w:t xml:space="preserve"> </w:t>
      </w:r>
      <w:r>
        <w:t>picloram as Group 3</w:t>
      </w:r>
      <w:r>
        <w:rPr>
          <w:rFonts w:cs="Arial"/>
        </w:rPr>
        <w:t>—</w:t>
      </w:r>
      <w:r>
        <w:t xml:space="preserve">not classifiable. </w:t>
      </w:r>
    </w:p>
    <w:p w:rsidR="0021528E" w:rsidRDefault="0021528E" w:rsidP="007636B0"/>
    <w:p w:rsidR="007636B0" w:rsidRDefault="007636B0" w:rsidP="007636B0">
      <w:r>
        <w:t>US EPA has not classified picloram.</w:t>
      </w:r>
    </w:p>
    <w:p w:rsidR="007636B0" w:rsidRPr="00907E92" w:rsidRDefault="007636B0" w:rsidP="007636B0">
      <w:pPr>
        <w:pStyle w:val="Heading3"/>
      </w:pPr>
      <w:bookmarkStart w:id="60" w:name="_Toc351714300"/>
      <w:r w:rsidRPr="00907E92">
        <w:t>Review of Available Values</w:t>
      </w:r>
      <w:r>
        <w:t>/Information</w:t>
      </w:r>
      <w:bookmarkEnd w:id="60"/>
    </w:p>
    <w:p w:rsidR="007636B0" w:rsidRDefault="007636B0" w:rsidP="007636B0">
      <w:r>
        <w:t>Studies associated with the assessment of carcinogenicity of picloram are noted to be affected by the presence of HCB as a contaminant/impurity. Hence a number of reviews of carcinogenicity are conflicting. The review by IARC noted limited evidence of carcinogenicity for technical grade picloram in experimental animals. In general, the available data suggests the picloram is not genotoxic (Health Canada 1988; US EPA 1995) or at most weakly mutagenic (OEHHA 1997). On the basis of the limited available information, it is considered appropriate that a threshold dose</w:t>
      </w:r>
      <w:r>
        <w:sym w:font="Symbol" w:char="F02D"/>
      </w:r>
      <w:r>
        <w:t>response approach be adopted for picloram. The following are available from Level 1 Australian and International sources: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6"/>
        <w:gridCol w:w="2224"/>
        <w:gridCol w:w="5517"/>
      </w:tblGrid>
      <w:tr w:rsidR="007636B0" w:rsidRPr="00C64237" w:rsidTr="00B45DD6">
        <w:trPr>
          <w:tblHeader/>
        </w:trPr>
        <w:tc>
          <w:tcPr>
            <w:tcW w:w="1384" w:type="dxa"/>
            <w:shd w:val="clear" w:color="auto" w:fill="C6D9F1" w:themeFill="text2" w:themeFillTint="33"/>
          </w:tcPr>
          <w:p w:rsidR="007636B0" w:rsidRPr="00C64237" w:rsidRDefault="007636B0" w:rsidP="00B45DD6">
            <w:pPr>
              <w:spacing w:before="20"/>
              <w:jc w:val="center"/>
              <w:rPr>
                <w:b/>
                <w:szCs w:val="22"/>
              </w:rPr>
            </w:pPr>
            <w:r w:rsidRPr="00C64237">
              <w:rPr>
                <w:b/>
                <w:szCs w:val="22"/>
              </w:rPr>
              <w:t>Source</w:t>
            </w:r>
          </w:p>
        </w:tc>
        <w:tc>
          <w:tcPr>
            <w:tcW w:w="2410" w:type="dxa"/>
            <w:shd w:val="clear" w:color="auto" w:fill="C6D9F1" w:themeFill="text2" w:themeFillTint="33"/>
          </w:tcPr>
          <w:p w:rsidR="007636B0" w:rsidRPr="00C64237" w:rsidRDefault="007636B0" w:rsidP="00B45DD6">
            <w:pPr>
              <w:spacing w:before="20"/>
              <w:jc w:val="center"/>
              <w:rPr>
                <w:b/>
                <w:szCs w:val="22"/>
              </w:rPr>
            </w:pPr>
            <w:r w:rsidRPr="00C64237">
              <w:rPr>
                <w:b/>
                <w:szCs w:val="22"/>
              </w:rPr>
              <w:t>Value</w:t>
            </w:r>
          </w:p>
        </w:tc>
        <w:tc>
          <w:tcPr>
            <w:tcW w:w="6169" w:type="dxa"/>
            <w:shd w:val="clear" w:color="auto" w:fill="C6D9F1" w:themeFill="text2" w:themeFillTint="33"/>
          </w:tcPr>
          <w:p w:rsidR="007636B0" w:rsidRPr="00C64237" w:rsidRDefault="007636B0" w:rsidP="00B45DD6">
            <w:pPr>
              <w:spacing w:before="20"/>
              <w:jc w:val="center"/>
              <w:rPr>
                <w:b/>
                <w:szCs w:val="22"/>
              </w:rPr>
            </w:pPr>
            <w:r w:rsidRPr="00C64237">
              <w:rPr>
                <w:b/>
                <w:szCs w:val="22"/>
              </w:rPr>
              <w:t>Basis/Comments</w:t>
            </w:r>
          </w:p>
        </w:tc>
      </w:tr>
      <w:tr w:rsidR="007636B0" w:rsidRPr="00C64237" w:rsidTr="00B45DD6">
        <w:tc>
          <w:tcPr>
            <w:tcW w:w="9963" w:type="dxa"/>
            <w:gridSpan w:val="3"/>
          </w:tcPr>
          <w:p w:rsidR="007636B0" w:rsidRPr="00C64237" w:rsidRDefault="007636B0" w:rsidP="00B45DD6">
            <w:pPr>
              <w:spacing w:before="20"/>
              <w:jc w:val="center"/>
              <w:rPr>
                <w:b/>
                <w:szCs w:val="22"/>
              </w:rPr>
            </w:pPr>
            <w:r w:rsidRPr="00C64237">
              <w:rPr>
                <w:b/>
                <w:szCs w:val="22"/>
              </w:rPr>
              <w:t>Australian</w:t>
            </w:r>
          </w:p>
        </w:tc>
      </w:tr>
      <w:tr w:rsidR="007636B0" w:rsidRPr="00C64237" w:rsidTr="00B45DD6">
        <w:tc>
          <w:tcPr>
            <w:tcW w:w="1384" w:type="dxa"/>
          </w:tcPr>
          <w:p w:rsidR="007636B0" w:rsidRPr="00C64237" w:rsidRDefault="007636B0" w:rsidP="00B45DD6">
            <w:pPr>
              <w:spacing w:before="20"/>
              <w:rPr>
                <w:szCs w:val="22"/>
              </w:rPr>
            </w:pPr>
            <w:r w:rsidRPr="00C64237">
              <w:rPr>
                <w:szCs w:val="22"/>
              </w:rPr>
              <w:t>ADWG (NHMRC 2011)</w:t>
            </w:r>
          </w:p>
        </w:tc>
        <w:tc>
          <w:tcPr>
            <w:tcW w:w="2410" w:type="dxa"/>
          </w:tcPr>
          <w:p w:rsidR="007636B0" w:rsidRPr="00C64237" w:rsidRDefault="007636B0" w:rsidP="00B45DD6">
            <w:pPr>
              <w:spacing w:before="20"/>
              <w:rPr>
                <w:szCs w:val="22"/>
              </w:rPr>
            </w:pPr>
            <w:r w:rsidRPr="00C64237">
              <w:rPr>
                <w:szCs w:val="22"/>
              </w:rPr>
              <w:t>TDI = 0.07 mg/kg/day</w:t>
            </w:r>
          </w:p>
        </w:tc>
        <w:tc>
          <w:tcPr>
            <w:tcW w:w="6169" w:type="dxa"/>
          </w:tcPr>
          <w:p w:rsidR="007636B0" w:rsidRPr="00C64237" w:rsidRDefault="007636B0" w:rsidP="00B45DD6">
            <w:pPr>
              <w:spacing w:before="20"/>
              <w:rPr>
                <w:szCs w:val="22"/>
              </w:rPr>
            </w:pPr>
            <w:r w:rsidRPr="00C64237">
              <w:rPr>
                <w:szCs w:val="22"/>
              </w:rPr>
              <w:t>The current ADWG (NHMRC 2011) derive a guideline of 0.3 mg/L derived from a NOEL of 7 mg/kg/day associated with increased liver weights in a short-term dietary study in rats, and an uncertainty factor of 100.</w:t>
            </w:r>
          </w:p>
        </w:tc>
      </w:tr>
      <w:tr w:rsidR="007636B0" w:rsidRPr="00C64237" w:rsidTr="00B45DD6">
        <w:tc>
          <w:tcPr>
            <w:tcW w:w="1384" w:type="dxa"/>
          </w:tcPr>
          <w:p w:rsidR="007636B0" w:rsidRPr="00C64237" w:rsidRDefault="007636B0" w:rsidP="00B45DD6">
            <w:pPr>
              <w:spacing w:before="20"/>
              <w:rPr>
                <w:szCs w:val="22"/>
              </w:rPr>
            </w:pPr>
            <w:r w:rsidRPr="00C64237">
              <w:rPr>
                <w:szCs w:val="22"/>
              </w:rPr>
              <w:t>OCS (2012)</w:t>
            </w:r>
          </w:p>
        </w:tc>
        <w:tc>
          <w:tcPr>
            <w:tcW w:w="2410" w:type="dxa"/>
          </w:tcPr>
          <w:p w:rsidR="007636B0" w:rsidRPr="00C64237" w:rsidRDefault="007636B0" w:rsidP="00B45DD6">
            <w:pPr>
              <w:spacing w:before="20"/>
              <w:rPr>
                <w:szCs w:val="22"/>
              </w:rPr>
            </w:pPr>
            <w:r w:rsidRPr="00C64237">
              <w:rPr>
                <w:szCs w:val="22"/>
              </w:rPr>
              <w:t>ADI = 0.07 mg/kg/day</w:t>
            </w:r>
          </w:p>
        </w:tc>
        <w:tc>
          <w:tcPr>
            <w:tcW w:w="6169" w:type="dxa"/>
          </w:tcPr>
          <w:p w:rsidR="007636B0" w:rsidRPr="00C64237" w:rsidRDefault="007636B0" w:rsidP="00B45DD6">
            <w:pPr>
              <w:spacing w:before="20"/>
              <w:rPr>
                <w:szCs w:val="22"/>
              </w:rPr>
            </w:pPr>
            <w:r w:rsidRPr="00C64237">
              <w:rPr>
                <w:szCs w:val="22"/>
              </w:rPr>
              <w:t>The ADI is noted to have been set in February 1987 and is based on a NOEL of 7 mg/kg/day (as considered in the ADWG, noted above).</w:t>
            </w:r>
          </w:p>
        </w:tc>
      </w:tr>
      <w:tr w:rsidR="007636B0" w:rsidRPr="00C64237" w:rsidTr="00B45DD6">
        <w:tc>
          <w:tcPr>
            <w:tcW w:w="9963" w:type="dxa"/>
            <w:gridSpan w:val="3"/>
          </w:tcPr>
          <w:p w:rsidR="007636B0" w:rsidRPr="00C64237" w:rsidRDefault="007636B0" w:rsidP="00B45DD6">
            <w:pPr>
              <w:spacing w:before="20"/>
              <w:jc w:val="center"/>
              <w:rPr>
                <w:b/>
                <w:szCs w:val="22"/>
              </w:rPr>
            </w:pPr>
            <w:r w:rsidRPr="00C64237">
              <w:rPr>
                <w:b/>
                <w:szCs w:val="22"/>
              </w:rPr>
              <w:t>International</w:t>
            </w:r>
          </w:p>
        </w:tc>
      </w:tr>
      <w:tr w:rsidR="007636B0" w:rsidRPr="00C64237" w:rsidTr="00B45DD6">
        <w:tc>
          <w:tcPr>
            <w:tcW w:w="1384" w:type="dxa"/>
          </w:tcPr>
          <w:p w:rsidR="007636B0" w:rsidRPr="00C64237" w:rsidRDefault="007636B0" w:rsidP="00B45DD6">
            <w:pPr>
              <w:spacing w:before="20"/>
              <w:rPr>
                <w:szCs w:val="22"/>
              </w:rPr>
            </w:pPr>
            <w:r w:rsidRPr="00C64237">
              <w:rPr>
                <w:szCs w:val="22"/>
              </w:rPr>
              <w:t>WHO(2011)</w:t>
            </w:r>
          </w:p>
        </w:tc>
        <w:tc>
          <w:tcPr>
            <w:tcW w:w="2410" w:type="dxa"/>
          </w:tcPr>
          <w:p w:rsidR="007636B0" w:rsidRPr="00C64237" w:rsidRDefault="007636B0" w:rsidP="00B45DD6">
            <w:pPr>
              <w:spacing w:before="20"/>
              <w:rPr>
                <w:szCs w:val="22"/>
              </w:rPr>
            </w:pPr>
            <w:r w:rsidRPr="00C64237">
              <w:rPr>
                <w:szCs w:val="22"/>
              </w:rPr>
              <w:t>No evaluation available</w:t>
            </w:r>
          </w:p>
        </w:tc>
        <w:tc>
          <w:tcPr>
            <w:tcW w:w="6169" w:type="dxa"/>
          </w:tcPr>
          <w:p w:rsidR="007636B0" w:rsidRPr="00C64237" w:rsidRDefault="007636B0" w:rsidP="00B45DD6">
            <w:pPr>
              <w:spacing w:before="20"/>
              <w:rPr>
                <w:szCs w:val="22"/>
              </w:rPr>
            </w:pPr>
          </w:p>
        </w:tc>
      </w:tr>
      <w:tr w:rsidR="007636B0" w:rsidRPr="00C64237" w:rsidTr="00B45DD6">
        <w:tc>
          <w:tcPr>
            <w:tcW w:w="1384" w:type="dxa"/>
          </w:tcPr>
          <w:p w:rsidR="007636B0" w:rsidRPr="00C64237" w:rsidRDefault="007636B0" w:rsidP="00B45DD6">
            <w:pPr>
              <w:spacing w:before="20"/>
              <w:rPr>
                <w:szCs w:val="22"/>
              </w:rPr>
            </w:pPr>
            <w:r w:rsidRPr="00C64237">
              <w:rPr>
                <w:szCs w:val="22"/>
              </w:rPr>
              <w:t>ATSDR</w:t>
            </w:r>
          </w:p>
        </w:tc>
        <w:tc>
          <w:tcPr>
            <w:tcW w:w="2410" w:type="dxa"/>
          </w:tcPr>
          <w:p w:rsidR="007636B0" w:rsidRPr="00C64237" w:rsidRDefault="007636B0" w:rsidP="00B45DD6">
            <w:pPr>
              <w:spacing w:before="20"/>
              <w:rPr>
                <w:szCs w:val="22"/>
              </w:rPr>
            </w:pPr>
            <w:r w:rsidRPr="00C64237">
              <w:rPr>
                <w:szCs w:val="22"/>
              </w:rPr>
              <w:t>No evaluation available</w:t>
            </w:r>
          </w:p>
        </w:tc>
        <w:tc>
          <w:tcPr>
            <w:tcW w:w="6169" w:type="dxa"/>
          </w:tcPr>
          <w:p w:rsidR="007636B0" w:rsidRPr="00C64237" w:rsidRDefault="007636B0" w:rsidP="00B45DD6">
            <w:pPr>
              <w:spacing w:before="20"/>
              <w:rPr>
                <w:szCs w:val="22"/>
              </w:rPr>
            </w:pPr>
          </w:p>
        </w:tc>
      </w:tr>
      <w:tr w:rsidR="007636B0" w:rsidRPr="00C64237" w:rsidTr="00B45DD6">
        <w:tc>
          <w:tcPr>
            <w:tcW w:w="1384" w:type="dxa"/>
          </w:tcPr>
          <w:p w:rsidR="007636B0" w:rsidRPr="00C64237" w:rsidRDefault="007636B0" w:rsidP="00B45DD6">
            <w:pPr>
              <w:spacing w:before="20"/>
              <w:rPr>
                <w:szCs w:val="22"/>
              </w:rPr>
            </w:pPr>
            <w:r w:rsidRPr="00C64237">
              <w:rPr>
                <w:szCs w:val="22"/>
              </w:rPr>
              <w:t>Health Canada (1988)</w:t>
            </w:r>
          </w:p>
        </w:tc>
        <w:tc>
          <w:tcPr>
            <w:tcW w:w="2410" w:type="dxa"/>
          </w:tcPr>
          <w:p w:rsidR="007636B0" w:rsidRPr="00C64237" w:rsidRDefault="007636B0" w:rsidP="00B45DD6">
            <w:pPr>
              <w:spacing w:before="20"/>
              <w:rPr>
                <w:szCs w:val="22"/>
              </w:rPr>
            </w:pPr>
            <w:r w:rsidRPr="00C64237">
              <w:rPr>
                <w:szCs w:val="22"/>
              </w:rPr>
              <w:t>NDI = 0.02 mg/kg/day</w:t>
            </w:r>
          </w:p>
        </w:tc>
        <w:tc>
          <w:tcPr>
            <w:tcW w:w="6169" w:type="dxa"/>
          </w:tcPr>
          <w:p w:rsidR="007636B0" w:rsidRPr="00C64237" w:rsidRDefault="007636B0" w:rsidP="00B45DD6">
            <w:pPr>
              <w:spacing w:before="20"/>
              <w:rPr>
                <w:szCs w:val="22"/>
              </w:rPr>
            </w:pPr>
            <w:r w:rsidRPr="00C64237">
              <w:rPr>
                <w:szCs w:val="22"/>
              </w:rPr>
              <w:t>Negligible daily intake (NDI) derived on the basis of a NOAEL of 20 mg/kg/day associated with liver and kidney changes in rat and mouse studies, and an uncertainty factor of 1000.</w:t>
            </w:r>
          </w:p>
        </w:tc>
      </w:tr>
      <w:tr w:rsidR="007636B0" w:rsidRPr="00C64237" w:rsidTr="00B45DD6">
        <w:tc>
          <w:tcPr>
            <w:tcW w:w="1384" w:type="dxa"/>
          </w:tcPr>
          <w:p w:rsidR="007636B0" w:rsidRPr="00C64237" w:rsidRDefault="007636B0" w:rsidP="00B45DD6">
            <w:pPr>
              <w:spacing w:before="20"/>
              <w:rPr>
                <w:szCs w:val="22"/>
              </w:rPr>
            </w:pPr>
            <w:r w:rsidRPr="00C64237">
              <w:rPr>
                <w:szCs w:val="22"/>
              </w:rPr>
              <w:t xml:space="preserve">US EPA </w:t>
            </w:r>
            <w:r w:rsidRPr="00C64237">
              <w:rPr>
                <w:szCs w:val="22"/>
              </w:rPr>
              <w:lastRenderedPageBreak/>
              <w:t>(IRIS 2012)</w:t>
            </w:r>
          </w:p>
        </w:tc>
        <w:tc>
          <w:tcPr>
            <w:tcW w:w="2410" w:type="dxa"/>
          </w:tcPr>
          <w:p w:rsidR="007636B0" w:rsidRPr="00C64237" w:rsidRDefault="007636B0" w:rsidP="00B45DD6">
            <w:pPr>
              <w:spacing w:before="20"/>
              <w:rPr>
                <w:szCs w:val="22"/>
              </w:rPr>
            </w:pPr>
            <w:r w:rsidRPr="00C64237">
              <w:rPr>
                <w:szCs w:val="22"/>
              </w:rPr>
              <w:lastRenderedPageBreak/>
              <w:t>RfD = 0.07 mg/kg/day</w:t>
            </w:r>
          </w:p>
          <w:p w:rsidR="007636B0" w:rsidRPr="00C64237" w:rsidRDefault="007636B0" w:rsidP="00B45DD6">
            <w:pPr>
              <w:spacing w:before="20"/>
              <w:rPr>
                <w:szCs w:val="22"/>
              </w:rPr>
            </w:pPr>
          </w:p>
        </w:tc>
        <w:tc>
          <w:tcPr>
            <w:tcW w:w="6169" w:type="dxa"/>
          </w:tcPr>
          <w:p w:rsidR="007636B0" w:rsidRPr="00C64237" w:rsidRDefault="007636B0" w:rsidP="00B45DD6">
            <w:pPr>
              <w:spacing w:before="20"/>
              <w:rPr>
                <w:szCs w:val="22"/>
              </w:rPr>
            </w:pPr>
            <w:r w:rsidRPr="00C64237">
              <w:rPr>
                <w:szCs w:val="22"/>
              </w:rPr>
              <w:lastRenderedPageBreak/>
              <w:t xml:space="preserve">The RfD (last reviewed in 1987) is derived based on the </w:t>
            </w:r>
            <w:r w:rsidRPr="00C64237">
              <w:rPr>
                <w:szCs w:val="22"/>
              </w:rPr>
              <w:lastRenderedPageBreak/>
              <w:t>same study and evaluation provided in the ADWG (NHMRC 2004). Value also derived by OEHHA (1997).</w:t>
            </w:r>
          </w:p>
        </w:tc>
      </w:tr>
      <w:tr w:rsidR="007636B0" w:rsidRPr="00C64237" w:rsidTr="00B45DD6">
        <w:tc>
          <w:tcPr>
            <w:tcW w:w="1384" w:type="dxa"/>
          </w:tcPr>
          <w:p w:rsidR="007636B0" w:rsidRPr="00C64237" w:rsidRDefault="007636B0" w:rsidP="00B45DD6">
            <w:pPr>
              <w:spacing w:before="20"/>
              <w:rPr>
                <w:szCs w:val="22"/>
              </w:rPr>
            </w:pPr>
            <w:r w:rsidRPr="00C64237">
              <w:rPr>
                <w:szCs w:val="22"/>
              </w:rPr>
              <w:lastRenderedPageBreak/>
              <w:t>US EPA (1995)</w:t>
            </w:r>
          </w:p>
        </w:tc>
        <w:tc>
          <w:tcPr>
            <w:tcW w:w="2410" w:type="dxa"/>
          </w:tcPr>
          <w:p w:rsidR="007636B0" w:rsidRPr="00C64237" w:rsidRDefault="007636B0" w:rsidP="00B45DD6">
            <w:pPr>
              <w:spacing w:before="20"/>
              <w:rPr>
                <w:szCs w:val="22"/>
              </w:rPr>
            </w:pPr>
            <w:r w:rsidRPr="00C64237">
              <w:rPr>
                <w:szCs w:val="22"/>
              </w:rPr>
              <w:t>RfD = 0.2 mg/kg/day</w:t>
            </w:r>
          </w:p>
        </w:tc>
        <w:tc>
          <w:tcPr>
            <w:tcW w:w="6169" w:type="dxa"/>
          </w:tcPr>
          <w:p w:rsidR="007636B0" w:rsidRPr="00C64237" w:rsidRDefault="007636B0" w:rsidP="00B45DD6">
            <w:pPr>
              <w:spacing w:before="20"/>
              <w:rPr>
                <w:szCs w:val="22"/>
              </w:rPr>
            </w:pPr>
            <w:r w:rsidRPr="00C64237">
              <w:rPr>
                <w:szCs w:val="22"/>
              </w:rPr>
              <w:t>RfD calculated based on a NOEL of 20 mg/kg/day from a 2-year chronic rat feeding study, and an uncertainty factor of 100.</w:t>
            </w:r>
          </w:p>
        </w:tc>
      </w:tr>
    </w:tbl>
    <w:p w:rsidR="007636B0" w:rsidRDefault="007636B0" w:rsidP="007636B0"/>
    <w:p w:rsidR="007636B0" w:rsidRDefault="007636B0" w:rsidP="007636B0">
      <w:r>
        <w:t xml:space="preserve">Limited quantitative data is available for picloram, however it is recommended that the current Australian ADI/TDI be adopted for the derivation of a soil HIL. </w:t>
      </w:r>
    </w:p>
    <w:p w:rsidR="0021528E" w:rsidRDefault="0021528E" w:rsidP="007636B0"/>
    <w:p w:rsidR="007636B0" w:rsidRDefault="007636B0" w:rsidP="007636B0">
      <w:r>
        <w:t>No dermal or inhalation-specific studies or data are available. For the presence of picloram in soil (not during use), it is considered appropriate to consider use of the available ADI for all pathways of exposures.</w:t>
      </w:r>
    </w:p>
    <w:p w:rsidR="007636B0" w:rsidRPr="00921D7B" w:rsidRDefault="007636B0" w:rsidP="007636B0">
      <w:pPr>
        <w:pStyle w:val="Heading3"/>
      </w:pPr>
      <w:bookmarkStart w:id="61" w:name="_Toc351714301"/>
      <w:r w:rsidRPr="00921D7B">
        <w:t>Recommendation</w:t>
      </w:r>
      <w:bookmarkEnd w:id="61"/>
    </w:p>
    <w:p w:rsidR="007636B0" w:rsidRDefault="007636B0" w:rsidP="007636B0">
      <w:r>
        <w:t>On the basis of the discussion above, the following toxicity reference values (TRVs) have been adopted for picloram in the derivation of HILs:</w:t>
      </w:r>
    </w:p>
    <w:p w:rsidR="007636B0" w:rsidRDefault="007636B0" w:rsidP="007636B0">
      <w:r>
        <w:rPr>
          <w:noProof/>
          <w:lang w:eastAsia="en-AU"/>
        </w:rPr>
        <mc:AlternateContent>
          <mc:Choice Requires="wps">
            <w:drawing>
              <wp:inline distT="0" distB="0" distL="0" distR="0">
                <wp:extent cx="5622290" cy="2357120"/>
                <wp:effectExtent l="13335" t="5080" r="12700" b="952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290" cy="2357120"/>
                        </a:xfrm>
                        <a:prstGeom prst="rect">
                          <a:avLst/>
                        </a:prstGeom>
                        <a:solidFill>
                          <a:srgbClr val="D8D8D8"/>
                        </a:solidFill>
                        <a:ln w="9525">
                          <a:solidFill>
                            <a:srgbClr val="000000"/>
                          </a:solidFill>
                          <a:miter lim="800000"/>
                          <a:headEnd/>
                          <a:tailEnd/>
                        </a:ln>
                      </wps:spPr>
                      <wps:txbx>
                        <w:txbxContent>
                          <w:p w:rsidR="00A0097F" w:rsidRPr="00742163" w:rsidRDefault="00A0097F" w:rsidP="007636B0">
                            <w:pPr>
                              <w:spacing w:after="40"/>
                              <w:rPr>
                                <w:b/>
                                <w:u w:val="single"/>
                              </w:rPr>
                            </w:pPr>
                            <w:r w:rsidRPr="00742163">
                              <w:rPr>
                                <w:b/>
                                <w:u w:val="single"/>
                              </w:rPr>
                              <w:t xml:space="preserve">Recommendation for </w:t>
                            </w:r>
                            <w:r>
                              <w:rPr>
                                <w:b/>
                                <w:u w:val="single"/>
                              </w:rPr>
                              <w:t>Picloram</w:t>
                            </w:r>
                          </w:p>
                          <w:p w:rsidR="00A0097F" w:rsidRDefault="00A0097F" w:rsidP="007636B0">
                            <w:pPr>
                              <w:spacing w:after="40"/>
                            </w:pPr>
                            <w:r>
                              <w:t>Oral TRV (TRV</w:t>
                            </w:r>
                            <w:r w:rsidRPr="00A54613">
                              <w:rPr>
                                <w:vertAlign w:val="subscript"/>
                              </w:rPr>
                              <w:t>O</w:t>
                            </w:r>
                            <w:r>
                              <w:t>) = 0.07 mg/kg/day (OCS 2008; NHMRC 2004; NHMRC 2009) for all pathways of exposure</w:t>
                            </w:r>
                          </w:p>
                          <w:p w:rsidR="00A0097F" w:rsidRDefault="00A0097F" w:rsidP="007636B0">
                            <w:pPr>
                              <w:spacing w:after="40"/>
                            </w:pPr>
                            <w:r>
                              <w:t>Dermal absorption factor (DAF) = 0.1 (or 10%) (US EPA 1995)</w:t>
                            </w:r>
                          </w:p>
                          <w:p w:rsidR="00A0097F" w:rsidRDefault="00A0097F" w:rsidP="007636B0">
                            <w:pPr>
                              <w:spacing w:after="40"/>
                            </w:pPr>
                            <w:r>
                              <w:t>Background intakes from other sources (as % of TRV):</w:t>
                            </w:r>
                          </w:p>
                          <w:p w:rsidR="00A0097F" w:rsidRDefault="00A0097F" w:rsidP="007636B0">
                            <w:pPr>
                              <w:spacing w:after="40"/>
                              <w:ind w:left="720"/>
                            </w:pPr>
                            <w:r>
                              <w:t>BI</w:t>
                            </w:r>
                            <w:r w:rsidRPr="002049F5">
                              <w:rPr>
                                <w:vertAlign w:val="subscript"/>
                              </w:rPr>
                              <w:t>O</w:t>
                            </w:r>
                            <w:r>
                              <w:t xml:space="preserve"> = 0% for oral and dermal intakes</w:t>
                            </w:r>
                          </w:p>
                          <w:p w:rsidR="00A0097F" w:rsidRDefault="00A0097F" w:rsidP="007636B0">
                            <w:pPr>
                              <w:spacing w:after="40"/>
                              <w:ind w:left="720"/>
                            </w:pPr>
                            <w:r>
                              <w:t>BIi = 0% for inhalation</w:t>
                            </w:r>
                            <w:r w:rsidDel="00C81411">
                              <w:t xml:space="preserve"> </w:t>
                            </w:r>
                          </w:p>
                          <w:p w:rsidR="00A0097F" w:rsidRDefault="00A0097F" w:rsidP="007636B0">
                            <w:pPr>
                              <w:spacing w:after="40"/>
                            </w:pPr>
                            <w:r>
                              <w:t>Note that background intakes in areas where herbicides are used need to be considered on a site-specific basis.</w:t>
                            </w:r>
                          </w:p>
                          <w:p w:rsidR="00A0097F" w:rsidRDefault="00A0097F" w:rsidP="007636B0">
                            <w:pPr>
                              <w:spacing w:after="40"/>
                            </w:pPr>
                          </w:p>
                        </w:txbxContent>
                      </wps:txbx>
                      <wps:bodyPr rot="0" vert="horz" wrap="square" lIns="91440" tIns="45720" rIns="91440" bIns="45720" anchor="t" anchorCtr="0" upright="1">
                        <a:noAutofit/>
                      </wps:bodyPr>
                    </wps:wsp>
                  </a:graphicData>
                </a:graphic>
              </wp:inline>
            </w:drawing>
          </mc:Choice>
          <mc:Fallback>
            <w:pict>
              <v:shape id="Text Box 6" o:spid="_x0000_s1032" type="#_x0000_t202" style="width:442.7pt;height:18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" fillcolor="#d8d8d8">
                <v:textbox>
                  <w:txbxContent>
                    <w:p w:rsidR="009C6751" w:rsidRPr="00742163" w:rsidRDefault="009C6751" w:rsidP="007636B0">
                      <w:pPr>
                        <w:spacing w:after="40"/>
                        <w:rPr>
                          <w:b/>
                          <w:u w:val="single"/>
                        </w:rPr>
                      </w:pPr>
                      <w:r w:rsidRPr="00742163">
                        <w:rPr>
                          <w:b/>
                          <w:u w:val="single"/>
                        </w:rPr>
                        <w:t xml:space="preserve">Recommendation for </w:t>
                      </w:r>
                      <w:r>
                        <w:rPr>
                          <w:b/>
                          <w:u w:val="single"/>
                        </w:rPr>
                        <w:t>Picloram</w:t>
                      </w:r>
                    </w:p>
                    <w:p w:rsidR="009C6751" w:rsidRDefault="009C6751" w:rsidP="007636B0">
                      <w:pPr>
                        <w:spacing w:after="40"/>
                      </w:pPr>
                      <w:r>
                        <w:t>Oral TRV (TRV</w:t>
                      </w:r>
                      <w:r w:rsidRPr="00A54613">
                        <w:rPr>
                          <w:vertAlign w:val="subscript"/>
                        </w:rPr>
                        <w:t>O</w:t>
                      </w:r>
                      <w:r>
                        <w:t>) = 0.07 mg/kg/day (OCS 2008; NHMRC 2004; NHMRC 2009) for all pathways of exposure</w:t>
                      </w:r>
                    </w:p>
                    <w:p w:rsidR="009C6751" w:rsidRDefault="009C6751" w:rsidP="007636B0">
                      <w:pPr>
                        <w:spacing w:after="40"/>
                      </w:pPr>
                      <w:r>
                        <w:t>Dermal absorption factor (DAF) = 0.1 (or 10%) (US EPA 1995)</w:t>
                      </w:r>
                    </w:p>
                    <w:p w:rsidR="009C6751" w:rsidRDefault="009C6751" w:rsidP="007636B0">
                      <w:pPr>
                        <w:spacing w:after="40"/>
                      </w:pPr>
                      <w:r>
                        <w:t>Background intakes from other sources (as % of TRV):</w:t>
                      </w:r>
                    </w:p>
                    <w:p w:rsidR="009C6751" w:rsidRDefault="009C6751" w:rsidP="007636B0">
                      <w:pPr>
                        <w:spacing w:after="40"/>
                        <w:ind w:left="720"/>
                      </w:pPr>
                      <w:r>
                        <w:t>BI</w:t>
                      </w:r>
                      <w:r w:rsidRPr="002049F5">
                        <w:rPr>
                          <w:vertAlign w:val="subscript"/>
                        </w:rPr>
                        <w:t>O</w:t>
                      </w:r>
                      <w:r>
                        <w:t xml:space="preserve"> = 0% for oral and dermal intakes</w:t>
                      </w:r>
                    </w:p>
                    <w:p w:rsidR="009C6751" w:rsidRDefault="009C6751" w:rsidP="007636B0">
                      <w:pPr>
                        <w:spacing w:after="40"/>
                        <w:ind w:left="720"/>
                      </w:pPr>
                      <w:r>
                        <w:t>BIi = 0% for inhalation</w:t>
                      </w:r>
                      <w:r w:rsidDel="00C81411">
                        <w:t xml:space="preserve"> </w:t>
                      </w:r>
                    </w:p>
                    <w:p w:rsidR="009C6751" w:rsidRDefault="009C6751" w:rsidP="007636B0">
                      <w:pPr>
                        <w:spacing w:after="40"/>
                      </w:pPr>
                      <w:r>
                        <w:t>Note that background intakes in areas where herbicides are used need to be considered on a site-specific basis.</w:t>
                      </w:r>
                    </w:p>
                    <w:p w:rsidR="009C6751" w:rsidRDefault="009C6751" w:rsidP="007636B0">
                      <w:pPr>
                        <w:spacing w:after="40"/>
                      </w:pPr>
                    </w:p>
                  </w:txbxContent>
                </v:textbox>
                <w10:anchorlock/>
              </v:shape>
            </w:pict>
          </mc:Fallback>
        </mc:AlternateContent>
      </w:r>
    </w:p>
    <w:p w:rsidR="007636B0" w:rsidRDefault="007636B0" w:rsidP="007636B0"/>
    <w:p w:rsidR="007636B0" w:rsidRDefault="007636B0" w:rsidP="007636B0">
      <w:pPr>
        <w:pStyle w:val="Heading2"/>
        <w:tabs>
          <w:tab w:val="clear" w:pos="1209"/>
        </w:tabs>
      </w:pPr>
      <w:bookmarkStart w:id="62" w:name="_Toc351714302"/>
      <w:r>
        <w:t>Calculated HILs</w:t>
      </w:r>
      <w:bookmarkEnd w:id="62"/>
    </w:p>
    <w:p w:rsidR="007636B0" w:rsidRDefault="007636B0" w:rsidP="007636B0">
      <w:r>
        <w:t>On the basis of the above, the following HILs have been derived for picloram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287"/>
        <w:gridCol w:w="1445"/>
        <w:gridCol w:w="1517"/>
        <w:gridCol w:w="1553"/>
        <w:gridCol w:w="1392"/>
      </w:tblGrid>
      <w:tr w:rsidR="007636B0" w:rsidRPr="00C64237" w:rsidTr="00B45DD6">
        <w:tc>
          <w:tcPr>
            <w:tcW w:w="1639" w:type="dxa"/>
            <w:vMerge w:val="restart"/>
            <w:shd w:val="clear" w:color="auto" w:fill="C6D9F1" w:themeFill="text2" w:themeFillTint="33"/>
          </w:tcPr>
          <w:p w:rsidR="007636B0" w:rsidRPr="00C64237" w:rsidRDefault="007636B0" w:rsidP="00B45DD6">
            <w:pPr>
              <w:spacing w:after="40"/>
              <w:rPr>
                <w:b/>
                <w:szCs w:val="22"/>
              </w:rPr>
            </w:pPr>
            <w:r w:rsidRPr="00C64237">
              <w:rPr>
                <w:b/>
                <w:szCs w:val="22"/>
              </w:rPr>
              <w:t>HIL Scenario</w:t>
            </w:r>
          </w:p>
        </w:tc>
        <w:tc>
          <w:tcPr>
            <w:tcW w:w="1287" w:type="dxa"/>
            <w:vMerge w:val="restart"/>
            <w:shd w:val="clear" w:color="auto" w:fill="C6D9F1" w:themeFill="text2" w:themeFillTint="33"/>
          </w:tcPr>
          <w:p w:rsidR="007636B0" w:rsidRPr="00C64237" w:rsidRDefault="007636B0" w:rsidP="00B45DD6">
            <w:pPr>
              <w:spacing w:after="40"/>
              <w:jc w:val="center"/>
              <w:rPr>
                <w:b/>
                <w:szCs w:val="22"/>
              </w:rPr>
            </w:pPr>
            <w:r w:rsidRPr="00C64237">
              <w:rPr>
                <w:b/>
                <w:szCs w:val="22"/>
              </w:rPr>
              <w:t>HIL (mg/kg)</w:t>
            </w:r>
          </w:p>
        </w:tc>
        <w:tc>
          <w:tcPr>
            <w:tcW w:w="5907" w:type="dxa"/>
            <w:gridSpan w:val="4"/>
            <w:shd w:val="clear" w:color="auto" w:fill="C6D9F1" w:themeFill="text2" w:themeFillTint="33"/>
          </w:tcPr>
          <w:p w:rsidR="007636B0" w:rsidRPr="00C64237" w:rsidRDefault="007636B0" w:rsidP="00B45DD6">
            <w:pPr>
              <w:spacing w:after="40"/>
              <w:jc w:val="center"/>
              <w:rPr>
                <w:b/>
                <w:szCs w:val="22"/>
              </w:rPr>
            </w:pPr>
            <w:r w:rsidRPr="00C64237">
              <w:rPr>
                <w:b/>
                <w:szCs w:val="22"/>
              </w:rPr>
              <w:t>Percentage Contribution from Exposure Pathways</w:t>
            </w:r>
          </w:p>
        </w:tc>
      </w:tr>
      <w:tr w:rsidR="007636B0" w:rsidRPr="00C64237" w:rsidTr="00B45DD6">
        <w:trPr>
          <w:trHeight w:val="427"/>
        </w:trPr>
        <w:tc>
          <w:tcPr>
            <w:tcW w:w="1639" w:type="dxa"/>
            <w:vMerge/>
            <w:shd w:val="clear" w:color="auto" w:fill="C6D9F1" w:themeFill="text2" w:themeFillTint="33"/>
          </w:tcPr>
          <w:p w:rsidR="007636B0" w:rsidRPr="00C64237" w:rsidRDefault="007636B0" w:rsidP="00B45DD6">
            <w:pPr>
              <w:spacing w:after="40"/>
              <w:rPr>
                <w:szCs w:val="22"/>
              </w:rPr>
            </w:pPr>
          </w:p>
        </w:tc>
        <w:tc>
          <w:tcPr>
            <w:tcW w:w="1287" w:type="dxa"/>
            <w:vMerge/>
            <w:shd w:val="clear" w:color="auto" w:fill="C6D9F1" w:themeFill="text2" w:themeFillTint="33"/>
          </w:tcPr>
          <w:p w:rsidR="007636B0" w:rsidRPr="00C64237" w:rsidRDefault="007636B0" w:rsidP="00B45DD6">
            <w:pPr>
              <w:spacing w:after="40"/>
              <w:jc w:val="center"/>
              <w:rPr>
                <w:szCs w:val="22"/>
              </w:rPr>
            </w:pPr>
          </w:p>
        </w:tc>
        <w:tc>
          <w:tcPr>
            <w:tcW w:w="1445" w:type="dxa"/>
            <w:shd w:val="clear" w:color="auto" w:fill="C6D9F1" w:themeFill="text2" w:themeFillTint="33"/>
          </w:tcPr>
          <w:p w:rsidR="007636B0" w:rsidRPr="00C64237" w:rsidRDefault="007636B0" w:rsidP="00B45DD6">
            <w:pPr>
              <w:spacing w:after="40"/>
              <w:jc w:val="center"/>
              <w:rPr>
                <w:b/>
                <w:szCs w:val="22"/>
              </w:rPr>
            </w:pPr>
            <w:r w:rsidRPr="00C64237">
              <w:rPr>
                <w:b/>
                <w:szCs w:val="22"/>
              </w:rPr>
              <w:t>Ingestion of Soil/Dust</w:t>
            </w:r>
          </w:p>
        </w:tc>
        <w:tc>
          <w:tcPr>
            <w:tcW w:w="1517" w:type="dxa"/>
            <w:shd w:val="clear" w:color="auto" w:fill="C6D9F1" w:themeFill="text2" w:themeFillTint="33"/>
          </w:tcPr>
          <w:p w:rsidR="007636B0" w:rsidRPr="00C64237" w:rsidRDefault="007636B0" w:rsidP="00B45DD6">
            <w:pPr>
              <w:spacing w:after="40"/>
              <w:jc w:val="center"/>
              <w:rPr>
                <w:b/>
                <w:szCs w:val="22"/>
              </w:rPr>
            </w:pPr>
            <w:r w:rsidRPr="00C64237">
              <w:rPr>
                <w:b/>
                <w:szCs w:val="22"/>
              </w:rPr>
              <w:t>Ingestion of Home-grown Produce</w:t>
            </w:r>
          </w:p>
        </w:tc>
        <w:tc>
          <w:tcPr>
            <w:tcW w:w="1553" w:type="dxa"/>
            <w:shd w:val="clear" w:color="auto" w:fill="C6D9F1" w:themeFill="text2" w:themeFillTint="33"/>
          </w:tcPr>
          <w:p w:rsidR="007636B0" w:rsidRPr="00C64237" w:rsidRDefault="007636B0" w:rsidP="00B45DD6">
            <w:pPr>
              <w:spacing w:after="40"/>
              <w:jc w:val="center"/>
              <w:rPr>
                <w:b/>
                <w:szCs w:val="22"/>
              </w:rPr>
            </w:pPr>
            <w:r w:rsidRPr="00C64237">
              <w:rPr>
                <w:b/>
                <w:szCs w:val="22"/>
              </w:rPr>
              <w:t>Dermal Absorption of Soil/Dust</w:t>
            </w:r>
          </w:p>
        </w:tc>
        <w:tc>
          <w:tcPr>
            <w:tcW w:w="1392" w:type="dxa"/>
            <w:shd w:val="clear" w:color="auto" w:fill="C6D9F1" w:themeFill="text2" w:themeFillTint="33"/>
          </w:tcPr>
          <w:p w:rsidR="007636B0" w:rsidRPr="00C64237" w:rsidRDefault="007636B0" w:rsidP="00B45DD6">
            <w:pPr>
              <w:spacing w:after="40"/>
              <w:jc w:val="center"/>
              <w:rPr>
                <w:b/>
                <w:szCs w:val="22"/>
              </w:rPr>
            </w:pPr>
            <w:r w:rsidRPr="00C64237">
              <w:rPr>
                <w:b/>
                <w:szCs w:val="22"/>
              </w:rPr>
              <w:t>Inhalation (dust)</w:t>
            </w:r>
          </w:p>
        </w:tc>
      </w:tr>
      <w:tr w:rsidR="007636B0" w:rsidRPr="00C64237" w:rsidTr="00B45DD6">
        <w:tc>
          <w:tcPr>
            <w:tcW w:w="1639" w:type="dxa"/>
          </w:tcPr>
          <w:p w:rsidR="007636B0" w:rsidRPr="00C64237" w:rsidRDefault="007636B0" w:rsidP="00B45DD6">
            <w:pPr>
              <w:spacing w:after="40"/>
              <w:rPr>
                <w:szCs w:val="22"/>
              </w:rPr>
            </w:pPr>
            <w:r w:rsidRPr="00C64237">
              <w:rPr>
                <w:szCs w:val="22"/>
              </w:rPr>
              <w:t>Residential A</w:t>
            </w:r>
          </w:p>
        </w:tc>
        <w:tc>
          <w:tcPr>
            <w:tcW w:w="1287" w:type="dxa"/>
            <w:tcMar>
              <w:right w:w="397" w:type="dxa"/>
            </w:tcMar>
          </w:tcPr>
          <w:p w:rsidR="007636B0" w:rsidRPr="00C64237" w:rsidRDefault="007636B0" w:rsidP="00B45DD6">
            <w:pPr>
              <w:spacing w:after="40"/>
              <w:jc w:val="right"/>
              <w:rPr>
                <w:szCs w:val="22"/>
              </w:rPr>
            </w:pPr>
            <w:r w:rsidRPr="00C64237">
              <w:rPr>
                <w:szCs w:val="22"/>
              </w:rPr>
              <w:t>4500</w:t>
            </w:r>
          </w:p>
        </w:tc>
        <w:tc>
          <w:tcPr>
            <w:tcW w:w="1445" w:type="dxa"/>
          </w:tcPr>
          <w:p w:rsidR="007636B0" w:rsidRPr="00C64237" w:rsidRDefault="007636B0" w:rsidP="00B45DD6">
            <w:pPr>
              <w:spacing w:after="40"/>
              <w:jc w:val="center"/>
              <w:rPr>
                <w:szCs w:val="22"/>
              </w:rPr>
            </w:pPr>
            <w:r w:rsidRPr="00C64237">
              <w:rPr>
                <w:szCs w:val="22"/>
              </w:rPr>
              <w:t>43</w:t>
            </w:r>
          </w:p>
        </w:tc>
        <w:tc>
          <w:tcPr>
            <w:tcW w:w="1517" w:type="dxa"/>
          </w:tcPr>
          <w:p w:rsidR="007636B0" w:rsidRPr="00C64237" w:rsidRDefault="007636B0" w:rsidP="00B45DD6">
            <w:pPr>
              <w:spacing w:after="40"/>
              <w:jc w:val="center"/>
              <w:rPr>
                <w:szCs w:val="22"/>
              </w:rPr>
            </w:pPr>
            <w:r w:rsidRPr="00C64237">
              <w:rPr>
                <w:szCs w:val="22"/>
              </w:rPr>
              <w:t>--</w:t>
            </w:r>
          </w:p>
        </w:tc>
        <w:tc>
          <w:tcPr>
            <w:tcW w:w="1553" w:type="dxa"/>
          </w:tcPr>
          <w:p w:rsidR="007636B0" w:rsidRPr="00C64237" w:rsidRDefault="007636B0" w:rsidP="00B45DD6">
            <w:pPr>
              <w:spacing w:after="40"/>
              <w:jc w:val="center"/>
              <w:rPr>
                <w:szCs w:val="22"/>
              </w:rPr>
            </w:pPr>
            <w:r w:rsidRPr="00C64237">
              <w:rPr>
                <w:szCs w:val="22"/>
              </w:rPr>
              <w:t>57</w:t>
            </w:r>
          </w:p>
        </w:tc>
        <w:tc>
          <w:tcPr>
            <w:tcW w:w="1392" w:type="dxa"/>
          </w:tcPr>
          <w:p w:rsidR="007636B0" w:rsidRPr="00C64237" w:rsidRDefault="007636B0" w:rsidP="00B45DD6">
            <w:pPr>
              <w:spacing w:after="40"/>
              <w:jc w:val="center"/>
              <w:rPr>
                <w:szCs w:val="22"/>
              </w:rPr>
            </w:pPr>
            <w:r w:rsidRPr="00C64237">
              <w:rPr>
                <w:szCs w:val="22"/>
              </w:rPr>
              <w:t>&lt;1</w:t>
            </w:r>
          </w:p>
        </w:tc>
      </w:tr>
      <w:tr w:rsidR="007636B0" w:rsidRPr="00C64237" w:rsidTr="00B45DD6">
        <w:tc>
          <w:tcPr>
            <w:tcW w:w="1639" w:type="dxa"/>
          </w:tcPr>
          <w:p w:rsidR="007636B0" w:rsidRPr="00C64237" w:rsidRDefault="007636B0" w:rsidP="00B45DD6">
            <w:pPr>
              <w:spacing w:after="40"/>
              <w:rPr>
                <w:szCs w:val="22"/>
              </w:rPr>
            </w:pPr>
            <w:r w:rsidRPr="00C64237">
              <w:rPr>
                <w:szCs w:val="22"/>
              </w:rPr>
              <w:t>Residential B</w:t>
            </w:r>
          </w:p>
        </w:tc>
        <w:tc>
          <w:tcPr>
            <w:tcW w:w="1287" w:type="dxa"/>
            <w:tcMar>
              <w:right w:w="397" w:type="dxa"/>
            </w:tcMar>
          </w:tcPr>
          <w:p w:rsidR="007636B0" w:rsidRPr="00C64237" w:rsidRDefault="007636B0" w:rsidP="00B45DD6">
            <w:pPr>
              <w:spacing w:after="40"/>
              <w:jc w:val="right"/>
              <w:rPr>
                <w:szCs w:val="22"/>
              </w:rPr>
            </w:pPr>
            <w:r w:rsidRPr="00C64237">
              <w:rPr>
                <w:szCs w:val="22"/>
              </w:rPr>
              <w:t>6600</w:t>
            </w:r>
          </w:p>
        </w:tc>
        <w:tc>
          <w:tcPr>
            <w:tcW w:w="1445" w:type="dxa"/>
          </w:tcPr>
          <w:p w:rsidR="007636B0" w:rsidRPr="00C64237" w:rsidRDefault="007636B0" w:rsidP="00B45DD6">
            <w:pPr>
              <w:spacing w:after="40"/>
              <w:jc w:val="center"/>
              <w:rPr>
                <w:szCs w:val="22"/>
              </w:rPr>
            </w:pPr>
            <w:r w:rsidRPr="00C64237">
              <w:rPr>
                <w:szCs w:val="22"/>
              </w:rPr>
              <w:t>16</w:t>
            </w:r>
          </w:p>
        </w:tc>
        <w:tc>
          <w:tcPr>
            <w:tcW w:w="1517" w:type="dxa"/>
          </w:tcPr>
          <w:p w:rsidR="007636B0" w:rsidRPr="00C64237" w:rsidRDefault="007636B0" w:rsidP="00B45DD6">
            <w:pPr>
              <w:spacing w:after="40"/>
              <w:jc w:val="center"/>
              <w:rPr>
                <w:szCs w:val="22"/>
              </w:rPr>
            </w:pPr>
            <w:r w:rsidRPr="00C64237">
              <w:rPr>
                <w:szCs w:val="22"/>
              </w:rPr>
              <w:t>--</w:t>
            </w:r>
          </w:p>
        </w:tc>
        <w:tc>
          <w:tcPr>
            <w:tcW w:w="1553" w:type="dxa"/>
          </w:tcPr>
          <w:p w:rsidR="007636B0" w:rsidRPr="00C64237" w:rsidRDefault="007636B0" w:rsidP="00B45DD6">
            <w:pPr>
              <w:spacing w:after="40"/>
              <w:jc w:val="center"/>
              <w:rPr>
                <w:szCs w:val="22"/>
              </w:rPr>
            </w:pPr>
            <w:r w:rsidRPr="00C64237">
              <w:rPr>
                <w:szCs w:val="22"/>
              </w:rPr>
              <w:t>84</w:t>
            </w:r>
          </w:p>
        </w:tc>
        <w:tc>
          <w:tcPr>
            <w:tcW w:w="1392" w:type="dxa"/>
          </w:tcPr>
          <w:p w:rsidR="007636B0" w:rsidRPr="00C64237" w:rsidRDefault="007636B0" w:rsidP="00B45DD6">
            <w:pPr>
              <w:spacing w:after="40"/>
              <w:jc w:val="center"/>
              <w:rPr>
                <w:szCs w:val="22"/>
              </w:rPr>
            </w:pPr>
            <w:r w:rsidRPr="00C64237">
              <w:rPr>
                <w:szCs w:val="22"/>
              </w:rPr>
              <w:t>&lt;1</w:t>
            </w:r>
          </w:p>
        </w:tc>
      </w:tr>
      <w:tr w:rsidR="007636B0" w:rsidRPr="00C64237" w:rsidTr="00B45DD6">
        <w:tc>
          <w:tcPr>
            <w:tcW w:w="1639" w:type="dxa"/>
          </w:tcPr>
          <w:p w:rsidR="007636B0" w:rsidRPr="00C64237" w:rsidRDefault="007636B0" w:rsidP="00B45DD6">
            <w:pPr>
              <w:spacing w:after="40"/>
              <w:rPr>
                <w:szCs w:val="22"/>
              </w:rPr>
            </w:pPr>
            <w:r w:rsidRPr="00C64237">
              <w:rPr>
                <w:szCs w:val="22"/>
              </w:rPr>
              <w:t>Recreational C</w:t>
            </w:r>
          </w:p>
        </w:tc>
        <w:tc>
          <w:tcPr>
            <w:tcW w:w="1287" w:type="dxa"/>
            <w:tcMar>
              <w:right w:w="397" w:type="dxa"/>
            </w:tcMar>
          </w:tcPr>
          <w:p w:rsidR="007636B0" w:rsidRPr="00C64237" w:rsidRDefault="007636B0" w:rsidP="00B45DD6">
            <w:pPr>
              <w:spacing w:after="40"/>
              <w:jc w:val="right"/>
              <w:rPr>
                <w:szCs w:val="22"/>
              </w:rPr>
            </w:pPr>
            <w:r w:rsidRPr="00C64237">
              <w:rPr>
                <w:szCs w:val="22"/>
              </w:rPr>
              <w:t>5700</w:t>
            </w:r>
          </w:p>
        </w:tc>
        <w:tc>
          <w:tcPr>
            <w:tcW w:w="1445" w:type="dxa"/>
          </w:tcPr>
          <w:p w:rsidR="007636B0" w:rsidRPr="00C64237" w:rsidRDefault="007636B0" w:rsidP="00B45DD6">
            <w:pPr>
              <w:spacing w:after="40"/>
              <w:jc w:val="center"/>
              <w:rPr>
                <w:szCs w:val="22"/>
              </w:rPr>
            </w:pPr>
            <w:r w:rsidRPr="00C64237">
              <w:rPr>
                <w:szCs w:val="22"/>
              </w:rPr>
              <w:t>27</w:t>
            </w:r>
          </w:p>
        </w:tc>
        <w:tc>
          <w:tcPr>
            <w:tcW w:w="1517" w:type="dxa"/>
          </w:tcPr>
          <w:p w:rsidR="007636B0" w:rsidRPr="00C64237" w:rsidRDefault="007636B0" w:rsidP="00B45DD6">
            <w:pPr>
              <w:spacing w:after="40"/>
              <w:jc w:val="center"/>
              <w:rPr>
                <w:szCs w:val="22"/>
              </w:rPr>
            </w:pPr>
            <w:r w:rsidRPr="00C64237">
              <w:rPr>
                <w:szCs w:val="22"/>
              </w:rPr>
              <w:t>--</w:t>
            </w:r>
          </w:p>
        </w:tc>
        <w:tc>
          <w:tcPr>
            <w:tcW w:w="1553" w:type="dxa"/>
          </w:tcPr>
          <w:p w:rsidR="007636B0" w:rsidRPr="00C64237" w:rsidRDefault="007636B0" w:rsidP="00B45DD6">
            <w:pPr>
              <w:spacing w:after="40"/>
              <w:jc w:val="center"/>
              <w:rPr>
                <w:szCs w:val="22"/>
              </w:rPr>
            </w:pPr>
            <w:r w:rsidRPr="00C64237">
              <w:rPr>
                <w:szCs w:val="22"/>
              </w:rPr>
              <w:t>73</w:t>
            </w:r>
          </w:p>
        </w:tc>
        <w:tc>
          <w:tcPr>
            <w:tcW w:w="1392" w:type="dxa"/>
          </w:tcPr>
          <w:p w:rsidR="007636B0" w:rsidRPr="00C64237" w:rsidRDefault="007636B0" w:rsidP="00B45DD6">
            <w:pPr>
              <w:spacing w:after="40"/>
              <w:jc w:val="center"/>
              <w:rPr>
                <w:szCs w:val="22"/>
              </w:rPr>
            </w:pPr>
            <w:r w:rsidRPr="00C64237">
              <w:rPr>
                <w:szCs w:val="22"/>
              </w:rPr>
              <w:t>&lt;1</w:t>
            </w:r>
          </w:p>
        </w:tc>
      </w:tr>
      <w:tr w:rsidR="007636B0" w:rsidRPr="00C64237" w:rsidTr="00B45DD6">
        <w:tc>
          <w:tcPr>
            <w:tcW w:w="1639" w:type="dxa"/>
          </w:tcPr>
          <w:p w:rsidR="007636B0" w:rsidRPr="00C64237" w:rsidRDefault="007636B0" w:rsidP="00B45DD6">
            <w:pPr>
              <w:spacing w:after="40"/>
              <w:rPr>
                <w:szCs w:val="22"/>
              </w:rPr>
            </w:pPr>
            <w:r w:rsidRPr="00C64237">
              <w:rPr>
                <w:szCs w:val="22"/>
              </w:rPr>
              <w:t>Commercial D</w:t>
            </w:r>
          </w:p>
        </w:tc>
        <w:tc>
          <w:tcPr>
            <w:tcW w:w="1287" w:type="dxa"/>
            <w:tcMar>
              <w:right w:w="397" w:type="dxa"/>
            </w:tcMar>
          </w:tcPr>
          <w:p w:rsidR="007636B0" w:rsidRPr="00C64237" w:rsidRDefault="007636B0" w:rsidP="00B45DD6">
            <w:pPr>
              <w:spacing w:after="40"/>
              <w:jc w:val="right"/>
              <w:rPr>
                <w:szCs w:val="22"/>
              </w:rPr>
            </w:pPr>
            <w:r w:rsidRPr="00C64237">
              <w:rPr>
                <w:szCs w:val="22"/>
              </w:rPr>
              <w:t>35 000</w:t>
            </w:r>
          </w:p>
        </w:tc>
        <w:tc>
          <w:tcPr>
            <w:tcW w:w="1445" w:type="dxa"/>
          </w:tcPr>
          <w:p w:rsidR="007636B0" w:rsidRPr="00C64237" w:rsidRDefault="007636B0" w:rsidP="00B45DD6">
            <w:pPr>
              <w:spacing w:after="40"/>
              <w:jc w:val="center"/>
              <w:rPr>
                <w:szCs w:val="22"/>
              </w:rPr>
            </w:pPr>
            <w:r w:rsidRPr="00C64237">
              <w:rPr>
                <w:szCs w:val="22"/>
              </w:rPr>
              <w:t>12</w:t>
            </w:r>
          </w:p>
        </w:tc>
        <w:tc>
          <w:tcPr>
            <w:tcW w:w="1517" w:type="dxa"/>
          </w:tcPr>
          <w:p w:rsidR="007636B0" w:rsidRPr="00C64237" w:rsidRDefault="007636B0" w:rsidP="00B45DD6">
            <w:pPr>
              <w:spacing w:after="40"/>
              <w:jc w:val="center"/>
              <w:rPr>
                <w:szCs w:val="22"/>
              </w:rPr>
            </w:pPr>
            <w:r w:rsidRPr="00C64237">
              <w:rPr>
                <w:szCs w:val="22"/>
              </w:rPr>
              <w:t>--</w:t>
            </w:r>
          </w:p>
        </w:tc>
        <w:tc>
          <w:tcPr>
            <w:tcW w:w="1553" w:type="dxa"/>
          </w:tcPr>
          <w:p w:rsidR="007636B0" w:rsidRPr="00C64237" w:rsidRDefault="007636B0" w:rsidP="00B45DD6">
            <w:pPr>
              <w:spacing w:after="40"/>
              <w:jc w:val="center"/>
              <w:rPr>
                <w:szCs w:val="22"/>
              </w:rPr>
            </w:pPr>
            <w:r w:rsidRPr="00C64237">
              <w:rPr>
                <w:szCs w:val="22"/>
              </w:rPr>
              <w:t>88</w:t>
            </w:r>
          </w:p>
        </w:tc>
        <w:tc>
          <w:tcPr>
            <w:tcW w:w="1392" w:type="dxa"/>
          </w:tcPr>
          <w:p w:rsidR="007636B0" w:rsidRPr="00C64237" w:rsidRDefault="007636B0" w:rsidP="00B45DD6">
            <w:pPr>
              <w:spacing w:after="40"/>
              <w:jc w:val="center"/>
              <w:rPr>
                <w:szCs w:val="22"/>
              </w:rPr>
            </w:pPr>
            <w:r w:rsidRPr="00C64237">
              <w:rPr>
                <w:szCs w:val="22"/>
              </w:rPr>
              <w:t>&lt;1</w:t>
            </w:r>
          </w:p>
        </w:tc>
      </w:tr>
    </w:tbl>
    <w:p w:rsidR="007636B0" w:rsidRPr="00C64237" w:rsidRDefault="007636B0" w:rsidP="007636B0">
      <w:pPr>
        <w:rPr>
          <w:sz w:val="18"/>
          <w:szCs w:val="18"/>
        </w:rPr>
      </w:pPr>
      <w:r w:rsidRPr="00C64237">
        <w:rPr>
          <w:sz w:val="18"/>
          <w:szCs w:val="18"/>
        </w:rPr>
        <w:t>-- Pathway not included in derivation of HIL</w:t>
      </w:r>
    </w:p>
    <w:p w:rsidR="007636B0" w:rsidRDefault="007636B0" w:rsidP="007636B0"/>
    <w:p w:rsidR="007636B0" w:rsidRDefault="007636B0" w:rsidP="007636B0">
      <w:pPr>
        <w:rPr>
          <w:b/>
          <w:kern w:val="28"/>
          <w:sz w:val="24"/>
        </w:rPr>
      </w:pPr>
      <w:r>
        <w:br w:type="page"/>
      </w:r>
    </w:p>
    <w:p w:rsidR="007636B0" w:rsidRDefault="007636B0" w:rsidP="007636B0">
      <w:pPr>
        <w:pStyle w:val="Heading2"/>
        <w:tabs>
          <w:tab w:val="clear" w:pos="1209"/>
        </w:tabs>
      </w:pPr>
      <w:bookmarkStart w:id="63" w:name="_Toc351714303"/>
      <w:r>
        <w:lastRenderedPageBreak/>
        <w:t>References</w:t>
      </w:r>
      <w:bookmarkEnd w:id="63"/>
    </w:p>
    <w:p w:rsidR="007636B0" w:rsidRPr="00C64237" w:rsidRDefault="007636B0" w:rsidP="007636B0">
      <w:pPr>
        <w:pStyle w:val="StyletextLeft0cmHanging1cm"/>
      </w:pPr>
      <w:r w:rsidRPr="00C64237">
        <w:t xml:space="preserve">APVMA 2009, </w:t>
      </w:r>
      <w:r w:rsidRPr="00C64237">
        <w:rPr>
          <w:i/>
        </w:rPr>
        <w:t>Chemicals Nominated for Review</w:t>
      </w:r>
      <w:r w:rsidRPr="00C64237">
        <w:t xml:space="preserve">, last update unknown, accessed July 2009, Australian Pesticides and Veterinary Medicines Authority (APVMA), </w:t>
      </w:r>
      <w:hyperlink r:id="rId29" w:history="1">
        <w:r w:rsidRPr="00C64237">
          <w:rPr>
            <w:rStyle w:val="Hyperlink"/>
            <w:szCs w:val="22"/>
          </w:rPr>
          <w:t>http://www.apvma.gov.au/chemrev/ChemRevProgram.shtml</w:t>
        </w:r>
      </w:hyperlink>
      <w:r w:rsidRPr="00C64237">
        <w:t>.</w:t>
      </w:r>
    </w:p>
    <w:p w:rsidR="007636B0" w:rsidRPr="00C64237" w:rsidRDefault="007636B0" w:rsidP="007636B0">
      <w:pPr>
        <w:pStyle w:val="StyletextLeft0cmHanging1cm"/>
      </w:pPr>
      <w:r w:rsidRPr="00C64237">
        <w:t xml:space="preserve">FSANZ 2003, </w:t>
      </w:r>
      <w:r w:rsidRPr="00C64237">
        <w:rPr>
          <w:i/>
        </w:rPr>
        <w:t>The 20th Australian Total Diet Survey</w:t>
      </w:r>
      <w:r w:rsidRPr="00C64237">
        <w:t xml:space="preserve">, a total diet survey of pesticide residues and contaminants. website: </w:t>
      </w:r>
      <w:hyperlink r:id="rId30" w:history="1">
        <w:r w:rsidRPr="00C64237">
          <w:rPr>
            <w:rStyle w:val="Hyperlink"/>
            <w:i/>
            <w:iCs/>
            <w:szCs w:val="22"/>
          </w:rPr>
          <w:t>http://www.anzfa.gov.au/</w:t>
        </w:r>
      </w:hyperlink>
      <w:r w:rsidRPr="00C64237">
        <w:t>.</w:t>
      </w:r>
    </w:p>
    <w:p w:rsidR="007636B0" w:rsidRPr="00C64237" w:rsidRDefault="007636B0" w:rsidP="007636B0">
      <w:pPr>
        <w:pStyle w:val="StyletextLeft0cmHanging1cm"/>
        <w:rPr>
          <w:lang w:eastAsia="en-US"/>
        </w:rPr>
      </w:pPr>
      <w:r w:rsidRPr="00C64237">
        <w:rPr>
          <w:lang w:eastAsia="en-US"/>
        </w:rPr>
        <w:t xml:space="preserve">FSANZ 2011, </w:t>
      </w:r>
      <w:r w:rsidRPr="00C64237">
        <w:rPr>
          <w:i/>
          <w:lang w:eastAsia="en-US"/>
        </w:rPr>
        <w:t>The 23</w:t>
      </w:r>
      <w:r w:rsidRPr="00C64237">
        <w:rPr>
          <w:i/>
          <w:vertAlign w:val="superscript"/>
          <w:lang w:eastAsia="en-US"/>
        </w:rPr>
        <w:t>rd</w:t>
      </w:r>
      <w:r w:rsidRPr="00C64237">
        <w:rPr>
          <w:i/>
          <w:lang w:eastAsia="en-US"/>
        </w:rPr>
        <w:t xml:space="preserve"> Australian Total Diet Study</w:t>
      </w:r>
      <w:r w:rsidRPr="00C64237">
        <w:rPr>
          <w:lang w:eastAsia="en-US"/>
        </w:rPr>
        <w:t>, Food Standards Australia and New Zealand.</w:t>
      </w:r>
    </w:p>
    <w:p w:rsidR="007636B0" w:rsidRPr="00C64237" w:rsidRDefault="007636B0" w:rsidP="007636B0">
      <w:pPr>
        <w:pStyle w:val="StyletextLeft0cmHanging1cm"/>
        <w:rPr>
          <w:noProof/>
        </w:rPr>
      </w:pPr>
      <w:r w:rsidRPr="00C64237">
        <w:rPr>
          <w:noProof/>
        </w:rPr>
        <w:t xml:space="preserve">Health Canada 1988, </w:t>
      </w:r>
      <w:r w:rsidRPr="00C64237">
        <w:rPr>
          <w:i/>
          <w:noProof/>
        </w:rPr>
        <w:t>Picloram, Environmental and Workplace Health</w:t>
      </w:r>
      <w:r w:rsidRPr="00C64237">
        <w:rPr>
          <w:noProof/>
        </w:rPr>
        <w:t xml:space="preserve">, reviewed in 1990, available from: </w:t>
      </w:r>
      <w:hyperlink r:id="rId31" w:history="1">
        <w:r w:rsidRPr="00C64237">
          <w:rPr>
            <w:rStyle w:val="Hyperlink"/>
            <w:noProof/>
            <w:szCs w:val="22"/>
          </w:rPr>
          <w:t>http://www.hc-sc.gc.ca/ewh-semt/pubs/water-eau/picloram-piclorame/index-eng.php</w:t>
        </w:r>
      </w:hyperlink>
      <w:r w:rsidRPr="00C64237">
        <w:rPr>
          <w:noProof/>
        </w:rPr>
        <w:t>.</w:t>
      </w:r>
    </w:p>
    <w:p w:rsidR="007636B0" w:rsidRPr="00C64237" w:rsidRDefault="007636B0" w:rsidP="007636B0">
      <w:pPr>
        <w:pStyle w:val="StyletextLeft0cmHanging1cm"/>
      </w:pPr>
      <w:r w:rsidRPr="00C64237">
        <w:t xml:space="preserve">IARC 1991, </w:t>
      </w:r>
      <w:r w:rsidRPr="00C64237">
        <w:rPr>
          <w:i/>
        </w:rPr>
        <w:t>Summaries and Evaluations, Picloram</w:t>
      </w:r>
      <w:r w:rsidRPr="00C64237">
        <w:t>, vol. 53 (1991), p,481, International Agency for Research on Cancer.</w:t>
      </w:r>
    </w:p>
    <w:p w:rsidR="007636B0" w:rsidRPr="00C64237" w:rsidRDefault="007636B0" w:rsidP="007636B0">
      <w:pPr>
        <w:pStyle w:val="StyletextLeft0cmHanging1cm"/>
      </w:pPr>
      <w:r w:rsidRPr="00C64237">
        <w:t xml:space="preserve">NEPC 1999, </w:t>
      </w:r>
      <w:r w:rsidRPr="00C64237">
        <w:rPr>
          <w:i/>
        </w:rPr>
        <w:t>Schedule B (7a), Guideline on Health-Based Investigation Levels, National Environment Protection (Assessment of Site Contamination) Measure</w:t>
      </w:r>
      <w:r w:rsidRPr="00C64237">
        <w:t>, National Environment Protection Council, Australia.</w:t>
      </w:r>
    </w:p>
    <w:p w:rsidR="007636B0" w:rsidRPr="00C64237" w:rsidRDefault="007636B0" w:rsidP="007636B0">
      <w:pPr>
        <w:pStyle w:val="StyletextLeft0cmHanging1cm"/>
      </w:pPr>
      <w:r w:rsidRPr="00C64237">
        <w:t xml:space="preserve">NCAP 1998, ‘Picloram, Herbicide Fact Sheet’, Northwest Coalition for Alternatives to Pesticides, </w:t>
      </w:r>
      <w:r w:rsidRPr="00C64237">
        <w:rPr>
          <w:i/>
        </w:rPr>
        <w:t>Journal of Pesticide Reform,</w:t>
      </w:r>
      <w:r w:rsidRPr="00C64237">
        <w:t xml:space="preserve"> Spring 1998, vol. 18, No.1. </w:t>
      </w:r>
    </w:p>
    <w:p w:rsidR="007636B0" w:rsidRPr="00C64237" w:rsidRDefault="007636B0" w:rsidP="007636B0">
      <w:pPr>
        <w:pStyle w:val="StyletextLeft0cmHanging1cm"/>
        <w:rPr>
          <w:noProof/>
        </w:rPr>
      </w:pPr>
      <w:r w:rsidRPr="00C64237">
        <w:t xml:space="preserve">NHMRC 2011, </w:t>
      </w:r>
      <w:r w:rsidRPr="00C64237">
        <w:rPr>
          <w:i/>
          <w:iCs/>
        </w:rPr>
        <w:t>National water quality management strategy, Australian drinking water guidelines</w:t>
      </w:r>
      <w:r w:rsidRPr="00C64237">
        <w:t>, National Health and Medical Research Council, Australia</w:t>
      </w:r>
      <w:r w:rsidRPr="00C64237">
        <w:rPr>
          <w:noProof/>
        </w:rPr>
        <w:t>.</w:t>
      </w:r>
    </w:p>
    <w:p w:rsidR="007636B0" w:rsidRPr="00C64237" w:rsidRDefault="007636B0" w:rsidP="007636B0">
      <w:pPr>
        <w:pStyle w:val="StyletextLeft0cmHanging1cm"/>
        <w:rPr>
          <w:rFonts w:cs="Arial"/>
          <w:noProof/>
        </w:rPr>
      </w:pPr>
      <w:r w:rsidRPr="00C64237">
        <w:rPr>
          <w:rFonts w:cs="Arial"/>
          <w:noProof/>
        </w:rPr>
        <w:t xml:space="preserve">OCS 2012, </w:t>
      </w:r>
      <w:r w:rsidRPr="00C64237">
        <w:rPr>
          <w:rFonts w:cs="Arial"/>
          <w:i/>
          <w:noProof/>
        </w:rPr>
        <w:t>ADI List, Acceptable Daily Intakes for Agricultural and Veterinary Chemicals</w:t>
      </w:r>
      <w:r w:rsidRPr="00C64237">
        <w:rPr>
          <w:rFonts w:cs="Arial"/>
          <w:noProof/>
        </w:rPr>
        <w:t xml:space="preserve">, current to 31 March 2012, Australian Government, Department of Health and Ageing, Office of Chemical Safety (OCS), available from: </w:t>
      </w:r>
      <w:r w:rsidRPr="00C64237">
        <w:rPr>
          <w:rFonts w:cs="Arial"/>
        </w:rPr>
        <w:t>http://www.health.gov.au/internet/main/publishing.nsf/content/E8F4D2F95D616584CA2573D700770C2A/$File/ADI-apr12.pdf.</w:t>
      </w:r>
    </w:p>
    <w:p w:rsidR="007636B0" w:rsidRPr="00C64237" w:rsidRDefault="007636B0" w:rsidP="007636B0">
      <w:pPr>
        <w:pStyle w:val="StyletextLeft0cmHanging1cm"/>
      </w:pPr>
      <w:r w:rsidRPr="00C64237">
        <w:t xml:space="preserve">OEHHA 1997, </w:t>
      </w:r>
      <w:r w:rsidRPr="00C64237">
        <w:rPr>
          <w:i/>
        </w:rPr>
        <w:t>Public Health Goal for Picloram in Drinking Water</w:t>
      </w:r>
      <w:r w:rsidRPr="00C64237">
        <w:t>, prepared by Pesticide and Environmental Toxicology Section, Office of Environmental Health Hazard Assessment, California Environmental Protection Agency, December 1997.</w:t>
      </w:r>
    </w:p>
    <w:p w:rsidR="007636B0" w:rsidRPr="00C64237" w:rsidRDefault="007636B0" w:rsidP="007636B0">
      <w:pPr>
        <w:pStyle w:val="StyletextLeft0cmHanging1cm"/>
      </w:pPr>
      <w:r w:rsidRPr="00C64237">
        <w:t xml:space="preserve">US EPA (IRIS 2012), data and information available from the </w:t>
      </w:r>
      <w:r w:rsidRPr="00C64237">
        <w:rPr>
          <w:i/>
        </w:rPr>
        <w:t>Integrated Risk Information System</w:t>
      </w:r>
      <w:r w:rsidRPr="00C64237">
        <w:t xml:space="preserve">, an online database, available from </w:t>
      </w:r>
      <w:hyperlink r:id="rId32" w:history="1">
        <w:r w:rsidRPr="00C64237">
          <w:rPr>
            <w:rStyle w:val="Hyperlink"/>
            <w:szCs w:val="22"/>
          </w:rPr>
          <w:t>http://www.epa.gov/iris/</w:t>
        </w:r>
      </w:hyperlink>
      <w:r w:rsidRPr="00C64237">
        <w:t>.</w:t>
      </w:r>
    </w:p>
    <w:p w:rsidR="007636B0" w:rsidRPr="00C64237" w:rsidRDefault="007636B0" w:rsidP="007636B0">
      <w:pPr>
        <w:pStyle w:val="StyletextLeft0cmHanging1cm"/>
      </w:pPr>
      <w:r w:rsidRPr="00C64237">
        <w:t xml:space="preserve">US EPA 1995a, </w:t>
      </w:r>
      <w:r w:rsidRPr="00C64237">
        <w:rPr>
          <w:i/>
        </w:rPr>
        <w:t>Reregistration Eligibility Decision (RED)</w:t>
      </w:r>
      <w:r w:rsidRPr="00C64237">
        <w:t xml:space="preserve"> Office of Prevention, Pesticides and Toxic Substances, United States Environment Protection Agency, Washington, DC.</w:t>
      </w:r>
    </w:p>
    <w:p w:rsidR="007636B0" w:rsidRPr="00C64237" w:rsidRDefault="007636B0" w:rsidP="007636B0">
      <w:pPr>
        <w:pStyle w:val="StyletextLeft0cmHanging1cm"/>
      </w:pPr>
      <w:r w:rsidRPr="00C64237">
        <w:t xml:space="preserve">US EPA 1995b, </w:t>
      </w:r>
      <w:r w:rsidRPr="00C64237">
        <w:rPr>
          <w:i/>
        </w:rPr>
        <w:t>Technical Guidance Manual, Assessing Dermal Exposure from Soil</w:t>
      </w:r>
      <w:r w:rsidRPr="00C64237">
        <w:t xml:space="preserve">, US EPA Region 3, December 1995, available from: </w:t>
      </w:r>
      <w:hyperlink r:id="rId33" w:history="1">
        <w:r w:rsidRPr="00C64237">
          <w:rPr>
            <w:rStyle w:val="Hyperlink"/>
            <w:szCs w:val="22"/>
          </w:rPr>
          <w:t>http://www.epa.gov/reg3hwmd/risk/human/info/solabsg2.htm</w:t>
        </w:r>
      </w:hyperlink>
      <w:r w:rsidRPr="00C64237">
        <w:t>.</w:t>
      </w:r>
    </w:p>
    <w:p w:rsidR="007636B0" w:rsidRPr="00C64237" w:rsidRDefault="007636B0" w:rsidP="007636B0">
      <w:pPr>
        <w:pStyle w:val="StyletextLeft0cmHanging1cm"/>
      </w:pPr>
      <w:r w:rsidRPr="00C64237">
        <w:t xml:space="preserve">WHO 2011, </w:t>
      </w:r>
      <w:r w:rsidRPr="00C64237">
        <w:rPr>
          <w:i/>
        </w:rPr>
        <w:t>Guidelines for drinking-water quality, 4</w:t>
      </w:r>
      <w:r w:rsidRPr="00C64237">
        <w:rPr>
          <w:i/>
          <w:vertAlign w:val="superscript"/>
        </w:rPr>
        <w:t>th</w:t>
      </w:r>
      <w:r w:rsidRPr="00C64237">
        <w:rPr>
          <w:i/>
        </w:rPr>
        <w:t xml:space="preserve"> edn</w:t>
      </w:r>
      <w:r w:rsidRPr="00C64237">
        <w:t>, World Health Organization, Geneva</w:t>
      </w:r>
      <w:r>
        <w:t>,</w:t>
      </w:r>
      <w:r w:rsidRPr="00C64237">
        <w:t xml:space="preserve"> available from </w:t>
      </w:r>
      <w:hyperlink r:id="rId34" w:history="1">
        <w:r w:rsidRPr="00C64237">
          <w:rPr>
            <w:rStyle w:val="Hyperlink"/>
            <w:szCs w:val="22"/>
          </w:rPr>
          <w:t>http://www.who.int/water_sanitation_health/dwq/chemicals/en/index.html</w:t>
        </w:r>
      </w:hyperlink>
      <w:r w:rsidRPr="00C64237">
        <w:t>.</w:t>
      </w:r>
    </w:p>
    <w:p w:rsidR="007636B0" w:rsidRDefault="007636B0" w:rsidP="007636B0"/>
    <w:p w:rsidR="007636B0" w:rsidRDefault="007636B0" w:rsidP="007636B0"/>
    <w:p w:rsidR="007636B0" w:rsidRDefault="007636B0" w:rsidP="007636B0"/>
    <w:p w:rsidR="007636B0" w:rsidRDefault="007636B0" w:rsidP="007636B0"/>
    <w:p w:rsidR="007636B0" w:rsidRDefault="007636B0" w:rsidP="007636B0"/>
    <w:p w:rsidR="007636B0" w:rsidRDefault="007636B0" w:rsidP="007636B0"/>
    <w:p w:rsidR="007636B0" w:rsidRDefault="007636B0" w:rsidP="007636B0">
      <w:pPr>
        <w:pStyle w:val="Heading1"/>
        <w:tabs>
          <w:tab w:val="clear" w:pos="1209"/>
          <w:tab w:val="num" w:pos="720"/>
        </w:tabs>
      </w:pPr>
      <w:bookmarkStart w:id="64" w:name="_Toc351714304"/>
      <w:r>
        <w:lastRenderedPageBreak/>
        <w:t>Atrazine</w:t>
      </w:r>
      <w:bookmarkEnd w:id="64"/>
    </w:p>
    <w:p w:rsidR="007636B0" w:rsidRDefault="007636B0" w:rsidP="007636B0">
      <w:pPr>
        <w:pStyle w:val="Heading2"/>
        <w:tabs>
          <w:tab w:val="clear" w:pos="1209"/>
        </w:tabs>
      </w:pPr>
      <w:bookmarkStart w:id="65" w:name="_Toc351714305"/>
      <w:r>
        <w:t>General</w:t>
      </w:r>
      <w:bookmarkEnd w:id="65"/>
    </w:p>
    <w:p w:rsidR="007636B0" w:rsidRDefault="007636B0" w:rsidP="007636B0">
      <w:r>
        <w:t>Several comprehensive reviews of atrazine in the environment and its toxicity to humans are available and should be consulted for more detailed information not presented in this summary (ATSDR 2003; NRA 1997; APVMA 2008; IARC 1999). The following provides a summary of the key aspects of atrazine that are relevant to the derivation of a soil HIL.</w:t>
      </w:r>
    </w:p>
    <w:p w:rsidR="0021528E" w:rsidRDefault="0021528E" w:rsidP="007636B0"/>
    <w:p w:rsidR="007636B0" w:rsidRDefault="007636B0" w:rsidP="007636B0">
      <w:r w:rsidRPr="008B38D6">
        <w:t>Atrazine is the common name for the compound 6-chloro-N</w:t>
      </w:r>
      <w:r w:rsidRPr="008B38D6">
        <w:rPr>
          <w:szCs w:val="16"/>
        </w:rPr>
        <w:t>2</w:t>
      </w:r>
      <w:r w:rsidRPr="008B38D6">
        <w:t>-ethyl-N</w:t>
      </w:r>
      <w:r w:rsidRPr="008B38D6">
        <w:rPr>
          <w:szCs w:val="16"/>
        </w:rPr>
        <w:t>4</w:t>
      </w:r>
      <w:r w:rsidRPr="008B38D6">
        <w:t>-isopropyl-1,3,5-triazine-2,4-diamine which is an odourless white powder or colourless crystal</w:t>
      </w:r>
      <w:r>
        <w:t xml:space="preserve"> (ATSDR 2003)</w:t>
      </w:r>
      <w:r w:rsidRPr="008B38D6">
        <w:t>. Commercially manufactured atrazine is typically greater that 90% pure. Common impurities include dichlorotriazines, hydroxytriazines, tris(alkyl)aminotriazines, simazine, p</w:t>
      </w:r>
      <w:r>
        <w:t>ropazine and sodium chloride (ATSDR 2003)</w:t>
      </w:r>
      <w:r w:rsidRPr="008B38D6">
        <w:t>. Atrazine is manufactured as a liquid, granules or wettable powder and can also be formulated in combination with other herbicides such as ametryn, amitrole, hexazinone, metalo</w:t>
      </w:r>
      <w:r>
        <w:t>chlor, glyphosate and dicamba (NRA 1997)</w:t>
      </w:r>
      <w:r w:rsidRPr="008B38D6">
        <w:t>.</w:t>
      </w:r>
    </w:p>
    <w:p w:rsidR="0021528E" w:rsidRPr="008B38D6" w:rsidRDefault="0021528E" w:rsidP="007636B0"/>
    <w:p w:rsidR="007636B0" w:rsidRDefault="007636B0" w:rsidP="007636B0">
      <w:r w:rsidRPr="008B38D6">
        <w:t xml:space="preserve">Atrazine is one of the most widely used herbicides in Australian agriculture and has been used since the 1960s </w:t>
      </w:r>
      <w:r>
        <w:t>(NRA 1997)</w:t>
      </w:r>
      <w:r w:rsidRPr="008B38D6">
        <w:t xml:space="preserve">. It is primarily used to control </w:t>
      </w:r>
      <w:r>
        <w:t>broadleaf</w:t>
      </w:r>
      <w:r w:rsidRPr="008B38D6">
        <w:t xml:space="preserve"> weeds and some grasses between crops such as sorghum, maize, lupins, sugar</w:t>
      </w:r>
      <w:r>
        <w:t xml:space="preserve"> </w:t>
      </w:r>
      <w:r w:rsidRPr="008B38D6">
        <w:t>cane and triazine</w:t>
      </w:r>
      <w:r>
        <w:t>-</w:t>
      </w:r>
      <w:r w:rsidRPr="008B38D6">
        <w:t>tolerant canola. Atrazine is also widely used to control weeds and some grasses by the forestry industry in pine a</w:t>
      </w:r>
      <w:r>
        <w:t>nd eucalyptus plantations (NRA 1997; NHMRC 2011)</w:t>
      </w:r>
      <w:r w:rsidRPr="008B38D6">
        <w:t>. Non-agricultural uses in Australia such as the spraying of weeds along fence lines, irrigation channels, drains, driveways and footpath</w:t>
      </w:r>
      <w:r>
        <w:t>s were discontinued in 1995 (NRA 1997)</w:t>
      </w:r>
      <w:r w:rsidRPr="008B38D6">
        <w:t>.</w:t>
      </w:r>
    </w:p>
    <w:p w:rsidR="0021528E" w:rsidRDefault="0021528E" w:rsidP="007636B0"/>
    <w:p w:rsidR="007636B0" w:rsidRDefault="007636B0" w:rsidP="007636B0">
      <w:r w:rsidRPr="007B2A0B">
        <w:t xml:space="preserve">Regulatory actions </w:t>
      </w:r>
      <w:r>
        <w:t xml:space="preserve">(by the </w:t>
      </w:r>
      <w:r w:rsidRPr="008B38D6">
        <w:t>National Registration Authority for Agricultural and Veterinary Chemicals</w:t>
      </w:r>
      <w:r w:rsidRPr="007B2A0B">
        <w:t xml:space="preserve"> </w:t>
      </w:r>
      <w:r>
        <w:t xml:space="preserve">[APVMA]) </w:t>
      </w:r>
      <w:r w:rsidRPr="007B2A0B">
        <w:t>undertaken in 1997 included cancellation of industrial and non-agricultural uses of atrazine (home garden uses and all commercial turf uses), deletion of use patterns and maximum residue limits (MRLs) for label claims for which there were no current use patterns (citrus, grapes and pineapples) and the introduction of a range of label instructions to reduce the risk of atrazine entering waterways. In addition, registrants were required to provide additional residue and monitoring data.</w:t>
      </w:r>
    </w:p>
    <w:p w:rsidR="0021528E" w:rsidRPr="007B2A0B" w:rsidRDefault="0021528E" w:rsidP="007636B0"/>
    <w:p w:rsidR="007636B0" w:rsidRDefault="007636B0" w:rsidP="007636B0">
      <w:r w:rsidRPr="007B2A0B">
        <w:t>The APVMA has initiated a project to re-examine the possibility that the triazines (atrazine and related chemicals with a similar M</w:t>
      </w:r>
      <w:r>
        <w:t>o</w:t>
      </w:r>
      <w:r w:rsidRPr="007B2A0B">
        <w:t>A) may have unintended harmful effects on humans,</w:t>
      </w:r>
      <w:r>
        <w:t xml:space="preserve"> </w:t>
      </w:r>
      <w:r w:rsidRPr="007B2A0B">
        <w:t>taking into account ongoing research into a newly hypothesised endocrine M</w:t>
      </w:r>
      <w:r>
        <w:t>o</w:t>
      </w:r>
      <w:r w:rsidRPr="007B2A0B">
        <w:t>A. This project will take into account international reports, such as the work of the Joint Meeting on Pesticide Residues (JMPR).</w:t>
      </w:r>
    </w:p>
    <w:p w:rsidR="0021528E" w:rsidRPr="007B2A0B" w:rsidRDefault="0021528E" w:rsidP="007636B0"/>
    <w:p w:rsidR="007636B0" w:rsidRDefault="007636B0" w:rsidP="007636B0">
      <w:r w:rsidRPr="007B2A0B">
        <w:t xml:space="preserve">Registrants who have a product whose label specifies a claim for weed control on </w:t>
      </w:r>
      <w:r>
        <w:t>triazine-tolerant</w:t>
      </w:r>
      <w:r w:rsidRPr="007B2A0B">
        <w:t xml:space="preserve"> canola will be required to either generate additional data or include an additional label restraint that specifies that atrazine must not be used post-emergence on </w:t>
      </w:r>
      <w:r>
        <w:t>triazine-tolerant</w:t>
      </w:r>
      <w:r w:rsidRPr="007B2A0B">
        <w:t xml:space="preserve"> canola grown on raised beds.</w:t>
      </w:r>
    </w:p>
    <w:p w:rsidR="0021528E" w:rsidRPr="007B2A0B" w:rsidRDefault="0021528E" w:rsidP="007636B0"/>
    <w:p w:rsidR="007636B0" w:rsidRPr="007B2A0B" w:rsidRDefault="007636B0" w:rsidP="007636B0">
      <w:r w:rsidRPr="007B2A0B">
        <w:t xml:space="preserve">After consideration </w:t>
      </w:r>
      <w:r>
        <w:t xml:space="preserve">of </w:t>
      </w:r>
      <w:r w:rsidRPr="007B2A0B">
        <w:t>the additional assessments completed after 1997</w:t>
      </w:r>
      <w:r>
        <w:t>,</w:t>
      </w:r>
      <w:r w:rsidRPr="007B2A0B">
        <w:t xml:space="preserve"> APVMA accepts the recommendations of OCS and the 2004 recommendations of DEWHA, and the following regulatory actions have been applied:</w:t>
      </w:r>
    </w:p>
    <w:p w:rsidR="007636B0" w:rsidRPr="007B2A0B" w:rsidRDefault="007636B0" w:rsidP="007636B0">
      <w:pPr>
        <w:numPr>
          <w:ilvl w:val="0"/>
          <w:numId w:val="23"/>
        </w:numPr>
        <w:spacing w:after="200" w:line="276" w:lineRule="auto"/>
        <w:ind w:left="360"/>
      </w:pPr>
      <w:r w:rsidRPr="007B2A0B">
        <w:t>Active constituent approvals have been affirmed.</w:t>
      </w:r>
    </w:p>
    <w:p w:rsidR="007636B0" w:rsidRPr="007B2A0B" w:rsidRDefault="007636B0" w:rsidP="007636B0">
      <w:pPr>
        <w:numPr>
          <w:ilvl w:val="0"/>
          <w:numId w:val="23"/>
        </w:numPr>
        <w:spacing w:after="200" w:line="276" w:lineRule="auto"/>
        <w:ind w:left="360"/>
      </w:pPr>
      <w:r w:rsidRPr="007B2A0B">
        <w:t>Existing label instructions have been deemed to be inadequate and the most recently</w:t>
      </w:r>
      <w:r>
        <w:t xml:space="preserve"> </w:t>
      </w:r>
      <w:r w:rsidRPr="007B2A0B">
        <w:t>approved labels have been amended as follows:</w:t>
      </w:r>
    </w:p>
    <w:p w:rsidR="007636B0" w:rsidRPr="007B2A0B" w:rsidRDefault="007636B0" w:rsidP="007636B0">
      <w:pPr>
        <w:numPr>
          <w:ilvl w:val="0"/>
          <w:numId w:val="24"/>
        </w:numPr>
        <w:spacing w:after="200" w:line="276" w:lineRule="auto"/>
        <w:ind w:left="720"/>
      </w:pPr>
      <w:r w:rsidRPr="007B2A0B">
        <w:t>Labels have been amended to specify additional restraints to further reduce the risk of contamination of waterways</w:t>
      </w:r>
      <w:r w:rsidRPr="007B2A0B">
        <w:rPr>
          <w:sz w:val="16"/>
          <w:szCs w:val="16"/>
        </w:rPr>
        <w:t>.</w:t>
      </w:r>
    </w:p>
    <w:p w:rsidR="007636B0" w:rsidRPr="007B2A0B" w:rsidRDefault="007636B0" w:rsidP="007636B0">
      <w:pPr>
        <w:numPr>
          <w:ilvl w:val="0"/>
          <w:numId w:val="24"/>
        </w:numPr>
        <w:spacing w:after="200" w:line="276" w:lineRule="auto"/>
        <w:ind w:left="720"/>
      </w:pPr>
      <w:r w:rsidRPr="007B2A0B">
        <w:t>Withholding period instructions have been amended.</w:t>
      </w:r>
    </w:p>
    <w:p w:rsidR="007636B0" w:rsidRPr="007B2A0B" w:rsidRDefault="007636B0" w:rsidP="007636B0">
      <w:pPr>
        <w:numPr>
          <w:ilvl w:val="0"/>
          <w:numId w:val="24"/>
        </w:numPr>
        <w:spacing w:after="200" w:line="276" w:lineRule="auto"/>
        <w:ind w:left="720"/>
      </w:pPr>
      <w:r w:rsidRPr="007B2A0B">
        <w:lastRenderedPageBreak/>
        <w:t>Herbicide resistance reporting details have been added to labels.</w:t>
      </w:r>
    </w:p>
    <w:p w:rsidR="007636B0" w:rsidRPr="007B2A0B" w:rsidRDefault="007636B0" w:rsidP="007636B0">
      <w:r w:rsidRPr="007B2A0B">
        <w:t>These variations to label instructions satisfy the requirements for continued registration of products; and so</w:t>
      </w:r>
    </w:p>
    <w:p w:rsidR="007636B0" w:rsidRPr="007B2A0B" w:rsidRDefault="007636B0" w:rsidP="007636B0">
      <w:pPr>
        <w:numPr>
          <w:ilvl w:val="0"/>
          <w:numId w:val="23"/>
        </w:numPr>
        <w:spacing w:after="200" w:line="276" w:lineRule="auto"/>
        <w:ind w:left="709" w:hanging="709"/>
      </w:pPr>
      <w:r w:rsidRPr="007B2A0B">
        <w:t>Product registrations have been affirmed.</w:t>
      </w:r>
    </w:p>
    <w:p w:rsidR="007636B0" w:rsidRPr="007B2A0B" w:rsidRDefault="007636B0" w:rsidP="007636B0">
      <w:pPr>
        <w:numPr>
          <w:ilvl w:val="0"/>
          <w:numId w:val="23"/>
        </w:numPr>
        <w:spacing w:after="200" w:line="276" w:lineRule="auto"/>
        <w:ind w:left="709" w:hanging="709"/>
      </w:pPr>
      <w:r w:rsidRPr="007B2A0B">
        <w:t>To ensure that all labels are in line with the recommendations of the 2008 report</w:t>
      </w:r>
      <w:r>
        <w:t>,</w:t>
      </w:r>
      <w:r w:rsidRPr="007B2A0B">
        <w:t xml:space="preserve"> any previously approved labels that do not contain the amended instructions have been cancelled.</w:t>
      </w:r>
    </w:p>
    <w:p w:rsidR="007636B0" w:rsidRDefault="007636B0" w:rsidP="007636B0">
      <w:r w:rsidRPr="007B2A0B">
        <w:t>As an associated outcome of the review, changes will be made to the MRL Standard to align entries in the standard with existing approved use patterns.</w:t>
      </w:r>
    </w:p>
    <w:p w:rsidR="007636B0" w:rsidRDefault="007636B0" w:rsidP="007636B0">
      <w:pPr>
        <w:pStyle w:val="Heading2"/>
        <w:tabs>
          <w:tab w:val="clear" w:pos="1209"/>
        </w:tabs>
      </w:pPr>
      <w:bookmarkStart w:id="66" w:name="_Toc351714306"/>
      <w:r>
        <w:t>Previous HIL</w:t>
      </w:r>
      <w:bookmarkEnd w:id="66"/>
    </w:p>
    <w:p w:rsidR="007636B0" w:rsidRDefault="007636B0" w:rsidP="007636B0">
      <w:r>
        <w:t>No previous HIL is available for atrazine (NEPC 1999).</w:t>
      </w:r>
    </w:p>
    <w:p w:rsidR="007636B0" w:rsidRDefault="007636B0" w:rsidP="007636B0">
      <w:pPr>
        <w:pStyle w:val="Heading2"/>
        <w:tabs>
          <w:tab w:val="clear" w:pos="1209"/>
        </w:tabs>
      </w:pPr>
      <w:bookmarkStart w:id="67" w:name="_Toc351714307"/>
      <w:r>
        <w:t>Significance of Exposure Pathways</w:t>
      </w:r>
      <w:bookmarkEnd w:id="67"/>
    </w:p>
    <w:p w:rsidR="007636B0" w:rsidRPr="00E00A6A" w:rsidRDefault="007636B0" w:rsidP="007636B0">
      <w:pPr>
        <w:pStyle w:val="Heading3"/>
      </w:pPr>
      <w:bookmarkStart w:id="68" w:name="_Toc351714308"/>
      <w:r>
        <w:t xml:space="preserve">Oral </w:t>
      </w:r>
      <w:r w:rsidRPr="00E00A6A">
        <w:t>Bioavailability</w:t>
      </w:r>
      <w:bookmarkEnd w:id="68"/>
    </w:p>
    <w:p w:rsidR="007636B0" w:rsidRDefault="007636B0" w:rsidP="007636B0">
      <w:r>
        <w:t>Insufficient data is available to adequately define the bioavailability of atrazine hence a default approach of assuming 100% oral bioavailability has been adopted in the derivation of an HIL. It is noted that a site-specific assessment of bioavailability can be undertaken where required.</w:t>
      </w:r>
    </w:p>
    <w:p w:rsidR="007636B0" w:rsidRPr="002D7B71" w:rsidRDefault="007636B0" w:rsidP="007636B0">
      <w:pPr>
        <w:pStyle w:val="Heading3"/>
      </w:pPr>
      <w:bookmarkStart w:id="69" w:name="_Toc351714309"/>
      <w:r w:rsidRPr="002D7B71">
        <w:t>Dermal absorption</w:t>
      </w:r>
      <w:bookmarkEnd w:id="69"/>
    </w:p>
    <w:p w:rsidR="007636B0" w:rsidRDefault="007636B0" w:rsidP="007636B0">
      <w:r>
        <w:t>Insufficient data is available on the dermal absorption of atrazine from soil. Hence the default value of 0.1 (10%) suggested by US EPA (1995) for pesticides has been adopted in the derivation of HILs.</w:t>
      </w:r>
    </w:p>
    <w:p w:rsidR="007636B0" w:rsidRPr="009338FB" w:rsidRDefault="007636B0" w:rsidP="007636B0">
      <w:pPr>
        <w:pStyle w:val="Heading3"/>
      </w:pPr>
      <w:bookmarkStart w:id="70" w:name="_Toc351714310"/>
      <w:r w:rsidRPr="009338FB">
        <w:t>Inhalation of Dust</w:t>
      </w:r>
      <w:bookmarkEnd w:id="70"/>
    </w:p>
    <w:p w:rsidR="007636B0" w:rsidRDefault="007636B0" w:rsidP="007636B0">
      <w:r>
        <w:t>Atrazine is not considered sufficiently volatile to be of significance and inhalation exposures associated with particulates outdoors and indoors are expected to be of less significance than ingestion of soil. While likely to be negligible, potential inhalation exposures associated with dust have been considered in the HIL derived.</w:t>
      </w:r>
    </w:p>
    <w:p w:rsidR="007636B0" w:rsidRPr="009338FB" w:rsidRDefault="007636B0" w:rsidP="007636B0">
      <w:pPr>
        <w:pStyle w:val="Heading3"/>
      </w:pPr>
      <w:bookmarkStart w:id="71" w:name="_Toc351714311"/>
      <w:r w:rsidRPr="009338FB">
        <w:t>Plant Uptake</w:t>
      </w:r>
      <w:bookmarkEnd w:id="71"/>
    </w:p>
    <w:p w:rsidR="007636B0" w:rsidRDefault="007636B0" w:rsidP="007636B0">
      <w:r>
        <w:t>Atrazine is used as a herbicide and, as such, is phytotoxic to almost all broadleaf weeds and plants. Some plants are more sensitive than others to residues of atrazine in the soil, however in general, phytotoxicity will occur well before plant uptake into edible portions of fruit and vegetable crops is of significance. Hence the uptake of these compounds into home-grown produce has not been considered in the derivation of an HIL A.</w:t>
      </w:r>
    </w:p>
    <w:p w:rsidR="0021528E" w:rsidRDefault="0021528E" w:rsidP="007636B0"/>
    <w:p w:rsidR="007636B0" w:rsidRDefault="007636B0" w:rsidP="007636B0">
      <w:r>
        <w:t>Note that the persistence of atrazine in soil and potential for phytotoxic effects may need to be addressed on a site-specific basis if detected in soil.</w:t>
      </w:r>
    </w:p>
    <w:p w:rsidR="007636B0" w:rsidRPr="0089652E" w:rsidRDefault="007636B0" w:rsidP="007636B0">
      <w:pPr>
        <w:pStyle w:val="Heading3"/>
      </w:pPr>
      <w:bookmarkStart w:id="72" w:name="_Toc351714312"/>
      <w:r w:rsidRPr="0089652E">
        <w:t xml:space="preserve">Intakes from Other Sources </w:t>
      </w:r>
      <w:r>
        <w:t>–</w:t>
      </w:r>
      <w:r w:rsidRPr="0089652E">
        <w:t xml:space="preserve"> Background</w:t>
      </w:r>
      <w:bookmarkEnd w:id="72"/>
    </w:p>
    <w:p w:rsidR="007636B0" w:rsidRDefault="007636B0" w:rsidP="007636B0">
      <w:r>
        <w:t>Reviews of potential intakes from sources other than soil (primarily food) by NRA (1997), NHMRC (2011) and RIVM (2001) suggested these intakes were essentially negligible. Further review of residue data by APVMA (2008) noted that, when atrazine was used in accordance with the revised label directions, residues were unlikely to pose a risk to human health. Potential exposures during application of atrazine products may require further consideration on a site-specific basis; however exposures by the general public (in areas away from application) are negligible.</w:t>
      </w:r>
    </w:p>
    <w:p w:rsidR="007636B0" w:rsidRDefault="007636B0" w:rsidP="007636B0">
      <w:pPr>
        <w:pStyle w:val="Heading2"/>
        <w:tabs>
          <w:tab w:val="clear" w:pos="1209"/>
        </w:tabs>
      </w:pPr>
      <w:bookmarkStart w:id="73" w:name="_Toc351714313"/>
      <w:r>
        <w:lastRenderedPageBreak/>
        <w:t>Identification of Toxicity Reference Values</w:t>
      </w:r>
      <w:bookmarkEnd w:id="73"/>
    </w:p>
    <w:p w:rsidR="007636B0" w:rsidRPr="00983A79" w:rsidRDefault="007636B0" w:rsidP="007636B0">
      <w:pPr>
        <w:pStyle w:val="Heading3"/>
      </w:pPr>
      <w:bookmarkStart w:id="74" w:name="_Toc351714314"/>
      <w:r w:rsidRPr="00983A79">
        <w:t>Classification</w:t>
      </w:r>
      <w:bookmarkEnd w:id="74"/>
    </w:p>
    <w:p w:rsidR="007636B0" w:rsidRDefault="007636B0" w:rsidP="007636B0">
      <w:r w:rsidRPr="00C259C1">
        <w:t>The International Agency for Research on Cancer (IARC</w:t>
      </w:r>
      <w:r>
        <w:t xml:space="preserve"> 1999) has classified atrazine</w:t>
      </w:r>
      <w:r w:rsidRPr="00A35E24">
        <w:rPr>
          <w:rFonts w:cs="Arial"/>
        </w:rPr>
        <w:t xml:space="preserve"> </w:t>
      </w:r>
      <w:r>
        <w:rPr>
          <w:rFonts w:cs="Arial"/>
        </w:rPr>
        <w:t>a</w:t>
      </w:r>
      <w:r>
        <w:t>s Group 3</w:t>
      </w:r>
      <w:r>
        <w:rPr>
          <w:rFonts w:cs="Arial"/>
        </w:rPr>
        <w:t>—</w:t>
      </w:r>
      <w:r>
        <w:t>not classifiable. US EPA has not classified atrazine.</w:t>
      </w:r>
    </w:p>
    <w:p w:rsidR="007636B0" w:rsidRPr="00907E92" w:rsidRDefault="007636B0" w:rsidP="007636B0">
      <w:pPr>
        <w:pStyle w:val="Heading3"/>
      </w:pPr>
      <w:bookmarkStart w:id="75" w:name="_Toc351714315"/>
      <w:r w:rsidRPr="00907E92">
        <w:t>Review of Available Values</w:t>
      </w:r>
      <w:r>
        <w:t>/Information</w:t>
      </w:r>
      <w:bookmarkEnd w:id="75"/>
    </w:p>
    <w:p w:rsidR="007636B0" w:rsidRDefault="007636B0" w:rsidP="007636B0">
      <w:r>
        <w:t>The available data reviewed by JMPR (2007) and APVMA (2008) suggested that atrazine was not likely to pose a carcinogenic risk to humans. Review by JMPR (2007) and RIVM (2001) suggested that based on the weight of evidence, atrazine was not genotoxic. There is some evidence that it can induce mammary tumours in rats as a result of hormonal changes, but the mechanism is believed to be non-genotoxic. On the basis of the available information, it is considered appropriate that a threshold dose</w:t>
      </w:r>
      <w:r>
        <w:sym w:font="Symbol" w:char="F02D"/>
      </w:r>
      <w:r>
        <w:t xml:space="preserve">response approach be adopted for atrazine. </w:t>
      </w:r>
    </w:p>
    <w:p w:rsidR="0021528E" w:rsidRDefault="0021528E" w:rsidP="007636B0"/>
    <w:p w:rsidR="007636B0" w:rsidRDefault="007636B0" w:rsidP="007636B0">
      <w:r>
        <w:t>The following are available from Level 1 Australian and International sources: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0"/>
        <w:gridCol w:w="1976"/>
        <w:gridCol w:w="5801"/>
      </w:tblGrid>
      <w:tr w:rsidR="007636B0" w:rsidRPr="00F548B5" w:rsidTr="00B45DD6">
        <w:trPr>
          <w:tblHeader/>
        </w:trPr>
        <w:tc>
          <w:tcPr>
            <w:tcW w:w="1384" w:type="dxa"/>
            <w:shd w:val="clear" w:color="auto" w:fill="C6D9F1" w:themeFill="text2" w:themeFillTint="33"/>
          </w:tcPr>
          <w:p w:rsidR="007636B0" w:rsidRPr="00F548B5" w:rsidRDefault="007636B0" w:rsidP="00B45DD6">
            <w:pPr>
              <w:spacing w:before="20"/>
              <w:jc w:val="center"/>
              <w:rPr>
                <w:b/>
                <w:szCs w:val="22"/>
              </w:rPr>
            </w:pPr>
            <w:r w:rsidRPr="00F548B5">
              <w:rPr>
                <w:b/>
                <w:szCs w:val="22"/>
              </w:rPr>
              <w:t>Source</w:t>
            </w:r>
          </w:p>
        </w:tc>
        <w:tc>
          <w:tcPr>
            <w:tcW w:w="2126" w:type="dxa"/>
            <w:shd w:val="clear" w:color="auto" w:fill="C6D9F1" w:themeFill="text2" w:themeFillTint="33"/>
          </w:tcPr>
          <w:p w:rsidR="007636B0" w:rsidRPr="00F548B5" w:rsidRDefault="007636B0" w:rsidP="00B45DD6">
            <w:pPr>
              <w:spacing w:before="20"/>
              <w:jc w:val="center"/>
              <w:rPr>
                <w:b/>
                <w:szCs w:val="22"/>
              </w:rPr>
            </w:pPr>
            <w:r w:rsidRPr="00F548B5">
              <w:rPr>
                <w:b/>
                <w:szCs w:val="22"/>
              </w:rPr>
              <w:t>Value</w:t>
            </w:r>
          </w:p>
        </w:tc>
        <w:tc>
          <w:tcPr>
            <w:tcW w:w="6453" w:type="dxa"/>
            <w:shd w:val="clear" w:color="auto" w:fill="C6D9F1" w:themeFill="text2" w:themeFillTint="33"/>
          </w:tcPr>
          <w:p w:rsidR="007636B0" w:rsidRPr="00F548B5" w:rsidRDefault="007636B0" w:rsidP="00B45DD6">
            <w:pPr>
              <w:spacing w:before="20"/>
              <w:jc w:val="center"/>
              <w:rPr>
                <w:b/>
                <w:szCs w:val="22"/>
              </w:rPr>
            </w:pPr>
            <w:r w:rsidRPr="00F548B5">
              <w:rPr>
                <w:b/>
                <w:szCs w:val="22"/>
              </w:rPr>
              <w:t>Basis/Comments</w:t>
            </w:r>
          </w:p>
        </w:tc>
      </w:tr>
      <w:tr w:rsidR="007636B0" w:rsidRPr="00F548B5" w:rsidTr="00B45DD6">
        <w:tc>
          <w:tcPr>
            <w:tcW w:w="9963" w:type="dxa"/>
            <w:gridSpan w:val="3"/>
          </w:tcPr>
          <w:p w:rsidR="007636B0" w:rsidRPr="00F548B5" w:rsidRDefault="007636B0" w:rsidP="00B45DD6">
            <w:pPr>
              <w:spacing w:before="20"/>
              <w:jc w:val="center"/>
              <w:rPr>
                <w:b/>
                <w:szCs w:val="22"/>
              </w:rPr>
            </w:pPr>
            <w:r w:rsidRPr="00F548B5">
              <w:rPr>
                <w:b/>
                <w:szCs w:val="22"/>
              </w:rPr>
              <w:t>Australian</w:t>
            </w:r>
          </w:p>
        </w:tc>
      </w:tr>
      <w:tr w:rsidR="007636B0" w:rsidRPr="00F548B5" w:rsidTr="00B45DD6">
        <w:tc>
          <w:tcPr>
            <w:tcW w:w="1384" w:type="dxa"/>
          </w:tcPr>
          <w:p w:rsidR="007636B0" w:rsidRPr="00F548B5" w:rsidRDefault="007636B0" w:rsidP="00B45DD6">
            <w:pPr>
              <w:spacing w:before="20"/>
              <w:rPr>
                <w:szCs w:val="22"/>
              </w:rPr>
            </w:pPr>
            <w:r w:rsidRPr="00F548B5">
              <w:rPr>
                <w:szCs w:val="22"/>
              </w:rPr>
              <w:t>ADWG (NHMRC 2011)</w:t>
            </w:r>
          </w:p>
        </w:tc>
        <w:tc>
          <w:tcPr>
            <w:tcW w:w="2126" w:type="dxa"/>
          </w:tcPr>
          <w:p w:rsidR="007636B0" w:rsidRPr="00F548B5" w:rsidRDefault="007636B0" w:rsidP="00B45DD6">
            <w:pPr>
              <w:spacing w:before="20"/>
              <w:rPr>
                <w:szCs w:val="22"/>
              </w:rPr>
            </w:pPr>
            <w:r w:rsidRPr="00F548B5">
              <w:rPr>
                <w:szCs w:val="22"/>
              </w:rPr>
              <w:t>ADI = 0.005 mg/kg/day</w:t>
            </w:r>
          </w:p>
        </w:tc>
        <w:tc>
          <w:tcPr>
            <w:tcW w:w="6453" w:type="dxa"/>
          </w:tcPr>
          <w:p w:rsidR="007636B0" w:rsidRPr="00F548B5" w:rsidRDefault="007636B0" w:rsidP="00B45DD6">
            <w:pPr>
              <w:spacing w:before="20"/>
              <w:rPr>
                <w:szCs w:val="22"/>
              </w:rPr>
            </w:pPr>
            <w:r w:rsidRPr="00F548B5">
              <w:rPr>
                <w:szCs w:val="22"/>
              </w:rPr>
              <w:t xml:space="preserve">Current ADWG (NHMRC 11) of 0.04 mg/L based on 50% intake from drinking water and an ADI of 0.005 mg/kg/day as referenced from the TGA (NRA 1997). </w:t>
            </w:r>
          </w:p>
        </w:tc>
      </w:tr>
      <w:tr w:rsidR="007636B0" w:rsidRPr="00F548B5" w:rsidTr="00B45DD6">
        <w:tc>
          <w:tcPr>
            <w:tcW w:w="1384" w:type="dxa"/>
          </w:tcPr>
          <w:p w:rsidR="007636B0" w:rsidRPr="00F548B5" w:rsidRDefault="007636B0" w:rsidP="00B45DD6">
            <w:pPr>
              <w:spacing w:before="20"/>
              <w:rPr>
                <w:szCs w:val="22"/>
              </w:rPr>
            </w:pPr>
            <w:r w:rsidRPr="00F548B5">
              <w:rPr>
                <w:szCs w:val="22"/>
              </w:rPr>
              <w:t>OCS (2012)</w:t>
            </w:r>
          </w:p>
        </w:tc>
        <w:tc>
          <w:tcPr>
            <w:tcW w:w="2126" w:type="dxa"/>
          </w:tcPr>
          <w:p w:rsidR="007636B0" w:rsidRPr="00F548B5" w:rsidRDefault="007636B0" w:rsidP="00B45DD6">
            <w:pPr>
              <w:spacing w:before="20"/>
              <w:rPr>
                <w:szCs w:val="22"/>
              </w:rPr>
            </w:pPr>
            <w:r w:rsidRPr="00F548B5">
              <w:rPr>
                <w:szCs w:val="22"/>
              </w:rPr>
              <w:t>ADI = 0.005 mg/kg/day</w:t>
            </w:r>
          </w:p>
        </w:tc>
        <w:tc>
          <w:tcPr>
            <w:tcW w:w="6453" w:type="dxa"/>
          </w:tcPr>
          <w:p w:rsidR="007636B0" w:rsidRPr="00F548B5" w:rsidRDefault="007636B0" w:rsidP="00B45DD6">
            <w:pPr>
              <w:spacing w:before="20"/>
              <w:rPr>
                <w:szCs w:val="22"/>
              </w:rPr>
            </w:pPr>
            <w:r w:rsidRPr="00F548B5">
              <w:rPr>
                <w:szCs w:val="22"/>
              </w:rPr>
              <w:t>The ADI of 0.005 mg/kg/day is noted to be based on a NOEL of 10ppm associated with mammary tumours from a 24-month female rat study, and a 100-fold safety factor. This value was set in December 1996.</w:t>
            </w:r>
          </w:p>
        </w:tc>
      </w:tr>
      <w:tr w:rsidR="007636B0" w:rsidRPr="00F548B5" w:rsidTr="00B45DD6">
        <w:tc>
          <w:tcPr>
            <w:tcW w:w="1384" w:type="dxa"/>
          </w:tcPr>
          <w:p w:rsidR="007636B0" w:rsidRPr="00F548B5" w:rsidRDefault="007636B0" w:rsidP="00B45DD6">
            <w:pPr>
              <w:spacing w:before="20"/>
              <w:rPr>
                <w:szCs w:val="22"/>
              </w:rPr>
            </w:pPr>
            <w:r w:rsidRPr="00F548B5">
              <w:rPr>
                <w:szCs w:val="22"/>
              </w:rPr>
              <w:t>NRA (1997)</w:t>
            </w:r>
          </w:p>
        </w:tc>
        <w:tc>
          <w:tcPr>
            <w:tcW w:w="2126" w:type="dxa"/>
          </w:tcPr>
          <w:p w:rsidR="007636B0" w:rsidRPr="00F548B5" w:rsidRDefault="007636B0" w:rsidP="00B45DD6">
            <w:pPr>
              <w:spacing w:before="20"/>
              <w:rPr>
                <w:szCs w:val="22"/>
              </w:rPr>
            </w:pPr>
            <w:r w:rsidRPr="00F548B5">
              <w:rPr>
                <w:szCs w:val="22"/>
              </w:rPr>
              <w:t>ADI = 0.005 mg/kg/day</w:t>
            </w:r>
          </w:p>
        </w:tc>
        <w:tc>
          <w:tcPr>
            <w:tcW w:w="6453" w:type="dxa"/>
          </w:tcPr>
          <w:p w:rsidR="007636B0" w:rsidRPr="00F548B5" w:rsidRDefault="007636B0" w:rsidP="00B45DD6">
            <w:pPr>
              <w:spacing w:before="20"/>
              <w:rPr>
                <w:szCs w:val="22"/>
              </w:rPr>
            </w:pPr>
            <w:r w:rsidRPr="00F548B5">
              <w:rPr>
                <w:szCs w:val="22"/>
              </w:rPr>
              <w:t>The NRA (1997) review identified the relevance of adopting an ADI of 0.005 mg/kg/day for atrazine. This value has been reconfirmed in the update provided by APVMA (2008). However the review noted that APVMA has initiated a project to re-examine the possibility that the triazines may have harmful endocrine effects, including updates available from JMPR. APVMA also note that US EPA is currently reviewing atrazine.</w:t>
            </w:r>
          </w:p>
        </w:tc>
      </w:tr>
      <w:tr w:rsidR="007636B0" w:rsidRPr="00F548B5" w:rsidTr="00B45DD6">
        <w:tc>
          <w:tcPr>
            <w:tcW w:w="9963" w:type="dxa"/>
            <w:gridSpan w:val="3"/>
          </w:tcPr>
          <w:p w:rsidR="007636B0" w:rsidRPr="00F548B5" w:rsidRDefault="007636B0" w:rsidP="00B45DD6">
            <w:pPr>
              <w:spacing w:before="20"/>
              <w:jc w:val="center"/>
              <w:rPr>
                <w:b/>
                <w:szCs w:val="22"/>
              </w:rPr>
            </w:pPr>
            <w:r w:rsidRPr="00F548B5">
              <w:rPr>
                <w:b/>
                <w:szCs w:val="22"/>
              </w:rPr>
              <w:t>International</w:t>
            </w:r>
          </w:p>
        </w:tc>
      </w:tr>
      <w:tr w:rsidR="007636B0" w:rsidRPr="00F548B5" w:rsidTr="00B45DD6">
        <w:tc>
          <w:tcPr>
            <w:tcW w:w="1384" w:type="dxa"/>
          </w:tcPr>
          <w:p w:rsidR="007636B0" w:rsidRPr="00F548B5" w:rsidRDefault="007636B0" w:rsidP="00B45DD6">
            <w:pPr>
              <w:spacing w:before="20"/>
              <w:rPr>
                <w:szCs w:val="22"/>
              </w:rPr>
            </w:pPr>
            <w:r w:rsidRPr="00F548B5">
              <w:rPr>
                <w:szCs w:val="22"/>
              </w:rPr>
              <w:t>JMPR (2007)</w:t>
            </w:r>
          </w:p>
        </w:tc>
        <w:tc>
          <w:tcPr>
            <w:tcW w:w="2126" w:type="dxa"/>
          </w:tcPr>
          <w:p w:rsidR="007636B0" w:rsidRPr="00F548B5" w:rsidRDefault="007636B0" w:rsidP="00B45DD6">
            <w:pPr>
              <w:spacing w:before="20"/>
              <w:rPr>
                <w:szCs w:val="22"/>
              </w:rPr>
            </w:pPr>
            <w:r w:rsidRPr="00F548B5">
              <w:rPr>
                <w:szCs w:val="22"/>
              </w:rPr>
              <w:t>ADI = 0.02 mg/kg/day</w:t>
            </w:r>
          </w:p>
        </w:tc>
        <w:tc>
          <w:tcPr>
            <w:tcW w:w="6453" w:type="dxa"/>
          </w:tcPr>
          <w:p w:rsidR="007636B0" w:rsidRPr="00F548B5" w:rsidRDefault="007636B0" w:rsidP="00B45DD6">
            <w:pPr>
              <w:spacing w:before="20"/>
              <w:rPr>
                <w:szCs w:val="22"/>
              </w:rPr>
            </w:pPr>
            <w:r w:rsidRPr="00F548B5">
              <w:rPr>
                <w:szCs w:val="22"/>
              </w:rPr>
              <w:t>Review of atrazines by the Joint FAO/WHO Meeting on Pesticides Residues (JPMR, 2007) identified a group ADI (for atrazine, diethyl-atrazine, di-isopropyl-atrazine and diaminochlorotriazine) of 0</w:t>
            </w:r>
            <w:r w:rsidRPr="00F548B5">
              <w:rPr>
                <w:szCs w:val="22"/>
              </w:rPr>
              <w:sym w:font="Symbol" w:char="F02D"/>
            </w:r>
            <w:r w:rsidRPr="00F548B5">
              <w:rPr>
                <w:szCs w:val="22"/>
              </w:rPr>
              <w:t>0.02 mg/kg/day based on oestrous cycle disruption.</w:t>
            </w:r>
          </w:p>
        </w:tc>
      </w:tr>
      <w:tr w:rsidR="007636B0" w:rsidRPr="00F548B5" w:rsidTr="00B45DD6">
        <w:tc>
          <w:tcPr>
            <w:tcW w:w="1384" w:type="dxa"/>
          </w:tcPr>
          <w:p w:rsidR="007636B0" w:rsidRPr="00F548B5" w:rsidRDefault="007636B0" w:rsidP="00B45DD6">
            <w:pPr>
              <w:spacing w:before="20"/>
              <w:rPr>
                <w:szCs w:val="22"/>
              </w:rPr>
            </w:pPr>
            <w:r w:rsidRPr="00F548B5">
              <w:rPr>
                <w:szCs w:val="22"/>
              </w:rPr>
              <w:t>WHO (2011)</w:t>
            </w:r>
          </w:p>
        </w:tc>
        <w:tc>
          <w:tcPr>
            <w:tcW w:w="2126" w:type="dxa"/>
          </w:tcPr>
          <w:p w:rsidR="007636B0" w:rsidRPr="00F548B5" w:rsidRDefault="007636B0" w:rsidP="00B45DD6">
            <w:pPr>
              <w:spacing w:before="20"/>
              <w:rPr>
                <w:szCs w:val="22"/>
              </w:rPr>
            </w:pPr>
            <w:r w:rsidRPr="00F548B5">
              <w:rPr>
                <w:szCs w:val="22"/>
              </w:rPr>
              <w:t>ADI = 0.02 mg/kg/day</w:t>
            </w:r>
          </w:p>
        </w:tc>
        <w:tc>
          <w:tcPr>
            <w:tcW w:w="6453" w:type="dxa"/>
          </w:tcPr>
          <w:p w:rsidR="007636B0" w:rsidRPr="00F548B5" w:rsidRDefault="007636B0" w:rsidP="00B45DD6">
            <w:pPr>
              <w:autoSpaceDE w:val="0"/>
              <w:autoSpaceDN w:val="0"/>
              <w:adjustRightInd w:val="0"/>
              <w:rPr>
                <w:rFonts w:cs="Arial"/>
                <w:szCs w:val="22"/>
              </w:rPr>
            </w:pPr>
            <w:r w:rsidRPr="00F548B5">
              <w:rPr>
                <w:rFonts w:cs="Arial"/>
                <w:szCs w:val="22"/>
              </w:rPr>
              <w:t>Group ADI for atrazine and its chloro-s-triazine metabolites (reviewed in 2011) is based on a NOAEL of 1.8 mg/kg/day identified on the basis of luteinizing hormone</w:t>
            </w:r>
            <w:r>
              <w:rPr>
                <w:rFonts w:cs="Arial"/>
                <w:szCs w:val="22"/>
              </w:rPr>
              <w:t xml:space="preserve"> </w:t>
            </w:r>
            <w:r w:rsidRPr="00F548B5">
              <w:rPr>
                <w:rFonts w:cs="Arial"/>
                <w:szCs w:val="22"/>
              </w:rPr>
              <w:t xml:space="preserve">surge suppression and subsequent disruption of the </w:t>
            </w:r>
            <w:r>
              <w:rPr>
                <w:rFonts w:cs="Arial"/>
                <w:szCs w:val="22"/>
              </w:rPr>
              <w:t>o</w:t>
            </w:r>
            <w:r w:rsidRPr="00F548B5">
              <w:rPr>
                <w:rFonts w:cs="Arial"/>
                <w:szCs w:val="22"/>
              </w:rPr>
              <w:t>estrous cycle seen at</w:t>
            </w:r>
          </w:p>
          <w:p w:rsidR="007636B0" w:rsidRPr="00F548B5" w:rsidRDefault="007636B0" w:rsidP="00B45DD6">
            <w:pPr>
              <w:autoSpaceDE w:val="0"/>
              <w:autoSpaceDN w:val="0"/>
              <w:adjustRightInd w:val="0"/>
              <w:rPr>
                <w:rFonts w:cs="Arial"/>
                <w:szCs w:val="22"/>
              </w:rPr>
            </w:pPr>
            <w:r w:rsidRPr="00F548B5">
              <w:rPr>
                <w:rFonts w:cs="Arial"/>
                <w:szCs w:val="22"/>
              </w:rPr>
              <w:t>3.6 mg/kg body weight per day in a 6-month study in rats, using a safety</w:t>
            </w:r>
            <w:r>
              <w:rPr>
                <w:rFonts w:cs="Arial"/>
                <w:szCs w:val="22"/>
              </w:rPr>
              <w:t xml:space="preserve"> f</w:t>
            </w:r>
            <w:r w:rsidRPr="00F548B5">
              <w:rPr>
                <w:rFonts w:cs="Arial"/>
                <w:szCs w:val="22"/>
              </w:rPr>
              <w:t>actor of 100</w:t>
            </w:r>
          </w:p>
        </w:tc>
      </w:tr>
      <w:tr w:rsidR="007636B0" w:rsidRPr="00F548B5" w:rsidTr="00B45DD6">
        <w:tc>
          <w:tcPr>
            <w:tcW w:w="1384" w:type="dxa"/>
          </w:tcPr>
          <w:p w:rsidR="007636B0" w:rsidRPr="00F548B5" w:rsidRDefault="007636B0" w:rsidP="00B45DD6">
            <w:pPr>
              <w:spacing w:before="20"/>
              <w:rPr>
                <w:szCs w:val="22"/>
              </w:rPr>
            </w:pPr>
            <w:r w:rsidRPr="00F548B5">
              <w:rPr>
                <w:szCs w:val="22"/>
              </w:rPr>
              <w:t>RIVM (2001)</w:t>
            </w:r>
          </w:p>
        </w:tc>
        <w:tc>
          <w:tcPr>
            <w:tcW w:w="2126" w:type="dxa"/>
          </w:tcPr>
          <w:p w:rsidR="007636B0" w:rsidRPr="00F548B5" w:rsidRDefault="007636B0" w:rsidP="00B45DD6">
            <w:pPr>
              <w:spacing w:before="20"/>
              <w:rPr>
                <w:szCs w:val="22"/>
              </w:rPr>
            </w:pPr>
            <w:r w:rsidRPr="00F548B5">
              <w:rPr>
                <w:szCs w:val="22"/>
              </w:rPr>
              <w:t>TDI = 0.005 mg/kg/day</w:t>
            </w:r>
          </w:p>
        </w:tc>
        <w:tc>
          <w:tcPr>
            <w:tcW w:w="6453" w:type="dxa"/>
          </w:tcPr>
          <w:p w:rsidR="007636B0" w:rsidRPr="00F548B5" w:rsidRDefault="007636B0" w:rsidP="00B45DD6">
            <w:pPr>
              <w:spacing w:before="20"/>
              <w:rPr>
                <w:szCs w:val="22"/>
              </w:rPr>
            </w:pPr>
            <w:r w:rsidRPr="00F548B5">
              <w:rPr>
                <w:szCs w:val="22"/>
              </w:rPr>
              <w:t>TDI based on a NOAEL of 0.5 mg/kg/day associated with reproductive effects in rats, and a 100-fold uncertainty factor.</w:t>
            </w:r>
          </w:p>
        </w:tc>
      </w:tr>
      <w:tr w:rsidR="007636B0" w:rsidRPr="00F548B5" w:rsidTr="00B45DD6">
        <w:tc>
          <w:tcPr>
            <w:tcW w:w="1384" w:type="dxa"/>
          </w:tcPr>
          <w:p w:rsidR="007636B0" w:rsidRPr="00F548B5" w:rsidRDefault="007636B0" w:rsidP="00B45DD6">
            <w:pPr>
              <w:spacing w:before="20"/>
              <w:rPr>
                <w:szCs w:val="22"/>
              </w:rPr>
            </w:pPr>
            <w:r w:rsidRPr="00F548B5">
              <w:rPr>
                <w:szCs w:val="22"/>
              </w:rPr>
              <w:t>ATSDR</w:t>
            </w:r>
          </w:p>
        </w:tc>
        <w:tc>
          <w:tcPr>
            <w:tcW w:w="2126" w:type="dxa"/>
          </w:tcPr>
          <w:p w:rsidR="007636B0" w:rsidRPr="00F548B5" w:rsidRDefault="007636B0" w:rsidP="00B45DD6">
            <w:pPr>
              <w:spacing w:before="20"/>
              <w:rPr>
                <w:szCs w:val="22"/>
              </w:rPr>
            </w:pPr>
            <w:r w:rsidRPr="00F548B5">
              <w:rPr>
                <w:szCs w:val="22"/>
              </w:rPr>
              <w:t>No evaluation available</w:t>
            </w:r>
          </w:p>
        </w:tc>
        <w:tc>
          <w:tcPr>
            <w:tcW w:w="6453" w:type="dxa"/>
          </w:tcPr>
          <w:p w:rsidR="007636B0" w:rsidRPr="00F548B5" w:rsidRDefault="007636B0" w:rsidP="00B45DD6">
            <w:pPr>
              <w:spacing w:before="20"/>
              <w:rPr>
                <w:szCs w:val="22"/>
              </w:rPr>
            </w:pPr>
          </w:p>
        </w:tc>
      </w:tr>
      <w:tr w:rsidR="007636B0" w:rsidRPr="00F548B5" w:rsidTr="00B45DD6">
        <w:tc>
          <w:tcPr>
            <w:tcW w:w="1384" w:type="dxa"/>
          </w:tcPr>
          <w:p w:rsidR="007636B0" w:rsidRPr="00F548B5" w:rsidRDefault="007636B0" w:rsidP="00B45DD6">
            <w:pPr>
              <w:spacing w:before="20"/>
              <w:rPr>
                <w:szCs w:val="22"/>
              </w:rPr>
            </w:pPr>
            <w:r w:rsidRPr="00F548B5">
              <w:rPr>
                <w:szCs w:val="22"/>
              </w:rPr>
              <w:t>US EPA (IRIS 2012)</w:t>
            </w:r>
          </w:p>
        </w:tc>
        <w:tc>
          <w:tcPr>
            <w:tcW w:w="2126" w:type="dxa"/>
          </w:tcPr>
          <w:p w:rsidR="007636B0" w:rsidRPr="00F548B5" w:rsidRDefault="007636B0" w:rsidP="00B45DD6">
            <w:pPr>
              <w:spacing w:before="20"/>
              <w:rPr>
                <w:szCs w:val="22"/>
              </w:rPr>
            </w:pPr>
            <w:r w:rsidRPr="00F548B5">
              <w:rPr>
                <w:szCs w:val="22"/>
              </w:rPr>
              <w:t>RfD = 0.035 mg/kg/day</w:t>
            </w:r>
          </w:p>
          <w:p w:rsidR="007636B0" w:rsidRPr="00F548B5" w:rsidRDefault="007636B0" w:rsidP="00B45DD6">
            <w:pPr>
              <w:spacing w:before="20"/>
              <w:rPr>
                <w:szCs w:val="22"/>
              </w:rPr>
            </w:pPr>
          </w:p>
        </w:tc>
        <w:tc>
          <w:tcPr>
            <w:tcW w:w="6453" w:type="dxa"/>
          </w:tcPr>
          <w:p w:rsidR="007636B0" w:rsidRPr="00F548B5" w:rsidRDefault="007636B0" w:rsidP="00B45DD6">
            <w:pPr>
              <w:spacing w:before="20"/>
              <w:rPr>
                <w:szCs w:val="22"/>
              </w:rPr>
            </w:pPr>
            <w:r w:rsidRPr="00F548B5">
              <w:rPr>
                <w:szCs w:val="22"/>
              </w:rPr>
              <w:t xml:space="preserve">The US EPA (available from IRIS) have derived an oral RfD of 0.035 mg/kg/day. The value was last reviewed in 1993 and is based on a NOAEL of 3.5 mg/kg/day associated with </w:t>
            </w:r>
            <w:r w:rsidRPr="00F548B5">
              <w:rPr>
                <w:szCs w:val="22"/>
              </w:rPr>
              <w:lastRenderedPageBreak/>
              <w:t>decreased body weight gain from a 2-year rat study, and an uncertainty factor of 100.</w:t>
            </w:r>
          </w:p>
        </w:tc>
      </w:tr>
    </w:tbl>
    <w:p w:rsidR="007636B0" w:rsidRDefault="007636B0" w:rsidP="007636B0"/>
    <w:p w:rsidR="007636B0" w:rsidRDefault="007636B0" w:rsidP="007636B0">
      <w:r>
        <w:t>While the most recent review by WHO (2011) provides a less conservative ADI, the current Australian ADI of 0.005 mg/kg/day is considered relevant and appropriate for consideration in the derivation of a soil HIL.</w:t>
      </w:r>
    </w:p>
    <w:p w:rsidR="0021528E" w:rsidRDefault="0021528E" w:rsidP="007636B0"/>
    <w:p w:rsidR="007636B0" w:rsidRDefault="007636B0" w:rsidP="007636B0">
      <w:r>
        <w:t>No dermal or inhalation-specific studies or data are available. For the presence of atrazine in soil (not during use in herbicide products), it is considered appropriate to consider use of the available threshold ADI for all pathways of exposures.</w:t>
      </w:r>
    </w:p>
    <w:p w:rsidR="007636B0" w:rsidRPr="00921D7B" w:rsidRDefault="007636B0" w:rsidP="007636B0">
      <w:pPr>
        <w:pStyle w:val="Heading3"/>
      </w:pPr>
      <w:bookmarkStart w:id="76" w:name="_Toc351714316"/>
      <w:r w:rsidRPr="00921D7B">
        <w:t>Recommendation</w:t>
      </w:r>
      <w:bookmarkEnd w:id="76"/>
    </w:p>
    <w:p w:rsidR="007636B0" w:rsidRDefault="007636B0" w:rsidP="007636B0">
      <w:r>
        <w:t>On the basis of the discussion above the following toxicity reference values (TRVs) have been adopted for atrazine in the derivation of HILs:</w:t>
      </w:r>
    </w:p>
    <w:p w:rsidR="007636B0" w:rsidRDefault="007636B0" w:rsidP="007636B0">
      <w:r>
        <w:rPr>
          <w:noProof/>
          <w:lang w:eastAsia="en-AU"/>
        </w:rPr>
        <mc:AlternateContent>
          <mc:Choice Requires="wps">
            <w:drawing>
              <wp:inline distT="0" distB="0" distL="0" distR="0">
                <wp:extent cx="5654040" cy="2315210"/>
                <wp:effectExtent l="13335" t="12065" r="9525" b="63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2315210"/>
                        </a:xfrm>
                        <a:prstGeom prst="rect">
                          <a:avLst/>
                        </a:prstGeom>
                        <a:solidFill>
                          <a:srgbClr val="D8D8D8"/>
                        </a:solidFill>
                        <a:ln w="9525">
                          <a:solidFill>
                            <a:srgbClr val="000000"/>
                          </a:solidFill>
                          <a:miter lim="800000"/>
                          <a:headEnd/>
                          <a:tailEnd/>
                        </a:ln>
                      </wps:spPr>
                      <wps:txbx>
                        <w:txbxContent>
                          <w:p w:rsidR="00A0097F" w:rsidRPr="00742163" w:rsidRDefault="00A0097F" w:rsidP="007636B0">
                            <w:pPr>
                              <w:spacing w:after="40"/>
                              <w:rPr>
                                <w:b/>
                                <w:u w:val="single"/>
                              </w:rPr>
                            </w:pPr>
                            <w:r w:rsidRPr="00742163">
                              <w:rPr>
                                <w:b/>
                                <w:u w:val="single"/>
                              </w:rPr>
                              <w:t xml:space="preserve">Recommendation for </w:t>
                            </w:r>
                            <w:r>
                              <w:rPr>
                                <w:b/>
                                <w:u w:val="single"/>
                              </w:rPr>
                              <w:t>Atrazine</w:t>
                            </w:r>
                          </w:p>
                          <w:p w:rsidR="00A0097F" w:rsidRDefault="00A0097F" w:rsidP="007636B0">
                            <w:pPr>
                              <w:spacing w:after="40"/>
                            </w:pPr>
                            <w:r>
                              <w:t>Oral TRV (TRV</w:t>
                            </w:r>
                            <w:r w:rsidRPr="00A54613">
                              <w:rPr>
                                <w:vertAlign w:val="subscript"/>
                              </w:rPr>
                              <w:t>O</w:t>
                            </w:r>
                            <w:r>
                              <w:t>) = 0.005 mg/kg/day (NHMRC 2011; OCS 2008; APVMA 2008) for all pathways of exposure</w:t>
                            </w:r>
                          </w:p>
                          <w:p w:rsidR="00A0097F" w:rsidRDefault="00A0097F" w:rsidP="007636B0">
                            <w:pPr>
                              <w:spacing w:after="40"/>
                            </w:pPr>
                            <w:r>
                              <w:t>Dermal absorption factor (DAF) = 0.1 (or 10%) (US EPA 1995)</w:t>
                            </w:r>
                          </w:p>
                          <w:p w:rsidR="00A0097F" w:rsidRDefault="00A0097F" w:rsidP="007636B0">
                            <w:pPr>
                              <w:spacing w:after="40"/>
                            </w:pPr>
                            <w:r>
                              <w:t>Background intakes from other sources (as % of TRV):</w:t>
                            </w:r>
                          </w:p>
                          <w:p w:rsidR="00A0097F" w:rsidRDefault="00A0097F" w:rsidP="007636B0">
                            <w:pPr>
                              <w:spacing w:after="40"/>
                              <w:ind w:left="720"/>
                            </w:pPr>
                            <w:r>
                              <w:t>BI</w:t>
                            </w:r>
                            <w:r w:rsidRPr="002049F5">
                              <w:rPr>
                                <w:vertAlign w:val="subscript"/>
                              </w:rPr>
                              <w:t>O</w:t>
                            </w:r>
                            <w:r>
                              <w:t xml:space="preserve"> = 0% for oral and dermal intakes</w:t>
                            </w:r>
                          </w:p>
                          <w:p w:rsidR="00A0097F" w:rsidRDefault="00A0097F" w:rsidP="007636B0">
                            <w:pPr>
                              <w:spacing w:after="40"/>
                              <w:ind w:left="720"/>
                            </w:pPr>
                            <w:r>
                              <w:t>BIi = 0% for inhalation</w:t>
                            </w:r>
                            <w:r w:rsidDel="00C81411">
                              <w:t xml:space="preserve"> </w:t>
                            </w:r>
                          </w:p>
                          <w:p w:rsidR="00A0097F" w:rsidRDefault="00A0097F" w:rsidP="007636B0">
                            <w:pPr>
                              <w:spacing w:after="40"/>
                            </w:pPr>
                            <w:r>
                              <w:t>Note that background intakes in areas where herbicides are used need to be considered on a site-specific basis.</w:t>
                            </w:r>
                          </w:p>
                          <w:p w:rsidR="00A0097F" w:rsidRDefault="00A0097F" w:rsidP="007636B0">
                            <w:pPr>
                              <w:spacing w:after="40"/>
                            </w:pPr>
                          </w:p>
                        </w:txbxContent>
                      </wps:txbx>
                      <wps:bodyPr rot="0" vert="horz" wrap="square" lIns="91440" tIns="45720" rIns="91440" bIns="45720" anchor="t" anchorCtr="0" upright="1">
                        <a:noAutofit/>
                      </wps:bodyPr>
                    </wps:wsp>
                  </a:graphicData>
                </a:graphic>
              </wp:inline>
            </w:drawing>
          </mc:Choice>
          <mc:Fallback>
            <w:pict>
              <v:shape id="Text Box 5" o:spid="_x0000_s1033" type="#_x0000_t202" style="width:445.2pt;height:18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" fillcolor="#d8d8d8">
                <v:textbox>
                  <w:txbxContent>
                    <w:p w:rsidR="009C6751" w:rsidRPr="00742163" w:rsidRDefault="009C6751" w:rsidP="007636B0">
                      <w:pPr>
                        <w:spacing w:after="40"/>
                        <w:rPr>
                          <w:b/>
                          <w:u w:val="single"/>
                        </w:rPr>
                      </w:pPr>
                      <w:r w:rsidRPr="00742163">
                        <w:rPr>
                          <w:b/>
                          <w:u w:val="single"/>
                        </w:rPr>
                        <w:t xml:space="preserve">Recommendation for </w:t>
                      </w:r>
                      <w:r>
                        <w:rPr>
                          <w:b/>
                          <w:u w:val="single"/>
                        </w:rPr>
                        <w:t>Atrazine</w:t>
                      </w:r>
                    </w:p>
                    <w:p w:rsidR="009C6751" w:rsidRDefault="009C6751" w:rsidP="007636B0">
                      <w:pPr>
                        <w:spacing w:after="40"/>
                      </w:pPr>
                      <w:r>
                        <w:t>Oral TRV (TRV</w:t>
                      </w:r>
                      <w:r w:rsidRPr="00A54613">
                        <w:rPr>
                          <w:vertAlign w:val="subscript"/>
                        </w:rPr>
                        <w:t>O</w:t>
                      </w:r>
                      <w:r>
                        <w:t>) = 0.005 mg/kg/day (NHMRC 2011; OCS 2008; APVMA 2008) for all pathways of exposure</w:t>
                      </w:r>
                    </w:p>
                    <w:p w:rsidR="009C6751" w:rsidRDefault="009C6751" w:rsidP="007636B0">
                      <w:pPr>
                        <w:spacing w:after="40"/>
                      </w:pPr>
                      <w:r>
                        <w:t>Dermal absorption factor (DAF) = 0.1 (or 10%) (US EPA 1995)</w:t>
                      </w:r>
                    </w:p>
                    <w:p w:rsidR="009C6751" w:rsidRDefault="009C6751" w:rsidP="007636B0">
                      <w:pPr>
                        <w:spacing w:after="40"/>
                      </w:pPr>
                      <w:r>
                        <w:t>Background intakes from other sources (as % of TRV):</w:t>
                      </w:r>
                    </w:p>
                    <w:p w:rsidR="009C6751" w:rsidRDefault="009C6751" w:rsidP="007636B0">
                      <w:pPr>
                        <w:spacing w:after="40"/>
                        <w:ind w:left="720"/>
                      </w:pPr>
                      <w:r>
                        <w:t>BI</w:t>
                      </w:r>
                      <w:r w:rsidRPr="002049F5">
                        <w:rPr>
                          <w:vertAlign w:val="subscript"/>
                        </w:rPr>
                        <w:t>O</w:t>
                      </w:r>
                      <w:r>
                        <w:t xml:space="preserve"> = 0% for oral and dermal intakes</w:t>
                      </w:r>
                    </w:p>
                    <w:p w:rsidR="009C6751" w:rsidRDefault="009C6751" w:rsidP="007636B0">
                      <w:pPr>
                        <w:spacing w:after="40"/>
                        <w:ind w:left="720"/>
                      </w:pPr>
                      <w:r>
                        <w:t>BIi = 0% for inhalation</w:t>
                      </w:r>
                      <w:r w:rsidDel="00C81411">
                        <w:t xml:space="preserve"> </w:t>
                      </w:r>
                    </w:p>
                    <w:p w:rsidR="009C6751" w:rsidRDefault="009C6751" w:rsidP="007636B0">
                      <w:pPr>
                        <w:spacing w:after="40"/>
                      </w:pPr>
                      <w:r>
                        <w:t>Note that background intakes in areas where herbicides are used need to be considered on a site-specific basis.</w:t>
                      </w:r>
                    </w:p>
                    <w:p w:rsidR="009C6751" w:rsidRDefault="009C6751" w:rsidP="007636B0">
                      <w:pPr>
                        <w:spacing w:after="40"/>
                      </w:pPr>
                    </w:p>
                  </w:txbxContent>
                </v:textbox>
                <w10:anchorlock/>
              </v:shape>
            </w:pict>
          </mc:Fallback>
        </mc:AlternateContent>
      </w:r>
    </w:p>
    <w:p w:rsidR="007636B0" w:rsidRDefault="007636B0" w:rsidP="007636B0"/>
    <w:p w:rsidR="007636B0" w:rsidRDefault="007636B0" w:rsidP="00B45DD6">
      <w:pPr>
        <w:pStyle w:val="Heading2"/>
        <w:pageBreakBefore/>
        <w:tabs>
          <w:tab w:val="clear" w:pos="1209"/>
        </w:tabs>
      </w:pPr>
      <w:bookmarkStart w:id="77" w:name="_Toc351714317"/>
      <w:r>
        <w:lastRenderedPageBreak/>
        <w:t>Calculated HILs</w:t>
      </w:r>
      <w:bookmarkEnd w:id="77"/>
    </w:p>
    <w:p w:rsidR="007636B0" w:rsidRDefault="007636B0" w:rsidP="007636B0">
      <w:r>
        <w:t>On the basis of the above, the following HILs have been derived for atrazine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287"/>
        <w:gridCol w:w="1445"/>
        <w:gridCol w:w="1517"/>
        <w:gridCol w:w="1553"/>
        <w:gridCol w:w="1392"/>
      </w:tblGrid>
      <w:tr w:rsidR="007636B0" w:rsidRPr="00F548B5" w:rsidTr="00B45DD6">
        <w:tc>
          <w:tcPr>
            <w:tcW w:w="1639" w:type="dxa"/>
            <w:vMerge w:val="restart"/>
            <w:shd w:val="clear" w:color="auto" w:fill="C6D9F1" w:themeFill="text2" w:themeFillTint="33"/>
          </w:tcPr>
          <w:p w:rsidR="007636B0" w:rsidRPr="00F548B5" w:rsidRDefault="007636B0" w:rsidP="00B45DD6">
            <w:pPr>
              <w:spacing w:after="40"/>
              <w:rPr>
                <w:b/>
                <w:szCs w:val="22"/>
              </w:rPr>
            </w:pPr>
            <w:r w:rsidRPr="00F548B5">
              <w:rPr>
                <w:b/>
                <w:szCs w:val="22"/>
              </w:rPr>
              <w:t>HIL Scenario</w:t>
            </w:r>
          </w:p>
        </w:tc>
        <w:tc>
          <w:tcPr>
            <w:tcW w:w="1287" w:type="dxa"/>
            <w:vMerge w:val="restart"/>
            <w:shd w:val="clear" w:color="auto" w:fill="C6D9F1" w:themeFill="text2" w:themeFillTint="33"/>
          </w:tcPr>
          <w:p w:rsidR="007636B0" w:rsidRPr="00F548B5" w:rsidRDefault="007636B0" w:rsidP="00B45DD6">
            <w:pPr>
              <w:spacing w:after="40"/>
              <w:jc w:val="center"/>
              <w:rPr>
                <w:b/>
                <w:szCs w:val="22"/>
              </w:rPr>
            </w:pPr>
            <w:r w:rsidRPr="00F548B5">
              <w:rPr>
                <w:b/>
                <w:szCs w:val="22"/>
              </w:rPr>
              <w:t>HIL (mg/kg)</w:t>
            </w:r>
          </w:p>
        </w:tc>
        <w:tc>
          <w:tcPr>
            <w:tcW w:w="5907" w:type="dxa"/>
            <w:gridSpan w:val="4"/>
            <w:shd w:val="clear" w:color="auto" w:fill="C6D9F1" w:themeFill="text2" w:themeFillTint="33"/>
          </w:tcPr>
          <w:p w:rsidR="007636B0" w:rsidRPr="00F548B5" w:rsidRDefault="007636B0" w:rsidP="00B45DD6">
            <w:pPr>
              <w:spacing w:after="40"/>
              <w:jc w:val="center"/>
              <w:rPr>
                <w:b/>
                <w:szCs w:val="22"/>
              </w:rPr>
            </w:pPr>
            <w:r w:rsidRPr="00F548B5">
              <w:rPr>
                <w:b/>
                <w:szCs w:val="22"/>
              </w:rPr>
              <w:t>Percentage Contribution from Exposure Pathways</w:t>
            </w:r>
          </w:p>
        </w:tc>
      </w:tr>
      <w:tr w:rsidR="007636B0" w:rsidRPr="00F548B5" w:rsidTr="00B45DD6">
        <w:trPr>
          <w:trHeight w:val="427"/>
        </w:trPr>
        <w:tc>
          <w:tcPr>
            <w:tcW w:w="1639" w:type="dxa"/>
            <w:vMerge/>
            <w:shd w:val="clear" w:color="auto" w:fill="C6D9F1" w:themeFill="text2" w:themeFillTint="33"/>
          </w:tcPr>
          <w:p w:rsidR="007636B0" w:rsidRPr="00F548B5" w:rsidRDefault="007636B0" w:rsidP="00B45DD6">
            <w:pPr>
              <w:spacing w:after="40"/>
              <w:rPr>
                <w:szCs w:val="22"/>
              </w:rPr>
            </w:pPr>
          </w:p>
        </w:tc>
        <w:tc>
          <w:tcPr>
            <w:tcW w:w="1287" w:type="dxa"/>
            <w:vMerge/>
            <w:shd w:val="clear" w:color="auto" w:fill="C6D9F1" w:themeFill="text2" w:themeFillTint="33"/>
          </w:tcPr>
          <w:p w:rsidR="007636B0" w:rsidRPr="00F548B5" w:rsidRDefault="007636B0" w:rsidP="00B45DD6">
            <w:pPr>
              <w:spacing w:after="40"/>
              <w:jc w:val="center"/>
              <w:rPr>
                <w:szCs w:val="22"/>
              </w:rPr>
            </w:pPr>
          </w:p>
        </w:tc>
        <w:tc>
          <w:tcPr>
            <w:tcW w:w="1445" w:type="dxa"/>
            <w:shd w:val="clear" w:color="auto" w:fill="C6D9F1" w:themeFill="text2" w:themeFillTint="33"/>
          </w:tcPr>
          <w:p w:rsidR="007636B0" w:rsidRPr="00F548B5" w:rsidRDefault="007636B0" w:rsidP="00B45DD6">
            <w:pPr>
              <w:spacing w:after="40"/>
              <w:jc w:val="center"/>
              <w:rPr>
                <w:b/>
                <w:szCs w:val="22"/>
              </w:rPr>
            </w:pPr>
            <w:r w:rsidRPr="00F548B5">
              <w:rPr>
                <w:b/>
                <w:szCs w:val="22"/>
              </w:rPr>
              <w:t>Ingestion of Soil/Dust</w:t>
            </w:r>
          </w:p>
        </w:tc>
        <w:tc>
          <w:tcPr>
            <w:tcW w:w="1517" w:type="dxa"/>
            <w:shd w:val="clear" w:color="auto" w:fill="C6D9F1" w:themeFill="text2" w:themeFillTint="33"/>
          </w:tcPr>
          <w:p w:rsidR="007636B0" w:rsidRPr="00F548B5" w:rsidRDefault="007636B0" w:rsidP="00B45DD6">
            <w:pPr>
              <w:spacing w:after="40"/>
              <w:jc w:val="center"/>
              <w:rPr>
                <w:b/>
                <w:szCs w:val="22"/>
              </w:rPr>
            </w:pPr>
            <w:r w:rsidRPr="00F548B5">
              <w:rPr>
                <w:b/>
                <w:szCs w:val="22"/>
              </w:rPr>
              <w:t>Ingestion of Home-grown Produce</w:t>
            </w:r>
          </w:p>
        </w:tc>
        <w:tc>
          <w:tcPr>
            <w:tcW w:w="1553" w:type="dxa"/>
            <w:shd w:val="clear" w:color="auto" w:fill="C6D9F1" w:themeFill="text2" w:themeFillTint="33"/>
          </w:tcPr>
          <w:p w:rsidR="007636B0" w:rsidRPr="00F548B5" w:rsidRDefault="007636B0" w:rsidP="00B45DD6">
            <w:pPr>
              <w:spacing w:after="40"/>
              <w:jc w:val="center"/>
              <w:rPr>
                <w:b/>
                <w:szCs w:val="22"/>
              </w:rPr>
            </w:pPr>
            <w:r w:rsidRPr="00F548B5">
              <w:rPr>
                <w:b/>
                <w:szCs w:val="22"/>
              </w:rPr>
              <w:t>Dermal Absorption of Soil/Dust</w:t>
            </w:r>
          </w:p>
        </w:tc>
        <w:tc>
          <w:tcPr>
            <w:tcW w:w="1392" w:type="dxa"/>
            <w:shd w:val="clear" w:color="auto" w:fill="C6D9F1" w:themeFill="text2" w:themeFillTint="33"/>
          </w:tcPr>
          <w:p w:rsidR="007636B0" w:rsidRPr="00F548B5" w:rsidRDefault="007636B0" w:rsidP="00B45DD6">
            <w:pPr>
              <w:spacing w:after="40"/>
              <w:jc w:val="center"/>
              <w:rPr>
                <w:b/>
                <w:szCs w:val="22"/>
              </w:rPr>
            </w:pPr>
            <w:r w:rsidRPr="00F548B5">
              <w:rPr>
                <w:b/>
                <w:szCs w:val="22"/>
              </w:rPr>
              <w:t>Inhalation (dust)</w:t>
            </w:r>
          </w:p>
        </w:tc>
      </w:tr>
      <w:tr w:rsidR="007636B0" w:rsidRPr="00F548B5" w:rsidTr="00B45DD6">
        <w:tc>
          <w:tcPr>
            <w:tcW w:w="1639" w:type="dxa"/>
          </w:tcPr>
          <w:p w:rsidR="007636B0" w:rsidRPr="00F548B5" w:rsidRDefault="007636B0" w:rsidP="00B45DD6">
            <w:pPr>
              <w:spacing w:after="40"/>
              <w:rPr>
                <w:szCs w:val="22"/>
              </w:rPr>
            </w:pPr>
            <w:r w:rsidRPr="00F548B5">
              <w:rPr>
                <w:szCs w:val="22"/>
              </w:rPr>
              <w:t>Residential A</w:t>
            </w:r>
          </w:p>
        </w:tc>
        <w:tc>
          <w:tcPr>
            <w:tcW w:w="1287" w:type="dxa"/>
            <w:tcMar>
              <w:right w:w="397" w:type="dxa"/>
            </w:tcMar>
          </w:tcPr>
          <w:p w:rsidR="007636B0" w:rsidRPr="00F548B5" w:rsidRDefault="007636B0" w:rsidP="00B45DD6">
            <w:pPr>
              <w:spacing w:after="40"/>
              <w:jc w:val="right"/>
              <w:rPr>
                <w:szCs w:val="22"/>
              </w:rPr>
            </w:pPr>
            <w:r w:rsidRPr="00F548B5">
              <w:rPr>
                <w:szCs w:val="22"/>
              </w:rPr>
              <w:t>320</w:t>
            </w:r>
          </w:p>
        </w:tc>
        <w:tc>
          <w:tcPr>
            <w:tcW w:w="1445" w:type="dxa"/>
          </w:tcPr>
          <w:p w:rsidR="007636B0" w:rsidRPr="00F548B5" w:rsidRDefault="007636B0" w:rsidP="00B45DD6">
            <w:pPr>
              <w:spacing w:after="40"/>
              <w:jc w:val="center"/>
              <w:rPr>
                <w:szCs w:val="22"/>
              </w:rPr>
            </w:pPr>
            <w:r w:rsidRPr="00F548B5">
              <w:rPr>
                <w:szCs w:val="22"/>
              </w:rPr>
              <w:t>43</w:t>
            </w:r>
          </w:p>
        </w:tc>
        <w:tc>
          <w:tcPr>
            <w:tcW w:w="1517" w:type="dxa"/>
          </w:tcPr>
          <w:p w:rsidR="007636B0" w:rsidRPr="00F548B5" w:rsidRDefault="007636B0" w:rsidP="00B45DD6">
            <w:pPr>
              <w:spacing w:after="40"/>
              <w:jc w:val="center"/>
              <w:rPr>
                <w:szCs w:val="22"/>
              </w:rPr>
            </w:pPr>
            <w:r w:rsidRPr="00F548B5">
              <w:rPr>
                <w:szCs w:val="22"/>
              </w:rPr>
              <w:t>--</w:t>
            </w:r>
          </w:p>
        </w:tc>
        <w:tc>
          <w:tcPr>
            <w:tcW w:w="1553" w:type="dxa"/>
          </w:tcPr>
          <w:p w:rsidR="007636B0" w:rsidRPr="00F548B5" w:rsidRDefault="007636B0" w:rsidP="00B45DD6">
            <w:pPr>
              <w:spacing w:after="40"/>
              <w:jc w:val="center"/>
              <w:rPr>
                <w:szCs w:val="22"/>
              </w:rPr>
            </w:pPr>
            <w:r w:rsidRPr="00F548B5">
              <w:rPr>
                <w:szCs w:val="22"/>
              </w:rPr>
              <w:t>57</w:t>
            </w:r>
          </w:p>
        </w:tc>
        <w:tc>
          <w:tcPr>
            <w:tcW w:w="1392" w:type="dxa"/>
          </w:tcPr>
          <w:p w:rsidR="007636B0" w:rsidRPr="00F548B5" w:rsidRDefault="007636B0" w:rsidP="00B45DD6">
            <w:pPr>
              <w:spacing w:after="40"/>
              <w:jc w:val="center"/>
              <w:rPr>
                <w:szCs w:val="22"/>
              </w:rPr>
            </w:pPr>
            <w:r w:rsidRPr="00F548B5">
              <w:rPr>
                <w:szCs w:val="22"/>
              </w:rPr>
              <w:t>&lt;1</w:t>
            </w:r>
          </w:p>
        </w:tc>
      </w:tr>
      <w:tr w:rsidR="007636B0" w:rsidRPr="00F548B5" w:rsidTr="00B45DD6">
        <w:tc>
          <w:tcPr>
            <w:tcW w:w="1639" w:type="dxa"/>
          </w:tcPr>
          <w:p w:rsidR="007636B0" w:rsidRPr="00F548B5" w:rsidRDefault="007636B0" w:rsidP="00B45DD6">
            <w:pPr>
              <w:spacing w:after="40"/>
              <w:rPr>
                <w:szCs w:val="22"/>
              </w:rPr>
            </w:pPr>
            <w:r w:rsidRPr="00F548B5">
              <w:rPr>
                <w:szCs w:val="22"/>
              </w:rPr>
              <w:t>Residential B</w:t>
            </w:r>
          </w:p>
        </w:tc>
        <w:tc>
          <w:tcPr>
            <w:tcW w:w="1287" w:type="dxa"/>
            <w:tcMar>
              <w:right w:w="397" w:type="dxa"/>
            </w:tcMar>
          </w:tcPr>
          <w:p w:rsidR="007636B0" w:rsidRPr="00F548B5" w:rsidRDefault="007636B0" w:rsidP="00B45DD6">
            <w:pPr>
              <w:spacing w:after="40"/>
              <w:jc w:val="right"/>
              <w:rPr>
                <w:szCs w:val="22"/>
              </w:rPr>
            </w:pPr>
            <w:r w:rsidRPr="00F548B5">
              <w:rPr>
                <w:szCs w:val="22"/>
              </w:rPr>
              <w:t>470</w:t>
            </w:r>
          </w:p>
        </w:tc>
        <w:tc>
          <w:tcPr>
            <w:tcW w:w="1445" w:type="dxa"/>
          </w:tcPr>
          <w:p w:rsidR="007636B0" w:rsidRPr="00F548B5" w:rsidRDefault="007636B0" w:rsidP="00B45DD6">
            <w:pPr>
              <w:spacing w:after="40"/>
              <w:jc w:val="center"/>
              <w:rPr>
                <w:szCs w:val="22"/>
              </w:rPr>
            </w:pPr>
            <w:r w:rsidRPr="00F548B5">
              <w:rPr>
                <w:szCs w:val="22"/>
              </w:rPr>
              <w:t>16</w:t>
            </w:r>
          </w:p>
        </w:tc>
        <w:tc>
          <w:tcPr>
            <w:tcW w:w="1517" w:type="dxa"/>
          </w:tcPr>
          <w:p w:rsidR="007636B0" w:rsidRPr="00F548B5" w:rsidRDefault="007636B0" w:rsidP="00B45DD6">
            <w:pPr>
              <w:spacing w:after="40"/>
              <w:jc w:val="center"/>
              <w:rPr>
                <w:szCs w:val="22"/>
              </w:rPr>
            </w:pPr>
            <w:r w:rsidRPr="00F548B5">
              <w:rPr>
                <w:szCs w:val="22"/>
              </w:rPr>
              <w:t>--</w:t>
            </w:r>
          </w:p>
        </w:tc>
        <w:tc>
          <w:tcPr>
            <w:tcW w:w="1553" w:type="dxa"/>
          </w:tcPr>
          <w:p w:rsidR="007636B0" w:rsidRPr="00F548B5" w:rsidRDefault="007636B0" w:rsidP="00B45DD6">
            <w:pPr>
              <w:spacing w:after="40"/>
              <w:jc w:val="center"/>
              <w:rPr>
                <w:szCs w:val="22"/>
              </w:rPr>
            </w:pPr>
            <w:r w:rsidRPr="00F548B5">
              <w:rPr>
                <w:szCs w:val="22"/>
              </w:rPr>
              <w:t>84</w:t>
            </w:r>
          </w:p>
        </w:tc>
        <w:tc>
          <w:tcPr>
            <w:tcW w:w="1392" w:type="dxa"/>
          </w:tcPr>
          <w:p w:rsidR="007636B0" w:rsidRPr="00F548B5" w:rsidRDefault="007636B0" w:rsidP="00B45DD6">
            <w:pPr>
              <w:spacing w:after="40"/>
              <w:jc w:val="center"/>
              <w:rPr>
                <w:szCs w:val="22"/>
              </w:rPr>
            </w:pPr>
            <w:r w:rsidRPr="00F548B5">
              <w:rPr>
                <w:szCs w:val="22"/>
              </w:rPr>
              <w:t>&lt;1</w:t>
            </w:r>
          </w:p>
        </w:tc>
      </w:tr>
      <w:tr w:rsidR="007636B0" w:rsidRPr="00F548B5" w:rsidTr="00B45DD6">
        <w:tc>
          <w:tcPr>
            <w:tcW w:w="1639" w:type="dxa"/>
          </w:tcPr>
          <w:p w:rsidR="007636B0" w:rsidRPr="00F548B5" w:rsidRDefault="007636B0" w:rsidP="00B45DD6">
            <w:pPr>
              <w:spacing w:after="40"/>
              <w:rPr>
                <w:szCs w:val="22"/>
              </w:rPr>
            </w:pPr>
            <w:r w:rsidRPr="00F548B5">
              <w:rPr>
                <w:szCs w:val="22"/>
              </w:rPr>
              <w:t>Recreational C</w:t>
            </w:r>
          </w:p>
        </w:tc>
        <w:tc>
          <w:tcPr>
            <w:tcW w:w="1287" w:type="dxa"/>
            <w:tcMar>
              <w:right w:w="397" w:type="dxa"/>
            </w:tcMar>
          </w:tcPr>
          <w:p w:rsidR="007636B0" w:rsidRPr="00F548B5" w:rsidRDefault="007636B0" w:rsidP="00B45DD6">
            <w:pPr>
              <w:spacing w:after="40"/>
              <w:jc w:val="right"/>
              <w:rPr>
                <w:szCs w:val="22"/>
              </w:rPr>
            </w:pPr>
            <w:r w:rsidRPr="00F548B5">
              <w:rPr>
                <w:szCs w:val="22"/>
              </w:rPr>
              <w:t>400</w:t>
            </w:r>
          </w:p>
        </w:tc>
        <w:tc>
          <w:tcPr>
            <w:tcW w:w="1445" w:type="dxa"/>
          </w:tcPr>
          <w:p w:rsidR="007636B0" w:rsidRPr="00F548B5" w:rsidRDefault="007636B0" w:rsidP="00B45DD6">
            <w:pPr>
              <w:spacing w:after="40"/>
              <w:jc w:val="center"/>
              <w:rPr>
                <w:szCs w:val="22"/>
              </w:rPr>
            </w:pPr>
            <w:r w:rsidRPr="00F548B5">
              <w:rPr>
                <w:szCs w:val="22"/>
              </w:rPr>
              <w:t>27</w:t>
            </w:r>
          </w:p>
        </w:tc>
        <w:tc>
          <w:tcPr>
            <w:tcW w:w="1517" w:type="dxa"/>
          </w:tcPr>
          <w:p w:rsidR="007636B0" w:rsidRPr="00F548B5" w:rsidRDefault="007636B0" w:rsidP="00B45DD6">
            <w:pPr>
              <w:spacing w:after="40"/>
              <w:jc w:val="center"/>
              <w:rPr>
                <w:szCs w:val="22"/>
              </w:rPr>
            </w:pPr>
            <w:r w:rsidRPr="00F548B5">
              <w:rPr>
                <w:szCs w:val="22"/>
              </w:rPr>
              <w:t>--</w:t>
            </w:r>
          </w:p>
        </w:tc>
        <w:tc>
          <w:tcPr>
            <w:tcW w:w="1553" w:type="dxa"/>
          </w:tcPr>
          <w:p w:rsidR="007636B0" w:rsidRPr="00F548B5" w:rsidRDefault="007636B0" w:rsidP="00B45DD6">
            <w:pPr>
              <w:spacing w:after="40"/>
              <w:jc w:val="center"/>
              <w:rPr>
                <w:szCs w:val="22"/>
              </w:rPr>
            </w:pPr>
            <w:r w:rsidRPr="00F548B5">
              <w:rPr>
                <w:szCs w:val="22"/>
              </w:rPr>
              <w:t>73</w:t>
            </w:r>
          </w:p>
        </w:tc>
        <w:tc>
          <w:tcPr>
            <w:tcW w:w="1392" w:type="dxa"/>
          </w:tcPr>
          <w:p w:rsidR="007636B0" w:rsidRPr="00F548B5" w:rsidRDefault="007636B0" w:rsidP="00B45DD6">
            <w:pPr>
              <w:spacing w:after="40"/>
              <w:jc w:val="center"/>
              <w:rPr>
                <w:szCs w:val="22"/>
              </w:rPr>
            </w:pPr>
            <w:r w:rsidRPr="00F548B5">
              <w:rPr>
                <w:szCs w:val="22"/>
              </w:rPr>
              <w:t>&lt;1</w:t>
            </w:r>
          </w:p>
        </w:tc>
      </w:tr>
      <w:tr w:rsidR="007636B0" w:rsidRPr="00F548B5" w:rsidTr="00B45DD6">
        <w:tc>
          <w:tcPr>
            <w:tcW w:w="1639" w:type="dxa"/>
          </w:tcPr>
          <w:p w:rsidR="007636B0" w:rsidRPr="00F548B5" w:rsidRDefault="007636B0" w:rsidP="00B45DD6">
            <w:pPr>
              <w:spacing w:after="40"/>
              <w:rPr>
                <w:szCs w:val="22"/>
              </w:rPr>
            </w:pPr>
            <w:r w:rsidRPr="00F548B5">
              <w:rPr>
                <w:szCs w:val="22"/>
              </w:rPr>
              <w:t>Commercial D</w:t>
            </w:r>
          </w:p>
        </w:tc>
        <w:tc>
          <w:tcPr>
            <w:tcW w:w="1287" w:type="dxa"/>
            <w:tcMar>
              <w:right w:w="397" w:type="dxa"/>
            </w:tcMar>
          </w:tcPr>
          <w:p w:rsidR="007636B0" w:rsidRPr="00F548B5" w:rsidRDefault="007636B0" w:rsidP="00B45DD6">
            <w:pPr>
              <w:spacing w:after="40"/>
              <w:jc w:val="right"/>
              <w:rPr>
                <w:szCs w:val="22"/>
              </w:rPr>
            </w:pPr>
            <w:r w:rsidRPr="00F548B5">
              <w:rPr>
                <w:szCs w:val="22"/>
              </w:rPr>
              <w:t>2500</w:t>
            </w:r>
          </w:p>
        </w:tc>
        <w:tc>
          <w:tcPr>
            <w:tcW w:w="1445" w:type="dxa"/>
          </w:tcPr>
          <w:p w:rsidR="007636B0" w:rsidRPr="00F548B5" w:rsidRDefault="007636B0" w:rsidP="00B45DD6">
            <w:pPr>
              <w:spacing w:after="40"/>
              <w:jc w:val="center"/>
              <w:rPr>
                <w:szCs w:val="22"/>
              </w:rPr>
            </w:pPr>
            <w:r w:rsidRPr="00F548B5">
              <w:rPr>
                <w:szCs w:val="22"/>
              </w:rPr>
              <w:t>12</w:t>
            </w:r>
          </w:p>
        </w:tc>
        <w:tc>
          <w:tcPr>
            <w:tcW w:w="1517" w:type="dxa"/>
          </w:tcPr>
          <w:p w:rsidR="007636B0" w:rsidRPr="00F548B5" w:rsidRDefault="007636B0" w:rsidP="00B45DD6">
            <w:pPr>
              <w:spacing w:after="40"/>
              <w:jc w:val="center"/>
              <w:rPr>
                <w:szCs w:val="22"/>
              </w:rPr>
            </w:pPr>
            <w:r w:rsidRPr="00F548B5">
              <w:rPr>
                <w:szCs w:val="22"/>
              </w:rPr>
              <w:t>--</w:t>
            </w:r>
          </w:p>
        </w:tc>
        <w:tc>
          <w:tcPr>
            <w:tcW w:w="1553" w:type="dxa"/>
          </w:tcPr>
          <w:p w:rsidR="007636B0" w:rsidRPr="00F548B5" w:rsidRDefault="007636B0" w:rsidP="00B45DD6">
            <w:pPr>
              <w:spacing w:after="40"/>
              <w:jc w:val="center"/>
              <w:rPr>
                <w:szCs w:val="22"/>
              </w:rPr>
            </w:pPr>
            <w:r w:rsidRPr="00F548B5">
              <w:rPr>
                <w:szCs w:val="22"/>
              </w:rPr>
              <w:t>88</w:t>
            </w:r>
          </w:p>
        </w:tc>
        <w:tc>
          <w:tcPr>
            <w:tcW w:w="1392" w:type="dxa"/>
          </w:tcPr>
          <w:p w:rsidR="007636B0" w:rsidRPr="00F548B5" w:rsidRDefault="007636B0" w:rsidP="00B45DD6">
            <w:pPr>
              <w:spacing w:after="40"/>
              <w:jc w:val="center"/>
              <w:rPr>
                <w:szCs w:val="22"/>
              </w:rPr>
            </w:pPr>
            <w:r w:rsidRPr="00F548B5">
              <w:rPr>
                <w:szCs w:val="22"/>
              </w:rPr>
              <w:t>&lt;1</w:t>
            </w:r>
          </w:p>
        </w:tc>
      </w:tr>
    </w:tbl>
    <w:p w:rsidR="007636B0" w:rsidRPr="00F548B5" w:rsidRDefault="007636B0" w:rsidP="007636B0">
      <w:pPr>
        <w:rPr>
          <w:sz w:val="18"/>
          <w:szCs w:val="18"/>
        </w:rPr>
      </w:pPr>
      <w:r w:rsidRPr="00F548B5">
        <w:rPr>
          <w:sz w:val="18"/>
          <w:szCs w:val="18"/>
        </w:rPr>
        <w:t>-- Pathway not included in derivation of HIL</w:t>
      </w:r>
    </w:p>
    <w:p w:rsidR="007636B0" w:rsidRDefault="007636B0" w:rsidP="007636B0"/>
    <w:p w:rsidR="007636B0" w:rsidRDefault="007636B0" w:rsidP="007636B0">
      <w:pPr>
        <w:pStyle w:val="Heading2"/>
        <w:tabs>
          <w:tab w:val="clear" w:pos="1209"/>
        </w:tabs>
      </w:pPr>
      <w:bookmarkStart w:id="78" w:name="_Toc351714318"/>
      <w:r>
        <w:t>References</w:t>
      </w:r>
      <w:bookmarkEnd w:id="78"/>
    </w:p>
    <w:p w:rsidR="007636B0" w:rsidRPr="00F548B5" w:rsidRDefault="007636B0" w:rsidP="007636B0">
      <w:pPr>
        <w:pStyle w:val="StyletextLeft0cmHanging1cm"/>
      </w:pPr>
      <w:r w:rsidRPr="00F548B5">
        <w:t xml:space="preserve">APVMA 2008, </w:t>
      </w:r>
      <w:r w:rsidRPr="00F548B5">
        <w:rPr>
          <w:i/>
        </w:rPr>
        <w:t>Atrazine, Final Review Report and Regulatory Decision</w:t>
      </w:r>
      <w:r w:rsidRPr="00F548B5">
        <w:t>, Australian Pesticides &amp; Veterinary Medicines Authority, March 2008.</w:t>
      </w:r>
    </w:p>
    <w:p w:rsidR="007636B0" w:rsidRPr="00F548B5" w:rsidRDefault="007636B0" w:rsidP="007636B0">
      <w:pPr>
        <w:pStyle w:val="StyletextLeft0cmHanging1cm"/>
      </w:pPr>
      <w:r w:rsidRPr="00F548B5">
        <w:t xml:space="preserve">ATSDR 2003, </w:t>
      </w:r>
      <w:r w:rsidRPr="00F548B5">
        <w:rPr>
          <w:i/>
        </w:rPr>
        <w:t>Toxicological Profile for Atrazine</w:t>
      </w:r>
      <w:r w:rsidRPr="00F548B5">
        <w:t>, US Department of Health and Human Services, ATSDR, September 2003, available from http://www.atsdr.cdc.gov/ToxProfiles/tp.asp?id=338&amp;tid=59.</w:t>
      </w:r>
    </w:p>
    <w:p w:rsidR="007636B0" w:rsidRPr="00F548B5" w:rsidRDefault="007636B0" w:rsidP="007636B0">
      <w:pPr>
        <w:pStyle w:val="StyletextLeft0cmHanging1cm"/>
      </w:pPr>
      <w:r w:rsidRPr="00F548B5">
        <w:t xml:space="preserve">IARC 1999, </w:t>
      </w:r>
      <w:r w:rsidRPr="00F548B5">
        <w:rPr>
          <w:i/>
          <w:iCs/>
        </w:rPr>
        <w:t>IARC Monographs on the Evaluation of Carcinogenic Risks to Humans, Some Chemicals That Cause Tumors of the Lungs or Urinary Bladder in Rodents and Some Other Substances</w:t>
      </w:r>
      <w:r w:rsidRPr="00F548B5">
        <w:rPr>
          <w:iCs/>
        </w:rPr>
        <w:t xml:space="preserve">, </w:t>
      </w:r>
      <w:r w:rsidRPr="00F548B5">
        <w:t>World Health Organization</w:t>
      </w:r>
      <w:r w:rsidRPr="00F548B5">
        <w:rPr>
          <w:iCs/>
        </w:rPr>
        <w:t xml:space="preserve">, </w:t>
      </w:r>
      <w:r w:rsidRPr="00F548B5">
        <w:t>International Agency for Research on Cancer, Lyon, France.</w:t>
      </w:r>
    </w:p>
    <w:p w:rsidR="007636B0" w:rsidRPr="00F548B5" w:rsidRDefault="007636B0" w:rsidP="007636B0">
      <w:pPr>
        <w:pStyle w:val="StyletextLeft0cmHanging1cm"/>
      </w:pPr>
      <w:r w:rsidRPr="00F548B5">
        <w:t xml:space="preserve">JMPR 2007, </w:t>
      </w:r>
      <w:r w:rsidRPr="00F548B5">
        <w:rPr>
          <w:i/>
        </w:rPr>
        <w:t>Pesticide Residues in Food, 2007</w:t>
      </w:r>
      <w:r w:rsidRPr="00F548B5">
        <w:t>, Joint FAO/WHO Meeting on Pesticide Residues, FAO Plant Production Paper 191, 2007.</w:t>
      </w:r>
    </w:p>
    <w:p w:rsidR="007636B0" w:rsidRPr="00F548B5" w:rsidRDefault="007636B0" w:rsidP="007636B0">
      <w:pPr>
        <w:pStyle w:val="StyletextLeft0cmHanging1cm"/>
      </w:pPr>
      <w:r w:rsidRPr="00F548B5">
        <w:t xml:space="preserve">NEPC 1999, </w:t>
      </w:r>
      <w:r w:rsidRPr="00F548B5">
        <w:rPr>
          <w:i/>
        </w:rPr>
        <w:t>Schedule B (7a), Guideline on Health-Based Investigation Levels, National Environment Protection (Assessment of Site Contamination) Measure</w:t>
      </w:r>
      <w:r w:rsidRPr="00F548B5">
        <w:t>, National Environment Protection Council, Australia.</w:t>
      </w:r>
    </w:p>
    <w:p w:rsidR="007636B0" w:rsidRPr="00F548B5" w:rsidRDefault="007636B0" w:rsidP="007636B0">
      <w:pPr>
        <w:pStyle w:val="StyletextLeft0cmHanging1cm"/>
        <w:rPr>
          <w:noProof/>
        </w:rPr>
      </w:pPr>
      <w:r w:rsidRPr="00F548B5">
        <w:t xml:space="preserve">NHMRC 2011, </w:t>
      </w:r>
      <w:r w:rsidRPr="00F548B5">
        <w:rPr>
          <w:i/>
          <w:iCs/>
        </w:rPr>
        <w:t>National water quality management strategy, Australian drinking water guidelines</w:t>
      </w:r>
      <w:r w:rsidRPr="00F548B5">
        <w:t>, National Health and Medical Research Council, Australia</w:t>
      </w:r>
      <w:r w:rsidRPr="00F548B5">
        <w:rPr>
          <w:noProof/>
        </w:rPr>
        <w:t>.</w:t>
      </w:r>
    </w:p>
    <w:p w:rsidR="007636B0" w:rsidRPr="00F548B5" w:rsidRDefault="007636B0" w:rsidP="007636B0">
      <w:pPr>
        <w:pStyle w:val="StyletextLeft0cmHanging1cm"/>
        <w:rPr>
          <w:lang w:eastAsia="en-US"/>
        </w:rPr>
      </w:pPr>
      <w:r w:rsidRPr="00F548B5">
        <w:rPr>
          <w:lang w:eastAsia="en-US"/>
        </w:rPr>
        <w:t xml:space="preserve">NRA 1997, </w:t>
      </w:r>
      <w:r w:rsidRPr="00F548B5">
        <w:rPr>
          <w:i/>
          <w:iCs/>
          <w:lang w:eastAsia="en-US"/>
        </w:rPr>
        <w:t>Review Summary on the NRA Review of Atrazine</w:t>
      </w:r>
      <w:r w:rsidRPr="00F548B5">
        <w:rPr>
          <w:lang w:eastAsia="en-US"/>
        </w:rPr>
        <w:t>, Existing Chemicals Review Program, National Registration Authority for Agricultural and Veterinary Chemicals 1997, National Registration Authority for Agricultural and Veterinary Chemicals, Commonwealth of Australia, Canberra, Australia.</w:t>
      </w:r>
    </w:p>
    <w:p w:rsidR="007636B0" w:rsidRPr="00F548B5" w:rsidRDefault="007636B0" w:rsidP="007636B0">
      <w:pPr>
        <w:pStyle w:val="StyletextLeft0cmHanging1cm"/>
        <w:rPr>
          <w:noProof/>
        </w:rPr>
      </w:pPr>
      <w:r w:rsidRPr="00F548B5">
        <w:rPr>
          <w:noProof/>
        </w:rPr>
        <w:t xml:space="preserve">OCS 2012, </w:t>
      </w:r>
      <w:r w:rsidRPr="00F548B5">
        <w:rPr>
          <w:i/>
          <w:noProof/>
        </w:rPr>
        <w:t>ADI List, Acceptable Daily Intakes for Agricultural and Veterinary Chemicals</w:t>
      </w:r>
      <w:r w:rsidRPr="00F548B5">
        <w:rPr>
          <w:noProof/>
        </w:rPr>
        <w:t xml:space="preserve">, current to 31 March 2012, Australian Government, Department of Health and Ageing, Office of Chemical Safety (OCS), available from: </w:t>
      </w:r>
      <w:r w:rsidRPr="00F548B5">
        <w:t>http://www.health.gov.au/internet/main/publishing.nsf/content/E8F4D2F95D616584CA2573D700770C2A/$File/ADI-apr12.pdf.</w:t>
      </w:r>
    </w:p>
    <w:p w:rsidR="007636B0" w:rsidRPr="00F548B5" w:rsidRDefault="007636B0" w:rsidP="007636B0">
      <w:pPr>
        <w:pStyle w:val="StyletextLeft0cmHanging1cm"/>
        <w:rPr>
          <w:lang w:eastAsia="en-US"/>
        </w:rPr>
      </w:pPr>
      <w:r w:rsidRPr="00F548B5">
        <w:rPr>
          <w:lang w:eastAsia="en-US"/>
        </w:rPr>
        <w:t xml:space="preserve">RIVM 2001, </w:t>
      </w:r>
      <w:r w:rsidRPr="00F548B5">
        <w:rPr>
          <w:i/>
          <w:lang w:eastAsia="en-US"/>
        </w:rPr>
        <w:t>Re-evaluation of human-toxicological Maximum Permissible Risk levels</w:t>
      </w:r>
      <w:r w:rsidRPr="00F548B5">
        <w:rPr>
          <w:lang w:eastAsia="en-US"/>
        </w:rPr>
        <w:t xml:space="preserve">, National Institute of Public Health and the Environment, Bilthoven, Netherlands, available from: </w:t>
      </w:r>
      <w:hyperlink r:id="rId35" w:history="1">
        <w:r w:rsidRPr="00F548B5">
          <w:rPr>
            <w:rStyle w:val="Hyperlink"/>
            <w:rFonts w:cs="Arial"/>
            <w:szCs w:val="22"/>
            <w:lang w:eastAsia="en-US"/>
          </w:rPr>
          <w:t>http://www.rivm.nl/bibliotheek/rapporten/711701025.html</w:t>
        </w:r>
      </w:hyperlink>
      <w:r w:rsidRPr="00F548B5">
        <w:rPr>
          <w:lang w:eastAsia="en-US"/>
        </w:rPr>
        <w:t>.</w:t>
      </w:r>
    </w:p>
    <w:p w:rsidR="007636B0" w:rsidRPr="00F548B5" w:rsidRDefault="007636B0" w:rsidP="007636B0">
      <w:pPr>
        <w:pStyle w:val="StyletextLeft0cmHanging1cm"/>
      </w:pPr>
      <w:r w:rsidRPr="00F548B5">
        <w:t xml:space="preserve">US EPA 1995, </w:t>
      </w:r>
      <w:r w:rsidRPr="00F548B5">
        <w:rPr>
          <w:i/>
        </w:rPr>
        <w:t>Technical Guidance Manual, Assessing Dermal Exposure from Soil</w:t>
      </w:r>
      <w:r w:rsidRPr="00F548B5">
        <w:t xml:space="preserve">, US EPA Region 3, December 1995, available from: </w:t>
      </w:r>
      <w:hyperlink r:id="rId36" w:history="1">
        <w:r w:rsidRPr="00F548B5">
          <w:rPr>
            <w:rStyle w:val="Hyperlink"/>
            <w:szCs w:val="22"/>
          </w:rPr>
          <w:t>http://www.epa.gov/reg3hwmd/risk/human/info/solabsg2.htm</w:t>
        </w:r>
      </w:hyperlink>
      <w:r w:rsidRPr="00F548B5">
        <w:t>.</w:t>
      </w:r>
    </w:p>
    <w:p w:rsidR="007636B0" w:rsidRPr="00F548B5" w:rsidRDefault="007636B0" w:rsidP="007636B0">
      <w:pPr>
        <w:pStyle w:val="StyletextLeft0cmHanging1cm"/>
      </w:pPr>
      <w:r w:rsidRPr="00F548B5">
        <w:lastRenderedPageBreak/>
        <w:t xml:space="preserve">US EPA (IRIS 2012) data and information available from the </w:t>
      </w:r>
      <w:r w:rsidRPr="00F548B5">
        <w:rPr>
          <w:i/>
        </w:rPr>
        <w:t>Integrated Risk Information System</w:t>
      </w:r>
      <w:r w:rsidRPr="00F548B5">
        <w:t xml:space="preserve">, an online database, available from </w:t>
      </w:r>
      <w:hyperlink r:id="rId37" w:history="1">
        <w:r w:rsidRPr="00F548B5">
          <w:rPr>
            <w:rStyle w:val="Hyperlink"/>
            <w:szCs w:val="22"/>
          </w:rPr>
          <w:t>http://www.epa.gov/iris/</w:t>
        </w:r>
      </w:hyperlink>
      <w:r w:rsidRPr="00F548B5">
        <w:t>.</w:t>
      </w:r>
    </w:p>
    <w:p w:rsidR="007636B0" w:rsidRPr="00F548B5" w:rsidRDefault="007636B0" w:rsidP="007636B0">
      <w:pPr>
        <w:pStyle w:val="StyletextLeft0cmHanging1cm"/>
      </w:pPr>
      <w:r w:rsidRPr="00F548B5">
        <w:t xml:space="preserve">WHO 2011, </w:t>
      </w:r>
      <w:r w:rsidRPr="00F548B5">
        <w:rPr>
          <w:i/>
        </w:rPr>
        <w:t>Guidelines for drinking-water quality, 4</w:t>
      </w:r>
      <w:r w:rsidRPr="00F548B5">
        <w:rPr>
          <w:i/>
          <w:vertAlign w:val="superscript"/>
        </w:rPr>
        <w:t>th</w:t>
      </w:r>
      <w:r w:rsidRPr="00F548B5">
        <w:rPr>
          <w:i/>
        </w:rPr>
        <w:t xml:space="preserve"> edn</w:t>
      </w:r>
      <w:r w:rsidRPr="00F548B5">
        <w:t>, World Health Organization, Geneva</w:t>
      </w:r>
      <w:r>
        <w:t>,</w:t>
      </w:r>
      <w:r w:rsidRPr="00F548B5">
        <w:t xml:space="preserve"> available from </w:t>
      </w:r>
      <w:hyperlink r:id="rId38" w:history="1">
        <w:r w:rsidRPr="00F548B5">
          <w:rPr>
            <w:rStyle w:val="Hyperlink"/>
            <w:szCs w:val="22"/>
          </w:rPr>
          <w:t>http://www.who.int/water_sanitation_health/dwq/chemicals/en/index.html</w:t>
        </w:r>
      </w:hyperlink>
      <w:r w:rsidRPr="00F548B5">
        <w:t>.</w:t>
      </w:r>
    </w:p>
    <w:p w:rsidR="007636B0" w:rsidRDefault="007636B0" w:rsidP="007636B0"/>
    <w:p w:rsidR="007636B0" w:rsidRDefault="007636B0" w:rsidP="007636B0"/>
    <w:p w:rsidR="007636B0" w:rsidRDefault="007636B0" w:rsidP="007636B0"/>
    <w:p w:rsidR="007636B0" w:rsidRDefault="007636B0" w:rsidP="007636B0"/>
    <w:p w:rsidR="007636B0" w:rsidRDefault="007636B0" w:rsidP="007636B0"/>
    <w:p w:rsidR="007636B0" w:rsidRDefault="007636B0" w:rsidP="007636B0">
      <w:pPr>
        <w:pStyle w:val="Heading1"/>
        <w:tabs>
          <w:tab w:val="clear" w:pos="1209"/>
          <w:tab w:val="num" w:pos="720"/>
        </w:tabs>
      </w:pPr>
      <w:bookmarkStart w:id="79" w:name="_Toc351714319"/>
      <w:r>
        <w:lastRenderedPageBreak/>
        <w:t>Chlorpyrifos</w:t>
      </w:r>
      <w:bookmarkEnd w:id="79"/>
    </w:p>
    <w:p w:rsidR="007636B0" w:rsidRDefault="007636B0" w:rsidP="007636B0">
      <w:pPr>
        <w:pStyle w:val="Heading2"/>
        <w:tabs>
          <w:tab w:val="clear" w:pos="1209"/>
        </w:tabs>
      </w:pPr>
      <w:bookmarkStart w:id="80" w:name="_Toc351714320"/>
      <w:r>
        <w:t>General</w:t>
      </w:r>
      <w:bookmarkEnd w:id="80"/>
    </w:p>
    <w:p w:rsidR="007636B0" w:rsidRDefault="007636B0" w:rsidP="007636B0">
      <w:r>
        <w:t>Several reviews of chlorpyrifos in the environment and its toxicity to humans are available and should be consulted for more detailed information not presented in this summary (ATSDR 1997; WHO 2004; NRAAVC 2000; APVMA 2009; Taylor &amp; Di Marco 2003). The following provides a summary of the key aspects of chlorpyrifos that are relevant to the derivation of a soil HIL.</w:t>
      </w:r>
    </w:p>
    <w:p w:rsidR="0021528E" w:rsidRDefault="0021528E" w:rsidP="007636B0"/>
    <w:p w:rsidR="007636B0" w:rsidRDefault="007636B0" w:rsidP="007636B0">
      <w:r w:rsidRPr="00F678A1">
        <w:t xml:space="preserve">Chlorpyrifos is the common name for the organophosphorous insecticide </w:t>
      </w:r>
      <w:r w:rsidRPr="00F678A1">
        <w:rPr>
          <w:i/>
          <w:iCs/>
        </w:rPr>
        <w:t>O,O</w:t>
      </w:r>
      <w:r w:rsidRPr="00F678A1">
        <w:t xml:space="preserve">-diethyl </w:t>
      </w:r>
      <w:r w:rsidRPr="00F678A1">
        <w:rPr>
          <w:i/>
          <w:iCs/>
        </w:rPr>
        <w:t>O</w:t>
      </w:r>
      <w:r w:rsidRPr="00F678A1">
        <w:t xml:space="preserve">-3,5,6-trichloro-2-pyridyl phophorothioate. Pure chlorpyrifos is an odourless, white to colourless crystalline solid. The compound is non-polar and therefore has a low solubility in water and an affinity for organic substances. It is also thermally sensitive at temperatures over 50 °C and decomposes at 130 °C </w:t>
      </w:r>
      <w:r>
        <w:t>(NRAAVC 2000; WHO 2004)</w:t>
      </w:r>
      <w:r w:rsidRPr="00F678A1">
        <w:t>.</w:t>
      </w:r>
    </w:p>
    <w:p w:rsidR="0021528E" w:rsidRPr="00F678A1" w:rsidRDefault="0021528E" w:rsidP="007636B0"/>
    <w:p w:rsidR="007636B0" w:rsidRDefault="007636B0" w:rsidP="007636B0">
      <w:r w:rsidRPr="00F678A1">
        <w:t xml:space="preserve">Technical grade chlorpyrifos has a minimum purity of 940 to 990 g/kg. It is a white to light yellowish brown crystalline solid with a mild mercaptan odour. Commercial formulations of chlorpyrifos are generally produced as a concentrated emulsion, liquid, wettable powder, </w:t>
      </w:r>
      <w:r>
        <w:t>dust, solid bait or granules (NRAAVC 2000)</w:t>
      </w:r>
      <w:r w:rsidRPr="00F678A1">
        <w:t>.</w:t>
      </w:r>
    </w:p>
    <w:p w:rsidR="0021528E" w:rsidRPr="00F678A1" w:rsidRDefault="0021528E" w:rsidP="007636B0"/>
    <w:p w:rsidR="007636B0" w:rsidRDefault="007636B0" w:rsidP="007636B0">
      <w:r w:rsidRPr="00F678A1">
        <w:t xml:space="preserve">Chlorpyrifos has been widely used in the Australian agricultural industry since the mid-1960s as it is reportedly less harmful to beneficial insects and is a useful tool in insecticide resistance management </w:t>
      </w:r>
      <w:r>
        <w:t>programs (NRAAVC 2000)</w:t>
      </w:r>
      <w:r w:rsidRPr="00F678A1">
        <w:t>. It is used to control insects in soil and on crop foliage including fruit (pome, stone and citrus fruit, strawberries, figs, pineapples, kiwifruit and bananas), nuts, vines, vegetables (potatoes, asparagus), grains (rice, cereals, maize, sorghum), cotton, mushrooms, sugar cane</w:t>
      </w:r>
      <w:r>
        <w:t>, turf and ornamental plants (NRAAVC 2000)</w:t>
      </w:r>
      <w:r w:rsidRPr="00F678A1">
        <w:t xml:space="preserve">. In industrial/commercial and domestic buildings chlorpyrifos is used to control termites, cockroaches, spiders, ants, mosquitoes and fleas and is generally sprayed in the sub-floor region during construction or applied around the building. It is also registered for use in dog and cat flea collars, sprays and shampoos. </w:t>
      </w:r>
      <w:r>
        <w:t>While the number of products containing chlorpyrifos changes on a yearly basis</w:t>
      </w:r>
      <w:r>
        <w:rPr>
          <w:rStyle w:val="FootnoteReference"/>
        </w:rPr>
        <w:footnoteReference w:id="1"/>
      </w:r>
      <w:r>
        <w:t>, i</w:t>
      </w:r>
      <w:r w:rsidRPr="00F678A1">
        <w:t xml:space="preserve">n 2000 there were 164 products registered in Australia that contained </w:t>
      </w:r>
      <w:r>
        <w:t>chlorpyrifos (NRAAVC 2000)</w:t>
      </w:r>
      <w:r w:rsidRPr="00F678A1">
        <w:t>.</w:t>
      </w:r>
    </w:p>
    <w:p w:rsidR="0021528E" w:rsidRDefault="0021528E" w:rsidP="007636B0"/>
    <w:p w:rsidR="007636B0" w:rsidRDefault="007636B0" w:rsidP="007636B0">
      <w:pPr>
        <w:rPr>
          <w:rFonts w:cs="Arial"/>
        </w:rPr>
      </w:pPr>
      <w:r w:rsidRPr="00C02451">
        <w:rPr>
          <w:rFonts w:cs="Arial"/>
        </w:rPr>
        <w:t>In contrast</w:t>
      </w:r>
      <w:r>
        <w:rPr>
          <w:rFonts w:cs="Arial"/>
        </w:rPr>
        <w:t xml:space="preserve"> to Australia</w:t>
      </w:r>
      <w:r w:rsidRPr="00C02451">
        <w:rPr>
          <w:rFonts w:cs="Arial"/>
        </w:rPr>
        <w:t xml:space="preserve">, the US banned </w:t>
      </w:r>
      <w:r>
        <w:rPr>
          <w:rFonts w:cs="Arial"/>
        </w:rPr>
        <w:t xml:space="preserve">all </w:t>
      </w:r>
      <w:r w:rsidRPr="00C02451">
        <w:rPr>
          <w:rFonts w:cs="Arial"/>
        </w:rPr>
        <w:t>domestic use of chlorpyrifos in 2001.</w:t>
      </w:r>
    </w:p>
    <w:p w:rsidR="0021528E" w:rsidRDefault="0021528E" w:rsidP="007636B0">
      <w:pPr>
        <w:rPr>
          <w:rFonts w:cs="Arial"/>
        </w:rPr>
      </w:pPr>
    </w:p>
    <w:p w:rsidR="007636B0" w:rsidRDefault="007636B0" w:rsidP="007636B0">
      <w:r>
        <w:rPr>
          <w:rFonts w:cs="Arial"/>
        </w:rPr>
        <w:t>Chlorpyrifos is persistent in the environment with a half-life in soil reported to range from 33</w:t>
      </w:r>
      <w:r>
        <w:rPr>
          <w:rFonts w:cs="Arial"/>
        </w:rPr>
        <w:sym w:font="Symbol" w:char="F02D"/>
      </w:r>
      <w:r>
        <w:rPr>
          <w:rFonts w:cs="Arial"/>
        </w:rPr>
        <w:t>56 days for soil-incorporated applications (Tomlin 2003) to 462 days in Australian soil under conditions similar to the application of products on soil for termite control (Baskaran et al. 1999).</w:t>
      </w:r>
    </w:p>
    <w:p w:rsidR="007636B0" w:rsidRDefault="007636B0" w:rsidP="007636B0">
      <w:pPr>
        <w:pStyle w:val="Heading2"/>
        <w:tabs>
          <w:tab w:val="clear" w:pos="1209"/>
        </w:tabs>
      </w:pPr>
      <w:bookmarkStart w:id="81" w:name="_Toc351714321"/>
      <w:r>
        <w:t>Previous HIL</w:t>
      </w:r>
      <w:bookmarkEnd w:id="81"/>
    </w:p>
    <w:p w:rsidR="007636B0" w:rsidRDefault="007636B0" w:rsidP="007636B0">
      <w:r>
        <w:t xml:space="preserve">No previous HIL is available for </w:t>
      </w:r>
      <w:r w:rsidRPr="00F678A1">
        <w:t>chlorpyrifos</w:t>
      </w:r>
      <w:r>
        <w:t xml:space="preserve"> (NEPC 1999). It is noted, however that review of chlorpyrifos by Taylor &amp; Di Marco (2003) derived a health-based soil investigation level (residential) of 80 mg/kg on the basis of a threshold toxicity reference value of 0.003 mg/kg/day (noted to be derived from US EPA), 100% oral bioavailability, soil ingestion only, and an assumption that exposures from soil contribute (by default) 20% of the reference value.</w:t>
      </w:r>
    </w:p>
    <w:p w:rsidR="007636B0" w:rsidRDefault="007636B0" w:rsidP="007636B0">
      <w:pPr>
        <w:pStyle w:val="Heading2"/>
        <w:tabs>
          <w:tab w:val="clear" w:pos="1209"/>
        </w:tabs>
      </w:pPr>
      <w:bookmarkStart w:id="82" w:name="_Toc351714322"/>
      <w:r>
        <w:lastRenderedPageBreak/>
        <w:t>Significance of Exposure Pathways</w:t>
      </w:r>
      <w:bookmarkEnd w:id="82"/>
    </w:p>
    <w:p w:rsidR="007636B0" w:rsidRPr="00E00A6A" w:rsidRDefault="007636B0" w:rsidP="007636B0">
      <w:pPr>
        <w:pStyle w:val="Heading3"/>
      </w:pPr>
      <w:bookmarkStart w:id="83" w:name="_Toc351714323"/>
      <w:r>
        <w:t xml:space="preserve">Oral </w:t>
      </w:r>
      <w:r w:rsidRPr="00E00A6A">
        <w:t>Bioavailability</w:t>
      </w:r>
      <w:bookmarkEnd w:id="83"/>
    </w:p>
    <w:p w:rsidR="007636B0" w:rsidRDefault="007636B0" w:rsidP="007636B0">
      <w:r>
        <w:t>Insufficient data is available to adequately define the bioavailability of chlorpyrifos, hence a default approach of assuming 100% oral bioavailability has been adopted in the derivation of an HIL. It is noted that a site-specific assessment of bioavailability can be undertaken where required.</w:t>
      </w:r>
    </w:p>
    <w:p w:rsidR="007636B0" w:rsidRPr="002D7B71" w:rsidRDefault="007636B0" w:rsidP="007636B0">
      <w:pPr>
        <w:pStyle w:val="Heading3"/>
      </w:pPr>
      <w:bookmarkStart w:id="84" w:name="_Toc351714324"/>
      <w:r w:rsidRPr="002D7B71">
        <w:t>Dermal absorption</w:t>
      </w:r>
      <w:bookmarkEnd w:id="84"/>
    </w:p>
    <w:p w:rsidR="007636B0" w:rsidRDefault="007636B0" w:rsidP="007636B0">
      <w:r>
        <w:t>Limited data is available on dermal absorption of chlorpyrifos. Review by APVMA (2009) identified that in acute animal studies, dermal absorption has been shown to be low. In human volunteers, dermal absorption was estimated to be 1.35% of the applied dose (NRAAVC 2000). Dermal absorption of chlorpyrifos in soil (not in solution) is expected to be lower. The assessment of occupational exposures by NRAAVC (2000), as confirmed by APVMA (2009), has adopted a dermal absorption value of 3%. This has been adopted in the derivation of HILs.</w:t>
      </w:r>
    </w:p>
    <w:p w:rsidR="007636B0" w:rsidRPr="009338FB" w:rsidRDefault="007636B0" w:rsidP="007636B0">
      <w:pPr>
        <w:pStyle w:val="Heading3"/>
      </w:pPr>
      <w:bookmarkStart w:id="85" w:name="_Toc351714325"/>
      <w:r w:rsidRPr="009338FB">
        <w:t>Inhalation of Dust</w:t>
      </w:r>
      <w:bookmarkEnd w:id="85"/>
    </w:p>
    <w:p w:rsidR="007636B0" w:rsidRDefault="007636B0" w:rsidP="007636B0">
      <w:pPr>
        <w:rPr>
          <w:lang w:val="en-US"/>
        </w:rPr>
      </w:pPr>
      <w:r>
        <w:t xml:space="preserve">The inhalation exposure pathway is expected to be of significance during and immediately after the application of products containing the product. In these cases chlorpyrifos may be present in the vapour phase as well as sorbed to particulates (ATSDR 1997). </w:t>
      </w:r>
      <w:r w:rsidRPr="00337EE7">
        <w:rPr>
          <w:color w:val="000000"/>
        </w:rPr>
        <w:t xml:space="preserve">An Australian study by Beard </w:t>
      </w:r>
      <w:r w:rsidRPr="00D370F9">
        <w:rPr>
          <w:iCs/>
          <w:color w:val="000000"/>
        </w:rPr>
        <w:t>et al</w:t>
      </w:r>
      <w:r>
        <w:rPr>
          <w:i/>
          <w:iCs/>
          <w:color w:val="000000"/>
        </w:rPr>
        <w:t>.</w:t>
      </w:r>
      <w:r w:rsidRPr="00337EE7">
        <w:rPr>
          <w:color w:val="000000"/>
        </w:rPr>
        <w:t xml:space="preserve"> (1995) demonstrated that airborne exposures to pesticides in the community </w:t>
      </w:r>
      <w:r>
        <w:rPr>
          <w:color w:val="000000"/>
        </w:rPr>
        <w:t xml:space="preserve">can be substantial and </w:t>
      </w:r>
      <w:r w:rsidRPr="00337EE7">
        <w:rPr>
          <w:color w:val="000000"/>
        </w:rPr>
        <w:t>are largely related to residential use of pesticides</w:t>
      </w:r>
      <w:r>
        <w:rPr>
          <w:color w:val="000000"/>
        </w:rPr>
        <w:t xml:space="preserve"> rather than agricultural applications</w:t>
      </w:r>
      <w:r w:rsidRPr="00337EE7">
        <w:rPr>
          <w:color w:val="000000"/>
        </w:rPr>
        <w:t>.</w:t>
      </w:r>
      <w:r w:rsidRPr="00D04330">
        <w:rPr>
          <w:lang w:val="en-US"/>
        </w:rPr>
        <w:t xml:space="preserve"> </w:t>
      </w:r>
      <w:r>
        <w:rPr>
          <w:lang w:val="en-US"/>
        </w:rPr>
        <w:t>These issues should be considered on a site-by-site basis.</w:t>
      </w:r>
    </w:p>
    <w:p w:rsidR="0021528E" w:rsidRDefault="0021528E" w:rsidP="007636B0">
      <w:pPr>
        <w:rPr>
          <w:lang w:val="en-US"/>
        </w:rPr>
      </w:pPr>
    </w:p>
    <w:p w:rsidR="007636B0" w:rsidRDefault="007636B0" w:rsidP="007636B0">
      <w:r>
        <w:rPr>
          <w:lang w:val="en-US"/>
        </w:rPr>
        <w:t xml:space="preserve">For the assessment of chlorpyrifos as a soil contaminant (no product application considered), the compound </w:t>
      </w:r>
      <w:r>
        <w:t>is not considered sufficiently volatile to be of significance and inhalation exposures associated with particulates outdoors and indoors are expected to be of less significance than ingestion of soil. While likely to be negligible, potential inhalation exposures associated with dust have been considered in the HIL derived.</w:t>
      </w:r>
    </w:p>
    <w:p w:rsidR="007636B0" w:rsidRPr="009338FB" w:rsidRDefault="007636B0" w:rsidP="007636B0">
      <w:pPr>
        <w:pStyle w:val="Heading3"/>
      </w:pPr>
      <w:bookmarkStart w:id="86" w:name="_Toc351714326"/>
      <w:r w:rsidRPr="009338FB">
        <w:t>Plant Uptake</w:t>
      </w:r>
      <w:bookmarkEnd w:id="86"/>
    </w:p>
    <w:p w:rsidR="007636B0" w:rsidRDefault="007636B0" w:rsidP="007636B0">
      <w:r>
        <w:t xml:space="preserve">Information relating to the potential for plant uptake of chlorpyrifos is mixed. ATSDR (1997) notes that some research has shown that only very small levels of chlorpyrifos are taken up by plant roots, translocated, or metabolised by plant tissues. However, other researchers have found that soil-applied doses of chlorpyrifos are transported to foliage. APVMA (2009) </w:t>
      </w:r>
      <w:r w:rsidRPr="001424A9">
        <w:t>note</w:t>
      </w:r>
      <w:r>
        <w:t>s</w:t>
      </w:r>
      <w:r w:rsidRPr="001424A9">
        <w:t xml:space="preserve"> that absorption and translocation of foliar deposits of chlorpyrifos is very low, with the bulk dissipating through volatilisation. Absorption by roots from the soil is also poor</w:t>
      </w:r>
      <w:r>
        <w:t xml:space="preserve">. </w:t>
      </w:r>
      <w:r w:rsidRPr="001424A9">
        <w:t>This is further supported by studies presented by JMPR (1972) that show that the uptake of chlorpyrifos or its degradation products is insignificant through the foliage or roots</w:t>
      </w:r>
      <w:r>
        <w:t xml:space="preserve">. </w:t>
      </w:r>
      <w:r w:rsidRPr="001424A9">
        <w:t xml:space="preserve">Only through the use of specialised techniques has plant uptake of chlorpyrifos been significant. </w:t>
      </w:r>
    </w:p>
    <w:p w:rsidR="0021528E" w:rsidRPr="001424A9" w:rsidRDefault="0021528E" w:rsidP="007636B0"/>
    <w:p w:rsidR="007636B0" w:rsidRDefault="007636B0" w:rsidP="007636B0">
      <w:r>
        <w:t>Chlorpyrifos has the potential to strongly adsorb to soil and sediments (based on log K</w:t>
      </w:r>
      <w:r w:rsidRPr="00D370F9">
        <w:rPr>
          <w:vertAlign w:val="subscript"/>
        </w:rPr>
        <w:t>oc</w:t>
      </w:r>
      <w:r>
        <w:t xml:space="preserve"> of 3.73 from ATSDR (1997)) and has low water solubility. Hence the potential for chlorpyrifos to be present in soil solution, and subsequent uptake by plants, is considered to be low. </w:t>
      </w:r>
    </w:p>
    <w:p w:rsidR="0021528E" w:rsidRDefault="0021528E" w:rsidP="007636B0"/>
    <w:p w:rsidR="007636B0" w:rsidRDefault="007636B0" w:rsidP="007636B0">
      <w:r>
        <w:t>On the basis of the available information, plant uptake into edible fruit and vegetable crops is considered low and has not been considered in the derivation of soil HILs.</w:t>
      </w:r>
    </w:p>
    <w:p w:rsidR="007636B0" w:rsidRPr="0089652E" w:rsidRDefault="007636B0" w:rsidP="007636B0">
      <w:pPr>
        <w:pStyle w:val="Heading3"/>
      </w:pPr>
      <w:bookmarkStart w:id="87" w:name="_Toc351714327"/>
      <w:r w:rsidRPr="0089652E">
        <w:t xml:space="preserve">Intakes from Other Sources </w:t>
      </w:r>
      <w:r>
        <w:t>–</w:t>
      </w:r>
      <w:r w:rsidRPr="0089652E">
        <w:t xml:space="preserve"> Background</w:t>
      </w:r>
      <w:bookmarkEnd w:id="87"/>
    </w:p>
    <w:p w:rsidR="007636B0" w:rsidRDefault="007636B0" w:rsidP="007636B0">
      <w:r>
        <w:t xml:space="preserve">Background intakes were evaluated in more detail by Taylor &amp; Di Marco (2003), where data (from Australia where relevant) for food, water and air were considered. Background intakes were estimated to range from 0.81 </w:t>
      </w:r>
      <w:r>
        <w:rPr>
          <w:rFonts w:cs="Arial"/>
        </w:rPr>
        <w:t>µ</w:t>
      </w:r>
      <w:r>
        <w:t xml:space="preserve">g/kg/day for adults and infants to 1 </w:t>
      </w:r>
      <w:r>
        <w:rPr>
          <w:rFonts w:cs="Arial"/>
        </w:rPr>
        <w:t>µ</w:t>
      </w:r>
      <w:r>
        <w:t xml:space="preserve">g/kg/day for toddlers. Dietary intakes of 0.63 </w:t>
      </w:r>
      <w:r>
        <w:rPr>
          <w:rFonts w:cs="Arial"/>
        </w:rPr>
        <w:lastRenderedPageBreak/>
        <w:t>µ</w:t>
      </w:r>
      <w:r>
        <w:t>g/kg/day for toddlers (based on older surveys) were higher than currently reported. Current data on intakes from food and air (most significant pathways considered) include:</w:t>
      </w:r>
    </w:p>
    <w:p w:rsidR="007636B0" w:rsidRDefault="007636B0" w:rsidP="007636B0">
      <w:pPr>
        <w:pStyle w:val="Dot-points"/>
        <w:tabs>
          <w:tab w:val="clear" w:pos="926"/>
          <w:tab w:val="num" w:pos="360"/>
        </w:tabs>
      </w:pPr>
      <w:r>
        <w:t xml:space="preserve">Intakes of chlorpyrifos based on </w:t>
      </w:r>
      <w:r w:rsidRPr="00192792">
        <w:rPr>
          <w:i/>
        </w:rPr>
        <w:t>The Australian Total Diet Survey</w:t>
      </w:r>
      <w:r>
        <w:t xml:space="preserve"> (FSANZ 2011) were 0.23 </w:t>
      </w:r>
      <w:r>
        <w:rPr>
          <w:rFonts w:cs="Arial"/>
        </w:rPr>
        <w:t>µ</w:t>
      </w:r>
      <w:r>
        <w:t>g/kg/day for children aged 2</w:t>
      </w:r>
      <w:r>
        <w:sym w:font="Symbol" w:char="F02D"/>
      </w:r>
      <w:r>
        <w:t>5 years (most significant). While it is accepted that there are limitations in the data provided in these studies, the data is consistent with information from studies conducted in the US (ATSDR 1997) and have been considered indicative of potential intakes from food.</w:t>
      </w:r>
    </w:p>
    <w:p w:rsidR="007636B0" w:rsidRDefault="007636B0" w:rsidP="007636B0">
      <w:pPr>
        <w:pStyle w:val="Dot-points"/>
        <w:tabs>
          <w:tab w:val="clear" w:pos="926"/>
          <w:tab w:val="num" w:pos="360"/>
        </w:tabs>
      </w:pPr>
      <w:r>
        <w:t xml:space="preserve">A range of air concentrations have been reported for chlorpyrifos, during or immediately after application, some period after application, and ambient concentrations. Mean concentrations of chlorpyrifos in homes treated with termiticide several years previously were 2.23 </w:t>
      </w:r>
      <w:r>
        <w:rPr>
          <w:rFonts w:cs="Arial"/>
        </w:rPr>
        <w:t>µ</w:t>
      </w:r>
      <w:r>
        <w:t>g/m</w:t>
      </w:r>
      <w:r w:rsidRPr="001678B3">
        <w:rPr>
          <w:vertAlign w:val="superscript"/>
        </w:rPr>
        <w:t>3</w:t>
      </w:r>
      <w:r>
        <w:t xml:space="preserve"> (EA 2001). Intakes derived from these concentrations are estimated to be 1.4 </w:t>
      </w:r>
      <w:r>
        <w:rPr>
          <w:rFonts w:cs="Arial"/>
        </w:rPr>
        <w:t>µ</w:t>
      </w:r>
      <w:r>
        <w:t>g/kg/day, significantly more than intakes derived from dietary sources.</w:t>
      </w:r>
    </w:p>
    <w:p w:rsidR="007636B0" w:rsidRDefault="007636B0" w:rsidP="007636B0">
      <w:r>
        <w:t xml:space="preserve">Other sources of exposure may be associated with house dust, though as there is limited data available to quantify exposures related to the presence of chlorpyrifos in house dust, it has not been included in this evaluation. It is noted that the derivation of the soil HIL considers ingestion of both soil and dust. </w:t>
      </w:r>
    </w:p>
    <w:p w:rsidR="0021528E" w:rsidRDefault="0021528E" w:rsidP="007636B0"/>
    <w:p w:rsidR="007636B0" w:rsidRDefault="007636B0" w:rsidP="007636B0">
      <w:r>
        <w:t xml:space="preserve">Consideration of intakes derived from food and air suggests background intakes may be approximately 1.6 </w:t>
      </w:r>
      <w:r>
        <w:rPr>
          <w:rFonts w:cs="Arial"/>
        </w:rPr>
        <w:t>µ</w:t>
      </w:r>
      <w:r>
        <w:t>g/kg/day, which comprise approximately 50% of the recommended TRV. Review of dietary intakes by APVMA (2009), based on a conservative estimate of chemical residues in food, indicated that intakes may comprise up to 55% of the TRV, similar to the estimate presented on the basis of the above.</w:t>
      </w:r>
    </w:p>
    <w:p w:rsidR="0021528E" w:rsidRDefault="0021528E" w:rsidP="007636B0"/>
    <w:p w:rsidR="007636B0" w:rsidRDefault="007636B0" w:rsidP="007636B0">
      <w:r>
        <w:t xml:space="preserve">As chlorpyrifos remains in use in Australia it is reasonable, based on the above, to consider background intakes to be more than negligible. Based on the estimates, intakes derived from dietary and atmospheric sources have been estimated to be approximately 1.6 </w:t>
      </w:r>
      <w:r>
        <w:rPr>
          <w:rFonts w:cs="Arial"/>
        </w:rPr>
        <w:t>µ</w:t>
      </w:r>
      <w:r>
        <w:t>g/kg/day (50% of the TRV) and have been considered in the derivation of soil HILs.</w:t>
      </w:r>
    </w:p>
    <w:p w:rsidR="007636B0" w:rsidRDefault="007636B0" w:rsidP="007636B0">
      <w:pPr>
        <w:pStyle w:val="Heading2"/>
        <w:tabs>
          <w:tab w:val="clear" w:pos="1209"/>
        </w:tabs>
      </w:pPr>
      <w:bookmarkStart w:id="88" w:name="_Toc351714328"/>
      <w:r>
        <w:t>Identification of Toxicity Reference Values</w:t>
      </w:r>
      <w:bookmarkEnd w:id="88"/>
    </w:p>
    <w:p w:rsidR="007636B0" w:rsidRPr="00983A79" w:rsidRDefault="007636B0" w:rsidP="007636B0">
      <w:pPr>
        <w:pStyle w:val="Heading3"/>
      </w:pPr>
      <w:bookmarkStart w:id="89" w:name="_Toc351714329"/>
      <w:r w:rsidRPr="00983A79">
        <w:t>Classification</w:t>
      </w:r>
      <w:bookmarkEnd w:id="89"/>
    </w:p>
    <w:p w:rsidR="007636B0" w:rsidRDefault="007636B0" w:rsidP="007636B0">
      <w:r w:rsidRPr="00C259C1">
        <w:t>The International Agency for Research on Cancer (IARC</w:t>
      </w:r>
      <w:r>
        <w:t>) has not classified chlorpyrifos as to carcinogenicity and US EPA has classified it as Group D</w:t>
      </w:r>
      <w:r>
        <w:rPr>
          <w:rFonts w:cs="Arial"/>
        </w:rPr>
        <w:t>—</w:t>
      </w:r>
      <w:r>
        <w:t>not classified for carcinogenicity</w:t>
      </w:r>
    </w:p>
    <w:p w:rsidR="007636B0" w:rsidRPr="00907E92" w:rsidRDefault="007636B0" w:rsidP="007636B0">
      <w:pPr>
        <w:pStyle w:val="Heading3"/>
      </w:pPr>
      <w:bookmarkStart w:id="90" w:name="_Toc351714330"/>
      <w:r w:rsidRPr="00907E92">
        <w:t>Review of Available Values</w:t>
      </w:r>
      <w:r>
        <w:t>/Information</w:t>
      </w:r>
      <w:bookmarkEnd w:id="90"/>
    </w:p>
    <w:p w:rsidR="007636B0" w:rsidRDefault="007636B0" w:rsidP="007636B0">
      <w:r w:rsidRPr="00DA63E2">
        <w:t xml:space="preserve">Limited </w:t>
      </w:r>
      <w:r>
        <w:t>data is</w:t>
      </w:r>
      <w:r w:rsidRPr="00DA63E2">
        <w:t xml:space="preserve"> available on the carcinogenicity of chlorpyrifos</w:t>
      </w:r>
      <w:r>
        <w:t xml:space="preserve">. </w:t>
      </w:r>
      <w:r w:rsidRPr="00DA63E2">
        <w:t>However, chlorpyrifos has not been identified as carcinogenic in long-term animal studies, and was not genotoxic in a wide range of assays (NRA</w:t>
      </w:r>
      <w:r>
        <w:t>AVC</w:t>
      </w:r>
      <w:r w:rsidRPr="00DA63E2">
        <w:t xml:space="preserve"> 2000</w:t>
      </w:r>
      <w:r>
        <w:t>;</w:t>
      </w:r>
      <w:r w:rsidRPr="00DA63E2">
        <w:t xml:space="preserve"> APVMA 2009)</w:t>
      </w:r>
      <w:r>
        <w:t xml:space="preserve">. </w:t>
      </w:r>
      <w:r w:rsidRPr="00DA63E2">
        <w:t>On this basis</w:t>
      </w:r>
      <w:r>
        <w:t>,</w:t>
      </w:r>
      <w:r w:rsidRPr="00DA63E2">
        <w:t xml:space="preserve"> the assessment of exposures to chlorpyrifos on the basis</w:t>
      </w:r>
      <w:r>
        <w:t xml:space="preserve"> of a </w:t>
      </w:r>
      <w:r w:rsidRPr="00DA63E2">
        <w:t xml:space="preserve">threshold approach is appropriate. </w:t>
      </w:r>
    </w:p>
    <w:p w:rsidR="0021528E" w:rsidRPr="00DA63E2" w:rsidRDefault="0021528E" w:rsidP="007636B0"/>
    <w:p w:rsidR="007636B0" w:rsidRDefault="007636B0" w:rsidP="007636B0">
      <w:r>
        <w:t>The following are available from Level 1 Australian and International sources:</w:t>
      </w:r>
    </w:p>
    <w:p w:rsidR="007636B0" w:rsidRDefault="007636B0" w:rsidP="007636B0">
      <w:r>
        <w:br w:type="page"/>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1"/>
        <w:gridCol w:w="21"/>
        <w:gridCol w:w="2159"/>
        <w:gridCol w:w="19"/>
        <w:gridCol w:w="5343"/>
      </w:tblGrid>
      <w:tr w:rsidR="007636B0" w:rsidRPr="00F548B5" w:rsidTr="00B45DD6">
        <w:trPr>
          <w:tblHeader/>
        </w:trPr>
        <w:tc>
          <w:tcPr>
            <w:tcW w:w="1312" w:type="dxa"/>
            <w:gridSpan w:val="2"/>
            <w:shd w:val="clear" w:color="auto" w:fill="C6D9F1" w:themeFill="text2" w:themeFillTint="33"/>
          </w:tcPr>
          <w:p w:rsidR="007636B0" w:rsidRPr="00F548B5" w:rsidRDefault="007636B0" w:rsidP="00B45DD6">
            <w:pPr>
              <w:spacing w:before="20"/>
              <w:jc w:val="center"/>
              <w:rPr>
                <w:b/>
                <w:szCs w:val="22"/>
              </w:rPr>
            </w:pPr>
            <w:r w:rsidRPr="00F548B5">
              <w:rPr>
                <w:b/>
                <w:szCs w:val="22"/>
              </w:rPr>
              <w:lastRenderedPageBreak/>
              <w:t>Source</w:t>
            </w:r>
          </w:p>
        </w:tc>
        <w:tc>
          <w:tcPr>
            <w:tcW w:w="2178" w:type="dxa"/>
            <w:gridSpan w:val="2"/>
            <w:shd w:val="clear" w:color="auto" w:fill="C6D9F1" w:themeFill="text2" w:themeFillTint="33"/>
          </w:tcPr>
          <w:p w:rsidR="007636B0" w:rsidRPr="00F548B5" w:rsidRDefault="007636B0" w:rsidP="00B45DD6">
            <w:pPr>
              <w:spacing w:before="20"/>
              <w:jc w:val="center"/>
              <w:rPr>
                <w:b/>
                <w:szCs w:val="22"/>
              </w:rPr>
            </w:pPr>
            <w:r w:rsidRPr="00F548B5">
              <w:rPr>
                <w:b/>
                <w:szCs w:val="22"/>
              </w:rPr>
              <w:t>Value</w:t>
            </w:r>
          </w:p>
        </w:tc>
        <w:tc>
          <w:tcPr>
            <w:tcW w:w="5343" w:type="dxa"/>
            <w:shd w:val="clear" w:color="auto" w:fill="C6D9F1" w:themeFill="text2" w:themeFillTint="33"/>
          </w:tcPr>
          <w:p w:rsidR="007636B0" w:rsidRPr="00F548B5" w:rsidRDefault="007636B0" w:rsidP="00B45DD6">
            <w:pPr>
              <w:spacing w:before="20"/>
              <w:jc w:val="center"/>
              <w:rPr>
                <w:b/>
                <w:szCs w:val="22"/>
              </w:rPr>
            </w:pPr>
            <w:r w:rsidRPr="00F548B5">
              <w:rPr>
                <w:b/>
                <w:szCs w:val="22"/>
              </w:rPr>
              <w:t>Basis/Comments</w:t>
            </w:r>
          </w:p>
        </w:tc>
      </w:tr>
      <w:tr w:rsidR="007636B0" w:rsidRPr="00F548B5" w:rsidTr="00B45DD6">
        <w:tc>
          <w:tcPr>
            <w:tcW w:w="8833" w:type="dxa"/>
            <w:gridSpan w:val="5"/>
          </w:tcPr>
          <w:p w:rsidR="007636B0" w:rsidRPr="00F548B5" w:rsidRDefault="007636B0" w:rsidP="00B45DD6">
            <w:pPr>
              <w:spacing w:before="20"/>
              <w:jc w:val="center"/>
              <w:rPr>
                <w:b/>
                <w:szCs w:val="22"/>
              </w:rPr>
            </w:pPr>
            <w:r w:rsidRPr="00F548B5">
              <w:rPr>
                <w:b/>
                <w:szCs w:val="22"/>
              </w:rPr>
              <w:t>Australian</w:t>
            </w:r>
          </w:p>
        </w:tc>
      </w:tr>
      <w:tr w:rsidR="007636B0" w:rsidRPr="00F548B5" w:rsidTr="00B45DD6">
        <w:tc>
          <w:tcPr>
            <w:tcW w:w="1312" w:type="dxa"/>
            <w:gridSpan w:val="2"/>
          </w:tcPr>
          <w:p w:rsidR="007636B0" w:rsidRPr="00F548B5" w:rsidRDefault="007636B0" w:rsidP="00B45DD6">
            <w:pPr>
              <w:spacing w:before="20"/>
              <w:rPr>
                <w:szCs w:val="22"/>
              </w:rPr>
            </w:pPr>
            <w:r w:rsidRPr="00F548B5">
              <w:rPr>
                <w:szCs w:val="22"/>
              </w:rPr>
              <w:t>ADWG (NHMRC 2011)</w:t>
            </w:r>
          </w:p>
        </w:tc>
        <w:tc>
          <w:tcPr>
            <w:tcW w:w="2178" w:type="dxa"/>
            <w:gridSpan w:val="2"/>
          </w:tcPr>
          <w:p w:rsidR="007636B0" w:rsidRPr="00F548B5" w:rsidRDefault="007636B0" w:rsidP="00B45DD6">
            <w:pPr>
              <w:spacing w:before="20"/>
              <w:rPr>
                <w:szCs w:val="22"/>
              </w:rPr>
            </w:pPr>
            <w:r w:rsidRPr="00F548B5">
              <w:rPr>
                <w:szCs w:val="22"/>
              </w:rPr>
              <w:t>ADI = 0.003 mg/kg/day</w:t>
            </w:r>
          </w:p>
        </w:tc>
        <w:tc>
          <w:tcPr>
            <w:tcW w:w="5343" w:type="dxa"/>
          </w:tcPr>
          <w:p w:rsidR="007636B0" w:rsidRPr="00F548B5" w:rsidRDefault="007636B0" w:rsidP="00B45DD6">
            <w:pPr>
              <w:spacing w:before="20"/>
              <w:rPr>
                <w:szCs w:val="22"/>
              </w:rPr>
            </w:pPr>
            <w:r w:rsidRPr="00F548B5">
              <w:rPr>
                <w:szCs w:val="22"/>
              </w:rPr>
              <w:t>Current ADWG (NHMRC 2011, established in 1998) of 0.01 mg/L based on a NOEL of 0.03 mg/kg/day for plasma cholinesterase inhibition from a 28-day volunteer study in humans, and an uncertainty factor of 10.</w:t>
            </w:r>
          </w:p>
        </w:tc>
      </w:tr>
      <w:tr w:rsidR="007636B0" w:rsidRPr="00F548B5" w:rsidTr="00B45DD6">
        <w:tc>
          <w:tcPr>
            <w:tcW w:w="1312" w:type="dxa"/>
            <w:gridSpan w:val="2"/>
          </w:tcPr>
          <w:p w:rsidR="007636B0" w:rsidRPr="00F548B5" w:rsidRDefault="007636B0" w:rsidP="00B45DD6">
            <w:pPr>
              <w:spacing w:before="20"/>
              <w:rPr>
                <w:szCs w:val="22"/>
              </w:rPr>
            </w:pPr>
            <w:r w:rsidRPr="00F548B5">
              <w:rPr>
                <w:szCs w:val="22"/>
              </w:rPr>
              <w:t>OCS (2012)</w:t>
            </w:r>
          </w:p>
        </w:tc>
        <w:tc>
          <w:tcPr>
            <w:tcW w:w="2178" w:type="dxa"/>
            <w:gridSpan w:val="2"/>
          </w:tcPr>
          <w:p w:rsidR="007636B0" w:rsidRPr="00F548B5" w:rsidRDefault="007636B0" w:rsidP="00B45DD6">
            <w:pPr>
              <w:spacing w:before="20"/>
              <w:rPr>
                <w:szCs w:val="22"/>
              </w:rPr>
            </w:pPr>
            <w:r w:rsidRPr="00F548B5">
              <w:rPr>
                <w:szCs w:val="22"/>
              </w:rPr>
              <w:t>ADI = 0.003 mg/kg/day</w:t>
            </w:r>
          </w:p>
        </w:tc>
        <w:tc>
          <w:tcPr>
            <w:tcW w:w="5343" w:type="dxa"/>
          </w:tcPr>
          <w:p w:rsidR="007636B0" w:rsidRPr="00F548B5" w:rsidRDefault="007636B0" w:rsidP="00B45DD6">
            <w:pPr>
              <w:spacing w:before="20"/>
              <w:rPr>
                <w:szCs w:val="22"/>
              </w:rPr>
            </w:pPr>
            <w:r w:rsidRPr="00F548B5">
              <w:rPr>
                <w:szCs w:val="22"/>
              </w:rPr>
              <w:t>The ADI of 0.003 mg/kg/day (set in December 1998) is based on the same approach as noted in the ADWG above.</w:t>
            </w:r>
          </w:p>
        </w:tc>
      </w:tr>
      <w:tr w:rsidR="007636B0" w:rsidRPr="00F548B5" w:rsidTr="00B45DD6">
        <w:tc>
          <w:tcPr>
            <w:tcW w:w="1312" w:type="dxa"/>
            <w:gridSpan w:val="2"/>
          </w:tcPr>
          <w:p w:rsidR="007636B0" w:rsidRPr="00F548B5" w:rsidRDefault="007636B0" w:rsidP="00B45DD6">
            <w:pPr>
              <w:spacing w:before="20"/>
              <w:rPr>
                <w:szCs w:val="22"/>
              </w:rPr>
            </w:pPr>
            <w:r w:rsidRPr="00F548B5">
              <w:rPr>
                <w:szCs w:val="22"/>
              </w:rPr>
              <w:t>NRAAVC (2000) and APVMA (2009)</w:t>
            </w:r>
          </w:p>
        </w:tc>
        <w:tc>
          <w:tcPr>
            <w:tcW w:w="2178" w:type="dxa"/>
            <w:gridSpan w:val="2"/>
          </w:tcPr>
          <w:p w:rsidR="007636B0" w:rsidRPr="00F548B5" w:rsidRDefault="007636B0" w:rsidP="00B45DD6">
            <w:pPr>
              <w:spacing w:before="20"/>
              <w:rPr>
                <w:szCs w:val="22"/>
              </w:rPr>
            </w:pPr>
            <w:r w:rsidRPr="00F548B5">
              <w:rPr>
                <w:szCs w:val="22"/>
              </w:rPr>
              <w:t>ADI = 0.003 mg/kg/day</w:t>
            </w:r>
          </w:p>
        </w:tc>
        <w:tc>
          <w:tcPr>
            <w:tcW w:w="5343" w:type="dxa"/>
          </w:tcPr>
          <w:p w:rsidR="007636B0" w:rsidRPr="00F548B5" w:rsidRDefault="007636B0" w:rsidP="00B45DD6">
            <w:pPr>
              <w:spacing w:before="20"/>
              <w:rPr>
                <w:szCs w:val="22"/>
              </w:rPr>
            </w:pPr>
            <w:r w:rsidRPr="00F548B5">
              <w:rPr>
                <w:szCs w:val="22"/>
              </w:rPr>
              <w:t xml:space="preserve">The APVMA (2009) review provided an updated toxicology assessment for chlorpyrifos. The review considered the range of threshold values derived by different countries with respect to the selection of relevant end points and other factors (including sensitive sub-populations such as children). The review did not identify any new studies that would result in changes to the toxicological end points selected for either public or occupational health assessments. The end points used in the NRA (2000) review were considered to be valid. No toxicological effects were observed at doses lower than those that resulted in inhibition of plasma cholinesterase activity in a human volunteer study. On the basis of this effect in humans at a dose of 0.1 mg/kg/day, with no effects seen at 0.03 mg/kg/day, the ADI at 0.003 mg/kg/day was established, with a 10-fold safety factor used to account for inter-individual variability. </w:t>
            </w:r>
          </w:p>
        </w:tc>
      </w:tr>
      <w:tr w:rsidR="007636B0" w:rsidRPr="00F548B5" w:rsidTr="00B45DD6">
        <w:tc>
          <w:tcPr>
            <w:tcW w:w="8833" w:type="dxa"/>
            <w:gridSpan w:val="5"/>
          </w:tcPr>
          <w:p w:rsidR="007636B0" w:rsidRPr="00F548B5" w:rsidRDefault="007636B0" w:rsidP="00B45DD6">
            <w:pPr>
              <w:spacing w:before="20"/>
              <w:jc w:val="center"/>
              <w:rPr>
                <w:b/>
                <w:szCs w:val="22"/>
              </w:rPr>
            </w:pPr>
            <w:r w:rsidRPr="00F548B5">
              <w:rPr>
                <w:b/>
                <w:szCs w:val="22"/>
              </w:rPr>
              <w:t>International</w:t>
            </w:r>
          </w:p>
        </w:tc>
      </w:tr>
      <w:tr w:rsidR="007636B0" w:rsidRPr="00F548B5" w:rsidTr="00B45DD6">
        <w:tc>
          <w:tcPr>
            <w:tcW w:w="1291" w:type="dxa"/>
          </w:tcPr>
          <w:p w:rsidR="007636B0" w:rsidRPr="00F548B5" w:rsidRDefault="007636B0" w:rsidP="00B45DD6">
            <w:pPr>
              <w:spacing w:before="20"/>
              <w:rPr>
                <w:szCs w:val="22"/>
              </w:rPr>
            </w:pPr>
            <w:r w:rsidRPr="00F548B5">
              <w:rPr>
                <w:szCs w:val="22"/>
              </w:rPr>
              <w:t>WHO (2011) and JMPR (1983, 2000)</w:t>
            </w:r>
          </w:p>
        </w:tc>
        <w:tc>
          <w:tcPr>
            <w:tcW w:w="2180" w:type="dxa"/>
            <w:gridSpan w:val="2"/>
          </w:tcPr>
          <w:p w:rsidR="007636B0" w:rsidRPr="00F548B5" w:rsidRDefault="007636B0" w:rsidP="00B45DD6">
            <w:pPr>
              <w:spacing w:before="20"/>
              <w:rPr>
                <w:szCs w:val="22"/>
              </w:rPr>
            </w:pPr>
            <w:r w:rsidRPr="00F548B5">
              <w:rPr>
                <w:szCs w:val="22"/>
              </w:rPr>
              <w:t>ADI = 0.01 mg/kg/day</w:t>
            </w:r>
          </w:p>
        </w:tc>
        <w:tc>
          <w:tcPr>
            <w:tcW w:w="5362" w:type="dxa"/>
            <w:gridSpan w:val="2"/>
          </w:tcPr>
          <w:p w:rsidR="007636B0" w:rsidRPr="00F548B5" w:rsidRDefault="007636B0" w:rsidP="00B45DD6">
            <w:pPr>
              <w:spacing w:before="20"/>
              <w:rPr>
                <w:szCs w:val="22"/>
              </w:rPr>
            </w:pPr>
            <w:r w:rsidRPr="00F548B5">
              <w:rPr>
                <w:szCs w:val="22"/>
              </w:rPr>
              <w:t xml:space="preserve">ADI adopted in derivation of the current WHO DWG and JMPR (1983, 2000) is based on a NOAEL of 0.1 mg/kg/day based on effects of chlorpyrifos on </w:t>
            </w:r>
            <w:r w:rsidRPr="00F548B5">
              <w:rPr>
                <w:bCs/>
                <w:szCs w:val="22"/>
              </w:rPr>
              <w:t>brain</w:t>
            </w:r>
            <w:r w:rsidRPr="00F548B5">
              <w:rPr>
                <w:b/>
                <w:bCs/>
                <w:szCs w:val="22"/>
              </w:rPr>
              <w:t xml:space="preserve"> </w:t>
            </w:r>
            <w:r w:rsidRPr="00F548B5">
              <w:rPr>
                <w:szCs w:val="22"/>
              </w:rPr>
              <w:t>acetylcholinesterase activity in animal studies, and erythrocyte acetylcholinesterase inhibition in human subjects, and an uncertainty factor of 10. Review of this data by APVMA (2009) noted that both of these measures of toxicity are less sensitive than the inhibition of plasma cholinesterase activity, and hence the JMPR ADI is higher (i.e. less conservative) than that set by the OCS.</w:t>
            </w:r>
          </w:p>
        </w:tc>
      </w:tr>
      <w:tr w:rsidR="007636B0" w:rsidRPr="00F548B5" w:rsidTr="00B45DD6">
        <w:tc>
          <w:tcPr>
            <w:tcW w:w="1291" w:type="dxa"/>
          </w:tcPr>
          <w:p w:rsidR="007636B0" w:rsidRPr="00F548B5" w:rsidRDefault="007636B0" w:rsidP="00B45DD6">
            <w:pPr>
              <w:spacing w:before="20"/>
              <w:rPr>
                <w:szCs w:val="22"/>
              </w:rPr>
            </w:pPr>
            <w:r w:rsidRPr="00F548B5">
              <w:rPr>
                <w:szCs w:val="22"/>
              </w:rPr>
              <w:t>ATSDR (1997)</w:t>
            </w:r>
          </w:p>
        </w:tc>
        <w:tc>
          <w:tcPr>
            <w:tcW w:w="2180" w:type="dxa"/>
            <w:gridSpan w:val="2"/>
          </w:tcPr>
          <w:p w:rsidR="007636B0" w:rsidRPr="00F548B5" w:rsidRDefault="007636B0" w:rsidP="00B45DD6">
            <w:pPr>
              <w:spacing w:before="20"/>
              <w:rPr>
                <w:szCs w:val="22"/>
              </w:rPr>
            </w:pPr>
            <w:r w:rsidRPr="00F548B5">
              <w:rPr>
                <w:szCs w:val="22"/>
              </w:rPr>
              <w:t>Oral MRL = 0.001 mg/kg/day</w:t>
            </w:r>
          </w:p>
        </w:tc>
        <w:tc>
          <w:tcPr>
            <w:tcW w:w="5362" w:type="dxa"/>
            <w:gridSpan w:val="2"/>
          </w:tcPr>
          <w:p w:rsidR="007636B0" w:rsidRPr="00F548B5" w:rsidRDefault="007636B0" w:rsidP="00B45DD6">
            <w:pPr>
              <w:spacing w:before="20"/>
              <w:rPr>
                <w:szCs w:val="22"/>
              </w:rPr>
            </w:pPr>
            <w:r w:rsidRPr="00F548B5">
              <w:rPr>
                <w:szCs w:val="22"/>
              </w:rPr>
              <w:t>Chronic oral MRL based on a NOAEL for acetylcholinesterase inhibition in rats exposed to 0.1 mg/kg/day of chlorpyrifos in feed for 2 years, and an uncertainty factor of 100.</w:t>
            </w:r>
          </w:p>
        </w:tc>
      </w:tr>
      <w:tr w:rsidR="007636B0" w:rsidRPr="00F548B5" w:rsidTr="00B45DD6">
        <w:tc>
          <w:tcPr>
            <w:tcW w:w="1291" w:type="dxa"/>
          </w:tcPr>
          <w:p w:rsidR="007636B0" w:rsidRPr="00F548B5" w:rsidRDefault="007636B0" w:rsidP="00B45DD6">
            <w:pPr>
              <w:spacing w:before="20"/>
              <w:rPr>
                <w:szCs w:val="22"/>
              </w:rPr>
            </w:pPr>
            <w:r w:rsidRPr="00F548B5">
              <w:rPr>
                <w:szCs w:val="22"/>
              </w:rPr>
              <w:t>US EPA (IRIS 2012)</w:t>
            </w:r>
          </w:p>
        </w:tc>
        <w:tc>
          <w:tcPr>
            <w:tcW w:w="2180" w:type="dxa"/>
            <w:gridSpan w:val="2"/>
          </w:tcPr>
          <w:p w:rsidR="007636B0" w:rsidRPr="00F548B5" w:rsidRDefault="007636B0" w:rsidP="00B45DD6">
            <w:pPr>
              <w:spacing w:before="20"/>
              <w:rPr>
                <w:szCs w:val="22"/>
              </w:rPr>
            </w:pPr>
            <w:r w:rsidRPr="00F548B5">
              <w:rPr>
                <w:szCs w:val="22"/>
              </w:rPr>
              <w:t>Not available</w:t>
            </w:r>
          </w:p>
          <w:p w:rsidR="007636B0" w:rsidRPr="00F548B5" w:rsidRDefault="007636B0" w:rsidP="00B45DD6">
            <w:pPr>
              <w:spacing w:before="20"/>
              <w:rPr>
                <w:szCs w:val="22"/>
              </w:rPr>
            </w:pPr>
          </w:p>
        </w:tc>
        <w:tc>
          <w:tcPr>
            <w:tcW w:w="5362" w:type="dxa"/>
            <w:gridSpan w:val="2"/>
          </w:tcPr>
          <w:p w:rsidR="007636B0" w:rsidRPr="00F548B5" w:rsidRDefault="007636B0" w:rsidP="00B45DD6">
            <w:pPr>
              <w:spacing w:before="20"/>
              <w:rPr>
                <w:szCs w:val="22"/>
              </w:rPr>
            </w:pPr>
            <w:r w:rsidRPr="00F548B5">
              <w:rPr>
                <w:szCs w:val="22"/>
              </w:rPr>
              <w:t>The previous evaluation (oral RfD of 0.003 mg/kg/day) was withdrawn by the US EPA in 2011. No new evaluation is available.</w:t>
            </w:r>
          </w:p>
        </w:tc>
      </w:tr>
    </w:tbl>
    <w:p w:rsidR="007636B0" w:rsidRDefault="007636B0" w:rsidP="007636B0"/>
    <w:p w:rsidR="007636B0" w:rsidRDefault="007636B0" w:rsidP="007636B0">
      <w:r>
        <w:t>The ADI of 0.003 mg/kg/day identified and considered current in the most recent review by APVMA (2009) and NRA (2000) is consistent with that considered in the derivation of the ADWG (NHMRC 2011) and listed in the ADI List (OCS 2012). The value is considered relevant for the derivation of a soil HIL in Australia.</w:t>
      </w:r>
    </w:p>
    <w:p w:rsidR="0021528E" w:rsidRDefault="0021528E" w:rsidP="007636B0"/>
    <w:p w:rsidR="007636B0" w:rsidRDefault="007636B0" w:rsidP="007636B0">
      <w:r>
        <w:t>No dermal or inhalation-specific studies or data are available. For the presence of chlorpyrifos in soil, it is considered appropriate to consider use of the available ADI for all pathways of exposures.</w:t>
      </w:r>
    </w:p>
    <w:p w:rsidR="007636B0" w:rsidRPr="00921D7B" w:rsidRDefault="007636B0" w:rsidP="007636B0">
      <w:pPr>
        <w:pStyle w:val="Heading3"/>
      </w:pPr>
      <w:bookmarkStart w:id="91" w:name="_Toc351714331"/>
      <w:r w:rsidRPr="00921D7B">
        <w:lastRenderedPageBreak/>
        <w:t>Recommendation</w:t>
      </w:r>
      <w:bookmarkEnd w:id="91"/>
    </w:p>
    <w:p w:rsidR="007636B0" w:rsidRPr="00191EC8" w:rsidRDefault="007636B0" w:rsidP="007636B0">
      <w:r>
        <w:t>On the basis of the discussion above, the following toxicity reference values (TRVs) have been adopted for chlorpyrifos in the derivation of HILs:</w:t>
      </w:r>
    </w:p>
    <w:p w:rsidR="007636B0" w:rsidRDefault="007636B0" w:rsidP="007636B0">
      <w:r>
        <w:rPr>
          <w:noProof/>
          <w:lang w:eastAsia="en-AU"/>
        </w:rPr>
        <mc:AlternateContent>
          <mc:Choice Requires="wps">
            <w:drawing>
              <wp:inline distT="0" distB="0" distL="0" distR="0">
                <wp:extent cx="5656580" cy="2251710"/>
                <wp:effectExtent l="13335" t="12700" r="6985" b="120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580" cy="2251710"/>
                        </a:xfrm>
                        <a:prstGeom prst="rect">
                          <a:avLst/>
                        </a:prstGeom>
                        <a:solidFill>
                          <a:srgbClr val="D8D8D8"/>
                        </a:solidFill>
                        <a:ln w="9525">
                          <a:solidFill>
                            <a:srgbClr val="000000"/>
                          </a:solidFill>
                          <a:miter lim="800000"/>
                          <a:headEnd/>
                          <a:tailEnd/>
                        </a:ln>
                      </wps:spPr>
                      <wps:txbx>
                        <w:txbxContent>
                          <w:p w:rsidR="00A0097F" w:rsidRPr="00742163" w:rsidRDefault="00A0097F" w:rsidP="007636B0">
                            <w:pPr>
                              <w:spacing w:after="40"/>
                              <w:rPr>
                                <w:b/>
                                <w:u w:val="single"/>
                              </w:rPr>
                            </w:pPr>
                            <w:r w:rsidRPr="00742163">
                              <w:rPr>
                                <w:b/>
                                <w:u w:val="single"/>
                              </w:rPr>
                              <w:t xml:space="preserve">Recommendation for </w:t>
                            </w:r>
                            <w:r>
                              <w:rPr>
                                <w:b/>
                                <w:u w:val="single"/>
                              </w:rPr>
                              <w:t>Chlorpyrifos</w:t>
                            </w:r>
                          </w:p>
                          <w:p w:rsidR="00A0097F" w:rsidRDefault="00A0097F" w:rsidP="007636B0">
                            <w:pPr>
                              <w:spacing w:after="40"/>
                            </w:pPr>
                            <w:r>
                              <w:t>Oral TRV (TRV</w:t>
                            </w:r>
                            <w:r w:rsidRPr="00A54613">
                              <w:rPr>
                                <w:vertAlign w:val="subscript"/>
                              </w:rPr>
                              <w:t>O</w:t>
                            </w:r>
                            <w:r>
                              <w:t>) = 0.003 mg/kg/day (OCS 2012; NRAAVC 2000; APVMA 2009) for all pathways of exposure</w:t>
                            </w:r>
                          </w:p>
                          <w:p w:rsidR="00A0097F" w:rsidRDefault="00A0097F" w:rsidP="007636B0">
                            <w:pPr>
                              <w:spacing w:after="40"/>
                            </w:pPr>
                            <w:r>
                              <w:t>Dermal absorption factor (DAF) = 0.03 (or 3%) (APVMA 2009)</w:t>
                            </w:r>
                          </w:p>
                          <w:p w:rsidR="00A0097F" w:rsidRDefault="00A0097F" w:rsidP="007636B0">
                            <w:pPr>
                              <w:spacing w:after="40"/>
                            </w:pPr>
                            <w:r>
                              <w:t>Background intakes from other sources (as % of TRV):</w:t>
                            </w:r>
                          </w:p>
                          <w:p w:rsidR="00A0097F" w:rsidRDefault="00A0097F" w:rsidP="007636B0">
                            <w:pPr>
                              <w:spacing w:after="40"/>
                              <w:ind w:left="720"/>
                            </w:pPr>
                            <w:r>
                              <w:t>BI</w:t>
                            </w:r>
                            <w:r w:rsidRPr="002049F5">
                              <w:rPr>
                                <w:vertAlign w:val="subscript"/>
                              </w:rPr>
                              <w:t>O</w:t>
                            </w:r>
                            <w:r>
                              <w:t xml:space="preserve"> = 50% for oral and dermal intakes</w:t>
                            </w:r>
                          </w:p>
                          <w:p w:rsidR="00A0097F" w:rsidRDefault="00A0097F" w:rsidP="007636B0">
                            <w:pPr>
                              <w:spacing w:after="40"/>
                              <w:ind w:left="720"/>
                            </w:pPr>
                            <w:r>
                              <w:t>BIi = 50% for inhalation</w:t>
                            </w:r>
                            <w:r w:rsidDel="00C81411">
                              <w:t xml:space="preserve"> </w:t>
                            </w:r>
                          </w:p>
                          <w:p w:rsidR="00A0097F" w:rsidRDefault="00A0097F" w:rsidP="007636B0">
                            <w:pPr>
                              <w:spacing w:after="40"/>
                            </w:pPr>
                            <w:r>
                              <w:t>Note that background intakes in areas where chlorpyrifos products used need to be considered on a site-specific basis.</w:t>
                            </w:r>
                          </w:p>
                          <w:p w:rsidR="00A0097F" w:rsidRDefault="00A0097F" w:rsidP="007636B0">
                            <w:pPr>
                              <w:spacing w:after="40"/>
                            </w:pPr>
                          </w:p>
                        </w:txbxContent>
                      </wps:txbx>
                      <wps:bodyPr rot="0" vert="horz" wrap="square" lIns="91440" tIns="45720" rIns="91440" bIns="45720" anchor="t" anchorCtr="0" upright="1">
                        <a:noAutofit/>
                      </wps:bodyPr>
                    </wps:wsp>
                  </a:graphicData>
                </a:graphic>
              </wp:inline>
            </w:drawing>
          </mc:Choice>
          <mc:Fallback>
            <w:pict>
              <v:shape id="Text Box 4" o:spid="_x0000_s1034" type="#_x0000_t202" style="width:445.4pt;height:17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" fillcolor="#d8d8d8">
                <v:textbox>
                  <w:txbxContent>
                    <w:p w:rsidR="009C6751" w:rsidRPr="00742163" w:rsidRDefault="009C6751" w:rsidP="007636B0">
                      <w:pPr>
                        <w:spacing w:after="40"/>
                        <w:rPr>
                          <w:b/>
                          <w:u w:val="single"/>
                        </w:rPr>
                      </w:pPr>
                      <w:r w:rsidRPr="00742163">
                        <w:rPr>
                          <w:b/>
                          <w:u w:val="single"/>
                        </w:rPr>
                        <w:t xml:space="preserve">Recommendation for </w:t>
                      </w:r>
                      <w:r>
                        <w:rPr>
                          <w:b/>
                          <w:u w:val="single"/>
                        </w:rPr>
                        <w:t>Chlorpyrifos</w:t>
                      </w:r>
                    </w:p>
                    <w:p w:rsidR="009C6751" w:rsidRDefault="009C6751" w:rsidP="007636B0">
                      <w:pPr>
                        <w:spacing w:after="40"/>
                      </w:pPr>
                      <w:r>
                        <w:t>Oral TRV (TRV</w:t>
                      </w:r>
                      <w:r w:rsidRPr="00A54613">
                        <w:rPr>
                          <w:vertAlign w:val="subscript"/>
                        </w:rPr>
                        <w:t>O</w:t>
                      </w:r>
                      <w:r>
                        <w:t>) = 0.003 mg/kg/day (OCS 2012; NRAAVC 2000; APVMA 2009) for all pathways of exposure</w:t>
                      </w:r>
                    </w:p>
                    <w:p w:rsidR="009C6751" w:rsidRDefault="009C6751" w:rsidP="007636B0">
                      <w:pPr>
                        <w:spacing w:after="40"/>
                      </w:pPr>
                      <w:r>
                        <w:t>Dermal absorption factor (DAF) = 0.03 (or 3%) (APVMA 2009)</w:t>
                      </w:r>
                    </w:p>
                    <w:p w:rsidR="009C6751" w:rsidRDefault="009C6751" w:rsidP="007636B0">
                      <w:pPr>
                        <w:spacing w:after="40"/>
                      </w:pPr>
                      <w:r>
                        <w:t>Background intakes from other sources (as % of TRV):</w:t>
                      </w:r>
                    </w:p>
                    <w:p w:rsidR="009C6751" w:rsidRDefault="009C6751" w:rsidP="007636B0">
                      <w:pPr>
                        <w:spacing w:after="40"/>
                        <w:ind w:left="720"/>
                      </w:pPr>
                      <w:r>
                        <w:t>BI</w:t>
                      </w:r>
                      <w:r w:rsidRPr="002049F5">
                        <w:rPr>
                          <w:vertAlign w:val="subscript"/>
                        </w:rPr>
                        <w:t>O</w:t>
                      </w:r>
                      <w:r>
                        <w:t xml:space="preserve"> = 50% for oral and dermal intakes</w:t>
                      </w:r>
                    </w:p>
                    <w:p w:rsidR="009C6751" w:rsidRDefault="009C6751" w:rsidP="007636B0">
                      <w:pPr>
                        <w:spacing w:after="40"/>
                        <w:ind w:left="720"/>
                      </w:pPr>
                      <w:r>
                        <w:t>BIi = 50% for inhalation</w:t>
                      </w:r>
                      <w:r w:rsidDel="00C81411">
                        <w:t xml:space="preserve"> </w:t>
                      </w:r>
                    </w:p>
                    <w:p w:rsidR="009C6751" w:rsidRDefault="009C6751" w:rsidP="007636B0">
                      <w:pPr>
                        <w:spacing w:after="40"/>
                      </w:pPr>
                      <w:r>
                        <w:t>Note that background intakes in areas where chlorpyrifos products used need to be considered on a site-specific basis.</w:t>
                      </w:r>
                    </w:p>
                    <w:p w:rsidR="009C6751" w:rsidRDefault="009C6751" w:rsidP="007636B0">
                      <w:pPr>
                        <w:spacing w:after="40"/>
                      </w:pPr>
                    </w:p>
                  </w:txbxContent>
                </v:textbox>
                <w10:anchorlock/>
              </v:shape>
            </w:pict>
          </mc:Fallback>
        </mc:AlternateContent>
      </w:r>
    </w:p>
    <w:p w:rsidR="007636B0" w:rsidRDefault="007636B0" w:rsidP="007636B0">
      <w:pPr>
        <w:pStyle w:val="Heading2"/>
        <w:tabs>
          <w:tab w:val="clear" w:pos="1209"/>
        </w:tabs>
      </w:pPr>
      <w:bookmarkStart w:id="92" w:name="_Toc351714332"/>
      <w:r>
        <w:t>Calculated HILs</w:t>
      </w:r>
      <w:bookmarkEnd w:id="92"/>
    </w:p>
    <w:p w:rsidR="007636B0" w:rsidRDefault="007636B0" w:rsidP="007636B0">
      <w:r>
        <w:t>On the basis of the above, the following HILs have been derived for chlorpyrifos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287"/>
        <w:gridCol w:w="1445"/>
        <w:gridCol w:w="1517"/>
        <w:gridCol w:w="1553"/>
        <w:gridCol w:w="1392"/>
      </w:tblGrid>
      <w:tr w:rsidR="007636B0" w:rsidRPr="00F548B5" w:rsidTr="00B45DD6">
        <w:tc>
          <w:tcPr>
            <w:tcW w:w="1639" w:type="dxa"/>
            <w:vMerge w:val="restart"/>
            <w:shd w:val="clear" w:color="auto" w:fill="C6D9F1" w:themeFill="text2" w:themeFillTint="33"/>
          </w:tcPr>
          <w:p w:rsidR="007636B0" w:rsidRPr="00F548B5" w:rsidRDefault="007636B0" w:rsidP="00B45DD6">
            <w:pPr>
              <w:spacing w:after="40"/>
              <w:rPr>
                <w:b/>
                <w:szCs w:val="22"/>
              </w:rPr>
            </w:pPr>
            <w:r w:rsidRPr="00F548B5">
              <w:rPr>
                <w:b/>
                <w:szCs w:val="22"/>
              </w:rPr>
              <w:t>HIL Scenario</w:t>
            </w:r>
          </w:p>
        </w:tc>
        <w:tc>
          <w:tcPr>
            <w:tcW w:w="1287" w:type="dxa"/>
            <w:vMerge w:val="restart"/>
            <w:shd w:val="clear" w:color="auto" w:fill="C6D9F1" w:themeFill="text2" w:themeFillTint="33"/>
          </w:tcPr>
          <w:p w:rsidR="007636B0" w:rsidRPr="00F548B5" w:rsidRDefault="007636B0" w:rsidP="00B45DD6">
            <w:pPr>
              <w:spacing w:after="40"/>
              <w:jc w:val="center"/>
              <w:rPr>
                <w:b/>
                <w:szCs w:val="22"/>
              </w:rPr>
            </w:pPr>
            <w:r w:rsidRPr="00F548B5">
              <w:rPr>
                <w:b/>
                <w:szCs w:val="22"/>
              </w:rPr>
              <w:t>HIL (mg/kg)</w:t>
            </w:r>
          </w:p>
        </w:tc>
        <w:tc>
          <w:tcPr>
            <w:tcW w:w="5907" w:type="dxa"/>
            <w:gridSpan w:val="4"/>
            <w:shd w:val="clear" w:color="auto" w:fill="C6D9F1" w:themeFill="text2" w:themeFillTint="33"/>
          </w:tcPr>
          <w:p w:rsidR="007636B0" w:rsidRPr="00F548B5" w:rsidRDefault="007636B0" w:rsidP="00B45DD6">
            <w:pPr>
              <w:spacing w:after="40"/>
              <w:jc w:val="center"/>
              <w:rPr>
                <w:b/>
                <w:szCs w:val="22"/>
              </w:rPr>
            </w:pPr>
            <w:r w:rsidRPr="00F548B5">
              <w:rPr>
                <w:b/>
                <w:szCs w:val="22"/>
              </w:rPr>
              <w:t>Percentage Contribution from Exposure Pathways</w:t>
            </w:r>
          </w:p>
        </w:tc>
      </w:tr>
      <w:tr w:rsidR="007636B0" w:rsidRPr="00F548B5" w:rsidTr="00B45DD6">
        <w:trPr>
          <w:trHeight w:val="427"/>
        </w:trPr>
        <w:tc>
          <w:tcPr>
            <w:tcW w:w="1639" w:type="dxa"/>
            <w:vMerge/>
            <w:shd w:val="clear" w:color="auto" w:fill="C6D9F1" w:themeFill="text2" w:themeFillTint="33"/>
          </w:tcPr>
          <w:p w:rsidR="007636B0" w:rsidRPr="00F548B5" w:rsidRDefault="007636B0" w:rsidP="00B45DD6">
            <w:pPr>
              <w:spacing w:after="40"/>
              <w:rPr>
                <w:szCs w:val="22"/>
              </w:rPr>
            </w:pPr>
          </w:p>
        </w:tc>
        <w:tc>
          <w:tcPr>
            <w:tcW w:w="1287" w:type="dxa"/>
            <w:vMerge/>
            <w:shd w:val="clear" w:color="auto" w:fill="C6D9F1" w:themeFill="text2" w:themeFillTint="33"/>
          </w:tcPr>
          <w:p w:rsidR="007636B0" w:rsidRPr="00F548B5" w:rsidRDefault="007636B0" w:rsidP="00B45DD6">
            <w:pPr>
              <w:spacing w:after="40"/>
              <w:jc w:val="center"/>
              <w:rPr>
                <w:szCs w:val="22"/>
              </w:rPr>
            </w:pPr>
          </w:p>
        </w:tc>
        <w:tc>
          <w:tcPr>
            <w:tcW w:w="1445" w:type="dxa"/>
            <w:shd w:val="clear" w:color="auto" w:fill="C6D9F1" w:themeFill="text2" w:themeFillTint="33"/>
          </w:tcPr>
          <w:p w:rsidR="007636B0" w:rsidRPr="00F548B5" w:rsidRDefault="007636B0" w:rsidP="00B45DD6">
            <w:pPr>
              <w:spacing w:after="40"/>
              <w:jc w:val="center"/>
              <w:rPr>
                <w:b/>
                <w:szCs w:val="22"/>
              </w:rPr>
            </w:pPr>
            <w:r w:rsidRPr="00F548B5">
              <w:rPr>
                <w:b/>
                <w:szCs w:val="22"/>
              </w:rPr>
              <w:t>Ingestion of Soil/Dust</w:t>
            </w:r>
          </w:p>
        </w:tc>
        <w:tc>
          <w:tcPr>
            <w:tcW w:w="1517" w:type="dxa"/>
            <w:shd w:val="clear" w:color="auto" w:fill="C6D9F1" w:themeFill="text2" w:themeFillTint="33"/>
          </w:tcPr>
          <w:p w:rsidR="007636B0" w:rsidRPr="00F548B5" w:rsidRDefault="007636B0" w:rsidP="00B45DD6">
            <w:pPr>
              <w:spacing w:after="40"/>
              <w:jc w:val="center"/>
              <w:rPr>
                <w:b/>
                <w:szCs w:val="22"/>
              </w:rPr>
            </w:pPr>
            <w:r w:rsidRPr="00F548B5">
              <w:rPr>
                <w:b/>
                <w:szCs w:val="22"/>
              </w:rPr>
              <w:t>Ingestion of Home-grown Produce</w:t>
            </w:r>
          </w:p>
        </w:tc>
        <w:tc>
          <w:tcPr>
            <w:tcW w:w="1553" w:type="dxa"/>
            <w:shd w:val="clear" w:color="auto" w:fill="C6D9F1" w:themeFill="text2" w:themeFillTint="33"/>
          </w:tcPr>
          <w:p w:rsidR="007636B0" w:rsidRPr="00F548B5" w:rsidRDefault="007636B0" w:rsidP="00B45DD6">
            <w:pPr>
              <w:spacing w:after="40"/>
              <w:jc w:val="center"/>
              <w:rPr>
                <w:b/>
                <w:szCs w:val="22"/>
              </w:rPr>
            </w:pPr>
            <w:r w:rsidRPr="00F548B5">
              <w:rPr>
                <w:b/>
                <w:szCs w:val="22"/>
              </w:rPr>
              <w:t>Dermal Absorption of Soil/Dust</w:t>
            </w:r>
          </w:p>
        </w:tc>
        <w:tc>
          <w:tcPr>
            <w:tcW w:w="1392" w:type="dxa"/>
            <w:shd w:val="clear" w:color="auto" w:fill="C6D9F1" w:themeFill="text2" w:themeFillTint="33"/>
          </w:tcPr>
          <w:p w:rsidR="007636B0" w:rsidRPr="00F548B5" w:rsidRDefault="007636B0" w:rsidP="00B45DD6">
            <w:pPr>
              <w:spacing w:after="40"/>
              <w:jc w:val="center"/>
              <w:rPr>
                <w:b/>
                <w:szCs w:val="22"/>
              </w:rPr>
            </w:pPr>
            <w:r w:rsidRPr="00F548B5">
              <w:rPr>
                <w:b/>
                <w:szCs w:val="22"/>
              </w:rPr>
              <w:t>Inhalation (dust)</w:t>
            </w:r>
          </w:p>
        </w:tc>
      </w:tr>
      <w:tr w:rsidR="007636B0" w:rsidRPr="00F548B5" w:rsidTr="00B45DD6">
        <w:tc>
          <w:tcPr>
            <w:tcW w:w="1639" w:type="dxa"/>
          </w:tcPr>
          <w:p w:rsidR="007636B0" w:rsidRPr="00F548B5" w:rsidRDefault="007636B0" w:rsidP="00B45DD6">
            <w:pPr>
              <w:spacing w:after="40"/>
              <w:rPr>
                <w:szCs w:val="22"/>
              </w:rPr>
            </w:pPr>
            <w:r w:rsidRPr="00F548B5">
              <w:rPr>
                <w:szCs w:val="22"/>
              </w:rPr>
              <w:t>Residential A</w:t>
            </w:r>
          </w:p>
        </w:tc>
        <w:tc>
          <w:tcPr>
            <w:tcW w:w="1287" w:type="dxa"/>
            <w:tcMar>
              <w:right w:w="397" w:type="dxa"/>
            </w:tcMar>
          </w:tcPr>
          <w:p w:rsidR="007636B0" w:rsidRPr="00F548B5" w:rsidRDefault="007636B0" w:rsidP="00B45DD6">
            <w:pPr>
              <w:spacing w:after="40"/>
              <w:jc w:val="right"/>
              <w:rPr>
                <w:szCs w:val="22"/>
              </w:rPr>
            </w:pPr>
            <w:r w:rsidRPr="00F548B5">
              <w:rPr>
                <w:szCs w:val="22"/>
              </w:rPr>
              <w:t>160</w:t>
            </w:r>
          </w:p>
        </w:tc>
        <w:tc>
          <w:tcPr>
            <w:tcW w:w="1445" w:type="dxa"/>
          </w:tcPr>
          <w:p w:rsidR="007636B0" w:rsidRPr="00F548B5" w:rsidRDefault="007636B0" w:rsidP="00B45DD6">
            <w:pPr>
              <w:spacing w:after="40"/>
              <w:jc w:val="center"/>
              <w:rPr>
                <w:szCs w:val="22"/>
              </w:rPr>
            </w:pPr>
            <w:r w:rsidRPr="00F548B5">
              <w:rPr>
                <w:szCs w:val="22"/>
              </w:rPr>
              <w:t>72</w:t>
            </w:r>
          </w:p>
        </w:tc>
        <w:tc>
          <w:tcPr>
            <w:tcW w:w="1517" w:type="dxa"/>
          </w:tcPr>
          <w:p w:rsidR="007636B0" w:rsidRPr="00F548B5" w:rsidRDefault="007636B0" w:rsidP="00B45DD6">
            <w:pPr>
              <w:spacing w:after="40"/>
              <w:jc w:val="center"/>
              <w:rPr>
                <w:szCs w:val="22"/>
              </w:rPr>
            </w:pPr>
            <w:r w:rsidRPr="00F548B5">
              <w:rPr>
                <w:szCs w:val="22"/>
              </w:rPr>
              <w:t>--</w:t>
            </w:r>
          </w:p>
        </w:tc>
        <w:tc>
          <w:tcPr>
            <w:tcW w:w="1553" w:type="dxa"/>
          </w:tcPr>
          <w:p w:rsidR="007636B0" w:rsidRPr="00F548B5" w:rsidRDefault="007636B0" w:rsidP="00B45DD6">
            <w:pPr>
              <w:spacing w:after="40"/>
              <w:jc w:val="center"/>
              <w:rPr>
                <w:szCs w:val="22"/>
              </w:rPr>
            </w:pPr>
            <w:r w:rsidRPr="00F548B5">
              <w:rPr>
                <w:szCs w:val="22"/>
              </w:rPr>
              <w:t>28</w:t>
            </w:r>
          </w:p>
        </w:tc>
        <w:tc>
          <w:tcPr>
            <w:tcW w:w="1392" w:type="dxa"/>
          </w:tcPr>
          <w:p w:rsidR="007636B0" w:rsidRPr="00F548B5" w:rsidRDefault="007636B0" w:rsidP="00B45DD6">
            <w:pPr>
              <w:spacing w:after="40"/>
              <w:jc w:val="center"/>
              <w:rPr>
                <w:szCs w:val="22"/>
              </w:rPr>
            </w:pPr>
            <w:r w:rsidRPr="00F548B5">
              <w:rPr>
                <w:szCs w:val="22"/>
              </w:rPr>
              <w:t>&lt;1</w:t>
            </w:r>
          </w:p>
        </w:tc>
      </w:tr>
      <w:tr w:rsidR="007636B0" w:rsidRPr="00F548B5" w:rsidTr="00B45DD6">
        <w:tc>
          <w:tcPr>
            <w:tcW w:w="1639" w:type="dxa"/>
          </w:tcPr>
          <w:p w:rsidR="007636B0" w:rsidRPr="00F548B5" w:rsidRDefault="007636B0" w:rsidP="00B45DD6">
            <w:pPr>
              <w:spacing w:after="40"/>
              <w:rPr>
                <w:szCs w:val="22"/>
              </w:rPr>
            </w:pPr>
            <w:r w:rsidRPr="00F548B5">
              <w:rPr>
                <w:szCs w:val="22"/>
              </w:rPr>
              <w:t>Residential B</w:t>
            </w:r>
          </w:p>
        </w:tc>
        <w:tc>
          <w:tcPr>
            <w:tcW w:w="1287" w:type="dxa"/>
            <w:tcMar>
              <w:right w:w="397" w:type="dxa"/>
            </w:tcMar>
          </w:tcPr>
          <w:p w:rsidR="007636B0" w:rsidRPr="00F548B5" w:rsidRDefault="007636B0" w:rsidP="00B45DD6">
            <w:pPr>
              <w:spacing w:after="40"/>
              <w:jc w:val="right"/>
              <w:rPr>
                <w:szCs w:val="22"/>
              </w:rPr>
            </w:pPr>
            <w:r w:rsidRPr="00F548B5">
              <w:rPr>
                <w:szCs w:val="22"/>
              </w:rPr>
              <w:t>340</w:t>
            </w:r>
          </w:p>
        </w:tc>
        <w:tc>
          <w:tcPr>
            <w:tcW w:w="1445" w:type="dxa"/>
          </w:tcPr>
          <w:p w:rsidR="007636B0" w:rsidRPr="00F548B5" w:rsidRDefault="007636B0" w:rsidP="00B45DD6">
            <w:pPr>
              <w:spacing w:after="40"/>
              <w:jc w:val="center"/>
              <w:rPr>
                <w:szCs w:val="22"/>
              </w:rPr>
            </w:pPr>
            <w:r w:rsidRPr="00F548B5">
              <w:rPr>
                <w:szCs w:val="22"/>
              </w:rPr>
              <w:t>38</w:t>
            </w:r>
          </w:p>
        </w:tc>
        <w:tc>
          <w:tcPr>
            <w:tcW w:w="1517" w:type="dxa"/>
          </w:tcPr>
          <w:p w:rsidR="007636B0" w:rsidRPr="00F548B5" w:rsidRDefault="007636B0" w:rsidP="00B45DD6">
            <w:pPr>
              <w:spacing w:after="40"/>
              <w:jc w:val="center"/>
              <w:rPr>
                <w:szCs w:val="22"/>
              </w:rPr>
            </w:pPr>
            <w:r w:rsidRPr="00F548B5">
              <w:rPr>
                <w:szCs w:val="22"/>
              </w:rPr>
              <w:t>--</w:t>
            </w:r>
          </w:p>
        </w:tc>
        <w:tc>
          <w:tcPr>
            <w:tcW w:w="1553" w:type="dxa"/>
          </w:tcPr>
          <w:p w:rsidR="007636B0" w:rsidRPr="00F548B5" w:rsidRDefault="007636B0" w:rsidP="00B45DD6">
            <w:pPr>
              <w:spacing w:after="40"/>
              <w:jc w:val="center"/>
              <w:rPr>
                <w:szCs w:val="22"/>
              </w:rPr>
            </w:pPr>
            <w:r w:rsidRPr="00F548B5">
              <w:rPr>
                <w:szCs w:val="22"/>
              </w:rPr>
              <w:t>62</w:t>
            </w:r>
          </w:p>
        </w:tc>
        <w:tc>
          <w:tcPr>
            <w:tcW w:w="1392" w:type="dxa"/>
          </w:tcPr>
          <w:p w:rsidR="007636B0" w:rsidRPr="00F548B5" w:rsidRDefault="007636B0" w:rsidP="00B45DD6">
            <w:pPr>
              <w:spacing w:after="40"/>
              <w:jc w:val="center"/>
              <w:rPr>
                <w:szCs w:val="22"/>
              </w:rPr>
            </w:pPr>
            <w:r w:rsidRPr="00F548B5">
              <w:rPr>
                <w:szCs w:val="22"/>
              </w:rPr>
              <w:t>&lt;1</w:t>
            </w:r>
          </w:p>
        </w:tc>
      </w:tr>
      <w:tr w:rsidR="007636B0" w:rsidRPr="00F548B5" w:rsidTr="00B45DD6">
        <w:tc>
          <w:tcPr>
            <w:tcW w:w="1639" w:type="dxa"/>
          </w:tcPr>
          <w:p w:rsidR="007636B0" w:rsidRPr="00F548B5" w:rsidRDefault="007636B0" w:rsidP="00B45DD6">
            <w:pPr>
              <w:spacing w:after="40"/>
              <w:rPr>
                <w:szCs w:val="22"/>
              </w:rPr>
            </w:pPr>
            <w:r w:rsidRPr="00F548B5">
              <w:rPr>
                <w:szCs w:val="22"/>
              </w:rPr>
              <w:t>Recreational C</w:t>
            </w:r>
          </w:p>
        </w:tc>
        <w:tc>
          <w:tcPr>
            <w:tcW w:w="1287" w:type="dxa"/>
            <w:tcMar>
              <w:right w:w="397" w:type="dxa"/>
            </w:tcMar>
          </w:tcPr>
          <w:p w:rsidR="007636B0" w:rsidRPr="00F548B5" w:rsidRDefault="007636B0" w:rsidP="00B45DD6">
            <w:pPr>
              <w:spacing w:after="40"/>
              <w:jc w:val="right"/>
              <w:rPr>
                <w:szCs w:val="22"/>
              </w:rPr>
            </w:pPr>
            <w:r w:rsidRPr="00F548B5">
              <w:rPr>
                <w:szCs w:val="22"/>
              </w:rPr>
              <w:t>250</w:t>
            </w:r>
          </w:p>
        </w:tc>
        <w:tc>
          <w:tcPr>
            <w:tcW w:w="1445" w:type="dxa"/>
          </w:tcPr>
          <w:p w:rsidR="007636B0" w:rsidRPr="00F548B5" w:rsidRDefault="007636B0" w:rsidP="00B45DD6">
            <w:pPr>
              <w:spacing w:after="40"/>
              <w:jc w:val="center"/>
              <w:rPr>
                <w:szCs w:val="22"/>
              </w:rPr>
            </w:pPr>
            <w:r w:rsidRPr="00F548B5">
              <w:rPr>
                <w:szCs w:val="22"/>
              </w:rPr>
              <w:t>55</w:t>
            </w:r>
          </w:p>
        </w:tc>
        <w:tc>
          <w:tcPr>
            <w:tcW w:w="1517" w:type="dxa"/>
          </w:tcPr>
          <w:p w:rsidR="007636B0" w:rsidRPr="00F548B5" w:rsidRDefault="007636B0" w:rsidP="00B45DD6">
            <w:pPr>
              <w:spacing w:after="40"/>
              <w:jc w:val="center"/>
              <w:rPr>
                <w:szCs w:val="22"/>
              </w:rPr>
            </w:pPr>
            <w:r w:rsidRPr="00F548B5">
              <w:rPr>
                <w:szCs w:val="22"/>
              </w:rPr>
              <w:t>--</w:t>
            </w:r>
          </w:p>
        </w:tc>
        <w:tc>
          <w:tcPr>
            <w:tcW w:w="1553" w:type="dxa"/>
          </w:tcPr>
          <w:p w:rsidR="007636B0" w:rsidRPr="00F548B5" w:rsidRDefault="007636B0" w:rsidP="00B45DD6">
            <w:pPr>
              <w:spacing w:after="40"/>
              <w:jc w:val="center"/>
              <w:rPr>
                <w:szCs w:val="22"/>
              </w:rPr>
            </w:pPr>
            <w:r w:rsidRPr="00F548B5">
              <w:rPr>
                <w:szCs w:val="22"/>
              </w:rPr>
              <w:t>45</w:t>
            </w:r>
          </w:p>
        </w:tc>
        <w:tc>
          <w:tcPr>
            <w:tcW w:w="1392" w:type="dxa"/>
          </w:tcPr>
          <w:p w:rsidR="007636B0" w:rsidRPr="00F548B5" w:rsidRDefault="007636B0" w:rsidP="00B45DD6">
            <w:pPr>
              <w:spacing w:after="40"/>
              <w:jc w:val="center"/>
              <w:rPr>
                <w:szCs w:val="22"/>
              </w:rPr>
            </w:pPr>
            <w:r w:rsidRPr="00F548B5">
              <w:rPr>
                <w:szCs w:val="22"/>
              </w:rPr>
              <w:t>&lt;1</w:t>
            </w:r>
          </w:p>
        </w:tc>
      </w:tr>
      <w:tr w:rsidR="007636B0" w:rsidRPr="00F548B5" w:rsidTr="00B45DD6">
        <w:tc>
          <w:tcPr>
            <w:tcW w:w="1639" w:type="dxa"/>
          </w:tcPr>
          <w:p w:rsidR="007636B0" w:rsidRPr="00F548B5" w:rsidRDefault="007636B0" w:rsidP="00B45DD6">
            <w:pPr>
              <w:spacing w:after="40"/>
              <w:rPr>
                <w:szCs w:val="22"/>
              </w:rPr>
            </w:pPr>
            <w:r w:rsidRPr="00F548B5">
              <w:rPr>
                <w:szCs w:val="22"/>
              </w:rPr>
              <w:t>Commercial D</w:t>
            </w:r>
          </w:p>
        </w:tc>
        <w:tc>
          <w:tcPr>
            <w:tcW w:w="1287" w:type="dxa"/>
            <w:tcMar>
              <w:right w:w="397" w:type="dxa"/>
            </w:tcMar>
          </w:tcPr>
          <w:p w:rsidR="007636B0" w:rsidRPr="00F548B5" w:rsidRDefault="007636B0" w:rsidP="00B45DD6">
            <w:pPr>
              <w:spacing w:after="40"/>
              <w:jc w:val="right"/>
              <w:rPr>
                <w:szCs w:val="22"/>
              </w:rPr>
            </w:pPr>
            <w:r w:rsidRPr="00F548B5">
              <w:rPr>
                <w:szCs w:val="22"/>
              </w:rPr>
              <w:t>2000</w:t>
            </w:r>
          </w:p>
        </w:tc>
        <w:tc>
          <w:tcPr>
            <w:tcW w:w="1445" w:type="dxa"/>
          </w:tcPr>
          <w:p w:rsidR="007636B0" w:rsidRPr="00F548B5" w:rsidRDefault="007636B0" w:rsidP="00B45DD6">
            <w:pPr>
              <w:spacing w:after="40"/>
              <w:jc w:val="center"/>
              <w:rPr>
                <w:szCs w:val="22"/>
              </w:rPr>
            </w:pPr>
            <w:r w:rsidRPr="00F548B5">
              <w:rPr>
                <w:szCs w:val="22"/>
              </w:rPr>
              <w:t>31</w:t>
            </w:r>
          </w:p>
        </w:tc>
        <w:tc>
          <w:tcPr>
            <w:tcW w:w="1517" w:type="dxa"/>
          </w:tcPr>
          <w:p w:rsidR="007636B0" w:rsidRPr="00F548B5" w:rsidRDefault="007636B0" w:rsidP="00B45DD6">
            <w:pPr>
              <w:spacing w:after="40"/>
              <w:jc w:val="center"/>
              <w:rPr>
                <w:szCs w:val="22"/>
              </w:rPr>
            </w:pPr>
            <w:r w:rsidRPr="00F548B5">
              <w:rPr>
                <w:szCs w:val="22"/>
              </w:rPr>
              <w:t>--</w:t>
            </w:r>
          </w:p>
        </w:tc>
        <w:tc>
          <w:tcPr>
            <w:tcW w:w="1553" w:type="dxa"/>
          </w:tcPr>
          <w:p w:rsidR="007636B0" w:rsidRPr="00F548B5" w:rsidRDefault="007636B0" w:rsidP="00B45DD6">
            <w:pPr>
              <w:spacing w:after="40"/>
              <w:jc w:val="center"/>
              <w:rPr>
                <w:szCs w:val="22"/>
              </w:rPr>
            </w:pPr>
            <w:r w:rsidRPr="00F548B5">
              <w:rPr>
                <w:szCs w:val="22"/>
              </w:rPr>
              <w:t>69</w:t>
            </w:r>
          </w:p>
        </w:tc>
        <w:tc>
          <w:tcPr>
            <w:tcW w:w="1392" w:type="dxa"/>
          </w:tcPr>
          <w:p w:rsidR="007636B0" w:rsidRPr="00F548B5" w:rsidRDefault="007636B0" w:rsidP="00B45DD6">
            <w:pPr>
              <w:spacing w:after="40"/>
              <w:jc w:val="center"/>
              <w:rPr>
                <w:szCs w:val="22"/>
              </w:rPr>
            </w:pPr>
            <w:r w:rsidRPr="00F548B5">
              <w:rPr>
                <w:szCs w:val="22"/>
              </w:rPr>
              <w:t>&lt;1</w:t>
            </w:r>
          </w:p>
        </w:tc>
      </w:tr>
    </w:tbl>
    <w:p w:rsidR="007636B0" w:rsidRPr="001310F2" w:rsidRDefault="007636B0" w:rsidP="007636B0">
      <w:pPr>
        <w:rPr>
          <w:sz w:val="18"/>
          <w:szCs w:val="18"/>
        </w:rPr>
      </w:pPr>
      <w:r w:rsidRPr="001310F2">
        <w:rPr>
          <w:sz w:val="18"/>
          <w:szCs w:val="18"/>
        </w:rPr>
        <w:t>-- Pathway not included in derivation of HIL</w:t>
      </w:r>
    </w:p>
    <w:p w:rsidR="007636B0" w:rsidRDefault="007636B0" w:rsidP="00521CD8">
      <w:pPr>
        <w:pStyle w:val="Heading2"/>
        <w:pageBreakBefore/>
        <w:tabs>
          <w:tab w:val="clear" w:pos="1209"/>
        </w:tabs>
      </w:pPr>
      <w:bookmarkStart w:id="93" w:name="_Toc351714333"/>
      <w:r>
        <w:lastRenderedPageBreak/>
        <w:t>References</w:t>
      </w:r>
      <w:bookmarkEnd w:id="93"/>
    </w:p>
    <w:p w:rsidR="007636B0" w:rsidRPr="001310F2" w:rsidRDefault="007636B0" w:rsidP="007636B0">
      <w:pPr>
        <w:pStyle w:val="StyletextLeft0cmHanging1cm"/>
      </w:pPr>
      <w:r w:rsidRPr="001310F2">
        <w:t>APVMA 2009, Chlorpyrifos, Preliminary Review Findings Report on Additional Residues Data, a reconsideration of the active constituent approvals of chlorpyrifos, the registration of products containing chlorpyrifos and their associated labels, APVMA, August 2009.</w:t>
      </w:r>
    </w:p>
    <w:p w:rsidR="007636B0" w:rsidRPr="001310F2" w:rsidRDefault="007636B0" w:rsidP="007636B0">
      <w:pPr>
        <w:pStyle w:val="StyletextLeft0cmHanging1cm"/>
      </w:pPr>
      <w:r w:rsidRPr="001310F2">
        <w:t>ATSDR 1997, Toxicological profile for Chlorpyrifos, Agency for Toxic Substances and Disease Registry (ATSDR), September 1997.</w:t>
      </w:r>
    </w:p>
    <w:p w:rsidR="007636B0" w:rsidRPr="001310F2" w:rsidRDefault="007636B0" w:rsidP="007636B0">
      <w:pPr>
        <w:pStyle w:val="StyletextLeft0cmHanging1cm"/>
        <w:rPr>
          <w:rFonts w:cs="Arial"/>
        </w:rPr>
      </w:pPr>
      <w:r w:rsidRPr="001310F2">
        <w:rPr>
          <w:rFonts w:cs="Arial"/>
        </w:rPr>
        <w:t>Baskaran, S, Kookana, RS, &amp; Naidu, R 1999, ‘</w:t>
      </w:r>
      <w:r w:rsidRPr="001310F2">
        <w:rPr>
          <w:rFonts w:cs="Arial"/>
          <w:bCs/>
        </w:rPr>
        <w:t>Degradation of bifenthrin, chlorpyrifos and imidacloprid in soil and bedding materials at termiticidal application rates’,</w:t>
      </w:r>
      <w:r w:rsidRPr="001310F2">
        <w:rPr>
          <w:rFonts w:cs="Arial"/>
        </w:rPr>
        <w:t xml:space="preserve"> Pesticide Sciences, vol. 55, pp. 1222</w:t>
      </w:r>
      <w:r w:rsidRPr="001310F2">
        <w:rPr>
          <w:rFonts w:cs="Arial"/>
        </w:rPr>
        <w:sym w:font="Symbol" w:char="F02D"/>
      </w:r>
      <w:r w:rsidRPr="001310F2">
        <w:rPr>
          <w:rFonts w:cs="Arial"/>
        </w:rPr>
        <w:t>1228.</w:t>
      </w:r>
    </w:p>
    <w:p w:rsidR="007636B0" w:rsidRPr="001310F2" w:rsidRDefault="007636B0" w:rsidP="007636B0">
      <w:pPr>
        <w:pStyle w:val="StyletextLeft0cmHanging1cm"/>
        <w:rPr>
          <w:rFonts w:cs="Arial"/>
        </w:rPr>
      </w:pPr>
      <w:r w:rsidRPr="001310F2">
        <w:rPr>
          <w:lang w:val="en-US"/>
        </w:rPr>
        <w:t xml:space="preserve">Beard, J, Westley-Wise, V, &amp; Sullivan, G 1995, ‘Exposure to pesticides in ambient </w:t>
      </w:r>
      <w:r w:rsidR="00E80517">
        <w:rPr>
          <w:lang w:val="en-US"/>
        </w:rPr>
        <w:t xml:space="preserve">  </w:t>
      </w:r>
      <w:r w:rsidRPr="001310F2">
        <w:rPr>
          <w:lang w:val="en-US"/>
        </w:rPr>
        <w:t xml:space="preserve">air’, </w:t>
      </w:r>
      <w:r w:rsidRPr="001310F2">
        <w:rPr>
          <w:iCs/>
          <w:lang w:val="en-US"/>
        </w:rPr>
        <w:t>Australian Journal of Public Health</w:t>
      </w:r>
      <w:r w:rsidRPr="001310F2">
        <w:rPr>
          <w:lang w:val="en-US"/>
        </w:rPr>
        <w:t>, vol.19, pp. 357</w:t>
      </w:r>
      <w:r w:rsidRPr="001310F2">
        <w:rPr>
          <w:lang w:val="en-US"/>
        </w:rPr>
        <w:sym w:font="Symbol" w:char="F02D"/>
      </w:r>
      <w:r w:rsidRPr="001310F2">
        <w:rPr>
          <w:lang w:val="en-US"/>
        </w:rPr>
        <w:t>362.</w:t>
      </w:r>
    </w:p>
    <w:p w:rsidR="007636B0" w:rsidRPr="001310F2" w:rsidRDefault="007636B0" w:rsidP="007636B0">
      <w:pPr>
        <w:pStyle w:val="StyletextLeft0cmHanging1cm"/>
      </w:pPr>
      <w:r w:rsidRPr="001310F2">
        <w:t xml:space="preserve">EA 2001, Air toxics and indoor air quality in Australia, State of knowledge report, Environment Australia, 2001, available from </w:t>
      </w:r>
      <w:hyperlink r:id="rId39" w:history="1">
        <w:r w:rsidRPr="001310F2">
          <w:rPr>
            <w:rStyle w:val="Hyperlink"/>
            <w:szCs w:val="22"/>
          </w:rPr>
          <w:t>http://www.environment.gov.au/atmosphere/airquality/publications/sok/chapter7.html</w:t>
        </w:r>
      </w:hyperlink>
      <w:r w:rsidRPr="001310F2">
        <w:t>.</w:t>
      </w:r>
    </w:p>
    <w:p w:rsidR="007636B0" w:rsidRPr="001310F2" w:rsidRDefault="007636B0" w:rsidP="007636B0">
      <w:pPr>
        <w:pStyle w:val="StyletextLeft0cmHanging1cm"/>
        <w:rPr>
          <w:lang w:eastAsia="en-US"/>
        </w:rPr>
      </w:pPr>
      <w:r w:rsidRPr="001310F2">
        <w:rPr>
          <w:lang w:eastAsia="en-US"/>
        </w:rPr>
        <w:t>FSANZ  2011, The 23</w:t>
      </w:r>
      <w:r w:rsidRPr="001310F2">
        <w:rPr>
          <w:vertAlign w:val="superscript"/>
          <w:lang w:eastAsia="en-US"/>
        </w:rPr>
        <w:t>rd</w:t>
      </w:r>
      <w:r w:rsidRPr="001310F2">
        <w:rPr>
          <w:lang w:eastAsia="en-US"/>
        </w:rPr>
        <w:t xml:space="preserve"> Australian Total Diet Study, Food Standards Australia and New Zealand.</w:t>
      </w:r>
    </w:p>
    <w:p w:rsidR="007636B0" w:rsidRPr="001310F2" w:rsidRDefault="007636B0" w:rsidP="007636B0">
      <w:pPr>
        <w:pStyle w:val="StyletextLeft0cmHanging1cm"/>
      </w:pPr>
      <w:r w:rsidRPr="001310F2">
        <w:t xml:space="preserve">JMPR 1972, Chlorpyrifos, WHO Pesticides Residues Series 2, available from </w:t>
      </w:r>
      <w:hyperlink r:id="rId40" w:history="1">
        <w:r w:rsidRPr="001310F2">
          <w:rPr>
            <w:rStyle w:val="Hyperlink"/>
            <w:szCs w:val="22"/>
          </w:rPr>
          <w:t>http://www.inchem.org/documents/jmpr/jmpmono/v072pr10.htm</w:t>
        </w:r>
      </w:hyperlink>
      <w:r w:rsidRPr="001310F2">
        <w:t>.</w:t>
      </w:r>
    </w:p>
    <w:p w:rsidR="007636B0" w:rsidRPr="001310F2" w:rsidRDefault="007636B0" w:rsidP="007636B0">
      <w:pPr>
        <w:pStyle w:val="StyletextLeft0cmHanging1cm"/>
        <w:rPr>
          <w:lang w:eastAsia="en-US"/>
        </w:rPr>
      </w:pPr>
      <w:r w:rsidRPr="001310F2">
        <w:rPr>
          <w:lang w:eastAsia="en-US"/>
        </w:rPr>
        <w:t>JMPR 1983, FAO/WHO (1983), Pesticide residues in food — 1982 evaluations, World Health Organization, Joint FAO/WHO Meeting on Pesticide Residues, (FAO Plant Production and Protection Paper 49), Geneva.</w:t>
      </w:r>
    </w:p>
    <w:p w:rsidR="007636B0" w:rsidRPr="001310F2" w:rsidRDefault="007636B0" w:rsidP="007636B0">
      <w:pPr>
        <w:pStyle w:val="StyletextLeft0cmHanging1cm"/>
        <w:rPr>
          <w:lang w:eastAsia="en-US"/>
        </w:rPr>
      </w:pPr>
      <w:r w:rsidRPr="001310F2">
        <w:rPr>
          <w:lang w:eastAsia="en-US"/>
        </w:rPr>
        <w:t>JMPR 2000, FAO/WHO (2000), Pesticide residues in food — 1999 evaluations, Part II — Toxicological, World Health Organization, Joint FAO/WHO Meeting on Pesticide Residues, (WHO/PCS/00.4), Geneva.</w:t>
      </w:r>
    </w:p>
    <w:p w:rsidR="007636B0" w:rsidRPr="001310F2" w:rsidRDefault="007636B0" w:rsidP="007636B0">
      <w:pPr>
        <w:pStyle w:val="StyletextLeft0cmHanging1cm"/>
      </w:pPr>
      <w:r w:rsidRPr="001310F2">
        <w:t>NEPC 1999, Schedule B (7a), Guideline on Health-Based Investigation Levels, National Environment Protection (Assessment of Site Contamination) Measure, National Environment Protection Council, Australia.</w:t>
      </w:r>
    </w:p>
    <w:p w:rsidR="007636B0" w:rsidRPr="001310F2" w:rsidRDefault="007636B0" w:rsidP="007636B0">
      <w:pPr>
        <w:pStyle w:val="StyletextLeft0cmHanging1cm"/>
        <w:rPr>
          <w:noProof/>
        </w:rPr>
      </w:pPr>
      <w:r w:rsidRPr="001310F2">
        <w:t xml:space="preserve">NHMRC 2011, </w:t>
      </w:r>
      <w:r w:rsidRPr="001310F2">
        <w:rPr>
          <w:iCs/>
        </w:rPr>
        <w:t>National water quality management strategy, Australian drinking water guidelines</w:t>
      </w:r>
      <w:r w:rsidRPr="001310F2">
        <w:t>, National Health and Medical Research Council, Australia</w:t>
      </w:r>
      <w:r w:rsidRPr="001310F2">
        <w:rPr>
          <w:noProof/>
        </w:rPr>
        <w:t>.</w:t>
      </w:r>
    </w:p>
    <w:p w:rsidR="007636B0" w:rsidRPr="001310F2" w:rsidRDefault="007636B0" w:rsidP="007636B0">
      <w:pPr>
        <w:pStyle w:val="StyletextLeft0cmHanging1cm"/>
        <w:rPr>
          <w:rFonts w:cs="Arial"/>
          <w:noProof/>
        </w:rPr>
      </w:pPr>
      <w:r w:rsidRPr="001310F2">
        <w:rPr>
          <w:rFonts w:cs="Arial"/>
        </w:rPr>
        <w:t xml:space="preserve">NRAAVC 2000, </w:t>
      </w:r>
      <w:r w:rsidRPr="001310F2">
        <w:rPr>
          <w:rFonts w:cs="Arial"/>
          <w:iCs/>
        </w:rPr>
        <w:t xml:space="preserve">The NRA Review of Chlorpyrifos, vol. 1, NRA Review Series 00.5, </w:t>
      </w:r>
      <w:r w:rsidRPr="001310F2">
        <w:rPr>
          <w:rFonts w:cs="Arial"/>
        </w:rPr>
        <w:t>Canberra, Australia.</w:t>
      </w:r>
    </w:p>
    <w:p w:rsidR="007636B0" w:rsidRPr="001310F2" w:rsidRDefault="007636B0" w:rsidP="007636B0">
      <w:pPr>
        <w:pStyle w:val="StyletextLeft0cmHanging1cm"/>
        <w:rPr>
          <w:rFonts w:cs="Arial"/>
          <w:noProof/>
        </w:rPr>
      </w:pPr>
      <w:r w:rsidRPr="001310F2">
        <w:rPr>
          <w:rFonts w:cs="Arial"/>
          <w:noProof/>
        </w:rPr>
        <w:t xml:space="preserve">OCS 2012, ADI List, Acceptable Daily Intakes for Agricultural and Veterinary Chemicals, current to 31 March 2012, Australian Government, Department of Health and Ageing, Office of Chemical Safety (OCS), available from: </w:t>
      </w:r>
      <w:r w:rsidRPr="001310F2">
        <w:rPr>
          <w:rFonts w:cs="Arial"/>
        </w:rPr>
        <w:t>http://www.health.gov.au/internet/main/publishing.nsf/content/E8F4D2F95D616584CA2573D700770C2A/$File/ADI-apr12.pdf.</w:t>
      </w:r>
    </w:p>
    <w:p w:rsidR="007636B0" w:rsidRPr="001310F2" w:rsidRDefault="007636B0" w:rsidP="007636B0">
      <w:pPr>
        <w:pStyle w:val="StyletextLeft0cmHanging1cm"/>
        <w:rPr>
          <w:rFonts w:cs="Arial"/>
          <w:noProof/>
        </w:rPr>
      </w:pPr>
      <w:r w:rsidRPr="001310F2">
        <w:rPr>
          <w:rStyle w:val="HTMLCode"/>
          <w:rFonts w:ascii="Book Antiqua" w:eastAsia="Verdana" w:hAnsi="Book Antiqua" w:cs="Arial"/>
          <w:sz w:val="22"/>
          <w:szCs w:val="22"/>
        </w:rPr>
        <w:t xml:space="preserve">Tomlin, CDS (ed) 2003, The e-Pesticide Manual: a world compendium </w:t>
      </w:r>
      <w:r w:rsidRPr="001310F2">
        <w:rPr>
          <w:rStyle w:val="HTMLCode"/>
          <w:rFonts w:ascii="Book Antiqua" w:eastAsia="Verdana" w:hAnsi="Book Antiqua" w:cs="Arial"/>
          <w:sz w:val="22"/>
          <w:szCs w:val="22"/>
        </w:rPr>
        <w:sym w:font="Symbol" w:char="F02D"/>
      </w:r>
      <w:r w:rsidRPr="001310F2">
        <w:rPr>
          <w:rStyle w:val="HTMLCode"/>
          <w:rFonts w:ascii="Book Antiqua" w:eastAsia="Verdana" w:hAnsi="Book Antiqua" w:cs="Arial"/>
          <w:sz w:val="22"/>
          <w:szCs w:val="22"/>
        </w:rPr>
        <w:t xml:space="preserve"> Chlorpyrifos, 13th edn, PC CD-ROM, Version 3.0, 2003</w:t>
      </w:r>
      <w:r w:rsidRPr="001310F2">
        <w:rPr>
          <w:rStyle w:val="HTMLCode"/>
          <w:rFonts w:ascii="Book Antiqua" w:eastAsia="Verdana" w:hAnsi="Book Antiqua" w:cs="Arial"/>
          <w:sz w:val="22"/>
          <w:szCs w:val="22"/>
        </w:rPr>
        <w:sym w:font="Symbol" w:char="F02D"/>
      </w:r>
      <w:r w:rsidRPr="001310F2">
        <w:rPr>
          <w:rStyle w:val="HTMLCode"/>
          <w:rFonts w:ascii="Book Antiqua" w:eastAsia="Verdana" w:hAnsi="Book Antiqua" w:cs="Arial"/>
          <w:sz w:val="22"/>
          <w:szCs w:val="22"/>
        </w:rPr>
        <w:t>04, British Crop Protection Council, Surrey, UK.</w:t>
      </w:r>
    </w:p>
    <w:p w:rsidR="007636B0" w:rsidRPr="001310F2" w:rsidRDefault="007636B0" w:rsidP="007636B0">
      <w:pPr>
        <w:pStyle w:val="StyletextLeft0cmHanging1cm"/>
      </w:pPr>
      <w:r w:rsidRPr="001310F2">
        <w:t xml:space="preserve">US EPA (IRIS 2012), data and information available from the Integrated Risk Information System, an online database, available from </w:t>
      </w:r>
      <w:hyperlink r:id="rId41" w:history="1">
        <w:r w:rsidRPr="001310F2">
          <w:rPr>
            <w:rStyle w:val="Hyperlink"/>
            <w:szCs w:val="22"/>
          </w:rPr>
          <w:t>http://www.epa.gov/iris/</w:t>
        </w:r>
      </w:hyperlink>
      <w:r w:rsidRPr="001310F2">
        <w:t>.</w:t>
      </w:r>
    </w:p>
    <w:p w:rsidR="007636B0" w:rsidRPr="001310F2" w:rsidRDefault="007636B0" w:rsidP="007636B0">
      <w:pPr>
        <w:pStyle w:val="StyletextLeft0cmHanging1cm"/>
        <w:rPr>
          <w:rFonts w:cs="Arial"/>
        </w:rPr>
      </w:pPr>
      <w:r w:rsidRPr="001310F2">
        <w:lastRenderedPageBreak/>
        <w:t xml:space="preserve">Taylor, S &amp; Di Marco, P 2003, ‘Health-Based Investigation Level of Chlorpyrifos’, presented in proceedings of the Fifth </w:t>
      </w:r>
      <w:r w:rsidRPr="001310F2">
        <w:rPr>
          <w:rFonts w:cs="Arial"/>
        </w:rPr>
        <w:t>National Workshop on the Assessment of Site Contamination, 2003.</w:t>
      </w:r>
    </w:p>
    <w:p w:rsidR="007636B0" w:rsidRPr="001310F2" w:rsidRDefault="007636B0" w:rsidP="007636B0">
      <w:pPr>
        <w:pStyle w:val="StyletextLeft0cmHanging1cm"/>
      </w:pPr>
      <w:r w:rsidRPr="001310F2">
        <w:rPr>
          <w:rFonts w:cs="Arial"/>
        </w:rPr>
        <w:t xml:space="preserve">WHO 2004, </w:t>
      </w:r>
      <w:r w:rsidRPr="001310F2">
        <w:rPr>
          <w:rFonts w:cs="Arial"/>
          <w:iCs/>
        </w:rPr>
        <w:t xml:space="preserve">Chlorpyrifos in Drinking Water, Background Document for Development of WHO Drinking Water Quality, </w:t>
      </w:r>
      <w:r w:rsidRPr="001310F2">
        <w:rPr>
          <w:rFonts w:cs="Arial"/>
        </w:rPr>
        <w:t>World Health Organization, Geneva.</w:t>
      </w:r>
      <w:r w:rsidRPr="001310F2">
        <w:t xml:space="preserve"> </w:t>
      </w:r>
    </w:p>
    <w:p w:rsidR="007636B0" w:rsidRPr="001310F2" w:rsidRDefault="007636B0" w:rsidP="007636B0">
      <w:pPr>
        <w:pStyle w:val="StyletextLeft0cmHanging1cm"/>
      </w:pPr>
      <w:r w:rsidRPr="001310F2">
        <w:t>WHO 2011, Guidelines for drinking-water quality, 4</w:t>
      </w:r>
      <w:r w:rsidRPr="001310F2">
        <w:rPr>
          <w:vertAlign w:val="superscript"/>
        </w:rPr>
        <w:t>th</w:t>
      </w:r>
      <w:r w:rsidRPr="001310F2">
        <w:t xml:space="preserve"> edn, World Health Organization, Geneva</w:t>
      </w:r>
      <w:r>
        <w:t>,</w:t>
      </w:r>
      <w:r w:rsidRPr="001310F2">
        <w:t xml:space="preserve"> available from </w:t>
      </w:r>
      <w:hyperlink r:id="rId42" w:history="1">
        <w:r w:rsidRPr="001310F2">
          <w:rPr>
            <w:rStyle w:val="Hyperlink"/>
            <w:szCs w:val="22"/>
          </w:rPr>
          <w:t>http://www.who.int/water_sanitation_health/dwq/chemicals/en/index.html</w:t>
        </w:r>
      </w:hyperlink>
      <w:r w:rsidRPr="001310F2">
        <w:t>.</w:t>
      </w:r>
    </w:p>
    <w:p w:rsidR="007636B0" w:rsidRPr="001310F2" w:rsidRDefault="007636B0" w:rsidP="007636B0">
      <w:pPr>
        <w:pStyle w:val="StyletextLeft0cmHanging1cm"/>
      </w:pPr>
    </w:p>
    <w:p w:rsidR="007636B0" w:rsidRDefault="007636B0" w:rsidP="007636B0">
      <w:pPr>
        <w:pStyle w:val="Heading1"/>
        <w:tabs>
          <w:tab w:val="clear" w:pos="1209"/>
          <w:tab w:val="num" w:pos="720"/>
        </w:tabs>
      </w:pPr>
      <w:bookmarkStart w:id="94" w:name="_Toc351714334"/>
      <w:r>
        <w:lastRenderedPageBreak/>
        <w:t>Bifenthrin</w:t>
      </w:r>
      <w:bookmarkEnd w:id="94"/>
    </w:p>
    <w:p w:rsidR="007636B0" w:rsidRDefault="007636B0" w:rsidP="007636B0">
      <w:pPr>
        <w:pStyle w:val="Heading2"/>
        <w:tabs>
          <w:tab w:val="clear" w:pos="1209"/>
        </w:tabs>
      </w:pPr>
      <w:bookmarkStart w:id="95" w:name="_Toc351714335"/>
      <w:r>
        <w:t>General</w:t>
      </w:r>
      <w:bookmarkEnd w:id="95"/>
    </w:p>
    <w:p w:rsidR="007636B0" w:rsidRDefault="007636B0" w:rsidP="007636B0">
      <w:r>
        <w:t>Several comprehensive reviews of bifenthrin in the environment and its toxicity to humans are available and should be consulted for more detailed information not presented in this summary (ATSDR 2003; US EPA 1999; Fecko 1999; Taylor &amp; Di Marco 2003). The following provides a summary of the key aspects of bifenthrin that are relevant to the derivation of a soil HIL.</w:t>
      </w:r>
    </w:p>
    <w:p w:rsidR="0021528E" w:rsidRDefault="0021528E" w:rsidP="007636B0"/>
    <w:p w:rsidR="007636B0" w:rsidRDefault="007636B0" w:rsidP="007636B0">
      <w:r w:rsidRPr="00190304">
        <w:t xml:space="preserve">Bifenthrin is the common name for the compound (2-methyl-1, 1-biphenyl-3-y1)-methyl-3-(2-chloro-3,3,3-trifluoro-1-propenyl)-2,2-dimethylcyclopropanecarboxylate. It is referred to as a </w:t>
      </w:r>
      <w:r>
        <w:t>‘</w:t>
      </w:r>
      <w:r w:rsidRPr="00190304">
        <w:t>third generation</w:t>
      </w:r>
      <w:r>
        <w:t>’</w:t>
      </w:r>
      <w:r w:rsidRPr="00190304">
        <w:t xml:space="preserve"> synthetic pyrethroid insecticide and is known to be more stable and persistent in the environment and have a greater insecticidal activity than previously synthesized pyrethroid compounds (Taylor </w:t>
      </w:r>
      <w:r>
        <w:t>&amp;</w:t>
      </w:r>
      <w:r w:rsidRPr="00190304">
        <w:t xml:space="preserve"> Di Marco 2003). Pure bifenthrin is a crystalline or waxy solid which is off-white to pale tan in colour.</w:t>
      </w:r>
    </w:p>
    <w:p w:rsidR="0021528E" w:rsidRPr="00190304" w:rsidRDefault="0021528E" w:rsidP="007636B0"/>
    <w:p w:rsidR="007636B0" w:rsidRDefault="007636B0" w:rsidP="007636B0">
      <w:r w:rsidRPr="00190304">
        <w:t xml:space="preserve">Bifenthrin is used in the agricultural industry to control insects in a number of crops and to protect stored grains. It is also used in domestic and commercial settings as a barrier to repel or kill insects such as termites (Taylor </w:t>
      </w:r>
      <w:r>
        <w:t>&amp;</w:t>
      </w:r>
      <w:r w:rsidRPr="00190304">
        <w:t xml:space="preserve"> Di Marco 2003).</w:t>
      </w:r>
    </w:p>
    <w:p w:rsidR="007636B0" w:rsidRDefault="007636B0" w:rsidP="007636B0">
      <w:pPr>
        <w:pStyle w:val="Heading2"/>
        <w:tabs>
          <w:tab w:val="clear" w:pos="1209"/>
        </w:tabs>
      </w:pPr>
      <w:bookmarkStart w:id="96" w:name="_Toc351714336"/>
      <w:r>
        <w:t>Previous HIL</w:t>
      </w:r>
      <w:bookmarkEnd w:id="96"/>
    </w:p>
    <w:p w:rsidR="007636B0" w:rsidRDefault="007636B0" w:rsidP="007636B0">
      <w:r>
        <w:t>No previous HIL is available for bifenthrin (NEPC 1999). It is noted, however, that review of bifenthrin by Taylor &amp; Di Marco (2003) derived a soil investigation level (residential) of 300 mg/kg on the basis of a threshold toxicity reference value of 0.01 mg/kg/day (noted to be derived from the Therapeutic Goods Administration), 100% oral bioavailability, soil ingestion only, and an assumption that exposures from soil contribute (by default) 20% of the reference value.</w:t>
      </w:r>
    </w:p>
    <w:p w:rsidR="007636B0" w:rsidRDefault="007636B0" w:rsidP="007636B0">
      <w:pPr>
        <w:pStyle w:val="Heading2"/>
        <w:tabs>
          <w:tab w:val="clear" w:pos="1209"/>
        </w:tabs>
      </w:pPr>
      <w:bookmarkStart w:id="97" w:name="_Toc351714337"/>
      <w:r>
        <w:t>Significance of Exposure Pathways</w:t>
      </w:r>
      <w:bookmarkEnd w:id="97"/>
    </w:p>
    <w:p w:rsidR="007636B0" w:rsidRPr="00E00A6A" w:rsidRDefault="007636B0" w:rsidP="007636B0">
      <w:pPr>
        <w:pStyle w:val="Heading3"/>
      </w:pPr>
      <w:bookmarkStart w:id="98" w:name="_Toc351714338"/>
      <w:r>
        <w:t xml:space="preserve">Oral </w:t>
      </w:r>
      <w:r w:rsidRPr="00E00A6A">
        <w:t>Bioavailability</w:t>
      </w:r>
      <w:bookmarkEnd w:id="98"/>
    </w:p>
    <w:p w:rsidR="007636B0" w:rsidRDefault="007636B0" w:rsidP="007636B0">
      <w:r>
        <w:t>Insufficient data is available to adequately define the bioavailability of bifenthrin, hence a default approach of assuming 100% oral bioavailability has been adopted in the derivation of an HIL. It is noted that a site-specific assessment of bioavailability can be undertaken where required.</w:t>
      </w:r>
    </w:p>
    <w:p w:rsidR="007636B0" w:rsidRPr="002D7B71" w:rsidRDefault="007636B0" w:rsidP="007636B0">
      <w:pPr>
        <w:pStyle w:val="Heading3"/>
      </w:pPr>
      <w:bookmarkStart w:id="99" w:name="_Toc351714339"/>
      <w:r w:rsidRPr="002D7B71">
        <w:t>Dermal absorption</w:t>
      </w:r>
      <w:bookmarkEnd w:id="99"/>
    </w:p>
    <w:p w:rsidR="007636B0" w:rsidRDefault="007636B0" w:rsidP="007636B0">
      <w:r>
        <w:t>Insufficient data is available on the dermal absorption of bifenthrin from soil. Hence the default value of 0.1 (10%) suggested by US EPA (1995) for pesticides has been adopted in the derivation of HILs.</w:t>
      </w:r>
    </w:p>
    <w:p w:rsidR="0021528E" w:rsidRDefault="0021528E" w:rsidP="007636B0"/>
    <w:p w:rsidR="007636B0" w:rsidRDefault="007636B0" w:rsidP="007636B0">
      <w:r>
        <w:t>It is noted that review by ATSDR (2003) considered the limited human and animal data associated with dermal application of pyrethroids. Dermal absorption values in the range of 0.5% to 1.8% were identified. Hence the adoption of 10% is considered conservative.</w:t>
      </w:r>
    </w:p>
    <w:p w:rsidR="007636B0" w:rsidRPr="009338FB" w:rsidRDefault="007636B0" w:rsidP="007636B0">
      <w:pPr>
        <w:pStyle w:val="Heading3"/>
      </w:pPr>
      <w:bookmarkStart w:id="100" w:name="_Toc351714340"/>
      <w:r w:rsidRPr="009338FB">
        <w:t>Inhalation of Dust</w:t>
      </w:r>
      <w:bookmarkEnd w:id="100"/>
    </w:p>
    <w:p w:rsidR="007636B0" w:rsidRDefault="007636B0" w:rsidP="007636B0">
      <w:r>
        <w:t>Bifenthrin is not considered sufficiently volatile to be of significance and inhalation exposures associated with particulates outdoors and indoors are expected to be of less significance than ingestion of soil. While likely to be negligible, potential inhalation exposures associated with dust have been considered in the HIL derived.</w:t>
      </w:r>
    </w:p>
    <w:p w:rsidR="007636B0" w:rsidRPr="009338FB" w:rsidRDefault="007636B0" w:rsidP="007636B0">
      <w:pPr>
        <w:pStyle w:val="Heading3"/>
      </w:pPr>
      <w:bookmarkStart w:id="101" w:name="_Toc351714341"/>
      <w:r w:rsidRPr="009338FB">
        <w:t>Plant Uptake</w:t>
      </w:r>
      <w:bookmarkEnd w:id="101"/>
    </w:p>
    <w:p w:rsidR="007636B0" w:rsidRDefault="007636B0" w:rsidP="007636B0">
      <w:r>
        <w:t xml:space="preserve">Limited information is available on the potential for plant uptake of bifenthrin. ATSDR (2003) notes that in soils, pyrethrins adsorb strongly and do not leach appreciably into groundwater. These </w:t>
      </w:r>
      <w:r>
        <w:lastRenderedPageBreak/>
        <w:t>compounds are not considerably taken up by the roots of vascular plants; however, they are deposited upon the leafy region of vegetation following spraying.</w:t>
      </w:r>
    </w:p>
    <w:p w:rsidR="0021528E" w:rsidRDefault="0021528E" w:rsidP="007636B0"/>
    <w:p w:rsidR="007636B0" w:rsidRDefault="007636B0" w:rsidP="007636B0">
      <w:r>
        <w:t xml:space="preserve">Where the application of the product is not of concern, there is limited potential for bifenthrin to be present in soil solution, and available for plant uptake, due to its strong adsorption to soil and its limited solubility. </w:t>
      </w:r>
    </w:p>
    <w:p w:rsidR="0021528E" w:rsidRDefault="0021528E" w:rsidP="007636B0"/>
    <w:p w:rsidR="007636B0" w:rsidRDefault="007636B0" w:rsidP="007636B0">
      <w:r>
        <w:t>On this basis, the potential for plant uptake into home-grown fruit and vegetable crops is not considered to be significant and has not been considered in the derivation of a soil HIL.</w:t>
      </w:r>
    </w:p>
    <w:p w:rsidR="007636B0" w:rsidRPr="0089652E" w:rsidRDefault="007636B0" w:rsidP="007636B0">
      <w:pPr>
        <w:pStyle w:val="Heading3"/>
      </w:pPr>
      <w:bookmarkStart w:id="102" w:name="_Toc351714342"/>
      <w:r w:rsidRPr="0089652E">
        <w:t xml:space="preserve">Intakes from Other Sources </w:t>
      </w:r>
      <w:r>
        <w:t>–</w:t>
      </w:r>
      <w:r w:rsidRPr="0089652E">
        <w:t xml:space="preserve"> Background</w:t>
      </w:r>
      <w:bookmarkEnd w:id="102"/>
    </w:p>
    <w:p w:rsidR="007636B0" w:rsidRDefault="007636B0" w:rsidP="007636B0">
      <w:r>
        <w:t>Background intakes were evaluated by Taylor &amp; Di Marco (2003). No Australian data was identified and intakes from water, food, air, consumer products and soil were assumed to comprise 20% of the adopted ADI, resulting in background intakes from sources other than soil as 80%.</w:t>
      </w:r>
    </w:p>
    <w:p w:rsidR="0021528E" w:rsidRDefault="0021528E" w:rsidP="007636B0"/>
    <w:p w:rsidR="007636B0" w:rsidRDefault="007636B0" w:rsidP="007636B0">
      <w:r>
        <w:t xml:space="preserve">Synthetic pyrethroid pesticides were included in </w:t>
      </w:r>
      <w:r w:rsidRPr="0032283E">
        <w:rPr>
          <w:i/>
        </w:rPr>
        <w:t>The 23</w:t>
      </w:r>
      <w:r w:rsidRPr="0032283E">
        <w:rPr>
          <w:i/>
          <w:vertAlign w:val="superscript"/>
        </w:rPr>
        <w:t>rd</w:t>
      </w:r>
      <w:r w:rsidRPr="0032283E">
        <w:rPr>
          <w:i/>
        </w:rPr>
        <w:t xml:space="preserve"> Australian Total Diet Survey</w:t>
      </w:r>
      <w:r>
        <w:t xml:space="preserve"> (FSANZ 2011). Intake associated with the detected residues of bifenthrin for children aged 2</w:t>
      </w:r>
      <w:r>
        <w:sym w:font="Symbol" w:char="F02D"/>
      </w:r>
      <w:r>
        <w:t xml:space="preserve">5 years was 0.072 </w:t>
      </w:r>
      <w:r>
        <w:rPr>
          <w:rFonts w:cs="Arial"/>
        </w:rPr>
        <w:t>µ</w:t>
      </w:r>
      <w:r>
        <w:t>g/kg/day, and  for children aged 6</w:t>
      </w:r>
      <w:r>
        <w:sym w:font="Symbol" w:char="F02D"/>
      </w:r>
      <w:r>
        <w:t xml:space="preserve">12 years was 0.085 </w:t>
      </w:r>
      <w:r>
        <w:rPr>
          <w:rFonts w:cs="Arial"/>
        </w:rPr>
        <w:t>µ</w:t>
      </w:r>
      <w:r>
        <w:t xml:space="preserve">g/kg/day, similar to the intake estimated for adults. </w:t>
      </w:r>
    </w:p>
    <w:p w:rsidR="0021528E" w:rsidRDefault="0021528E" w:rsidP="007636B0"/>
    <w:p w:rsidR="007636B0" w:rsidRDefault="007636B0" w:rsidP="007636B0">
      <w:r>
        <w:t>Limited other data is available in Australia, where a study on bifenthrin in air within a home after termite treatment did not detect bifenthrin concentrations (Richards 2003). Pyrethrins and pyrethroids are used in both indoor and outdoor settings to control insects; therefore, these compounds are frequently detected in the air of homes and buildings after their use. Data from the USA (ATSDR 2003) reported concentrations of pyrethrins in the order of 0.1</w:t>
      </w:r>
      <w:r>
        <w:sym w:font="Symbol" w:char="F02D"/>
      </w:r>
      <w:r>
        <w:t xml:space="preserve">0.3 </w:t>
      </w:r>
      <w:r>
        <w:rPr>
          <w:rFonts w:cs="Arial"/>
        </w:rPr>
        <w:t>µ</w:t>
      </w:r>
      <w:r>
        <w:t>g/m</w:t>
      </w:r>
      <w:r w:rsidRPr="00B42C28">
        <w:rPr>
          <w:vertAlign w:val="superscript"/>
        </w:rPr>
        <w:t>3</w:t>
      </w:r>
      <w:r>
        <w:t xml:space="preserve"> sometime after application (up to 84 days after application). Intakes by toddlers associated with these concentrations are in the range of 0.06–0.2 </w:t>
      </w:r>
      <w:r>
        <w:rPr>
          <w:rFonts w:cs="Arial"/>
        </w:rPr>
        <w:t>µ</w:t>
      </w:r>
      <w:r>
        <w:t>g/kg/day, significantly higher than estimated from dietary intakes. It is noted that if these insecticide sprays are regularly used, indoor air concentrations may be higher.</w:t>
      </w:r>
    </w:p>
    <w:p w:rsidR="0021528E" w:rsidRDefault="0021528E" w:rsidP="007636B0"/>
    <w:p w:rsidR="007636B0" w:rsidRDefault="007636B0" w:rsidP="007636B0">
      <w:r>
        <w:t xml:space="preserve">On the basis of the above, intakes associated with bifenthrin (assuming it comprises 100% of the pyrethrins reported in indoor air in the US) may comprise up to 0.28 </w:t>
      </w:r>
      <w:r>
        <w:rPr>
          <w:rFonts w:cs="Arial"/>
        </w:rPr>
        <w:t>µ</w:t>
      </w:r>
      <w:r>
        <w:t>g/kg/day for toddlers, approximately 3% of the recommended oral TRV. For the purpose of establishing an HIL, intakes from other sources has been taken to be 10% of the adopted TRV.</w:t>
      </w:r>
    </w:p>
    <w:p w:rsidR="007636B0" w:rsidRDefault="007636B0" w:rsidP="007636B0">
      <w:pPr>
        <w:pStyle w:val="Heading2"/>
        <w:tabs>
          <w:tab w:val="clear" w:pos="1209"/>
        </w:tabs>
      </w:pPr>
      <w:bookmarkStart w:id="103" w:name="_Toc351714343"/>
      <w:r>
        <w:t>Identification of Toxicity Reference Values</w:t>
      </w:r>
      <w:bookmarkEnd w:id="103"/>
    </w:p>
    <w:p w:rsidR="007636B0" w:rsidRPr="00983A79" w:rsidRDefault="007636B0" w:rsidP="007636B0">
      <w:pPr>
        <w:pStyle w:val="Heading3"/>
      </w:pPr>
      <w:bookmarkStart w:id="104" w:name="_Toc351714344"/>
      <w:r w:rsidRPr="00983A79">
        <w:t>Classification</w:t>
      </w:r>
      <w:bookmarkEnd w:id="104"/>
    </w:p>
    <w:p w:rsidR="007636B0" w:rsidRDefault="007636B0" w:rsidP="007636B0">
      <w:pPr>
        <w:rPr>
          <w:rFonts w:cs="Arial"/>
        </w:rPr>
      </w:pPr>
      <w:r w:rsidRPr="00C259C1">
        <w:t>The International Agency for Research on Cancer (IARC</w:t>
      </w:r>
      <w:r>
        <w:t xml:space="preserve">) and US EPA have not classified bifenthrin as to carcinogenicity. It is noted that </w:t>
      </w:r>
      <w:r w:rsidRPr="00190304">
        <w:rPr>
          <w:rFonts w:cs="Arial"/>
        </w:rPr>
        <w:t xml:space="preserve">the Joint Meeting on Pesticide Residues (JMPR 1993) </w:t>
      </w:r>
      <w:r>
        <w:rPr>
          <w:rFonts w:cs="Arial"/>
        </w:rPr>
        <w:t>has reviewed</w:t>
      </w:r>
      <w:r w:rsidRPr="00190304">
        <w:rPr>
          <w:rFonts w:cs="Arial"/>
        </w:rPr>
        <w:t xml:space="preserve"> bifenthrin</w:t>
      </w:r>
      <w:r>
        <w:rPr>
          <w:rFonts w:cs="Arial"/>
        </w:rPr>
        <w:t>,</w:t>
      </w:r>
      <w:r w:rsidRPr="00190304">
        <w:rPr>
          <w:rFonts w:cs="Arial"/>
        </w:rPr>
        <w:t xml:space="preserve"> </w:t>
      </w:r>
      <w:r>
        <w:rPr>
          <w:rFonts w:cs="Arial"/>
        </w:rPr>
        <w:t xml:space="preserve">which </w:t>
      </w:r>
      <w:r w:rsidRPr="00190304">
        <w:rPr>
          <w:rFonts w:cs="Arial"/>
        </w:rPr>
        <w:t>was evaluated as unlikely to pose a carcinogenic hazard to humans</w:t>
      </w:r>
      <w:r>
        <w:rPr>
          <w:rFonts w:cs="Arial"/>
        </w:rPr>
        <w:t xml:space="preserve">. </w:t>
      </w:r>
    </w:p>
    <w:p w:rsidR="007636B0" w:rsidRPr="00907E92" w:rsidRDefault="007636B0" w:rsidP="007636B0">
      <w:pPr>
        <w:pStyle w:val="Heading3"/>
      </w:pPr>
      <w:bookmarkStart w:id="105" w:name="_Toc351714345"/>
      <w:r w:rsidRPr="00907E92">
        <w:t>Review of Available Values</w:t>
      </w:r>
      <w:r>
        <w:t>/Information</w:t>
      </w:r>
      <w:bookmarkEnd w:id="105"/>
    </w:p>
    <w:p w:rsidR="007636B0" w:rsidRDefault="007636B0" w:rsidP="007636B0">
      <w:r>
        <w:t xml:space="preserve">A summary of health effects and information is presented by Taylor &amp; Di Marco (2003). Limited data is available for the assessment of carcinogenicity, though the available data suggests that bifenthrin was not likely to pose a carcinogenic risk to humans. </w:t>
      </w:r>
    </w:p>
    <w:p w:rsidR="0021528E" w:rsidRDefault="0021528E" w:rsidP="007636B0"/>
    <w:p w:rsidR="007636B0" w:rsidRDefault="007636B0" w:rsidP="007636B0">
      <w:r>
        <w:t>On the basis of the available information it is considered appropriate that a threshold dose</w:t>
      </w:r>
      <w:r>
        <w:sym w:font="Symbol" w:char="F02D"/>
      </w:r>
      <w:r>
        <w:t>response approach be adopted for bifenthrin. The following are available from Level 1 Australian and International sources: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4"/>
        <w:gridCol w:w="2215"/>
        <w:gridCol w:w="5494"/>
      </w:tblGrid>
      <w:tr w:rsidR="007636B0" w:rsidRPr="001310F2" w:rsidTr="00B45DD6">
        <w:trPr>
          <w:tblHeader/>
        </w:trPr>
        <w:tc>
          <w:tcPr>
            <w:tcW w:w="1294" w:type="dxa"/>
            <w:shd w:val="clear" w:color="auto" w:fill="C6D9F1" w:themeFill="text2" w:themeFillTint="33"/>
          </w:tcPr>
          <w:p w:rsidR="007636B0" w:rsidRPr="001310F2" w:rsidRDefault="007636B0" w:rsidP="00B45DD6">
            <w:pPr>
              <w:spacing w:before="20"/>
              <w:jc w:val="center"/>
              <w:rPr>
                <w:b/>
                <w:szCs w:val="22"/>
              </w:rPr>
            </w:pPr>
            <w:r w:rsidRPr="001310F2">
              <w:rPr>
                <w:szCs w:val="22"/>
              </w:rPr>
              <w:br w:type="page"/>
            </w:r>
            <w:r w:rsidRPr="001310F2">
              <w:rPr>
                <w:b/>
                <w:szCs w:val="22"/>
              </w:rPr>
              <w:t>Source</w:t>
            </w:r>
          </w:p>
        </w:tc>
        <w:tc>
          <w:tcPr>
            <w:tcW w:w="2215" w:type="dxa"/>
            <w:shd w:val="clear" w:color="auto" w:fill="C6D9F1" w:themeFill="text2" w:themeFillTint="33"/>
          </w:tcPr>
          <w:p w:rsidR="007636B0" w:rsidRPr="001310F2" w:rsidRDefault="007636B0" w:rsidP="00B45DD6">
            <w:pPr>
              <w:spacing w:before="20"/>
              <w:jc w:val="center"/>
              <w:rPr>
                <w:b/>
                <w:szCs w:val="22"/>
              </w:rPr>
            </w:pPr>
            <w:r w:rsidRPr="001310F2">
              <w:rPr>
                <w:b/>
                <w:szCs w:val="22"/>
              </w:rPr>
              <w:t>Value</w:t>
            </w:r>
          </w:p>
        </w:tc>
        <w:tc>
          <w:tcPr>
            <w:tcW w:w="5494" w:type="dxa"/>
            <w:shd w:val="clear" w:color="auto" w:fill="C6D9F1" w:themeFill="text2" w:themeFillTint="33"/>
          </w:tcPr>
          <w:p w:rsidR="007636B0" w:rsidRPr="001310F2" w:rsidRDefault="007636B0" w:rsidP="00B45DD6">
            <w:pPr>
              <w:spacing w:before="20"/>
              <w:jc w:val="center"/>
              <w:rPr>
                <w:b/>
                <w:szCs w:val="22"/>
              </w:rPr>
            </w:pPr>
            <w:r w:rsidRPr="001310F2">
              <w:rPr>
                <w:b/>
                <w:szCs w:val="22"/>
              </w:rPr>
              <w:t>Basis/Comments</w:t>
            </w:r>
          </w:p>
        </w:tc>
      </w:tr>
      <w:tr w:rsidR="007636B0" w:rsidRPr="001310F2" w:rsidTr="00B45DD6">
        <w:tc>
          <w:tcPr>
            <w:tcW w:w="9003" w:type="dxa"/>
            <w:gridSpan w:val="3"/>
          </w:tcPr>
          <w:p w:rsidR="007636B0" w:rsidRPr="001310F2" w:rsidRDefault="007636B0" w:rsidP="00B45DD6">
            <w:pPr>
              <w:spacing w:before="20"/>
              <w:jc w:val="center"/>
              <w:rPr>
                <w:b/>
                <w:szCs w:val="22"/>
              </w:rPr>
            </w:pPr>
            <w:r w:rsidRPr="001310F2">
              <w:rPr>
                <w:b/>
                <w:szCs w:val="22"/>
              </w:rPr>
              <w:t>Australian</w:t>
            </w:r>
          </w:p>
        </w:tc>
      </w:tr>
      <w:tr w:rsidR="007636B0" w:rsidRPr="001310F2" w:rsidTr="00B45DD6">
        <w:tc>
          <w:tcPr>
            <w:tcW w:w="1294" w:type="dxa"/>
          </w:tcPr>
          <w:p w:rsidR="007636B0" w:rsidRPr="001310F2" w:rsidRDefault="007636B0" w:rsidP="00B45DD6">
            <w:pPr>
              <w:spacing w:before="20"/>
              <w:rPr>
                <w:szCs w:val="22"/>
              </w:rPr>
            </w:pPr>
            <w:r w:rsidRPr="001310F2">
              <w:rPr>
                <w:szCs w:val="22"/>
              </w:rPr>
              <w:t xml:space="preserve">ADWG </w:t>
            </w:r>
          </w:p>
        </w:tc>
        <w:tc>
          <w:tcPr>
            <w:tcW w:w="2215" w:type="dxa"/>
          </w:tcPr>
          <w:p w:rsidR="007636B0" w:rsidRPr="001310F2" w:rsidRDefault="007636B0" w:rsidP="00B45DD6">
            <w:pPr>
              <w:spacing w:before="20"/>
              <w:rPr>
                <w:szCs w:val="22"/>
              </w:rPr>
            </w:pPr>
            <w:r w:rsidRPr="001310F2">
              <w:rPr>
                <w:szCs w:val="22"/>
              </w:rPr>
              <w:t>No evaluation available</w:t>
            </w:r>
          </w:p>
        </w:tc>
        <w:tc>
          <w:tcPr>
            <w:tcW w:w="5494" w:type="dxa"/>
          </w:tcPr>
          <w:p w:rsidR="007636B0" w:rsidRPr="001310F2" w:rsidRDefault="007636B0" w:rsidP="00B45DD6">
            <w:pPr>
              <w:spacing w:before="20"/>
              <w:rPr>
                <w:szCs w:val="22"/>
              </w:rPr>
            </w:pPr>
          </w:p>
        </w:tc>
      </w:tr>
      <w:tr w:rsidR="007636B0" w:rsidRPr="001310F2" w:rsidTr="00B45DD6">
        <w:tc>
          <w:tcPr>
            <w:tcW w:w="1294" w:type="dxa"/>
          </w:tcPr>
          <w:p w:rsidR="007636B0" w:rsidRPr="001310F2" w:rsidRDefault="007636B0" w:rsidP="00B45DD6">
            <w:pPr>
              <w:spacing w:before="20"/>
              <w:rPr>
                <w:szCs w:val="22"/>
              </w:rPr>
            </w:pPr>
            <w:r w:rsidRPr="001310F2">
              <w:rPr>
                <w:szCs w:val="22"/>
              </w:rPr>
              <w:lastRenderedPageBreak/>
              <w:t>OCS (2012)</w:t>
            </w:r>
          </w:p>
        </w:tc>
        <w:tc>
          <w:tcPr>
            <w:tcW w:w="2215" w:type="dxa"/>
          </w:tcPr>
          <w:p w:rsidR="007636B0" w:rsidRPr="001310F2" w:rsidRDefault="007636B0" w:rsidP="00B45DD6">
            <w:pPr>
              <w:spacing w:before="20"/>
              <w:rPr>
                <w:szCs w:val="22"/>
              </w:rPr>
            </w:pPr>
            <w:r w:rsidRPr="001310F2">
              <w:rPr>
                <w:szCs w:val="22"/>
              </w:rPr>
              <w:t>ADI = 0.01 mg/kg/day</w:t>
            </w:r>
          </w:p>
        </w:tc>
        <w:tc>
          <w:tcPr>
            <w:tcW w:w="5494" w:type="dxa"/>
          </w:tcPr>
          <w:p w:rsidR="007636B0" w:rsidRPr="001310F2" w:rsidRDefault="007636B0" w:rsidP="00B45DD6">
            <w:pPr>
              <w:spacing w:before="20"/>
              <w:rPr>
                <w:szCs w:val="22"/>
              </w:rPr>
            </w:pPr>
            <w:r w:rsidRPr="001310F2">
              <w:rPr>
                <w:szCs w:val="22"/>
              </w:rPr>
              <w:t>The ADI of 0.01 mg/kg/day based on maternal tremors in a developmental rat study. The value was set in 1992. The ADI is also used by FSANZ (2003).</w:t>
            </w:r>
          </w:p>
        </w:tc>
      </w:tr>
      <w:tr w:rsidR="007636B0" w:rsidRPr="001310F2" w:rsidTr="00B45DD6">
        <w:tc>
          <w:tcPr>
            <w:tcW w:w="9003" w:type="dxa"/>
            <w:gridSpan w:val="3"/>
          </w:tcPr>
          <w:p w:rsidR="007636B0" w:rsidRPr="001310F2" w:rsidRDefault="007636B0" w:rsidP="00B45DD6">
            <w:pPr>
              <w:spacing w:before="20"/>
              <w:jc w:val="center"/>
              <w:rPr>
                <w:b/>
                <w:szCs w:val="22"/>
              </w:rPr>
            </w:pPr>
            <w:r w:rsidRPr="001310F2">
              <w:rPr>
                <w:b/>
                <w:szCs w:val="22"/>
              </w:rPr>
              <w:t>International</w:t>
            </w:r>
          </w:p>
        </w:tc>
      </w:tr>
      <w:tr w:rsidR="007636B0" w:rsidRPr="001310F2" w:rsidTr="00B45DD6">
        <w:tc>
          <w:tcPr>
            <w:tcW w:w="1294" w:type="dxa"/>
          </w:tcPr>
          <w:p w:rsidR="007636B0" w:rsidRPr="001310F2" w:rsidRDefault="007636B0" w:rsidP="00B45DD6">
            <w:pPr>
              <w:spacing w:before="20"/>
              <w:rPr>
                <w:szCs w:val="22"/>
              </w:rPr>
            </w:pPr>
            <w:r w:rsidRPr="001310F2">
              <w:rPr>
                <w:szCs w:val="22"/>
              </w:rPr>
              <w:t>JMPR (1993)</w:t>
            </w:r>
          </w:p>
        </w:tc>
        <w:tc>
          <w:tcPr>
            <w:tcW w:w="2215" w:type="dxa"/>
          </w:tcPr>
          <w:p w:rsidR="007636B0" w:rsidRPr="001310F2" w:rsidRDefault="007636B0" w:rsidP="00B45DD6">
            <w:pPr>
              <w:spacing w:before="20"/>
              <w:rPr>
                <w:szCs w:val="22"/>
              </w:rPr>
            </w:pPr>
            <w:r w:rsidRPr="001310F2">
              <w:rPr>
                <w:szCs w:val="22"/>
              </w:rPr>
              <w:t>ADI of 0</w:t>
            </w:r>
            <w:r w:rsidRPr="001310F2">
              <w:rPr>
                <w:szCs w:val="22"/>
              </w:rPr>
              <w:sym w:font="Symbol" w:char="F02D"/>
            </w:r>
            <w:r w:rsidRPr="001310F2">
              <w:rPr>
                <w:szCs w:val="22"/>
              </w:rPr>
              <w:t>0.02 mg/kg/day</w:t>
            </w:r>
          </w:p>
        </w:tc>
        <w:tc>
          <w:tcPr>
            <w:tcW w:w="5494" w:type="dxa"/>
          </w:tcPr>
          <w:p w:rsidR="007636B0" w:rsidRPr="001310F2" w:rsidRDefault="007636B0" w:rsidP="00B45DD6">
            <w:pPr>
              <w:spacing w:before="20"/>
              <w:rPr>
                <w:szCs w:val="22"/>
              </w:rPr>
            </w:pPr>
            <w:r w:rsidRPr="001310F2">
              <w:rPr>
                <w:szCs w:val="22"/>
              </w:rPr>
              <w:t>ADI established on the basis of a NOAEL of 1.5 mg/kg/day in a 1-year study in dogs, and a 100-fold uncertainty factor. The study was supported by the same NOAEL in the rat teratology study. ADI presented has been rounded by JMPR.</w:t>
            </w:r>
          </w:p>
        </w:tc>
      </w:tr>
      <w:tr w:rsidR="007636B0" w:rsidRPr="001310F2" w:rsidTr="00B45DD6">
        <w:tc>
          <w:tcPr>
            <w:tcW w:w="1294" w:type="dxa"/>
          </w:tcPr>
          <w:p w:rsidR="007636B0" w:rsidRPr="001310F2" w:rsidRDefault="007636B0" w:rsidP="00B45DD6">
            <w:pPr>
              <w:spacing w:before="20"/>
              <w:rPr>
                <w:szCs w:val="22"/>
              </w:rPr>
            </w:pPr>
            <w:r w:rsidRPr="001310F2">
              <w:rPr>
                <w:szCs w:val="22"/>
              </w:rPr>
              <w:t>WHO</w:t>
            </w:r>
          </w:p>
        </w:tc>
        <w:tc>
          <w:tcPr>
            <w:tcW w:w="2215" w:type="dxa"/>
          </w:tcPr>
          <w:p w:rsidR="007636B0" w:rsidRPr="001310F2" w:rsidRDefault="007636B0" w:rsidP="00B45DD6">
            <w:pPr>
              <w:spacing w:before="20"/>
              <w:rPr>
                <w:szCs w:val="22"/>
              </w:rPr>
            </w:pPr>
            <w:r w:rsidRPr="001310F2">
              <w:rPr>
                <w:szCs w:val="22"/>
              </w:rPr>
              <w:t>No evaluation available</w:t>
            </w:r>
          </w:p>
        </w:tc>
        <w:tc>
          <w:tcPr>
            <w:tcW w:w="5494" w:type="dxa"/>
          </w:tcPr>
          <w:p w:rsidR="007636B0" w:rsidRPr="001310F2" w:rsidRDefault="007636B0" w:rsidP="00B45DD6">
            <w:pPr>
              <w:spacing w:before="20"/>
              <w:rPr>
                <w:szCs w:val="22"/>
              </w:rPr>
            </w:pPr>
          </w:p>
        </w:tc>
      </w:tr>
      <w:tr w:rsidR="007636B0" w:rsidRPr="001310F2" w:rsidTr="00B45DD6">
        <w:tc>
          <w:tcPr>
            <w:tcW w:w="1294" w:type="dxa"/>
          </w:tcPr>
          <w:p w:rsidR="007636B0" w:rsidRPr="001310F2" w:rsidRDefault="007636B0" w:rsidP="00B45DD6">
            <w:pPr>
              <w:spacing w:before="20"/>
              <w:rPr>
                <w:szCs w:val="22"/>
              </w:rPr>
            </w:pPr>
            <w:r w:rsidRPr="001310F2">
              <w:rPr>
                <w:szCs w:val="22"/>
              </w:rPr>
              <w:t>RIVM (2001)</w:t>
            </w:r>
          </w:p>
        </w:tc>
        <w:tc>
          <w:tcPr>
            <w:tcW w:w="2215" w:type="dxa"/>
          </w:tcPr>
          <w:p w:rsidR="007636B0" w:rsidRPr="001310F2" w:rsidRDefault="007636B0" w:rsidP="00B45DD6">
            <w:pPr>
              <w:spacing w:before="20"/>
              <w:rPr>
                <w:szCs w:val="22"/>
              </w:rPr>
            </w:pPr>
            <w:r w:rsidRPr="001310F2">
              <w:rPr>
                <w:szCs w:val="22"/>
              </w:rPr>
              <w:t>No evaluation available</w:t>
            </w:r>
          </w:p>
        </w:tc>
        <w:tc>
          <w:tcPr>
            <w:tcW w:w="5494" w:type="dxa"/>
          </w:tcPr>
          <w:p w:rsidR="007636B0" w:rsidRPr="001310F2" w:rsidRDefault="007636B0" w:rsidP="00B45DD6">
            <w:pPr>
              <w:spacing w:before="20"/>
              <w:rPr>
                <w:szCs w:val="22"/>
              </w:rPr>
            </w:pPr>
          </w:p>
        </w:tc>
      </w:tr>
      <w:tr w:rsidR="007636B0" w:rsidRPr="001310F2" w:rsidTr="00B45DD6">
        <w:tc>
          <w:tcPr>
            <w:tcW w:w="1294" w:type="dxa"/>
          </w:tcPr>
          <w:p w:rsidR="007636B0" w:rsidRPr="001310F2" w:rsidRDefault="007636B0" w:rsidP="00B45DD6">
            <w:pPr>
              <w:spacing w:before="20"/>
              <w:rPr>
                <w:szCs w:val="22"/>
              </w:rPr>
            </w:pPr>
            <w:r w:rsidRPr="001310F2">
              <w:rPr>
                <w:szCs w:val="22"/>
              </w:rPr>
              <w:t>ATSDR</w:t>
            </w:r>
          </w:p>
        </w:tc>
        <w:tc>
          <w:tcPr>
            <w:tcW w:w="2215" w:type="dxa"/>
          </w:tcPr>
          <w:p w:rsidR="007636B0" w:rsidRPr="001310F2" w:rsidRDefault="007636B0" w:rsidP="00B45DD6">
            <w:pPr>
              <w:spacing w:before="20"/>
              <w:rPr>
                <w:szCs w:val="22"/>
              </w:rPr>
            </w:pPr>
            <w:r w:rsidRPr="001310F2">
              <w:rPr>
                <w:szCs w:val="22"/>
              </w:rPr>
              <w:t>No evaluation available</w:t>
            </w:r>
          </w:p>
        </w:tc>
        <w:tc>
          <w:tcPr>
            <w:tcW w:w="5494" w:type="dxa"/>
          </w:tcPr>
          <w:p w:rsidR="007636B0" w:rsidRPr="001310F2" w:rsidRDefault="007636B0" w:rsidP="00B45DD6">
            <w:pPr>
              <w:spacing w:before="20"/>
              <w:rPr>
                <w:szCs w:val="22"/>
              </w:rPr>
            </w:pPr>
          </w:p>
        </w:tc>
      </w:tr>
      <w:tr w:rsidR="007636B0" w:rsidRPr="001310F2" w:rsidTr="00B45DD6">
        <w:tc>
          <w:tcPr>
            <w:tcW w:w="1294" w:type="dxa"/>
          </w:tcPr>
          <w:p w:rsidR="007636B0" w:rsidRPr="001310F2" w:rsidRDefault="007636B0" w:rsidP="00B45DD6">
            <w:pPr>
              <w:spacing w:before="20"/>
              <w:rPr>
                <w:szCs w:val="22"/>
              </w:rPr>
            </w:pPr>
            <w:r w:rsidRPr="001310F2">
              <w:rPr>
                <w:szCs w:val="22"/>
              </w:rPr>
              <w:t>US EPA (IRIS 2012)</w:t>
            </w:r>
          </w:p>
        </w:tc>
        <w:tc>
          <w:tcPr>
            <w:tcW w:w="2215" w:type="dxa"/>
          </w:tcPr>
          <w:p w:rsidR="007636B0" w:rsidRPr="001310F2" w:rsidRDefault="007636B0" w:rsidP="00B45DD6">
            <w:pPr>
              <w:spacing w:before="20"/>
              <w:rPr>
                <w:szCs w:val="22"/>
              </w:rPr>
            </w:pPr>
            <w:r w:rsidRPr="001310F2">
              <w:rPr>
                <w:szCs w:val="22"/>
              </w:rPr>
              <w:t>RfD = 0.015 mg/kg/day</w:t>
            </w:r>
          </w:p>
          <w:p w:rsidR="007636B0" w:rsidRPr="001310F2" w:rsidRDefault="007636B0" w:rsidP="00B45DD6">
            <w:pPr>
              <w:spacing w:before="20"/>
              <w:rPr>
                <w:szCs w:val="22"/>
              </w:rPr>
            </w:pPr>
          </w:p>
        </w:tc>
        <w:tc>
          <w:tcPr>
            <w:tcW w:w="5494" w:type="dxa"/>
          </w:tcPr>
          <w:p w:rsidR="007636B0" w:rsidRPr="001310F2" w:rsidRDefault="007636B0" w:rsidP="00B45DD6">
            <w:pPr>
              <w:spacing w:before="20"/>
              <w:rPr>
                <w:szCs w:val="22"/>
              </w:rPr>
            </w:pPr>
            <w:r w:rsidRPr="001310F2">
              <w:rPr>
                <w:szCs w:val="22"/>
              </w:rPr>
              <w:t>US EPA has established an oral RfD of 0.015 mg/kg/day based on a NOEL of 1.5 mg/kg/day associated with tremors in a 1-year dog study, and 100-fold uncertainty factor.</w:t>
            </w:r>
          </w:p>
        </w:tc>
      </w:tr>
    </w:tbl>
    <w:p w:rsidR="007636B0" w:rsidRDefault="007636B0" w:rsidP="007636B0"/>
    <w:p w:rsidR="007636B0" w:rsidRDefault="007636B0" w:rsidP="007636B0">
      <w:r>
        <w:t>Based on the available data, the current Australian ADI of 0.01 mg/kg/day is considered current and relevant.</w:t>
      </w:r>
    </w:p>
    <w:p w:rsidR="0021528E" w:rsidRDefault="0021528E" w:rsidP="007636B0"/>
    <w:p w:rsidR="007636B0" w:rsidRDefault="007636B0" w:rsidP="007636B0">
      <w:r>
        <w:t>No dermal or inhalation-specific studies or data are available. For the presence of bifenthrin in soil (not during use), it is considered appropriate to consider use of the available threshold reference value for all pathways of exposures.</w:t>
      </w:r>
    </w:p>
    <w:p w:rsidR="007636B0" w:rsidRPr="00921D7B" w:rsidRDefault="007636B0" w:rsidP="007636B0">
      <w:pPr>
        <w:pStyle w:val="Heading3"/>
      </w:pPr>
      <w:bookmarkStart w:id="106" w:name="_Toc351714346"/>
      <w:r w:rsidRPr="00921D7B">
        <w:t>Recommendation</w:t>
      </w:r>
      <w:bookmarkEnd w:id="106"/>
    </w:p>
    <w:p w:rsidR="007636B0" w:rsidRDefault="007636B0" w:rsidP="007636B0">
      <w:r>
        <w:t>On the basis of the discussion above, the following toxicity reference values (TRVs) have been adopted for bifenthrin in the derivation of HILs:</w:t>
      </w:r>
    </w:p>
    <w:p w:rsidR="007636B0" w:rsidRDefault="007636B0" w:rsidP="007636B0">
      <w:r>
        <w:rPr>
          <w:noProof/>
          <w:lang w:eastAsia="en-AU"/>
        </w:rPr>
        <mc:AlternateContent>
          <mc:Choice Requires="wps">
            <w:drawing>
              <wp:inline distT="0" distB="0" distL="0" distR="0">
                <wp:extent cx="5624830" cy="2367915"/>
                <wp:effectExtent l="13335" t="6985" r="10160" b="63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2367915"/>
                        </a:xfrm>
                        <a:prstGeom prst="rect">
                          <a:avLst/>
                        </a:prstGeom>
                        <a:solidFill>
                          <a:srgbClr val="D8D8D8"/>
                        </a:solidFill>
                        <a:ln w="9525">
                          <a:solidFill>
                            <a:srgbClr val="000000"/>
                          </a:solidFill>
                          <a:miter lim="800000"/>
                          <a:headEnd/>
                          <a:tailEnd/>
                        </a:ln>
                      </wps:spPr>
                      <wps:txbx>
                        <w:txbxContent>
                          <w:p w:rsidR="00A0097F" w:rsidRPr="00742163" w:rsidRDefault="00A0097F" w:rsidP="007636B0">
                            <w:pPr>
                              <w:spacing w:after="40"/>
                              <w:rPr>
                                <w:b/>
                                <w:u w:val="single"/>
                              </w:rPr>
                            </w:pPr>
                            <w:r w:rsidRPr="00742163">
                              <w:rPr>
                                <w:b/>
                                <w:u w:val="single"/>
                              </w:rPr>
                              <w:t xml:space="preserve">Recommendation for </w:t>
                            </w:r>
                            <w:r>
                              <w:rPr>
                                <w:b/>
                                <w:u w:val="single"/>
                              </w:rPr>
                              <w:t xml:space="preserve">Bifenthrin </w:t>
                            </w:r>
                          </w:p>
                          <w:p w:rsidR="00A0097F" w:rsidRDefault="00A0097F" w:rsidP="007636B0">
                            <w:pPr>
                              <w:spacing w:after="40"/>
                            </w:pPr>
                            <w:r>
                              <w:t>Oral TRV (TRV</w:t>
                            </w:r>
                            <w:r w:rsidRPr="00A54613">
                              <w:rPr>
                                <w:vertAlign w:val="subscript"/>
                              </w:rPr>
                              <w:t>O</w:t>
                            </w:r>
                            <w:r>
                              <w:t>) = 0.01 mg/kg/day (OCS 2012) for all pathways of exposure</w:t>
                            </w:r>
                          </w:p>
                          <w:p w:rsidR="00A0097F" w:rsidRDefault="00A0097F" w:rsidP="007636B0">
                            <w:pPr>
                              <w:spacing w:after="40"/>
                            </w:pPr>
                            <w:r>
                              <w:t>Dermal absorption factor (DAF) = 0.1 (or 10%) (US EPA 1995)</w:t>
                            </w:r>
                          </w:p>
                          <w:p w:rsidR="00A0097F" w:rsidRDefault="00A0097F" w:rsidP="007636B0">
                            <w:pPr>
                              <w:spacing w:after="40"/>
                            </w:pPr>
                            <w:r>
                              <w:t xml:space="preserve">Intakes allowable from soil (as % of TRV) = 80% </w:t>
                            </w:r>
                          </w:p>
                          <w:p w:rsidR="00A0097F" w:rsidRDefault="00A0097F" w:rsidP="007636B0">
                            <w:pPr>
                              <w:spacing w:after="40"/>
                            </w:pPr>
                            <w:r>
                              <w:t>Background intakes from other sources (as % of TRV):</w:t>
                            </w:r>
                          </w:p>
                          <w:p w:rsidR="00A0097F" w:rsidRDefault="00A0097F" w:rsidP="007636B0">
                            <w:pPr>
                              <w:spacing w:after="40"/>
                              <w:ind w:left="720"/>
                            </w:pPr>
                            <w:r>
                              <w:t>BI</w:t>
                            </w:r>
                            <w:r w:rsidRPr="002049F5">
                              <w:rPr>
                                <w:vertAlign w:val="subscript"/>
                              </w:rPr>
                              <w:t>O</w:t>
                            </w:r>
                            <w:r>
                              <w:t xml:space="preserve"> = 10% for oral and dermal intakes</w:t>
                            </w:r>
                          </w:p>
                          <w:p w:rsidR="00A0097F" w:rsidRDefault="00A0097F" w:rsidP="007636B0">
                            <w:pPr>
                              <w:spacing w:after="40"/>
                              <w:ind w:left="720"/>
                            </w:pPr>
                            <w:r>
                              <w:t>BIi = 10% for inhalation</w:t>
                            </w:r>
                            <w:r w:rsidDel="00C81411">
                              <w:t xml:space="preserve"> </w:t>
                            </w:r>
                          </w:p>
                          <w:p w:rsidR="00A0097F" w:rsidRDefault="00A0097F" w:rsidP="007636B0">
                            <w:pPr>
                              <w:spacing w:after="40"/>
                            </w:pPr>
                            <w:r>
                              <w:t>Note background intakes in areas where insecticides are regularly used may need to be considered on a site-specific basis.</w:t>
                            </w:r>
                          </w:p>
                        </w:txbxContent>
                      </wps:txbx>
                      <wps:bodyPr rot="0" vert="horz" wrap="square" lIns="91440" tIns="45720" rIns="91440" bIns="45720" anchor="t" anchorCtr="0" upright="1">
                        <a:noAutofit/>
                      </wps:bodyPr>
                    </wps:wsp>
                  </a:graphicData>
                </a:graphic>
              </wp:inline>
            </w:drawing>
          </mc:Choice>
          <mc:Fallback>
            <w:pict>
              <v:shape id="Text Box 3" o:spid="_x0000_s1035" type="#_x0000_t202" style="width:442.9pt;height:18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" fillcolor="#d8d8d8">
                <v:textbox>
                  <w:txbxContent>
                    <w:p w:rsidR="009C6751" w:rsidRPr="00742163" w:rsidRDefault="009C6751" w:rsidP="007636B0">
                      <w:pPr>
                        <w:spacing w:after="40"/>
                        <w:rPr>
                          <w:b/>
                          <w:u w:val="single"/>
                        </w:rPr>
                      </w:pPr>
                      <w:r w:rsidRPr="00742163">
                        <w:rPr>
                          <w:b/>
                          <w:u w:val="single"/>
                        </w:rPr>
                        <w:t xml:space="preserve">Recommendation for </w:t>
                      </w:r>
                      <w:r>
                        <w:rPr>
                          <w:b/>
                          <w:u w:val="single"/>
                        </w:rPr>
                        <w:t xml:space="preserve">Bifenthrin </w:t>
                      </w:r>
                    </w:p>
                    <w:p w:rsidR="009C6751" w:rsidRDefault="009C6751" w:rsidP="007636B0">
                      <w:pPr>
                        <w:spacing w:after="40"/>
                      </w:pPr>
                      <w:r>
                        <w:t>Oral TRV (TRV</w:t>
                      </w:r>
                      <w:r w:rsidRPr="00A54613">
                        <w:rPr>
                          <w:vertAlign w:val="subscript"/>
                        </w:rPr>
                        <w:t>O</w:t>
                      </w:r>
                      <w:r>
                        <w:t>) = 0.01 mg/kg/day (OCS 2012) for all pathways of exposure</w:t>
                      </w:r>
                    </w:p>
                    <w:p w:rsidR="009C6751" w:rsidRDefault="009C6751" w:rsidP="007636B0">
                      <w:pPr>
                        <w:spacing w:after="40"/>
                      </w:pPr>
                      <w:r>
                        <w:t>Dermal absorption factor (DAF) = 0.1 (or 10%) (US EPA 1995)</w:t>
                      </w:r>
                    </w:p>
                    <w:p w:rsidR="009C6751" w:rsidRDefault="009C6751" w:rsidP="007636B0">
                      <w:pPr>
                        <w:spacing w:after="40"/>
                      </w:pPr>
                      <w:r>
                        <w:t xml:space="preserve">Intakes allowable from soil (as % of TRV) = 80% </w:t>
                      </w:r>
                    </w:p>
                    <w:p w:rsidR="009C6751" w:rsidRDefault="009C6751" w:rsidP="007636B0">
                      <w:pPr>
                        <w:spacing w:after="40"/>
                      </w:pPr>
                      <w:r>
                        <w:t>Background intakes from other sources (as % of TRV):</w:t>
                      </w:r>
                    </w:p>
                    <w:p w:rsidR="009C6751" w:rsidRDefault="009C6751" w:rsidP="007636B0">
                      <w:pPr>
                        <w:spacing w:after="40"/>
                        <w:ind w:left="720"/>
                      </w:pPr>
                      <w:r>
                        <w:t>BI</w:t>
                      </w:r>
                      <w:r w:rsidRPr="002049F5">
                        <w:rPr>
                          <w:vertAlign w:val="subscript"/>
                        </w:rPr>
                        <w:t>O</w:t>
                      </w:r>
                      <w:r>
                        <w:t xml:space="preserve"> = 10% for oral and dermal intakes</w:t>
                      </w:r>
                    </w:p>
                    <w:p w:rsidR="009C6751" w:rsidRDefault="009C6751" w:rsidP="007636B0">
                      <w:pPr>
                        <w:spacing w:after="40"/>
                        <w:ind w:left="720"/>
                      </w:pPr>
                      <w:r>
                        <w:t>BIi = 10% for inhalation</w:t>
                      </w:r>
                      <w:r w:rsidDel="00C81411">
                        <w:t xml:space="preserve"> </w:t>
                      </w:r>
                    </w:p>
                    <w:p w:rsidR="009C6751" w:rsidRDefault="009C6751" w:rsidP="007636B0">
                      <w:pPr>
                        <w:spacing w:after="40"/>
                      </w:pPr>
                      <w:r>
                        <w:t>Note background intakes in areas where insecticides are regularly used may need to be considered on a site-specific basis.</w:t>
                      </w:r>
                    </w:p>
                  </w:txbxContent>
                </v:textbox>
                <w10:anchorlock/>
              </v:shape>
            </w:pict>
          </mc:Fallback>
        </mc:AlternateContent>
      </w:r>
    </w:p>
    <w:p w:rsidR="007636B0" w:rsidRDefault="007636B0" w:rsidP="007636B0">
      <w:pPr>
        <w:pStyle w:val="Heading2"/>
        <w:tabs>
          <w:tab w:val="clear" w:pos="1209"/>
        </w:tabs>
      </w:pPr>
      <w:bookmarkStart w:id="107" w:name="_Toc351714347"/>
      <w:r>
        <w:t>Calculated HILs</w:t>
      </w:r>
      <w:bookmarkEnd w:id="107"/>
    </w:p>
    <w:p w:rsidR="007636B0" w:rsidRDefault="007636B0" w:rsidP="007636B0">
      <w:r>
        <w:t>On the basis of the above, the following HILs have been derived for bifenthrin (refer to Appendix B for equations used to calculate the HILs and Appendix C for calculations):</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9"/>
        <w:gridCol w:w="1287"/>
        <w:gridCol w:w="1445"/>
        <w:gridCol w:w="1517"/>
        <w:gridCol w:w="1553"/>
        <w:gridCol w:w="1392"/>
      </w:tblGrid>
      <w:tr w:rsidR="007636B0" w:rsidRPr="001310F2" w:rsidTr="00B45DD6">
        <w:tc>
          <w:tcPr>
            <w:tcW w:w="1639" w:type="dxa"/>
            <w:vMerge w:val="restart"/>
            <w:shd w:val="clear" w:color="auto" w:fill="C6D9F1" w:themeFill="text2" w:themeFillTint="33"/>
          </w:tcPr>
          <w:p w:rsidR="007636B0" w:rsidRPr="001310F2" w:rsidRDefault="007636B0" w:rsidP="00B45DD6">
            <w:pPr>
              <w:spacing w:after="40"/>
              <w:rPr>
                <w:b/>
                <w:szCs w:val="22"/>
              </w:rPr>
            </w:pPr>
            <w:r w:rsidRPr="001310F2">
              <w:rPr>
                <w:b/>
                <w:szCs w:val="22"/>
              </w:rPr>
              <w:t>HIL Scenario</w:t>
            </w:r>
          </w:p>
        </w:tc>
        <w:tc>
          <w:tcPr>
            <w:tcW w:w="1287" w:type="dxa"/>
            <w:vMerge w:val="restart"/>
            <w:shd w:val="clear" w:color="auto" w:fill="C6D9F1" w:themeFill="text2" w:themeFillTint="33"/>
          </w:tcPr>
          <w:p w:rsidR="007636B0" w:rsidRPr="001310F2" w:rsidRDefault="007636B0" w:rsidP="00B45DD6">
            <w:pPr>
              <w:spacing w:after="40"/>
              <w:jc w:val="center"/>
              <w:rPr>
                <w:b/>
                <w:szCs w:val="22"/>
              </w:rPr>
            </w:pPr>
            <w:r w:rsidRPr="001310F2">
              <w:rPr>
                <w:b/>
                <w:szCs w:val="22"/>
              </w:rPr>
              <w:t>HIL (mg/kg)</w:t>
            </w:r>
          </w:p>
        </w:tc>
        <w:tc>
          <w:tcPr>
            <w:tcW w:w="5907" w:type="dxa"/>
            <w:gridSpan w:val="4"/>
            <w:shd w:val="clear" w:color="auto" w:fill="C6D9F1" w:themeFill="text2" w:themeFillTint="33"/>
          </w:tcPr>
          <w:p w:rsidR="007636B0" w:rsidRPr="001310F2" w:rsidRDefault="007636B0" w:rsidP="00B45DD6">
            <w:pPr>
              <w:spacing w:after="40"/>
              <w:jc w:val="center"/>
              <w:rPr>
                <w:b/>
                <w:szCs w:val="22"/>
              </w:rPr>
            </w:pPr>
            <w:r w:rsidRPr="001310F2">
              <w:rPr>
                <w:b/>
                <w:szCs w:val="22"/>
              </w:rPr>
              <w:t>Percentage Contribution from Exposure Pathways</w:t>
            </w:r>
          </w:p>
        </w:tc>
      </w:tr>
      <w:tr w:rsidR="007636B0" w:rsidRPr="001310F2" w:rsidTr="00B45DD6">
        <w:trPr>
          <w:trHeight w:val="427"/>
        </w:trPr>
        <w:tc>
          <w:tcPr>
            <w:tcW w:w="1639" w:type="dxa"/>
            <w:vMerge/>
            <w:shd w:val="clear" w:color="auto" w:fill="C6D9F1" w:themeFill="text2" w:themeFillTint="33"/>
          </w:tcPr>
          <w:p w:rsidR="007636B0" w:rsidRPr="001310F2" w:rsidRDefault="007636B0" w:rsidP="00B45DD6">
            <w:pPr>
              <w:spacing w:after="40"/>
              <w:rPr>
                <w:szCs w:val="22"/>
              </w:rPr>
            </w:pPr>
          </w:p>
        </w:tc>
        <w:tc>
          <w:tcPr>
            <w:tcW w:w="1287" w:type="dxa"/>
            <w:vMerge/>
            <w:shd w:val="clear" w:color="auto" w:fill="C6D9F1" w:themeFill="text2" w:themeFillTint="33"/>
          </w:tcPr>
          <w:p w:rsidR="007636B0" w:rsidRPr="001310F2" w:rsidRDefault="007636B0" w:rsidP="00B45DD6">
            <w:pPr>
              <w:spacing w:after="40"/>
              <w:jc w:val="center"/>
              <w:rPr>
                <w:szCs w:val="22"/>
              </w:rPr>
            </w:pPr>
          </w:p>
        </w:tc>
        <w:tc>
          <w:tcPr>
            <w:tcW w:w="1445" w:type="dxa"/>
            <w:shd w:val="clear" w:color="auto" w:fill="C6D9F1" w:themeFill="text2" w:themeFillTint="33"/>
          </w:tcPr>
          <w:p w:rsidR="007636B0" w:rsidRPr="001310F2" w:rsidRDefault="007636B0" w:rsidP="00B45DD6">
            <w:pPr>
              <w:spacing w:after="40"/>
              <w:jc w:val="center"/>
              <w:rPr>
                <w:b/>
                <w:szCs w:val="22"/>
              </w:rPr>
            </w:pPr>
            <w:r w:rsidRPr="001310F2">
              <w:rPr>
                <w:b/>
                <w:szCs w:val="22"/>
              </w:rPr>
              <w:t>Ingestion of Soil/Dust</w:t>
            </w:r>
          </w:p>
        </w:tc>
        <w:tc>
          <w:tcPr>
            <w:tcW w:w="1517" w:type="dxa"/>
            <w:shd w:val="clear" w:color="auto" w:fill="C6D9F1" w:themeFill="text2" w:themeFillTint="33"/>
          </w:tcPr>
          <w:p w:rsidR="007636B0" w:rsidRPr="001310F2" w:rsidRDefault="007636B0" w:rsidP="00B45DD6">
            <w:pPr>
              <w:spacing w:after="40"/>
              <w:jc w:val="center"/>
              <w:rPr>
                <w:b/>
                <w:szCs w:val="22"/>
              </w:rPr>
            </w:pPr>
            <w:r w:rsidRPr="001310F2">
              <w:rPr>
                <w:b/>
                <w:szCs w:val="22"/>
              </w:rPr>
              <w:t>Ingestion of Home-grown Produce</w:t>
            </w:r>
          </w:p>
        </w:tc>
        <w:tc>
          <w:tcPr>
            <w:tcW w:w="1553" w:type="dxa"/>
            <w:shd w:val="clear" w:color="auto" w:fill="C6D9F1" w:themeFill="text2" w:themeFillTint="33"/>
          </w:tcPr>
          <w:p w:rsidR="007636B0" w:rsidRPr="001310F2" w:rsidRDefault="007636B0" w:rsidP="00B45DD6">
            <w:pPr>
              <w:spacing w:after="40"/>
              <w:jc w:val="center"/>
              <w:rPr>
                <w:b/>
                <w:szCs w:val="22"/>
              </w:rPr>
            </w:pPr>
            <w:r w:rsidRPr="001310F2">
              <w:rPr>
                <w:b/>
                <w:szCs w:val="22"/>
              </w:rPr>
              <w:t>Dermal Absorption of Soil/Dust</w:t>
            </w:r>
          </w:p>
        </w:tc>
        <w:tc>
          <w:tcPr>
            <w:tcW w:w="1392" w:type="dxa"/>
            <w:shd w:val="clear" w:color="auto" w:fill="C6D9F1" w:themeFill="text2" w:themeFillTint="33"/>
          </w:tcPr>
          <w:p w:rsidR="007636B0" w:rsidRPr="001310F2" w:rsidRDefault="007636B0" w:rsidP="00B45DD6">
            <w:pPr>
              <w:spacing w:after="40"/>
              <w:jc w:val="center"/>
              <w:rPr>
                <w:b/>
                <w:szCs w:val="22"/>
              </w:rPr>
            </w:pPr>
            <w:r w:rsidRPr="001310F2">
              <w:rPr>
                <w:b/>
                <w:szCs w:val="22"/>
              </w:rPr>
              <w:t>Inhalation (dust)</w:t>
            </w:r>
          </w:p>
        </w:tc>
      </w:tr>
      <w:tr w:rsidR="007636B0" w:rsidRPr="001310F2" w:rsidTr="00B45DD6">
        <w:tc>
          <w:tcPr>
            <w:tcW w:w="1639" w:type="dxa"/>
          </w:tcPr>
          <w:p w:rsidR="007636B0" w:rsidRPr="001310F2" w:rsidRDefault="007636B0" w:rsidP="00B45DD6">
            <w:pPr>
              <w:spacing w:after="40"/>
              <w:rPr>
                <w:szCs w:val="22"/>
              </w:rPr>
            </w:pPr>
            <w:r w:rsidRPr="001310F2">
              <w:rPr>
                <w:szCs w:val="22"/>
              </w:rPr>
              <w:lastRenderedPageBreak/>
              <w:t>Residential A</w:t>
            </w:r>
          </w:p>
        </w:tc>
        <w:tc>
          <w:tcPr>
            <w:tcW w:w="1287" w:type="dxa"/>
            <w:tcMar>
              <w:right w:w="397" w:type="dxa"/>
            </w:tcMar>
          </w:tcPr>
          <w:p w:rsidR="007636B0" w:rsidRPr="001310F2" w:rsidRDefault="007636B0" w:rsidP="00B45DD6">
            <w:pPr>
              <w:spacing w:after="40"/>
              <w:jc w:val="right"/>
              <w:rPr>
                <w:szCs w:val="22"/>
              </w:rPr>
            </w:pPr>
            <w:r w:rsidRPr="001310F2">
              <w:rPr>
                <w:szCs w:val="22"/>
              </w:rPr>
              <w:t>600</w:t>
            </w:r>
          </w:p>
        </w:tc>
        <w:tc>
          <w:tcPr>
            <w:tcW w:w="1445" w:type="dxa"/>
          </w:tcPr>
          <w:p w:rsidR="007636B0" w:rsidRPr="001310F2" w:rsidRDefault="007636B0" w:rsidP="00B45DD6">
            <w:pPr>
              <w:spacing w:after="40"/>
              <w:jc w:val="center"/>
              <w:rPr>
                <w:szCs w:val="22"/>
              </w:rPr>
            </w:pPr>
            <w:r w:rsidRPr="001310F2">
              <w:rPr>
                <w:szCs w:val="22"/>
              </w:rPr>
              <w:t>43</w:t>
            </w:r>
          </w:p>
        </w:tc>
        <w:tc>
          <w:tcPr>
            <w:tcW w:w="1517" w:type="dxa"/>
          </w:tcPr>
          <w:p w:rsidR="007636B0" w:rsidRPr="001310F2" w:rsidRDefault="007636B0" w:rsidP="00B45DD6">
            <w:pPr>
              <w:spacing w:after="40"/>
              <w:jc w:val="center"/>
              <w:rPr>
                <w:szCs w:val="22"/>
              </w:rPr>
            </w:pPr>
            <w:r w:rsidRPr="001310F2">
              <w:rPr>
                <w:szCs w:val="22"/>
              </w:rPr>
              <w:t>--</w:t>
            </w:r>
          </w:p>
        </w:tc>
        <w:tc>
          <w:tcPr>
            <w:tcW w:w="1553" w:type="dxa"/>
          </w:tcPr>
          <w:p w:rsidR="007636B0" w:rsidRPr="001310F2" w:rsidRDefault="007636B0" w:rsidP="00B45DD6">
            <w:pPr>
              <w:spacing w:after="40"/>
              <w:jc w:val="center"/>
              <w:rPr>
                <w:szCs w:val="22"/>
              </w:rPr>
            </w:pPr>
            <w:r w:rsidRPr="001310F2">
              <w:rPr>
                <w:szCs w:val="22"/>
              </w:rPr>
              <w:t>57</w:t>
            </w:r>
          </w:p>
        </w:tc>
        <w:tc>
          <w:tcPr>
            <w:tcW w:w="1392" w:type="dxa"/>
          </w:tcPr>
          <w:p w:rsidR="007636B0" w:rsidRPr="001310F2" w:rsidRDefault="007636B0" w:rsidP="00B45DD6">
            <w:pPr>
              <w:spacing w:after="40"/>
              <w:jc w:val="center"/>
              <w:rPr>
                <w:szCs w:val="22"/>
              </w:rPr>
            </w:pPr>
            <w:r w:rsidRPr="001310F2">
              <w:rPr>
                <w:szCs w:val="22"/>
              </w:rPr>
              <w:t>&lt;1</w:t>
            </w:r>
          </w:p>
        </w:tc>
      </w:tr>
      <w:tr w:rsidR="007636B0" w:rsidRPr="001310F2" w:rsidTr="00B45DD6">
        <w:tc>
          <w:tcPr>
            <w:tcW w:w="1639" w:type="dxa"/>
          </w:tcPr>
          <w:p w:rsidR="007636B0" w:rsidRPr="001310F2" w:rsidRDefault="007636B0" w:rsidP="00B45DD6">
            <w:pPr>
              <w:spacing w:after="40"/>
              <w:rPr>
                <w:szCs w:val="22"/>
              </w:rPr>
            </w:pPr>
            <w:r w:rsidRPr="001310F2">
              <w:rPr>
                <w:szCs w:val="22"/>
              </w:rPr>
              <w:t>Residential B</w:t>
            </w:r>
          </w:p>
        </w:tc>
        <w:tc>
          <w:tcPr>
            <w:tcW w:w="1287" w:type="dxa"/>
            <w:tcMar>
              <w:right w:w="397" w:type="dxa"/>
            </w:tcMar>
          </w:tcPr>
          <w:p w:rsidR="007636B0" w:rsidRPr="001310F2" w:rsidRDefault="007636B0" w:rsidP="00B45DD6">
            <w:pPr>
              <w:spacing w:after="40"/>
              <w:jc w:val="right"/>
              <w:rPr>
                <w:szCs w:val="22"/>
              </w:rPr>
            </w:pPr>
            <w:r w:rsidRPr="001310F2">
              <w:rPr>
                <w:szCs w:val="22"/>
              </w:rPr>
              <w:t>840</w:t>
            </w:r>
          </w:p>
        </w:tc>
        <w:tc>
          <w:tcPr>
            <w:tcW w:w="1445" w:type="dxa"/>
          </w:tcPr>
          <w:p w:rsidR="007636B0" w:rsidRPr="001310F2" w:rsidRDefault="007636B0" w:rsidP="00B45DD6">
            <w:pPr>
              <w:spacing w:after="40"/>
              <w:jc w:val="center"/>
              <w:rPr>
                <w:szCs w:val="22"/>
              </w:rPr>
            </w:pPr>
            <w:r w:rsidRPr="001310F2">
              <w:rPr>
                <w:szCs w:val="22"/>
              </w:rPr>
              <w:t>16</w:t>
            </w:r>
          </w:p>
        </w:tc>
        <w:tc>
          <w:tcPr>
            <w:tcW w:w="1517" w:type="dxa"/>
          </w:tcPr>
          <w:p w:rsidR="007636B0" w:rsidRPr="001310F2" w:rsidRDefault="007636B0" w:rsidP="00B45DD6">
            <w:pPr>
              <w:spacing w:after="40"/>
              <w:jc w:val="center"/>
              <w:rPr>
                <w:szCs w:val="22"/>
              </w:rPr>
            </w:pPr>
            <w:r w:rsidRPr="001310F2">
              <w:rPr>
                <w:szCs w:val="22"/>
              </w:rPr>
              <w:t>--</w:t>
            </w:r>
          </w:p>
        </w:tc>
        <w:tc>
          <w:tcPr>
            <w:tcW w:w="1553" w:type="dxa"/>
          </w:tcPr>
          <w:p w:rsidR="007636B0" w:rsidRPr="001310F2" w:rsidRDefault="007636B0" w:rsidP="00B45DD6">
            <w:pPr>
              <w:spacing w:after="40"/>
              <w:jc w:val="center"/>
              <w:rPr>
                <w:szCs w:val="22"/>
              </w:rPr>
            </w:pPr>
            <w:r w:rsidRPr="001310F2">
              <w:rPr>
                <w:szCs w:val="22"/>
              </w:rPr>
              <w:t>84</w:t>
            </w:r>
          </w:p>
        </w:tc>
        <w:tc>
          <w:tcPr>
            <w:tcW w:w="1392" w:type="dxa"/>
          </w:tcPr>
          <w:p w:rsidR="007636B0" w:rsidRPr="001310F2" w:rsidRDefault="007636B0" w:rsidP="00B45DD6">
            <w:pPr>
              <w:spacing w:after="40"/>
              <w:jc w:val="center"/>
              <w:rPr>
                <w:szCs w:val="22"/>
              </w:rPr>
            </w:pPr>
            <w:r w:rsidRPr="001310F2">
              <w:rPr>
                <w:szCs w:val="22"/>
              </w:rPr>
              <w:t>&lt;1</w:t>
            </w:r>
          </w:p>
        </w:tc>
      </w:tr>
      <w:tr w:rsidR="007636B0" w:rsidRPr="001310F2" w:rsidTr="00B45DD6">
        <w:tc>
          <w:tcPr>
            <w:tcW w:w="1639" w:type="dxa"/>
          </w:tcPr>
          <w:p w:rsidR="007636B0" w:rsidRPr="001310F2" w:rsidRDefault="007636B0" w:rsidP="00B45DD6">
            <w:pPr>
              <w:spacing w:after="40"/>
              <w:rPr>
                <w:szCs w:val="22"/>
              </w:rPr>
            </w:pPr>
            <w:r w:rsidRPr="001310F2">
              <w:rPr>
                <w:szCs w:val="22"/>
              </w:rPr>
              <w:t>Recreational C</w:t>
            </w:r>
          </w:p>
        </w:tc>
        <w:tc>
          <w:tcPr>
            <w:tcW w:w="1287" w:type="dxa"/>
            <w:tcMar>
              <w:right w:w="397" w:type="dxa"/>
            </w:tcMar>
          </w:tcPr>
          <w:p w:rsidR="007636B0" w:rsidRPr="001310F2" w:rsidRDefault="007636B0" w:rsidP="00B45DD6">
            <w:pPr>
              <w:spacing w:after="40"/>
              <w:jc w:val="right"/>
              <w:rPr>
                <w:szCs w:val="22"/>
              </w:rPr>
            </w:pPr>
            <w:r w:rsidRPr="001310F2">
              <w:rPr>
                <w:szCs w:val="22"/>
              </w:rPr>
              <w:t>730</w:t>
            </w:r>
          </w:p>
        </w:tc>
        <w:tc>
          <w:tcPr>
            <w:tcW w:w="1445" w:type="dxa"/>
          </w:tcPr>
          <w:p w:rsidR="007636B0" w:rsidRPr="001310F2" w:rsidRDefault="007636B0" w:rsidP="00B45DD6">
            <w:pPr>
              <w:spacing w:after="40"/>
              <w:jc w:val="center"/>
              <w:rPr>
                <w:szCs w:val="22"/>
              </w:rPr>
            </w:pPr>
            <w:r w:rsidRPr="001310F2">
              <w:rPr>
                <w:szCs w:val="22"/>
              </w:rPr>
              <w:t>27</w:t>
            </w:r>
          </w:p>
        </w:tc>
        <w:tc>
          <w:tcPr>
            <w:tcW w:w="1517" w:type="dxa"/>
          </w:tcPr>
          <w:p w:rsidR="007636B0" w:rsidRPr="001310F2" w:rsidRDefault="007636B0" w:rsidP="00B45DD6">
            <w:pPr>
              <w:spacing w:after="40"/>
              <w:jc w:val="center"/>
              <w:rPr>
                <w:szCs w:val="22"/>
              </w:rPr>
            </w:pPr>
            <w:r w:rsidRPr="001310F2">
              <w:rPr>
                <w:szCs w:val="22"/>
              </w:rPr>
              <w:t>--</w:t>
            </w:r>
          </w:p>
        </w:tc>
        <w:tc>
          <w:tcPr>
            <w:tcW w:w="1553" w:type="dxa"/>
          </w:tcPr>
          <w:p w:rsidR="007636B0" w:rsidRPr="001310F2" w:rsidRDefault="007636B0" w:rsidP="00B45DD6">
            <w:pPr>
              <w:spacing w:after="40"/>
              <w:jc w:val="center"/>
              <w:rPr>
                <w:szCs w:val="22"/>
              </w:rPr>
            </w:pPr>
            <w:r w:rsidRPr="001310F2">
              <w:rPr>
                <w:szCs w:val="22"/>
              </w:rPr>
              <w:t>73</w:t>
            </w:r>
          </w:p>
        </w:tc>
        <w:tc>
          <w:tcPr>
            <w:tcW w:w="1392" w:type="dxa"/>
          </w:tcPr>
          <w:p w:rsidR="007636B0" w:rsidRPr="001310F2" w:rsidRDefault="007636B0" w:rsidP="00B45DD6">
            <w:pPr>
              <w:spacing w:after="40"/>
              <w:jc w:val="center"/>
              <w:rPr>
                <w:szCs w:val="22"/>
              </w:rPr>
            </w:pPr>
            <w:r w:rsidRPr="001310F2">
              <w:rPr>
                <w:szCs w:val="22"/>
              </w:rPr>
              <w:t>&lt;1</w:t>
            </w:r>
          </w:p>
        </w:tc>
      </w:tr>
      <w:tr w:rsidR="007636B0" w:rsidRPr="001310F2" w:rsidTr="00B45DD6">
        <w:tc>
          <w:tcPr>
            <w:tcW w:w="1639" w:type="dxa"/>
          </w:tcPr>
          <w:p w:rsidR="007636B0" w:rsidRPr="001310F2" w:rsidRDefault="007636B0" w:rsidP="00B45DD6">
            <w:pPr>
              <w:spacing w:after="40"/>
              <w:rPr>
                <w:szCs w:val="22"/>
              </w:rPr>
            </w:pPr>
            <w:r w:rsidRPr="001310F2">
              <w:rPr>
                <w:szCs w:val="22"/>
              </w:rPr>
              <w:t>Commercial D</w:t>
            </w:r>
          </w:p>
        </w:tc>
        <w:tc>
          <w:tcPr>
            <w:tcW w:w="1287" w:type="dxa"/>
            <w:tcMar>
              <w:right w:w="397" w:type="dxa"/>
            </w:tcMar>
          </w:tcPr>
          <w:p w:rsidR="007636B0" w:rsidRPr="001310F2" w:rsidRDefault="007636B0" w:rsidP="00B45DD6">
            <w:pPr>
              <w:spacing w:after="40"/>
              <w:jc w:val="right"/>
              <w:rPr>
                <w:szCs w:val="22"/>
              </w:rPr>
            </w:pPr>
            <w:r w:rsidRPr="001310F2">
              <w:rPr>
                <w:szCs w:val="22"/>
              </w:rPr>
              <w:t>4500</w:t>
            </w:r>
          </w:p>
        </w:tc>
        <w:tc>
          <w:tcPr>
            <w:tcW w:w="1445" w:type="dxa"/>
          </w:tcPr>
          <w:p w:rsidR="007636B0" w:rsidRPr="001310F2" w:rsidRDefault="007636B0" w:rsidP="00B45DD6">
            <w:pPr>
              <w:spacing w:after="40"/>
              <w:jc w:val="center"/>
              <w:rPr>
                <w:szCs w:val="22"/>
              </w:rPr>
            </w:pPr>
            <w:r w:rsidRPr="001310F2">
              <w:rPr>
                <w:szCs w:val="22"/>
              </w:rPr>
              <w:t>12</w:t>
            </w:r>
          </w:p>
        </w:tc>
        <w:tc>
          <w:tcPr>
            <w:tcW w:w="1517" w:type="dxa"/>
          </w:tcPr>
          <w:p w:rsidR="007636B0" w:rsidRPr="001310F2" w:rsidRDefault="007636B0" w:rsidP="00B45DD6">
            <w:pPr>
              <w:spacing w:after="40"/>
              <w:jc w:val="center"/>
              <w:rPr>
                <w:szCs w:val="22"/>
              </w:rPr>
            </w:pPr>
            <w:r w:rsidRPr="001310F2">
              <w:rPr>
                <w:szCs w:val="22"/>
              </w:rPr>
              <w:t>--</w:t>
            </w:r>
          </w:p>
        </w:tc>
        <w:tc>
          <w:tcPr>
            <w:tcW w:w="1553" w:type="dxa"/>
          </w:tcPr>
          <w:p w:rsidR="007636B0" w:rsidRPr="001310F2" w:rsidRDefault="007636B0" w:rsidP="00B45DD6">
            <w:pPr>
              <w:spacing w:after="40"/>
              <w:jc w:val="center"/>
              <w:rPr>
                <w:szCs w:val="22"/>
              </w:rPr>
            </w:pPr>
            <w:r w:rsidRPr="001310F2">
              <w:rPr>
                <w:szCs w:val="22"/>
              </w:rPr>
              <w:t>88</w:t>
            </w:r>
          </w:p>
        </w:tc>
        <w:tc>
          <w:tcPr>
            <w:tcW w:w="1392" w:type="dxa"/>
          </w:tcPr>
          <w:p w:rsidR="007636B0" w:rsidRPr="001310F2" w:rsidRDefault="007636B0" w:rsidP="00B45DD6">
            <w:pPr>
              <w:spacing w:after="40"/>
              <w:jc w:val="center"/>
              <w:rPr>
                <w:szCs w:val="22"/>
              </w:rPr>
            </w:pPr>
            <w:r w:rsidRPr="001310F2">
              <w:rPr>
                <w:szCs w:val="22"/>
              </w:rPr>
              <w:t>&lt;1</w:t>
            </w:r>
          </w:p>
        </w:tc>
      </w:tr>
    </w:tbl>
    <w:p w:rsidR="007636B0" w:rsidRPr="001310F2" w:rsidRDefault="007636B0" w:rsidP="007636B0">
      <w:pPr>
        <w:rPr>
          <w:sz w:val="18"/>
          <w:szCs w:val="18"/>
        </w:rPr>
      </w:pPr>
      <w:r w:rsidRPr="001310F2">
        <w:rPr>
          <w:sz w:val="18"/>
          <w:szCs w:val="18"/>
        </w:rPr>
        <w:t>-- Pathway not included in derivation of HIL</w:t>
      </w:r>
    </w:p>
    <w:p w:rsidR="007636B0" w:rsidRDefault="007636B0" w:rsidP="007636B0"/>
    <w:p w:rsidR="007636B0" w:rsidRDefault="007636B0" w:rsidP="007636B0">
      <w:pPr>
        <w:pStyle w:val="Heading2"/>
        <w:tabs>
          <w:tab w:val="clear" w:pos="1209"/>
        </w:tabs>
      </w:pPr>
      <w:bookmarkStart w:id="108" w:name="_Toc351714348"/>
      <w:r>
        <w:t>References</w:t>
      </w:r>
      <w:bookmarkEnd w:id="108"/>
    </w:p>
    <w:p w:rsidR="007636B0" w:rsidRPr="001310F2" w:rsidRDefault="007636B0" w:rsidP="007636B0">
      <w:pPr>
        <w:pStyle w:val="StyletextLeft0cmHanging1cm"/>
      </w:pPr>
      <w:r w:rsidRPr="001310F2">
        <w:t xml:space="preserve">ATSDR 2003, </w:t>
      </w:r>
      <w:r w:rsidRPr="001310F2">
        <w:rPr>
          <w:i/>
        </w:rPr>
        <w:t>Toxicological Profile for Pyrethrins and Pyrethroids</w:t>
      </w:r>
      <w:r w:rsidRPr="001310F2">
        <w:t>, Agency for Toxic Substances and Disease Registry, September 2003.</w:t>
      </w:r>
    </w:p>
    <w:p w:rsidR="007636B0" w:rsidRPr="001310F2" w:rsidRDefault="007636B0" w:rsidP="007636B0">
      <w:pPr>
        <w:pStyle w:val="StyletextLeft0cmHanging1cm"/>
      </w:pPr>
      <w:r w:rsidRPr="001310F2">
        <w:t xml:space="preserve">Fecko, A 1999, </w:t>
      </w:r>
      <w:r w:rsidRPr="001310F2">
        <w:rPr>
          <w:i/>
        </w:rPr>
        <w:t>Environmental Fate of Bifenthrin</w:t>
      </w:r>
      <w:r w:rsidRPr="001310F2">
        <w:t xml:space="preserve">, December 28 1999 </w:t>
      </w:r>
      <w:r w:rsidRPr="001310F2">
        <w:sym w:font="Symbol" w:char="F02D"/>
      </w:r>
      <w:r w:rsidRPr="001310F2">
        <w:t xml:space="preserve"> last update, (online), available at </w:t>
      </w:r>
      <w:hyperlink r:id="rId43" w:history="1">
        <w:r w:rsidRPr="001310F2">
          <w:rPr>
            <w:rStyle w:val="Hyperlink"/>
            <w:rFonts w:cs="Arial"/>
            <w:szCs w:val="22"/>
          </w:rPr>
          <w:t>http://www.pw.ucr.edu/textfiles/bifentn.pdf</w:t>
        </w:r>
      </w:hyperlink>
      <w:r w:rsidRPr="001310F2">
        <w:t>.</w:t>
      </w:r>
    </w:p>
    <w:p w:rsidR="007636B0" w:rsidRPr="001310F2" w:rsidRDefault="007636B0" w:rsidP="007636B0">
      <w:pPr>
        <w:pStyle w:val="StyletextLeft0cmHanging1cm"/>
        <w:rPr>
          <w:lang w:eastAsia="en-US"/>
        </w:rPr>
      </w:pPr>
      <w:r w:rsidRPr="001310F2">
        <w:rPr>
          <w:lang w:eastAsia="en-US"/>
        </w:rPr>
        <w:t xml:space="preserve">FSANZ 2011, </w:t>
      </w:r>
      <w:r w:rsidRPr="001310F2">
        <w:rPr>
          <w:i/>
          <w:lang w:eastAsia="en-US"/>
        </w:rPr>
        <w:t>The 23</w:t>
      </w:r>
      <w:r w:rsidRPr="001310F2">
        <w:rPr>
          <w:i/>
          <w:vertAlign w:val="superscript"/>
          <w:lang w:eastAsia="en-US"/>
        </w:rPr>
        <w:t>rd</w:t>
      </w:r>
      <w:r w:rsidRPr="001310F2">
        <w:rPr>
          <w:i/>
          <w:lang w:eastAsia="en-US"/>
        </w:rPr>
        <w:t xml:space="preserve"> Australian Total Diet Study</w:t>
      </w:r>
      <w:r w:rsidRPr="001310F2">
        <w:rPr>
          <w:lang w:eastAsia="en-US"/>
        </w:rPr>
        <w:t>, Food Standards Australia and New Zealand.</w:t>
      </w:r>
    </w:p>
    <w:p w:rsidR="007636B0" w:rsidRPr="001310F2" w:rsidRDefault="007636B0" w:rsidP="007636B0">
      <w:pPr>
        <w:pStyle w:val="StyletextLeft0cmHanging1cm"/>
      </w:pPr>
      <w:r w:rsidRPr="001310F2">
        <w:t xml:space="preserve">JMPR 1993, </w:t>
      </w:r>
      <w:r w:rsidRPr="001310F2">
        <w:rPr>
          <w:i/>
        </w:rPr>
        <w:t>Pesticide Residues in Food 1992, Toxicological and Environmental Evaluations, Bifenthrin</w:t>
      </w:r>
      <w:r w:rsidRPr="001310F2">
        <w:t>, Report of the joint meeting of the FAO Committee on Pesticides in Agriculture and the WHO Expert Committee on Pesticide Residues, Rome 21</w:t>
      </w:r>
      <w:r w:rsidRPr="001310F2">
        <w:sym w:font="Symbol" w:char="F02D"/>
      </w:r>
      <w:r w:rsidRPr="001310F2">
        <w:t>30 September 1992, World Health Organization, Geneva.</w:t>
      </w:r>
    </w:p>
    <w:p w:rsidR="007636B0" w:rsidRPr="001310F2" w:rsidRDefault="007636B0" w:rsidP="007636B0">
      <w:pPr>
        <w:pStyle w:val="StyletextLeft0cmHanging1cm"/>
      </w:pPr>
      <w:r w:rsidRPr="001310F2">
        <w:t xml:space="preserve">NEPC 1999, </w:t>
      </w:r>
      <w:r w:rsidRPr="001310F2">
        <w:rPr>
          <w:i/>
        </w:rPr>
        <w:t>Schedule B (7a), Guideline on Health-Based Investigation Levels, National Environment Protection (Assessment of Site Contamination) Measure</w:t>
      </w:r>
      <w:r w:rsidRPr="001310F2">
        <w:t>, National Environment Protection Council, Australia.</w:t>
      </w:r>
    </w:p>
    <w:p w:rsidR="007636B0" w:rsidRPr="001310F2" w:rsidRDefault="007636B0" w:rsidP="007636B0">
      <w:pPr>
        <w:pStyle w:val="StyletextLeft0cmHanging1cm"/>
        <w:rPr>
          <w:noProof/>
        </w:rPr>
      </w:pPr>
      <w:r w:rsidRPr="001310F2">
        <w:rPr>
          <w:noProof/>
        </w:rPr>
        <w:t xml:space="preserve">OCS 2012, </w:t>
      </w:r>
      <w:r w:rsidRPr="001310F2">
        <w:rPr>
          <w:i/>
          <w:noProof/>
        </w:rPr>
        <w:t>ADI List, Acceptable Daily Intakes for Agricultural and Veterinary Chemicals</w:t>
      </w:r>
      <w:r w:rsidRPr="001310F2">
        <w:rPr>
          <w:noProof/>
        </w:rPr>
        <w:t xml:space="preserve">, current to 31 March 2012, Australian Government, Department of Health and Ageing, Office of Chemical Safety (OCS), available from: </w:t>
      </w:r>
      <w:r w:rsidRPr="001310F2">
        <w:t>http://www.health.gov.au/internet/main/publishing.nsf/content/E8F4D2F95D616584CA2573D700770C2A/$File/ADI-apr12.pdf</w:t>
      </w:r>
    </w:p>
    <w:p w:rsidR="007636B0" w:rsidRPr="001310F2" w:rsidRDefault="007636B0" w:rsidP="007636B0">
      <w:pPr>
        <w:pStyle w:val="StyletextLeft0cmHanging1cm"/>
      </w:pPr>
      <w:r w:rsidRPr="001310F2">
        <w:rPr>
          <w:noProof/>
        </w:rPr>
        <w:t xml:space="preserve">Richards, G 2003, ‘Suspected Pesticide Poisoning: A Back-of-the-envelope Health Risk Assessment’, </w:t>
      </w:r>
      <w:r w:rsidRPr="001310F2">
        <w:rPr>
          <w:i/>
          <w:noProof/>
        </w:rPr>
        <w:t>NSW Public Health Bulletin</w:t>
      </w:r>
      <w:r w:rsidRPr="001310F2">
        <w:rPr>
          <w:noProof/>
        </w:rPr>
        <w:t>, vol .14, No 8, pp. 168</w:t>
      </w:r>
      <w:r w:rsidRPr="001310F2">
        <w:rPr>
          <w:noProof/>
        </w:rPr>
        <w:sym w:font="Symbol" w:char="F02D"/>
      </w:r>
      <w:r w:rsidRPr="001310F2">
        <w:rPr>
          <w:noProof/>
        </w:rPr>
        <w:t>170.</w:t>
      </w:r>
    </w:p>
    <w:p w:rsidR="007636B0" w:rsidRPr="001310F2" w:rsidRDefault="007636B0" w:rsidP="007636B0">
      <w:pPr>
        <w:pStyle w:val="StyletextLeft0cmHanging1cm"/>
        <w:rPr>
          <w:lang w:eastAsia="en-US"/>
        </w:rPr>
      </w:pPr>
      <w:r w:rsidRPr="001310F2">
        <w:rPr>
          <w:lang w:eastAsia="en-US"/>
        </w:rPr>
        <w:t xml:space="preserve">RIVM 2001, </w:t>
      </w:r>
      <w:r w:rsidRPr="001310F2">
        <w:rPr>
          <w:i/>
          <w:lang w:eastAsia="en-US"/>
        </w:rPr>
        <w:t>Re-evaluation of human-toxicological Maximum Permissible Risk levels</w:t>
      </w:r>
      <w:r w:rsidRPr="001310F2">
        <w:rPr>
          <w:lang w:eastAsia="en-US"/>
        </w:rPr>
        <w:t xml:space="preserve">, National Institute of Public Health and the Environment, Bilthoven, Netherlands, available from: </w:t>
      </w:r>
      <w:hyperlink r:id="rId44" w:history="1">
        <w:r w:rsidRPr="001310F2">
          <w:rPr>
            <w:rStyle w:val="Hyperlink"/>
            <w:rFonts w:cs="Arial"/>
            <w:szCs w:val="22"/>
            <w:lang w:eastAsia="en-US"/>
          </w:rPr>
          <w:t>http://www.rivm.nl/bibliotheek/rapporten/711701025.html</w:t>
        </w:r>
      </w:hyperlink>
      <w:r w:rsidRPr="001310F2">
        <w:rPr>
          <w:lang w:eastAsia="en-US"/>
        </w:rPr>
        <w:t>.</w:t>
      </w:r>
    </w:p>
    <w:p w:rsidR="007636B0" w:rsidRPr="001310F2" w:rsidRDefault="007636B0" w:rsidP="007636B0">
      <w:pPr>
        <w:pStyle w:val="StyletextLeft0cmHanging1cm"/>
      </w:pPr>
      <w:r w:rsidRPr="001310F2">
        <w:t>Taylor, S &amp; Di Marco, P 2003, ‘</w:t>
      </w:r>
      <w:r w:rsidRPr="001310F2">
        <w:rPr>
          <w:iCs/>
        </w:rPr>
        <w:t xml:space="preserve">Health Based Investigation Level for Bifenthrin in Soil’, </w:t>
      </w:r>
      <w:r w:rsidRPr="001310F2">
        <w:t xml:space="preserve">proceedings of the </w:t>
      </w:r>
      <w:r w:rsidRPr="001310F2">
        <w:rPr>
          <w:i/>
        </w:rPr>
        <w:t>fifth National Workshop on the Assessment of Site Contamination</w:t>
      </w:r>
      <w:r w:rsidRPr="001310F2">
        <w:t>, National Environment Protection Council, Environment Protection and Heritage Council, Australia.</w:t>
      </w:r>
    </w:p>
    <w:p w:rsidR="007636B0" w:rsidRPr="001310F2" w:rsidRDefault="007636B0" w:rsidP="007636B0">
      <w:pPr>
        <w:pStyle w:val="StyletextLeft0cmHanging1cm"/>
      </w:pPr>
      <w:r w:rsidRPr="001310F2">
        <w:t xml:space="preserve">US EPA 1995, </w:t>
      </w:r>
      <w:r w:rsidRPr="001310F2">
        <w:rPr>
          <w:i/>
        </w:rPr>
        <w:t>Technical Guidance Manual, Assessing Dermal Exposure from Soil</w:t>
      </w:r>
      <w:r w:rsidRPr="001310F2">
        <w:t xml:space="preserve">, US EPA Region 3, December 1995, available from: </w:t>
      </w:r>
      <w:hyperlink r:id="rId45" w:history="1">
        <w:r w:rsidRPr="001310F2">
          <w:rPr>
            <w:rStyle w:val="Hyperlink"/>
            <w:szCs w:val="22"/>
          </w:rPr>
          <w:t>http://www.epa.gov/reg3hwmd/risk/human/info/solabsg2.htm</w:t>
        </w:r>
      </w:hyperlink>
      <w:r w:rsidRPr="001310F2">
        <w:t>.</w:t>
      </w:r>
    </w:p>
    <w:p w:rsidR="007636B0" w:rsidRPr="001310F2" w:rsidRDefault="007636B0" w:rsidP="007636B0">
      <w:pPr>
        <w:pStyle w:val="StyletextLeft0cmHanging1cm"/>
      </w:pPr>
      <w:r w:rsidRPr="001310F2">
        <w:t xml:space="preserve">US EPA 1999, </w:t>
      </w:r>
      <w:r w:rsidRPr="001310F2">
        <w:rPr>
          <w:i/>
          <w:iCs/>
        </w:rPr>
        <w:t>Environmental Fate Assessment for the Synthetic Pyrethroids</w:t>
      </w:r>
      <w:r w:rsidRPr="001310F2">
        <w:t xml:space="preserve">. Environmental Fate Effects Division, United States Environment Protection Authority, </w:t>
      </w:r>
      <w:hyperlink r:id="rId46" w:history="1">
        <w:r w:rsidRPr="001310F2">
          <w:rPr>
            <w:rStyle w:val="Hyperlink"/>
            <w:szCs w:val="22"/>
          </w:rPr>
          <w:t>www.epa.gov:80/opp00001/SAP/1999/february/pyreth.pdf</w:t>
        </w:r>
      </w:hyperlink>
      <w:r w:rsidRPr="001310F2">
        <w:t>.</w:t>
      </w:r>
    </w:p>
    <w:p w:rsidR="007636B0" w:rsidRPr="001310F2" w:rsidRDefault="007636B0" w:rsidP="007636B0">
      <w:pPr>
        <w:pStyle w:val="StyletextLeft0cmHanging1cm"/>
      </w:pPr>
      <w:r w:rsidRPr="001310F2">
        <w:t xml:space="preserve">US EPA (IRIS 2012), data and information available from the </w:t>
      </w:r>
      <w:r w:rsidRPr="001310F2">
        <w:rPr>
          <w:i/>
        </w:rPr>
        <w:t>Integrated Risk Information System</w:t>
      </w:r>
      <w:r w:rsidRPr="001310F2">
        <w:t xml:space="preserve">, an online database, available from </w:t>
      </w:r>
      <w:hyperlink r:id="rId47" w:history="1">
        <w:r w:rsidRPr="001310F2">
          <w:rPr>
            <w:rStyle w:val="Hyperlink"/>
            <w:szCs w:val="22"/>
          </w:rPr>
          <w:t>http://www.epa.gov/iris/</w:t>
        </w:r>
      </w:hyperlink>
      <w:r w:rsidRPr="001310F2">
        <w:t>.</w:t>
      </w:r>
    </w:p>
    <w:p w:rsidR="007636B0" w:rsidRPr="001310F2" w:rsidRDefault="007636B0" w:rsidP="007636B0">
      <w:pPr>
        <w:pStyle w:val="StyletextLeft0cmHanging1cm"/>
      </w:pPr>
    </w:p>
    <w:p w:rsidR="007636B0" w:rsidRDefault="007636B0" w:rsidP="007636B0">
      <w:pPr>
        <w:pStyle w:val="Glossary"/>
      </w:pPr>
    </w:p>
    <w:p w:rsidR="007636B0" w:rsidRDefault="007636B0" w:rsidP="007636B0">
      <w:pPr>
        <w:pStyle w:val="Heading1"/>
        <w:tabs>
          <w:tab w:val="clear" w:pos="1209"/>
          <w:tab w:val="num" w:pos="720"/>
        </w:tabs>
      </w:pPr>
      <w:bookmarkStart w:id="109" w:name="_Toc351714349"/>
      <w:r>
        <w:lastRenderedPageBreak/>
        <w:t>Shortened forms</w:t>
      </w:r>
      <w:bookmarkEnd w:id="109"/>
    </w:p>
    <w:tbl>
      <w:tblPr>
        <w:tblW w:w="8761" w:type="dxa"/>
        <w:tblInd w:w="136" w:type="dxa"/>
        <w:tblLayout w:type="fixed"/>
        <w:tblLook w:val="0000" w:firstRow="0" w:lastRow="0" w:firstColumn="0" w:lastColumn="0" w:noHBand="0" w:noVBand="0"/>
      </w:tblPr>
      <w:tblGrid>
        <w:gridCol w:w="1673"/>
        <w:gridCol w:w="7088"/>
      </w:tblGrid>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ADI</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acceptable daily intake</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ADWG</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Australian Drinking Water Guidelines</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AI</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adequate intake</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ANZECC</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Australia and New Zealand Environment and Conservation Council</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APVMA</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Australian Pesticides and Veterinary Medicines Authority</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ATDS</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Australian Total Diet Survey</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ATSDR</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Agency for Toxic Substances and Disease Registry</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BA</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bioavailability</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BI</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background intake</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BMD</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benchmark dose</w:t>
            </w:r>
          </w:p>
        </w:tc>
      </w:tr>
      <w:tr w:rsidR="007636B0" w:rsidRPr="001310F2" w:rsidTr="00B45DD6">
        <w:trPr>
          <w:cantSplit/>
          <w:trHeight w:hRule="exact" w:val="454"/>
        </w:trPr>
        <w:tc>
          <w:tcPr>
            <w:tcW w:w="1673" w:type="dxa"/>
            <w:shd w:val="clear" w:color="auto" w:fill="auto"/>
          </w:tcPr>
          <w:p w:rsidR="007636B0" w:rsidRPr="001310F2" w:rsidDel="0001713B"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BMDL</w:t>
            </w:r>
          </w:p>
        </w:tc>
        <w:tc>
          <w:tcPr>
            <w:tcW w:w="7088" w:type="dxa"/>
            <w:shd w:val="clear" w:color="auto" w:fill="auto"/>
          </w:tcPr>
          <w:p w:rsidR="007636B0" w:rsidRPr="001310F2" w:rsidDel="0001713B"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Benchmark dose lower confidence limit</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CCME</w:t>
            </w:r>
          </w:p>
        </w:tc>
        <w:tc>
          <w:tcPr>
            <w:tcW w:w="7088" w:type="dxa"/>
            <w:shd w:val="clear" w:color="auto" w:fill="auto"/>
          </w:tcPr>
          <w:p w:rsidR="007636B0" w:rsidRPr="001310F2" w:rsidRDefault="007636B0" w:rsidP="00B45DD6">
            <w:pPr>
              <w:pStyle w:val="TableBody"/>
              <w:spacing w:before="20" w:after="20"/>
              <w:rPr>
                <w:rFonts w:ascii="Book Antiqua" w:hAnsi="Book Antiqua"/>
                <w:color w:val="000000"/>
                <w:sz w:val="22"/>
                <w:szCs w:val="22"/>
              </w:rPr>
            </w:pPr>
            <w:r w:rsidRPr="001310F2">
              <w:rPr>
                <w:rFonts w:ascii="Book Antiqua" w:hAnsi="Book Antiqua"/>
                <w:color w:val="000000"/>
                <w:sz w:val="22"/>
                <w:szCs w:val="22"/>
              </w:rPr>
              <w:t>Canadian Council of Ministers of the Environment</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CICAD</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color w:val="000000"/>
                <w:sz w:val="22"/>
                <w:szCs w:val="22"/>
              </w:rPr>
              <w:t>Concise International Chemicals Assessment Document</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CNS</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central nervous system</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DAF</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dermal absorption factor</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DW</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dry weight</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EA</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Environment Agency (England and Wales)</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EHC</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Environmental Health Criteria</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EPA</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Environment Protection Authority</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FSANZ</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Food Standards Australia and New Zealand</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GAF</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gastrointestinal absorption factor</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HCB</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hexachlorobenzene</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HEC</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human equivalent concentration</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HED</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human equivalent dose</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HIARC</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Hazard Identification Assessment Review Committee</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HIL</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health investigation level</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HSDB</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Hazardous Substances Data Bank</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HSL</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health screening level</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IARC</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International Agency for Research on Cancer</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IEUBK</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Integrated exposure uptake biokinetic model</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lastRenderedPageBreak/>
              <w:t>IRIS</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Integrated Risk Information System</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JECFA</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color w:val="000000"/>
                <w:sz w:val="22"/>
                <w:szCs w:val="22"/>
              </w:rPr>
              <w:t>Joint FAO/WHO Expert Committee on Food Additives</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JMPR</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color w:val="000000"/>
                <w:sz w:val="22"/>
                <w:szCs w:val="22"/>
              </w:rPr>
              <w:t>WHO/FAO Joint Meeting on Pesticide Residues</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LOAEL</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lowest observed adverse effect level</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LOEL</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lowest observed effect level</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MF</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modifying factor</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MOA</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mode (or mechanism) of action</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MRL</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maximum residue limit</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MRL</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minimal risk level</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NDI</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negligible daily intake</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NEPC</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National Environment Protection Council</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NEPM</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National Environment Protection Measure</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NHMRC</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National Health and Medical Research Council</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NOAEL</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no observable adverse effect level</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NOEL</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no observable effect level</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NSW DECC</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New South Wales Department of Environment and Climate Change</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OCS</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Office of Chemical Safety</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POP</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persistent organic pollutant</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PTDI</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provisional tolerable daily intake</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PTMI</w:t>
            </w:r>
          </w:p>
        </w:tc>
        <w:tc>
          <w:tcPr>
            <w:tcW w:w="7088" w:type="dxa"/>
            <w:shd w:val="clear" w:color="auto" w:fill="auto"/>
          </w:tcPr>
          <w:p w:rsidR="007636B0" w:rsidRPr="001310F2" w:rsidRDefault="007636B0" w:rsidP="00B45DD6">
            <w:pPr>
              <w:pStyle w:val="TableBody"/>
              <w:spacing w:before="20" w:after="20"/>
              <w:rPr>
                <w:rFonts w:ascii="Book Antiqua" w:hAnsi="Book Antiqua"/>
                <w:i/>
                <w:color w:val="1F497D"/>
                <w:sz w:val="22"/>
                <w:szCs w:val="22"/>
              </w:rPr>
            </w:pPr>
            <w:r w:rsidRPr="001310F2">
              <w:rPr>
                <w:rFonts w:ascii="Book Antiqua" w:hAnsi="Book Antiqua"/>
                <w:sz w:val="22"/>
                <w:szCs w:val="22"/>
              </w:rPr>
              <w:t>provisional tolerable monthly intake</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PTWI</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provisional tolerable weekly intake</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RAIS</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Risk Assessment Information System</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RDI</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recommended daily intake</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REL</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reference exposure level</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RfC</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reference concentration</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RfD</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reference dose</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RME</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reasonable maximum exposure</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SF</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slope factor</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TC</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tolerable concentration</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TD</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tumorigenic dose</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TDI</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tolerable daily intake</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lastRenderedPageBreak/>
              <w:t>TRV</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toxicity reference value</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UF</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uncertainty factor</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UL</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upper limit</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UR</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unit risk</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US EPA</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United States Environmental Protection Agency</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WHO</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World Health Organization</w:t>
            </w:r>
          </w:p>
        </w:tc>
      </w:tr>
      <w:tr w:rsidR="007636B0" w:rsidRPr="001310F2" w:rsidTr="00B45DD6">
        <w:trPr>
          <w:cantSplit/>
          <w:trHeight w:hRule="exact" w:val="454"/>
        </w:trPr>
        <w:tc>
          <w:tcPr>
            <w:tcW w:w="1673" w:type="dxa"/>
            <w:shd w:val="clear" w:color="auto" w:fill="auto"/>
          </w:tcPr>
          <w:p w:rsidR="007636B0" w:rsidRPr="001310F2" w:rsidRDefault="007636B0" w:rsidP="00B45DD6">
            <w:pPr>
              <w:pStyle w:val="TableBody"/>
              <w:spacing w:before="20" w:after="20"/>
              <w:rPr>
                <w:rFonts w:ascii="Book Antiqua" w:hAnsi="Book Antiqua"/>
                <w:b/>
                <w:sz w:val="22"/>
                <w:szCs w:val="22"/>
              </w:rPr>
            </w:pPr>
            <w:r w:rsidRPr="001310F2">
              <w:rPr>
                <w:rFonts w:ascii="Book Antiqua" w:hAnsi="Book Antiqua"/>
                <w:b/>
                <w:sz w:val="22"/>
                <w:szCs w:val="22"/>
              </w:rPr>
              <w:t>WHO DWG</w:t>
            </w:r>
          </w:p>
        </w:tc>
        <w:tc>
          <w:tcPr>
            <w:tcW w:w="7088" w:type="dxa"/>
            <w:shd w:val="clear" w:color="auto" w:fill="auto"/>
          </w:tcPr>
          <w:p w:rsidR="007636B0" w:rsidRPr="001310F2" w:rsidRDefault="007636B0" w:rsidP="00B45DD6">
            <w:pPr>
              <w:pStyle w:val="TableBody"/>
              <w:spacing w:before="20" w:after="20"/>
              <w:rPr>
                <w:rFonts w:ascii="Book Antiqua" w:hAnsi="Book Antiqua"/>
                <w:sz w:val="22"/>
                <w:szCs w:val="22"/>
              </w:rPr>
            </w:pPr>
            <w:r w:rsidRPr="001310F2">
              <w:rPr>
                <w:rFonts w:ascii="Book Antiqua" w:hAnsi="Book Antiqua"/>
                <w:sz w:val="22"/>
                <w:szCs w:val="22"/>
              </w:rPr>
              <w:t>World Health Organization Drinking Water Guidelines</w:t>
            </w:r>
          </w:p>
        </w:tc>
      </w:tr>
    </w:tbl>
    <w:p w:rsidR="009C6751" w:rsidRDefault="009C6751" w:rsidP="009C6751">
      <w:pPr>
        <w:pStyle w:val="text"/>
      </w:pPr>
      <w:r>
        <w:t xml:space="preserve"> </w:t>
      </w:r>
    </w:p>
    <w:p w:rsidR="005E772B" w:rsidRDefault="005E772B" w:rsidP="005E772B">
      <w:pPr>
        <w:sectPr w:rsidR="005E772B" w:rsidSect="009C6751">
          <w:headerReference w:type="even" r:id="rId48"/>
          <w:headerReference w:type="default" r:id="rId49"/>
          <w:footerReference w:type="default" r:id="rId50"/>
          <w:headerReference w:type="first" r:id="rId51"/>
          <w:pgSz w:w="11906" w:h="16838" w:code="9"/>
          <w:pgMar w:top="1134" w:right="1134" w:bottom="1418" w:left="1701" w:header="720" w:footer="567" w:gutter="0"/>
          <w:paperSrc w:first="2" w:other="2"/>
          <w:pgNumType w:start="1"/>
          <w:cols w:space="720"/>
        </w:sectPr>
      </w:pPr>
    </w:p>
    <w:p w:rsidR="007636B0" w:rsidRDefault="007636B0" w:rsidP="005E772B"/>
    <w:sectPr w:rsidR="007636B0" w:rsidSect="005E772B">
      <w:headerReference w:type="even" r:id="rId52"/>
      <w:headerReference w:type="default" r:id="rId53"/>
      <w:footerReference w:type="even" r:id="rId54"/>
      <w:footerReference w:type="default" r:id="rId55"/>
      <w:headerReference w:type="first" r:id="rId56"/>
      <w:footerReference w:type="first" r:id="rId57"/>
      <w:type w:val="continuous"/>
      <w:pgSz w:w="11906" w:h="16838" w:code="9"/>
      <w:pgMar w:top="1134" w:right="1134" w:bottom="1418" w:left="1701" w:header="720" w:footer="567" w:gutter="0"/>
      <w:paperSrc w:first="2" w:other="2"/>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97F" w:rsidRDefault="00A0097F" w:rsidP="00664C63">
      <w:pPr>
        <w:spacing w:line="240" w:lineRule="auto"/>
      </w:pPr>
      <w:r>
        <w:separator/>
      </w:r>
    </w:p>
  </w:endnote>
  <w:endnote w:type="continuationSeparator" w:id="0">
    <w:p w:rsidR="00A0097F" w:rsidRDefault="00A0097F"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embedRegular r:id="rId1" w:fontKey="{37F6F5B4-8055-4F5A-A946-D57C5CE6EBE8}"/>
    <w:embedBold r:id="rId2" w:fontKey="{8E3DFB39-E469-4EDD-A7A9-1CCAABD31EA0}"/>
    <w:embedItalic r:id="rId3" w:fontKey="{A870562C-F2AC-48C2-98EA-04793E2C3955}"/>
  </w:font>
  <w:font w:name="Calibri">
    <w:panose1 w:val="020F0502020204030204"/>
    <w:charset w:val="00"/>
    <w:family w:val="swiss"/>
    <w:pitch w:val="variable"/>
    <w:sig w:usb0="E10002FF" w:usb1="4000ACFF" w:usb2="00000009" w:usb3="00000000" w:csb0="0000019F" w:csb1="00000000"/>
    <w:embedRegular r:id="rId4" w:subsetted="1" w:fontKey="{78819704-C636-48F7-AC99-5646DA0CCA8E}"/>
    <w:embedBold r:id="rId5" w:subsetted="1" w:fontKey="{F961A7D9-78BB-449F-92F0-EC89A50F268B}"/>
  </w:font>
  <w:font w:name="Arial Bol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embedBold r:id="rId6" w:subsetted="1" w:fontKey="{D63E4FF5-1DC4-4338-BCFA-326649C22D2A}"/>
  </w:font>
  <w:font w:name="Kozuka Mincho Pro B">
    <w:panose1 w:val="00000000000000000000"/>
    <w:charset w:val="80"/>
    <w:family w:val="roman"/>
    <w:notTrueType/>
    <w:pitch w:val="variable"/>
    <w:sig w:usb0="00000283" w:usb1="2AC71C11" w:usb2="00000012" w:usb3="00000000" w:csb0="00020005" w:csb1="00000000"/>
  </w:font>
  <w:font w:name="IIHGN H+ Times">
    <w:altName w:val="Times New Roman"/>
    <w:panose1 w:val="00000000000000000000"/>
    <w:charset w:val="00"/>
    <w:family w:val="roman"/>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97F" w:rsidRDefault="00A009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A0097F" w:rsidRDefault="00A009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106" w:rsidRPr="00F46106" w:rsidRDefault="00F46106" w:rsidP="00F46106">
    <w:pPr>
      <w:pStyle w:val="Footer"/>
      <w:rPr>
        <w:rFonts w:ascii="Arial" w:hAnsi="Arial" w:cs="Arial"/>
        <w:sz w:val="14"/>
      </w:rPr>
    </w:pPr>
    <w:r>
      <w:rPr>
        <w:rFonts w:ascii="Arial" w:hAnsi="Arial" w:cs="Arial"/>
        <w:sz w:val="14"/>
      </w:rPr>
      <w:t>OPC50357</w:t>
    </w:r>
    <w:r w:rsidRPr="00F46106">
      <w:rPr>
        <w:rFonts w:ascii="Arial" w:hAnsi="Arial" w:cs="Arial"/>
        <w:sz w:val="14"/>
      </w:rPr>
      <w:t xml:space="preserve">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106" w:rsidRPr="00F46106" w:rsidRDefault="00F46106" w:rsidP="00F46106">
    <w:pPr>
      <w:pStyle w:val="text"/>
      <w:jc w:val="left"/>
      <w:rPr>
        <w:rFonts w:ascii="Arial" w:hAnsi="Arial" w:cs="Arial"/>
        <w:sz w:val="14"/>
      </w:rPr>
    </w:pPr>
    <w:r>
      <w:rPr>
        <w:rFonts w:ascii="Arial" w:hAnsi="Arial" w:cs="Arial"/>
        <w:sz w:val="14"/>
      </w:rPr>
      <w:t>OPC50357</w:t>
    </w:r>
    <w:r w:rsidRPr="00F46106">
      <w:rPr>
        <w:rFonts w:ascii="Arial" w:hAnsi="Arial" w:cs="Arial"/>
        <w:sz w:val="14"/>
      </w:rPr>
      <w:t xml:space="preserve">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97F" w:rsidRPr="00F46106" w:rsidRDefault="00F46106" w:rsidP="00F46106">
    <w:pPr>
      <w:pStyle w:val="text"/>
      <w:jc w:val="left"/>
      <w:rPr>
        <w:rFonts w:ascii="Arial" w:hAnsi="Arial" w:cs="Arial"/>
        <w:sz w:val="14"/>
      </w:rPr>
    </w:pPr>
    <w:r>
      <w:rPr>
        <w:rFonts w:ascii="Arial" w:hAnsi="Arial" w:cs="Arial"/>
        <w:sz w:val="14"/>
      </w:rPr>
      <w:t>OPC50357</w:t>
    </w:r>
    <w:r w:rsidRPr="00F46106">
      <w:rPr>
        <w:rFonts w:ascii="Arial" w:hAnsi="Arial" w:cs="Arial"/>
        <w:sz w:val="14"/>
      </w:rPr>
      <w:t xml:space="preserve">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97F" w:rsidRPr="00F46106" w:rsidRDefault="00A0097F" w:rsidP="00F46106">
    <w:pPr>
      <w:pStyle w:val="Footer"/>
      <w:framePr w:wrap="around" w:vAnchor="text" w:hAnchor="page" w:x="10651" w:y="215"/>
      <w:rPr>
        <w:rStyle w:val="PageNumber"/>
        <w:rFonts w:ascii="Arial" w:hAnsi="Arial" w:cs="Arial"/>
        <w:sz w:val="14"/>
      </w:rPr>
    </w:pPr>
    <w:r w:rsidRPr="00F46106">
      <w:rPr>
        <w:rStyle w:val="PageNumber"/>
        <w:rFonts w:ascii="Arial" w:hAnsi="Arial" w:cs="Arial"/>
        <w:sz w:val="14"/>
      </w:rPr>
      <w:fldChar w:fldCharType="begin"/>
    </w:r>
    <w:r w:rsidRPr="00F46106">
      <w:rPr>
        <w:rStyle w:val="PageNumber"/>
        <w:rFonts w:ascii="Arial" w:hAnsi="Arial" w:cs="Arial"/>
        <w:sz w:val="14"/>
      </w:rPr>
      <w:instrText xml:space="preserve">PAGE  </w:instrText>
    </w:r>
    <w:r w:rsidRPr="00F46106">
      <w:rPr>
        <w:rStyle w:val="PageNumber"/>
        <w:rFonts w:ascii="Arial" w:hAnsi="Arial" w:cs="Arial"/>
        <w:sz w:val="14"/>
      </w:rPr>
      <w:fldChar w:fldCharType="separate"/>
    </w:r>
    <w:r w:rsidR="00F46106">
      <w:rPr>
        <w:rStyle w:val="PageNumber"/>
        <w:rFonts w:ascii="Arial" w:hAnsi="Arial" w:cs="Arial"/>
        <w:noProof/>
        <w:sz w:val="14"/>
      </w:rPr>
      <w:t>38</w:t>
    </w:r>
    <w:r w:rsidRPr="00F46106">
      <w:rPr>
        <w:rStyle w:val="PageNumber"/>
        <w:rFonts w:ascii="Arial" w:hAnsi="Arial" w:cs="Arial"/>
        <w:sz w:val="14"/>
      </w:rPr>
      <w:fldChar w:fldCharType="end"/>
    </w:r>
  </w:p>
  <w:p w:rsidR="00F46106" w:rsidRDefault="00A0097F" w:rsidP="00F46106">
    <w:pPr>
      <w:pBdr>
        <w:top w:val="single" w:sz="4" w:space="5" w:color="auto"/>
      </w:pBdr>
      <w:tabs>
        <w:tab w:val="right" w:pos="9071"/>
      </w:tabs>
      <w:ind w:right="-1"/>
      <w:rPr>
        <w:rFonts w:ascii="Arial" w:hAnsi="Arial" w:cs="Arial"/>
        <w:sz w:val="14"/>
        <w:szCs w:val="16"/>
      </w:rPr>
    </w:pPr>
    <w:r w:rsidRPr="00F46106">
      <w:rPr>
        <w:rFonts w:ascii="Arial" w:hAnsi="Arial" w:cs="Arial"/>
        <w:sz w:val="14"/>
        <w:szCs w:val="16"/>
      </w:rPr>
      <w:t xml:space="preserve">Schedule B7 – </w:t>
    </w:r>
    <w:r w:rsidR="00C009BA" w:rsidRPr="00F46106">
      <w:rPr>
        <w:rFonts w:ascii="Arial" w:hAnsi="Arial" w:cs="Arial"/>
        <w:sz w:val="14"/>
        <w:szCs w:val="16"/>
      </w:rPr>
      <w:t>APPENDIX A4 The Derivation of HILs for Herbicides and Other Pesticides</w:t>
    </w:r>
    <w:r w:rsidRPr="00F46106">
      <w:rPr>
        <w:rFonts w:ascii="Arial" w:hAnsi="Arial" w:cs="Arial"/>
        <w:sz w:val="14"/>
        <w:szCs w:val="16"/>
      </w:rPr>
      <w:tab/>
    </w:r>
  </w:p>
  <w:p w:rsidR="00A0097F" w:rsidRPr="00F46106" w:rsidRDefault="00F46106" w:rsidP="00F46106">
    <w:pPr>
      <w:pBdr>
        <w:top w:val="single" w:sz="4" w:space="5" w:color="auto"/>
      </w:pBdr>
      <w:tabs>
        <w:tab w:val="right" w:pos="9071"/>
      </w:tabs>
      <w:ind w:right="-1"/>
      <w:rPr>
        <w:rFonts w:ascii="Arial" w:hAnsi="Arial" w:cs="Arial"/>
        <w:sz w:val="14"/>
        <w:szCs w:val="16"/>
      </w:rPr>
    </w:pPr>
    <w:r>
      <w:rPr>
        <w:rFonts w:ascii="Arial" w:hAnsi="Arial" w:cs="Arial"/>
        <w:sz w:val="14"/>
        <w:szCs w:val="16"/>
      </w:rPr>
      <w:t>OPC50357</w:t>
    </w:r>
    <w:r w:rsidRPr="00F46106">
      <w:rPr>
        <w:rFonts w:ascii="Arial" w:hAnsi="Arial" w:cs="Arial"/>
        <w:sz w:val="14"/>
        <w:szCs w:val="16"/>
      </w:rPr>
      <w:t xml:space="preserve">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97F" w:rsidRPr="00BB4623" w:rsidRDefault="00A0097F" w:rsidP="00FA3991">
    <w:pPr>
      <w:pBdr>
        <w:top w:val="single" w:sz="6" w:space="1" w:color="auto"/>
      </w:pBdr>
      <w:spacing w:before="120"/>
      <w:jc w:val="right"/>
      <w:rPr>
        <w:sz w:val="18"/>
      </w:rPr>
    </w:pPr>
  </w:p>
  <w:p w:rsidR="00A0097F" w:rsidRPr="00BB4623" w:rsidRDefault="00A0097F"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Pr>
        <w:i/>
        <w:noProof/>
        <w:sz w:val="18"/>
      </w:rPr>
      <w:t>55</w:t>
    </w:r>
    <w:r w:rsidRPr="00BB4623">
      <w:rPr>
        <w:i/>
        <w:sz w:val="18"/>
      </w:rPr>
      <w:fldChar w:fldCharType="end"/>
    </w:r>
  </w:p>
  <w:p w:rsidR="00A0097F" w:rsidRPr="00BB4623" w:rsidRDefault="00A0097F" w:rsidP="00664C63">
    <w:pPr>
      <w:jc w:val="right"/>
      <w:rPr>
        <w:i/>
        <w:sz w:val="18"/>
      </w:rPr>
    </w:pPr>
    <w:r>
      <w:rPr>
        <w:i/>
        <w:noProof/>
        <w:sz w:val="18"/>
      </w:rPr>
      <w:t>I13KE132.v01.docx</w:t>
    </w:r>
    <w:r w:rsidRPr="00BB4623">
      <w:rPr>
        <w:i/>
        <w:sz w:val="18"/>
      </w:rPr>
      <w:t xml:space="preserve">  </w:t>
    </w:r>
    <w:r>
      <w:rPr>
        <w:i/>
        <w:noProof/>
        <w:sz w:val="18"/>
      </w:rPr>
      <w:t>12/3/2013 1:24 PM</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97F" w:rsidRPr="00F46106" w:rsidRDefault="00A0097F" w:rsidP="00A6121F">
    <w:pPr>
      <w:pBdr>
        <w:top w:val="single" w:sz="6" w:space="1" w:color="auto"/>
      </w:pBdr>
      <w:spacing w:line="0" w:lineRule="atLeast"/>
      <w:rPr>
        <w:rFonts w:ascii="Arial" w:hAnsi="Arial" w:cs="Arial"/>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A0097F" w:rsidRPr="00F46106" w:rsidTr="006C5791">
      <w:tc>
        <w:tcPr>
          <w:tcW w:w="8472" w:type="dxa"/>
        </w:tcPr>
        <w:p w:rsidR="00A0097F" w:rsidRPr="00F46106" w:rsidRDefault="00A0097F" w:rsidP="00A6121F">
          <w:pPr>
            <w:spacing w:line="0" w:lineRule="atLeast"/>
            <w:jc w:val="right"/>
            <w:rPr>
              <w:rFonts w:ascii="Arial" w:hAnsi="Arial" w:cs="Arial"/>
              <w:i/>
              <w:sz w:val="14"/>
            </w:rPr>
          </w:pPr>
          <w:r w:rsidRPr="00F46106">
            <w:rPr>
              <w:rFonts w:ascii="Arial" w:hAnsi="Arial" w:cs="Arial"/>
              <w:i/>
              <w:sz w:val="14"/>
            </w:rPr>
            <w:fldChar w:fldCharType="begin"/>
          </w:r>
          <w:r w:rsidRPr="00F46106">
            <w:rPr>
              <w:rFonts w:ascii="Arial" w:hAnsi="Arial" w:cs="Arial"/>
              <w:i/>
              <w:sz w:val="14"/>
            </w:rPr>
            <w:instrText xml:space="preserve"> PAGE </w:instrText>
          </w:r>
          <w:r w:rsidRPr="00F46106">
            <w:rPr>
              <w:rFonts w:ascii="Arial" w:hAnsi="Arial" w:cs="Arial"/>
              <w:i/>
              <w:sz w:val="14"/>
            </w:rPr>
            <w:fldChar w:fldCharType="separate"/>
          </w:r>
          <w:r w:rsidRPr="00F46106">
            <w:rPr>
              <w:rFonts w:ascii="Arial" w:hAnsi="Arial" w:cs="Arial"/>
              <w:i/>
              <w:noProof/>
              <w:sz w:val="14"/>
            </w:rPr>
            <w:t>2</w:t>
          </w:r>
          <w:r w:rsidRPr="00F46106">
            <w:rPr>
              <w:rFonts w:ascii="Arial" w:hAnsi="Arial" w:cs="Arial"/>
              <w:i/>
              <w:sz w:val="14"/>
            </w:rPr>
            <w:fldChar w:fldCharType="end"/>
          </w:r>
        </w:p>
      </w:tc>
    </w:tr>
    <w:tr w:rsidR="00A0097F" w:rsidRPr="00F46106" w:rsidTr="006C5791">
      <w:tc>
        <w:tcPr>
          <w:tcW w:w="8472" w:type="dxa"/>
        </w:tcPr>
        <w:p w:rsidR="00A0097F" w:rsidRPr="00F46106" w:rsidRDefault="00A0097F" w:rsidP="00A6121F">
          <w:pPr>
            <w:rPr>
              <w:rFonts w:ascii="Arial" w:hAnsi="Arial" w:cs="Arial"/>
              <w:i/>
              <w:sz w:val="14"/>
            </w:rPr>
          </w:pPr>
          <w:r w:rsidRPr="00F46106">
            <w:rPr>
              <w:rFonts w:ascii="Arial" w:hAnsi="Arial" w:cs="Arial"/>
              <w:i/>
              <w:noProof/>
              <w:sz w:val="14"/>
            </w:rPr>
            <w:t>I13KE132.v01.docx</w:t>
          </w:r>
          <w:r w:rsidRPr="00F46106">
            <w:rPr>
              <w:rFonts w:ascii="Arial" w:hAnsi="Arial" w:cs="Arial"/>
              <w:i/>
              <w:sz w:val="14"/>
            </w:rPr>
            <w:t xml:space="preserve">  </w:t>
          </w:r>
          <w:r w:rsidRPr="00F46106">
            <w:rPr>
              <w:rFonts w:ascii="Arial" w:hAnsi="Arial" w:cs="Arial"/>
              <w:i/>
              <w:noProof/>
              <w:sz w:val="14"/>
            </w:rPr>
            <w:t>12/3/2013 1:24 PM</w:t>
          </w:r>
        </w:p>
      </w:tc>
    </w:tr>
  </w:tbl>
  <w:p w:rsidR="00A0097F" w:rsidRPr="00F46106" w:rsidRDefault="00A0097F" w:rsidP="00F46106">
    <w:pPr>
      <w:spacing w:before="120"/>
      <w:rPr>
        <w:rFonts w:ascii="Arial" w:hAnsi="Arial" w:cs="Arial"/>
        <w:sz w:val="14"/>
      </w:rPr>
    </w:pPr>
    <w:r w:rsidRPr="00F46106">
      <w:rPr>
        <w:rFonts w:ascii="Arial" w:hAnsi="Arial" w:cs="Arial"/>
        <w:noProof/>
        <w:sz w:val="14"/>
        <w:lang w:eastAsia="en-AU"/>
      </w:rPr>
      <mc:AlternateContent>
        <mc:Choice Requires="wps">
          <w:drawing>
            <wp:anchor distT="0" distB="0" distL="114300" distR="114300" simplePos="0" relativeHeight="251656704" behindDoc="1" locked="0" layoutInCell="1" allowOverlap="1" wp14:anchorId="06EF0B53" wp14:editId="1B922507">
              <wp:simplePos x="0" y="0"/>
              <wp:positionH relativeFrom="column">
                <wp:align>center</wp:align>
              </wp:positionH>
              <wp:positionV relativeFrom="page">
                <wp:posOffset>10223500</wp:posOffset>
              </wp:positionV>
              <wp:extent cx="4410075" cy="3429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34290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A0097F" w:rsidRPr="001F2093" w:rsidRDefault="00A0097F" w:rsidP="001F2093">
                          <w:pPr>
                            <w:jc w:val="center"/>
                            <w:rPr>
                              <w:rFonts w:ascii="Arial" w:hAnsi="Arial" w:cs="Arial"/>
                              <w:b/>
                              <w:sz w:val="40"/>
                            </w:rPr>
                          </w:pPr>
                          <w:r w:rsidRPr="001F2093">
                            <w:rPr>
                              <w:rFonts w:ascii="Arial" w:hAnsi="Arial" w:cs="Arial"/>
                              <w:b/>
                              <w:sz w:val="40"/>
                            </w:rPr>
                            <w:fldChar w:fldCharType="begin"/>
                          </w:r>
                          <w:r w:rsidRPr="001F2093">
                            <w:rPr>
                              <w:rFonts w:ascii="Arial" w:hAnsi="Arial" w:cs="Arial"/>
                              <w:b/>
                              <w:sz w:val="40"/>
                            </w:rPr>
                            <w:instrText xml:space="preserve"> DOCPROPERTY  Classification  \* MERGEFORMAT </w:instrText>
                          </w:r>
                          <w:r w:rsidRPr="001F2093">
                            <w:rPr>
                              <w:rFonts w:ascii="Arial" w:hAnsi="Arial" w:cs="Arial"/>
                              <w:b/>
                              <w:sz w:val="40"/>
                            </w:rPr>
                            <w:fldChar w:fldCharType="separate"/>
                          </w:r>
                          <w:r w:rsidR="00F46106">
                            <w:rPr>
                              <w:rFonts w:ascii="Arial" w:hAnsi="Arial" w:cs="Arial"/>
                              <w:b/>
                              <w:sz w:val="40"/>
                            </w:rPr>
                            <w:t>DRAFT-IN-CONFIDENCE</w:t>
                          </w:r>
                          <w:r w:rsidRPr="001F2093">
                            <w:rPr>
                              <w:rFonts w:ascii="Arial" w:hAnsi="Arial" w:cs="Arial"/>
                              <w:b/>
                              <w:sz w:val="40"/>
                            </w:rPr>
                            <w:fldChar w:fldCharType="end"/>
                          </w:r>
                          <w:r w:rsidRPr="001F2093">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0;margin-top:805pt;width:347.25pt;height:27pt;z-index:-251659776;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" stroked="f">
              <v:stroke joinstyle="round"/>
              <v:path arrowok="t"/>
              <v:textbox>
                <w:txbxContent>
                  <w:p w:rsidR="00A0097F" w:rsidRPr="001F2093" w:rsidRDefault="00A0097F" w:rsidP="001F2093">
                    <w:pPr>
                      <w:jc w:val="center"/>
                      <w:rPr>
                        <w:rFonts w:ascii="Arial" w:hAnsi="Arial" w:cs="Arial"/>
                        <w:b/>
                        <w:sz w:val="40"/>
                      </w:rPr>
                    </w:pPr>
                    <w:r w:rsidRPr="001F2093">
                      <w:rPr>
                        <w:rFonts w:ascii="Arial" w:hAnsi="Arial" w:cs="Arial"/>
                        <w:b/>
                        <w:sz w:val="40"/>
                      </w:rPr>
                      <w:fldChar w:fldCharType="begin"/>
                    </w:r>
                    <w:r w:rsidRPr="001F2093">
                      <w:rPr>
                        <w:rFonts w:ascii="Arial" w:hAnsi="Arial" w:cs="Arial"/>
                        <w:b/>
                        <w:sz w:val="40"/>
                      </w:rPr>
                      <w:instrText xml:space="preserve"> DOCPROPERTY  Classification  \* MERGEFORMAT </w:instrText>
                    </w:r>
                    <w:r w:rsidRPr="001F2093">
                      <w:rPr>
                        <w:rFonts w:ascii="Arial" w:hAnsi="Arial" w:cs="Arial"/>
                        <w:b/>
                        <w:sz w:val="40"/>
                      </w:rPr>
                      <w:fldChar w:fldCharType="separate"/>
                    </w:r>
                    <w:r w:rsidR="00F46106">
                      <w:rPr>
                        <w:rFonts w:ascii="Arial" w:hAnsi="Arial" w:cs="Arial"/>
                        <w:b/>
                        <w:sz w:val="40"/>
                      </w:rPr>
                      <w:t>DRAFT-IN-CONFIDENCE</w:t>
                    </w:r>
                    <w:r w:rsidRPr="001F2093">
                      <w:rPr>
                        <w:rFonts w:ascii="Arial" w:hAnsi="Arial" w:cs="Arial"/>
                        <w:b/>
                        <w:sz w:val="40"/>
                      </w:rPr>
                      <w:fldChar w:fldCharType="end"/>
                    </w:r>
                    <w:r w:rsidRPr="001F2093">
                      <w:rPr>
                        <w:rFonts w:ascii="Arial" w:hAnsi="Arial" w:cs="Arial"/>
                        <w:b/>
                        <w:sz w:val="40"/>
                      </w:rPr>
                      <w:t xml:space="preserve"> </w:t>
                    </w:r>
                  </w:p>
                </w:txbxContent>
              </v:textbox>
              <w10:wrap anchory="page"/>
            </v:shape>
          </w:pict>
        </mc:Fallback>
      </mc:AlternateContent>
    </w:r>
    <w:r w:rsidR="00F46106">
      <w:rPr>
        <w:rFonts w:ascii="Arial" w:hAnsi="Arial" w:cs="Arial"/>
        <w:sz w:val="14"/>
      </w:rPr>
      <w:t>OPC50357</w:t>
    </w:r>
    <w:r w:rsidR="00F46106" w:rsidRPr="00F46106">
      <w:rPr>
        <w:rFonts w:ascii="Arial" w:hAnsi="Arial" w:cs="Arial"/>
        <w:sz w:val="14"/>
      </w:rPr>
      <w:t xml:space="preserve">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97F" w:rsidRPr="00BB4623" w:rsidRDefault="00A0097F" w:rsidP="00FA3991">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97F" w:rsidRDefault="00A0097F" w:rsidP="00664C63">
      <w:pPr>
        <w:spacing w:line="240" w:lineRule="auto"/>
      </w:pPr>
      <w:r>
        <w:separator/>
      </w:r>
    </w:p>
  </w:footnote>
  <w:footnote w:type="continuationSeparator" w:id="0">
    <w:p w:rsidR="00A0097F" w:rsidRDefault="00A0097F" w:rsidP="00664C63">
      <w:pPr>
        <w:spacing w:line="240" w:lineRule="auto"/>
      </w:pPr>
      <w:r>
        <w:continuationSeparator/>
      </w:r>
    </w:p>
  </w:footnote>
  <w:footnote w:id="1">
    <w:p w:rsidR="00A0097F" w:rsidRPr="00F548B5" w:rsidRDefault="00A0097F" w:rsidP="007636B0">
      <w:pPr>
        <w:pStyle w:val="FootnoteText"/>
        <w:rPr>
          <w:rFonts w:cs="Arial"/>
          <w:sz w:val="18"/>
          <w:szCs w:val="18"/>
        </w:rPr>
      </w:pPr>
      <w:r w:rsidRPr="00F548B5">
        <w:rPr>
          <w:rStyle w:val="FootnoteReference"/>
          <w:rFonts w:cs="Arial"/>
          <w:sz w:val="18"/>
          <w:szCs w:val="18"/>
        </w:rPr>
        <w:footnoteRef/>
      </w:r>
      <w:r w:rsidRPr="00F548B5">
        <w:rPr>
          <w:rFonts w:cs="Arial"/>
          <w:sz w:val="18"/>
          <w:szCs w:val="18"/>
        </w:rPr>
        <w:t xml:space="preserve"> Refer to APVMA Public Chemical Registration Information System (PUBCRIS) for current information on products that contain chlorpyrifos (</w:t>
      </w:r>
      <w:hyperlink r:id="rId1" w:history="1">
        <w:r w:rsidRPr="00F548B5">
          <w:rPr>
            <w:rStyle w:val="Hyperlink"/>
            <w:rFonts w:cs="Arial"/>
            <w:sz w:val="18"/>
            <w:szCs w:val="18"/>
          </w:rPr>
          <w:t>http://services.apvma.gov.au/PubcrisWebClient/welcome.do</w:t>
        </w:r>
      </w:hyperlink>
      <w:r w:rsidRPr="00F548B5">
        <w:rPr>
          <w:rFonts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97F" w:rsidRDefault="00F46106">
    <w:pPr>
      <w:pStyle w:val="Header"/>
    </w:pPr>
    <w:r>
      <w:rPr>
        <w:noProof/>
      </w:rPr>
      <w:pict>
        <v:shapetype id="_x0000_t202" coordsize="21600,21600" o:spt="202" path="m,l,21600r21600,l21600,xe">
          <v:stroke joinstyle="miter"/>
          <v:path gradientshapeok="t" o:connecttype="rect"/>
        </v:shapetype>
        <v:shape id="_x0000_s4097" type="#_x0000_t202" style="position:absolute;margin-left:60.95pt;margin-top:265.1pt;width:331.4pt;height:241.2pt;z-index:-251656704" o:allowincell="f" filled="f" fillcolor="silver" stroked="f">
          <v:shadow color="#868686"/>
          <v:textbox>
            <w:txbxContent>
              <w:p w:rsidR="00A0097F" w:rsidRDefault="00A0097F">
                <w:r>
                  <w:object w:dxaOrig="5881" w:dyaOrig="4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7.25pt;height:234.75pt" o:ole="" fillcolor="window">
                      <v:imagedata r:id="rId1" o:title="" gain="30147f" blacklevel="5898f"/>
                    </v:shape>
                    <o:OLEObject Type="Embed" ProgID="Word.Picture.8" ShapeID="_x0000_i1026" DrawAspect="Content" ObjectID="_1425462532" r:id="rId2"/>
                  </w:object>
                </w:r>
              </w:p>
            </w:txbxContent>
          </v:textbox>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97F" w:rsidRPr="00BB4623" w:rsidRDefault="00A0097F" w:rsidP="00664C63">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97F" w:rsidRDefault="00A009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97F" w:rsidRDefault="00A009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97F" w:rsidRDefault="00A0097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97F" w:rsidRDefault="00F461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1" type="#_x0000_t136" style="position:absolute;margin-left:0;margin-top:0;width:600.9pt;height:38.35pt;rotation:315;z-index:-251658752;mso-position-horizontal:center;mso-position-horizontal-relative:margin;mso-position-vertical:center;mso-position-vertical-relative:margin" o:allowincell="f" fillcolor="silver" stroked="f">
          <v:fill opacity=".5"/>
          <v:textpath style="font-family:&quot;Book Antiqua&quot;;font-size:1pt" string="CONFIDENTIAL DRAFT for consultation only"/>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97F" w:rsidRDefault="00A0097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97F" w:rsidRDefault="00F461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0" type="#_x0000_t136" style="position:absolute;margin-left:0;margin-top:0;width:600.9pt;height:38.35pt;rotation:315;z-index:-251657728;mso-position-horizontal:center;mso-position-horizontal-relative:margin;mso-position-vertical:center;mso-position-vertical-relative:margin" o:allowincell="f" fillcolor="silver" stroked="f">
          <v:fill opacity=".5"/>
          <v:textpath style="font-family:&quot;Book Antiqua&quot;;font-size:1pt" string="CONFIDENTIAL DRAFT for consultation only"/>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97F" w:rsidRPr="00BB4623" w:rsidRDefault="00A0097F" w:rsidP="00664C63">
    <w:pPr>
      <w:rPr>
        <w:sz w:val="24"/>
      </w:rPr>
    </w:pPr>
  </w:p>
  <w:p w:rsidR="00A0097F" w:rsidRPr="00BB4623" w:rsidRDefault="00A0097F" w:rsidP="00664C63">
    <w:pPr>
      <w:pBdr>
        <w:bottom w:val="single" w:sz="6" w:space="1" w:color="auto"/>
      </w:pBdr>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97F" w:rsidRPr="00BB4623" w:rsidRDefault="00A0097F" w:rsidP="00664C63">
    <w:pPr>
      <w:jc w:val="right"/>
      <w:rPr>
        <w:sz w:val="24"/>
      </w:rPr>
    </w:pPr>
    <w:r>
      <w:rPr>
        <w:noProof/>
        <w:sz w:val="24"/>
        <w:lang w:eastAsia="en-AU"/>
      </w:rPr>
      <mc:AlternateContent>
        <mc:Choice Requires="wps">
          <w:drawing>
            <wp:anchor distT="0" distB="0" distL="114300" distR="114300" simplePos="0" relativeHeight="251655680" behindDoc="1" locked="0" layoutInCell="1" allowOverlap="1" wp14:anchorId="1D09341A" wp14:editId="0520968D">
              <wp:simplePos x="0" y="0"/>
              <wp:positionH relativeFrom="column">
                <wp:align>center</wp:align>
              </wp:positionH>
              <wp:positionV relativeFrom="page">
                <wp:posOffset>143510</wp:posOffset>
              </wp:positionV>
              <wp:extent cx="4410075" cy="3429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34290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A0097F" w:rsidRPr="001F2093" w:rsidRDefault="00A0097F" w:rsidP="001F2093">
                          <w:pPr>
                            <w:jc w:val="center"/>
                            <w:rPr>
                              <w:rFonts w:ascii="Arial" w:hAnsi="Arial" w:cs="Arial"/>
                              <w:b/>
                              <w:sz w:val="40"/>
                            </w:rPr>
                          </w:pPr>
                          <w:r w:rsidRPr="001F2093">
                            <w:rPr>
                              <w:rFonts w:ascii="Arial" w:hAnsi="Arial" w:cs="Arial"/>
                              <w:b/>
                              <w:sz w:val="40"/>
                            </w:rPr>
                            <w:fldChar w:fldCharType="begin"/>
                          </w:r>
                          <w:r w:rsidRPr="001F2093">
                            <w:rPr>
                              <w:rFonts w:ascii="Arial" w:hAnsi="Arial" w:cs="Arial"/>
                              <w:b/>
                              <w:sz w:val="40"/>
                            </w:rPr>
                            <w:instrText xml:space="preserve"> DOCPROPERTY  Classification  \* MERGEFORMAT </w:instrText>
                          </w:r>
                          <w:r w:rsidRPr="001F2093">
                            <w:rPr>
                              <w:rFonts w:ascii="Arial" w:hAnsi="Arial" w:cs="Arial"/>
                              <w:b/>
                              <w:sz w:val="40"/>
                            </w:rPr>
                            <w:fldChar w:fldCharType="separate"/>
                          </w:r>
                          <w:r w:rsidR="00F46106">
                            <w:rPr>
                              <w:rFonts w:ascii="Arial" w:hAnsi="Arial" w:cs="Arial"/>
                              <w:b/>
                              <w:sz w:val="40"/>
                            </w:rPr>
                            <w:t>DRAFT-IN-CONFIDENCE</w:t>
                          </w:r>
                          <w:r w:rsidRPr="001F2093">
                            <w:rPr>
                              <w:rFonts w:ascii="Arial" w:hAnsi="Arial" w:cs="Arial"/>
                              <w:b/>
                              <w:sz w:val="40"/>
                            </w:rPr>
                            <w:fldChar w:fldCharType="end"/>
                          </w:r>
                          <w:r w:rsidRPr="001F2093">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36" type="#_x0000_t202" style="position:absolute;left:0;text-align:left;margin-left:0;margin-top:11.3pt;width:347.25pt;height:27pt;z-index:-251660800;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" stroked="f">
              <v:stroke joinstyle="round"/>
              <v:path arrowok="t"/>
              <v:textbox>
                <w:txbxContent>
                  <w:p w:rsidR="00A0097F" w:rsidRPr="001F2093" w:rsidRDefault="00A0097F" w:rsidP="001F2093">
                    <w:pPr>
                      <w:jc w:val="center"/>
                      <w:rPr>
                        <w:rFonts w:ascii="Arial" w:hAnsi="Arial" w:cs="Arial"/>
                        <w:b/>
                        <w:sz w:val="40"/>
                      </w:rPr>
                    </w:pPr>
                    <w:r w:rsidRPr="001F2093">
                      <w:rPr>
                        <w:rFonts w:ascii="Arial" w:hAnsi="Arial" w:cs="Arial"/>
                        <w:b/>
                        <w:sz w:val="40"/>
                      </w:rPr>
                      <w:fldChar w:fldCharType="begin"/>
                    </w:r>
                    <w:r w:rsidRPr="001F2093">
                      <w:rPr>
                        <w:rFonts w:ascii="Arial" w:hAnsi="Arial" w:cs="Arial"/>
                        <w:b/>
                        <w:sz w:val="40"/>
                      </w:rPr>
                      <w:instrText xml:space="preserve"> DOCPROPERTY  Classification  \* MERGEFORMAT </w:instrText>
                    </w:r>
                    <w:r w:rsidRPr="001F2093">
                      <w:rPr>
                        <w:rFonts w:ascii="Arial" w:hAnsi="Arial" w:cs="Arial"/>
                        <w:b/>
                        <w:sz w:val="40"/>
                      </w:rPr>
                      <w:fldChar w:fldCharType="separate"/>
                    </w:r>
                    <w:r w:rsidR="00F46106">
                      <w:rPr>
                        <w:rFonts w:ascii="Arial" w:hAnsi="Arial" w:cs="Arial"/>
                        <w:b/>
                        <w:sz w:val="40"/>
                      </w:rPr>
                      <w:t>DRAFT-IN-CONFIDENCE</w:t>
                    </w:r>
                    <w:r w:rsidRPr="001F2093">
                      <w:rPr>
                        <w:rFonts w:ascii="Arial" w:hAnsi="Arial" w:cs="Arial"/>
                        <w:b/>
                        <w:sz w:val="40"/>
                      </w:rPr>
                      <w:fldChar w:fldCharType="end"/>
                    </w:r>
                    <w:r w:rsidRPr="001F2093">
                      <w:rPr>
                        <w:rFonts w:ascii="Arial" w:hAnsi="Arial" w:cs="Arial"/>
                        <w:b/>
                        <w:sz w:val="40"/>
                      </w:rPr>
                      <w:t xml:space="preserve"> </w:t>
                    </w:r>
                  </w:p>
                </w:txbxContent>
              </v:textbox>
              <w10:wrap anchory="page"/>
            </v:shape>
          </w:pict>
        </mc:Fallback>
      </mc:AlternateContent>
    </w:r>
  </w:p>
  <w:p w:rsidR="00A0097F" w:rsidRPr="00BB4623" w:rsidRDefault="00A0097F" w:rsidP="00664C63">
    <w:pPr>
      <w:pBdr>
        <w:bottom w:val="single" w:sz="6" w:space="1" w:color="auto"/>
      </w:pBdr>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227E5A"/>
    <w:lvl w:ilvl="0">
      <w:start w:val="1"/>
      <w:numFmt w:val="decimal"/>
      <w:lvlText w:val="%1."/>
      <w:lvlJc w:val="left"/>
      <w:pPr>
        <w:tabs>
          <w:tab w:val="num" w:pos="1492"/>
        </w:tabs>
        <w:ind w:left="1492" w:hanging="360"/>
      </w:pPr>
    </w:lvl>
  </w:abstractNum>
  <w:abstractNum w:abstractNumId="1">
    <w:nsid w:val="FFFFFF7D"/>
    <w:multiLevelType w:val="singleLevel"/>
    <w:tmpl w:val="E2B621B4"/>
    <w:lvl w:ilvl="0">
      <w:start w:val="1"/>
      <w:numFmt w:val="decimal"/>
      <w:lvlText w:val="%1."/>
      <w:lvlJc w:val="left"/>
      <w:pPr>
        <w:tabs>
          <w:tab w:val="num" w:pos="1209"/>
        </w:tabs>
        <w:ind w:left="1209" w:hanging="360"/>
      </w:pPr>
    </w:lvl>
  </w:abstractNum>
  <w:abstractNum w:abstractNumId="2">
    <w:nsid w:val="FFFFFF7E"/>
    <w:multiLevelType w:val="singleLevel"/>
    <w:tmpl w:val="87C61B2C"/>
    <w:lvl w:ilvl="0">
      <w:start w:val="1"/>
      <w:numFmt w:val="decimal"/>
      <w:lvlText w:val="%1."/>
      <w:lvlJc w:val="left"/>
      <w:pPr>
        <w:tabs>
          <w:tab w:val="num" w:pos="926"/>
        </w:tabs>
        <w:ind w:left="926" w:hanging="360"/>
      </w:pPr>
    </w:lvl>
  </w:abstractNum>
  <w:abstractNum w:abstractNumId="3">
    <w:nsid w:val="FFFFFF7F"/>
    <w:multiLevelType w:val="singleLevel"/>
    <w:tmpl w:val="443637D0"/>
    <w:lvl w:ilvl="0">
      <w:start w:val="1"/>
      <w:numFmt w:val="decimal"/>
      <w:lvlText w:val="%1."/>
      <w:lvlJc w:val="left"/>
      <w:pPr>
        <w:tabs>
          <w:tab w:val="num" w:pos="643"/>
        </w:tabs>
        <w:ind w:left="643" w:hanging="360"/>
      </w:pPr>
    </w:lvl>
  </w:abstractNum>
  <w:abstractNum w:abstractNumId="4">
    <w:nsid w:val="FFFFFF80"/>
    <w:multiLevelType w:val="singleLevel"/>
    <w:tmpl w:val="9E26C9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2AAA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7089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0E42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3EFDB8"/>
    <w:lvl w:ilvl="0">
      <w:start w:val="1"/>
      <w:numFmt w:val="decimal"/>
      <w:lvlText w:val="%1."/>
      <w:lvlJc w:val="left"/>
      <w:pPr>
        <w:tabs>
          <w:tab w:val="num" w:pos="360"/>
        </w:tabs>
        <w:ind w:left="360" w:hanging="360"/>
      </w:pPr>
    </w:lvl>
  </w:abstractNum>
  <w:abstractNum w:abstractNumId="9">
    <w:nsid w:val="FFFFFF89"/>
    <w:multiLevelType w:val="singleLevel"/>
    <w:tmpl w:val="A7585E64"/>
    <w:lvl w:ilvl="0">
      <w:start w:val="1"/>
      <w:numFmt w:val="bullet"/>
      <w:lvlText w:val=""/>
      <w:lvlJc w:val="left"/>
      <w:pPr>
        <w:tabs>
          <w:tab w:val="num" w:pos="360"/>
        </w:tabs>
        <w:ind w:left="360" w:hanging="360"/>
      </w:pPr>
      <w:rPr>
        <w:rFonts w:ascii="Symbol" w:hAnsi="Symbol" w:hint="default"/>
      </w:rPr>
    </w:lvl>
  </w:abstractNum>
  <w:abstractNum w:abstractNumId="10">
    <w:nsid w:val="05955278"/>
    <w:multiLevelType w:val="hybridMultilevel"/>
    <w:tmpl w:val="11322722"/>
    <w:lvl w:ilvl="0" w:tplc="DC5C6D56">
      <w:start w:val="1"/>
      <w:numFmt w:val="bullet"/>
      <w:lvlRestart w:val="0"/>
      <w:pStyle w:val="BulletedList"/>
      <w:lvlText w:val="·"/>
      <w:lvlJc w:val="left"/>
      <w:pPr>
        <w:tabs>
          <w:tab w:val="num" w:pos="425"/>
        </w:tabs>
        <w:ind w:left="425" w:hanging="425"/>
      </w:pPr>
      <w:rPr>
        <w:rFonts w:ascii="Symbol" w:hAnsi="Symbol" w:cs="Times New Roman" w:hint="default"/>
        <w:color w:val="0C479D"/>
      </w:rPr>
    </w:lvl>
    <w:lvl w:ilvl="1" w:tplc="0C090001">
      <w:start w:val="1"/>
      <w:numFmt w:val="bullet"/>
      <w:lvlText w:val=""/>
      <w:lvlJc w:val="left"/>
      <w:pPr>
        <w:tabs>
          <w:tab w:val="num" w:pos="1440"/>
        </w:tabs>
        <w:ind w:left="1440" w:hanging="360"/>
      </w:pPr>
      <w:rPr>
        <w:rFonts w:ascii="Symbol" w:hAnsi="Symbol" w:hint="default"/>
        <w:color w:val="0C479D"/>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36538E"/>
    <w:multiLevelType w:val="multilevel"/>
    <w:tmpl w:val="E1D8E0D6"/>
    <w:lvl w:ilvl="0">
      <w:start w:val="1"/>
      <w:numFmt w:val="bullet"/>
      <w:pStyle w:val="Bullet"/>
      <w:lvlText w:val=""/>
      <w:lvlJc w:val="left"/>
      <w:pPr>
        <w:tabs>
          <w:tab w:val="num" w:pos="1134"/>
        </w:tabs>
        <w:ind w:left="1134" w:hanging="567"/>
      </w:pPr>
      <w:rPr>
        <w:rFonts w:ascii="Symbol" w:hAnsi="Symbol" w:hint="default"/>
        <w:sz w:val="22"/>
      </w:rPr>
    </w:lvl>
    <w:lvl w:ilvl="1">
      <w:start w:val="1"/>
      <w:numFmt w:val="bullet"/>
      <w:pStyle w:val="Bullet2"/>
      <w:lvlText w:val="-"/>
      <w:lvlJc w:val="left"/>
      <w:pPr>
        <w:tabs>
          <w:tab w:val="num" w:pos="1701"/>
        </w:tabs>
        <w:ind w:left="1701" w:hanging="567"/>
      </w:pPr>
      <w:rPr>
        <w:rFonts w:ascii="Arial" w:hAnsi="Arial" w:hint="default"/>
      </w:rPr>
    </w:lvl>
    <w:lvl w:ilvl="2">
      <w:start w:val="1"/>
      <w:numFmt w:val="bullet"/>
      <w:pStyle w:val="Bullet3"/>
      <w:lvlText w:val=""/>
      <w:lvlJc w:val="left"/>
      <w:pPr>
        <w:tabs>
          <w:tab w:val="num" w:pos="2268"/>
        </w:tabs>
        <w:ind w:left="2268" w:hanging="567"/>
      </w:pPr>
      <w:rPr>
        <w:rFonts w:ascii="Wingdings" w:hAnsi="Wingdings" w:hint="default"/>
      </w:rPr>
    </w:lvl>
    <w:lvl w:ilvl="3">
      <w:start w:val="1"/>
      <w:numFmt w:val="bullet"/>
      <w:lvlText w:val=""/>
      <w:lvlJc w:val="left"/>
      <w:pPr>
        <w:tabs>
          <w:tab w:val="num" w:pos="15876"/>
        </w:tabs>
        <w:ind w:left="16443" w:hanging="567"/>
      </w:pPr>
      <w:rPr>
        <w:rFonts w:ascii="Symbol" w:hAnsi="Symbol" w:hint="default"/>
      </w:rPr>
    </w:lvl>
    <w:lvl w:ilvl="4">
      <w:start w:val="1"/>
      <w:numFmt w:val="bullet"/>
      <w:lvlText w:val="o"/>
      <w:lvlJc w:val="left"/>
      <w:pPr>
        <w:tabs>
          <w:tab w:val="num" w:pos="16641"/>
        </w:tabs>
        <w:ind w:left="16641" w:hanging="360"/>
      </w:pPr>
      <w:rPr>
        <w:rFonts w:ascii="Courier New" w:hAnsi="Courier New" w:cs="Courier New" w:hint="default"/>
      </w:rPr>
    </w:lvl>
    <w:lvl w:ilvl="5">
      <w:start w:val="1"/>
      <w:numFmt w:val="bullet"/>
      <w:lvlText w:val=""/>
      <w:lvlJc w:val="left"/>
      <w:pPr>
        <w:tabs>
          <w:tab w:val="num" w:pos="17361"/>
        </w:tabs>
        <w:ind w:left="17361" w:hanging="360"/>
      </w:pPr>
      <w:rPr>
        <w:rFonts w:ascii="Wingdings" w:hAnsi="Wingdings" w:hint="default"/>
      </w:rPr>
    </w:lvl>
    <w:lvl w:ilvl="6">
      <w:start w:val="1"/>
      <w:numFmt w:val="bullet"/>
      <w:lvlText w:val=""/>
      <w:lvlJc w:val="left"/>
      <w:pPr>
        <w:tabs>
          <w:tab w:val="num" w:pos="18081"/>
        </w:tabs>
        <w:ind w:left="18081" w:hanging="360"/>
      </w:pPr>
      <w:rPr>
        <w:rFonts w:ascii="Symbol" w:hAnsi="Symbol" w:hint="default"/>
      </w:rPr>
    </w:lvl>
    <w:lvl w:ilvl="7">
      <w:start w:val="1"/>
      <w:numFmt w:val="bullet"/>
      <w:lvlText w:val="o"/>
      <w:lvlJc w:val="left"/>
      <w:pPr>
        <w:tabs>
          <w:tab w:val="num" w:pos="18801"/>
        </w:tabs>
        <w:ind w:left="18801" w:hanging="360"/>
      </w:pPr>
      <w:rPr>
        <w:rFonts w:ascii="Courier New" w:hAnsi="Courier New" w:cs="Courier New" w:hint="default"/>
      </w:rPr>
    </w:lvl>
    <w:lvl w:ilvl="8">
      <w:start w:val="1"/>
      <w:numFmt w:val="bullet"/>
      <w:lvlText w:val=""/>
      <w:lvlJc w:val="left"/>
      <w:pPr>
        <w:tabs>
          <w:tab w:val="num" w:pos="19521"/>
        </w:tabs>
        <w:ind w:left="19521" w:hanging="360"/>
      </w:pPr>
      <w:rPr>
        <w:rFonts w:ascii="Wingdings" w:hAnsi="Wingdings" w:hint="default"/>
      </w:rPr>
    </w:lvl>
  </w:abstractNum>
  <w:abstractNum w:abstractNumId="13">
    <w:nsid w:val="124B7CF1"/>
    <w:multiLevelType w:val="multilevel"/>
    <w:tmpl w:val="7AC6A14E"/>
    <w:styleLink w:val="UrbanNumberedList"/>
    <w:lvl w:ilvl="0">
      <w:start w:val="1"/>
      <w:numFmt w:val="decimal"/>
      <w:lvlText w:val="%1."/>
      <w:lvlJc w:val="left"/>
      <w:pPr>
        <w:ind w:left="288" w:hanging="288"/>
      </w:pPr>
      <w:rPr>
        <w:rFonts w:ascii="Verdana" w:hAnsi="Verdana" w:hint="default"/>
        <w:i w:val="0"/>
        <w:color w:val="9BBB59"/>
        <w:sz w:val="20"/>
      </w:rPr>
    </w:lvl>
    <w:lvl w:ilvl="1">
      <w:start w:val="1"/>
      <w:numFmt w:val="upperLetter"/>
      <w:lvlText w:val="%2."/>
      <w:lvlJc w:val="left"/>
      <w:pPr>
        <w:ind w:left="792" w:hanging="288"/>
      </w:pPr>
      <w:rPr>
        <w:rFonts w:ascii="Verdana" w:hAnsi="Verdana" w:hint="default"/>
        <w:b w:val="0"/>
        <w:i w:val="0"/>
        <w:color w:val="C0504D"/>
        <w:sz w:val="20"/>
      </w:rPr>
    </w:lvl>
    <w:lvl w:ilvl="2">
      <w:start w:val="1"/>
      <w:numFmt w:val="lowerRoman"/>
      <w:lvlText w:val="%3."/>
      <w:lvlJc w:val="right"/>
      <w:pPr>
        <w:ind w:left="1296" w:hanging="288"/>
      </w:pPr>
      <w:rPr>
        <w:rFonts w:ascii="Verdana" w:hAnsi="Verdana" w:hint="default"/>
        <w:b w:val="0"/>
        <w:i w:val="0"/>
        <w:color w:val="4F81BD"/>
        <w:sz w:val="20"/>
      </w:rPr>
    </w:lvl>
    <w:lvl w:ilvl="3">
      <w:start w:val="1"/>
      <w:numFmt w:val="decimal"/>
      <w:lvlText w:val="%4."/>
      <w:lvlJc w:val="left"/>
      <w:pPr>
        <w:ind w:left="1800" w:hanging="288"/>
      </w:pPr>
      <w:rPr>
        <w:rFonts w:ascii="Verdana" w:hAnsi="Verdana" w:hint="default"/>
        <w:b w:val="0"/>
        <w:i w:val="0"/>
        <w:color w:val="4F81BD"/>
        <w:sz w:val="20"/>
      </w:rPr>
    </w:lvl>
    <w:lvl w:ilvl="4">
      <w:start w:val="1"/>
      <w:numFmt w:val="lowerLetter"/>
      <w:lvlText w:val="%5."/>
      <w:lvlJc w:val="left"/>
      <w:pPr>
        <w:ind w:left="2304" w:hanging="288"/>
      </w:pPr>
      <w:rPr>
        <w:rFonts w:ascii="Verdana" w:hAnsi="Verdana" w:hint="default"/>
        <w:b w:val="0"/>
        <w:i w:val="0"/>
        <w:color w:val="4F81BD"/>
        <w:sz w:val="20"/>
      </w:rPr>
    </w:lvl>
    <w:lvl w:ilvl="5">
      <w:start w:val="1"/>
      <w:numFmt w:val="lowerRoman"/>
      <w:lvlText w:val="%6."/>
      <w:lvlJc w:val="right"/>
      <w:pPr>
        <w:ind w:left="2808" w:hanging="288"/>
      </w:pPr>
      <w:rPr>
        <w:rFonts w:ascii="Verdana" w:hAnsi="Verdana" w:hint="default"/>
        <w:b w:val="0"/>
        <w:i w:val="0"/>
        <w:color w:val="4F81BD"/>
        <w:sz w:val="20"/>
      </w:rPr>
    </w:lvl>
    <w:lvl w:ilvl="6">
      <w:start w:val="1"/>
      <w:numFmt w:val="decimal"/>
      <w:lvlText w:val="%7."/>
      <w:lvlJc w:val="left"/>
      <w:pPr>
        <w:ind w:left="3312" w:hanging="288"/>
      </w:pPr>
      <w:rPr>
        <w:rFonts w:ascii="Verdana" w:hAnsi="Verdana" w:hint="default"/>
        <w:b w:val="0"/>
        <w:i w:val="0"/>
        <w:color w:val="4F81BD"/>
        <w:sz w:val="20"/>
      </w:rPr>
    </w:lvl>
    <w:lvl w:ilvl="7">
      <w:start w:val="1"/>
      <w:numFmt w:val="lowerLetter"/>
      <w:lvlText w:val="%8."/>
      <w:lvlJc w:val="left"/>
      <w:pPr>
        <w:ind w:left="3816" w:hanging="288"/>
      </w:pPr>
      <w:rPr>
        <w:rFonts w:ascii="Verdana" w:hAnsi="Verdana" w:hint="default"/>
        <w:b w:val="0"/>
        <w:i w:val="0"/>
        <w:color w:val="4F81BD"/>
        <w:sz w:val="20"/>
      </w:rPr>
    </w:lvl>
    <w:lvl w:ilvl="8">
      <w:start w:val="1"/>
      <w:numFmt w:val="lowerRoman"/>
      <w:lvlText w:val="%9."/>
      <w:lvlJc w:val="right"/>
      <w:pPr>
        <w:ind w:left="4320" w:hanging="288"/>
      </w:pPr>
      <w:rPr>
        <w:rFonts w:ascii="Verdana" w:hAnsi="Verdana" w:hint="default"/>
        <w:b w:val="0"/>
        <w:i w:val="0"/>
        <w:color w:val="4F81BD"/>
        <w:sz w:val="20"/>
      </w:rPr>
    </w:lvl>
  </w:abstractNum>
  <w:abstractNum w:abstractNumId="14">
    <w:nsid w:val="20963FDE"/>
    <w:multiLevelType w:val="hybridMultilevel"/>
    <w:tmpl w:val="F0E8BB4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7157DBB"/>
    <w:multiLevelType w:val="singleLevel"/>
    <w:tmpl w:val="7278FBC6"/>
    <w:lvl w:ilvl="0">
      <w:start w:val="1"/>
      <w:numFmt w:val="lowerRoman"/>
      <w:pStyle w:val="DotpointiCONSITES"/>
      <w:lvlText w:val="(%1)"/>
      <w:lvlJc w:val="left"/>
      <w:pPr>
        <w:tabs>
          <w:tab w:val="num" w:pos="720"/>
        </w:tabs>
        <w:ind w:left="360" w:hanging="360"/>
      </w:pPr>
    </w:lvl>
  </w:abstractNum>
  <w:abstractNum w:abstractNumId="16">
    <w:nsid w:val="3035234B"/>
    <w:multiLevelType w:val="hybridMultilevel"/>
    <w:tmpl w:val="41FE28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BB26458"/>
    <w:multiLevelType w:val="multilevel"/>
    <w:tmpl w:val="085C0706"/>
    <w:lvl w:ilvl="0">
      <w:start w:val="1"/>
      <w:numFmt w:val="decimal"/>
      <w:pStyle w:val="OutlineLev1"/>
      <w:lvlText w:val="%1."/>
      <w:lvlJc w:val="left"/>
      <w:pPr>
        <w:tabs>
          <w:tab w:val="num" w:pos="360"/>
        </w:tabs>
        <w:ind w:left="360" w:hanging="360"/>
      </w:pPr>
      <w:rPr>
        <w:rFonts w:ascii="Book Antiqua" w:hAnsi="Book Antiqua" w:hint="default"/>
        <w:b w:val="0"/>
        <w:i w:val="0"/>
        <w:sz w:val="24"/>
      </w:rPr>
    </w:lvl>
    <w:lvl w:ilvl="1">
      <w:start w:val="1"/>
      <w:numFmt w:val="bullet"/>
      <w:pStyle w:val="OutlineLev2"/>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9C46A3"/>
    <w:multiLevelType w:val="multilevel"/>
    <w:tmpl w:val="33B056D0"/>
    <w:styleLink w:val="UrbanBulletedList"/>
    <w:lvl w:ilvl="0">
      <w:start w:val="1"/>
      <w:numFmt w:val="bullet"/>
      <w:pStyle w:val="Bullet1"/>
      <w:lvlText w:val=""/>
      <w:lvlJc w:val="left"/>
      <w:pPr>
        <w:ind w:left="216" w:hanging="216"/>
      </w:pPr>
      <w:rPr>
        <w:rFonts w:ascii="Symbol" w:hAnsi="Symbol" w:hint="default"/>
        <w:b w:val="0"/>
        <w:i w:val="0"/>
        <w:color w:val="9BBB59"/>
        <w:sz w:val="18"/>
      </w:rPr>
    </w:lvl>
    <w:lvl w:ilvl="1">
      <w:start w:val="1"/>
      <w:numFmt w:val="bullet"/>
      <w:pStyle w:val="Bullet20"/>
      <w:lvlText w:val=""/>
      <w:lvlJc w:val="left"/>
      <w:pPr>
        <w:ind w:left="461" w:hanging="216"/>
      </w:pPr>
      <w:rPr>
        <w:rFonts w:ascii="Wingdings" w:hAnsi="Wingdings" w:hint="default"/>
        <w:b w:val="0"/>
        <w:i w:val="0"/>
        <w:color w:val="C0504D"/>
        <w:sz w:val="12"/>
      </w:rPr>
    </w:lvl>
    <w:lvl w:ilvl="2">
      <w:start w:val="1"/>
      <w:numFmt w:val="bullet"/>
      <w:pStyle w:val="Bullet30"/>
      <w:lvlText w:val=""/>
      <w:lvlJc w:val="left"/>
      <w:pPr>
        <w:ind w:left="706" w:hanging="216"/>
      </w:pPr>
      <w:rPr>
        <w:rFonts w:ascii="Symbol" w:hAnsi="Symbol" w:hint="default"/>
        <w:b w:val="0"/>
        <w:i w:val="0"/>
        <w:color w:val="4F81BD"/>
        <w:sz w:val="16"/>
      </w:rPr>
    </w:lvl>
    <w:lvl w:ilvl="3">
      <w:start w:val="1"/>
      <w:numFmt w:val="bullet"/>
      <w:lvlText w:val=""/>
      <w:lvlJc w:val="left"/>
      <w:pPr>
        <w:ind w:left="951" w:hanging="216"/>
      </w:pPr>
      <w:rPr>
        <w:rFonts w:ascii="Symbol" w:hAnsi="Symbol" w:hint="default"/>
        <w:b w:val="0"/>
        <w:i w:val="0"/>
        <w:color w:val="4F81BD"/>
        <w:sz w:val="16"/>
      </w:rPr>
    </w:lvl>
    <w:lvl w:ilvl="4">
      <w:start w:val="1"/>
      <w:numFmt w:val="bullet"/>
      <w:lvlText w:val=""/>
      <w:lvlJc w:val="left"/>
      <w:pPr>
        <w:ind w:left="1196" w:hanging="216"/>
      </w:pPr>
      <w:rPr>
        <w:rFonts w:ascii="Symbol" w:hAnsi="Symbol" w:hint="default"/>
        <w:color w:val="4F81BD"/>
        <w:sz w:val="16"/>
      </w:rPr>
    </w:lvl>
    <w:lvl w:ilvl="5">
      <w:start w:val="1"/>
      <w:numFmt w:val="bullet"/>
      <w:lvlText w:val=""/>
      <w:lvlJc w:val="left"/>
      <w:pPr>
        <w:ind w:left="1441" w:hanging="216"/>
      </w:pPr>
      <w:rPr>
        <w:rFonts w:ascii="Symbol" w:hAnsi="Symbol" w:hint="default"/>
        <w:color w:val="4F81BD"/>
        <w:sz w:val="16"/>
      </w:rPr>
    </w:lvl>
    <w:lvl w:ilvl="6">
      <w:start w:val="1"/>
      <w:numFmt w:val="bullet"/>
      <w:lvlText w:val=""/>
      <w:lvlJc w:val="left"/>
      <w:pPr>
        <w:ind w:left="1686" w:hanging="216"/>
      </w:pPr>
      <w:rPr>
        <w:rFonts w:ascii="Symbol" w:hAnsi="Symbol" w:hint="default"/>
        <w:color w:val="4F81BD"/>
        <w:sz w:val="16"/>
      </w:rPr>
    </w:lvl>
    <w:lvl w:ilvl="7">
      <w:start w:val="1"/>
      <w:numFmt w:val="bullet"/>
      <w:lvlText w:val=""/>
      <w:lvlJc w:val="left"/>
      <w:pPr>
        <w:ind w:left="1931" w:hanging="216"/>
      </w:pPr>
      <w:rPr>
        <w:rFonts w:ascii="Symbol" w:hAnsi="Symbol" w:hint="default"/>
        <w:color w:val="4F81BD"/>
        <w:sz w:val="16"/>
      </w:rPr>
    </w:lvl>
    <w:lvl w:ilvl="8">
      <w:start w:val="1"/>
      <w:numFmt w:val="bullet"/>
      <w:lvlText w:val=""/>
      <w:lvlJc w:val="left"/>
      <w:pPr>
        <w:ind w:left="2176" w:hanging="216"/>
      </w:pPr>
      <w:rPr>
        <w:rFonts w:ascii="Symbol" w:hAnsi="Symbol" w:hint="default"/>
        <w:color w:val="4F81BD"/>
        <w:sz w:val="16"/>
      </w:rPr>
    </w:lvl>
  </w:abstractNum>
  <w:abstractNum w:abstractNumId="20">
    <w:nsid w:val="47E31FB5"/>
    <w:multiLevelType w:val="multilevel"/>
    <w:tmpl w:val="1F345A5C"/>
    <w:lvl w:ilvl="0">
      <w:start w:val="1"/>
      <w:numFmt w:val="bullet"/>
      <w:pStyle w:val="Dot-points"/>
      <w:lvlText w:val=""/>
      <w:lvlJc w:val="left"/>
      <w:pPr>
        <w:tabs>
          <w:tab w:val="num" w:pos="360"/>
        </w:tabs>
        <w:ind w:left="360" w:hanging="360"/>
      </w:pPr>
      <w:rPr>
        <w:rFonts w:ascii="Symbol" w:hAnsi="Symbol" w:hint="default"/>
        <w:sz w:val="18"/>
      </w:rPr>
    </w:lvl>
    <w:lvl w:ilvl="1">
      <w:start w:val="1"/>
      <w:numFmt w:val="bullet"/>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29C4473"/>
    <w:multiLevelType w:val="multilevel"/>
    <w:tmpl w:val="3DCC15C2"/>
    <w:lvl w:ilvl="0">
      <w:start w:val="1"/>
      <w:numFmt w:val="decimal"/>
      <w:pStyle w:val="Heading1"/>
      <w:lvlText w:val="%1"/>
      <w:lvlJc w:val="left"/>
      <w:pPr>
        <w:tabs>
          <w:tab w:val="num" w:pos="720"/>
        </w:tabs>
        <w:ind w:left="720" w:hanging="720"/>
      </w:pPr>
      <w:rPr>
        <w:rFonts w:ascii="Book Antiqua" w:hAnsi="Book Antiqua" w:hint="default"/>
        <w:b/>
        <w:i w:val="0"/>
        <w:sz w:val="3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nsid w:val="645F562F"/>
    <w:multiLevelType w:val="singleLevel"/>
    <w:tmpl w:val="19683378"/>
    <w:lvl w:ilvl="0">
      <w:start w:val="1"/>
      <w:numFmt w:val="decimal"/>
      <w:pStyle w:val="NumberedList"/>
      <w:lvlText w:val="%1."/>
      <w:lvlJc w:val="left"/>
      <w:pPr>
        <w:tabs>
          <w:tab w:val="num" w:pos="425"/>
        </w:tabs>
        <w:ind w:left="425" w:hanging="425"/>
      </w:pPr>
      <w:rPr>
        <w:rFonts w:hint="default"/>
      </w:rPr>
    </w:lvl>
  </w:abstractNum>
  <w:abstractNum w:abstractNumId="23">
    <w:nsid w:val="684B4745"/>
    <w:multiLevelType w:val="multilevel"/>
    <w:tmpl w:val="88E40C24"/>
    <w:lvl w:ilvl="0">
      <w:start w:val="1"/>
      <w:numFmt w:val="lowerRoman"/>
      <w:lvlText w:val="(%1)"/>
      <w:lvlJc w:val="left"/>
      <w:pPr>
        <w:tabs>
          <w:tab w:val="num" w:pos="1080"/>
        </w:tabs>
        <w:ind w:left="360" w:hanging="360"/>
      </w:pPr>
    </w:lvl>
    <w:lvl w:ilvl="1">
      <w:start w:val="1"/>
      <w:numFmt w:val="bullet"/>
      <w:pStyle w:val="Dotpoint2ndCONSITES"/>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23"/>
  </w:num>
  <w:num w:numId="14">
    <w:abstractNumId w:val="15"/>
  </w:num>
  <w:num w:numId="15">
    <w:abstractNumId w:val="20"/>
  </w:num>
  <w:num w:numId="16">
    <w:abstractNumId w:val="21"/>
  </w:num>
  <w:num w:numId="17">
    <w:abstractNumId w:val="18"/>
  </w:num>
  <w:num w:numId="18">
    <w:abstractNumId w:val="19"/>
  </w:num>
  <w:num w:numId="19">
    <w:abstractNumId w:val="13"/>
  </w:num>
  <w:num w:numId="20">
    <w:abstractNumId w:val="10"/>
  </w:num>
  <w:num w:numId="21">
    <w:abstractNumId w:val="22"/>
  </w:num>
  <w:num w:numId="22">
    <w:abstractNumId w:val="12"/>
  </w:num>
  <w:num w:numId="23">
    <w:abstractNumId w:val="14"/>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104"/>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A6C"/>
    <w:rsid w:val="0001007A"/>
    <w:rsid w:val="000136AF"/>
    <w:rsid w:val="00014B9A"/>
    <w:rsid w:val="000279D9"/>
    <w:rsid w:val="000614BF"/>
    <w:rsid w:val="0006666F"/>
    <w:rsid w:val="00087033"/>
    <w:rsid w:val="000D05EF"/>
    <w:rsid w:val="000D5999"/>
    <w:rsid w:val="000F21C1"/>
    <w:rsid w:val="001016D1"/>
    <w:rsid w:val="0010745C"/>
    <w:rsid w:val="0011206D"/>
    <w:rsid w:val="00166C2F"/>
    <w:rsid w:val="0018435F"/>
    <w:rsid w:val="001939E1"/>
    <w:rsid w:val="00195382"/>
    <w:rsid w:val="001B0F61"/>
    <w:rsid w:val="001C69C4"/>
    <w:rsid w:val="001E3590"/>
    <w:rsid w:val="001E7407"/>
    <w:rsid w:val="001F2093"/>
    <w:rsid w:val="001F2991"/>
    <w:rsid w:val="0021528E"/>
    <w:rsid w:val="00240749"/>
    <w:rsid w:val="0024239A"/>
    <w:rsid w:val="00297258"/>
    <w:rsid w:val="00297ECB"/>
    <w:rsid w:val="002D043A"/>
    <w:rsid w:val="00313C6F"/>
    <w:rsid w:val="003210B2"/>
    <w:rsid w:val="003415D3"/>
    <w:rsid w:val="00352B0F"/>
    <w:rsid w:val="00366A72"/>
    <w:rsid w:val="003D0BFE"/>
    <w:rsid w:val="003D5700"/>
    <w:rsid w:val="004116CD"/>
    <w:rsid w:val="00416CD3"/>
    <w:rsid w:val="00424CA9"/>
    <w:rsid w:val="0043512F"/>
    <w:rsid w:val="00440188"/>
    <w:rsid w:val="0044291A"/>
    <w:rsid w:val="00496F97"/>
    <w:rsid w:val="004A2F18"/>
    <w:rsid w:val="00516B8D"/>
    <w:rsid w:val="00521CD8"/>
    <w:rsid w:val="005230DA"/>
    <w:rsid w:val="005336B1"/>
    <w:rsid w:val="00537FBC"/>
    <w:rsid w:val="00584811"/>
    <w:rsid w:val="00593AA6"/>
    <w:rsid w:val="00594161"/>
    <w:rsid w:val="00594749"/>
    <w:rsid w:val="005B4067"/>
    <w:rsid w:val="005C3F41"/>
    <w:rsid w:val="005E53EB"/>
    <w:rsid w:val="005E772B"/>
    <w:rsid w:val="00600219"/>
    <w:rsid w:val="00664C63"/>
    <w:rsid w:val="00677CC2"/>
    <w:rsid w:val="0069207B"/>
    <w:rsid w:val="006B0CF5"/>
    <w:rsid w:val="006C5791"/>
    <w:rsid w:val="006C7F8C"/>
    <w:rsid w:val="00700B2C"/>
    <w:rsid w:val="00713084"/>
    <w:rsid w:val="00731E00"/>
    <w:rsid w:val="007440B7"/>
    <w:rsid w:val="007636B0"/>
    <w:rsid w:val="007677A6"/>
    <w:rsid w:val="007715C9"/>
    <w:rsid w:val="00774EDD"/>
    <w:rsid w:val="007757EC"/>
    <w:rsid w:val="007A7A7F"/>
    <w:rsid w:val="007C6B5D"/>
    <w:rsid w:val="007E335B"/>
    <w:rsid w:val="00830815"/>
    <w:rsid w:val="00856A31"/>
    <w:rsid w:val="00861BCA"/>
    <w:rsid w:val="008754D0"/>
    <w:rsid w:val="008D0EE0"/>
    <w:rsid w:val="00932377"/>
    <w:rsid w:val="009620C2"/>
    <w:rsid w:val="00983A6C"/>
    <w:rsid w:val="009C6751"/>
    <w:rsid w:val="00A0097F"/>
    <w:rsid w:val="00A231E2"/>
    <w:rsid w:val="00A24CB9"/>
    <w:rsid w:val="00A25627"/>
    <w:rsid w:val="00A6121F"/>
    <w:rsid w:val="00A64912"/>
    <w:rsid w:val="00A70A74"/>
    <w:rsid w:val="00AA5B8D"/>
    <w:rsid w:val="00AD5641"/>
    <w:rsid w:val="00AE59F7"/>
    <w:rsid w:val="00AE7BD7"/>
    <w:rsid w:val="00B011E4"/>
    <w:rsid w:val="00B33B3C"/>
    <w:rsid w:val="00B340B6"/>
    <w:rsid w:val="00B45DD6"/>
    <w:rsid w:val="00B568CC"/>
    <w:rsid w:val="00B90D47"/>
    <w:rsid w:val="00BC66A3"/>
    <w:rsid w:val="00BD5689"/>
    <w:rsid w:val="00BD6B2E"/>
    <w:rsid w:val="00BE5054"/>
    <w:rsid w:val="00BE719A"/>
    <w:rsid w:val="00BE720A"/>
    <w:rsid w:val="00C009BA"/>
    <w:rsid w:val="00C21A4E"/>
    <w:rsid w:val="00C255AB"/>
    <w:rsid w:val="00C42BF8"/>
    <w:rsid w:val="00C50043"/>
    <w:rsid w:val="00C67D51"/>
    <w:rsid w:val="00C7573B"/>
    <w:rsid w:val="00C8494E"/>
    <w:rsid w:val="00CE164B"/>
    <w:rsid w:val="00CF0BB2"/>
    <w:rsid w:val="00CF4975"/>
    <w:rsid w:val="00D13441"/>
    <w:rsid w:val="00D3213F"/>
    <w:rsid w:val="00D70DFB"/>
    <w:rsid w:val="00D766DF"/>
    <w:rsid w:val="00DF09AC"/>
    <w:rsid w:val="00E02F5D"/>
    <w:rsid w:val="00E05704"/>
    <w:rsid w:val="00E37595"/>
    <w:rsid w:val="00E4146C"/>
    <w:rsid w:val="00E74DC7"/>
    <w:rsid w:val="00E80517"/>
    <w:rsid w:val="00E9136A"/>
    <w:rsid w:val="00ED1A6C"/>
    <w:rsid w:val="00EF2E3A"/>
    <w:rsid w:val="00F078DC"/>
    <w:rsid w:val="00F1779C"/>
    <w:rsid w:val="00F46106"/>
    <w:rsid w:val="00F5076A"/>
    <w:rsid w:val="00F55FC5"/>
    <w:rsid w:val="00FA3991"/>
    <w:rsid w:val="00FB68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annotation reference" w:uiPriority="0"/>
    <w:lsdException w:name="line number"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3"/>
    <w:lsdException w:name="Strong" w:semiHidden="0" w:uiPriority="22" w:unhideWhenUsed="0" w:qFormat="1"/>
    <w:lsdException w:name="Emphasis" w:semiHidden="0" w:uiPriority="0" w:unhideWhenUsed="0" w:qFormat="1"/>
    <w:lsdException w:name="Normal (Web)"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41"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4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46"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paragraph" w:styleId="Heading1">
    <w:name w:val="heading 1"/>
    <w:aliases w:val="Chapter Heading,Chapter Heading1,Chapter Heading2,Chapter Heading3,Chapter Heading4,Chapter Heading5,Chapter Heading6,Chapter Heading7,Chapter Heading8,Chapter Heading9,Chapter Heading10,Chapter Heading11,Chapter Heading21,Chapter Heading31,h1"/>
    <w:basedOn w:val="text"/>
    <w:next w:val="text"/>
    <w:link w:val="Heading1Char"/>
    <w:autoRedefine/>
    <w:uiPriority w:val="9"/>
    <w:qFormat/>
    <w:rsid w:val="007636B0"/>
    <w:pPr>
      <w:keepNext/>
      <w:pageBreakBefore/>
      <w:numPr>
        <w:numId w:val="16"/>
      </w:numPr>
      <w:tabs>
        <w:tab w:val="clear" w:pos="720"/>
        <w:tab w:val="num" w:pos="1209"/>
        <w:tab w:val="right" w:pos="9072"/>
      </w:tabs>
      <w:spacing w:before="0"/>
      <w:ind w:left="709" w:hanging="709"/>
      <w:outlineLvl w:val="0"/>
    </w:pPr>
    <w:rPr>
      <w:b/>
      <w:kern w:val="28"/>
      <w:sz w:val="32"/>
    </w:rPr>
  </w:style>
  <w:style w:type="paragraph" w:styleId="Heading2">
    <w:name w:val="heading 2"/>
    <w:aliases w:val="Major Heading,Major Heading1,Major Heading2,Major Heading3,Major Heading4,Major Heading5,Major Heading6,Major Heading11,Major Heading21,Major Heading31,Major Heading7,Major Heading12,Major Heading22,Major Heading32,Major Heading8,h2,H2,2,Para2"/>
    <w:basedOn w:val="Heading1"/>
    <w:next w:val="Normal"/>
    <w:link w:val="Heading2Char"/>
    <w:autoRedefine/>
    <w:uiPriority w:val="9"/>
    <w:qFormat/>
    <w:rsid w:val="007636B0"/>
    <w:pPr>
      <w:keepLines/>
      <w:pageBreakBefore w:val="0"/>
      <w:numPr>
        <w:ilvl w:val="1"/>
      </w:numPr>
      <w:tabs>
        <w:tab w:val="clear" w:pos="576"/>
        <w:tab w:val="right" w:pos="709"/>
        <w:tab w:val="num" w:pos="1209"/>
        <w:tab w:val="left" w:pos="9180"/>
      </w:tabs>
      <w:autoSpaceDE w:val="0"/>
      <w:autoSpaceDN w:val="0"/>
      <w:adjustRightInd w:val="0"/>
      <w:spacing w:before="240"/>
      <w:ind w:left="709" w:hanging="709"/>
      <w:outlineLvl w:val="1"/>
    </w:pPr>
    <w:rPr>
      <w:sz w:val="24"/>
      <w:lang w:eastAsia="en-US"/>
    </w:rPr>
  </w:style>
  <w:style w:type="paragraph" w:styleId="Heading3">
    <w:name w:val="heading 3"/>
    <w:aliases w:val="Sub-heading,Sub-heading1,Sub-heading2,Sub-heading3,Sub-heading4,Sub-heading5,Sub-heading6,Sub-heading11,Sub-heading21,Sub-heading31,Sub-heading7,Sub-heading12,Sub-heading22,Sub-heading32,Sub-heading8,Sub-heading13,Sub-heading23,Sub-heading33"/>
    <w:basedOn w:val="Heading2"/>
    <w:next w:val="Normal"/>
    <w:link w:val="Heading3Char"/>
    <w:uiPriority w:val="9"/>
    <w:qFormat/>
    <w:rsid w:val="007636B0"/>
    <w:pPr>
      <w:numPr>
        <w:ilvl w:val="2"/>
      </w:numPr>
      <w:outlineLvl w:val="2"/>
    </w:pPr>
    <w:rPr>
      <w:sz w:val="22"/>
    </w:rPr>
  </w:style>
  <w:style w:type="paragraph" w:styleId="Heading4">
    <w:name w:val="heading 4"/>
    <w:aliases w:val="Minor Heading,Minor Heading1,Minor Heading2,Minor Heading3,Minor Heading4,Minor Heading5,Minor Heading6,Minor Heading7,Minor Heading8,Minor Heading11,Minor Heading21,Minor Heading31,Minor Heading41,Minor Heading51,Minor Heading9,D&amp;M,h4,h41,h42"/>
    <w:basedOn w:val="Normal"/>
    <w:next w:val="Normal"/>
    <w:link w:val="Heading4Char"/>
    <w:uiPriority w:val="9"/>
    <w:qFormat/>
    <w:rsid w:val="007636B0"/>
    <w:pPr>
      <w:keepNext/>
      <w:numPr>
        <w:ilvl w:val="3"/>
        <w:numId w:val="16"/>
      </w:numPr>
      <w:tabs>
        <w:tab w:val="left" w:pos="1134"/>
      </w:tabs>
      <w:spacing w:before="240" w:after="120" w:line="240" w:lineRule="auto"/>
      <w:jc w:val="both"/>
      <w:outlineLvl w:val="3"/>
    </w:pPr>
    <w:rPr>
      <w:rFonts w:ascii="Book Antiqua" w:eastAsia="Times New Roman" w:hAnsi="Book Antiqua" w:cs="Times New Roman"/>
      <w:i/>
      <w:lang w:eastAsia="en-AU"/>
    </w:rPr>
  </w:style>
  <w:style w:type="paragraph" w:styleId="Heading5">
    <w:name w:val="heading 5"/>
    <w:aliases w:val="Further Points,Further Points1,Further Points2,Further Points3,Further Points11,Further Points4,Further Points5,Further Points12,Further Points21,Further Points111,Further Points6,Further Points13,Further Points22,Further Points112,h5,Para5"/>
    <w:basedOn w:val="Normal"/>
    <w:next w:val="Normal"/>
    <w:link w:val="Heading5Char"/>
    <w:uiPriority w:val="9"/>
    <w:rsid w:val="007636B0"/>
    <w:pPr>
      <w:keepNext/>
      <w:numPr>
        <w:ilvl w:val="4"/>
        <w:numId w:val="16"/>
      </w:numPr>
      <w:spacing w:before="120" w:after="120" w:line="240" w:lineRule="auto"/>
      <w:ind w:right="-2"/>
      <w:outlineLvl w:val="4"/>
    </w:pPr>
    <w:rPr>
      <w:rFonts w:ascii="Book Antiqua" w:eastAsia="Times New Roman" w:hAnsi="Book Antiqua" w:cs="Times New Roman"/>
      <w:b/>
      <w:sz w:val="20"/>
      <w:lang w:eastAsia="en-AU"/>
    </w:rPr>
  </w:style>
  <w:style w:type="paragraph" w:styleId="Heading6">
    <w:name w:val="heading 6"/>
    <w:aliases w:val="Points in Text,Points in Text1,Points in Text2,Points in Text3,Points in Text4,Points in Text5,Points in Text11,Points in Text21,Points in Text6,Points in Text12,Points in Text22,Points in Text7,Points in Text13,Points in Text23,not Kinhill,H"/>
    <w:basedOn w:val="Normal"/>
    <w:next w:val="Normal"/>
    <w:link w:val="Heading6Char"/>
    <w:uiPriority w:val="9"/>
    <w:rsid w:val="007636B0"/>
    <w:pPr>
      <w:numPr>
        <w:ilvl w:val="5"/>
        <w:numId w:val="16"/>
      </w:numPr>
      <w:spacing w:before="240" w:after="60" w:line="240" w:lineRule="auto"/>
      <w:jc w:val="both"/>
      <w:outlineLvl w:val="5"/>
    </w:pPr>
    <w:rPr>
      <w:rFonts w:eastAsia="Times New Roman" w:cs="Times New Roman"/>
      <w:i/>
      <w:lang w:eastAsia="en-AU"/>
    </w:rPr>
  </w:style>
  <w:style w:type="paragraph" w:styleId="Heading7">
    <w:name w:val="heading 7"/>
    <w:aliases w:val="DO NOT USE 7,DO NOT USE 71,H7,H71,H72,H711,DO NOT USE 72,DO NOT USE 711,H73,H712,DO NOT USE 73,DO NOT USE 712,H74,H713,DO NOT USE 74,DO NOT USE 713,H75,H714,DO NOT USE 75,DO NOT USE 714,H76,H715,DO NOT USE 76,DO NOT USE 715,H77,H716,H78,H717"/>
    <w:basedOn w:val="Normal"/>
    <w:next w:val="Normal"/>
    <w:link w:val="Heading7Char"/>
    <w:uiPriority w:val="9"/>
    <w:rsid w:val="007636B0"/>
    <w:pPr>
      <w:numPr>
        <w:ilvl w:val="6"/>
        <w:numId w:val="16"/>
      </w:numPr>
      <w:spacing w:before="240" w:after="60" w:line="240" w:lineRule="auto"/>
      <w:jc w:val="both"/>
      <w:outlineLvl w:val="6"/>
    </w:pPr>
    <w:rPr>
      <w:rFonts w:ascii="Arial" w:eastAsia="Times New Roman" w:hAnsi="Arial" w:cs="Times New Roman"/>
      <w:sz w:val="20"/>
      <w:lang w:eastAsia="en-AU"/>
    </w:rPr>
  </w:style>
  <w:style w:type="paragraph" w:styleId="Heading8">
    <w:name w:val="heading 8"/>
    <w:aliases w:val="Appendix Level 2,not Kinhill1,Appendix Level 21,Appendix Level 22,Appendix Level 23,Appendix Level 24,Appendix Level 25,Appendix Level 26,Appendix Level 27,DO NOT USE 8,Appendix Level 28,Appendix Level 211,Appendix Level 221"/>
    <w:basedOn w:val="Normal"/>
    <w:next w:val="Normal"/>
    <w:link w:val="Heading8Char"/>
    <w:uiPriority w:val="9"/>
    <w:rsid w:val="007636B0"/>
    <w:pPr>
      <w:numPr>
        <w:ilvl w:val="7"/>
        <w:numId w:val="16"/>
      </w:numPr>
      <w:spacing w:before="240" w:after="60" w:line="240" w:lineRule="auto"/>
      <w:jc w:val="both"/>
      <w:outlineLvl w:val="7"/>
    </w:pPr>
    <w:rPr>
      <w:rFonts w:ascii="Arial" w:eastAsia="Times New Roman" w:hAnsi="Arial" w:cs="Times New Roman"/>
      <w:i/>
      <w:sz w:val="20"/>
      <w:lang w:eastAsia="en-AU"/>
    </w:rPr>
  </w:style>
  <w:style w:type="paragraph" w:styleId="Heading9">
    <w:name w:val="heading 9"/>
    <w:aliases w:val="Appendix Level 3,Appendix Level 31,Appendix Level 32,Appendix Level 33,Appendix Level 34,Appendix Level 35,Appendix Level 36,Appendix Level 37,DO NOT USE 9,Appendix Level 38,Appendix Level 311,Appendix Level 321,Appendix Level 331,H9,H91,H92"/>
    <w:basedOn w:val="Normal"/>
    <w:next w:val="Normal"/>
    <w:link w:val="Heading9Char"/>
    <w:uiPriority w:val="9"/>
    <w:rsid w:val="007636B0"/>
    <w:pPr>
      <w:numPr>
        <w:ilvl w:val="8"/>
        <w:numId w:val="16"/>
      </w:numPr>
      <w:spacing w:before="240" w:after="60" w:line="240" w:lineRule="auto"/>
      <w:jc w:val="both"/>
      <w:outlineLvl w:val="8"/>
    </w:pPr>
    <w:rPr>
      <w:rFonts w:ascii="Arial" w:eastAsia="Times New Roman" w:hAnsi="Arial" w:cs="Times New Roman"/>
      <w:b/>
      <w:i/>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A24C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1B0F61"/>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D13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54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54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54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B0F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116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F0B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F0B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F0B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664C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664C63"/>
    <w:rPr>
      <w:rFonts w:eastAsia="Times New Roman" w:cs="Times New Roman"/>
      <w:sz w:val="22"/>
      <w:szCs w:val="24"/>
      <w:lang w:eastAsia="en-AU"/>
    </w:rPr>
  </w:style>
  <w:style w:type="character" w:styleId="LineNumber">
    <w:name w:val="line number"/>
    <w:basedOn w:val="OPCCharBase"/>
    <w:unhideWhenUsed/>
    <w:rsid w:val="001B0F61"/>
    <w:rPr>
      <w:sz w:val="16"/>
    </w:rPr>
  </w:style>
  <w:style w:type="table" w:customStyle="1" w:styleId="CFlag">
    <w:name w:val="CFlag"/>
    <w:basedOn w:val="TableNormal"/>
    <w:uiPriority w:val="99"/>
    <w:rsid w:val="0018435F"/>
    <w:rPr>
      <w:rFonts w:eastAsia="Times New Roman" w:cs="Times New Roman"/>
      <w:lang w:eastAsia="en-AU"/>
    </w:rPr>
    <w:tblPr>
      <w:tblInd w:w="0" w:type="dxa"/>
      <w:tblCellMar>
        <w:top w:w="0" w:type="dxa"/>
        <w:left w:w="108" w:type="dxa"/>
        <w:bottom w:w="0" w:type="dxa"/>
        <w:right w:w="108" w:type="dxa"/>
      </w:tblCellMar>
    </w:tblPr>
  </w:style>
  <w:style w:type="table" w:styleId="TableGrid">
    <w:name w:val="Table Grid"/>
    <w:basedOn w:val="TableNormal"/>
    <w:uiPriority w:val="1"/>
    <w:rsid w:val="00A6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PartCASA">
    <w:name w:val="SubPart(CASA)"/>
    <w:aliases w:val="csp"/>
    <w:basedOn w:val="OPCParaBase"/>
    <w:next w:val="ActHead3"/>
    <w:rsid w:val="007E335B"/>
    <w:pPr>
      <w:keepNext/>
      <w:keepLines/>
      <w:spacing w:before="280"/>
      <w:outlineLvl w:val="1"/>
    </w:pPr>
    <w:rPr>
      <w:b/>
      <w:kern w:val="28"/>
      <w:sz w:val="32"/>
    </w:rPr>
  </w:style>
  <w:style w:type="paragraph" w:customStyle="1" w:styleId="ENotesHeading1">
    <w:name w:val="ENotesHeading 1"/>
    <w:aliases w:val="Enh1"/>
    <w:basedOn w:val="OPCParaBase"/>
    <w:next w:val="Normal"/>
    <w:rsid w:val="00DF09AC"/>
    <w:pPr>
      <w:spacing w:before="120"/>
      <w:outlineLvl w:val="0"/>
    </w:pPr>
    <w:rPr>
      <w:b/>
      <w:sz w:val="28"/>
      <w:szCs w:val="28"/>
    </w:rPr>
  </w:style>
  <w:style w:type="paragraph" w:customStyle="1" w:styleId="ENotesHeading2">
    <w:name w:val="ENotesHeading 2"/>
    <w:aliases w:val="Enh2"/>
    <w:basedOn w:val="OPCParaBase"/>
    <w:next w:val="Normal"/>
    <w:rsid w:val="00DF09AC"/>
    <w:pPr>
      <w:spacing w:before="120" w:after="120"/>
      <w:outlineLvl w:val="6"/>
    </w:pPr>
    <w:rPr>
      <w:b/>
      <w:sz w:val="24"/>
      <w:szCs w:val="28"/>
    </w:rPr>
  </w:style>
  <w:style w:type="paragraph" w:customStyle="1" w:styleId="ENotesHeading3">
    <w:name w:val="ENotesHeading 3"/>
    <w:aliases w:val="Enh3"/>
    <w:basedOn w:val="OPCParaBase"/>
    <w:next w:val="Normal"/>
    <w:rsid w:val="00DF09AC"/>
    <w:pPr>
      <w:spacing w:before="120" w:line="240" w:lineRule="auto"/>
      <w:outlineLvl w:val="7"/>
    </w:pPr>
    <w:rPr>
      <w:b/>
      <w:szCs w:val="24"/>
    </w:rPr>
  </w:style>
  <w:style w:type="paragraph" w:customStyle="1" w:styleId="ENotesText">
    <w:name w:val="ENotesText"/>
    <w:aliases w:val="Ent"/>
    <w:basedOn w:val="OPCParaBase"/>
    <w:next w:val="Normal"/>
    <w:rsid w:val="00DF09AC"/>
    <w:pPr>
      <w:spacing w:before="120"/>
    </w:pPr>
  </w:style>
  <w:style w:type="paragraph" w:customStyle="1" w:styleId="CompiledActNo">
    <w:name w:val="CompiledActNo"/>
    <w:basedOn w:val="OPCParaBase"/>
    <w:next w:val="Normal"/>
    <w:rsid w:val="00C255AB"/>
    <w:rPr>
      <w:b/>
      <w:sz w:val="24"/>
      <w:szCs w:val="24"/>
    </w:rPr>
  </w:style>
  <w:style w:type="paragraph" w:customStyle="1" w:styleId="CompiledMadeUnder">
    <w:name w:val="CompiledMadeUnder"/>
    <w:basedOn w:val="OPCParaBase"/>
    <w:next w:val="Normal"/>
    <w:rsid w:val="00C255AB"/>
    <w:rPr>
      <w:i/>
      <w:sz w:val="24"/>
      <w:szCs w:val="24"/>
    </w:rPr>
  </w:style>
  <w:style w:type="paragraph" w:customStyle="1" w:styleId="Paragraphsub-sub-sub">
    <w:name w:val="Paragraph(sub-sub-sub)"/>
    <w:aliases w:val="aaaa"/>
    <w:basedOn w:val="OPCParaBase"/>
    <w:rsid w:val="00BD6B2E"/>
    <w:pPr>
      <w:tabs>
        <w:tab w:val="right" w:pos="3402"/>
      </w:tabs>
      <w:spacing w:before="40" w:line="240" w:lineRule="auto"/>
      <w:ind w:left="3402" w:hanging="3402"/>
    </w:pPr>
  </w:style>
  <w:style w:type="paragraph" w:customStyle="1" w:styleId="EndNotespara">
    <w:name w:val="EndNotes(para)"/>
    <w:aliases w:val="eta"/>
    <w:basedOn w:val="OPCParaBase"/>
    <w:next w:val="Normal"/>
    <w:rsid w:val="00DF09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09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F09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09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F09AC"/>
    <w:pPr>
      <w:spacing w:before="60" w:line="240" w:lineRule="auto"/>
    </w:pPr>
    <w:rPr>
      <w:rFonts w:cs="Arial"/>
      <w:sz w:val="20"/>
      <w:szCs w:val="22"/>
    </w:rPr>
  </w:style>
  <w:style w:type="paragraph" w:customStyle="1" w:styleId="TableHeading">
    <w:name w:val="TableHeading"/>
    <w:aliases w:val="th"/>
    <w:basedOn w:val="OPCParaBase"/>
    <w:next w:val="Tabletext"/>
    <w:rsid w:val="00F1779C"/>
    <w:pPr>
      <w:spacing w:before="60" w:line="240" w:lineRule="atLeast"/>
    </w:pPr>
    <w:rPr>
      <w:b/>
      <w:sz w:val="20"/>
    </w:rPr>
  </w:style>
  <w:style w:type="paragraph" w:customStyle="1" w:styleId="NoteToSubpara">
    <w:name w:val="NoteToSubpara"/>
    <w:aliases w:val="nts"/>
    <w:basedOn w:val="OPCParaBase"/>
    <w:rsid w:val="00E9136A"/>
    <w:pPr>
      <w:spacing w:before="40" w:line="198" w:lineRule="exact"/>
      <w:ind w:left="2835" w:hanging="709"/>
    </w:pPr>
    <w:rPr>
      <w:sz w:val="18"/>
    </w:rPr>
  </w:style>
  <w:style w:type="character" w:customStyle="1" w:styleId="Heading1Char">
    <w:name w:val="Heading 1 Char"/>
    <w:aliases w:val="Chapter Heading Char,Chapter Heading1 Char,Chapter Heading2 Char,Chapter Heading3 Char,Chapter Heading4 Char,Chapter Heading5 Char,Chapter Heading6 Char,Chapter Heading7 Char,Chapter Heading8 Char,Chapter Heading9 Char,h1 Char"/>
    <w:basedOn w:val="DefaultParagraphFont"/>
    <w:link w:val="Heading1"/>
    <w:uiPriority w:val="9"/>
    <w:rsid w:val="007636B0"/>
    <w:rPr>
      <w:rFonts w:ascii="Book Antiqua" w:eastAsia="Times New Roman" w:hAnsi="Book Antiqua" w:cs="Times New Roman"/>
      <w:b/>
      <w:kern w:val="28"/>
      <w:sz w:val="32"/>
      <w:lang w:eastAsia="en-AU"/>
    </w:rPr>
  </w:style>
  <w:style w:type="character" w:customStyle="1" w:styleId="Heading2Char">
    <w:name w:val="Heading 2 Char"/>
    <w:aliases w:val="Major Heading Char,Major Heading1 Char,Major Heading2 Char,Major Heading3 Char,Major Heading4 Char,Major Heading5 Char,Major Heading6 Char,Major Heading11 Char,Major Heading21 Char,Major Heading31 Char,Major Heading7 Char,h2 Char,H2 Char"/>
    <w:basedOn w:val="DefaultParagraphFont"/>
    <w:link w:val="Heading2"/>
    <w:uiPriority w:val="9"/>
    <w:rsid w:val="007636B0"/>
    <w:rPr>
      <w:rFonts w:ascii="Book Antiqua" w:eastAsia="Times New Roman" w:hAnsi="Book Antiqua" w:cs="Times New Roman"/>
      <w:b/>
      <w:kern w:val="28"/>
      <w:sz w:val="24"/>
    </w:rPr>
  </w:style>
  <w:style w:type="character" w:customStyle="1" w:styleId="Heading3Char">
    <w:name w:val="Heading 3 Char"/>
    <w:aliases w:val="Sub-heading Char,Sub-heading1 Char,Sub-heading2 Char,Sub-heading3 Char,Sub-heading4 Char,Sub-heading5 Char,Sub-heading6 Char,Sub-heading11 Char,Sub-heading21 Char,Sub-heading31 Char,Sub-heading7 Char,Sub-heading12 Char,Sub-heading22 Char"/>
    <w:basedOn w:val="DefaultParagraphFont"/>
    <w:link w:val="Heading3"/>
    <w:uiPriority w:val="9"/>
    <w:rsid w:val="007636B0"/>
    <w:rPr>
      <w:rFonts w:ascii="Book Antiqua" w:eastAsia="Times New Roman" w:hAnsi="Book Antiqua" w:cs="Times New Roman"/>
      <w:b/>
      <w:kern w:val="28"/>
      <w:sz w:val="22"/>
    </w:rPr>
  </w:style>
  <w:style w:type="character" w:customStyle="1" w:styleId="Heading4Char">
    <w:name w:val="Heading 4 Char"/>
    <w:aliases w:val="Minor Heading Char,Minor Heading1 Char,Minor Heading2 Char,Minor Heading3 Char,Minor Heading4 Char,Minor Heading5 Char,Minor Heading6 Char,Minor Heading7 Char,Minor Heading8 Char,Minor Heading11 Char,Minor Heading21 Char,D&amp;M Char,h4 Char"/>
    <w:basedOn w:val="DefaultParagraphFont"/>
    <w:link w:val="Heading4"/>
    <w:uiPriority w:val="9"/>
    <w:rsid w:val="007636B0"/>
    <w:rPr>
      <w:rFonts w:ascii="Book Antiqua" w:eastAsia="Times New Roman" w:hAnsi="Book Antiqua" w:cs="Times New Roman"/>
      <w:i/>
      <w:sz w:val="22"/>
      <w:lang w:eastAsia="en-AU"/>
    </w:rPr>
  </w:style>
  <w:style w:type="character" w:customStyle="1" w:styleId="Heading5Char">
    <w:name w:val="Heading 5 Char"/>
    <w:aliases w:val="Further Points Char,Further Points1 Char,Further Points2 Char,Further Points3 Char,Further Points11 Char,Further Points4 Char,Further Points5 Char,Further Points12 Char,Further Points21 Char,Further Points111 Char,Further Points6 Char"/>
    <w:basedOn w:val="DefaultParagraphFont"/>
    <w:link w:val="Heading5"/>
    <w:uiPriority w:val="9"/>
    <w:rsid w:val="007636B0"/>
    <w:rPr>
      <w:rFonts w:ascii="Book Antiqua" w:eastAsia="Times New Roman" w:hAnsi="Book Antiqua" w:cs="Times New Roman"/>
      <w:b/>
      <w:lang w:eastAsia="en-AU"/>
    </w:rPr>
  </w:style>
  <w:style w:type="character" w:customStyle="1" w:styleId="Heading6Char">
    <w:name w:val="Heading 6 Char"/>
    <w:aliases w:val="Points in Text Char,Points in Text1 Char,Points in Text2 Char,Points in Text3 Char,Points in Text4 Char,Points in Text5 Char,Points in Text11 Char,Points in Text21 Char,Points in Text6 Char,Points in Text12 Char,Points in Text22 Char"/>
    <w:basedOn w:val="DefaultParagraphFont"/>
    <w:link w:val="Heading6"/>
    <w:uiPriority w:val="9"/>
    <w:rsid w:val="007636B0"/>
    <w:rPr>
      <w:rFonts w:eastAsia="Times New Roman" w:cs="Times New Roman"/>
      <w:i/>
      <w:sz w:val="22"/>
      <w:lang w:eastAsia="en-AU"/>
    </w:rPr>
  </w:style>
  <w:style w:type="character" w:customStyle="1" w:styleId="Heading7Char">
    <w:name w:val="Heading 7 Char"/>
    <w:aliases w:val="DO NOT USE 7 Char,DO NOT USE 71 Char,H7 Char,H71 Char,H72 Char,H711 Char,DO NOT USE 72 Char,DO NOT USE 711 Char,H73 Char,H712 Char,DO NOT USE 73 Char,DO NOT USE 712 Char,H74 Char,H713 Char,DO NOT USE 74 Char,DO NOT USE 713 Char,H75 Char"/>
    <w:basedOn w:val="DefaultParagraphFont"/>
    <w:link w:val="Heading7"/>
    <w:uiPriority w:val="9"/>
    <w:rsid w:val="007636B0"/>
    <w:rPr>
      <w:rFonts w:ascii="Arial" w:eastAsia="Times New Roman" w:hAnsi="Arial" w:cs="Times New Roman"/>
      <w:lang w:eastAsia="en-AU"/>
    </w:rPr>
  </w:style>
  <w:style w:type="character" w:customStyle="1" w:styleId="Heading8Char">
    <w:name w:val="Heading 8 Char"/>
    <w:aliases w:val="Appendix Level 2 Char,not Kinhill1 Char,Appendix Level 21 Char,Appendix Level 22 Char,Appendix Level 23 Char,Appendix Level 24 Char,Appendix Level 25 Char,Appendix Level 26 Char,Appendix Level 27 Char,DO NOT USE 8 Char"/>
    <w:basedOn w:val="DefaultParagraphFont"/>
    <w:link w:val="Heading8"/>
    <w:uiPriority w:val="9"/>
    <w:rsid w:val="007636B0"/>
    <w:rPr>
      <w:rFonts w:ascii="Arial" w:eastAsia="Times New Roman" w:hAnsi="Arial" w:cs="Times New Roman"/>
      <w:i/>
      <w:lang w:eastAsia="en-AU"/>
    </w:rPr>
  </w:style>
  <w:style w:type="character" w:customStyle="1" w:styleId="Heading9Char">
    <w:name w:val="Heading 9 Char"/>
    <w:aliases w:val="Appendix Level 3 Char,Appendix Level 31 Char,Appendix Level 32 Char,Appendix Level 33 Char,Appendix Level 34 Char,Appendix Level 35 Char,Appendix Level 36 Char,Appendix Level 37 Char,DO NOT USE 9 Char,Appendix Level 38 Char,H9 Char"/>
    <w:basedOn w:val="DefaultParagraphFont"/>
    <w:link w:val="Heading9"/>
    <w:uiPriority w:val="9"/>
    <w:rsid w:val="007636B0"/>
    <w:rPr>
      <w:rFonts w:ascii="Arial" w:eastAsia="Times New Roman" w:hAnsi="Arial" w:cs="Times New Roman"/>
      <w:b/>
      <w:i/>
      <w:sz w:val="18"/>
      <w:lang w:eastAsia="en-AU"/>
    </w:rPr>
  </w:style>
  <w:style w:type="paragraph" w:customStyle="1" w:styleId="DotpointCONSITES">
    <w:name w:val="Dotpoint CON SITES"/>
    <w:basedOn w:val="Normal"/>
    <w:next w:val="Normal"/>
    <w:autoRedefine/>
    <w:rsid w:val="007636B0"/>
    <w:pPr>
      <w:spacing w:before="120" w:after="120" w:line="240" w:lineRule="auto"/>
      <w:jc w:val="both"/>
    </w:pPr>
    <w:rPr>
      <w:rFonts w:ascii="Book Antiqua" w:eastAsia="Times New Roman" w:hAnsi="Book Antiqua" w:cs="Times New Roman"/>
      <w:b/>
      <w:lang w:eastAsia="en-AU"/>
    </w:rPr>
  </w:style>
  <w:style w:type="paragraph" w:customStyle="1" w:styleId="TableheadCONSITES">
    <w:name w:val="Tablehead CON SITES"/>
    <w:basedOn w:val="Normal"/>
    <w:next w:val="Normal"/>
    <w:rsid w:val="007636B0"/>
    <w:pPr>
      <w:spacing w:before="120" w:after="120" w:line="240" w:lineRule="auto"/>
      <w:jc w:val="center"/>
    </w:pPr>
    <w:rPr>
      <w:rFonts w:ascii="Book Antiqua" w:eastAsia="Times New Roman" w:hAnsi="Book Antiqua" w:cs="Times New Roman"/>
      <w:b/>
      <w:lang w:eastAsia="en-AU"/>
    </w:rPr>
  </w:style>
  <w:style w:type="character" w:styleId="PageNumber">
    <w:name w:val="page number"/>
    <w:basedOn w:val="DefaultParagraphFont"/>
    <w:rsid w:val="007636B0"/>
  </w:style>
  <w:style w:type="paragraph" w:styleId="BlockText">
    <w:name w:val="Block Text"/>
    <w:basedOn w:val="Normal"/>
    <w:uiPriority w:val="3"/>
    <w:rsid w:val="007636B0"/>
    <w:pPr>
      <w:pBdr>
        <w:top w:val="thinThickSmallGap" w:sz="24" w:space="12" w:color="auto"/>
        <w:left w:val="thinThickSmallGap" w:sz="24" w:space="12" w:color="auto"/>
        <w:bottom w:val="thickThinSmallGap" w:sz="24" w:space="12" w:color="auto"/>
        <w:right w:val="thickThinSmallGap" w:sz="24" w:space="12" w:color="auto"/>
      </w:pBdr>
      <w:spacing w:before="120" w:after="120" w:line="480" w:lineRule="auto"/>
      <w:ind w:left="567" w:right="567"/>
      <w:jc w:val="both"/>
    </w:pPr>
    <w:rPr>
      <w:rFonts w:ascii="Book Antiqua" w:eastAsia="Times New Roman" w:hAnsi="Book Antiqua" w:cs="Times New Roman"/>
      <w:lang w:eastAsia="en-AU"/>
    </w:rPr>
  </w:style>
  <w:style w:type="paragraph" w:customStyle="1" w:styleId="Glossary">
    <w:name w:val="Glossary"/>
    <w:basedOn w:val="Normal"/>
    <w:rsid w:val="007636B0"/>
    <w:pPr>
      <w:keepLines/>
      <w:spacing w:before="120" w:after="120" w:line="240" w:lineRule="auto"/>
      <w:jc w:val="both"/>
    </w:pPr>
    <w:rPr>
      <w:rFonts w:ascii="Book Antiqua" w:eastAsia="Times New Roman" w:hAnsi="Book Antiqua" w:cs="Times New Roman"/>
      <w:lang w:eastAsia="en-AU"/>
    </w:rPr>
  </w:style>
  <w:style w:type="paragraph" w:customStyle="1" w:styleId="TableText0">
    <w:name w:val="Table Text"/>
    <w:basedOn w:val="Normal"/>
    <w:rsid w:val="007636B0"/>
    <w:pPr>
      <w:spacing w:before="60" w:after="60" w:line="240" w:lineRule="auto"/>
    </w:pPr>
    <w:rPr>
      <w:rFonts w:ascii="Book Antiqua" w:eastAsia="Times New Roman" w:hAnsi="Book Antiqua" w:cs="Times New Roman"/>
      <w:sz w:val="20"/>
      <w:lang w:eastAsia="en-AU"/>
    </w:rPr>
  </w:style>
  <w:style w:type="paragraph" w:customStyle="1" w:styleId="Dotpoint2ndCONSITES">
    <w:name w:val="Dotpoint 2ndCON SITES"/>
    <w:basedOn w:val="DotpointCONSITES"/>
    <w:rsid w:val="007636B0"/>
    <w:pPr>
      <w:numPr>
        <w:ilvl w:val="1"/>
        <w:numId w:val="13"/>
      </w:numPr>
      <w:tabs>
        <w:tab w:val="clear" w:pos="720"/>
        <w:tab w:val="num" w:pos="851"/>
      </w:tabs>
      <w:ind w:left="851" w:hanging="284"/>
    </w:pPr>
  </w:style>
  <w:style w:type="paragraph" w:customStyle="1" w:styleId="DotpointiCONSITES">
    <w:name w:val="Dotpoint (i)CON SITES"/>
    <w:basedOn w:val="DotpointCONSITES"/>
    <w:rsid w:val="007636B0"/>
    <w:pPr>
      <w:numPr>
        <w:numId w:val="14"/>
      </w:numPr>
      <w:tabs>
        <w:tab w:val="clear" w:pos="720"/>
        <w:tab w:val="num" w:pos="567"/>
      </w:tabs>
      <w:ind w:left="567" w:hanging="567"/>
    </w:pPr>
  </w:style>
  <w:style w:type="paragraph" w:customStyle="1" w:styleId="AppendixHeading">
    <w:name w:val="Appendix Heading"/>
    <w:basedOn w:val="Heading1"/>
    <w:rsid w:val="007636B0"/>
    <w:pPr>
      <w:numPr>
        <w:numId w:val="0"/>
      </w:numPr>
      <w:spacing w:after="0"/>
      <w:jc w:val="center"/>
    </w:pPr>
  </w:style>
  <w:style w:type="paragraph" w:customStyle="1" w:styleId="text">
    <w:name w:val="text"/>
    <w:basedOn w:val="Normal"/>
    <w:link w:val="textChar"/>
    <w:rsid w:val="007636B0"/>
    <w:pPr>
      <w:spacing w:before="120" w:after="120" w:line="240" w:lineRule="auto"/>
      <w:jc w:val="both"/>
    </w:pPr>
    <w:rPr>
      <w:rFonts w:ascii="Book Antiqua" w:eastAsia="Times New Roman" w:hAnsi="Book Antiqua" w:cs="Times New Roman"/>
      <w:lang w:eastAsia="en-AU"/>
    </w:rPr>
  </w:style>
  <w:style w:type="paragraph" w:customStyle="1" w:styleId="Dot-points">
    <w:name w:val="Dot-points"/>
    <w:basedOn w:val="text"/>
    <w:qFormat/>
    <w:rsid w:val="007636B0"/>
    <w:pPr>
      <w:numPr>
        <w:numId w:val="15"/>
      </w:numPr>
      <w:tabs>
        <w:tab w:val="clear" w:pos="360"/>
        <w:tab w:val="num" w:pos="926"/>
      </w:tabs>
      <w:spacing w:before="0"/>
      <w:ind w:left="357" w:hanging="357"/>
    </w:pPr>
  </w:style>
  <w:style w:type="paragraph" w:customStyle="1" w:styleId="GlossaryHeading">
    <w:name w:val="Glossary Heading"/>
    <w:basedOn w:val="Heading1"/>
    <w:rsid w:val="007636B0"/>
    <w:pPr>
      <w:numPr>
        <w:numId w:val="0"/>
      </w:numPr>
      <w:spacing w:after="0"/>
      <w:jc w:val="center"/>
    </w:pPr>
  </w:style>
  <w:style w:type="character" w:customStyle="1" w:styleId="Highlight">
    <w:name w:val="Highlight"/>
    <w:basedOn w:val="DefaultParagraphFont"/>
    <w:uiPriority w:val="99"/>
    <w:rsid w:val="007636B0"/>
    <w:rPr>
      <w:rFonts w:ascii="Arial" w:hAnsi="Arial"/>
      <w:b/>
      <w:sz w:val="24"/>
    </w:rPr>
  </w:style>
  <w:style w:type="paragraph" w:customStyle="1" w:styleId="Level1">
    <w:name w:val="Level 1"/>
    <w:basedOn w:val="Heading2"/>
    <w:rsid w:val="007636B0"/>
    <w:pPr>
      <w:numPr>
        <w:ilvl w:val="0"/>
        <w:numId w:val="0"/>
      </w:numPr>
    </w:pPr>
  </w:style>
  <w:style w:type="paragraph" w:customStyle="1" w:styleId="Level2">
    <w:name w:val="Level 2"/>
    <w:basedOn w:val="Heading3"/>
    <w:rsid w:val="007636B0"/>
    <w:pPr>
      <w:numPr>
        <w:ilvl w:val="0"/>
        <w:numId w:val="0"/>
      </w:numPr>
    </w:pPr>
  </w:style>
  <w:style w:type="paragraph" w:customStyle="1" w:styleId="Level3">
    <w:name w:val="Level 3"/>
    <w:basedOn w:val="Heading4"/>
    <w:rsid w:val="007636B0"/>
    <w:pPr>
      <w:numPr>
        <w:ilvl w:val="0"/>
        <w:numId w:val="0"/>
      </w:numPr>
    </w:pPr>
  </w:style>
  <w:style w:type="paragraph" w:customStyle="1" w:styleId="TitleHeading">
    <w:name w:val="Title Heading"/>
    <w:basedOn w:val="text"/>
    <w:rsid w:val="007636B0"/>
    <w:pPr>
      <w:spacing w:before="20" w:after="20"/>
      <w:ind w:left="1985"/>
      <w:jc w:val="center"/>
    </w:pPr>
    <w:rPr>
      <w:rFonts w:ascii="Arial Bold" w:hAnsi="Arial Bold"/>
      <w:b/>
      <w:sz w:val="40"/>
    </w:rPr>
  </w:style>
  <w:style w:type="paragraph" w:customStyle="1" w:styleId="NationalHeading">
    <w:name w:val="National Heading"/>
    <w:basedOn w:val="TitleHeading"/>
    <w:rsid w:val="007636B0"/>
  </w:style>
  <w:style w:type="paragraph" w:styleId="FootnoteText">
    <w:name w:val="footnote text"/>
    <w:basedOn w:val="Normal"/>
    <w:link w:val="FootnoteTextChar"/>
    <w:semiHidden/>
    <w:rsid w:val="007636B0"/>
    <w:pPr>
      <w:spacing w:before="120" w:after="120" w:line="240" w:lineRule="auto"/>
      <w:ind w:left="142" w:hanging="142"/>
      <w:jc w:val="both"/>
    </w:pPr>
    <w:rPr>
      <w:rFonts w:ascii="Book Antiqua" w:eastAsia="Times New Roman" w:hAnsi="Book Antiqua" w:cs="Times New Roman"/>
      <w:sz w:val="14"/>
    </w:rPr>
  </w:style>
  <w:style w:type="character" w:customStyle="1" w:styleId="FootnoteTextChar">
    <w:name w:val="Footnote Text Char"/>
    <w:basedOn w:val="DefaultParagraphFont"/>
    <w:link w:val="FootnoteText"/>
    <w:semiHidden/>
    <w:rsid w:val="007636B0"/>
    <w:rPr>
      <w:rFonts w:ascii="Book Antiqua" w:eastAsia="Times New Roman" w:hAnsi="Book Antiqua" w:cs="Times New Roman"/>
      <w:sz w:val="14"/>
    </w:rPr>
  </w:style>
  <w:style w:type="paragraph" w:customStyle="1" w:styleId="OutlineLev1">
    <w:name w:val="Outline Lev 1"/>
    <w:basedOn w:val="Normal"/>
    <w:rsid w:val="007636B0"/>
    <w:pPr>
      <w:numPr>
        <w:numId w:val="17"/>
      </w:numPr>
      <w:spacing w:before="240" w:after="100" w:line="240" w:lineRule="auto"/>
      <w:jc w:val="both"/>
    </w:pPr>
    <w:rPr>
      <w:rFonts w:ascii="Book Antiqua" w:eastAsia="Times New Roman" w:hAnsi="Book Antiqua" w:cs="Times New Roman"/>
      <w:lang w:eastAsia="en-AU"/>
    </w:rPr>
  </w:style>
  <w:style w:type="paragraph" w:customStyle="1" w:styleId="OutlineLev2">
    <w:name w:val="Outline Lev 2"/>
    <w:basedOn w:val="Normal"/>
    <w:rsid w:val="007636B0"/>
    <w:pPr>
      <w:numPr>
        <w:ilvl w:val="1"/>
        <w:numId w:val="17"/>
      </w:numPr>
      <w:spacing w:before="20" w:after="20" w:line="240" w:lineRule="auto"/>
      <w:jc w:val="both"/>
    </w:pPr>
    <w:rPr>
      <w:rFonts w:ascii="Book Antiqua" w:eastAsia="Times New Roman" w:hAnsi="Book Antiqua" w:cs="Times New Roman"/>
      <w:lang w:eastAsia="en-AU"/>
    </w:rPr>
  </w:style>
  <w:style w:type="paragraph" w:styleId="TOCHeading">
    <w:name w:val="TOC Heading"/>
    <w:basedOn w:val="Heading2"/>
    <w:uiPriority w:val="39"/>
    <w:rsid w:val="007636B0"/>
    <w:pPr>
      <w:numPr>
        <w:ilvl w:val="0"/>
        <w:numId w:val="0"/>
      </w:numPr>
      <w:spacing w:before="120"/>
      <w:jc w:val="center"/>
    </w:pPr>
    <w:rPr>
      <w:rFonts w:ascii="Arial" w:hAnsi="Arial"/>
      <w:sz w:val="32"/>
    </w:rPr>
  </w:style>
  <w:style w:type="paragraph" w:styleId="BalloonText">
    <w:name w:val="Balloon Text"/>
    <w:basedOn w:val="Normal"/>
    <w:link w:val="BalloonTextChar"/>
    <w:uiPriority w:val="99"/>
    <w:semiHidden/>
    <w:rsid w:val="007636B0"/>
    <w:pPr>
      <w:spacing w:before="120" w:after="120" w:line="240" w:lineRule="auto"/>
      <w:jc w:val="both"/>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7636B0"/>
    <w:rPr>
      <w:rFonts w:ascii="Tahoma" w:eastAsia="Times New Roman" w:hAnsi="Tahoma" w:cs="Tahoma"/>
      <w:sz w:val="16"/>
      <w:szCs w:val="16"/>
      <w:lang w:eastAsia="en-AU"/>
    </w:rPr>
  </w:style>
  <w:style w:type="character" w:styleId="CommentReference">
    <w:name w:val="annotation reference"/>
    <w:basedOn w:val="DefaultParagraphFont"/>
    <w:rsid w:val="007636B0"/>
    <w:rPr>
      <w:sz w:val="16"/>
      <w:szCs w:val="16"/>
    </w:rPr>
  </w:style>
  <w:style w:type="paragraph" w:styleId="CommentText">
    <w:name w:val="annotation text"/>
    <w:basedOn w:val="Normal"/>
    <w:link w:val="CommentTextChar"/>
    <w:rsid w:val="007636B0"/>
    <w:pPr>
      <w:spacing w:before="120" w:after="120" w:line="240" w:lineRule="auto"/>
      <w:jc w:val="both"/>
    </w:pPr>
    <w:rPr>
      <w:rFonts w:ascii="Book Antiqua" w:eastAsia="Times New Roman" w:hAnsi="Book Antiqua" w:cs="Times New Roman"/>
      <w:sz w:val="20"/>
      <w:lang w:eastAsia="en-AU"/>
    </w:rPr>
  </w:style>
  <w:style w:type="character" w:customStyle="1" w:styleId="CommentTextChar">
    <w:name w:val="Comment Text Char"/>
    <w:basedOn w:val="DefaultParagraphFont"/>
    <w:link w:val="CommentText"/>
    <w:rsid w:val="007636B0"/>
    <w:rPr>
      <w:rFonts w:ascii="Book Antiqua" w:eastAsia="Times New Roman" w:hAnsi="Book Antiqua" w:cs="Times New Roman"/>
      <w:lang w:eastAsia="en-AU"/>
    </w:rPr>
  </w:style>
  <w:style w:type="paragraph" w:styleId="CommentSubject">
    <w:name w:val="annotation subject"/>
    <w:basedOn w:val="CommentText"/>
    <w:next w:val="CommentText"/>
    <w:link w:val="CommentSubjectChar"/>
    <w:uiPriority w:val="99"/>
    <w:rsid w:val="007636B0"/>
    <w:rPr>
      <w:b/>
      <w:bCs/>
    </w:rPr>
  </w:style>
  <w:style w:type="character" w:customStyle="1" w:styleId="CommentSubjectChar">
    <w:name w:val="Comment Subject Char"/>
    <w:basedOn w:val="CommentTextChar"/>
    <w:link w:val="CommentSubject"/>
    <w:uiPriority w:val="99"/>
    <w:rsid w:val="007636B0"/>
    <w:rPr>
      <w:rFonts w:ascii="Book Antiqua" w:eastAsia="Times New Roman" w:hAnsi="Book Antiqua" w:cs="Times New Roman"/>
      <w:b/>
      <w:bCs/>
      <w:lang w:eastAsia="en-AU"/>
    </w:rPr>
  </w:style>
  <w:style w:type="character" w:styleId="FootnoteReference">
    <w:name w:val="footnote reference"/>
    <w:basedOn w:val="DefaultParagraphFont"/>
    <w:semiHidden/>
    <w:rsid w:val="007636B0"/>
    <w:rPr>
      <w:rFonts w:ascii="Book Antiqua" w:hAnsi="Book Antiqua"/>
      <w:vertAlign w:val="superscript"/>
    </w:rPr>
  </w:style>
  <w:style w:type="paragraph" w:styleId="BodyText3">
    <w:name w:val="Body Text 3"/>
    <w:basedOn w:val="Normal"/>
    <w:link w:val="BodyText3Char"/>
    <w:rsid w:val="007636B0"/>
    <w:pPr>
      <w:spacing w:before="120" w:after="120" w:line="240" w:lineRule="auto"/>
    </w:pPr>
    <w:rPr>
      <w:rFonts w:ascii="Book Antiqua" w:eastAsia="Times New Roman" w:hAnsi="Book Antiqua" w:cs="Times New Roman"/>
      <w:i/>
      <w:color w:val="FF0000"/>
    </w:rPr>
  </w:style>
  <w:style w:type="character" w:customStyle="1" w:styleId="BodyText3Char">
    <w:name w:val="Body Text 3 Char"/>
    <w:basedOn w:val="DefaultParagraphFont"/>
    <w:link w:val="BodyText3"/>
    <w:rsid w:val="007636B0"/>
    <w:rPr>
      <w:rFonts w:ascii="Book Antiqua" w:eastAsia="Times New Roman" w:hAnsi="Book Antiqua" w:cs="Times New Roman"/>
      <w:i/>
      <w:color w:val="FF0000"/>
      <w:sz w:val="22"/>
    </w:rPr>
  </w:style>
  <w:style w:type="paragraph" w:styleId="Revision">
    <w:name w:val="Revision"/>
    <w:hidden/>
    <w:semiHidden/>
    <w:rsid w:val="007636B0"/>
    <w:rPr>
      <w:rFonts w:ascii="Book Antiqua" w:eastAsia="Times New Roman" w:hAnsi="Book Antiqua" w:cs="Times New Roman"/>
      <w:sz w:val="24"/>
      <w:lang w:eastAsia="en-AU"/>
    </w:rPr>
  </w:style>
  <w:style w:type="character" w:styleId="Hyperlink">
    <w:name w:val="Hyperlink"/>
    <w:basedOn w:val="DefaultParagraphFont"/>
    <w:uiPriority w:val="99"/>
    <w:rsid w:val="007636B0"/>
    <w:rPr>
      <w:color w:val="0000FF"/>
      <w:u w:val="single"/>
    </w:rPr>
  </w:style>
  <w:style w:type="paragraph" w:customStyle="1" w:styleId="Default">
    <w:name w:val="Default"/>
    <w:rsid w:val="007636B0"/>
    <w:pPr>
      <w:autoSpaceDE w:val="0"/>
      <w:autoSpaceDN w:val="0"/>
      <w:adjustRightInd w:val="0"/>
    </w:pPr>
    <w:rPr>
      <w:rFonts w:ascii="Arial" w:eastAsia="Times New Roman" w:hAnsi="Arial" w:cs="Arial"/>
      <w:color w:val="000000"/>
      <w:sz w:val="24"/>
      <w:szCs w:val="24"/>
      <w:lang w:val="en-US"/>
    </w:rPr>
  </w:style>
  <w:style w:type="paragraph" w:customStyle="1" w:styleId="Normal1">
    <w:name w:val="Normal+1"/>
    <w:basedOn w:val="Default"/>
    <w:next w:val="Default"/>
    <w:rsid w:val="007636B0"/>
    <w:rPr>
      <w:rFonts w:cs="Times New Roman"/>
      <w:color w:val="auto"/>
    </w:rPr>
  </w:style>
  <w:style w:type="paragraph" w:customStyle="1" w:styleId="glossary0">
    <w:name w:val="glossary"/>
    <w:basedOn w:val="Normal"/>
    <w:rsid w:val="007636B0"/>
    <w:pPr>
      <w:autoSpaceDE w:val="0"/>
      <w:autoSpaceDN w:val="0"/>
      <w:spacing w:before="100" w:after="100" w:line="240" w:lineRule="auto"/>
    </w:pPr>
    <w:rPr>
      <w:rFonts w:ascii="Book Antiqua" w:eastAsia="Times New Roman" w:hAnsi="Book Antiqua" w:cs="Times New Roman"/>
      <w:szCs w:val="24"/>
      <w:lang w:eastAsia="en-AU"/>
    </w:rPr>
  </w:style>
  <w:style w:type="paragraph" w:customStyle="1" w:styleId="Style1">
    <w:name w:val="Style1"/>
    <w:basedOn w:val="Heading2"/>
    <w:rsid w:val="007636B0"/>
    <w:rPr>
      <w:rFonts w:ascii="Arial" w:hAnsi="Arial"/>
    </w:rPr>
  </w:style>
  <w:style w:type="paragraph" w:customStyle="1" w:styleId="StyleTitleHeading22pt">
    <w:name w:val="Style Title Heading + 22 pt"/>
    <w:basedOn w:val="TitleHeading"/>
    <w:rsid w:val="007636B0"/>
    <w:rPr>
      <w:bCs/>
      <w:caps/>
    </w:rPr>
  </w:style>
  <w:style w:type="paragraph" w:customStyle="1" w:styleId="StyleglossaryJustified">
    <w:name w:val="Style glossary + Justified"/>
    <w:basedOn w:val="glossary0"/>
    <w:rsid w:val="007636B0"/>
    <w:pPr>
      <w:jc w:val="both"/>
    </w:pPr>
    <w:rPr>
      <w:szCs w:val="20"/>
    </w:rPr>
  </w:style>
  <w:style w:type="paragraph" w:customStyle="1" w:styleId="StyletextArialBold">
    <w:name w:val="Style text + Arial Bold"/>
    <w:basedOn w:val="text"/>
    <w:link w:val="StyletextArialBoldChar"/>
    <w:rsid w:val="007636B0"/>
    <w:rPr>
      <w:rFonts w:ascii="Arial" w:hAnsi="Arial"/>
      <w:b/>
      <w:bCs/>
    </w:rPr>
  </w:style>
  <w:style w:type="character" w:customStyle="1" w:styleId="textChar">
    <w:name w:val="text Char"/>
    <w:basedOn w:val="DefaultParagraphFont"/>
    <w:link w:val="text"/>
    <w:rsid w:val="007636B0"/>
    <w:rPr>
      <w:rFonts w:ascii="Book Antiqua" w:eastAsia="Times New Roman" w:hAnsi="Book Antiqua" w:cs="Times New Roman"/>
      <w:sz w:val="22"/>
      <w:lang w:eastAsia="en-AU"/>
    </w:rPr>
  </w:style>
  <w:style w:type="character" w:customStyle="1" w:styleId="StyletextArialBoldChar">
    <w:name w:val="Style text + Arial Bold Char"/>
    <w:basedOn w:val="textChar"/>
    <w:link w:val="StyletextArialBold"/>
    <w:rsid w:val="007636B0"/>
    <w:rPr>
      <w:rFonts w:ascii="Arial" w:eastAsia="Times New Roman" w:hAnsi="Arial" w:cs="Times New Roman"/>
      <w:b/>
      <w:bCs/>
      <w:sz w:val="22"/>
      <w:lang w:eastAsia="en-AU"/>
    </w:rPr>
  </w:style>
  <w:style w:type="character" w:styleId="Strong">
    <w:name w:val="Strong"/>
    <w:basedOn w:val="DefaultParagraphFont"/>
    <w:uiPriority w:val="22"/>
    <w:rsid w:val="007636B0"/>
    <w:rPr>
      <w:b/>
      <w:bCs/>
    </w:rPr>
  </w:style>
  <w:style w:type="paragraph" w:customStyle="1" w:styleId="Numbers">
    <w:name w:val="Numbers"/>
    <w:basedOn w:val="OutlineLev1"/>
    <w:rsid w:val="007636B0"/>
    <w:pPr>
      <w:keepNext/>
      <w:numPr>
        <w:numId w:val="0"/>
      </w:numPr>
      <w:tabs>
        <w:tab w:val="num" w:pos="426"/>
        <w:tab w:val="right" w:pos="9071"/>
      </w:tabs>
      <w:ind w:left="425" w:hanging="425"/>
    </w:pPr>
    <w:rPr>
      <w:b/>
      <w:szCs w:val="22"/>
    </w:rPr>
  </w:style>
  <w:style w:type="paragraph" w:styleId="Caption">
    <w:name w:val="caption"/>
    <w:basedOn w:val="Normal"/>
    <w:next w:val="Normal"/>
    <w:autoRedefine/>
    <w:uiPriority w:val="99"/>
    <w:qFormat/>
    <w:rsid w:val="007636B0"/>
    <w:pPr>
      <w:tabs>
        <w:tab w:val="right" w:pos="9071"/>
      </w:tabs>
      <w:spacing w:before="120" w:after="120" w:line="240" w:lineRule="auto"/>
      <w:ind w:left="142"/>
    </w:pPr>
    <w:rPr>
      <w:rFonts w:ascii="Book Antiqua" w:eastAsia="Times New Roman" w:hAnsi="Book Antiqua" w:cs="Times New Roman"/>
      <w:b/>
      <w:szCs w:val="22"/>
      <w:lang w:eastAsia="en-AU"/>
    </w:rPr>
  </w:style>
  <w:style w:type="paragraph" w:styleId="NormalWeb">
    <w:name w:val="Normal (Web)"/>
    <w:basedOn w:val="Normal"/>
    <w:rsid w:val="007636B0"/>
    <w:pPr>
      <w:spacing w:before="100" w:beforeAutospacing="1" w:after="100" w:afterAutospacing="1" w:line="240" w:lineRule="auto"/>
    </w:pPr>
    <w:rPr>
      <w:rFonts w:eastAsia="Times New Roman" w:cs="Times New Roman"/>
      <w:szCs w:val="24"/>
      <w:lang w:eastAsia="en-AU"/>
    </w:rPr>
  </w:style>
  <w:style w:type="character" w:customStyle="1" w:styleId="data">
    <w:name w:val="data"/>
    <w:basedOn w:val="DefaultParagraphFont"/>
    <w:rsid w:val="007636B0"/>
  </w:style>
  <w:style w:type="paragraph" w:customStyle="1" w:styleId="Indent2cm">
    <w:name w:val="Indent 2cm"/>
    <w:basedOn w:val="Normal"/>
    <w:rsid w:val="007636B0"/>
    <w:pPr>
      <w:spacing w:before="160" w:after="160" w:line="240" w:lineRule="auto"/>
      <w:jc w:val="both"/>
    </w:pPr>
    <w:rPr>
      <w:rFonts w:ascii="Book Antiqua" w:eastAsia="Times New Roman" w:hAnsi="Book Antiqua" w:cs="Times New Roman"/>
      <w:lang w:eastAsia="en-AU"/>
    </w:rPr>
  </w:style>
  <w:style w:type="paragraph" w:customStyle="1" w:styleId="StyleHeading1ChapterHeadingChapterHeading1ChapterHeading2C">
    <w:name w:val="Style Heading 1Chapter HeadingChapter Heading1Chapter Heading2C..."/>
    <w:basedOn w:val="Heading1"/>
    <w:rsid w:val="007636B0"/>
    <w:pPr>
      <w:tabs>
        <w:tab w:val="right" w:pos="709"/>
      </w:tabs>
    </w:pPr>
    <w:rPr>
      <w:bCs/>
    </w:rPr>
  </w:style>
  <w:style w:type="paragraph" w:customStyle="1" w:styleId="FigureTableHeading">
    <w:name w:val="FigureTableHeading"/>
    <w:basedOn w:val="text"/>
    <w:rsid w:val="007636B0"/>
    <w:pPr>
      <w:ind w:left="993" w:hanging="993"/>
    </w:pPr>
    <w:rPr>
      <w:b/>
      <w:sz w:val="20"/>
    </w:rPr>
  </w:style>
  <w:style w:type="paragraph" w:customStyle="1" w:styleId="Tableheader">
    <w:name w:val="Tableheader"/>
    <w:basedOn w:val="text"/>
    <w:rsid w:val="007636B0"/>
    <w:pPr>
      <w:jc w:val="center"/>
    </w:pPr>
    <w:rPr>
      <w:b/>
      <w:sz w:val="20"/>
    </w:rPr>
  </w:style>
  <w:style w:type="paragraph" w:customStyle="1" w:styleId="StyleHeading1ChapterHeadingMainHeadingh1H1AMAJORBOLDPar">
    <w:name w:val="Style Heading 1Chapter HeadingMain Headingh1H1A MAJOR/BOLDPar..."/>
    <w:basedOn w:val="Heading1"/>
    <w:uiPriority w:val="99"/>
    <w:rsid w:val="007636B0"/>
    <w:pPr>
      <w:keepLines/>
      <w:tabs>
        <w:tab w:val="clear" w:pos="9072"/>
        <w:tab w:val="num" w:pos="360"/>
      </w:tabs>
      <w:ind w:left="0" w:firstLine="0"/>
    </w:pPr>
    <w:rPr>
      <w:rFonts w:cs="Book Antiqua"/>
      <w:bCs/>
      <w:szCs w:val="32"/>
    </w:rPr>
  </w:style>
  <w:style w:type="character" w:customStyle="1" w:styleId="CommentTextChar1">
    <w:name w:val="Comment Text Char1"/>
    <w:rsid w:val="007636B0"/>
    <w:rPr>
      <w:rFonts w:ascii="Book Antiqua" w:hAnsi="Book Antiqua"/>
    </w:rPr>
  </w:style>
  <w:style w:type="paragraph" w:customStyle="1" w:styleId="StyletextLeft0cmHanging1cm">
    <w:name w:val="Style text + Left:  0 cm Hanging:  1 cm"/>
    <w:basedOn w:val="text"/>
    <w:qFormat/>
    <w:rsid w:val="007636B0"/>
    <w:pPr>
      <w:ind w:left="720" w:hanging="720"/>
    </w:pPr>
  </w:style>
  <w:style w:type="paragraph" w:styleId="Title">
    <w:name w:val="Title"/>
    <w:basedOn w:val="Normal"/>
    <w:link w:val="TitleChar"/>
    <w:uiPriority w:val="10"/>
    <w:rsid w:val="007636B0"/>
    <w:pPr>
      <w:spacing w:before="400" w:after="200" w:line="276" w:lineRule="auto"/>
    </w:pPr>
    <w:rPr>
      <w:rFonts w:ascii="Verdana" w:eastAsia="Verdana" w:hAnsi="Verdana" w:cs="Times New Roman"/>
      <w:color w:val="365F91"/>
      <w:sz w:val="56"/>
      <w:szCs w:val="56"/>
      <w:lang w:eastAsia="ja-JP"/>
    </w:rPr>
  </w:style>
  <w:style w:type="character" w:customStyle="1" w:styleId="TitleChar">
    <w:name w:val="Title Char"/>
    <w:basedOn w:val="DefaultParagraphFont"/>
    <w:link w:val="Title"/>
    <w:uiPriority w:val="10"/>
    <w:rsid w:val="007636B0"/>
    <w:rPr>
      <w:rFonts w:ascii="Verdana" w:eastAsia="Verdana" w:hAnsi="Verdana" w:cs="Times New Roman"/>
      <w:color w:val="365F91"/>
      <w:sz w:val="56"/>
      <w:szCs w:val="56"/>
      <w:lang w:eastAsia="ja-JP"/>
    </w:rPr>
  </w:style>
  <w:style w:type="paragraph" w:styleId="Subtitle">
    <w:name w:val="Subtitle"/>
    <w:basedOn w:val="Normal"/>
    <w:link w:val="SubtitleChar"/>
    <w:uiPriority w:val="11"/>
    <w:rsid w:val="007636B0"/>
    <w:pPr>
      <w:spacing w:after="480" w:line="276" w:lineRule="auto"/>
    </w:pPr>
    <w:rPr>
      <w:rFonts w:ascii="Verdana" w:eastAsia="Verdana" w:hAnsi="Verdana" w:cs="Times New Roman"/>
      <w:i/>
      <w:color w:val="1F497D"/>
      <w:sz w:val="24"/>
      <w:szCs w:val="24"/>
      <w:lang w:eastAsia="ja-JP"/>
    </w:rPr>
  </w:style>
  <w:style w:type="character" w:customStyle="1" w:styleId="SubtitleChar">
    <w:name w:val="Subtitle Char"/>
    <w:basedOn w:val="DefaultParagraphFont"/>
    <w:link w:val="Subtitle"/>
    <w:uiPriority w:val="11"/>
    <w:rsid w:val="007636B0"/>
    <w:rPr>
      <w:rFonts w:ascii="Verdana" w:eastAsia="Verdana" w:hAnsi="Verdana" w:cs="Times New Roman"/>
      <w:i/>
      <w:color w:val="1F497D"/>
      <w:sz w:val="24"/>
      <w:szCs w:val="24"/>
      <w:lang w:eastAsia="ja-JP"/>
    </w:rPr>
  </w:style>
  <w:style w:type="character" w:styleId="IntenseEmphasis">
    <w:name w:val="Intense Emphasis"/>
    <w:uiPriority w:val="21"/>
    <w:rsid w:val="007636B0"/>
    <w:rPr>
      <w:rFonts w:ascii="Verdana" w:hAnsi="Verdana" w:cs="Verdana"/>
      <w:b/>
      <w:i/>
      <w:caps/>
      <w:color w:val="438086"/>
      <w:spacing w:val="5"/>
    </w:rPr>
  </w:style>
  <w:style w:type="character" w:styleId="SubtleEmphasis">
    <w:name w:val="Subtle Emphasis"/>
    <w:uiPriority w:val="19"/>
    <w:rsid w:val="007636B0"/>
    <w:rPr>
      <w:rFonts w:ascii="Verdana" w:hAnsi="Verdana"/>
      <w:i/>
      <w:color w:val="006666"/>
    </w:rPr>
  </w:style>
  <w:style w:type="character" w:styleId="IntenseReference">
    <w:name w:val="Intense Reference"/>
    <w:uiPriority w:val="32"/>
    <w:rsid w:val="007636B0"/>
    <w:rPr>
      <w:rFonts w:ascii="Verdana" w:hAnsi="Verdana" w:cs="Times New Roman"/>
      <w:b/>
      <w:i/>
      <w:caps/>
      <w:color w:val="4E4F89"/>
      <w:spacing w:val="5"/>
    </w:rPr>
  </w:style>
  <w:style w:type="character" w:styleId="SubtleReference">
    <w:name w:val="Subtle Reference"/>
    <w:uiPriority w:val="31"/>
    <w:rsid w:val="007636B0"/>
    <w:rPr>
      <w:rFonts w:cs="Times New Roman"/>
      <w:i/>
      <w:color w:val="4E4F89"/>
    </w:rPr>
  </w:style>
  <w:style w:type="character" w:styleId="Emphasis">
    <w:name w:val="Emphasis"/>
    <w:rsid w:val="007636B0"/>
    <w:rPr>
      <w:rFonts w:ascii="Verdana" w:hAnsi="Verdana"/>
      <w:b/>
      <w:color w:val="C0504D"/>
      <w:spacing w:val="10"/>
    </w:rPr>
  </w:style>
  <w:style w:type="character" w:styleId="BookTitle">
    <w:name w:val="Book Title"/>
    <w:uiPriority w:val="33"/>
    <w:rsid w:val="007636B0"/>
    <w:rPr>
      <w:rFonts w:ascii="Cambria" w:hAnsi="Cambria" w:cs="Times New Roman"/>
      <w:i/>
      <w:color w:val="000000"/>
      <w:sz w:val="20"/>
      <w:szCs w:val="20"/>
    </w:rPr>
  </w:style>
  <w:style w:type="paragraph" w:styleId="NormalIndent">
    <w:name w:val="Normal Indent"/>
    <w:basedOn w:val="Normal"/>
    <w:uiPriority w:val="99"/>
    <w:unhideWhenUsed/>
    <w:rsid w:val="007636B0"/>
    <w:pPr>
      <w:spacing w:after="200" w:line="276" w:lineRule="auto"/>
      <w:ind w:left="720"/>
      <w:contextualSpacing/>
    </w:pPr>
    <w:rPr>
      <w:rFonts w:ascii="Arial" w:eastAsia="Verdana" w:hAnsi="Arial" w:cs="Verdana"/>
      <w:sz w:val="20"/>
      <w:lang w:eastAsia="ja-JP"/>
    </w:rPr>
  </w:style>
  <w:style w:type="paragraph" w:styleId="IntenseQuote">
    <w:name w:val="Intense Quote"/>
    <w:basedOn w:val="Normal"/>
    <w:link w:val="IntenseQuoteChar"/>
    <w:uiPriority w:val="30"/>
    <w:rsid w:val="007636B0"/>
    <w:pPr>
      <w:pBdr>
        <w:top w:val="threeDEngrave" w:sz="6" w:space="10" w:color="C0504D"/>
        <w:bottom w:val="single" w:sz="4" w:space="10" w:color="C0504D"/>
      </w:pBdr>
      <w:spacing w:before="360" w:after="360" w:line="324" w:lineRule="auto"/>
      <w:ind w:left="1080" w:right="1080"/>
    </w:pPr>
    <w:rPr>
      <w:rFonts w:ascii="Arial" w:eastAsia="Verdana" w:hAnsi="Arial" w:cs="Verdana"/>
      <w:i/>
      <w:color w:val="C0504D"/>
      <w:szCs w:val="22"/>
      <w:lang w:eastAsia="ja-JP"/>
    </w:rPr>
  </w:style>
  <w:style w:type="character" w:customStyle="1" w:styleId="IntenseQuoteChar">
    <w:name w:val="Intense Quote Char"/>
    <w:basedOn w:val="DefaultParagraphFont"/>
    <w:link w:val="IntenseQuote"/>
    <w:uiPriority w:val="30"/>
    <w:rsid w:val="007636B0"/>
    <w:rPr>
      <w:rFonts w:ascii="Arial" w:eastAsia="Verdana" w:hAnsi="Arial" w:cs="Verdana"/>
      <w:i/>
      <w:color w:val="C0504D"/>
      <w:sz w:val="22"/>
      <w:szCs w:val="22"/>
      <w:lang w:eastAsia="ja-JP"/>
    </w:rPr>
  </w:style>
  <w:style w:type="numbering" w:customStyle="1" w:styleId="UrbanBulletedList">
    <w:name w:val="Urban Bulleted List"/>
    <w:uiPriority w:val="99"/>
    <w:rsid w:val="007636B0"/>
    <w:pPr>
      <w:numPr>
        <w:numId w:val="18"/>
      </w:numPr>
    </w:pPr>
  </w:style>
  <w:style w:type="numbering" w:customStyle="1" w:styleId="UrbanNumberedList">
    <w:name w:val="Urban Numbered List"/>
    <w:uiPriority w:val="99"/>
    <w:rsid w:val="007636B0"/>
    <w:pPr>
      <w:numPr>
        <w:numId w:val="19"/>
      </w:numPr>
    </w:pPr>
  </w:style>
  <w:style w:type="paragraph" w:styleId="ListParagraph">
    <w:name w:val="List Paragraph"/>
    <w:basedOn w:val="Normal"/>
    <w:uiPriority w:val="34"/>
    <w:rsid w:val="007636B0"/>
    <w:pPr>
      <w:spacing w:after="200" w:line="276" w:lineRule="auto"/>
      <w:ind w:left="720"/>
      <w:contextualSpacing/>
    </w:pPr>
    <w:rPr>
      <w:rFonts w:ascii="Arial" w:eastAsia="Verdana" w:hAnsi="Arial" w:cs="Verdana"/>
      <w:sz w:val="20"/>
      <w:lang w:eastAsia="ja-JP"/>
    </w:rPr>
  </w:style>
  <w:style w:type="paragraph" w:styleId="NoSpacing">
    <w:name w:val="No Spacing"/>
    <w:basedOn w:val="Normal"/>
    <w:uiPriority w:val="1"/>
    <w:rsid w:val="007636B0"/>
    <w:pPr>
      <w:spacing w:line="240" w:lineRule="auto"/>
    </w:pPr>
    <w:rPr>
      <w:rFonts w:ascii="Arial" w:eastAsia="Verdana" w:hAnsi="Arial" w:cs="Verdana"/>
      <w:sz w:val="20"/>
      <w:szCs w:val="32"/>
      <w:lang w:eastAsia="ja-JP"/>
    </w:rPr>
  </w:style>
  <w:style w:type="character" w:styleId="PlaceholderText">
    <w:name w:val="Placeholder Text"/>
    <w:uiPriority w:val="99"/>
    <w:unhideWhenUsed/>
    <w:rsid w:val="007636B0"/>
    <w:rPr>
      <w:color w:val="808080"/>
    </w:rPr>
  </w:style>
  <w:style w:type="paragraph" w:customStyle="1" w:styleId="HeaderEven">
    <w:name w:val="Header Even"/>
    <w:basedOn w:val="Header"/>
    <w:uiPriority w:val="39"/>
    <w:rsid w:val="007636B0"/>
    <w:pPr>
      <w:keepNext w:val="0"/>
      <w:keepLines w:val="0"/>
      <w:pBdr>
        <w:bottom w:val="single" w:sz="4" w:space="1" w:color="auto"/>
      </w:pBdr>
      <w:tabs>
        <w:tab w:val="clear" w:pos="4150"/>
        <w:tab w:val="clear" w:pos="8307"/>
        <w:tab w:val="center" w:pos="4320"/>
        <w:tab w:val="right" w:pos="8640"/>
      </w:tabs>
      <w:spacing w:after="200" w:line="276" w:lineRule="auto"/>
    </w:pPr>
    <w:rPr>
      <w:rFonts w:ascii="Verdana" w:eastAsia="Verdana" w:hAnsi="Verdana"/>
      <w:sz w:val="20"/>
      <w:lang w:eastAsia="ja-JP"/>
    </w:rPr>
  </w:style>
  <w:style w:type="paragraph" w:customStyle="1" w:styleId="HeaderOdd">
    <w:name w:val="Header Odd"/>
    <w:basedOn w:val="Header"/>
    <w:uiPriority w:val="39"/>
    <w:rsid w:val="007636B0"/>
    <w:pPr>
      <w:keepNext w:val="0"/>
      <w:keepLines w:val="0"/>
      <w:pBdr>
        <w:bottom w:val="single" w:sz="4" w:space="1" w:color="auto"/>
      </w:pBdr>
      <w:tabs>
        <w:tab w:val="clear" w:pos="4150"/>
        <w:tab w:val="clear" w:pos="8307"/>
        <w:tab w:val="center" w:pos="4320"/>
        <w:tab w:val="right" w:pos="8640"/>
      </w:tabs>
      <w:spacing w:after="200" w:line="276" w:lineRule="auto"/>
      <w:jc w:val="right"/>
    </w:pPr>
    <w:rPr>
      <w:rFonts w:ascii="Verdana" w:eastAsia="Verdana" w:hAnsi="Verdana"/>
      <w:sz w:val="20"/>
      <w:lang w:eastAsia="ja-JP"/>
    </w:rPr>
  </w:style>
  <w:style w:type="paragraph" w:customStyle="1" w:styleId="Bullet1">
    <w:name w:val="Bullet 1"/>
    <w:basedOn w:val="ListParagraph"/>
    <w:uiPriority w:val="38"/>
    <w:rsid w:val="007636B0"/>
    <w:pPr>
      <w:numPr>
        <w:numId w:val="18"/>
      </w:numPr>
      <w:spacing w:after="0"/>
    </w:pPr>
  </w:style>
  <w:style w:type="paragraph" w:customStyle="1" w:styleId="Bullet20">
    <w:name w:val="Bullet 2"/>
    <w:basedOn w:val="ListParagraph"/>
    <w:uiPriority w:val="38"/>
    <w:rsid w:val="007636B0"/>
    <w:pPr>
      <w:numPr>
        <w:ilvl w:val="1"/>
        <w:numId w:val="18"/>
      </w:numPr>
      <w:spacing w:after="0"/>
    </w:pPr>
  </w:style>
  <w:style w:type="paragraph" w:customStyle="1" w:styleId="Bullet30">
    <w:name w:val="Bullet 3"/>
    <w:basedOn w:val="ListParagraph"/>
    <w:uiPriority w:val="38"/>
    <w:rsid w:val="007636B0"/>
    <w:pPr>
      <w:numPr>
        <w:ilvl w:val="2"/>
        <w:numId w:val="18"/>
      </w:numPr>
      <w:spacing w:after="0"/>
    </w:pPr>
  </w:style>
  <w:style w:type="paragraph" w:customStyle="1" w:styleId="DefaultPlaceholderSubject10">
    <w:name w:val="DefaultPlaceholder_Subject10"/>
    <w:uiPriority w:val="39"/>
    <w:rsid w:val="007636B0"/>
    <w:pPr>
      <w:spacing w:after="200" w:line="276" w:lineRule="auto"/>
    </w:pPr>
    <w:rPr>
      <w:rFonts w:ascii="Verdana" w:eastAsia="Verdana" w:hAnsi="Verdana" w:cs="Verdana"/>
      <w:i/>
      <w:color w:val="1F497D"/>
      <w:sz w:val="24"/>
      <w:szCs w:val="24"/>
      <w:lang w:val="en-US"/>
    </w:rPr>
  </w:style>
  <w:style w:type="paragraph" w:customStyle="1" w:styleId="Category">
    <w:name w:val="Category"/>
    <w:basedOn w:val="Normal"/>
    <w:link w:val="CategoryChar"/>
    <w:uiPriority w:val="39"/>
    <w:rsid w:val="007636B0"/>
    <w:pPr>
      <w:framePr w:hSpace="187" w:wrap="around" w:hAnchor="margin" w:xAlign="center" w:y="721"/>
      <w:spacing w:line="240" w:lineRule="auto"/>
    </w:pPr>
    <w:rPr>
      <w:rFonts w:ascii="Verdana" w:eastAsia="Verdana" w:hAnsi="Verdana" w:cs="Times New Roman"/>
      <w:caps/>
      <w:sz w:val="20"/>
      <w:lang w:eastAsia="ja-JP"/>
    </w:rPr>
  </w:style>
  <w:style w:type="paragraph" w:customStyle="1" w:styleId="Comments">
    <w:name w:val="Comments"/>
    <w:basedOn w:val="Normal"/>
    <w:link w:val="CommentsChar"/>
    <w:uiPriority w:val="39"/>
    <w:rsid w:val="007636B0"/>
    <w:pPr>
      <w:spacing w:after="120" w:line="240" w:lineRule="auto"/>
    </w:pPr>
    <w:rPr>
      <w:rFonts w:ascii="Verdana" w:eastAsia="Verdana" w:hAnsi="Verdana" w:cs="Times New Roman"/>
      <w:b/>
      <w:sz w:val="20"/>
      <w:lang w:eastAsia="ja-JP"/>
    </w:rPr>
  </w:style>
  <w:style w:type="character" w:customStyle="1" w:styleId="CategoryChar">
    <w:name w:val="Category Char"/>
    <w:link w:val="Category"/>
    <w:uiPriority w:val="39"/>
    <w:rsid w:val="007636B0"/>
    <w:rPr>
      <w:rFonts w:ascii="Verdana" w:eastAsia="Verdana" w:hAnsi="Verdana" w:cs="Times New Roman"/>
      <w:caps/>
      <w:lang w:eastAsia="ja-JP"/>
    </w:rPr>
  </w:style>
  <w:style w:type="character" w:customStyle="1" w:styleId="CommentsChar">
    <w:name w:val="Comments Char"/>
    <w:link w:val="Comments"/>
    <w:uiPriority w:val="39"/>
    <w:rsid w:val="007636B0"/>
    <w:rPr>
      <w:rFonts w:ascii="Verdana" w:eastAsia="Verdana" w:hAnsi="Verdana" w:cs="Times New Roman"/>
      <w:b/>
      <w:lang w:eastAsia="ja-JP"/>
    </w:rPr>
  </w:style>
  <w:style w:type="paragraph" w:customStyle="1" w:styleId="CommentsText">
    <w:name w:val="Comments Text"/>
    <w:basedOn w:val="Normal"/>
    <w:uiPriority w:val="39"/>
    <w:rsid w:val="007636B0"/>
    <w:pPr>
      <w:spacing w:after="120" w:line="288" w:lineRule="auto"/>
    </w:pPr>
    <w:rPr>
      <w:rFonts w:ascii="Arial" w:eastAsia="Verdana" w:hAnsi="Arial" w:cs="Verdana"/>
      <w:sz w:val="20"/>
      <w:szCs w:val="22"/>
      <w:lang w:eastAsia="ja-JP"/>
    </w:rPr>
  </w:style>
  <w:style w:type="paragraph" w:styleId="BodyText">
    <w:name w:val="Body Text"/>
    <w:aliases w:val="(Alt+1),Body,BodyText,body,b,block,Body Text before bullet,D&amp;M Body Text,IRMS (T),Body Text Char Char Char Char,Body Text Char1,Body Text Char Char,Body Text Char Char Char Char Char1 Char,BT"/>
    <w:basedOn w:val="Normal"/>
    <w:link w:val="BodyTextChar"/>
    <w:rsid w:val="007636B0"/>
    <w:pPr>
      <w:spacing w:after="200" w:line="240" w:lineRule="auto"/>
    </w:pPr>
    <w:rPr>
      <w:rFonts w:eastAsia="Times New Roman" w:cs="Times New Roman"/>
      <w:sz w:val="24"/>
      <w:lang w:eastAsia="ja-JP"/>
    </w:rPr>
  </w:style>
  <w:style w:type="character" w:customStyle="1" w:styleId="BodyTextChar">
    <w:name w:val="Body Text Char"/>
    <w:aliases w:val="(Alt+1) Char,Body Char,BodyText Char,body Char,b Char,block Char,Body Text before bullet Char,D&amp;M Body Text Char,IRMS (T) Char,Body Text Char Char Char Char Char,Body Text Char1 Char,Body Text Char Char Char,BT Char"/>
    <w:basedOn w:val="DefaultParagraphFont"/>
    <w:link w:val="BodyText"/>
    <w:rsid w:val="007636B0"/>
    <w:rPr>
      <w:rFonts w:eastAsia="Times New Roman" w:cs="Times New Roman"/>
      <w:sz w:val="24"/>
      <w:lang w:eastAsia="ja-JP"/>
    </w:rPr>
  </w:style>
  <w:style w:type="table" w:styleId="ColorfulList-Accent1">
    <w:name w:val="Colorful List Accent 1"/>
    <w:basedOn w:val="TableNormal"/>
    <w:uiPriority w:val="41"/>
    <w:rsid w:val="007636B0"/>
    <w:rPr>
      <w:rFonts w:ascii="Verdana" w:eastAsia="Verdana" w:hAnsi="Verdana" w:cs="Verdana"/>
      <w:color w:val="000000"/>
      <w:lang w:eastAsia="en-AU"/>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ulletedList">
    <w:name w:val="BulletedList"/>
    <w:link w:val="BulletedListChar"/>
    <w:locked/>
    <w:rsid w:val="007636B0"/>
    <w:pPr>
      <w:numPr>
        <w:numId w:val="20"/>
      </w:numPr>
      <w:spacing w:after="160"/>
    </w:pPr>
    <w:rPr>
      <w:rFonts w:ascii="Arial" w:eastAsia="Times New Roman" w:hAnsi="Arial" w:cs="Arial"/>
    </w:rPr>
  </w:style>
  <w:style w:type="paragraph" w:customStyle="1" w:styleId="CaptionTable">
    <w:name w:val="Caption Table"/>
    <w:basedOn w:val="Caption"/>
    <w:next w:val="BodyText"/>
    <w:rsid w:val="007636B0"/>
    <w:pPr>
      <w:tabs>
        <w:tab w:val="clear" w:pos="9071"/>
      </w:tabs>
      <w:spacing w:after="240"/>
      <w:ind w:left="0"/>
      <w:jc w:val="center"/>
    </w:pPr>
    <w:rPr>
      <w:rFonts w:ascii="Arial" w:hAnsi="Arial" w:cs="Arial"/>
      <w:bCs/>
      <w:color w:val="0C479D"/>
      <w:szCs w:val="20"/>
      <w:lang w:eastAsia="en-US"/>
    </w:rPr>
  </w:style>
  <w:style w:type="paragraph" w:customStyle="1" w:styleId="TableHeadings">
    <w:name w:val="TableHeadings"/>
    <w:basedOn w:val="Normal"/>
    <w:next w:val="BodyText"/>
    <w:rsid w:val="007636B0"/>
    <w:pPr>
      <w:spacing w:before="60" w:after="60" w:line="240" w:lineRule="auto"/>
      <w:jc w:val="center"/>
    </w:pPr>
    <w:rPr>
      <w:rFonts w:ascii="Arial Black" w:eastAsia="Times New Roman" w:hAnsi="Arial Black" w:cs="Arial"/>
      <w:b/>
      <w:sz w:val="20"/>
    </w:rPr>
  </w:style>
  <w:style w:type="paragraph" w:customStyle="1" w:styleId="TableRows">
    <w:name w:val="TableRows"/>
    <w:basedOn w:val="Normal"/>
    <w:next w:val="BodyText"/>
    <w:rsid w:val="007636B0"/>
    <w:pPr>
      <w:spacing w:before="40" w:after="40" w:line="240" w:lineRule="auto"/>
    </w:pPr>
    <w:rPr>
      <w:rFonts w:ascii="Arial" w:eastAsia="Times New Roman" w:hAnsi="Arial" w:cs="Arial"/>
      <w:sz w:val="18"/>
    </w:rPr>
  </w:style>
  <w:style w:type="paragraph" w:customStyle="1" w:styleId="SubHeading">
    <w:name w:val="Sub Heading"/>
    <w:basedOn w:val="Normal"/>
    <w:next w:val="BodyText"/>
    <w:link w:val="SubHeadingChar"/>
    <w:rsid w:val="007636B0"/>
    <w:pPr>
      <w:keepNext/>
      <w:spacing w:before="240" w:after="160" w:line="240" w:lineRule="auto"/>
    </w:pPr>
    <w:rPr>
      <w:rFonts w:ascii="Arial" w:eastAsia="Times New Roman" w:hAnsi="Arial" w:cs="Times New Roman"/>
      <w:b/>
      <w:i/>
      <w:sz w:val="20"/>
      <w:szCs w:val="24"/>
      <w:lang w:eastAsia="ja-JP"/>
    </w:rPr>
  </w:style>
  <w:style w:type="table" w:styleId="ColorfulList-Accent4">
    <w:name w:val="Colorful List Accent 4"/>
    <w:basedOn w:val="TableNormal"/>
    <w:uiPriority w:val="72"/>
    <w:rsid w:val="007636B0"/>
    <w:rPr>
      <w:rFonts w:eastAsia="Times New Roman" w:cs="Times New Roman"/>
      <w:color w:val="000000"/>
      <w:lang w:eastAsia="en-AU"/>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2">
    <w:name w:val="Colorful List Accent 2"/>
    <w:basedOn w:val="TableNormal"/>
    <w:uiPriority w:val="42"/>
    <w:rsid w:val="007636B0"/>
    <w:rPr>
      <w:rFonts w:ascii="Verdana" w:eastAsia="Verdana" w:hAnsi="Verdana" w:cs="Verdana"/>
      <w:color w:val="000000"/>
      <w:lang w:eastAsia="en-AU"/>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character" w:customStyle="1" w:styleId="BulletedListChar">
    <w:name w:val="BulletedList Char"/>
    <w:link w:val="BulletedList"/>
    <w:rsid w:val="007636B0"/>
    <w:rPr>
      <w:rFonts w:ascii="Arial" w:eastAsia="Times New Roman" w:hAnsi="Arial" w:cs="Arial"/>
    </w:rPr>
  </w:style>
  <w:style w:type="table" w:styleId="MediumShading2-Accent6">
    <w:name w:val="Medium Shading 2 Accent 6"/>
    <w:basedOn w:val="TableNormal"/>
    <w:uiPriority w:val="46"/>
    <w:rsid w:val="007636B0"/>
    <w:rPr>
      <w:rFonts w:ascii="Verdana" w:eastAsia="Verdana" w:hAnsi="Verdana" w:cs="Verdana"/>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ubHeadingChar">
    <w:name w:val="Sub Heading Char"/>
    <w:link w:val="SubHeading"/>
    <w:rsid w:val="007636B0"/>
    <w:rPr>
      <w:rFonts w:ascii="Arial" w:eastAsia="Times New Roman" w:hAnsi="Arial" w:cs="Times New Roman"/>
      <w:b/>
      <w:i/>
      <w:szCs w:val="24"/>
      <w:lang w:eastAsia="ja-JP"/>
    </w:rPr>
  </w:style>
  <w:style w:type="paragraph" w:customStyle="1" w:styleId="TableBody">
    <w:name w:val="TableBody"/>
    <w:basedOn w:val="Normal"/>
    <w:rsid w:val="007636B0"/>
    <w:pPr>
      <w:tabs>
        <w:tab w:val="left" w:pos="1985"/>
      </w:tabs>
      <w:spacing w:before="60" w:after="60" w:line="240" w:lineRule="atLeast"/>
    </w:pPr>
    <w:rPr>
      <w:rFonts w:ascii="Arial" w:eastAsia="Times" w:hAnsi="Arial" w:cs="Times New Roman"/>
      <w:sz w:val="20"/>
      <w:lang w:eastAsia="ja-JP"/>
    </w:rPr>
  </w:style>
  <w:style w:type="paragraph" w:styleId="Bibliography">
    <w:name w:val="Bibliography"/>
    <w:basedOn w:val="Normal"/>
    <w:next w:val="Normal"/>
    <w:uiPriority w:val="37"/>
    <w:unhideWhenUsed/>
    <w:rsid w:val="007636B0"/>
    <w:pPr>
      <w:spacing w:after="240" w:line="240" w:lineRule="auto"/>
      <w:jc w:val="both"/>
    </w:pPr>
    <w:rPr>
      <w:rFonts w:ascii="Arial" w:eastAsia="Times New Roman" w:hAnsi="Arial" w:cs="Times New Roman"/>
    </w:rPr>
  </w:style>
  <w:style w:type="paragraph" w:styleId="EndnoteText">
    <w:name w:val="endnote text"/>
    <w:basedOn w:val="Normal"/>
    <w:link w:val="EndnoteTextChar"/>
    <w:uiPriority w:val="99"/>
    <w:unhideWhenUsed/>
    <w:rsid w:val="007636B0"/>
    <w:pPr>
      <w:spacing w:line="240" w:lineRule="auto"/>
    </w:pPr>
    <w:rPr>
      <w:rFonts w:ascii="Arial" w:eastAsia="Verdana" w:hAnsi="Arial" w:cs="Times New Roman"/>
      <w:sz w:val="20"/>
      <w:lang w:eastAsia="ja-JP"/>
    </w:rPr>
  </w:style>
  <w:style w:type="character" w:customStyle="1" w:styleId="EndnoteTextChar">
    <w:name w:val="Endnote Text Char"/>
    <w:basedOn w:val="DefaultParagraphFont"/>
    <w:link w:val="EndnoteText"/>
    <w:uiPriority w:val="99"/>
    <w:rsid w:val="007636B0"/>
    <w:rPr>
      <w:rFonts w:ascii="Arial" w:eastAsia="Verdana" w:hAnsi="Arial" w:cs="Times New Roman"/>
      <w:lang w:eastAsia="ja-JP"/>
    </w:rPr>
  </w:style>
  <w:style w:type="character" w:styleId="EndnoteReference">
    <w:name w:val="endnote reference"/>
    <w:uiPriority w:val="99"/>
    <w:unhideWhenUsed/>
    <w:rsid w:val="007636B0"/>
    <w:rPr>
      <w:vertAlign w:val="superscript"/>
    </w:rPr>
  </w:style>
  <w:style w:type="paragraph" w:customStyle="1" w:styleId="NumberedList">
    <w:name w:val="NumberedList"/>
    <w:basedOn w:val="BodyText"/>
    <w:rsid w:val="007636B0"/>
    <w:pPr>
      <w:numPr>
        <w:numId w:val="21"/>
      </w:numPr>
      <w:spacing w:after="240"/>
    </w:pPr>
    <w:rPr>
      <w:rFonts w:ascii="Arial" w:hAnsi="Arial"/>
      <w:sz w:val="22"/>
    </w:rPr>
  </w:style>
  <w:style w:type="paragraph" w:styleId="ListBullet">
    <w:name w:val="List Bullet"/>
    <w:basedOn w:val="Normal"/>
    <w:rsid w:val="007636B0"/>
    <w:pPr>
      <w:tabs>
        <w:tab w:val="left" w:pos="284"/>
        <w:tab w:val="left" w:pos="567"/>
        <w:tab w:val="num" w:pos="2835"/>
      </w:tabs>
      <w:spacing w:after="240" w:line="260" w:lineRule="exact"/>
      <w:ind w:left="2836" w:hanging="284"/>
      <w:contextualSpacing/>
      <w:jc w:val="both"/>
    </w:pPr>
    <w:rPr>
      <w:rFonts w:ascii="Arial Narrow" w:eastAsia="Times New Roman" w:hAnsi="Arial Narrow" w:cs="Times New Roman"/>
      <w:sz w:val="20"/>
      <w:lang w:eastAsia="en-AU"/>
    </w:rPr>
  </w:style>
  <w:style w:type="character" w:styleId="FollowedHyperlink">
    <w:name w:val="FollowedHyperlink"/>
    <w:uiPriority w:val="99"/>
    <w:unhideWhenUsed/>
    <w:rsid w:val="007636B0"/>
    <w:rPr>
      <w:color w:val="800080"/>
      <w:u w:val="single"/>
    </w:rPr>
  </w:style>
  <w:style w:type="paragraph" w:styleId="HTMLPreformatted">
    <w:name w:val="HTML Preformatted"/>
    <w:basedOn w:val="Normal"/>
    <w:link w:val="HTMLPreformattedChar"/>
    <w:uiPriority w:val="99"/>
    <w:unhideWhenUsed/>
    <w:rsid w:val="0076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lang w:eastAsia="en-AU"/>
    </w:rPr>
  </w:style>
  <w:style w:type="character" w:customStyle="1" w:styleId="HTMLPreformattedChar">
    <w:name w:val="HTML Preformatted Char"/>
    <w:basedOn w:val="DefaultParagraphFont"/>
    <w:link w:val="HTMLPreformatted"/>
    <w:uiPriority w:val="99"/>
    <w:rsid w:val="007636B0"/>
    <w:rPr>
      <w:rFonts w:ascii="Courier New" w:eastAsia="Times New Roman" w:hAnsi="Courier New" w:cs="Times New Roman"/>
      <w:lang w:eastAsia="en-AU"/>
    </w:rPr>
  </w:style>
  <w:style w:type="paragraph" w:customStyle="1" w:styleId="Bullet">
    <w:name w:val="Bullet"/>
    <w:aliases w:val="b1"/>
    <w:basedOn w:val="Normal"/>
    <w:link w:val="BulletChar1"/>
    <w:rsid w:val="007636B0"/>
    <w:pPr>
      <w:numPr>
        <w:numId w:val="22"/>
      </w:numPr>
      <w:spacing w:after="120" w:line="240" w:lineRule="atLeast"/>
    </w:pPr>
    <w:rPr>
      <w:rFonts w:ascii="Arial" w:eastAsia="Times New Roman" w:hAnsi="Arial" w:cs="Times New Roman"/>
      <w:sz w:val="20"/>
      <w:lang w:eastAsia="ja-JP"/>
    </w:rPr>
  </w:style>
  <w:style w:type="paragraph" w:customStyle="1" w:styleId="Bullet2">
    <w:name w:val="Bullet2"/>
    <w:aliases w:val="b2"/>
    <w:basedOn w:val="Bullet"/>
    <w:rsid w:val="007636B0"/>
    <w:pPr>
      <w:numPr>
        <w:ilvl w:val="1"/>
      </w:numPr>
      <w:tabs>
        <w:tab w:val="clear" w:pos="1701"/>
        <w:tab w:val="num" w:pos="720"/>
      </w:tabs>
      <w:ind w:left="720" w:hanging="360"/>
    </w:pPr>
  </w:style>
  <w:style w:type="paragraph" w:customStyle="1" w:styleId="Bullet3">
    <w:name w:val="Bullet3"/>
    <w:basedOn w:val="Bullet"/>
    <w:rsid w:val="007636B0"/>
    <w:pPr>
      <w:numPr>
        <w:ilvl w:val="2"/>
      </w:numPr>
      <w:tabs>
        <w:tab w:val="clear" w:pos="2268"/>
        <w:tab w:val="num" w:pos="1080"/>
      </w:tabs>
      <w:ind w:left="1080" w:hanging="360"/>
    </w:pPr>
  </w:style>
  <w:style w:type="character" w:customStyle="1" w:styleId="BulletChar1">
    <w:name w:val="Bullet Char1"/>
    <w:link w:val="Bullet"/>
    <w:rsid w:val="007636B0"/>
    <w:rPr>
      <w:rFonts w:ascii="Arial" w:eastAsia="Times New Roman" w:hAnsi="Arial" w:cs="Times New Roman"/>
      <w:lang w:eastAsia="ja-JP"/>
    </w:rPr>
  </w:style>
  <w:style w:type="character" w:styleId="HTMLCode">
    <w:name w:val="HTML Code"/>
    <w:uiPriority w:val="99"/>
    <w:unhideWhenUsed/>
    <w:rsid w:val="007636B0"/>
    <w:rPr>
      <w:rFonts w:ascii="Courier New" w:eastAsia="Times New Roman" w:hAnsi="Courier New" w:cs="Courier New"/>
      <w:sz w:val="20"/>
      <w:szCs w:val="20"/>
    </w:rPr>
  </w:style>
  <w:style w:type="paragraph" w:customStyle="1" w:styleId="StyleTOC2After2ptLinespacingsingle">
    <w:name w:val="Style TOC 2 + After:  2 pt Line spacing:  single"/>
    <w:basedOn w:val="TOC2"/>
    <w:rsid w:val="007636B0"/>
    <w:pPr>
      <w:keepNext w:val="0"/>
      <w:keepLines w:val="0"/>
      <w:tabs>
        <w:tab w:val="clear" w:pos="7088"/>
        <w:tab w:val="right" w:leader="dot" w:pos="9639"/>
        <w:tab w:val="right" w:leader="dot" w:pos="9737"/>
      </w:tabs>
      <w:spacing w:before="0" w:after="20"/>
      <w:ind w:left="238" w:right="0" w:firstLine="0"/>
    </w:pPr>
    <w:rPr>
      <w:rFonts w:ascii="Arial" w:hAnsi="Arial"/>
      <w:b w:val="0"/>
      <w:noProof/>
      <w:kern w:val="0"/>
      <w:sz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annotation reference" w:uiPriority="0"/>
    <w:lsdException w:name="line number"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3"/>
    <w:lsdException w:name="Strong" w:semiHidden="0" w:uiPriority="22" w:unhideWhenUsed="0" w:qFormat="1"/>
    <w:lsdException w:name="Emphasis" w:semiHidden="0" w:uiPriority="0" w:unhideWhenUsed="0" w:qFormat="1"/>
    <w:lsdException w:name="Normal (Web)"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41"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4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46"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9C4"/>
    <w:pPr>
      <w:spacing w:line="260" w:lineRule="atLeast"/>
    </w:pPr>
    <w:rPr>
      <w:sz w:val="22"/>
    </w:rPr>
  </w:style>
  <w:style w:type="paragraph" w:styleId="Heading1">
    <w:name w:val="heading 1"/>
    <w:aliases w:val="Chapter Heading,Chapter Heading1,Chapter Heading2,Chapter Heading3,Chapter Heading4,Chapter Heading5,Chapter Heading6,Chapter Heading7,Chapter Heading8,Chapter Heading9,Chapter Heading10,Chapter Heading11,Chapter Heading21,Chapter Heading31,h1"/>
    <w:basedOn w:val="text"/>
    <w:next w:val="text"/>
    <w:link w:val="Heading1Char"/>
    <w:autoRedefine/>
    <w:uiPriority w:val="9"/>
    <w:qFormat/>
    <w:rsid w:val="007636B0"/>
    <w:pPr>
      <w:keepNext/>
      <w:pageBreakBefore/>
      <w:numPr>
        <w:numId w:val="16"/>
      </w:numPr>
      <w:tabs>
        <w:tab w:val="clear" w:pos="720"/>
        <w:tab w:val="num" w:pos="1209"/>
        <w:tab w:val="right" w:pos="9072"/>
      </w:tabs>
      <w:spacing w:before="0"/>
      <w:ind w:left="709" w:hanging="709"/>
      <w:outlineLvl w:val="0"/>
    </w:pPr>
    <w:rPr>
      <w:b/>
      <w:kern w:val="28"/>
      <w:sz w:val="32"/>
    </w:rPr>
  </w:style>
  <w:style w:type="paragraph" w:styleId="Heading2">
    <w:name w:val="heading 2"/>
    <w:aliases w:val="Major Heading,Major Heading1,Major Heading2,Major Heading3,Major Heading4,Major Heading5,Major Heading6,Major Heading11,Major Heading21,Major Heading31,Major Heading7,Major Heading12,Major Heading22,Major Heading32,Major Heading8,h2,H2,2,Para2"/>
    <w:basedOn w:val="Heading1"/>
    <w:next w:val="Normal"/>
    <w:link w:val="Heading2Char"/>
    <w:autoRedefine/>
    <w:uiPriority w:val="9"/>
    <w:qFormat/>
    <w:rsid w:val="007636B0"/>
    <w:pPr>
      <w:keepLines/>
      <w:pageBreakBefore w:val="0"/>
      <w:numPr>
        <w:ilvl w:val="1"/>
      </w:numPr>
      <w:tabs>
        <w:tab w:val="clear" w:pos="576"/>
        <w:tab w:val="right" w:pos="709"/>
        <w:tab w:val="num" w:pos="1209"/>
        <w:tab w:val="left" w:pos="9180"/>
      </w:tabs>
      <w:autoSpaceDE w:val="0"/>
      <w:autoSpaceDN w:val="0"/>
      <w:adjustRightInd w:val="0"/>
      <w:spacing w:before="240"/>
      <w:ind w:left="709" w:hanging="709"/>
      <w:outlineLvl w:val="1"/>
    </w:pPr>
    <w:rPr>
      <w:sz w:val="24"/>
      <w:lang w:eastAsia="en-US"/>
    </w:rPr>
  </w:style>
  <w:style w:type="paragraph" w:styleId="Heading3">
    <w:name w:val="heading 3"/>
    <w:aliases w:val="Sub-heading,Sub-heading1,Sub-heading2,Sub-heading3,Sub-heading4,Sub-heading5,Sub-heading6,Sub-heading11,Sub-heading21,Sub-heading31,Sub-heading7,Sub-heading12,Sub-heading22,Sub-heading32,Sub-heading8,Sub-heading13,Sub-heading23,Sub-heading33"/>
    <w:basedOn w:val="Heading2"/>
    <w:next w:val="Normal"/>
    <w:link w:val="Heading3Char"/>
    <w:uiPriority w:val="9"/>
    <w:qFormat/>
    <w:rsid w:val="007636B0"/>
    <w:pPr>
      <w:numPr>
        <w:ilvl w:val="2"/>
      </w:numPr>
      <w:outlineLvl w:val="2"/>
    </w:pPr>
    <w:rPr>
      <w:sz w:val="22"/>
    </w:rPr>
  </w:style>
  <w:style w:type="paragraph" w:styleId="Heading4">
    <w:name w:val="heading 4"/>
    <w:aliases w:val="Minor Heading,Minor Heading1,Minor Heading2,Minor Heading3,Minor Heading4,Minor Heading5,Minor Heading6,Minor Heading7,Minor Heading8,Minor Heading11,Minor Heading21,Minor Heading31,Minor Heading41,Minor Heading51,Minor Heading9,D&amp;M,h4,h41,h42"/>
    <w:basedOn w:val="Normal"/>
    <w:next w:val="Normal"/>
    <w:link w:val="Heading4Char"/>
    <w:uiPriority w:val="9"/>
    <w:qFormat/>
    <w:rsid w:val="007636B0"/>
    <w:pPr>
      <w:keepNext/>
      <w:numPr>
        <w:ilvl w:val="3"/>
        <w:numId w:val="16"/>
      </w:numPr>
      <w:tabs>
        <w:tab w:val="left" w:pos="1134"/>
      </w:tabs>
      <w:spacing w:before="240" w:after="120" w:line="240" w:lineRule="auto"/>
      <w:jc w:val="both"/>
      <w:outlineLvl w:val="3"/>
    </w:pPr>
    <w:rPr>
      <w:rFonts w:ascii="Book Antiqua" w:eastAsia="Times New Roman" w:hAnsi="Book Antiqua" w:cs="Times New Roman"/>
      <w:i/>
      <w:lang w:eastAsia="en-AU"/>
    </w:rPr>
  </w:style>
  <w:style w:type="paragraph" w:styleId="Heading5">
    <w:name w:val="heading 5"/>
    <w:aliases w:val="Further Points,Further Points1,Further Points2,Further Points3,Further Points11,Further Points4,Further Points5,Further Points12,Further Points21,Further Points111,Further Points6,Further Points13,Further Points22,Further Points112,h5,Para5"/>
    <w:basedOn w:val="Normal"/>
    <w:next w:val="Normal"/>
    <w:link w:val="Heading5Char"/>
    <w:uiPriority w:val="9"/>
    <w:rsid w:val="007636B0"/>
    <w:pPr>
      <w:keepNext/>
      <w:numPr>
        <w:ilvl w:val="4"/>
        <w:numId w:val="16"/>
      </w:numPr>
      <w:spacing w:before="120" w:after="120" w:line="240" w:lineRule="auto"/>
      <w:ind w:right="-2"/>
      <w:outlineLvl w:val="4"/>
    </w:pPr>
    <w:rPr>
      <w:rFonts w:ascii="Book Antiqua" w:eastAsia="Times New Roman" w:hAnsi="Book Antiqua" w:cs="Times New Roman"/>
      <w:b/>
      <w:sz w:val="20"/>
      <w:lang w:eastAsia="en-AU"/>
    </w:rPr>
  </w:style>
  <w:style w:type="paragraph" w:styleId="Heading6">
    <w:name w:val="heading 6"/>
    <w:aliases w:val="Points in Text,Points in Text1,Points in Text2,Points in Text3,Points in Text4,Points in Text5,Points in Text11,Points in Text21,Points in Text6,Points in Text12,Points in Text22,Points in Text7,Points in Text13,Points in Text23,not Kinhill,H"/>
    <w:basedOn w:val="Normal"/>
    <w:next w:val="Normal"/>
    <w:link w:val="Heading6Char"/>
    <w:uiPriority w:val="9"/>
    <w:rsid w:val="007636B0"/>
    <w:pPr>
      <w:numPr>
        <w:ilvl w:val="5"/>
        <w:numId w:val="16"/>
      </w:numPr>
      <w:spacing w:before="240" w:after="60" w:line="240" w:lineRule="auto"/>
      <w:jc w:val="both"/>
      <w:outlineLvl w:val="5"/>
    </w:pPr>
    <w:rPr>
      <w:rFonts w:eastAsia="Times New Roman" w:cs="Times New Roman"/>
      <w:i/>
      <w:lang w:eastAsia="en-AU"/>
    </w:rPr>
  </w:style>
  <w:style w:type="paragraph" w:styleId="Heading7">
    <w:name w:val="heading 7"/>
    <w:aliases w:val="DO NOT USE 7,DO NOT USE 71,H7,H71,H72,H711,DO NOT USE 72,DO NOT USE 711,H73,H712,DO NOT USE 73,DO NOT USE 712,H74,H713,DO NOT USE 74,DO NOT USE 713,H75,H714,DO NOT USE 75,DO NOT USE 714,H76,H715,DO NOT USE 76,DO NOT USE 715,H77,H716,H78,H717"/>
    <w:basedOn w:val="Normal"/>
    <w:next w:val="Normal"/>
    <w:link w:val="Heading7Char"/>
    <w:uiPriority w:val="9"/>
    <w:rsid w:val="007636B0"/>
    <w:pPr>
      <w:numPr>
        <w:ilvl w:val="6"/>
        <w:numId w:val="16"/>
      </w:numPr>
      <w:spacing w:before="240" w:after="60" w:line="240" w:lineRule="auto"/>
      <w:jc w:val="both"/>
      <w:outlineLvl w:val="6"/>
    </w:pPr>
    <w:rPr>
      <w:rFonts w:ascii="Arial" w:eastAsia="Times New Roman" w:hAnsi="Arial" w:cs="Times New Roman"/>
      <w:sz w:val="20"/>
      <w:lang w:eastAsia="en-AU"/>
    </w:rPr>
  </w:style>
  <w:style w:type="paragraph" w:styleId="Heading8">
    <w:name w:val="heading 8"/>
    <w:aliases w:val="Appendix Level 2,not Kinhill1,Appendix Level 21,Appendix Level 22,Appendix Level 23,Appendix Level 24,Appendix Level 25,Appendix Level 26,Appendix Level 27,DO NOT USE 8,Appendix Level 28,Appendix Level 211,Appendix Level 221"/>
    <w:basedOn w:val="Normal"/>
    <w:next w:val="Normal"/>
    <w:link w:val="Heading8Char"/>
    <w:uiPriority w:val="9"/>
    <w:rsid w:val="007636B0"/>
    <w:pPr>
      <w:numPr>
        <w:ilvl w:val="7"/>
        <w:numId w:val="16"/>
      </w:numPr>
      <w:spacing w:before="240" w:after="60" w:line="240" w:lineRule="auto"/>
      <w:jc w:val="both"/>
      <w:outlineLvl w:val="7"/>
    </w:pPr>
    <w:rPr>
      <w:rFonts w:ascii="Arial" w:eastAsia="Times New Roman" w:hAnsi="Arial" w:cs="Times New Roman"/>
      <w:i/>
      <w:sz w:val="20"/>
      <w:lang w:eastAsia="en-AU"/>
    </w:rPr>
  </w:style>
  <w:style w:type="paragraph" w:styleId="Heading9">
    <w:name w:val="heading 9"/>
    <w:aliases w:val="Appendix Level 3,Appendix Level 31,Appendix Level 32,Appendix Level 33,Appendix Level 34,Appendix Level 35,Appendix Level 36,Appendix Level 37,DO NOT USE 9,Appendix Level 38,Appendix Level 311,Appendix Level 321,Appendix Level 331,H9,H91,H92"/>
    <w:basedOn w:val="Normal"/>
    <w:next w:val="Normal"/>
    <w:link w:val="Heading9Char"/>
    <w:uiPriority w:val="9"/>
    <w:rsid w:val="007636B0"/>
    <w:pPr>
      <w:numPr>
        <w:ilvl w:val="8"/>
        <w:numId w:val="16"/>
      </w:numPr>
      <w:spacing w:before="240" w:after="60" w:line="240" w:lineRule="auto"/>
      <w:jc w:val="both"/>
      <w:outlineLvl w:val="8"/>
    </w:pPr>
    <w:rPr>
      <w:rFonts w:ascii="Arial" w:eastAsia="Times New Roman" w:hAnsi="Arial" w:cs="Times New Roman"/>
      <w:b/>
      <w:i/>
      <w:sz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uiPriority w:val="1"/>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A24CB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1B0F61"/>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D13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54D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54D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54D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B0F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116C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F0BB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F0BB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F0BB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664C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664C63"/>
    <w:rPr>
      <w:rFonts w:eastAsia="Times New Roman" w:cs="Times New Roman"/>
      <w:sz w:val="22"/>
      <w:szCs w:val="24"/>
      <w:lang w:eastAsia="en-AU"/>
    </w:rPr>
  </w:style>
  <w:style w:type="character" w:styleId="LineNumber">
    <w:name w:val="line number"/>
    <w:basedOn w:val="OPCCharBase"/>
    <w:unhideWhenUsed/>
    <w:rsid w:val="001B0F61"/>
    <w:rPr>
      <w:sz w:val="16"/>
    </w:rPr>
  </w:style>
  <w:style w:type="table" w:customStyle="1" w:styleId="CFlag">
    <w:name w:val="CFlag"/>
    <w:basedOn w:val="TableNormal"/>
    <w:uiPriority w:val="99"/>
    <w:rsid w:val="0018435F"/>
    <w:rPr>
      <w:rFonts w:eastAsia="Times New Roman" w:cs="Times New Roman"/>
      <w:lang w:eastAsia="en-AU"/>
    </w:rPr>
    <w:tblPr>
      <w:tblInd w:w="0" w:type="dxa"/>
      <w:tblCellMar>
        <w:top w:w="0" w:type="dxa"/>
        <w:left w:w="108" w:type="dxa"/>
        <w:bottom w:w="0" w:type="dxa"/>
        <w:right w:w="108" w:type="dxa"/>
      </w:tblCellMar>
    </w:tblPr>
  </w:style>
  <w:style w:type="table" w:styleId="TableGrid">
    <w:name w:val="Table Grid"/>
    <w:basedOn w:val="TableNormal"/>
    <w:uiPriority w:val="1"/>
    <w:rsid w:val="00A6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PartCASA">
    <w:name w:val="SubPart(CASA)"/>
    <w:aliases w:val="csp"/>
    <w:basedOn w:val="OPCParaBase"/>
    <w:next w:val="ActHead3"/>
    <w:rsid w:val="007E335B"/>
    <w:pPr>
      <w:keepNext/>
      <w:keepLines/>
      <w:spacing w:before="280"/>
      <w:outlineLvl w:val="1"/>
    </w:pPr>
    <w:rPr>
      <w:b/>
      <w:kern w:val="28"/>
      <w:sz w:val="32"/>
    </w:rPr>
  </w:style>
  <w:style w:type="paragraph" w:customStyle="1" w:styleId="ENotesHeading1">
    <w:name w:val="ENotesHeading 1"/>
    <w:aliases w:val="Enh1"/>
    <w:basedOn w:val="OPCParaBase"/>
    <w:next w:val="Normal"/>
    <w:rsid w:val="00DF09AC"/>
    <w:pPr>
      <w:spacing w:before="120"/>
      <w:outlineLvl w:val="0"/>
    </w:pPr>
    <w:rPr>
      <w:b/>
      <w:sz w:val="28"/>
      <w:szCs w:val="28"/>
    </w:rPr>
  </w:style>
  <w:style w:type="paragraph" w:customStyle="1" w:styleId="ENotesHeading2">
    <w:name w:val="ENotesHeading 2"/>
    <w:aliases w:val="Enh2"/>
    <w:basedOn w:val="OPCParaBase"/>
    <w:next w:val="Normal"/>
    <w:rsid w:val="00DF09AC"/>
    <w:pPr>
      <w:spacing w:before="120" w:after="120"/>
      <w:outlineLvl w:val="6"/>
    </w:pPr>
    <w:rPr>
      <w:b/>
      <w:sz w:val="24"/>
      <w:szCs w:val="28"/>
    </w:rPr>
  </w:style>
  <w:style w:type="paragraph" w:customStyle="1" w:styleId="ENotesHeading3">
    <w:name w:val="ENotesHeading 3"/>
    <w:aliases w:val="Enh3"/>
    <w:basedOn w:val="OPCParaBase"/>
    <w:next w:val="Normal"/>
    <w:rsid w:val="00DF09AC"/>
    <w:pPr>
      <w:spacing w:before="120" w:line="240" w:lineRule="auto"/>
      <w:outlineLvl w:val="7"/>
    </w:pPr>
    <w:rPr>
      <w:b/>
      <w:szCs w:val="24"/>
    </w:rPr>
  </w:style>
  <w:style w:type="paragraph" w:customStyle="1" w:styleId="ENotesText">
    <w:name w:val="ENotesText"/>
    <w:aliases w:val="Ent"/>
    <w:basedOn w:val="OPCParaBase"/>
    <w:next w:val="Normal"/>
    <w:rsid w:val="00DF09AC"/>
    <w:pPr>
      <w:spacing w:before="120"/>
    </w:pPr>
  </w:style>
  <w:style w:type="paragraph" w:customStyle="1" w:styleId="CompiledActNo">
    <w:name w:val="CompiledActNo"/>
    <w:basedOn w:val="OPCParaBase"/>
    <w:next w:val="Normal"/>
    <w:rsid w:val="00C255AB"/>
    <w:rPr>
      <w:b/>
      <w:sz w:val="24"/>
      <w:szCs w:val="24"/>
    </w:rPr>
  </w:style>
  <w:style w:type="paragraph" w:customStyle="1" w:styleId="CompiledMadeUnder">
    <w:name w:val="CompiledMadeUnder"/>
    <w:basedOn w:val="OPCParaBase"/>
    <w:next w:val="Normal"/>
    <w:rsid w:val="00C255AB"/>
    <w:rPr>
      <w:i/>
      <w:sz w:val="24"/>
      <w:szCs w:val="24"/>
    </w:rPr>
  </w:style>
  <w:style w:type="paragraph" w:customStyle="1" w:styleId="Paragraphsub-sub-sub">
    <w:name w:val="Paragraph(sub-sub-sub)"/>
    <w:aliases w:val="aaaa"/>
    <w:basedOn w:val="OPCParaBase"/>
    <w:rsid w:val="00BD6B2E"/>
    <w:pPr>
      <w:tabs>
        <w:tab w:val="right" w:pos="3402"/>
      </w:tabs>
      <w:spacing w:before="40" w:line="240" w:lineRule="auto"/>
      <w:ind w:left="3402" w:hanging="3402"/>
    </w:pPr>
  </w:style>
  <w:style w:type="paragraph" w:customStyle="1" w:styleId="EndNotespara">
    <w:name w:val="EndNotes(para)"/>
    <w:aliases w:val="eta"/>
    <w:basedOn w:val="OPCParaBase"/>
    <w:next w:val="Normal"/>
    <w:rsid w:val="00DF09A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F09A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F09A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F09AC"/>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F09AC"/>
    <w:pPr>
      <w:spacing w:before="60" w:line="240" w:lineRule="auto"/>
    </w:pPr>
    <w:rPr>
      <w:rFonts w:cs="Arial"/>
      <w:sz w:val="20"/>
      <w:szCs w:val="22"/>
    </w:rPr>
  </w:style>
  <w:style w:type="paragraph" w:customStyle="1" w:styleId="TableHeading">
    <w:name w:val="TableHeading"/>
    <w:aliases w:val="th"/>
    <w:basedOn w:val="OPCParaBase"/>
    <w:next w:val="Tabletext"/>
    <w:rsid w:val="00F1779C"/>
    <w:pPr>
      <w:spacing w:before="60" w:line="240" w:lineRule="atLeast"/>
    </w:pPr>
    <w:rPr>
      <w:b/>
      <w:sz w:val="20"/>
    </w:rPr>
  </w:style>
  <w:style w:type="paragraph" w:customStyle="1" w:styleId="NoteToSubpara">
    <w:name w:val="NoteToSubpara"/>
    <w:aliases w:val="nts"/>
    <w:basedOn w:val="OPCParaBase"/>
    <w:rsid w:val="00E9136A"/>
    <w:pPr>
      <w:spacing w:before="40" w:line="198" w:lineRule="exact"/>
      <w:ind w:left="2835" w:hanging="709"/>
    </w:pPr>
    <w:rPr>
      <w:sz w:val="18"/>
    </w:rPr>
  </w:style>
  <w:style w:type="character" w:customStyle="1" w:styleId="Heading1Char">
    <w:name w:val="Heading 1 Char"/>
    <w:aliases w:val="Chapter Heading Char,Chapter Heading1 Char,Chapter Heading2 Char,Chapter Heading3 Char,Chapter Heading4 Char,Chapter Heading5 Char,Chapter Heading6 Char,Chapter Heading7 Char,Chapter Heading8 Char,Chapter Heading9 Char,h1 Char"/>
    <w:basedOn w:val="DefaultParagraphFont"/>
    <w:link w:val="Heading1"/>
    <w:uiPriority w:val="9"/>
    <w:rsid w:val="007636B0"/>
    <w:rPr>
      <w:rFonts w:ascii="Book Antiqua" w:eastAsia="Times New Roman" w:hAnsi="Book Antiqua" w:cs="Times New Roman"/>
      <w:b/>
      <w:kern w:val="28"/>
      <w:sz w:val="32"/>
      <w:lang w:eastAsia="en-AU"/>
    </w:rPr>
  </w:style>
  <w:style w:type="character" w:customStyle="1" w:styleId="Heading2Char">
    <w:name w:val="Heading 2 Char"/>
    <w:aliases w:val="Major Heading Char,Major Heading1 Char,Major Heading2 Char,Major Heading3 Char,Major Heading4 Char,Major Heading5 Char,Major Heading6 Char,Major Heading11 Char,Major Heading21 Char,Major Heading31 Char,Major Heading7 Char,h2 Char,H2 Char"/>
    <w:basedOn w:val="DefaultParagraphFont"/>
    <w:link w:val="Heading2"/>
    <w:uiPriority w:val="9"/>
    <w:rsid w:val="007636B0"/>
    <w:rPr>
      <w:rFonts w:ascii="Book Antiqua" w:eastAsia="Times New Roman" w:hAnsi="Book Antiqua" w:cs="Times New Roman"/>
      <w:b/>
      <w:kern w:val="28"/>
      <w:sz w:val="24"/>
    </w:rPr>
  </w:style>
  <w:style w:type="character" w:customStyle="1" w:styleId="Heading3Char">
    <w:name w:val="Heading 3 Char"/>
    <w:aliases w:val="Sub-heading Char,Sub-heading1 Char,Sub-heading2 Char,Sub-heading3 Char,Sub-heading4 Char,Sub-heading5 Char,Sub-heading6 Char,Sub-heading11 Char,Sub-heading21 Char,Sub-heading31 Char,Sub-heading7 Char,Sub-heading12 Char,Sub-heading22 Char"/>
    <w:basedOn w:val="DefaultParagraphFont"/>
    <w:link w:val="Heading3"/>
    <w:uiPriority w:val="9"/>
    <w:rsid w:val="007636B0"/>
    <w:rPr>
      <w:rFonts w:ascii="Book Antiqua" w:eastAsia="Times New Roman" w:hAnsi="Book Antiqua" w:cs="Times New Roman"/>
      <w:b/>
      <w:kern w:val="28"/>
      <w:sz w:val="22"/>
    </w:rPr>
  </w:style>
  <w:style w:type="character" w:customStyle="1" w:styleId="Heading4Char">
    <w:name w:val="Heading 4 Char"/>
    <w:aliases w:val="Minor Heading Char,Minor Heading1 Char,Minor Heading2 Char,Minor Heading3 Char,Minor Heading4 Char,Minor Heading5 Char,Minor Heading6 Char,Minor Heading7 Char,Minor Heading8 Char,Minor Heading11 Char,Minor Heading21 Char,D&amp;M Char,h4 Char"/>
    <w:basedOn w:val="DefaultParagraphFont"/>
    <w:link w:val="Heading4"/>
    <w:uiPriority w:val="9"/>
    <w:rsid w:val="007636B0"/>
    <w:rPr>
      <w:rFonts w:ascii="Book Antiqua" w:eastAsia="Times New Roman" w:hAnsi="Book Antiqua" w:cs="Times New Roman"/>
      <w:i/>
      <w:sz w:val="22"/>
      <w:lang w:eastAsia="en-AU"/>
    </w:rPr>
  </w:style>
  <w:style w:type="character" w:customStyle="1" w:styleId="Heading5Char">
    <w:name w:val="Heading 5 Char"/>
    <w:aliases w:val="Further Points Char,Further Points1 Char,Further Points2 Char,Further Points3 Char,Further Points11 Char,Further Points4 Char,Further Points5 Char,Further Points12 Char,Further Points21 Char,Further Points111 Char,Further Points6 Char"/>
    <w:basedOn w:val="DefaultParagraphFont"/>
    <w:link w:val="Heading5"/>
    <w:uiPriority w:val="9"/>
    <w:rsid w:val="007636B0"/>
    <w:rPr>
      <w:rFonts w:ascii="Book Antiqua" w:eastAsia="Times New Roman" w:hAnsi="Book Antiqua" w:cs="Times New Roman"/>
      <w:b/>
      <w:lang w:eastAsia="en-AU"/>
    </w:rPr>
  </w:style>
  <w:style w:type="character" w:customStyle="1" w:styleId="Heading6Char">
    <w:name w:val="Heading 6 Char"/>
    <w:aliases w:val="Points in Text Char,Points in Text1 Char,Points in Text2 Char,Points in Text3 Char,Points in Text4 Char,Points in Text5 Char,Points in Text11 Char,Points in Text21 Char,Points in Text6 Char,Points in Text12 Char,Points in Text22 Char"/>
    <w:basedOn w:val="DefaultParagraphFont"/>
    <w:link w:val="Heading6"/>
    <w:uiPriority w:val="9"/>
    <w:rsid w:val="007636B0"/>
    <w:rPr>
      <w:rFonts w:eastAsia="Times New Roman" w:cs="Times New Roman"/>
      <w:i/>
      <w:sz w:val="22"/>
      <w:lang w:eastAsia="en-AU"/>
    </w:rPr>
  </w:style>
  <w:style w:type="character" w:customStyle="1" w:styleId="Heading7Char">
    <w:name w:val="Heading 7 Char"/>
    <w:aliases w:val="DO NOT USE 7 Char,DO NOT USE 71 Char,H7 Char,H71 Char,H72 Char,H711 Char,DO NOT USE 72 Char,DO NOT USE 711 Char,H73 Char,H712 Char,DO NOT USE 73 Char,DO NOT USE 712 Char,H74 Char,H713 Char,DO NOT USE 74 Char,DO NOT USE 713 Char,H75 Char"/>
    <w:basedOn w:val="DefaultParagraphFont"/>
    <w:link w:val="Heading7"/>
    <w:uiPriority w:val="9"/>
    <w:rsid w:val="007636B0"/>
    <w:rPr>
      <w:rFonts w:ascii="Arial" w:eastAsia="Times New Roman" w:hAnsi="Arial" w:cs="Times New Roman"/>
      <w:lang w:eastAsia="en-AU"/>
    </w:rPr>
  </w:style>
  <w:style w:type="character" w:customStyle="1" w:styleId="Heading8Char">
    <w:name w:val="Heading 8 Char"/>
    <w:aliases w:val="Appendix Level 2 Char,not Kinhill1 Char,Appendix Level 21 Char,Appendix Level 22 Char,Appendix Level 23 Char,Appendix Level 24 Char,Appendix Level 25 Char,Appendix Level 26 Char,Appendix Level 27 Char,DO NOT USE 8 Char"/>
    <w:basedOn w:val="DefaultParagraphFont"/>
    <w:link w:val="Heading8"/>
    <w:uiPriority w:val="9"/>
    <w:rsid w:val="007636B0"/>
    <w:rPr>
      <w:rFonts w:ascii="Arial" w:eastAsia="Times New Roman" w:hAnsi="Arial" w:cs="Times New Roman"/>
      <w:i/>
      <w:lang w:eastAsia="en-AU"/>
    </w:rPr>
  </w:style>
  <w:style w:type="character" w:customStyle="1" w:styleId="Heading9Char">
    <w:name w:val="Heading 9 Char"/>
    <w:aliases w:val="Appendix Level 3 Char,Appendix Level 31 Char,Appendix Level 32 Char,Appendix Level 33 Char,Appendix Level 34 Char,Appendix Level 35 Char,Appendix Level 36 Char,Appendix Level 37 Char,DO NOT USE 9 Char,Appendix Level 38 Char,H9 Char"/>
    <w:basedOn w:val="DefaultParagraphFont"/>
    <w:link w:val="Heading9"/>
    <w:uiPriority w:val="9"/>
    <w:rsid w:val="007636B0"/>
    <w:rPr>
      <w:rFonts w:ascii="Arial" w:eastAsia="Times New Roman" w:hAnsi="Arial" w:cs="Times New Roman"/>
      <w:b/>
      <w:i/>
      <w:sz w:val="18"/>
      <w:lang w:eastAsia="en-AU"/>
    </w:rPr>
  </w:style>
  <w:style w:type="paragraph" w:customStyle="1" w:styleId="DotpointCONSITES">
    <w:name w:val="Dotpoint CON SITES"/>
    <w:basedOn w:val="Normal"/>
    <w:next w:val="Normal"/>
    <w:autoRedefine/>
    <w:rsid w:val="007636B0"/>
    <w:pPr>
      <w:spacing w:before="120" w:after="120" w:line="240" w:lineRule="auto"/>
      <w:jc w:val="both"/>
    </w:pPr>
    <w:rPr>
      <w:rFonts w:ascii="Book Antiqua" w:eastAsia="Times New Roman" w:hAnsi="Book Antiqua" w:cs="Times New Roman"/>
      <w:b/>
      <w:lang w:eastAsia="en-AU"/>
    </w:rPr>
  </w:style>
  <w:style w:type="paragraph" w:customStyle="1" w:styleId="TableheadCONSITES">
    <w:name w:val="Tablehead CON SITES"/>
    <w:basedOn w:val="Normal"/>
    <w:next w:val="Normal"/>
    <w:rsid w:val="007636B0"/>
    <w:pPr>
      <w:spacing w:before="120" w:after="120" w:line="240" w:lineRule="auto"/>
      <w:jc w:val="center"/>
    </w:pPr>
    <w:rPr>
      <w:rFonts w:ascii="Book Antiqua" w:eastAsia="Times New Roman" w:hAnsi="Book Antiqua" w:cs="Times New Roman"/>
      <w:b/>
      <w:lang w:eastAsia="en-AU"/>
    </w:rPr>
  </w:style>
  <w:style w:type="character" w:styleId="PageNumber">
    <w:name w:val="page number"/>
    <w:basedOn w:val="DefaultParagraphFont"/>
    <w:rsid w:val="007636B0"/>
  </w:style>
  <w:style w:type="paragraph" w:styleId="BlockText">
    <w:name w:val="Block Text"/>
    <w:basedOn w:val="Normal"/>
    <w:uiPriority w:val="3"/>
    <w:rsid w:val="007636B0"/>
    <w:pPr>
      <w:pBdr>
        <w:top w:val="thinThickSmallGap" w:sz="24" w:space="12" w:color="auto"/>
        <w:left w:val="thinThickSmallGap" w:sz="24" w:space="12" w:color="auto"/>
        <w:bottom w:val="thickThinSmallGap" w:sz="24" w:space="12" w:color="auto"/>
        <w:right w:val="thickThinSmallGap" w:sz="24" w:space="12" w:color="auto"/>
      </w:pBdr>
      <w:spacing w:before="120" w:after="120" w:line="480" w:lineRule="auto"/>
      <w:ind w:left="567" w:right="567"/>
      <w:jc w:val="both"/>
    </w:pPr>
    <w:rPr>
      <w:rFonts w:ascii="Book Antiqua" w:eastAsia="Times New Roman" w:hAnsi="Book Antiqua" w:cs="Times New Roman"/>
      <w:lang w:eastAsia="en-AU"/>
    </w:rPr>
  </w:style>
  <w:style w:type="paragraph" w:customStyle="1" w:styleId="Glossary">
    <w:name w:val="Glossary"/>
    <w:basedOn w:val="Normal"/>
    <w:rsid w:val="007636B0"/>
    <w:pPr>
      <w:keepLines/>
      <w:spacing w:before="120" w:after="120" w:line="240" w:lineRule="auto"/>
      <w:jc w:val="both"/>
    </w:pPr>
    <w:rPr>
      <w:rFonts w:ascii="Book Antiqua" w:eastAsia="Times New Roman" w:hAnsi="Book Antiqua" w:cs="Times New Roman"/>
      <w:lang w:eastAsia="en-AU"/>
    </w:rPr>
  </w:style>
  <w:style w:type="paragraph" w:customStyle="1" w:styleId="TableText0">
    <w:name w:val="Table Text"/>
    <w:basedOn w:val="Normal"/>
    <w:rsid w:val="007636B0"/>
    <w:pPr>
      <w:spacing w:before="60" w:after="60" w:line="240" w:lineRule="auto"/>
    </w:pPr>
    <w:rPr>
      <w:rFonts w:ascii="Book Antiqua" w:eastAsia="Times New Roman" w:hAnsi="Book Antiqua" w:cs="Times New Roman"/>
      <w:sz w:val="20"/>
      <w:lang w:eastAsia="en-AU"/>
    </w:rPr>
  </w:style>
  <w:style w:type="paragraph" w:customStyle="1" w:styleId="Dotpoint2ndCONSITES">
    <w:name w:val="Dotpoint 2ndCON SITES"/>
    <w:basedOn w:val="DotpointCONSITES"/>
    <w:rsid w:val="007636B0"/>
    <w:pPr>
      <w:numPr>
        <w:ilvl w:val="1"/>
        <w:numId w:val="13"/>
      </w:numPr>
      <w:tabs>
        <w:tab w:val="clear" w:pos="720"/>
        <w:tab w:val="num" w:pos="851"/>
      </w:tabs>
      <w:ind w:left="851" w:hanging="284"/>
    </w:pPr>
  </w:style>
  <w:style w:type="paragraph" w:customStyle="1" w:styleId="DotpointiCONSITES">
    <w:name w:val="Dotpoint (i)CON SITES"/>
    <w:basedOn w:val="DotpointCONSITES"/>
    <w:rsid w:val="007636B0"/>
    <w:pPr>
      <w:numPr>
        <w:numId w:val="14"/>
      </w:numPr>
      <w:tabs>
        <w:tab w:val="clear" w:pos="720"/>
        <w:tab w:val="num" w:pos="567"/>
      </w:tabs>
      <w:ind w:left="567" w:hanging="567"/>
    </w:pPr>
  </w:style>
  <w:style w:type="paragraph" w:customStyle="1" w:styleId="AppendixHeading">
    <w:name w:val="Appendix Heading"/>
    <w:basedOn w:val="Heading1"/>
    <w:rsid w:val="007636B0"/>
    <w:pPr>
      <w:numPr>
        <w:numId w:val="0"/>
      </w:numPr>
      <w:spacing w:after="0"/>
      <w:jc w:val="center"/>
    </w:pPr>
  </w:style>
  <w:style w:type="paragraph" w:customStyle="1" w:styleId="text">
    <w:name w:val="text"/>
    <w:basedOn w:val="Normal"/>
    <w:link w:val="textChar"/>
    <w:rsid w:val="007636B0"/>
    <w:pPr>
      <w:spacing w:before="120" w:after="120" w:line="240" w:lineRule="auto"/>
      <w:jc w:val="both"/>
    </w:pPr>
    <w:rPr>
      <w:rFonts w:ascii="Book Antiqua" w:eastAsia="Times New Roman" w:hAnsi="Book Antiqua" w:cs="Times New Roman"/>
      <w:lang w:eastAsia="en-AU"/>
    </w:rPr>
  </w:style>
  <w:style w:type="paragraph" w:customStyle="1" w:styleId="Dot-points">
    <w:name w:val="Dot-points"/>
    <w:basedOn w:val="text"/>
    <w:qFormat/>
    <w:rsid w:val="007636B0"/>
    <w:pPr>
      <w:numPr>
        <w:numId w:val="15"/>
      </w:numPr>
      <w:tabs>
        <w:tab w:val="clear" w:pos="360"/>
        <w:tab w:val="num" w:pos="926"/>
      </w:tabs>
      <w:spacing w:before="0"/>
      <w:ind w:left="357" w:hanging="357"/>
    </w:pPr>
  </w:style>
  <w:style w:type="paragraph" w:customStyle="1" w:styleId="GlossaryHeading">
    <w:name w:val="Glossary Heading"/>
    <w:basedOn w:val="Heading1"/>
    <w:rsid w:val="007636B0"/>
    <w:pPr>
      <w:numPr>
        <w:numId w:val="0"/>
      </w:numPr>
      <w:spacing w:after="0"/>
      <w:jc w:val="center"/>
    </w:pPr>
  </w:style>
  <w:style w:type="character" w:customStyle="1" w:styleId="Highlight">
    <w:name w:val="Highlight"/>
    <w:basedOn w:val="DefaultParagraphFont"/>
    <w:uiPriority w:val="99"/>
    <w:rsid w:val="007636B0"/>
    <w:rPr>
      <w:rFonts w:ascii="Arial" w:hAnsi="Arial"/>
      <w:b/>
      <w:sz w:val="24"/>
    </w:rPr>
  </w:style>
  <w:style w:type="paragraph" w:customStyle="1" w:styleId="Level1">
    <w:name w:val="Level 1"/>
    <w:basedOn w:val="Heading2"/>
    <w:rsid w:val="007636B0"/>
    <w:pPr>
      <w:numPr>
        <w:ilvl w:val="0"/>
        <w:numId w:val="0"/>
      </w:numPr>
    </w:pPr>
  </w:style>
  <w:style w:type="paragraph" w:customStyle="1" w:styleId="Level2">
    <w:name w:val="Level 2"/>
    <w:basedOn w:val="Heading3"/>
    <w:rsid w:val="007636B0"/>
    <w:pPr>
      <w:numPr>
        <w:ilvl w:val="0"/>
        <w:numId w:val="0"/>
      </w:numPr>
    </w:pPr>
  </w:style>
  <w:style w:type="paragraph" w:customStyle="1" w:styleId="Level3">
    <w:name w:val="Level 3"/>
    <w:basedOn w:val="Heading4"/>
    <w:rsid w:val="007636B0"/>
    <w:pPr>
      <w:numPr>
        <w:ilvl w:val="0"/>
        <w:numId w:val="0"/>
      </w:numPr>
    </w:pPr>
  </w:style>
  <w:style w:type="paragraph" w:customStyle="1" w:styleId="TitleHeading">
    <w:name w:val="Title Heading"/>
    <w:basedOn w:val="text"/>
    <w:rsid w:val="007636B0"/>
    <w:pPr>
      <w:spacing w:before="20" w:after="20"/>
      <w:ind w:left="1985"/>
      <w:jc w:val="center"/>
    </w:pPr>
    <w:rPr>
      <w:rFonts w:ascii="Arial Bold" w:hAnsi="Arial Bold"/>
      <w:b/>
      <w:sz w:val="40"/>
    </w:rPr>
  </w:style>
  <w:style w:type="paragraph" w:customStyle="1" w:styleId="NationalHeading">
    <w:name w:val="National Heading"/>
    <w:basedOn w:val="TitleHeading"/>
    <w:rsid w:val="007636B0"/>
  </w:style>
  <w:style w:type="paragraph" w:styleId="FootnoteText">
    <w:name w:val="footnote text"/>
    <w:basedOn w:val="Normal"/>
    <w:link w:val="FootnoteTextChar"/>
    <w:semiHidden/>
    <w:rsid w:val="007636B0"/>
    <w:pPr>
      <w:spacing w:before="120" w:after="120" w:line="240" w:lineRule="auto"/>
      <w:ind w:left="142" w:hanging="142"/>
      <w:jc w:val="both"/>
    </w:pPr>
    <w:rPr>
      <w:rFonts w:ascii="Book Antiqua" w:eastAsia="Times New Roman" w:hAnsi="Book Antiqua" w:cs="Times New Roman"/>
      <w:sz w:val="14"/>
    </w:rPr>
  </w:style>
  <w:style w:type="character" w:customStyle="1" w:styleId="FootnoteTextChar">
    <w:name w:val="Footnote Text Char"/>
    <w:basedOn w:val="DefaultParagraphFont"/>
    <w:link w:val="FootnoteText"/>
    <w:semiHidden/>
    <w:rsid w:val="007636B0"/>
    <w:rPr>
      <w:rFonts w:ascii="Book Antiqua" w:eastAsia="Times New Roman" w:hAnsi="Book Antiqua" w:cs="Times New Roman"/>
      <w:sz w:val="14"/>
    </w:rPr>
  </w:style>
  <w:style w:type="paragraph" w:customStyle="1" w:styleId="OutlineLev1">
    <w:name w:val="Outline Lev 1"/>
    <w:basedOn w:val="Normal"/>
    <w:rsid w:val="007636B0"/>
    <w:pPr>
      <w:numPr>
        <w:numId w:val="17"/>
      </w:numPr>
      <w:spacing w:before="240" w:after="100" w:line="240" w:lineRule="auto"/>
      <w:jc w:val="both"/>
    </w:pPr>
    <w:rPr>
      <w:rFonts w:ascii="Book Antiqua" w:eastAsia="Times New Roman" w:hAnsi="Book Antiqua" w:cs="Times New Roman"/>
      <w:lang w:eastAsia="en-AU"/>
    </w:rPr>
  </w:style>
  <w:style w:type="paragraph" w:customStyle="1" w:styleId="OutlineLev2">
    <w:name w:val="Outline Lev 2"/>
    <w:basedOn w:val="Normal"/>
    <w:rsid w:val="007636B0"/>
    <w:pPr>
      <w:numPr>
        <w:ilvl w:val="1"/>
        <w:numId w:val="17"/>
      </w:numPr>
      <w:spacing w:before="20" w:after="20" w:line="240" w:lineRule="auto"/>
      <w:jc w:val="both"/>
    </w:pPr>
    <w:rPr>
      <w:rFonts w:ascii="Book Antiqua" w:eastAsia="Times New Roman" w:hAnsi="Book Antiqua" w:cs="Times New Roman"/>
      <w:lang w:eastAsia="en-AU"/>
    </w:rPr>
  </w:style>
  <w:style w:type="paragraph" w:styleId="TOCHeading">
    <w:name w:val="TOC Heading"/>
    <w:basedOn w:val="Heading2"/>
    <w:uiPriority w:val="39"/>
    <w:rsid w:val="007636B0"/>
    <w:pPr>
      <w:numPr>
        <w:ilvl w:val="0"/>
        <w:numId w:val="0"/>
      </w:numPr>
      <w:spacing w:before="120"/>
      <w:jc w:val="center"/>
    </w:pPr>
    <w:rPr>
      <w:rFonts w:ascii="Arial" w:hAnsi="Arial"/>
      <w:sz w:val="32"/>
    </w:rPr>
  </w:style>
  <w:style w:type="paragraph" w:styleId="BalloonText">
    <w:name w:val="Balloon Text"/>
    <w:basedOn w:val="Normal"/>
    <w:link w:val="BalloonTextChar"/>
    <w:uiPriority w:val="99"/>
    <w:semiHidden/>
    <w:rsid w:val="007636B0"/>
    <w:pPr>
      <w:spacing w:before="120" w:after="120" w:line="240" w:lineRule="auto"/>
      <w:jc w:val="both"/>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7636B0"/>
    <w:rPr>
      <w:rFonts w:ascii="Tahoma" w:eastAsia="Times New Roman" w:hAnsi="Tahoma" w:cs="Tahoma"/>
      <w:sz w:val="16"/>
      <w:szCs w:val="16"/>
      <w:lang w:eastAsia="en-AU"/>
    </w:rPr>
  </w:style>
  <w:style w:type="character" w:styleId="CommentReference">
    <w:name w:val="annotation reference"/>
    <w:basedOn w:val="DefaultParagraphFont"/>
    <w:rsid w:val="007636B0"/>
    <w:rPr>
      <w:sz w:val="16"/>
      <w:szCs w:val="16"/>
    </w:rPr>
  </w:style>
  <w:style w:type="paragraph" w:styleId="CommentText">
    <w:name w:val="annotation text"/>
    <w:basedOn w:val="Normal"/>
    <w:link w:val="CommentTextChar"/>
    <w:rsid w:val="007636B0"/>
    <w:pPr>
      <w:spacing w:before="120" w:after="120" w:line="240" w:lineRule="auto"/>
      <w:jc w:val="both"/>
    </w:pPr>
    <w:rPr>
      <w:rFonts w:ascii="Book Antiqua" w:eastAsia="Times New Roman" w:hAnsi="Book Antiqua" w:cs="Times New Roman"/>
      <w:sz w:val="20"/>
      <w:lang w:eastAsia="en-AU"/>
    </w:rPr>
  </w:style>
  <w:style w:type="character" w:customStyle="1" w:styleId="CommentTextChar">
    <w:name w:val="Comment Text Char"/>
    <w:basedOn w:val="DefaultParagraphFont"/>
    <w:link w:val="CommentText"/>
    <w:rsid w:val="007636B0"/>
    <w:rPr>
      <w:rFonts w:ascii="Book Antiqua" w:eastAsia="Times New Roman" w:hAnsi="Book Antiqua" w:cs="Times New Roman"/>
      <w:lang w:eastAsia="en-AU"/>
    </w:rPr>
  </w:style>
  <w:style w:type="paragraph" w:styleId="CommentSubject">
    <w:name w:val="annotation subject"/>
    <w:basedOn w:val="CommentText"/>
    <w:next w:val="CommentText"/>
    <w:link w:val="CommentSubjectChar"/>
    <w:uiPriority w:val="99"/>
    <w:rsid w:val="007636B0"/>
    <w:rPr>
      <w:b/>
      <w:bCs/>
    </w:rPr>
  </w:style>
  <w:style w:type="character" w:customStyle="1" w:styleId="CommentSubjectChar">
    <w:name w:val="Comment Subject Char"/>
    <w:basedOn w:val="CommentTextChar"/>
    <w:link w:val="CommentSubject"/>
    <w:uiPriority w:val="99"/>
    <w:rsid w:val="007636B0"/>
    <w:rPr>
      <w:rFonts w:ascii="Book Antiqua" w:eastAsia="Times New Roman" w:hAnsi="Book Antiqua" w:cs="Times New Roman"/>
      <w:b/>
      <w:bCs/>
      <w:lang w:eastAsia="en-AU"/>
    </w:rPr>
  </w:style>
  <w:style w:type="character" w:styleId="FootnoteReference">
    <w:name w:val="footnote reference"/>
    <w:basedOn w:val="DefaultParagraphFont"/>
    <w:semiHidden/>
    <w:rsid w:val="007636B0"/>
    <w:rPr>
      <w:rFonts w:ascii="Book Antiqua" w:hAnsi="Book Antiqua"/>
      <w:vertAlign w:val="superscript"/>
    </w:rPr>
  </w:style>
  <w:style w:type="paragraph" w:styleId="BodyText3">
    <w:name w:val="Body Text 3"/>
    <w:basedOn w:val="Normal"/>
    <w:link w:val="BodyText3Char"/>
    <w:rsid w:val="007636B0"/>
    <w:pPr>
      <w:spacing w:before="120" w:after="120" w:line="240" w:lineRule="auto"/>
    </w:pPr>
    <w:rPr>
      <w:rFonts w:ascii="Book Antiqua" w:eastAsia="Times New Roman" w:hAnsi="Book Antiqua" w:cs="Times New Roman"/>
      <w:i/>
      <w:color w:val="FF0000"/>
    </w:rPr>
  </w:style>
  <w:style w:type="character" w:customStyle="1" w:styleId="BodyText3Char">
    <w:name w:val="Body Text 3 Char"/>
    <w:basedOn w:val="DefaultParagraphFont"/>
    <w:link w:val="BodyText3"/>
    <w:rsid w:val="007636B0"/>
    <w:rPr>
      <w:rFonts w:ascii="Book Antiqua" w:eastAsia="Times New Roman" w:hAnsi="Book Antiqua" w:cs="Times New Roman"/>
      <w:i/>
      <w:color w:val="FF0000"/>
      <w:sz w:val="22"/>
    </w:rPr>
  </w:style>
  <w:style w:type="paragraph" w:styleId="Revision">
    <w:name w:val="Revision"/>
    <w:hidden/>
    <w:semiHidden/>
    <w:rsid w:val="007636B0"/>
    <w:rPr>
      <w:rFonts w:ascii="Book Antiqua" w:eastAsia="Times New Roman" w:hAnsi="Book Antiqua" w:cs="Times New Roman"/>
      <w:sz w:val="24"/>
      <w:lang w:eastAsia="en-AU"/>
    </w:rPr>
  </w:style>
  <w:style w:type="character" w:styleId="Hyperlink">
    <w:name w:val="Hyperlink"/>
    <w:basedOn w:val="DefaultParagraphFont"/>
    <w:uiPriority w:val="99"/>
    <w:rsid w:val="007636B0"/>
    <w:rPr>
      <w:color w:val="0000FF"/>
      <w:u w:val="single"/>
    </w:rPr>
  </w:style>
  <w:style w:type="paragraph" w:customStyle="1" w:styleId="Default">
    <w:name w:val="Default"/>
    <w:rsid w:val="007636B0"/>
    <w:pPr>
      <w:autoSpaceDE w:val="0"/>
      <w:autoSpaceDN w:val="0"/>
      <w:adjustRightInd w:val="0"/>
    </w:pPr>
    <w:rPr>
      <w:rFonts w:ascii="Arial" w:eastAsia="Times New Roman" w:hAnsi="Arial" w:cs="Arial"/>
      <w:color w:val="000000"/>
      <w:sz w:val="24"/>
      <w:szCs w:val="24"/>
      <w:lang w:val="en-US"/>
    </w:rPr>
  </w:style>
  <w:style w:type="paragraph" w:customStyle="1" w:styleId="Normal1">
    <w:name w:val="Normal+1"/>
    <w:basedOn w:val="Default"/>
    <w:next w:val="Default"/>
    <w:rsid w:val="007636B0"/>
    <w:rPr>
      <w:rFonts w:cs="Times New Roman"/>
      <w:color w:val="auto"/>
    </w:rPr>
  </w:style>
  <w:style w:type="paragraph" w:customStyle="1" w:styleId="glossary0">
    <w:name w:val="glossary"/>
    <w:basedOn w:val="Normal"/>
    <w:rsid w:val="007636B0"/>
    <w:pPr>
      <w:autoSpaceDE w:val="0"/>
      <w:autoSpaceDN w:val="0"/>
      <w:spacing w:before="100" w:after="100" w:line="240" w:lineRule="auto"/>
    </w:pPr>
    <w:rPr>
      <w:rFonts w:ascii="Book Antiqua" w:eastAsia="Times New Roman" w:hAnsi="Book Antiqua" w:cs="Times New Roman"/>
      <w:szCs w:val="24"/>
      <w:lang w:eastAsia="en-AU"/>
    </w:rPr>
  </w:style>
  <w:style w:type="paragraph" w:customStyle="1" w:styleId="Style1">
    <w:name w:val="Style1"/>
    <w:basedOn w:val="Heading2"/>
    <w:rsid w:val="007636B0"/>
    <w:rPr>
      <w:rFonts w:ascii="Arial" w:hAnsi="Arial"/>
    </w:rPr>
  </w:style>
  <w:style w:type="paragraph" w:customStyle="1" w:styleId="StyleTitleHeading22pt">
    <w:name w:val="Style Title Heading + 22 pt"/>
    <w:basedOn w:val="TitleHeading"/>
    <w:rsid w:val="007636B0"/>
    <w:rPr>
      <w:bCs/>
      <w:caps/>
    </w:rPr>
  </w:style>
  <w:style w:type="paragraph" w:customStyle="1" w:styleId="StyleglossaryJustified">
    <w:name w:val="Style glossary + Justified"/>
    <w:basedOn w:val="glossary0"/>
    <w:rsid w:val="007636B0"/>
    <w:pPr>
      <w:jc w:val="both"/>
    </w:pPr>
    <w:rPr>
      <w:szCs w:val="20"/>
    </w:rPr>
  </w:style>
  <w:style w:type="paragraph" w:customStyle="1" w:styleId="StyletextArialBold">
    <w:name w:val="Style text + Arial Bold"/>
    <w:basedOn w:val="text"/>
    <w:link w:val="StyletextArialBoldChar"/>
    <w:rsid w:val="007636B0"/>
    <w:rPr>
      <w:rFonts w:ascii="Arial" w:hAnsi="Arial"/>
      <w:b/>
      <w:bCs/>
    </w:rPr>
  </w:style>
  <w:style w:type="character" w:customStyle="1" w:styleId="textChar">
    <w:name w:val="text Char"/>
    <w:basedOn w:val="DefaultParagraphFont"/>
    <w:link w:val="text"/>
    <w:rsid w:val="007636B0"/>
    <w:rPr>
      <w:rFonts w:ascii="Book Antiqua" w:eastAsia="Times New Roman" w:hAnsi="Book Antiqua" w:cs="Times New Roman"/>
      <w:sz w:val="22"/>
      <w:lang w:eastAsia="en-AU"/>
    </w:rPr>
  </w:style>
  <w:style w:type="character" w:customStyle="1" w:styleId="StyletextArialBoldChar">
    <w:name w:val="Style text + Arial Bold Char"/>
    <w:basedOn w:val="textChar"/>
    <w:link w:val="StyletextArialBold"/>
    <w:rsid w:val="007636B0"/>
    <w:rPr>
      <w:rFonts w:ascii="Arial" w:eastAsia="Times New Roman" w:hAnsi="Arial" w:cs="Times New Roman"/>
      <w:b/>
      <w:bCs/>
      <w:sz w:val="22"/>
      <w:lang w:eastAsia="en-AU"/>
    </w:rPr>
  </w:style>
  <w:style w:type="character" w:styleId="Strong">
    <w:name w:val="Strong"/>
    <w:basedOn w:val="DefaultParagraphFont"/>
    <w:uiPriority w:val="22"/>
    <w:rsid w:val="007636B0"/>
    <w:rPr>
      <w:b/>
      <w:bCs/>
    </w:rPr>
  </w:style>
  <w:style w:type="paragraph" w:customStyle="1" w:styleId="Numbers">
    <w:name w:val="Numbers"/>
    <w:basedOn w:val="OutlineLev1"/>
    <w:rsid w:val="007636B0"/>
    <w:pPr>
      <w:keepNext/>
      <w:numPr>
        <w:numId w:val="0"/>
      </w:numPr>
      <w:tabs>
        <w:tab w:val="num" w:pos="426"/>
        <w:tab w:val="right" w:pos="9071"/>
      </w:tabs>
      <w:ind w:left="425" w:hanging="425"/>
    </w:pPr>
    <w:rPr>
      <w:b/>
      <w:szCs w:val="22"/>
    </w:rPr>
  </w:style>
  <w:style w:type="paragraph" w:styleId="Caption">
    <w:name w:val="caption"/>
    <w:basedOn w:val="Normal"/>
    <w:next w:val="Normal"/>
    <w:autoRedefine/>
    <w:uiPriority w:val="99"/>
    <w:qFormat/>
    <w:rsid w:val="007636B0"/>
    <w:pPr>
      <w:tabs>
        <w:tab w:val="right" w:pos="9071"/>
      </w:tabs>
      <w:spacing w:before="120" w:after="120" w:line="240" w:lineRule="auto"/>
      <w:ind w:left="142"/>
    </w:pPr>
    <w:rPr>
      <w:rFonts w:ascii="Book Antiqua" w:eastAsia="Times New Roman" w:hAnsi="Book Antiqua" w:cs="Times New Roman"/>
      <w:b/>
      <w:szCs w:val="22"/>
      <w:lang w:eastAsia="en-AU"/>
    </w:rPr>
  </w:style>
  <w:style w:type="paragraph" w:styleId="NormalWeb">
    <w:name w:val="Normal (Web)"/>
    <w:basedOn w:val="Normal"/>
    <w:rsid w:val="007636B0"/>
    <w:pPr>
      <w:spacing w:before="100" w:beforeAutospacing="1" w:after="100" w:afterAutospacing="1" w:line="240" w:lineRule="auto"/>
    </w:pPr>
    <w:rPr>
      <w:rFonts w:eastAsia="Times New Roman" w:cs="Times New Roman"/>
      <w:szCs w:val="24"/>
      <w:lang w:eastAsia="en-AU"/>
    </w:rPr>
  </w:style>
  <w:style w:type="character" w:customStyle="1" w:styleId="data">
    <w:name w:val="data"/>
    <w:basedOn w:val="DefaultParagraphFont"/>
    <w:rsid w:val="007636B0"/>
  </w:style>
  <w:style w:type="paragraph" w:customStyle="1" w:styleId="Indent2cm">
    <w:name w:val="Indent 2cm"/>
    <w:basedOn w:val="Normal"/>
    <w:rsid w:val="007636B0"/>
    <w:pPr>
      <w:spacing w:before="160" w:after="160" w:line="240" w:lineRule="auto"/>
      <w:jc w:val="both"/>
    </w:pPr>
    <w:rPr>
      <w:rFonts w:ascii="Book Antiqua" w:eastAsia="Times New Roman" w:hAnsi="Book Antiqua" w:cs="Times New Roman"/>
      <w:lang w:eastAsia="en-AU"/>
    </w:rPr>
  </w:style>
  <w:style w:type="paragraph" w:customStyle="1" w:styleId="StyleHeading1ChapterHeadingChapterHeading1ChapterHeading2C">
    <w:name w:val="Style Heading 1Chapter HeadingChapter Heading1Chapter Heading2C..."/>
    <w:basedOn w:val="Heading1"/>
    <w:rsid w:val="007636B0"/>
    <w:pPr>
      <w:tabs>
        <w:tab w:val="right" w:pos="709"/>
      </w:tabs>
    </w:pPr>
    <w:rPr>
      <w:bCs/>
    </w:rPr>
  </w:style>
  <w:style w:type="paragraph" w:customStyle="1" w:styleId="FigureTableHeading">
    <w:name w:val="FigureTableHeading"/>
    <w:basedOn w:val="text"/>
    <w:rsid w:val="007636B0"/>
    <w:pPr>
      <w:ind w:left="993" w:hanging="993"/>
    </w:pPr>
    <w:rPr>
      <w:b/>
      <w:sz w:val="20"/>
    </w:rPr>
  </w:style>
  <w:style w:type="paragraph" w:customStyle="1" w:styleId="Tableheader">
    <w:name w:val="Tableheader"/>
    <w:basedOn w:val="text"/>
    <w:rsid w:val="007636B0"/>
    <w:pPr>
      <w:jc w:val="center"/>
    </w:pPr>
    <w:rPr>
      <w:b/>
      <w:sz w:val="20"/>
    </w:rPr>
  </w:style>
  <w:style w:type="paragraph" w:customStyle="1" w:styleId="StyleHeading1ChapterHeadingMainHeadingh1H1AMAJORBOLDPar">
    <w:name w:val="Style Heading 1Chapter HeadingMain Headingh1H1A MAJOR/BOLDPar..."/>
    <w:basedOn w:val="Heading1"/>
    <w:uiPriority w:val="99"/>
    <w:rsid w:val="007636B0"/>
    <w:pPr>
      <w:keepLines/>
      <w:tabs>
        <w:tab w:val="clear" w:pos="9072"/>
        <w:tab w:val="num" w:pos="360"/>
      </w:tabs>
      <w:ind w:left="0" w:firstLine="0"/>
    </w:pPr>
    <w:rPr>
      <w:rFonts w:cs="Book Antiqua"/>
      <w:bCs/>
      <w:szCs w:val="32"/>
    </w:rPr>
  </w:style>
  <w:style w:type="character" w:customStyle="1" w:styleId="CommentTextChar1">
    <w:name w:val="Comment Text Char1"/>
    <w:rsid w:val="007636B0"/>
    <w:rPr>
      <w:rFonts w:ascii="Book Antiqua" w:hAnsi="Book Antiqua"/>
    </w:rPr>
  </w:style>
  <w:style w:type="paragraph" w:customStyle="1" w:styleId="StyletextLeft0cmHanging1cm">
    <w:name w:val="Style text + Left:  0 cm Hanging:  1 cm"/>
    <w:basedOn w:val="text"/>
    <w:qFormat/>
    <w:rsid w:val="007636B0"/>
    <w:pPr>
      <w:ind w:left="720" w:hanging="720"/>
    </w:pPr>
  </w:style>
  <w:style w:type="paragraph" w:styleId="Title">
    <w:name w:val="Title"/>
    <w:basedOn w:val="Normal"/>
    <w:link w:val="TitleChar"/>
    <w:uiPriority w:val="10"/>
    <w:rsid w:val="007636B0"/>
    <w:pPr>
      <w:spacing w:before="400" w:after="200" w:line="276" w:lineRule="auto"/>
    </w:pPr>
    <w:rPr>
      <w:rFonts w:ascii="Verdana" w:eastAsia="Verdana" w:hAnsi="Verdana" w:cs="Times New Roman"/>
      <w:color w:val="365F91"/>
      <w:sz w:val="56"/>
      <w:szCs w:val="56"/>
      <w:lang w:eastAsia="ja-JP"/>
    </w:rPr>
  </w:style>
  <w:style w:type="character" w:customStyle="1" w:styleId="TitleChar">
    <w:name w:val="Title Char"/>
    <w:basedOn w:val="DefaultParagraphFont"/>
    <w:link w:val="Title"/>
    <w:uiPriority w:val="10"/>
    <w:rsid w:val="007636B0"/>
    <w:rPr>
      <w:rFonts w:ascii="Verdana" w:eastAsia="Verdana" w:hAnsi="Verdana" w:cs="Times New Roman"/>
      <w:color w:val="365F91"/>
      <w:sz w:val="56"/>
      <w:szCs w:val="56"/>
      <w:lang w:eastAsia="ja-JP"/>
    </w:rPr>
  </w:style>
  <w:style w:type="paragraph" w:styleId="Subtitle">
    <w:name w:val="Subtitle"/>
    <w:basedOn w:val="Normal"/>
    <w:link w:val="SubtitleChar"/>
    <w:uiPriority w:val="11"/>
    <w:rsid w:val="007636B0"/>
    <w:pPr>
      <w:spacing w:after="480" w:line="276" w:lineRule="auto"/>
    </w:pPr>
    <w:rPr>
      <w:rFonts w:ascii="Verdana" w:eastAsia="Verdana" w:hAnsi="Verdana" w:cs="Times New Roman"/>
      <w:i/>
      <w:color w:val="1F497D"/>
      <w:sz w:val="24"/>
      <w:szCs w:val="24"/>
      <w:lang w:eastAsia="ja-JP"/>
    </w:rPr>
  </w:style>
  <w:style w:type="character" w:customStyle="1" w:styleId="SubtitleChar">
    <w:name w:val="Subtitle Char"/>
    <w:basedOn w:val="DefaultParagraphFont"/>
    <w:link w:val="Subtitle"/>
    <w:uiPriority w:val="11"/>
    <w:rsid w:val="007636B0"/>
    <w:rPr>
      <w:rFonts w:ascii="Verdana" w:eastAsia="Verdana" w:hAnsi="Verdana" w:cs="Times New Roman"/>
      <w:i/>
      <w:color w:val="1F497D"/>
      <w:sz w:val="24"/>
      <w:szCs w:val="24"/>
      <w:lang w:eastAsia="ja-JP"/>
    </w:rPr>
  </w:style>
  <w:style w:type="character" w:styleId="IntenseEmphasis">
    <w:name w:val="Intense Emphasis"/>
    <w:uiPriority w:val="21"/>
    <w:rsid w:val="007636B0"/>
    <w:rPr>
      <w:rFonts w:ascii="Verdana" w:hAnsi="Verdana" w:cs="Verdana"/>
      <w:b/>
      <w:i/>
      <w:caps/>
      <w:color w:val="438086"/>
      <w:spacing w:val="5"/>
    </w:rPr>
  </w:style>
  <w:style w:type="character" w:styleId="SubtleEmphasis">
    <w:name w:val="Subtle Emphasis"/>
    <w:uiPriority w:val="19"/>
    <w:rsid w:val="007636B0"/>
    <w:rPr>
      <w:rFonts w:ascii="Verdana" w:hAnsi="Verdana"/>
      <w:i/>
      <w:color w:val="006666"/>
    </w:rPr>
  </w:style>
  <w:style w:type="character" w:styleId="IntenseReference">
    <w:name w:val="Intense Reference"/>
    <w:uiPriority w:val="32"/>
    <w:rsid w:val="007636B0"/>
    <w:rPr>
      <w:rFonts w:ascii="Verdana" w:hAnsi="Verdana" w:cs="Times New Roman"/>
      <w:b/>
      <w:i/>
      <w:caps/>
      <w:color w:val="4E4F89"/>
      <w:spacing w:val="5"/>
    </w:rPr>
  </w:style>
  <w:style w:type="character" w:styleId="SubtleReference">
    <w:name w:val="Subtle Reference"/>
    <w:uiPriority w:val="31"/>
    <w:rsid w:val="007636B0"/>
    <w:rPr>
      <w:rFonts w:cs="Times New Roman"/>
      <w:i/>
      <w:color w:val="4E4F89"/>
    </w:rPr>
  </w:style>
  <w:style w:type="character" w:styleId="Emphasis">
    <w:name w:val="Emphasis"/>
    <w:rsid w:val="007636B0"/>
    <w:rPr>
      <w:rFonts w:ascii="Verdana" w:hAnsi="Verdana"/>
      <w:b/>
      <w:color w:val="C0504D"/>
      <w:spacing w:val="10"/>
    </w:rPr>
  </w:style>
  <w:style w:type="character" w:styleId="BookTitle">
    <w:name w:val="Book Title"/>
    <w:uiPriority w:val="33"/>
    <w:rsid w:val="007636B0"/>
    <w:rPr>
      <w:rFonts w:ascii="Cambria" w:hAnsi="Cambria" w:cs="Times New Roman"/>
      <w:i/>
      <w:color w:val="000000"/>
      <w:sz w:val="20"/>
      <w:szCs w:val="20"/>
    </w:rPr>
  </w:style>
  <w:style w:type="paragraph" w:styleId="NormalIndent">
    <w:name w:val="Normal Indent"/>
    <w:basedOn w:val="Normal"/>
    <w:uiPriority w:val="99"/>
    <w:unhideWhenUsed/>
    <w:rsid w:val="007636B0"/>
    <w:pPr>
      <w:spacing w:after="200" w:line="276" w:lineRule="auto"/>
      <w:ind w:left="720"/>
      <w:contextualSpacing/>
    </w:pPr>
    <w:rPr>
      <w:rFonts w:ascii="Arial" w:eastAsia="Verdana" w:hAnsi="Arial" w:cs="Verdana"/>
      <w:sz w:val="20"/>
      <w:lang w:eastAsia="ja-JP"/>
    </w:rPr>
  </w:style>
  <w:style w:type="paragraph" w:styleId="IntenseQuote">
    <w:name w:val="Intense Quote"/>
    <w:basedOn w:val="Normal"/>
    <w:link w:val="IntenseQuoteChar"/>
    <w:uiPriority w:val="30"/>
    <w:rsid w:val="007636B0"/>
    <w:pPr>
      <w:pBdr>
        <w:top w:val="threeDEngrave" w:sz="6" w:space="10" w:color="C0504D"/>
        <w:bottom w:val="single" w:sz="4" w:space="10" w:color="C0504D"/>
      </w:pBdr>
      <w:spacing w:before="360" w:after="360" w:line="324" w:lineRule="auto"/>
      <w:ind w:left="1080" w:right="1080"/>
    </w:pPr>
    <w:rPr>
      <w:rFonts w:ascii="Arial" w:eastAsia="Verdana" w:hAnsi="Arial" w:cs="Verdana"/>
      <w:i/>
      <w:color w:val="C0504D"/>
      <w:szCs w:val="22"/>
      <w:lang w:eastAsia="ja-JP"/>
    </w:rPr>
  </w:style>
  <w:style w:type="character" w:customStyle="1" w:styleId="IntenseQuoteChar">
    <w:name w:val="Intense Quote Char"/>
    <w:basedOn w:val="DefaultParagraphFont"/>
    <w:link w:val="IntenseQuote"/>
    <w:uiPriority w:val="30"/>
    <w:rsid w:val="007636B0"/>
    <w:rPr>
      <w:rFonts w:ascii="Arial" w:eastAsia="Verdana" w:hAnsi="Arial" w:cs="Verdana"/>
      <w:i/>
      <w:color w:val="C0504D"/>
      <w:sz w:val="22"/>
      <w:szCs w:val="22"/>
      <w:lang w:eastAsia="ja-JP"/>
    </w:rPr>
  </w:style>
  <w:style w:type="numbering" w:customStyle="1" w:styleId="UrbanBulletedList">
    <w:name w:val="Urban Bulleted List"/>
    <w:uiPriority w:val="99"/>
    <w:rsid w:val="007636B0"/>
    <w:pPr>
      <w:numPr>
        <w:numId w:val="18"/>
      </w:numPr>
    </w:pPr>
  </w:style>
  <w:style w:type="numbering" w:customStyle="1" w:styleId="UrbanNumberedList">
    <w:name w:val="Urban Numbered List"/>
    <w:uiPriority w:val="99"/>
    <w:rsid w:val="007636B0"/>
    <w:pPr>
      <w:numPr>
        <w:numId w:val="19"/>
      </w:numPr>
    </w:pPr>
  </w:style>
  <w:style w:type="paragraph" w:styleId="ListParagraph">
    <w:name w:val="List Paragraph"/>
    <w:basedOn w:val="Normal"/>
    <w:uiPriority w:val="34"/>
    <w:rsid w:val="007636B0"/>
    <w:pPr>
      <w:spacing w:after="200" w:line="276" w:lineRule="auto"/>
      <w:ind w:left="720"/>
      <w:contextualSpacing/>
    </w:pPr>
    <w:rPr>
      <w:rFonts w:ascii="Arial" w:eastAsia="Verdana" w:hAnsi="Arial" w:cs="Verdana"/>
      <w:sz w:val="20"/>
      <w:lang w:eastAsia="ja-JP"/>
    </w:rPr>
  </w:style>
  <w:style w:type="paragraph" w:styleId="NoSpacing">
    <w:name w:val="No Spacing"/>
    <w:basedOn w:val="Normal"/>
    <w:uiPriority w:val="1"/>
    <w:rsid w:val="007636B0"/>
    <w:pPr>
      <w:spacing w:line="240" w:lineRule="auto"/>
    </w:pPr>
    <w:rPr>
      <w:rFonts w:ascii="Arial" w:eastAsia="Verdana" w:hAnsi="Arial" w:cs="Verdana"/>
      <w:sz w:val="20"/>
      <w:szCs w:val="32"/>
      <w:lang w:eastAsia="ja-JP"/>
    </w:rPr>
  </w:style>
  <w:style w:type="character" w:styleId="PlaceholderText">
    <w:name w:val="Placeholder Text"/>
    <w:uiPriority w:val="99"/>
    <w:unhideWhenUsed/>
    <w:rsid w:val="007636B0"/>
    <w:rPr>
      <w:color w:val="808080"/>
    </w:rPr>
  </w:style>
  <w:style w:type="paragraph" w:customStyle="1" w:styleId="HeaderEven">
    <w:name w:val="Header Even"/>
    <w:basedOn w:val="Header"/>
    <w:uiPriority w:val="39"/>
    <w:rsid w:val="007636B0"/>
    <w:pPr>
      <w:keepNext w:val="0"/>
      <w:keepLines w:val="0"/>
      <w:pBdr>
        <w:bottom w:val="single" w:sz="4" w:space="1" w:color="auto"/>
      </w:pBdr>
      <w:tabs>
        <w:tab w:val="clear" w:pos="4150"/>
        <w:tab w:val="clear" w:pos="8307"/>
        <w:tab w:val="center" w:pos="4320"/>
        <w:tab w:val="right" w:pos="8640"/>
      </w:tabs>
      <w:spacing w:after="200" w:line="276" w:lineRule="auto"/>
    </w:pPr>
    <w:rPr>
      <w:rFonts w:ascii="Verdana" w:eastAsia="Verdana" w:hAnsi="Verdana"/>
      <w:sz w:val="20"/>
      <w:lang w:eastAsia="ja-JP"/>
    </w:rPr>
  </w:style>
  <w:style w:type="paragraph" w:customStyle="1" w:styleId="HeaderOdd">
    <w:name w:val="Header Odd"/>
    <w:basedOn w:val="Header"/>
    <w:uiPriority w:val="39"/>
    <w:rsid w:val="007636B0"/>
    <w:pPr>
      <w:keepNext w:val="0"/>
      <w:keepLines w:val="0"/>
      <w:pBdr>
        <w:bottom w:val="single" w:sz="4" w:space="1" w:color="auto"/>
      </w:pBdr>
      <w:tabs>
        <w:tab w:val="clear" w:pos="4150"/>
        <w:tab w:val="clear" w:pos="8307"/>
        <w:tab w:val="center" w:pos="4320"/>
        <w:tab w:val="right" w:pos="8640"/>
      </w:tabs>
      <w:spacing w:after="200" w:line="276" w:lineRule="auto"/>
      <w:jc w:val="right"/>
    </w:pPr>
    <w:rPr>
      <w:rFonts w:ascii="Verdana" w:eastAsia="Verdana" w:hAnsi="Verdana"/>
      <w:sz w:val="20"/>
      <w:lang w:eastAsia="ja-JP"/>
    </w:rPr>
  </w:style>
  <w:style w:type="paragraph" w:customStyle="1" w:styleId="Bullet1">
    <w:name w:val="Bullet 1"/>
    <w:basedOn w:val="ListParagraph"/>
    <w:uiPriority w:val="38"/>
    <w:rsid w:val="007636B0"/>
    <w:pPr>
      <w:numPr>
        <w:numId w:val="18"/>
      </w:numPr>
      <w:spacing w:after="0"/>
    </w:pPr>
  </w:style>
  <w:style w:type="paragraph" w:customStyle="1" w:styleId="Bullet20">
    <w:name w:val="Bullet 2"/>
    <w:basedOn w:val="ListParagraph"/>
    <w:uiPriority w:val="38"/>
    <w:rsid w:val="007636B0"/>
    <w:pPr>
      <w:numPr>
        <w:ilvl w:val="1"/>
        <w:numId w:val="18"/>
      </w:numPr>
      <w:spacing w:after="0"/>
    </w:pPr>
  </w:style>
  <w:style w:type="paragraph" w:customStyle="1" w:styleId="Bullet30">
    <w:name w:val="Bullet 3"/>
    <w:basedOn w:val="ListParagraph"/>
    <w:uiPriority w:val="38"/>
    <w:rsid w:val="007636B0"/>
    <w:pPr>
      <w:numPr>
        <w:ilvl w:val="2"/>
        <w:numId w:val="18"/>
      </w:numPr>
      <w:spacing w:after="0"/>
    </w:pPr>
  </w:style>
  <w:style w:type="paragraph" w:customStyle="1" w:styleId="DefaultPlaceholderSubject10">
    <w:name w:val="DefaultPlaceholder_Subject10"/>
    <w:uiPriority w:val="39"/>
    <w:rsid w:val="007636B0"/>
    <w:pPr>
      <w:spacing w:after="200" w:line="276" w:lineRule="auto"/>
    </w:pPr>
    <w:rPr>
      <w:rFonts w:ascii="Verdana" w:eastAsia="Verdana" w:hAnsi="Verdana" w:cs="Verdana"/>
      <w:i/>
      <w:color w:val="1F497D"/>
      <w:sz w:val="24"/>
      <w:szCs w:val="24"/>
      <w:lang w:val="en-US"/>
    </w:rPr>
  </w:style>
  <w:style w:type="paragraph" w:customStyle="1" w:styleId="Category">
    <w:name w:val="Category"/>
    <w:basedOn w:val="Normal"/>
    <w:link w:val="CategoryChar"/>
    <w:uiPriority w:val="39"/>
    <w:rsid w:val="007636B0"/>
    <w:pPr>
      <w:framePr w:hSpace="187" w:wrap="around" w:hAnchor="margin" w:xAlign="center" w:y="721"/>
      <w:spacing w:line="240" w:lineRule="auto"/>
    </w:pPr>
    <w:rPr>
      <w:rFonts w:ascii="Verdana" w:eastAsia="Verdana" w:hAnsi="Verdana" w:cs="Times New Roman"/>
      <w:caps/>
      <w:sz w:val="20"/>
      <w:lang w:eastAsia="ja-JP"/>
    </w:rPr>
  </w:style>
  <w:style w:type="paragraph" w:customStyle="1" w:styleId="Comments">
    <w:name w:val="Comments"/>
    <w:basedOn w:val="Normal"/>
    <w:link w:val="CommentsChar"/>
    <w:uiPriority w:val="39"/>
    <w:rsid w:val="007636B0"/>
    <w:pPr>
      <w:spacing w:after="120" w:line="240" w:lineRule="auto"/>
    </w:pPr>
    <w:rPr>
      <w:rFonts w:ascii="Verdana" w:eastAsia="Verdana" w:hAnsi="Verdana" w:cs="Times New Roman"/>
      <w:b/>
      <w:sz w:val="20"/>
      <w:lang w:eastAsia="ja-JP"/>
    </w:rPr>
  </w:style>
  <w:style w:type="character" w:customStyle="1" w:styleId="CategoryChar">
    <w:name w:val="Category Char"/>
    <w:link w:val="Category"/>
    <w:uiPriority w:val="39"/>
    <w:rsid w:val="007636B0"/>
    <w:rPr>
      <w:rFonts w:ascii="Verdana" w:eastAsia="Verdana" w:hAnsi="Verdana" w:cs="Times New Roman"/>
      <w:caps/>
      <w:lang w:eastAsia="ja-JP"/>
    </w:rPr>
  </w:style>
  <w:style w:type="character" w:customStyle="1" w:styleId="CommentsChar">
    <w:name w:val="Comments Char"/>
    <w:link w:val="Comments"/>
    <w:uiPriority w:val="39"/>
    <w:rsid w:val="007636B0"/>
    <w:rPr>
      <w:rFonts w:ascii="Verdana" w:eastAsia="Verdana" w:hAnsi="Verdana" w:cs="Times New Roman"/>
      <w:b/>
      <w:lang w:eastAsia="ja-JP"/>
    </w:rPr>
  </w:style>
  <w:style w:type="paragraph" w:customStyle="1" w:styleId="CommentsText">
    <w:name w:val="Comments Text"/>
    <w:basedOn w:val="Normal"/>
    <w:uiPriority w:val="39"/>
    <w:rsid w:val="007636B0"/>
    <w:pPr>
      <w:spacing w:after="120" w:line="288" w:lineRule="auto"/>
    </w:pPr>
    <w:rPr>
      <w:rFonts w:ascii="Arial" w:eastAsia="Verdana" w:hAnsi="Arial" w:cs="Verdana"/>
      <w:sz w:val="20"/>
      <w:szCs w:val="22"/>
      <w:lang w:eastAsia="ja-JP"/>
    </w:rPr>
  </w:style>
  <w:style w:type="paragraph" w:styleId="BodyText">
    <w:name w:val="Body Text"/>
    <w:aliases w:val="(Alt+1),Body,BodyText,body,b,block,Body Text before bullet,D&amp;M Body Text,IRMS (T),Body Text Char Char Char Char,Body Text Char1,Body Text Char Char,Body Text Char Char Char Char Char1 Char,BT"/>
    <w:basedOn w:val="Normal"/>
    <w:link w:val="BodyTextChar"/>
    <w:rsid w:val="007636B0"/>
    <w:pPr>
      <w:spacing w:after="200" w:line="240" w:lineRule="auto"/>
    </w:pPr>
    <w:rPr>
      <w:rFonts w:eastAsia="Times New Roman" w:cs="Times New Roman"/>
      <w:sz w:val="24"/>
      <w:lang w:eastAsia="ja-JP"/>
    </w:rPr>
  </w:style>
  <w:style w:type="character" w:customStyle="1" w:styleId="BodyTextChar">
    <w:name w:val="Body Text Char"/>
    <w:aliases w:val="(Alt+1) Char,Body Char,BodyText Char,body Char,b Char,block Char,Body Text before bullet Char,D&amp;M Body Text Char,IRMS (T) Char,Body Text Char Char Char Char Char,Body Text Char1 Char,Body Text Char Char Char,BT Char"/>
    <w:basedOn w:val="DefaultParagraphFont"/>
    <w:link w:val="BodyText"/>
    <w:rsid w:val="007636B0"/>
    <w:rPr>
      <w:rFonts w:eastAsia="Times New Roman" w:cs="Times New Roman"/>
      <w:sz w:val="24"/>
      <w:lang w:eastAsia="ja-JP"/>
    </w:rPr>
  </w:style>
  <w:style w:type="table" w:styleId="ColorfulList-Accent1">
    <w:name w:val="Colorful List Accent 1"/>
    <w:basedOn w:val="TableNormal"/>
    <w:uiPriority w:val="41"/>
    <w:rsid w:val="007636B0"/>
    <w:rPr>
      <w:rFonts w:ascii="Verdana" w:eastAsia="Verdana" w:hAnsi="Verdana" w:cs="Verdana"/>
      <w:color w:val="000000"/>
      <w:lang w:eastAsia="en-AU"/>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ulletedList">
    <w:name w:val="BulletedList"/>
    <w:link w:val="BulletedListChar"/>
    <w:locked/>
    <w:rsid w:val="007636B0"/>
    <w:pPr>
      <w:numPr>
        <w:numId w:val="20"/>
      </w:numPr>
      <w:spacing w:after="160"/>
    </w:pPr>
    <w:rPr>
      <w:rFonts w:ascii="Arial" w:eastAsia="Times New Roman" w:hAnsi="Arial" w:cs="Arial"/>
    </w:rPr>
  </w:style>
  <w:style w:type="paragraph" w:customStyle="1" w:styleId="CaptionTable">
    <w:name w:val="Caption Table"/>
    <w:basedOn w:val="Caption"/>
    <w:next w:val="BodyText"/>
    <w:rsid w:val="007636B0"/>
    <w:pPr>
      <w:tabs>
        <w:tab w:val="clear" w:pos="9071"/>
      </w:tabs>
      <w:spacing w:after="240"/>
      <w:ind w:left="0"/>
      <w:jc w:val="center"/>
    </w:pPr>
    <w:rPr>
      <w:rFonts w:ascii="Arial" w:hAnsi="Arial" w:cs="Arial"/>
      <w:bCs/>
      <w:color w:val="0C479D"/>
      <w:szCs w:val="20"/>
      <w:lang w:eastAsia="en-US"/>
    </w:rPr>
  </w:style>
  <w:style w:type="paragraph" w:customStyle="1" w:styleId="TableHeadings">
    <w:name w:val="TableHeadings"/>
    <w:basedOn w:val="Normal"/>
    <w:next w:val="BodyText"/>
    <w:rsid w:val="007636B0"/>
    <w:pPr>
      <w:spacing w:before="60" w:after="60" w:line="240" w:lineRule="auto"/>
      <w:jc w:val="center"/>
    </w:pPr>
    <w:rPr>
      <w:rFonts w:ascii="Arial Black" w:eastAsia="Times New Roman" w:hAnsi="Arial Black" w:cs="Arial"/>
      <w:b/>
      <w:sz w:val="20"/>
    </w:rPr>
  </w:style>
  <w:style w:type="paragraph" w:customStyle="1" w:styleId="TableRows">
    <w:name w:val="TableRows"/>
    <w:basedOn w:val="Normal"/>
    <w:next w:val="BodyText"/>
    <w:rsid w:val="007636B0"/>
    <w:pPr>
      <w:spacing w:before="40" w:after="40" w:line="240" w:lineRule="auto"/>
    </w:pPr>
    <w:rPr>
      <w:rFonts w:ascii="Arial" w:eastAsia="Times New Roman" w:hAnsi="Arial" w:cs="Arial"/>
      <w:sz w:val="18"/>
    </w:rPr>
  </w:style>
  <w:style w:type="paragraph" w:customStyle="1" w:styleId="SubHeading">
    <w:name w:val="Sub Heading"/>
    <w:basedOn w:val="Normal"/>
    <w:next w:val="BodyText"/>
    <w:link w:val="SubHeadingChar"/>
    <w:rsid w:val="007636B0"/>
    <w:pPr>
      <w:keepNext/>
      <w:spacing w:before="240" w:after="160" w:line="240" w:lineRule="auto"/>
    </w:pPr>
    <w:rPr>
      <w:rFonts w:ascii="Arial" w:eastAsia="Times New Roman" w:hAnsi="Arial" w:cs="Times New Roman"/>
      <w:b/>
      <w:i/>
      <w:sz w:val="20"/>
      <w:szCs w:val="24"/>
      <w:lang w:eastAsia="ja-JP"/>
    </w:rPr>
  </w:style>
  <w:style w:type="table" w:styleId="ColorfulList-Accent4">
    <w:name w:val="Colorful List Accent 4"/>
    <w:basedOn w:val="TableNormal"/>
    <w:uiPriority w:val="72"/>
    <w:rsid w:val="007636B0"/>
    <w:rPr>
      <w:rFonts w:eastAsia="Times New Roman" w:cs="Times New Roman"/>
      <w:color w:val="000000"/>
      <w:lang w:eastAsia="en-AU"/>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2">
    <w:name w:val="Colorful List Accent 2"/>
    <w:basedOn w:val="TableNormal"/>
    <w:uiPriority w:val="42"/>
    <w:rsid w:val="007636B0"/>
    <w:rPr>
      <w:rFonts w:ascii="Verdana" w:eastAsia="Verdana" w:hAnsi="Verdana" w:cs="Verdana"/>
      <w:color w:val="000000"/>
      <w:lang w:eastAsia="en-AU"/>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character" w:customStyle="1" w:styleId="BulletedListChar">
    <w:name w:val="BulletedList Char"/>
    <w:link w:val="BulletedList"/>
    <w:rsid w:val="007636B0"/>
    <w:rPr>
      <w:rFonts w:ascii="Arial" w:eastAsia="Times New Roman" w:hAnsi="Arial" w:cs="Arial"/>
    </w:rPr>
  </w:style>
  <w:style w:type="table" w:styleId="MediumShading2-Accent6">
    <w:name w:val="Medium Shading 2 Accent 6"/>
    <w:basedOn w:val="TableNormal"/>
    <w:uiPriority w:val="46"/>
    <w:rsid w:val="007636B0"/>
    <w:rPr>
      <w:rFonts w:ascii="Verdana" w:eastAsia="Verdana" w:hAnsi="Verdana" w:cs="Verdana"/>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SubHeadingChar">
    <w:name w:val="Sub Heading Char"/>
    <w:link w:val="SubHeading"/>
    <w:rsid w:val="007636B0"/>
    <w:rPr>
      <w:rFonts w:ascii="Arial" w:eastAsia="Times New Roman" w:hAnsi="Arial" w:cs="Times New Roman"/>
      <w:b/>
      <w:i/>
      <w:szCs w:val="24"/>
      <w:lang w:eastAsia="ja-JP"/>
    </w:rPr>
  </w:style>
  <w:style w:type="paragraph" w:customStyle="1" w:styleId="TableBody">
    <w:name w:val="TableBody"/>
    <w:basedOn w:val="Normal"/>
    <w:rsid w:val="007636B0"/>
    <w:pPr>
      <w:tabs>
        <w:tab w:val="left" w:pos="1985"/>
      </w:tabs>
      <w:spacing w:before="60" w:after="60" w:line="240" w:lineRule="atLeast"/>
    </w:pPr>
    <w:rPr>
      <w:rFonts w:ascii="Arial" w:eastAsia="Times" w:hAnsi="Arial" w:cs="Times New Roman"/>
      <w:sz w:val="20"/>
      <w:lang w:eastAsia="ja-JP"/>
    </w:rPr>
  </w:style>
  <w:style w:type="paragraph" w:styleId="Bibliography">
    <w:name w:val="Bibliography"/>
    <w:basedOn w:val="Normal"/>
    <w:next w:val="Normal"/>
    <w:uiPriority w:val="37"/>
    <w:unhideWhenUsed/>
    <w:rsid w:val="007636B0"/>
    <w:pPr>
      <w:spacing w:after="240" w:line="240" w:lineRule="auto"/>
      <w:jc w:val="both"/>
    </w:pPr>
    <w:rPr>
      <w:rFonts w:ascii="Arial" w:eastAsia="Times New Roman" w:hAnsi="Arial" w:cs="Times New Roman"/>
    </w:rPr>
  </w:style>
  <w:style w:type="paragraph" w:styleId="EndnoteText">
    <w:name w:val="endnote text"/>
    <w:basedOn w:val="Normal"/>
    <w:link w:val="EndnoteTextChar"/>
    <w:uiPriority w:val="99"/>
    <w:unhideWhenUsed/>
    <w:rsid w:val="007636B0"/>
    <w:pPr>
      <w:spacing w:line="240" w:lineRule="auto"/>
    </w:pPr>
    <w:rPr>
      <w:rFonts w:ascii="Arial" w:eastAsia="Verdana" w:hAnsi="Arial" w:cs="Times New Roman"/>
      <w:sz w:val="20"/>
      <w:lang w:eastAsia="ja-JP"/>
    </w:rPr>
  </w:style>
  <w:style w:type="character" w:customStyle="1" w:styleId="EndnoteTextChar">
    <w:name w:val="Endnote Text Char"/>
    <w:basedOn w:val="DefaultParagraphFont"/>
    <w:link w:val="EndnoteText"/>
    <w:uiPriority w:val="99"/>
    <w:rsid w:val="007636B0"/>
    <w:rPr>
      <w:rFonts w:ascii="Arial" w:eastAsia="Verdana" w:hAnsi="Arial" w:cs="Times New Roman"/>
      <w:lang w:eastAsia="ja-JP"/>
    </w:rPr>
  </w:style>
  <w:style w:type="character" w:styleId="EndnoteReference">
    <w:name w:val="endnote reference"/>
    <w:uiPriority w:val="99"/>
    <w:unhideWhenUsed/>
    <w:rsid w:val="007636B0"/>
    <w:rPr>
      <w:vertAlign w:val="superscript"/>
    </w:rPr>
  </w:style>
  <w:style w:type="paragraph" w:customStyle="1" w:styleId="NumberedList">
    <w:name w:val="NumberedList"/>
    <w:basedOn w:val="BodyText"/>
    <w:rsid w:val="007636B0"/>
    <w:pPr>
      <w:numPr>
        <w:numId w:val="21"/>
      </w:numPr>
      <w:spacing w:after="240"/>
    </w:pPr>
    <w:rPr>
      <w:rFonts w:ascii="Arial" w:hAnsi="Arial"/>
      <w:sz w:val="22"/>
    </w:rPr>
  </w:style>
  <w:style w:type="paragraph" w:styleId="ListBullet">
    <w:name w:val="List Bullet"/>
    <w:basedOn w:val="Normal"/>
    <w:rsid w:val="007636B0"/>
    <w:pPr>
      <w:tabs>
        <w:tab w:val="left" w:pos="284"/>
        <w:tab w:val="left" w:pos="567"/>
        <w:tab w:val="num" w:pos="2835"/>
      </w:tabs>
      <w:spacing w:after="240" w:line="260" w:lineRule="exact"/>
      <w:ind w:left="2836" w:hanging="284"/>
      <w:contextualSpacing/>
      <w:jc w:val="both"/>
    </w:pPr>
    <w:rPr>
      <w:rFonts w:ascii="Arial Narrow" w:eastAsia="Times New Roman" w:hAnsi="Arial Narrow" w:cs="Times New Roman"/>
      <w:sz w:val="20"/>
      <w:lang w:eastAsia="en-AU"/>
    </w:rPr>
  </w:style>
  <w:style w:type="character" w:styleId="FollowedHyperlink">
    <w:name w:val="FollowedHyperlink"/>
    <w:uiPriority w:val="99"/>
    <w:unhideWhenUsed/>
    <w:rsid w:val="007636B0"/>
    <w:rPr>
      <w:color w:val="800080"/>
      <w:u w:val="single"/>
    </w:rPr>
  </w:style>
  <w:style w:type="paragraph" w:styleId="HTMLPreformatted">
    <w:name w:val="HTML Preformatted"/>
    <w:basedOn w:val="Normal"/>
    <w:link w:val="HTMLPreformattedChar"/>
    <w:uiPriority w:val="99"/>
    <w:unhideWhenUsed/>
    <w:rsid w:val="0076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lang w:eastAsia="en-AU"/>
    </w:rPr>
  </w:style>
  <w:style w:type="character" w:customStyle="1" w:styleId="HTMLPreformattedChar">
    <w:name w:val="HTML Preformatted Char"/>
    <w:basedOn w:val="DefaultParagraphFont"/>
    <w:link w:val="HTMLPreformatted"/>
    <w:uiPriority w:val="99"/>
    <w:rsid w:val="007636B0"/>
    <w:rPr>
      <w:rFonts w:ascii="Courier New" w:eastAsia="Times New Roman" w:hAnsi="Courier New" w:cs="Times New Roman"/>
      <w:lang w:eastAsia="en-AU"/>
    </w:rPr>
  </w:style>
  <w:style w:type="paragraph" w:customStyle="1" w:styleId="Bullet">
    <w:name w:val="Bullet"/>
    <w:aliases w:val="b1"/>
    <w:basedOn w:val="Normal"/>
    <w:link w:val="BulletChar1"/>
    <w:rsid w:val="007636B0"/>
    <w:pPr>
      <w:numPr>
        <w:numId w:val="22"/>
      </w:numPr>
      <w:spacing w:after="120" w:line="240" w:lineRule="atLeast"/>
    </w:pPr>
    <w:rPr>
      <w:rFonts w:ascii="Arial" w:eastAsia="Times New Roman" w:hAnsi="Arial" w:cs="Times New Roman"/>
      <w:sz w:val="20"/>
      <w:lang w:eastAsia="ja-JP"/>
    </w:rPr>
  </w:style>
  <w:style w:type="paragraph" w:customStyle="1" w:styleId="Bullet2">
    <w:name w:val="Bullet2"/>
    <w:aliases w:val="b2"/>
    <w:basedOn w:val="Bullet"/>
    <w:rsid w:val="007636B0"/>
    <w:pPr>
      <w:numPr>
        <w:ilvl w:val="1"/>
      </w:numPr>
      <w:tabs>
        <w:tab w:val="clear" w:pos="1701"/>
        <w:tab w:val="num" w:pos="720"/>
      </w:tabs>
      <w:ind w:left="720" w:hanging="360"/>
    </w:pPr>
  </w:style>
  <w:style w:type="paragraph" w:customStyle="1" w:styleId="Bullet3">
    <w:name w:val="Bullet3"/>
    <w:basedOn w:val="Bullet"/>
    <w:rsid w:val="007636B0"/>
    <w:pPr>
      <w:numPr>
        <w:ilvl w:val="2"/>
      </w:numPr>
      <w:tabs>
        <w:tab w:val="clear" w:pos="2268"/>
        <w:tab w:val="num" w:pos="1080"/>
      </w:tabs>
      <w:ind w:left="1080" w:hanging="360"/>
    </w:pPr>
  </w:style>
  <w:style w:type="character" w:customStyle="1" w:styleId="BulletChar1">
    <w:name w:val="Bullet Char1"/>
    <w:link w:val="Bullet"/>
    <w:rsid w:val="007636B0"/>
    <w:rPr>
      <w:rFonts w:ascii="Arial" w:eastAsia="Times New Roman" w:hAnsi="Arial" w:cs="Times New Roman"/>
      <w:lang w:eastAsia="ja-JP"/>
    </w:rPr>
  </w:style>
  <w:style w:type="character" w:styleId="HTMLCode">
    <w:name w:val="HTML Code"/>
    <w:uiPriority w:val="99"/>
    <w:unhideWhenUsed/>
    <w:rsid w:val="007636B0"/>
    <w:rPr>
      <w:rFonts w:ascii="Courier New" w:eastAsia="Times New Roman" w:hAnsi="Courier New" w:cs="Courier New"/>
      <w:sz w:val="20"/>
      <w:szCs w:val="20"/>
    </w:rPr>
  </w:style>
  <w:style w:type="paragraph" w:customStyle="1" w:styleId="StyleTOC2After2ptLinespacingsingle">
    <w:name w:val="Style TOC 2 + After:  2 pt Line spacing:  single"/>
    <w:basedOn w:val="TOC2"/>
    <w:rsid w:val="007636B0"/>
    <w:pPr>
      <w:keepNext w:val="0"/>
      <w:keepLines w:val="0"/>
      <w:tabs>
        <w:tab w:val="clear" w:pos="7088"/>
        <w:tab w:val="right" w:leader="dot" w:pos="9639"/>
        <w:tab w:val="right" w:leader="dot" w:pos="9737"/>
      </w:tabs>
      <w:spacing w:before="0" w:after="20"/>
      <w:ind w:left="238" w:right="0" w:firstLine="0"/>
    </w:pPr>
    <w:rPr>
      <w:rFonts w:ascii="Arial" w:hAnsi="Arial"/>
      <w:b w:val="0"/>
      <w:noProof/>
      <w:kern w:val="0"/>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epa.gov/reg3hwmd/risk/human/info/solabsg2.htm" TargetMode="External"/><Relationship Id="rId26" Type="http://schemas.openxmlformats.org/officeDocument/2006/relationships/hyperlink" Target="http://www.epa.gov/reg3hwmd/risk/human/info/solabsg2.htm" TargetMode="External"/><Relationship Id="rId39" Type="http://schemas.openxmlformats.org/officeDocument/2006/relationships/hyperlink" Target="http://www.environment.gov.au/atmosphere/airquality/publications/sok/chapter7.html" TargetMode="External"/><Relationship Id="rId21" Type="http://schemas.openxmlformats.org/officeDocument/2006/relationships/hyperlink" Target="http://www.apvma.gov.au" TargetMode="External"/><Relationship Id="rId34" Type="http://schemas.openxmlformats.org/officeDocument/2006/relationships/hyperlink" Target="http://www.who.int/water_sanitation_health/dwq/chemicals/en/index.html" TargetMode="External"/><Relationship Id="rId42" Type="http://schemas.openxmlformats.org/officeDocument/2006/relationships/hyperlink" Target="http://www.who.int/water_sanitation_health/dwq/chemicals/en/index.html" TargetMode="External"/><Relationship Id="rId47" Type="http://schemas.openxmlformats.org/officeDocument/2006/relationships/hyperlink" Target="http://www.epa.gov/iris/" TargetMode="External"/><Relationship Id="rId50" Type="http://schemas.openxmlformats.org/officeDocument/2006/relationships/footer" Target="footer5.xml"/><Relationship Id="rId55"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toxnet.nlm.nih.gov/cgi-bin/sis/htmlgen?HSDB" TargetMode="External"/><Relationship Id="rId25" Type="http://schemas.openxmlformats.org/officeDocument/2006/relationships/hyperlink" Target="http://toxnet.nlm.nih.gov/cgi-bin/sis/htmlgen?HSDB" TargetMode="External"/><Relationship Id="rId33" Type="http://schemas.openxmlformats.org/officeDocument/2006/relationships/hyperlink" Target="http://www.epa.gov/reg3hwmd/risk/human/info/solabsg2.htm" TargetMode="External"/><Relationship Id="rId38" Type="http://schemas.openxmlformats.org/officeDocument/2006/relationships/hyperlink" Target="http://www.who.int/water_sanitation_health/dwq/chemicals/en/index.html" TargetMode="External"/><Relationship Id="rId46" Type="http://schemas.openxmlformats.org/officeDocument/2006/relationships/hyperlink" Target="http://www.epa.gov:80/opp00001/SAP/1999/february/pyreth.pdf"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who.int/water_sanitation_health/dwq/chemicals/en/index.html" TargetMode="External"/><Relationship Id="rId29" Type="http://schemas.openxmlformats.org/officeDocument/2006/relationships/hyperlink" Target="http://www.apvma.gov.au/chemrev/ChemRevProgram.shtml" TargetMode="External"/><Relationship Id="rId41" Type="http://schemas.openxmlformats.org/officeDocument/2006/relationships/hyperlink" Target="http://www.epa.gov/iris/" TargetMode="External"/><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anzfa.gov.au/" TargetMode="External"/><Relationship Id="rId32" Type="http://schemas.openxmlformats.org/officeDocument/2006/relationships/hyperlink" Target="http://www.epa.gov/iris/" TargetMode="External"/><Relationship Id="rId37" Type="http://schemas.openxmlformats.org/officeDocument/2006/relationships/hyperlink" Target="http://www.epa.gov/iris/" TargetMode="External"/><Relationship Id="rId40" Type="http://schemas.openxmlformats.org/officeDocument/2006/relationships/hyperlink" Target="http://www.inchem.org/documents/jmpr/jmpmono/v072pr10.htm" TargetMode="External"/><Relationship Id="rId45" Type="http://schemas.openxmlformats.org/officeDocument/2006/relationships/hyperlink" Target="http://www.epa.gov/reg3hwmd/risk/human/info/solabsg2.htm" TargetMode="External"/><Relationship Id="rId53" Type="http://schemas.openxmlformats.org/officeDocument/2006/relationships/header" Target="header9.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who.int/water_sanitation_health/dwq/chemicals/en/index.html" TargetMode="External"/><Relationship Id="rId28" Type="http://schemas.openxmlformats.org/officeDocument/2006/relationships/hyperlink" Target="http://www.who.int/water_sanitation_health/dwq/chemicals/en/index.html" TargetMode="External"/><Relationship Id="rId36" Type="http://schemas.openxmlformats.org/officeDocument/2006/relationships/hyperlink" Target="http://www.epa.gov/reg3hwmd/risk/human/info/solabsg2.htm" TargetMode="External"/><Relationship Id="rId49" Type="http://schemas.openxmlformats.org/officeDocument/2006/relationships/header" Target="header6.xml"/><Relationship Id="rId57" Type="http://schemas.openxmlformats.org/officeDocument/2006/relationships/footer" Target="footer8.xml"/><Relationship Id="rId10" Type="http://schemas.openxmlformats.org/officeDocument/2006/relationships/footer" Target="footer2.xml"/><Relationship Id="rId19" Type="http://schemas.openxmlformats.org/officeDocument/2006/relationships/hyperlink" Target="http://www.epa.gov/iris/" TargetMode="External"/><Relationship Id="rId31" Type="http://schemas.openxmlformats.org/officeDocument/2006/relationships/hyperlink" Target="http://www.hc-sc.gc.ca/ewh-semt/pubs/water-eau/picloram-piclorame/index-eng.php" TargetMode="External"/><Relationship Id="rId44" Type="http://schemas.openxmlformats.org/officeDocument/2006/relationships/hyperlink" Target="http://www.rivm.nl/bibliotheek/rapporten/711701025.html" TargetMode="External"/><Relationship Id="rId52"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epa.gov/iris/" TargetMode="External"/><Relationship Id="rId27" Type="http://schemas.openxmlformats.org/officeDocument/2006/relationships/hyperlink" Target="http://www.epa.gov/iris/" TargetMode="External"/><Relationship Id="rId30" Type="http://schemas.openxmlformats.org/officeDocument/2006/relationships/hyperlink" Target="http://www.anzfa.gov.au/" TargetMode="External"/><Relationship Id="rId35" Type="http://schemas.openxmlformats.org/officeDocument/2006/relationships/hyperlink" Target="http://www.rivm.nl/bibliotheek/rapporten/711701025.html" TargetMode="External"/><Relationship Id="rId43" Type="http://schemas.openxmlformats.org/officeDocument/2006/relationships/hyperlink" Target="http://www.pw.ucr.edu/textfiles/bifentn.pdf" TargetMode="External"/><Relationship Id="rId48" Type="http://schemas.openxmlformats.org/officeDocument/2006/relationships/header" Target="header5.xml"/><Relationship Id="rId56" Type="http://schemas.openxmlformats.org/officeDocument/2006/relationships/header" Target="header10.xml"/><Relationship Id="rId8" Type="http://schemas.openxmlformats.org/officeDocument/2006/relationships/endnotes" Target="endnotes.xml"/><Relationship Id="rId51" Type="http://schemas.openxmlformats.org/officeDocument/2006/relationships/header" Target="header7.xml"/><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1" Type="http://schemas.openxmlformats.org/officeDocument/2006/relationships/hyperlink" Target="http://services.apvma.gov.au/PubcrisWebClient/welcome.do"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71FF9-69DB-4C36-A80F-E222B614A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INST_INS.DOTX</Template>
  <TotalTime>52</TotalTime>
  <Pages>43</Pages>
  <Words>13946</Words>
  <Characters>79634</Characters>
  <Application>Microsoft Office Word</Application>
  <DocSecurity>0</DocSecurity>
  <Lines>2212</Lines>
  <Paragraphs>1264</Paragraphs>
  <ScaleCrop>false</ScaleCrop>
  <HeadingPairs>
    <vt:vector size="2" baseType="variant">
      <vt:variant>
        <vt:lpstr>Title</vt:lpstr>
      </vt:variant>
      <vt:variant>
        <vt:i4>1</vt:i4>
      </vt:variant>
    </vt:vector>
  </HeadingPairs>
  <TitlesOfParts>
    <vt:vector size="1" baseType="lpstr">
      <vt:lpstr>National Environment Protection (Assessment of Site Contamination) Amendment Measure 2013 (No. A):Schedule B7 Appendix A4</vt:lpstr>
    </vt:vector>
  </TitlesOfParts>
  <Company>Office of Parliamentary Counsel</Company>
  <LinksUpToDate>false</LinksUpToDate>
  <CharactersWithSpaces>92316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Environment Protection (Assessment of Site Contamination) Amendment Measure 2013 (No. A):Schedule B7 Appendix A4</dc:title>
  <dc:creator>Larsen, Susan</dc:creator>
  <cp:lastModifiedBy>Anuj I. McFarland</cp:lastModifiedBy>
  <cp:revision>30</cp:revision>
  <cp:lastPrinted>2013-03-14T05:50:00Z</cp:lastPrinted>
  <dcterms:created xsi:type="dcterms:W3CDTF">2013-03-12T02:24:00Z</dcterms:created>
  <dcterms:modified xsi:type="dcterms:W3CDTF">2013-03-22T01:53:00Z</dcterms:modified>
  <cp:category>To send to instructors, etc.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LI</vt:lpwstr>
  </property>
  <property fmtid="{D5CDD505-2E9C-101B-9397-08002B2CF9AE}" pid="3" name="ShortT">
    <vt:lpwstr>National Environment Protection (Assessment of Site Contamination) Amendment Measure 2013 (No. A):Schedule B7 Appendix A4;</vt:lpwstr>
  </property>
  <property fmtid="{D5CDD505-2E9C-101B-9397-08002B2CF9AE}" pid="4" name="Class">
    <vt:lpwstr>By-Law</vt:lpwstr>
  </property>
  <property fmtid="{D5CDD505-2E9C-101B-9397-08002B2CF9AE}" pid="5" name="DocType">
    <vt:lpwstr>INS</vt:lpwstr>
  </property>
  <property fmtid="{D5CDD505-2E9C-101B-9397-08002B2CF9AE}" pid="6" name="ID">
    <vt:lpwstr>OPC50357</vt:lpwstr>
  </property>
  <property fmtid="{D5CDD505-2E9C-101B-9397-08002B2CF9AE}" pid="7" name="ActMadeUnder">
    <vt:lpwstr/>
  </property>
  <property fmtid="{D5CDD505-2E9C-101B-9397-08002B2CF9AE}" pid="8" name="NonLegInst">
    <vt:lpwstr>0</vt:lpwstr>
  </property>
  <property fmtid="{D5CDD505-2E9C-101B-9397-08002B2CF9AE}" pid="9" name="Classification">
    <vt:lpwstr>DRAFT-IN-CONFIDENCE</vt:lpwstr>
  </property>
  <property fmtid="{D5CDD505-2E9C-101B-9397-08002B2CF9AE}" pid="10" name="TrimID">
    <vt:lpwstr>PC:D13/3285</vt:lpwstr>
  </property>
</Properties>
</file>