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F53" w:rsidRPr="004E00C9" w:rsidRDefault="00E97F53" w:rsidP="003340C6">
      <w:pPr>
        <w:ind w:left="-1134"/>
        <w:jc w:val="center"/>
      </w:pPr>
      <w:r w:rsidRPr="004E00C9">
        <w:rPr>
          <w:noProof/>
          <w:lang w:eastAsia="en-AU"/>
        </w:rPr>
        <mc:AlternateContent>
          <mc:Choice Requires="wps">
            <w:drawing>
              <wp:inline distT="0" distB="0" distL="0" distR="0">
                <wp:extent cx="6934200" cy="3924300"/>
                <wp:effectExtent l="0" t="0" r="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924300"/>
                        </a:xfrm>
                        <a:prstGeom prst="rect">
                          <a:avLst/>
                        </a:prstGeom>
                        <a:gradFill rotWithShape="1">
                          <a:gsLst>
                            <a:gs pos="0">
                              <a:srgbClr val="DDDDDD">
                                <a:alpha val="0"/>
                              </a:srgbClr>
                            </a:gs>
                            <a:gs pos="100000">
                              <a:srgbClr val="DDDDDD">
                                <a:gamma/>
                                <a:shade val="46275"/>
                                <a:invGamma/>
                                <a:alpha val="34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349" w:rsidRDefault="00ED4349" w:rsidP="00E97F53">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ED4349" w:rsidRPr="00E70BF3" w:rsidRDefault="00ED4349" w:rsidP="00E97F53">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7</w:t>
                            </w:r>
                          </w:p>
                          <w:p w:rsidR="00ED4349" w:rsidRPr="00E70BF3" w:rsidRDefault="00ED4349" w:rsidP="00E97F53">
                            <w:pPr>
                              <w:pStyle w:val="TitleHeading"/>
                              <w:ind w:left="0"/>
                              <w:jc w:val="both"/>
                              <w:rPr>
                                <w:rFonts w:ascii="Calibri" w:hAnsi="Calibri"/>
                                <w:color w:val="C0C0C0"/>
                                <w:sz w:val="30"/>
                                <w:szCs w:val="30"/>
                              </w:rPr>
                            </w:pPr>
                            <w:r w:rsidRPr="00E70BF3">
                              <w:rPr>
                                <w:rFonts w:ascii="Calibri" w:hAnsi="Calibri"/>
                                <w:color w:val="C0C0C0"/>
                                <w:sz w:val="30"/>
                                <w:szCs w:val="30"/>
                              </w:rPr>
                              <w:br/>
                            </w:r>
                          </w:p>
                          <w:p w:rsidR="00ED4349" w:rsidRPr="00E70BF3" w:rsidRDefault="00ED4349" w:rsidP="00E97F53">
                            <w:pPr>
                              <w:pStyle w:val="TitleHeading"/>
                              <w:ind w:left="0"/>
                              <w:jc w:val="both"/>
                              <w:rPr>
                                <w:rFonts w:ascii="Calibri" w:hAnsi="Calibri"/>
                                <w:color w:val="C0C0C0"/>
                                <w:sz w:val="30"/>
                                <w:szCs w:val="30"/>
                              </w:rPr>
                            </w:pPr>
                          </w:p>
                          <w:p w:rsidR="00ED4349" w:rsidRPr="00E70BF3" w:rsidRDefault="00ED4349" w:rsidP="00E97F53">
                            <w:pPr>
                              <w:pStyle w:val="TitleHeading"/>
                              <w:ind w:left="0"/>
                              <w:jc w:val="both"/>
                              <w:rPr>
                                <w:rFonts w:ascii="Calibri" w:hAnsi="Calibri"/>
                                <w:color w:val="C0C0C0"/>
                                <w:sz w:val="30"/>
                                <w:szCs w:val="30"/>
                              </w:rPr>
                            </w:pPr>
                          </w:p>
                          <w:p w:rsidR="00ED4349" w:rsidRPr="00E70BF3" w:rsidRDefault="00ED4349" w:rsidP="00E97F53">
                            <w:pPr>
                              <w:rPr>
                                <w:color w:val="C0C0C0"/>
                                <w:sz w:val="30"/>
                                <w:szCs w:val="3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546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" fillcolor="#ddd" stroked="f">
                <v:fill opacity="0" color2="#666" o:opacity2="22282f" rotate="t" focus="100%" type="gradient"/>
                <v:textbox>
                  <w:txbxContent>
                    <w:p w:rsidR="00ED4349" w:rsidRDefault="00ED4349" w:rsidP="00E97F53">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ED4349" w:rsidRPr="00E70BF3" w:rsidRDefault="00ED4349" w:rsidP="00E97F53">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7</w:t>
                      </w:r>
                    </w:p>
                    <w:p w:rsidR="00ED4349" w:rsidRPr="00E70BF3" w:rsidRDefault="00ED4349" w:rsidP="00E97F53">
                      <w:pPr>
                        <w:pStyle w:val="TitleHeading"/>
                        <w:ind w:left="0"/>
                        <w:jc w:val="both"/>
                        <w:rPr>
                          <w:rFonts w:ascii="Calibri" w:hAnsi="Calibri"/>
                          <w:color w:val="C0C0C0"/>
                          <w:sz w:val="30"/>
                          <w:szCs w:val="30"/>
                        </w:rPr>
                      </w:pPr>
                      <w:r w:rsidRPr="00E70BF3">
                        <w:rPr>
                          <w:rFonts w:ascii="Calibri" w:hAnsi="Calibri"/>
                          <w:color w:val="C0C0C0"/>
                          <w:sz w:val="30"/>
                          <w:szCs w:val="30"/>
                        </w:rPr>
                        <w:br/>
                      </w:r>
                    </w:p>
                    <w:p w:rsidR="00ED4349" w:rsidRPr="00E70BF3" w:rsidRDefault="00ED4349" w:rsidP="00E97F53">
                      <w:pPr>
                        <w:pStyle w:val="TitleHeading"/>
                        <w:ind w:left="0"/>
                        <w:jc w:val="both"/>
                        <w:rPr>
                          <w:rFonts w:ascii="Calibri" w:hAnsi="Calibri"/>
                          <w:color w:val="C0C0C0"/>
                          <w:sz w:val="30"/>
                          <w:szCs w:val="30"/>
                        </w:rPr>
                      </w:pPr>
                    </w:p>
                    <w:p w:rsidR="00ED4349" w:rsidRPr="00E70BF3" w:rsidRDefault="00ED4349" w:rsidP="00E97F53">
                      <w:pPr>
                        <w:pStyle w:val="TitleHeading"/>
                        <w:ind w:left="0"/>
                        <w:jc w:val="both"/>
                        <w:rPr>
                          <w:rFonts w:ascii="Calibri" w:hAnsi="Calibri"/>
                          <w:color w:val="C0C0C0"/>
                          <w:sz w:val="30"/>
                          <w:szCs w:val="30"/>
                        </w:rPr>
                      </w:pPr>
                    </w:p>
                    <w:p w:rsidR="00ED4349" w:rsidRPr="00E70BF3" w:rsidRDefault="00ED4349" w:rsidP="00E97F53">
                      <w:pPr>
                        <w:rPr>
                          <w:color w:val="C0C0C0"/>
                          <w:sz w:val="30"/>
                          <w:szCs w:val="30"/>
                        </w:rPr>
                      </w:pPr>
                    </w:p>
                  </w:txbxContent>
                </v:textbox>
                <w10:anchorlock/>
              </v:shape>
            </w:pict>
          </mc:Fallback>
        </mc:AlternateContent>
      </w:r>
    </w:p>
    <w:bookmarkStart w:id="0" w:name="_GoBack"/>
    <w:p w:rsidR="00E97F53" w:rsidRPr="004E00C9" w:rsidRDefault="00E97F53" w:rsidP="003340C6">
      <w:pPr>
        <w:spacing w:before="240"/>
        <w:ind w:left="-1134" w:right="-427"/>
        <w:jc w:val="right"/>
      </w:pPr>
      <w:r w:rsidRPr="004E00C9">
        <w:rPr>
          <w:noProof/>
          <w:lang w:eastAsia="en-AU"/>
        </w:rPr>
        <mc:AlternateContent>
          <mc:Choice Requires="wps">
            <w:drawing>
              <wp:inline distT="0" distB="0" distL="0" distR="0" wp14:anchorId="1AB2997C" wp14:editId="50B6E551">
                <wp:extent cx="0" cy="1828800"/>
                <wp:effectExtent l="38100" t="0" r="38100" b="0"/>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0,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" strokecolor="gray" strokeweight="6pt">
                <v:stroke dashstyle="dashDot"/>
                <w10:anchorlock/>
              </v:line>
            </w:pict>
          </mc:Fallback>
        </mc:AlternateContent>
      </w:r>
    </w:p>
    <w:bookmarkEnd w:id="0"/>
    <w:p w:rsidR="00E97F53" w:rsidRPr="004E00C9" w:rsidRDefault="00E97F53" w:rsidP="003340C6">
      <w:pPr>
        <w:spacing w:before="240"/>
        <w:ind w:left="-1560"/>
      </w:pPr>
      <w:r w:rsidRPr="004E00C9">
        <w:rPr>
          <w:noProof/>
          <w:lang w:eastAsia="en-AU"/>
        </w:rPr>
        <mc:AlternateContent>
          <mc:Choice Requires="wps">
            <w:drawing>
              <wp:inline distT="0" distB="0" distL="0" distR="0" wp14:anchorId="138821E8" wp14:editId="68896DB6">
                <wp:extent cx="7429500" cy="2360930"/>
                <wp:effectExtent l="0" t="0" r="19050" b="2032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2360930"/>
                        </a:xfrm>
                        <a:prstGeom prst="rect">
                          <a:avLst/>
                        </a:prstGeom>
                        <a:solidFill>
                          <a:srgbClr val="FFFFFF"/>
                        </a:solidFill>
                        <a:ln w="9525">
                          <a:solidFill>
                            <a:srgbClr val="808080"/>
                          </a:solidFill>
                          <a:miter lim="800000"/>
                          <a:headEnd/>
                          <a:tailEnd/>
                        </a:ln>
                      </wps:spPr>
                      <wps:txbx>
                        <w:txbxContent>
                          <w:p w:rsidR="00ED4349" w:rsidRPr="000E0F3F" w:rsidRDefault="00ED4349" w:rsidP="00E97F53">
                            <w:pPr>
                              <w:pStyle w:val="TitleHeading"/>
                              <w:spacing w:before="240"/>
                              <w:ind w:left="0" w:right="284"/>
                              <w:jc w:val="right"/>
                              <w:rPr>
                                <w:spacing w:val="60"/>
                                <w:sz w:val="50"/>
                                <w:szCs w:val="50"/>
                              </w:rPr>
                            </w:pPr>
                            <w:r>
                              <w:rPr>
                                <w:spacing w:val="60"/>
                                <w:sz w:val="50"/>
                                <w:szCs w:val="50"/>
                              </w:rPr>
                              <w:t>APPENDIX A5</w:t>
                            </w:r>
                          </w:p>
                          <w:p w:rsidR="00ED4349" w:rsidRDefault="00ED4349" w:rsidP="00E97F53">
                            <w:pPr>
                              <w:pStyle w:val="TitleHeading"/>
                              <w:ind w:left="0" w:right="284"/>
                              <w:jc w:val="left"/>
                              <w:rPr>
                                <w:color w:val="CC0066"/>
                                <w:spacing w:val="60"/>
                                <w:sz w:val="50"/>
                                <w:szCs w:val="50"/>
                              </w:rPr>
                            </w:pPr>
                          </w:p>
                          <w:p w:rsidR="00ED4349" w:rsidRPr="003711A3" w:rsidRDefault="00ED4349" w:rsidP="00E97F53">
                            <w:pPr>
                              <w:pStyle w:val="TitleHeading"/>
                              <w:ind w:left="0" w:right="284"/>
                              <w:jc w:val="right"/>
                              <w:rPr>
                                <w:color w:val="CC0066"/>
                                <w:spacing w:val="60"/>
                                <w:sz w:val="50"/>
                                <w:szCs w:val="50"/>
                              </w:rPr>
                            </w:pPr>
                            <w:r>
                              <w:rPr>
                                <w:color w:val="CC0066"/>
                                <w:spacing w:val="60"/>
                                <w:sz w:val="50"/>
                                <w:szCs w:val="50"/>
                              </w:rPr>
                              <w:t>The Derivation of HILs</w:t>
                            </w:r>
                            <w:r>
                              <w:rPr>
                                <w:color w:val="CC0066"/>
                                <w:spacing w:val="60"/>
                                <w:sz w:val="50"/>
                                <w:szCs w:val="50"/>
                              </w:rPr>
                              <w:br/>
                              <w:t>for PCBs and PBDEs</w:t>
                            </w:r>
                          </w:p>
                          <w:p w:rsidR="00ED4349" w:rsidRPr="00B72F2E" w:rsidRDefault="00ED4349" w:rsidP="00E97F53">
                            <w:pPr>
                              <w:jc w:val="right"/>
                              <w:rPr>
                                <w:sz w:val="60"/>
                                <w:szCs w:val="60"/>
                              </w:rPr>
                            </w:pPr>
                          </w:p>
                          <w:p w:rsidR="00ED4349" w:rsidRPr="002830CA" w:rsidRDefault="00ED4349" w:rsidP="00E97F53">
                            <w:pPr>
                              <w:rPr>
                                <w:szCs w:val="60"/>
                              </w:rPr>
                            </w:pPr>
                          </w:p>
                        </w:txbxContent>
                      </wps:txbx>
                      <wps:bodyPr rot="0" vert="horz" wrap="square" lIns="91440" tIns="45720" rIns="91440" bIns="45720" anchor="t" anchorCtr="0" upright="1">
                        <a:noAutofit/>
                      </wps:bodyPr>
                    </wps:wsp>
                  </a:graphicData>
                </a:graphic>
              </wp:inline>
            </w:drawing>
          </mc:Choice>
          <mc:Fallback>
            <w:pict>
              <v:shape id="Text Box 6" o:spid="_x0000_s1027" type="#_x0000_t202" style="width:585pt;height:18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" strokecolor="gray">
                <v:textbox>
                  <w:txbxContent>
                    <w:p w:rsidR="00ED4349" w:rsidRPr="000E0F3F" w:rsidRDefault="00ED4349" w:rsidP="00E97F53">
                      <w:pPr>
                        <w:pStyle w:val="TitleHeading"/>
                        <w:spacing w:before="240"/>
                        <w:ind w:left="0" w:right="284"/>
                        <w:jc w:val="right"/>
                        <w:rPr>
                          <w:spacing w:val="60"/>
                          <w:sz w:val="50"/>
                          <w:szCs w:val="50"/>
                        </w:rPr>
                      </w:pPr>
                      <w:r>
                        <w:rPr>
                          <w:spacing w:val="60"/>
                          <w:sz w:val="50"/>
                          <w:szCs w:val="50"/>
                        </w:rPr>
                        <w:t>APPENDIX A5</w:t>
                      </w:r>
                    </w:p>
                    <w:p w:rsidR="00ED4349" w:rsidRDefault="00ED4349" w:rsidP="00E97F53">
                      <w:pPr>
                        <w:pStyle w:val="TitleHeading"/>
                        <w:ind w:left="0" w:right="284"/>
                        <w:jc w:val="left"/>
                        <w:rPr>
                          <w:color w:val="CC0066"/>
                          <w:spacing w:val="60"/>
                          <w:sz w:val="50"/>
                          <w:szCs w:val="50"/>
                        </w:rPr>
                      </w:pPr>
                    </w:p>
                    <w:p w:rsidR="00ED4349" w:rsidRPr="003711A3" w:rsidRDefault="00ED4349" w:rsidP="00E97F53">
                      <w:pPr>
                        <w:pStyle w:val="TitleHeading"/>
                        <w:ind w:left="0" w:right="284"/>
                        <w:jc w:val="right"/>
                        <w:rPr>
                          <w:color w:val="CC0066"/>
                          <w:spacing w:val="60"/>
                          <w:sz w:val="50"/>
                          <w:szCs w:val="50"/>
                        </w:rPr>
                      </w:pPr>
                      <w:r>
                        <w:rPr>
                          <w:color w:val="CC0066"/>
                          <w:spacing w:val="60"/>
                          <w:sz w:val="50"/>
                          <w:szCs w:val="50"/>
                        </w:rPr>
                        <w:t>The Derivation of HILs</w:t>
                      </w:r>
                      <w:r>
                        <w:rPr>
                          <w:color w:val="CC0066"/>
                          <w:spacing w:val="60"/>
                          <w:sz w:val="50"/>
                          <w:szCs w:val="50"/>
                        </w:rPr>
                        <w:br/>
                        <w:t>for PCBs and PBDEs</w:t>
                      </w:r>
                    </w:p>
                    <w:p w:rsidR="00ED4349" w:rsidRPr="00B72F2E" w:rsidRDefault="00ED4349" w:rsidP="00E97F53">
                      <w:pPr>
                        <w:jc w:val="right"/>
                        <w:rPr>
                          <w:sz w:val="60"/>
                          <w:szCs w:val="60"/>
                        </w:rPr>
                      </w:pPr>
                    </w:p>
                    <w:p w:rsidR="00ED4349" w:rsidRPr="002830CA" w:rsidRDefault="00ED4349" w:rsidP="00E97F53">
                      <w:pPr>
                        <w:rPr>
                          <w:szCs w:val="60"/>
                        </w:rPr>
                      </w:pPr>
                    </w:p>
                  </w:txbxContent>
                </v:textbox>
                <w10:anchorlock/>
              </v:shape>
            </w:pict>
          </mc:Fallback>
        </mc:AlternateContent>
      </w:r>
    </w:p>
    <w:p w:rsidR="00E97F53" w:rsidRPr="004E00C9" w:rsidRDefault="00E97F53" w:rsidP="003340C6">
      <w:pPr>
        <w:ind w:left="-1560"/>
      </w:pPr>
    </w:p>
    <w:p w:rsidR="00E97F53" w:rsidRPr="004E00C9" w:rsidRDefault="00E97F53" w:rsidP="00E97F53"/>
    <w:p w:rsidR="00E97F53" w:rsidRPr="004E00C9" w:rsidRDefault="00E97F53" w:rsidP="00E97F53"/>
    <w:p w:rsidR="00E97F53" w:rsidRPr="004E00C9" w:rsidRDefault="00E97F53" w:rsidP="00E97F53"/>
    <w:p w:rsidR="00E97F53" w:rsidRPr="004E00C9" w:rsidRDefault="008C792A" w:rsidP="00E97F53">
      <w:pPr>
        <w:pStyle w:val="TitleHeading"/>
      </w:pPr>
      <w:r>
        <w:rPr>
          <w:noProof/>
        </w:rPr>
        <w:lastRenderedPageBreak/>
        <mc:AlternateContent>
          <mc:Choice Requires="wps">
            <w:drawing>
              <wp:anchor distT="0" distB="0" distL="114300" distR="114300" simplePos="0" relativeHeight="251659264" behindDoc="0" locked="0" layoutInCell="0" allowOverlap="1" wp14:anchorId="48403349" wp14:editId="61FC4CB6">
                <wp:simplePos x="0" y="0"/>
                <wp:positionH relativeFrom="page">
                  <wp:posOffset>1066800</wp:posOffset>
                </wp:positionH>
                <wp:positionV relativeFrom="page">
                  <wp:posOffset>976630</wp:posOffset>
                </wp:positionV>
                <wp:extent cx="6126480" cy="1328420"/>
                <wp:effectExtent l="9525" t="5080" r="7620" b="952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32842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0">
                                <a:gsLst>
                                  <a:gs pos="0">
                                    <a:srgbClr val="FFFFFF">
                                      <a:gamma/>
                                      <a:shade val="46275"/>
                                      <a:invGamma/>
                                    </a:srgbClr>
                                  </a:gs>
                                  <a:gs pos="100000">
                                    <a:srgbClr val="FFFFFF"/>
                                  </a:gs>
                                </a:gsLst>
                                <a:lin ang="5400000" scaled="1"/>
                              </a:gradFill>
                            </a14:hiddenFill>
                          </a:ext>
                        </a:extLst>
                      </wps:spPr>
                      <wps:txbx>
                        <w:txbxContent>
                          <w:p w:rsidR="008C792A" w:rsidRPr="00E025E6" w:rsidRDefault="008C792A" w:rsidP="008C792A">
                            <w:pPr>
                              <w:jc w:val="center"/>
                              <w:rPr>
                                <w:rFonts w:ascii="Arial" w:hAnsi="Arial" w:cs="Arial"/>
                                <w:b/>
                                <w:sz w:val="32"/>
                                <w:szCs w:val="32"/>
                              </w:rPr>
                            </w:pPr>
                            <w:r w:rsidRPr="00E025E6">
                              <w:rPr>
                                <w:rFonts w:ascii="Arial" w:hAnsi="Arial" w:cs="Arial"/>
                                <w:b/>
                                <w:sz w:val="32"/>
                                <w:szCs w:val="32"/>
                              </w:rPr>
                              <w:t>Contents</w:t>
                            </w:r>
                          </w:p>
                          <w:p w:rsidR="008C792A" w:rsidRPr="008C792A" w:rsidRDefault="008C792A" w:rsidP="008C792A">
                            <w:pPr>
                              <w:jc w:val="center"/>
                              <w:rPr>
                                <w:rFonts w:ascii="Arial" w:hAnsi="Arial" w:cs="Arial"/>
                                <w:b/>
                                <w:sz w:val="32"/>
                                <w:szCs w:val="32"/>
                              </w:rPr>
                            </w:pPr>
                            <w:r w:rsidRPr="008C792A">
                              <w:rPr>
                                <w:rFonts w:ascii="Arial" w:hAnsi="Arial" w:cs="Arial"/>
                                <w:b/>
                                <w:sz w:val="32"/>
                                <w:szCs w:val="32"/>
                              </w:rPr>
                              <w:t>The Derivation of HILs</w:t>
                            </w:r>
                          </w:p>
                          <w:p w:rsidR="008C792A" w:rsidRPr="00E025E6" w:rsidRDefault="008C792A" w:rsidP="008C792A">
                            <w:pPr>
                              <w:jc w:val="center"/>
                              <w:rPr>
                                <w:rFonts w:ascii="Arial" w:hAnsi="Arial" w:cs="Arial"/>
                                <w:b/>
                                <w:sz w:val="32"/>
                                <w:szCs w:val="32"/>
                              </w:rPr>
                            </w:pPr>
                            <w:r w:rsidRPr="008C792A">
                              <w:rPr>
                                <w:rFonts w:ascii="Arial" w:hAnsi="Arial" w:cs="Arial"/>
                                <w:b/>
                                <w:sz w:val="32"/>
                                <w:szCs w:val="32"/>
                              </w:rPr>
                              <w:t>for PCBs and PBDEs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84pt;margin-top:76.9pt;width:482.4pt;height:10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" o:allowincell="f" filled="f" fillcolor="#767676">
                <v:fill focus="100%" type="gradient"/>
                <v:textbox>
                  <w:txbxContent>
                    <w:p w:rsidR="008C792A" w:rsidRPr="00E025E6" w:rsidRDefault="008C792A" w:rsidP="008C792A">
                      <w:pPr>
                        <w:jc w:val="center"/>
                        <w:rPr>
                          <w:rFonts w:ascii="Arial" w:hAnsi="Arial" w:cs="Arial"/>
                          <w:b/>
                          <w:sz w:val="32"/>
                          <w:szCs w:val="32"/>
                        </w:rPr>
                      </w:pPr>
                      <w:r w:rsidRPr="00E025E6">
                        <w:rPr>
                          <w:rFonts w:ascii="Arial" w:hAnsi="Arial" w:cs="Arial"/>
                          <w:b/>
                          <w:sz w:val="32"/>
                          <w:szCs w:val="32"/>
                        </w:rPr>
                        <w:t>Contents</w:t>
                      </w:r>
                    </w:p>
                    <w:p w:rsidR="008C792A" w:rsidRPr="008C792A" w:rsidRDefault="008C792A" w:rsidP="008C792A">
                      <w:pPr>
                        <w:jc w:val="center"/>
                        <w:rPr>
                          <w:rFonts w:ascii="Arial" w:hAnsi="Arial" w:cs="Arial"/>
                          <w:b/>
                          <w:sz w:val="32"/>
                          <w:szCs w:val="32"/>
                        </w:rPr>
                      </w:pPr>
                      <w:r w:rsidRPr="008C792A">
                        <w:rPr>
                          <w:rFonts w:ascii="Arial" w:hAnsi="Arial" w:cs="Arial"/>
                          <w:b/>
                          <w:sz w:val="32"/>
                          <w:szCs w:val="32"/>
                        </w:rPr>
                        <w:t>The Derivation of HILs</w:t>
                      </w:r>
                    </w:p>
                    <w:p w:rsidR="008C792A" w:rsidRPr="00E025E6" w:rsidRDefault="008C792A" w:rsidP="008C792A">
                      <w:pPr>
                        <w:jc w:val="center"/>
                        <w:rPr>
                          <w:rFonts w:ascii="Arial" w:hAnsi="Arial" w:cs="Arial"/>
                          <w:b/>
                          <w:sz w:val="32"/>
                          <w:szCs w:val="32"/>
                        </w:rPr>
                      </w:pPr>
                      <w:r w:rsidRPr="008C792A">
                        <w:rPr>
                          <w:rFonts w:ascii="Arial" w:hAnsi="Arial" w:cs="Arial"/>
                          <w:b/>
                          <w:sz w:val="32"/>
                          <w:szCs w:val="32"/>
                        </w:rPr>
                        <w:t>for PCBs and PBDEs</w:t>
                      </w:r>
                    </w:p>
                  </w:txbxContent>
                </v:textbox>
                <w10:wrap type="square" anchorx="page" anchory="page"/>
              </v:shape>
            </w:pict>
          </mc:Fallback>
        </mc:AlternateContent>
      </w:r>
    </w:p>
    <w:p w:rsidR="008C792A" w:rsidRDefault="008C792A" w:rsidP="008C792A">
      <w:pPr>
        <w:pStyle w:val="TOC1"/>
        <w:keepNext w:val="0"/>
        <w:rPr>
          <w:b w:val="0"/>
          <w:noProof/>
        </w:rPr>
      </w:pPr>
      <w:r>
        <w:tab/>
      </w:r>
      <w:r>
        <w:tab/>
      </w:r>
      <w:r w:rsidRPr="003F4DD3">
        <w:t>Page</w:t>
      </w:r>
    </w:p>
    <w:p w:rsidR="00411B04" w:rsidRDefault="00E01511" w:rsidP="00411B04">
      <w:pPr>
        <w:pStyle w:val="TOC1"/>
        <w:keepNext w:val="0"/>
        <w:rPr>
          <w:rFonts w:asciiTheme="minorHAnsi" w:eastAsiaTheme="minorEastAsia" w:hAnsiTheme="minorHAnsi" w:cstheme="minorBidi"/>
          <w:b w:val="0"/>
          <w:noProof/>
          <w:kern w:val="0"/>
          <w:sz w:val="22"/>
          <w:szCs w:val="22"/>
        </w:rPr>
      </w:pPr>
      <w:r>
        <w:rPr>
          <w:b w:val="0"/>
          <w:noProof/>
        </w:rPr>
        <w:fldChar w:fldCharType="begin"/>
      </w:r>
      <w:r>
        <w:rPr>
          <w:b w:val="0"/>
          <w:noProof/>
        </w:rPr>
        <w:instrText xml:space="preserve"> TOC \o "1-9" </w:instrText>
      </w:r>
      <w:r>
        <w:rPr>
          <w:b w:val="0"/>
          <w:noProof/>
        </w:rPr>
        <w:fldChar w:fldCharType="separate"/>
      </w:r>
      <w:r w:rsidR="00411B04">
        <w:rPr>
          <w:noProof/>
        </w:rPr>
        <w:t>1</w:t>
      </w:r>
      <w:r w:rsidR="00411B04">
        <w:rPr>
          <w:rFonts w:asciiTheme="minorHAnsi" w:eastAsiaTheme="minorEastAsia" w:hAnsiTheme="minorHAnsi" w:cstheme="minorBidi"/>
          <w:b w:val="0"/>
          <w:noProof/>
          <w:kern w:val="0"/>
          <w:sz w:val="22"/>
          <w:szCs w:val="22"/>
        </w:rPr>
        <w:tab/>
      </w:r>
      <w:r w:rsidR="00411B04">
        <w:rPr>
          <w:noProof/>
        </w:rPr>
        <w:t>PCBs</w:t>
      </w:r>
      <w:r w:rsidR="00411B04">
        <w:rPr>
          <w:noProof/>
        </w:rPr>
        <w:tab/>
      </w:r>
      <w:r w:rsidR="00411B04">
        <w:rPr>
          <w:noProof/>
        </w:rPr>
        <w:fldChar w:fldCharType="begin"/>
      </w:r>
      <w:r w:rsidR="00411B04">
        <w:rPr>
          <w:noProof/>
        </w:rPr>
        <w:instrText xml:space="preserve"> PAGEREF _Toc351713675 \h </w:instrText>
      </w:r>
      <w:r w:rsidR="00411B04">
        <w:rPr>
          <w:noProof/>
        </w:rPr>
      </w:r>
      <w:r w:rsidR="00411B04">
        <w:rPr>
          <w:noProof/>
        </w:rPr>
        <w:fldChar w:fldCharType="separate"/>
      </w:r>
      <w:r w:rsidR="00C632F9">
        <w:rPr>
          <w:noProof/>
        </w:rPr>
        <w:t>1</w:t>
      </w:r>
      <w:r w:rsidR="00411B04">
        <w:rPr>
          <w:noProof/>
        </w:rPr>
        <w:fldChar w:fldCharType="end"/>
      </w:r>
    </w:p>
    <w:p w:rsidR="00411B04" w:rsidRDefault="00411B04" w:rsidP="00411B04">
      <w:pPr>
        <w:pStyle w:val="TOC2"/>
        <w:keepNext w:val="0"/>
        <w:rPr>
          <w:rFonts w:asciiTheme="minorHAnsi" w:eastAsiaTheme="minorEastAsia" w:hAnsiTheme="minorHAnsi" w:cstheme="minorBidi"/>
          <w:b w:val="0"/>
          <w:noProof/>
          <w:kern w:val="0"/>
          <w:sz w:val="22"/>
          <w:szCs w:val="22"/>
        </w:rPr>
      </w:pPr>
      <w:r>
        <w:rPr>
          <w:noProof/>
        </w:rPr>
        <w:t>1.1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_Toc351713676 \h </w:instrText>
      </w:r>
      <w:r>
        <w:rPr>
          <w:noProof/>
        </w:rPr>
      </w:r>
      <w:r>
        <w:rPr>
          <w:noProof/>
        </w:rPr>
        <w:fldChar w:fldCharType="separate"/>
      </w:r>
      <w:r w:rsidR="00C632F9">
        <w:rPr>
          <w:noProof/>
        </w:rPr>
        <w:t>1</w:t>
      </w:r>
      <w:r>
        <w:rPr>
          <w:noProof/>
        </w:rPr>
        <w:fldChar w:fldCharType="end"/>
      </w:r>
    </w:p>
    <w:p w:rsidR="00411B04" w:rsidRDefault="00411B04" w:rsidP="00411B04">
      <w:pPr>
        <w:pStyle w:val="TOC2"/>
        <w:keepNext w:val="0"/>
        <w:rPr>
          <w:rFonts w:asciiTheme="minorHAnsi" w:eastAsiaTheme="minorEastAsia" w:hAnsiTheme="minorHAnsi" w:cstheme="minorBidi"/>
          <w:b w:val="0"/>
          <w:noProof/>
          <w:kern w:val="0"/>
          <w:sz w:val="22"/>
          <w:szCs w:val="22"/>
        </w:rPr>
      </w:pPr>
      <w:r>
        <w:rPr>
          <w:noProof/>
        </w:rPr>
        <w:t>1.2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_Toc351713677 \h </w:instrText>
      </w:r>
      <w:r>
        <w:rPr>
          <w:noProof/>
        </w:rPr>
      </w:r>
      <w:r>
        <w:rPr>
          <w:noProof/>
        </w:rPr>
        <w:fldChar w:fldCharType="separate"/>
      </w:r>
      <w:r w:rsidR="00C632F9">
        <w:rPr>
          <w:noProof/>
        </w:rPr>
        <w:t>1</w:t>
      </w:r>
      <w:r>
        <w:rPr>
          <w:noProof/>
        </w:rPr>
        <w:fldChar w:fldCharType="end"/>
      </w:r>
    </w:p>
    <w:p w:rsidR="00411B04" w:rsidRDefault="00411B04" w:rsidP="00411B04">
      <w:pPr>
        <w:pStyle w:val="TOC2"/>
        <w:keepNext w:val="0"/>
        <w:rPr>
          <w:rFonts w:asciiTheme="minorHAnsi" w:eastAsiaTheme="minorEastAsia" w:hAnsiTheme="minorHAnsi" w:cstheme="minorBidi"/>
          <w:b w:val="0"/>
          <w:noProof/>
          <w:kern w:val="0"/>
          <w:sz w:val="22"/>
          <w:szCs w:val="22"/>
        </w:rPr>
      </w:pPr>
      <w:r>
        <w:rPr>
          <w:noProof/>
        </w:rPr>
        <w:t>1.3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_Toc351713678 \h </w:instrText>
      </w:r>
      <w:r>
        <w:rPr>
          <w:noProof/>
        </w:rPr>
      </w:r>
      <w:r>
        <w:rPr>
          <w:noProof/>
        </w:rPr>
        <w:fldChar w:fldCharType="separate"/>
      </w:r>
      <w:r w:rsidR="00C632F9">
        <w:rPr>
          <w:noProof/>
        </w:rPr>
        <w:t>2</w:t>
      </w:r>
      <w:r>
        <w:rPr>
          <w:noProof/>
        </w:rPr>
        <w:fldChar w:fldCharType="end"/>
      </w:r>
    </w:p>
    <w:p w:rsidR="00411B04" w:rsidRDefault="00411B04" w:rsidP="00411B04">
      <w:pPr>
        <w:pStyle w:val="TOC3"/>
        <w:keepNext w:val="0"/>
        <w:rPr>
          <w:rFonts w:asciiTheme="minorHAnsi" w:eastAsiaTheme="minorEastAsia" w:hAnsiTheme="minorHAnsi" w:cstheme="minorBidi"/>
          <w:b w:val="0"/>
          <w:noProof/>
          <w:kern w:val="0"/>
          <w:szCs w:val="22"/>
        </w:rPr>
      </w:pPr>
      <w:r>
        <w:rPr>
          <w:noProof/>
        </w:rPr>
        <w:t>1.3.1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_Toc351713679 \h </w:instrText>
      </w:r>
      <w:r>
        <w:rPr>
          <w:noProof/>
        </w:rPr>
      </w:r>
      <w:r>
        <w:rPr>
          <w:noProof/>
        </w:rPr>
        <w:fldChar w:fldCharType="separate"/>
      </w:r>
      <w:r w:rsidR="00C632F9">
        <w:rPr>
          <w:noProof/>
        </w:rPr>
        <w:t>2</w:t>
      </w:r>
      <w:r>
        <w:rPr>
          <w:noProof/>
        </w:rPr>
        <w:fldChar w:fldCharType="end"/>
      </w:r>
    </w:p>
    <w:p w:rsidR="00411B04" w:rsidRDefault="00411B04" w:rsidP="00411B04">
      <w:pPr>
        <w:pStyle w:val="TOC3"/>
        <w:keepNext w:val="0"/>
        <w:rPr>
          <w:rFonts w:asciiTheme="minorHAnsi" w:eastAsiaTheme="minorEastAsia" w:hAnsiTheme="minorHAnsi" w:cstheme="minorBidi"/>
          <w:b w:val="0"/>
          <w:noProof/>
          <w:kern w:val="0"/>
          <w:szCs w:val="22"/>
        </w:rPr>
      </w:pPr>
      <w:r>
        <w:rPr>
          <w:noProof/>
        </w:rPr>
        <w:t>1.3.2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_Toc351713680 \h </w:instrText>
      </w:r>
      <w:r>
        <w:rPr>
          <w:noProof/>
        </w:rPr>
      </w:r>
      <w:r>
        <w:rPr>
          <w:noProof/>
        </w:rPr>
        <w:fldChar w:fldCharType="separate"/>
      </w:r>
      <w:r w:rsidR="00C632F9">
        <w:rPr>
          <w:noProof/>
        </w:rPr>
        <w:t>2</w:t>
      </w:r>
      <w:r>
        <w:rPr>
          <w:noProof/>
        </w:rPr>
        <w:fldChar w:fldCharType="end"/>
      </w:r>
    </w:p>
    <w:p w:rsidR="00411B04" w:rsidRDefault="00411B04" w:rsidP="00411B04">
      <w:pPr>
        <w:pStyle w:val="TOC3"/>
        <w:keepNext w:val="0"/>
        <w:rPr>
          <w:rFonts w:asciiTheme="minorHAnsi" w:eastAsiaTheme="minorEastAsia" w:hAnsiTheme="minorHAnsi" w:cstheme="minorBidi"/>
          <w:b w:val="0"/>
          <w:noProof/>
          <w:kern w:val="0"/>
          <w:szCs w:val="22"/>
        </w:rPr>
      </w:pPr>
      <w:r>
        <w:rPr>
          <w:noProof/>
        </w:rPr>
        <w:t>1.3.3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_Toc351713681 \h </w:instrText>
      </w:r>
      <w:r>
        <w:rPr>
          <w:noProof/>
        </w:rPr>
      </w:r>
      <w:r>
        <w:rPr>
          <w:noProof/>
        </w:rPr>
        <w:fldChar w:fldCharType="separate"/>
      </w:r>
      <w:r w:rsidR="00C632F9">
        <w:rPr>
          <w:noProof/>
        </w:rPr>
        <w:t>2</w:t>
      </w:r>
      <w:r>
        <w:rPr>
          <w:noProof/>
        </w:rPr>
        <w:fldChar w:fldCharType="end"/>
      </w:r>
    </w:p>
    <w:p w:rsidR="00411B04" w:rsidRDefault="00411B04" w:rsidP="00411B04">
      <w:pPr>
        <w:pStyle w:val="TOC3"/>
        <w:keepNext w:val="0"/>
        <w:rPr>
          <w:rFonts w:asciiTheme="minorHAnsi" w:eastAsiaTheme="minorEastAsia" w:hAnsiTheme="minorHAnsi" w:cstheme="minorBidi"/>
          <w:b w:val="0"/>
          <w:noProof/>
          <w:kern w:val="0"/>
          <w:szCs w:val="22"/>
        </w:rPr>
      </w:pPr>
      <w:r>
        <w:rPr>
          <w:noProof/>
        </w:rPr>
        <w:t>1.3.4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_Toc351713682 \h </w:instrText>
      </w:r>
      <w:r>
        <w:rPr>
          <w:noProof/>
        </w:rPr>
      </w:r>
      <w:r>
        <w:rPr>
          <w:noProof/>
        </w:rPr>
        <w:fldChar w:fldCharType="separate"/>
      </w:r>
      <w:r w:rsidR="00C632F9">
        <w:rPr>
          <w:noProof/>
        </w:rPr>
        <w:t>2</w:t>
      </w:r>
      <w:r>
        <w:rPr>
          <w:noProof/>
        </w:rPr>
        <w:fldChar w:fldCharType="end"/>
      </w:r>
    </w:p>
    <w:p w:rsidR="00411B04" w:rsidRDefault="00411B04" w:rsidP="00411B04">
      <w:pPr>
        <w:pStyle w:val="TOC3"/>
        <w:keepNext w:val="0"/>
        <w:rPr>
          <w:rFonts w:asciiTheme="minorHAnsi" w:eastAsiaTheme="minorEastAsia" w:hAnsiTheme="minorHAnsi" w:cstheme="minorBidi"/>
          <w:b w:val="0"/>
          <w:noProof/>
          <w:kern w:val="0"/>
          <w:szCs w:val="22"/>
        </w:rPr>
      </w:pPr>
      <w:r>
        <w:rPr>
          <w:noProof/>
        </w:rPr>
        <w:t>1.3.5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_Toc351713683 \h </w:instrText>
      </w:r>
      <w:r>
        <w:rPr>
          <w:noProof/>
        </w:rPr>
      </w:r>
      <w:r>
        <w:rPr>
          <w:noProof/>
        </w:rPr>
        <w:fldChar w:fldCharType="separate"/>
      </w:r>
      <w:r w:rsidR="00C632F9">
        <w:rPr>
          <w:noProof/>
        </w:rPr>
        <w:t>3</w:t>
      </w:r>
      <w:r>
        <w:rPr>
          <w:noProof/>
        </w:rPr>
        <w:fldChar w:fldCharType="end"/>
      </w:r>
    </w:p>
    <w:p w:rsidR="00411B04" w:rsidRDefault="00411B04" w:rsidP="00411B04">
      <w:pPr>
        <w:pStyle w:val="TOC2"/>
        <w:keepNext w:val="0"/>
        <w:rPr>
          <w:rFonts w:asciiTheme="minorHAnsi" w:eastAsiaTheme="minorEastAsia" w:hAnsiTheme="minorHAnsi" w:cstheme="minorBidi"/>
          <w:b w:val="0"/>
          <w:noProof/>
          <w:kern w:val="0"/>
          <w:sz w:val="22"/>
          <w:szCs w:val="22"/>
        </w:rPr>
      </w:pPr>
      <w:r>
        <w:rPr>
          <w:noProof/>
        </w:rPr>
        <w:t>1.4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_Toc351713684 \h </w:instrText>
      </w:r>
      <w:r>
        <w:rPr>
          <w:noProof/>
        </w:rPr>
      </w:r>
      <w:r>
        <w:rPr>
          <w:noProof/>
        </w:rPr>
        <w:fldChar w:fldCharType="separate"/>
      </w:r>
      <w:r w:rsidR="00C632F9">
        <w:rPr>
          <w:noProof/>
        </w:rPr>
        <w:t>3</w:t>
      </w:r>
      <w:r>
        <w:rPr>
          <w:noProof/>
        </w:rPr>
        <w:fldChar w:fldCharType="end"/>
      </w:r>
    </w:p>
    <w:p w:rsidR="00411B04" w:rsidRDefault="00411B04" w:rsidP="00411B04">
      <w:pPr>
        <w:pStyle w:val="TOC3"/>
        <w:keepNext w:val="0"/>
        <w:rPr>
          <w:rFonts w:asciiTheme="minorHAnsi" w:eastAsiaTheme="minorEastAsia" w:hAnsiTheme="minorHAnsi" w:cstheme="minorBidi"/>
          <w:b w:val="0"/>
          <w:noProof/>
          <w:kern w:val="0"/>
          <w:szCs w:val="22"/>
        </w:rPr>
      </w:pPr>
      <w:r>
        <w:rPr>
          <w:noProof/>
        </w:rPr>
        <w:t>1.4.1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_Toc351713685 \h </w:instrText>
      </w:r>
      <w:r>
        <w:rPr>
          <w:noProof/>
        </w:rPr>
      </w:r>
      <w:r>
        <w:rPr>
          <w:noProof/>
        </w:rPr>
        <w:fldChar w:fldCharType="separate"/>
      </w:r>
      <w:r w:rsidR="00C632F9">
        <w:rPr>
          <w:noProof/>
        </w:rPr>
        <w:t>3</w:t>
      </w:r>
      <w:r>
        <w:rPr>
          <w:noProof/>
        </w:rPr>
        <w:fldChar w:fldCharType="end"/>
      </w:r>
    </w:p>
    <w:p w:rsidR="00411B04" w:rsidRDefault="00411B04" w:rsidP="00411B04">
      <w:pPr>
        <w:pStyle w:val="TOC3"/>
        <w:keepNext w:val="0"/>
        <w:rPr>
          <w:rFonts w:asciiTheme="minorHAnsi" w:eastAsiaTheme="minorEastAsia" w:hAnsiTheme="minorHAnsi" w:cstheme="minorBidi"/>
          <w:b w:val="0"/>
          <w:noProof/>
          <w:kern w:val="0"/>
          <w:szCs w:val="22"/>
        </w:rPr>
      </w:pPr>
      <w:r>
        <w:rPr>
          <w:noProof/>
        </w:rPr>
        <w:t>1.4.2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_Toc351713686 \h </w:instrText>
      </w:r>
      <w:r>
        <w:rPr>
          <w:noProof/>
        </w:rPr>
      </w:r>
      <w:r>
        <w:rPr>
          <w:noProof/>
        </w:rPr>
        <w:fldChar w:fldCharType="separate"/>
      </w:r>
      <w:r w:rsidR="00C632F9">
        <w:rPr>
          <w:noProof/>
        </w:rPr>
        <w:t>3</w:t>
      </w:r>
      <w:r>
        <w:rPr>
          <w:noProof/>
        </w:rPr>
        <w:fldChar w:fldCharType="end"/>
      </w:r>
    </w:p>
    <w:p w:rsidR="00411B04" w:rsidRDefault="00411B04" w:rsidP="00411B04">
      <w:pPr>
        <w:pStyle w:val="TOC3"/>
        <w:keepNext w:val="0"/>
        <w:rPr>
          <w:rFonts w:asciiTheme="minorHAnsi" w:eastAsiaTheme="minorEastAsia" w:hAnsiTheme="minorHAnsi" w:cstheme="minorBidi"/>
          <w:b w:val="0"/>
          <w:noProof/>
          <w:kern w:val="0"/>
          <w:szCs w:val="22"/>
        </w:rPr>
      </w:pPr>
      <w:r>
        <w:rPr>
          <w:noProof/>
        </w:rPr>
        <w:t>1.4.3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_Toc351713687 \h </w:instrText>
      </w:r>
      <w:r>
        <w:rPr>
          <w:noProof/>
        </w:rPr>
      </w:r>
      <w:r>
        <w:rPr>
          <w:noProof/>
        </w:rPr>
        <w:fldChar w:fldCharType="separate"/>
      </w:r>
      <w:r w:rsidR="00C632F9">
        <w:rPr>
          <w:noProof/>
        </w:rPr>
        <w:t>4</w:t>
      </w:r>
      <w:r>
        <w:rPr>
          <w:noProof/>
        </w:rPr>
        <w:fldChar w:fldCharType="end"/>
      </w:r>
    </w:p>
    <w:p w:rsidR="00411B04" w:rsidRDefault="00411B04" w:rsidP="00411B04">
      <w:pPr>
        <w:pStyle w:val="TOC2"/>
        <w:keepNext w:val="0"/>
        <w:rPr>
          <w:rFonts w:asciiTheme="minorHAnsi" w:eastAsiaTheme="minorEastAsia" w:hAnsiTheme="minorHAnsi" w:cstheme="minorBidi"/>
          <w:b w:val="0"/>
          <w:noProof/>
          <w:kern w:val="0"/>
          <w:sz w:val="22"/>
          <w:szCs w:val="22"/>
        </w:rPr>
      </w:pPr>
      <w:r>
        <w:rPr>
          <w:noProof/>
        </w:rPr>
        <w:t>1.5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_Toc351713688 \h </w:instrText>
      </w:r>
      <w:r>
        <w:rPr>
          <w:noProof/>
        </w:rPr>
      </w:r>
      <w:r>
        <w:rPr>
          <w:noProof/>
        </w:rPr>
        <w:fldChar w:fldCharType="separate"/>
      </w:r>
      <w:r w:rsidR="00C632F9">
        <w:rPr>
          <w:noProof/>
        </w:rPr>
        <w:t>4</w:t>
      </w:r>
      <w:r>
        <w:rPr>
          <w:noProof/>
        </w:rPr>
        <w:fldChar w:fldCharType="end"/>
      </w:r>
    </w:p>
    <w:p w:rsidR="00411B04" w:rsidRDefault="00411B04" w:rsidP="00411B04">
      <w:pPr>
        <w:pStyle w:val="TOC2"/>
        <w:keepNext w:val="0"/>
        <w:rPr>
          <w:rFonts w:asciiTheme="minorHAnsi" w:eastAsiaTheme="minorEastAsia" w:hAnsiTheme="minorHAnsi" w:cstheme="minorBidi"/>
          <w:b w:val="0"/>
          <w:noProof/>
          <w:kern w:val="0"/>
          <w:sz w:val="22"/>
          <w:szCs w:val="22"/>
        </w:rPr>
      </w:pPr>
      <w:r>
        <w:rPr>
          <w:noProof/>
        </w:rPr>
        <w:t>1.6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_Toc351713689 \h </w:instrText>
      </w:r>
      <w:r>
        <w:rPr>
          <w:noProof/>
        </w:rPr>
      </w:r>
      <w:r>
        <w:rPr>
          <w:noProof/>
        </w:rPr>
        <w:fldChar w:fldCharType="separate"/>
      </w:r>
      <w:r w:rsidR="00C632F9">
        <w:rPr>
          <w:noProof/>
        </w:rPr>
        <w:t>5</w:t>
      </w:r>
      <w:r>
        <w:rPr>
          <w:noProof/>
        </w:rPr>
        <w:fldChar w:fldCharType="end"/>
      </w:r>
    </w:p>
    <w:p w:rsidR="00411B04" w:rsidRDefault="00411B04" w:rsidP="00411B04">
      <w:pPr>
        <w:pStyle w:val="TOC1"/>
        <w:keepNext w:val="0"/>
        <w:rPr>
          <w:rFonts w:asciiTheme="minorHAnsi" w:eastAsiaTheme="minorEastAsia" w:hAnsiTheme="minorHAnsi" w:cstheme="minorBidi"/>
          <w:b w:val="0"/>
          <w:noProof/>
          <w:kern w:val="0"/>
          <w:sz w:val="22"/>
          <w:szCs w:val="22"/>
        </w:rPr>
      </w:pPr>
      <w:r>
        <w:rPr>
          <w:noProof/>
        </w:rPr>
        <w:t>2</w:t>
      </w:r>
      <w:r>
        <w:rPr>
          <w:rFonts w:asciiTheme="minorHAnsi" w:eastAsiaTheme="minorEastAsia" w:hAnsiTheme="minorHAnsi" w:cstheme="minorBidi"/>
          <w:b w:val="0"/>
          <w:noProof/>
          <w:kern w:val="0"/>
          <w:sz w:val="22"/>
          <w:szCs w:val="22"/>
        </w:rPr>
        <w:tab/>
      </w:r>
      <w:r>
        <w:rPr>
          <w:noProof/>
        </w:rPr>
        <w:t>Polybrominated Diphenyl Ethers (Br1 to Br9)</w:t>
      </w:r>
      <w:r>
        <w:rPr>
          <w:noProof/>
        </w:rPr>
        <w:tab/>
      </w:r>
      <w:r>
        <w:rPr>
          <w:noProof/>
        </w:rPr>
        <w:fldChar w:fldCharType="begin"/>
      </w:r>
      <w:r>
        <w:rPr>
          <w:noProof/>
        </w:rPr>
        <w:instrText xml:space="preserve"> PAGEREF _Toc351713690 \h </w:instrText>
      </w:r>
      <w:r>
        <w:rPr>
          <w:noProof/>
        </w:rPr>
      </w:r>
      <w:r>
        <w:rPr>
          <w:noProof/>
        </w:rPr>
        <w:fldChar w:fldCharType="separate"/>
      </w:r>
      <w:r w:rsidR="00C632F9">
        <w:rPr>
          <w:noProof/>
        </w:rPr>
        <w:t>7</w:t>
      </w:r>
      <w:r>
        <w:rPr>
          <w:noProof/>
        </w:rPr>
        <w:fldChar w:fldCharType="end"/>
      </w:r>
    </w:p>
    <w:p w:rsidR="00411B04" w:rsidRDefault="00411B04" w:rsidP="00411B04">
      <w:pPr>
        <w:pStyle w:val="TOC2"/>
        <w:keepNext w:val="0"/>
        <w:rPr>
          <w:rFonts w:asciiTheme="minorHAnsi" w:eastAsiaTheme="minorEastAsia" w:hAnsiTheme="minorHAnsi" w:cstheme="minorBidi"/>
          <w:b w:val="0"/>
          <w:noProof/>
          <w:kern w:val="0"/>
          <w:sz w:val="22"/>
          <w:szCs w:val="22"/>
        </w:rPr>
      </w:pPr>
      <w:r>
        <w:rPr>
          <w:noProof/>
        </w:rPr>
        <w:t>2.1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_Toc351713691 \h </w:instrText>
      </w:r>
      <w:r>
        <w:rPr>
          <w:noProof/>
        </w:rPr>
      </w:r>
      <w:r>
        <w:rPr>
          <w:noProof/>
        </w:rPr>
        <w:fldChar w:fldCharType="separate"/>
      </w:r>
      <w:r w:rsidR="00C632F9">
        <w:rPr>
          <w:noProof/>
        </w:rPr>
        <w:t>7</w:t>
      </w:r>
      <w:r>
        <w:rPr>
          <w:noProof/>
        </w:rPr>
        <w:fldChar w:fldCharType="end"/>
      </w:r>
    </w:p>
    <w:p w:rsidR="00411B04" w:rsidRDefault="00411B04" w:rsidP="00411B04">
      <w:pPr>
        <w:pStyle w:val="TOC2"/>
        <w:keepNext w:val="0"/>
        <w:rPr>
          <w:rFonts w:asciiTheme="minorHAnsi" w:eastAsiaTheme="minorEastAsia" w:hAnsiTheme="minorHAnsi" w:cstheme="minorBidi"/>
          <w:b w:val="0"/>
          <w:noProof/>
          <w:kern w:val="0"/>
          <w:sz w:val="22"/>
          <w:szCs w:val="22"/>
        </w:rPr>
      </w:pPr>
      <w:r>
        <w:rPr>
          <w:noProof/>
        </w:rPr>
        <w:t>2.2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_Toc351713692 \h </w:instrText>
      </w:r>
      <w:r>
        <w:rPr>
          <w:noProof/>
        </w:rPr>
      </w:r>
      <w:r>
        <w:rPr>
          <w:noProof/>
        </w:rPr>
        <w:fldChar w:fldCharType="separate"/>
      </w:r>
      <w:r w:rsidR="00C632F9">
        <w:rPr>
          <w:noProof/>
        </w:rPr>
        <w:t>7</w:t>
      </w:r>
      <w:r>
        <w:rPr>
          <w:noProof/>
        </w:rPr>
        <w:fldChar w:fldCharType="end"/>
      </w:r>
    </w:p>
    <w:p w:rsidR="00411B04" w:rsidRDefault="00411B04" w:rsidP="00411B04">
      <w:pPr>
        <w:pStyle w:val="TOC2"/>
        <w:keepNext w:val="0"/>
        <w:rPr>
          <w:rFonts w:asciiTheme="minorHAnsi" w:eastAsiaTheme="minorEastAsia" w:hAnsiTheme="minorHAnsi" w:cstheme="minorBidi"/>
          <w:b w:val="0"/>
          <w:noProof/>
          <w:kern w:val="0"/>
          <w:sz w:val="22"/>
          <w:szCs w:val="22"/>
        </w:rPr>
      </w:pPr>
      <w:r>
        <w:rPr>
          <w:noProof/>
        </w:rPr>
        <w:t>2.3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_Toc351713693 \h </w:instrText>
      </w:r>
      <w:r>
        <w:rPr>
          <w:noProof/>
        </w:rPr>
      </w:r>
      <w:r>
        <w:rPr>
          <w:noProof/>
        </w:rPr>
        <w:fldChar w:fldCharType="separate"/>
      </w:r>
      <w:r w:rsidR="00C632F9">
        <w:rPr>
          <w:noProof/>
        </w:rPr>
        <w:t>8</w:t>
      </w:r>
      <w:r>
        <w:rPr>
          <w:noProof/>
        </w:rPr>
        <w:fldChar w:fldCharType="end"/>
      </w:r>
    </w:p>
    <w:p w:rsidR="00411B04" w:rsidRDefault="00411B04" w:rsidP="00411B04">
      <w:pPr>
        <w:pStyle w:val="TOC3"/>
        <w:keepNext w:val="0"/>
        <w:rPr>
          <w:rFonts w:asciiTheme="minorHAnsi" w:eastAsiaTheme="minorEastAsia" w:hAnsiTheme="minorHAnsi" w:cstheme="minorBidi"/>
          <w:b w:val="0"/>
          <w:noProof/>
          <w:kern w:val="0"/>
          <w:szCs w:val="22"/>
        </w:rPr>
      </w:pPr>
      <w:r>
        <w:rPr>
          <w:noProof/>
        </w:rPr>
        <w:t>2.3.1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_Toc351713694 \h </w:instrText>
      </w:r>
      <w:r>
        <w:rPr>
          <w:noProof/>
        </w:rPr>
      </w:r>
      <w:r>
        <w:rPr>
          <w:noProof/>
        </w:rPr>
        <w:fldChar w:fldCharType="separate"/>
      </w:r>
      <w:r w:rsidR="00C632F9">
        <w:rPr>
          <w:noProof/>
        </w:rPr>
        <w:t>8</w:t>
      </w:r>
      <w:r>
        <w:rPr>
          <w:noProof/>
        </w:rPr>
        <w:fldChar w:fldCharType="end"/>
      </w:r>
    </w:p>
    <w:p w:rsidR="00411B04" w:rsidRDefault="00411B04" w:rsidP="00411B04">
      <w:pPr>
        <w:pStyle w:val="TOC3"/>
        <w:keepNext w:val="0"/>
        <w:rPr>
          <w:rFonts w:asciiTheme="minorHAnsi" w:eastAsiaTheme="minorEastAsia" w:hAnsiTheme="minorHAnsi" w:cstheme="minorBidi"/>
          <w:b w:val="0"/>
          <w:noProof/>
          <w:kern w:val="0"/>
          <w:szCs w:val="22"/>
        </w:rPr>
      </w:pPr>
      <w:r>
        <w:rPr>
          <w:noProof/>
        </w:rPr>
        <w:t>2.3.2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_Toc351713695 \h </w:instrText>
      </w:r>
      <w:r>
        <w:rPr>
          <w:noProof/>
        </w:rPr>
      </w:r>
      <w:r>
        <w:rPr>
          <w:noProof/>
        </w:rPr>
        <w:fldChar w:fldCharType="separate"/>
      </w:r>
      <w:r w:rsidR="00C632F9">
        <w:rPr>
          <w:noProof/>
        </w:rPr>
        <w:t>8</w:t>
      </w:r>
      <w:r>
        <w:rPr>
          <w:noProof/>
        </w:rPr>
        <w:fldChar w:fldCharType="end"/>
      </w:r>
    </w:p>
    <w:p w:rsidR="00411B04" w:rsidRDefault="00411B04" w:rsidP="00411B04">
      <w:pPr>
        <w:pStyle w:val="TOC3"/>
        <w:keepNext w:val="0"/>
        <w:rPr>
          <w:rFonts w:asciiTheme="minorHAnsi" w:eastAsiaTheme="minorEastAsia" w:hAnsiTheme="minorHAnsi" w:cstheme="minorBidi"/>
          <w:b w:val="0"/>
          <w:noProof/>
          <w:kern w:val="0"/>
          <w:szCs w:val="22"/>
        </w:rPr>
      </w:pPr>
      <w:r>
        <w:rPr>
          <w:noProof/>
        </w:rPr>
        <w:t>2.3.3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_Toc351713696 \h </w:instrText>
      </w:r>
      <w:r>
        <w:rPr>
          <w:noProof/>
        </w:rPr>
      </w:r>
      <w:r>
        <w:rPr>
          <w:noProof/>
        </w:rPr>
        <w:fldChar w:fldCharType="separate"/>
      </w:r>
      <w:r w:rsidR="00C632F9">
        <w:rPr>
          <w:noProof/>
        </w:rPr>
        <w:t>8</w:t>
      </w:r>
      <w:r>
        <w:rPr>
          <w:noProof/>
        </w:rPr>
        <w:fldChar w:fldCharType="end"/>
      </w:r>
    </w:p>
    <w:p w:rsidR="00411B04" w:rsidRDefault="00411B04" w:rsidP="00411B04">
      <w:pPr>
        <w:pStyle w:val="TOC3"/>
        <w:keepNext w:val="0"/>
        <w:rPr>
          <w:rFonts w:asciiTheme="minorHAnsi" w:eastAsiaTheme="minorEastAsia" w:hAnsiTheme="minorHAnsi" w:cstheme="minorBidi"/>
          <w:b w:val="0"/>
          <w:noProof/>
          <w:kern w:val="0"/>
          <w:szCs w:val="22"/>
        </w:rPr>
      </w:pPr>
      <w:r>
        <w:rPr>
          <w:noProof/>
        </w:rPr>
        <w:t>2.3.4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_Toc351713697 \h </w:instrText>
      </w:r>
      <w:r>
        <w:rPr>
          <w:noProof/>
        </w:rPr>
      </w:r>
      <w:r>
        <w:rPr>
          <w:noProof/>
        </w:rPr>
        <w:fldChar w:fldCharType="separate"/>
      </w:r>
      <w:r w:rsidR="00C632F9">
        <w:rPr>
          <w:noProof/>
        </w:rPr>
        <w:t>8</w:t>
      </w:r>
      <w:r>
        <w:rPr>
          <w:noProof/>
        </w:rPr>
        <w:fldChar w:fldCharType="end"/>
      </w:r>
    </w:p>
    <w:p w:rsidR="00411B04" w:rsidRDefault="00411B04" w:rsidP="00411B04">
      <w:pPr>
        <w:pStyle w:val="TOC3"/>
        <w:keepNext w:val="0"/>
        <w:rPr>
          <w:rFonts w:asciiTheme="minorHAnsi" w:eastAsiaTheme="minorEastAsia" w:hAnsiTheme="minorHAnsi" w:cstheme="minorBidi"/>
          <w:b w:val="0"/>
          <w:noProof/>
          <w:kern w:val="0"/>
          <w:szCs w:val="22"/>
        </w:rPr>
      </w:pPr>
      <w:r>
        <w:rPr>
          <w:noProof/>
        </w:rPr>
        <w:t>2.3.5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_Toc351713698 \h </w:instrText>
      </w:r>
      <w:r>
        <w:rPr>
          <w:noProof/>
        </w:rPr>
      </w:r>
      <w:r>
        <w:rPr>
          <w:noProof/>
        </w:rPr>
        <w:fldChar w:fldCharType="separate"/>
      </w:r>
      <w:r w:rsidR="00C632F9">
        <w:rPr>
          <w:noProof/>
        </w:rPr>
        <w:t>9</w:t>
      </w:r>
      <w:r>
        <w:rPr>
          <w:noProof/>
        </w:rPr>
        <w:fldChar w:fldCharType="end"/>
      </w:r>
    </w:p>
    <w:p w:rsidR="00411B04" w:rsidRDefault="00411B04" w:rsidP="00411B04">
      <w:pPr>
        <w:pStyle w:val="TOC2"/>
        <w:keepNext w:val="0"/>
        <w:rPr>
          <w:rFonts w:asciiTheme="minorHAnsi" w:eastAsiaTheme="minorEastAsia" w:hAnsiTheme="minorHAnsi" w:cstheme="minorBidi"/>
          <w:b w:val="0"/>
          <w:noProof/>
          <w:kern w:val="0"/>
          <w:sz w:val="22"/>
          <w:szCs w:val="22"/>
        </w:rPr>
      </w:pPr>
      <w:r>
        <w:rPr>
          <w:noProof/>
        </w:rPr>
        <w:t>2.4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_Toc351713699 \h </w:instrText>
      </w:r>
      <w:r>
        <w:rPr>
          <w:noProof/>
        </w:rPr>
      </w:r>
      <w:r>
        <w:rPr>
          <w:noProof/>
        </w:rPr>
        <w:fldChar w:fldCharType="separate"/>
      </w:r>
      <w:r w:rsidR="00C632F9">
        <w:rPr>
          <w:noProof/>
        </w:rPr>
        <w:t>9</w:t>
      </w:r>
      <w:r>
        <w:rPr>
          <w:noProof/>
        </w:rPr>
        <w:fldChar w:fldCharType="end"/>
      </w:r>
    </w:p>
    <w:p w:rsidR="00411B04" w:rsidRDefault="00411B04" w:rsidP="00411B04">
      <w:pPr>
        <w:pStyle w:val="TOC3"/>
        <w:keepNext w:val="0"/>
        <w:rPr>
          <w:rFonts w:asciiTheme="minorHAnsi" w:eastAsiaTheme="minorEastAsia" w:hAnsiTheme="minorHAnsi" w:cstheme="minorBidi"/>
          <w:b w:val="0"/>
          <w:noProof/>
          <w:kern w:val="0"/>
          <w:szCs w:val="22"/>
        </w:rPr>
      </w:pPr>
      <w:r>
        <w:rPr>
          <w:noProof/>
        </w:rPr>
        <w:t>2.4.1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_Toc351713700 \h </w:instrText>
      </w:r>
      <w:r>
        <w:rPr>
          <w:noProof/>
        </w:rPr>
      </w:r>
      <w:r>
        <w:rPr>
          <w:noProof/>
        </w:rPr>
        <w:fldChar w:fldCharType="separate"/>
      </w:r>
      <w:r w:rsidR="00C632F9">
        <w:rPr>
          <w:noProof/>
        </w:rPr>
        <w:t>9</w:t>
      </w:r>
      <w:r>
        <w:rPr>
          <w:noProof/>
        </w:rPr>
        <w:fldChar w:fldCharType="end"/>
      </w:r>
    </w:p>
    <w:p w:rsidR="00411B04" w:rsidRDefault="00411B04" w:rsidP="00411B04">
      <w:pPr>
        <w:pStyle w:val="TOC3"/>
        <w:keepNext w:val="0"/>
        <w:rPr>
          <w:rFonts w:asciiTheme="minorHAnsi" w:eastAsiaTheme="minorEastAsia" w:hAnsiTheme="minorHAnsi" w:cstheme="minorBidi"/>
          <w:b w:val="0"/>
          <w:noProof/>
          <w:kern w:val="0"/>
          <w:szCs w:val="22"/>
        </w:rPr>
      </w:pPr>
      <w:r>
        <w:rPr>
          <w:noProof/>
        </w:rPr>
        <w:t>2.4.2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_Toc351713701 \h </w:instrText>
      </w:r>
      <w:r>
        <w:rPr>
          <w:noProof/>
        </w:rPr>
      </w:r>
      <w:r>
        <w:rPr>
          <w:noProof/>
        </w:rPr>
        <w:fldChar w:fldCharType="separate"/>
      </w:r>
      <w:r w:rsidR="00C632F9">
        <w:rPr>
          <w:noProof/>
        </w:rPr>
        <w:t>10</w:t>
      </w:r>
      <w:r>
        <w:rPr>
          <w:noProof/>
        </w:rPr>
        <w:fldChar w:fldCharType="end"/>
      </w:r>
    </w:p>
    <w:p w:rsidR="00411B04" w:rsidRDefault="00411B04" w:rsidP="00411B04">
      <w:pPr>
        <w:pStyle w:val="TOC3"/>
        <w:keepNext w:val="0"/>
        <w:rPr>
          <w:rFonts w:asciiTheme="minorHAnsi" w:eastAsiaTheme="minorEastAsia" w:hAnsiTheme="minorHAnsi" w:cstheme="minorBidi"/>
          <w:b w:val="0"/>
          <w:noProof/>
          <w:kern w:val="0"/>
          <w:szCs w:val="22"/>
        </w:rPr>
      </w:pPr>
      <w:r>
        <w:rPr>
          <w:noProof/>
        </w:rPr>
        <w:t>2.4.3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_Toc351713702 \h </w:instrText>
      </w:r>
      <w:r>
        <w:rPr>
          <w:noProof/>
        </w:rPr>
      </w:r>
      <w:r>
        <w:rPr>
          <w:noProof/>
        </w:rPr>
        <w:fldChar w:fldCharType="separate"/>
      </w:r>
      <w:r w:rsidR="00C632F9">
        <w:rPr>
          <w:noProof/>
        </w:rPr>
        <w:t>12</w:t>
      </w:r>
      <w:r>
        <w:rPr>
          <w:noProof/>
        </w:rPr>
        <w:fldChar w:fldCharType="end"/>
      </w:r>
    </w:p>
    <w:p w:rsidR="00411B04" w:rsidRDefault="00411B04" w:rsidP="00411B04">
      <w:pPr>
        <w:pStyle w:val="TOC2"/>
        <w:keepNext w:val="0"/>
        <w:rPr>
          <w:rFonts w:asciiTheme="minorHAnsi" w:eastAsiaTheme="minorEastAsia" w:hAnsiTheme="minorHAnsi" w:cstheme="minorBidi"/>
          <w:b w:val="0"/>
          <w:noProof/>
          <w:kern w:val="0"/>
          <w:sz w:val="22"/>
          <w:szCs w:val="22"/>
        </w:rPr>
      </w:pPr>
      <w:r>
        <w:rPr>
          <w:noProof/>
        </w:rPr>
        <w:t>2.5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_Toc351713703 \h </w:instrText>
      </w:r>
      <w:r>
        <w:rPr>
          <w:noProof/>
        </w:rPr>
      </w:r>
      <w:r>
        <w:rPr>
          <w:noProof/>
        </w:rPr>
        <w:fldChar w:fldCharType="separate"/>
      </w:r>
      <w:r w:rsidR="00C632F9">
        <w:rPr>
          <w:noProof/>
        </w:rPr>
        <w:t>12</w:t>
      </w:r>
      <w:r>
        <w:rPr>
          <w:noProof/>
        </w:rPr>
        <w:fldChar w:fldCharType="end"/>
      </w:r>
    </w:p>
    <w:p w:rsidR="00411B04" w:rsidRDefault="00411B04" w:rsidP="00411B04">
      <w:pPr>
        <w:pStyle w:val="TOC2"/>
        <w:keepNext w:val="0"/>
        <w:rPr>
          <w:rFonts w:asciiTheme="minorHAnsi" w:eastAsiaTheme="minorEastAsia" w:hAnsiTheme="minorHAnsi" w:cstheme="minorBidi"/>
          <w:b w:val="0"/>
          <w:noProof/>
          <w:kern w:val="0"/>
          <w:sz w:val="22"/>
          <w:szCs w:val="22"/>
        </w:rPr>
      </w:pPr>
      <w:r>
        <w:rPr>
          <w:noProof/>
        </w:rPr>
        <w:t>2.6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_Toc351713704 \h </w:instrText>
      </w:r>
      <w:r>
        <w:rPr>
          <w:noProof/>
        </w:rPr>
      </w:r>
      <w:r>
        <w:rPr>
          <w:noProof/>
        </w:rPr>
        <w:fldChar w:fldCharType="separate"/>
      </w:r>
      <w:r w:rsidR="00C632F9">
        <w:rPr>
          <w:noProof/>
        </w:rPr>
        <w:t>12</w:t>
      </w:r>
      <w:r>
        <w:rPr>
          <w:noProof/>
        </w:rPr>
        <w:fldChar w:fldCharType="end"/>
      </w:r>
    </w:p>
    <w:p w:rsidR="00411B04" w:rsidRDefault="00411B04" w:rsidP="00411B04">
      <w:pPr>
        <w:pStyle w:val="TOC1"/>
        <w:keepNext w:val="0"/>
        <w:rPr>
          <w:rFonts w:asciiTheme="minorHAnsi" w:eastAsiaTheme="minorEastAsia" w:hAnsiTheme="minorHAnsi" w:cstheme="minorBidi"/>
          <w:b w:val="0"/>
          <w:noProof/>
          <w:kern w:val="0"/>
          <w:sz w:val="22"/>
          <w:szCs w:val="22"/>
        </w:rPr>
      </w:pPr>
      <w:r>
        <w:rPr>
          <w:noProof/>
        </w:rPr>
        <w:lastRenderedPageBreak/>
        <w:t>3</w:t>
      </w:r>
      <w:r>
        <w:rPr>
          <w:rFonts w:asciiTheme="minorHAnsi" w:eastAsiaTheme="minorEastAsia" w:hAnsiTheme="minorHAnsi" w:cstheme="minorBidi"/>
          <w:b w:val="0"/>
          <w:noProof/>
          <w:kern w:val="0"/>
          <w:sz w:val="22"/>
          <w:szCs w:val="22"/>
        </w:rPr>
        <w:tab/>
      </w:r>
      <w:r>
        <w:rPr>
          <w:noProof/>
        </w:rPr>
        <w:t>Shortened forms</w:t>
      </w:r>
      <w:r>
        <w:rPr>
          <w:noProof/>
        </w:rPr>
        <w:tab/>
      </w:r>
      <w:r>
        <w:rPr>
          <w:noProof/>
        </w:rPr>
        <w:fldChar w:fldCharType="begin"/>
      </w:r>
      <w:r>
        <w:rPr>
          <w:noProof/>
        </w:rPr>
        <w:instrText xml:space="preserve"> PAGEREF _Toc351713705 \h </w:instrText>
      </w:r>
      <w:r>
        <w:rPr>
          <w:noProof/>
        </w:rPr>
      </w:r>
      <w:r>
        <w:rPr>
          <w:noProof/>
        </w:rPr>
        <w:fldChar w:fldCharType="separate"/>
      </w:r>
      <w:r w:rsidR="00C632F9">
        <w:rPr>
          <w:noProof/>
        </w:rPr>
        <w:t>14</w:t>
      </w:r>
      <w:r>
        <w:rPr>
          <w:noProof/>
        </w:rPr>
        <w:fldChar w:fldCharType="end"/>
      </w:r>
    </w:p>
    <w:p w:rsidR="00E97F53" w:rsidRPr="004E00C9" w:rsidRDefault="00E01511" w:rsidP="00411B04">
      <w:pPr>
        <w:rPr>
          <w:b/>
          <w:noProof/>
        </w:rPr>
      </w:pPr>
      <w:r>
        <w:rPr>
          <w:b/>
          <w:noProof/>
        </w:rPr>
        <w:fldChar w:fldCharType="end"/>
      </w:r>
    </w:p>
    <w:p w:rsidR="00E97F53" w:rsidRPr="004E00C9" w:rsidRDefault="00E97F53" w:rsidP="00E97F53">
      <w:pPr>
        <w:rPr>
          <w:b/>
          <w:noProof/>
        </w:rPr>
      </w:pPr>
      <w:r w:rsidRPr="004E00C9">
        <w:rPr>
          <w:b/>
          <w:noProof/>
        </w:rPr>
        <w:br w:type="page"/>
      </w:r>
    </w:p>
    <w:p w:rsidR="00E97F53" w:rsidRPr="004E00C9" w:rsidRDefault="00E97F53" w:rsidP="00E97F53">
      <w:pPr>
        <w:sectPr w:rsidR="00E97F53" w:rsidRPr="004E00C9" w:rsidSect="00ED4349">
          <w:footerReference w:type="default" r:id="rId9"/>
          <w:footerReference w:type="first" r:id="rId10"/>
          <w:pgSz w:w="11906" w:h="16838" w:code="9"/>
          <w:pgMar w:top="1134" w:right="1418" w:bottom="1134" w:left="1701" w:header="720" w:footer="567" w:gutter="0"/>
          <w:pgNumType w:start="1"/>
          <w:cols w:space="720"/>
          <w:titlePg/>
        </w:sectPr>
      </w:pPr>
    </w:p>
    <w:p w:rsidR="00E97F53" w:rsidRPr="004E00C9" w:rsidRDefault="00E97F53" w:rsidP="00E97F53">
      <w:pPr>
        <w:pStyle w:val="Heading1"/>
      </w:pPr>
      <w:bookmarkStart w:id="1" w:name="_Toc351713675"/>
      <w:r w:rsidRPr="004E00C9">
        <w:lastRenderedPageBreak/>
        <w:t>PCBs</w:t>
      </w:r>
      <w:bookmarkEnd w:id="1"/>
    </w:p>
    <w:p w:rsidR="00E97F53" w:rsidRPr="004E00C9" w:rsidRDefault="00E97F53" w:rsidP="00E97F53">
      <w:pPr>
        <w:pStyle w:val="Heading2"/>
      </w:pPr>
      <w:bookmarkStart w:id="2" w:name="_Toc351713676"/>
      <w:r w:rsidRPr="004E00C9">
        <w:t>General</w:t>
      </w:r>
      <w:bookmarkEnd w:id="2"/>
    </w:p>
    <w:p w:rsidR="00E97F53" w:rsidRPr="004E00C9" w:rsidRDefault="00E97F53" w:rsidP="00E97F53">
      <w:r w:rsidRPr="004E00C9">
        <w:t>Polychlorinated biphenyls (PCBs) are a group of synthetic organic compounds comprising two benzene rings joined together, with between one and ten chlorine atoms attached. There are 209 possible PCB variants (congeners) though PCBs are typically found as a complex mixture in commercial products and in the environment (WHO 1993). Of the 209 possible congeners, 12 are able to assume the same flat shape as dioxins and can cause impacts via the same mechanism. Consequently, it is normal to consider the PCB contribution to dioxin toxicity by measuring those congeners specifically. Some or all of these 12 congeners are always going to be present in any PCB contamination. There is evidence that using the dioxin</w:t>
      </w:r>
      <w:r w:rsidR="004E00C9">
        <w:noBreakHyphen/>
      </w:r>
      <w:r w:rsidRPr="004E00C9">
        <w:t>like PCBs as the basis for assessing risk from PCBs is also protective for the risks from the non</w:t>
      </w:r>
      <w:r w:rsidR="004E00C9">
        <w:noBreakHyphen/>
      </w:r>
      <w:r w:rsidRPr="004E00C9">
        <w:t>dioxin</w:t>
      </w:r>
      <w:r w:rsidR="004E00C9">
        <w:noBreakHyphen/>
      </w:r>
      <w:r w:rsidRPr="004E00C9">
        <w:t>like PCBs, i.e. the non</w:t>
      </w:r>
      <w:r w:rsidR="004E00C9">
        <w:noBreakHyphen/>
      </w:r>
      <w:r w:rsidRPr="004E00C9">
        <w:t>dioxin</w:t>
      </w:r>
      <w:r w:rsidR="004E00C9">
        <w:noBreakHyphen/>
      </w:r>
      <w:r w:rsidRPr="004E00C9">
        <w:t>like PCBs are less toxic than the dioxin</w:t>
      </w:r>
      <w:r w:rsidR="004E00C9">
        <w:noBreakHyphen/>
      </w:r>
      <w:r w:rsidRPr="004E00C9">
        <w:t>like PCBs.</w:t>
      </w:r>
    </w:p>
    <w:p w:rsidR="00287A72" w:rsidRPr="004E00C9" w:rsidRDefault="00287A72" w:rsidP="00E97F53"/>
    <w:p w:rsidR="00E97F53" w:rsidRPr="004E00C9" w:rsidRDefault="00E97F53" w:rsidP="00E97F53">
      <w:r w:rsidRPr="004E00C9">
        <w:t>The following relates to the assessment of non</w:t>
      </w:r>
      <w:r w:rsidR="004E00C9">
        <w:noBreakHyphen/>
      </w:r>
      <w:r w:rsidRPr="004E00C9">
        <w:t>dioxin</w:t>
      </w:r>
      <w:r w:rsidR="004E00C9">
        <w:noBreakHyphen/>
      </w:r>
      <w:r w:rsidRPr="004E00C9">
        <w:t>like PCBs only. The assessment of dioxins and dioxin</w:t>
      </w:r>
      <w:r w:rsidR="004E00C9">
        <w:noBreakHyphen/>
      </w:r>
      <w:r w:rsidRPr="004E00C9">
        <w:t>like PCBs needs to be conducted on a site</w:t>
      </w:r>
      <w:r w:rsidR="004E00C9">
        <w:noBreakHyphen/>
      </w:r>
      <w:r w:rsidRPr="004E00C9">
        <w:t xml:space="preserve">specific basis where there is the potential for a PCB source (such as PCB oil contamination) to be present at a site. </w:t>
      </w:r>
    </w:p>
    <w:p w:rsidR="00287A72" w:rsidRPr="004E00C9" w:rsidRDefault="00287A72" w:rsidP="00E97F53"/>
    <w:p w:rsidR="00E97F53" w:rsidRPr="004E00C9" w:rsidRDefault="00E97F53" w:rsidP="00E97F53">
      <w:r w:rsidRPr="004E00C9">
        <w:t>Several comprehensive reviews of PCBs in the environment and their toxicity to humans are available and should be consulted for more detailed information not presented in this summary (ATSDR 2000; WHO 1993; WHO 2003; EPHC 2003). The following provides a summary of the key aspects of PCBs that are relevant to the derivation of a soil HIL.</w:t>
      </w:r>
    </w:p>
    <w:p w:rsidR="00287A72" w:rsidRPr="004E00C9" w:rsidRDefault="00287A72" w:rsidP="00E97F53"/>
    <w:p w:rsidR="00E97F53" w:rsidRPr="004E00C9" w:rsidRDefault="00E97F53" w:rsidP="00E97F53">
      <w:r w:rsidRPr="004E00C9">
        <w:t>PCBs are typically in the form of an oily liquid or solid and are colourless to light yellow. Some PCB congeners may also exist as a vapour in air. They are odourless and tasteless. PCBs do not burn easily and have good insulating properties. They are both chemically and thermally stable. PCBs are relatively insoluble in water with the solubility decreasing with increasing chlorine content (ATSDR 2000).</w:t>
      </w:r>
    </w:p>
    <w:p w:rsidR="00287A72" w:rsidRPr="004E00C9" w:rsidRDefault="00287A72" w:rsidP="00E97F53"/>
    <w:p w:rsidR="00E97F53" w:rsidRPr="004E00C9" w:rsidRDefault="00E97F53" w:rsidP="00E97F53">
      <w:r w:rsidRPr="004E00C9">
        <w:t>Commercial PCB mixtures are also known by their trade names, such as Aroclor (USA), Phenochlor (France), Clophen (Germany), Kanechlor (Japan), Fechlor (Italy) and Sovol (USSR). Information on the toxicity and behaviour of a number of commercial PCB mixtures, Aroclors, is available, with Aroclor 1254 most commonly used as an indicator for the assessment of PCB mixtures. WHO (2003) provides a review of the most common commercial Aroclor mixtures with respect to the composition and toxicity of congeners present, and the various mixtures of indicator congeners (that differ from that of Aroclor 1254) may need to be considered on a site</w:t>
      </w:r>
      <w:r w:rsidR="004E00C9">
        <w:noBreakHyphen/>
      </w:r>
      <w:r w:rsidRPr="004E00C9">
        <w:t>specific basis.</w:t>
      </w:r>
    </w:p>
    <w:p w:rsidR="00287A72" w:rsidRPr="004E00C9" w:rsidRDefault="00287A72" w:rsidP="00E97F53"/>
    <w:p w:rsidR="00E97F53" w:rsidRPr="004E00C9" w:rsidRDefault="00E97F53" w:rsidP="00E97F53">
      <w:r w:rsidRPr="004E00C9">
        <w:t>Due to the thermal and chemical stability of PCBs, they are widely used as coolants and lubricants in transformers, capacitors and other electrical equipment (ATSDR 2000). In Australia, PCBs were also used in the manufacture of plastics, adhesives, paints and varnishes and were found in consumer products such as pesticides, fluorescent lighting and carbonless copy paper. PCBs were used in Australia between the 1930s and 1970s, when the importation of PCBs was banned.</w:t>
      </w:r>
    </w:p>
    <w:p w:rsidR="00E97F53" w:rsidRPr="004E00C9" w:rsidRDefault="00E97F53" w:rsidP="00E97F53">
      <w:pPr>
        <w:pStyle w:val="Heading2"/>
      </w:pPr>
      <w:bookmarkStart w:id="3" w:name="_Toc351713677"/>
      <w:r w:rsidRPr="004E00C9">
        <w:t>Previous HIL</w:t>
      </w:r>
      <w:bookmarkEnd w:id="3"/>
    </w:p>
    <w:p w:rsidR="00E97F53" w:rsidRPr="004E00C9" w:rsidRDefault="00E97F53" w:rsidP="00E97F53">
      <w:r w:rsidRPr="004E00C9">
        <w:t xml:space="preserve">The derivation of the previous HIL (HIL A = 10 mg/kg) for PCBs is presented by </w:t>
      </w:r>
      <w:r w:rsidRPr="004E00C9">
        <w:rPr>
          <w:rFonts w:cs="Arial"/>
        </w:rPr>
        <w:t xml:space="preserve">Di Marco &amp; Buckett (1993) </w:t>
      </w:r>
      <w:r w:rsidRPr="004E00C9">
        <w:t>and NEPC (1999). In summary, the HIL was derived on the basis of the following:</w:t>
      </w:r>
    </w:p>
    <w:p w:rsidR="00E97F53" w:rsidRPr="004E00C9" w:rsidRDefault="00E97F53" w:rsidP="00E97F53">
      <w:pPr>
        <w:pStyle w:val="Dot-points"/>
      </w:pPr>
      <w:r w:rsidRPr="004E00C9">
        <w:t xml:space="preserve">Background intakes from air, water and food were estimated to be 5.4 ng/kg/day for a child and 4.4 ng/kg/day for an adult, estimated to be approximately 5% of the adopted PTDI (derived PTDI of 0.0001 mg/kg/day for Aroclor 1016). </w:t>
      </w:r>
    </w:p>
    <w:p w:rsidR="00E97F53" w:rsidRPr="004E00C9" w:rsidRDefault="00E97F53" w:rsidP="00E97F53">
      <w:pPr>
        <w:pStyle w:val="Dot-points"/>
      </w:pPr>
      <w:r w:rsidRPr="004E00C9">
        <w:t>Due to the lack of published data for PCBs, the lowest threshold value derived for Aroclors 1016 and 1248 were considered. A PTDI of 0.0001 mg/kg/day was derived for Aroclor 1016 based on a NOAEL of 0.0125 mg/kg/day, and a safety factor of 100.</w:t>
      </w:r>
    </w:p>
    <w:p w:rsidR="00E97F53" w:rsidRPr="004E00C9" w:rsidRDefault="00E97F53" w:rsidP="00E97F53">
      <w:pPr>
        <w:pStyle w:val="Dot-points"/>
      </w:pPr>
      <w:r w:rsidRPr="004E00C9">
        <w:lastRenderedPageBreak/>
        <w:t>Intakes derived from ingestion (assuming 30% bioavailability), inhalation of dust (assuming 50% bioavailability) and dermal absorption (10% absorption) were considered in the derivation of the soil HIL of 10 mg/kg.</w:t>
      </w:r>
    </w:p>
    <w:p w:rsidR="00E97F53" w:rsidRPr="004E00C9" w:rsidRDefault="00E97F53" w:rsidP="00E97F53">
      <w:pPr>
        <w:pStyle w:val="Heading2"/>
      </w:pPr>
      <w:bookmarkStart w:id="4" w:name="_Toc351713678"/>
      <w:r w:rsidRPr="004E00C9">
        <w:t>Significance of Exposure Pathways</w:t>
      </w:r>
      <w:bookmarkEnd w:id="4"/>
    </w:p>
    <w:p w:rsidR="00E97F53" w:rsidRPr="004E00C9" w:rsidRDefault="00E97F53" w:rsidP="00E97F53">
      <w:pPr>
        <w:pStyle w:val="Heading3"/>
      </w:pPr>
      <w:bookmarkStart w:id="5" w:name="_Toc351713679"/>
      <w:r w:rsidRPr="004E00C9">
        <w:t>Oral Bioavailability</w:t>
      </w:r>
      <w:bookmarkEnd w:id="5"/>
    </w:p>
    <w:p w:rsidR="00E97F53" w:rsidRPr="004E00C9" w:rsidRDefault="00E97F53" w:rsidP="00E97F53">
      <w:r w:rsidRPr="004E00C9">
        <w:t xml:space="preserve">Bioavailability of PCBs in soil appears to be important due to their high affinity for soil particles and organic matter. Bioavailability was considered in the derivation of the current HIL (Di Marco &amp; Buckett 1993) with 30% assumed for oral intakes and 50% assumed for inhalation. The basis for this assumption is not available and no more detailed reviewed of PCB bioavailability (oral or inhalation) in soil is available. </w:t>
      </w:r>
    </w:p>
    <w:p w:rsidR="00287A72" w:rsidRPr="004E00C9" w:rsidRDefault="00287A72" w:rsidP="00E97F53"/>
    <w:p w:rsidR="00E97F53" w:rsidRPr="004E00C9" w:rsidRDefault="00E97F53" w:rsidP="00E97F53">
      <w:r w:rsidRPr="004E00C9">
        <w:t>Insufficient data is available to adequately define the bioavailability of PCBs in the range of contaminated sites that may need to be considered in Australia. On this basis, a default approach of assuming 100% oral bioavailability has been adopted in the derivation of an HIL. It is noted that a site</w:t>
      </w:r>
      <w:r w:rsidR="004E00C9">
        <w:noBreakHyphen/>
      </w:r>
      <w:r w:rsidRPr="004E00C9">
        <w:t>specific assessment of bioavailability can be undertaken where required.</w:t>
      </w:r>
    </w:p>
    <w:p w:rsidR="00E97F53" w:rsidRPr="004E00C9" w:rsidRDefault="00E97F53" w:rsidP="00E97F53">
      <w:pPr>
        <w:pStyle w:val="Heading3"/>
      </w:pPr>
      <w:bookmarkStart w:id="6" w:name="_Toc351713680"/>
      <w:r w:rsidRPr="004E00C9">
        <w:t>Dermal absorption</w:t>
      </w:r>
      <w:bookmarkEnd w:id="6"/>
    </w:p>
    <w:p w:rsidR="00E97F53" w:rsidRPr="004E00C9" w:rsidRDefault="00E97F53" w:rsidP="00E97F53">
      <w:r w:rsidRPr="004E00C9">
        <w:t xml:space="preserve">US EPA (2004) recommends a dermal absorption value of 0.14 (14%) for PCB Aroclors 1254/1242 and other PCBs, based on a study by Wester et al. (1993). A range of dermal absorption values is presented by ATSDR (2000). Review of these studies suggests that, while the data is limited, the value recommended by US EPA (2004) is adequately representative. </w:t>
      </w:r>
    </w:p>
    <w:p w:rsidR="00E97F53" w:rsidRPr="004E00C9" w:rsidRDefault="00E97F53" w:rsidP="00E97F53">
      <w:pPr>
        <w:pStyle w:val="Heading3"/>
      </w:pPr>
      <w:bookmarkStart w:id="7" w:name="_Toc351713681"/>
      <w:r w:rsidRPr="004E00C9">
        <w:t>Inhalation of Dust</w:t>
      </w:r>
      <w:bookmarkEnd w:id="7"/>
    </w:p>
    <w:p w:rsidR="00E97F53" w:rsidRPr="004E00C9" w:rsidRDefault="00E97F53" w:rsidP="00E97F53">
      <w:r w:rsidRPr="004E00C9">
        <w:t>PCBs are not considered sufficiently volatile to be of significance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E97F53" w:rsidRPr="004E00C9" w:rsidRDefault="00E97F53" w:rsidP="00E97F53">
      <w:pPr>
        <w:pStyle w:val="Heading3"/>
      </w:pPr>
      <w:bookmarkStart w:id="8" w:name="_Toc351713682"/>
      <w:r w:rsidRPr="004E00C9">
        <w:t>Plant Uptake</w:t>
      </w:r>
      <w:bookmarkEnd w:id="8"/>
    </w:p>
    <w:p w:rsidR="00E97F53" w:rsidRPr="004E00C9" w:rsidRDefault="00E97F53" w:rsidP="00E97F53">
      <w:r w:rsidRPr="004E00C9">
        <w:t>PCBs accumulate in terrestrial vegetation by the following possible mechanisms: uptake from soil through the roots; dry deposition on aerial parts (particle</w:t>
      </w:r>
      <w:r w:rsidR="004E00C9">
        <w:noBreakHyphen/>
      </w:r>
      <w:r w:rsidRPr="004E00C9">
        <w:t>bound or gaseous); and wet deposition on aerial parts (particle</w:t>
      </w:r>
      <w:r w:rsidR="004E00C9">
        <w:noBreakHyphen/>
      </w:r>
      <w:r w:rsidRPr="004E00C9">
        <w:t>bound or solute).Where PCBs are sorbed to soil and organic matter, the potential for plant uptake is reduced; however, it remains of potential significance (CCME 1999). The uptake of PCBs (in soil) into edible fruit and vegetable crops has been the subject of a number of studies with a range of bioaccumulation factors derived for different crops (ATSDR 2000), with adsorption onto root surfaces most significant compared with translocation within the root or upper portions of the plant (CCME 1999). On this basis, the potential for the uptake of PCBs into home</w:t>
      </w:r>
      <w:r w:rsidR="004E00C9">
        <w:noBreakHyphen/>
      </w:r>
      <w:r w:rsidRPr="004E00C9">
        <w:t>grown produce has been considered in the derivation of an HIL A. This has been undertaken on the basis of the equations presented in Appendix B, with the following parameters and plant uptake factors estimated:</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3"/>
        <w:gridCol w:w="1900"/>
        <w:gridCol w:w="4076"/>
      </w:tblGrid>
      <w:tr w:rsidR="00E97F53" w:rsidRPr="004E00C9" w:rsidTr="00287A72">
        <w:trPr>
          <w:tblHeader/>
        </w:trPr>
        <w:tc>
          <w:tcPr>
            <w:tcW w:w="2383" w:type="dxa"/>
            <w:shd w:val="clear" w:color="auto" w:fill="C6D9F1" w:themeFill="text2" w:themeFillTint="33"/>
          </w:tcPr>
          <w:p w:rsidR="00E97F53" w:rsidRPr="004E00C9" w:rsidRDefault="00E97F53" w:rsidP="00ED4349">
            <w:pPr>
              <w:spacing w:before="20"/>
              <w:jc w:val="center"/>
              <w:rPr>
                <w:b/>
                <w:szCs w:val="22"/>
              </w:rPr>
            </w:pPr>
            <w:r w:rsidRPr="004E00C9">
              <w:rPr>
                <w:b/>
                <w:szCs w:val="22"/>
              </w:rPr>
              <w:t>Parameter</w:t>
            </w:r>
          </w:p>
        </w:tc>
        <w:tc>
          <w:tcPr>
            <w:tcW w:w="1900" w:type="dxa"/>
            <w:shd w:val="clear" w:color="auto" w:fill="C6D9F1" w:themeFill="text2" w:themeFillTint="33"/>
          </w:tcPr>
          <w:p w:rsidR="00E97F53" w:rsidRPr="004E00C9" w:rsidRDefault="00E97F53" w:rsidP="00ED4349">
            <w:pPr>
              <w:spacing w:before="20"/>
              <w:jc w:val="center"/>
              <w:rPr>
                <w:b/>
                <w:szCs w:val="22"/>
              </w:rPr>
            </w:pPr>
            <w:r w:rsidRPr="004E00C9">
              <w:rPr>
                <w:b/>
                <w:szCs w:val="22"/>
              </w:rPr>
              <w:t>Value</w:t>
            </w:r>
          </w:p>
        </w:tc>
        <w:tc>
          <w:tcPr>
            <w:tcW w:w="4076" w:type="dxa"/>
            <w:shd w:val="clear" w:color="auto" w:fill="C6D9F1" w:themeFill="text2" w:themeFillTint="33"/>
          </w:tcPr>
          <w:p w:rsidR="00E97F53" w:rsidRPr="004E00C9" w:rsidRDefault="00E97F53" w:rsidP="00ED4349">
            <w:pPr>
              <w:spacing w:before="20"/>
              <w:jc w:val="center"/>
              <w:rPr>
                <w:b/>
                <w:szCs w:val="22"/>
              </w:rPr>
            </w:pPr>
            <w:r w:rsidRPr="004E00C9">
              <w:rPr>
                <w:b/>
                <w:szCs w:val="22"/>
              </w:rPr>
              <w:t>Reference/Comment</w:t>
            </w:r>
          </w:p>
        </w:tc>
      </w:tr>
      <w:tr w:rsidR="00E97F53" w:rsidRPr="004E00C9" w:rsidTr="00287A72">
        <w:tc>
          <w:tcPr>
            <w:tcW w:w="8359" w:type="dxa"/>
            <w:gridSpan w:val="3"/>
          </w:tcPr>
          <w:p w:rsidR="00E97F53" w:rsidRPr="004E00C9" w:rsidRDefault="00E97F53" w:rsidP="00ED4349">
            <w:pPr>
              <w:spacing w:before="20"/>
              <w:jc w:val="center"/>
              <w:rPr>
                <w:b/>
                <w:szCs w:val="22"/>
              </w:rPr>
            </w:pPr>
            <w:r w:rsidRPr="004E00C9">
              <w:rPr>
                <w:b/>
                <w:szCs w:val="22"/>
              </w:rPr>
              <w:t>Parameters</w:t>
            </w:r>
          </w:p>
        </w:tc>
      </w:tr>
      <w:tr w:rsidR="00E97F53" w:rsidRPr="004E00C9" w:rsidTr="00287A72">
        <w:tc>
          <w:tcPr>
            <w:tcW w:w="2383" w:type="dxa"/>
          </w:tcPr>
          <w:p w:rsidR="00E97F53" w:rsidRPr="004E00C9" w:rsidRDefault="00E97F53" w:rsidP="00ED4349">
            <w:pPr>
              <w:spacing w:before="20"/>
              <w:rPr>
                <w:szCs w:val="22"/>
              </w:rPr>
            </w:pPr>
            <w:r w:rsidRPr="004E00C9">
              <w:rPr>
                <w:szCs w:val="22"/>
              </w:rPr>
              <w:t>K</w:t>
            </w:r>
            <w:r w:rsidRPr="004E00C9">
              <w:rPr>
                <w:szCs w:val="22"/>
                <w:vertAlign w:val="subscript"/>
              </w:rPr>
              <w:t>oc</w:t>
            </w:r>
          </w:p>
        </w:tc>
        <w:tc>
          <w:tcPr>
            <w:tcW w:w="1900" w:type="dxa"/>
          </w:tcPr>
          <w:p w:rsidR="00E97F53" w:rsidRPr="004E00C9" w:rsidRDefault="00E97F53" w:rsidP="00ED4349">
            <w:pPr>
              <w:spacing w:before="20"/>
              <w:rPr>
                <w:szCs w:val="22"/>
              </w:rPr>
            </w:pPr>
            <w:r w:rsidRPr="004E00C9">
              <w:rPr>
                <w:szCs w:val="22"/>
              </w:rPr>
              <w:t>131 000 (cm</w:t>
            </w:r>
            <w:r w:rsidRPr="004E00C9">
              <w:rPr>
                <w:szCs w:val="22"/>
                <w:vertAlign w:val="superscript"/>
              </w:rPr>
              <w:t>3</w:t>
            </w:r>
            <w:r w:rsidRPr="004E00C9">
              <w:rPr>
                <w:szCs w:val="22"/>
              </w:rPr>
              <w:t>/g)</w:t>
            </w:r>
          </w:p>
        </w:tc>
        <w:tc>
          <w:tcPr>
            <w:tcW w:w="4076" w:type="dxa"/>
          </w:tcPr>
          <w:p w:rsidR="00E97F53" w:rsidRPr="004E00C9" w:rsidRDefault="00E97F53" w:rsidP="00ED4349">
            <w:pPr>
              <w:spacing w:before="20"/>
              <w:rPr>
                <w:szCs w:val="22"/>
              </w:rPr>
            </w:pPr>
            <w:r w:rsidRPr="004E00C9">
              <w:rPr>
                <w:szCs w:val="22"/>
              </w:rPr>
              <w:t>RAIS (2010) for Aroclor 1254</w:t>
            </w:r>
          </w:p>
        </w:tc>
      </w:tr>
      <w:tr w:rsidR="00E97F53" w:rsidRPr="004E00C9" w:rsidTr="00287A72">
        <w:tc>
          <w:tcPr>
            <w:tcW w:w="2383" w:type="dxa"/>
          </w:tcPr>
          <w:p w:rsidR="00E97F53" w:rsidRPr="004E00C9" w:rsidRDefault="00E97F53" w:rsidP="00ED4349">
            <w:pPr>
              <w:spacing w:before="20"/>
              <w:rPr>
                <w:szCs w:val="22"/>
              </w:rPr>
            </w:pPr>
            <w:r w:rsidRPr="004E00C9">
              <w:rPr>
                <w:szCs w:val="22"/>
              </w:rPr>
              <w:t>log K</w:t>
            </w:r>
            <w:r w:rsidRPr="004E00C9">
              <w:rPr>
                <w:szCs w:val="22"/>
                <w:vertAlign w:val="subscript"/>
              </w:rPr>
              <w:t>ow</w:t>
            </w:r>
          </w:p>
        </w:tc>
        <w:tc>
          <w:tcPr>
            <w:tcW w:w="1900" w:type="dxa"/>
          </w:tcPr>
          <w:p w:rsidR="00E97F53" w:rsidRPr="004E00C9" w:rsidRDefault="00E97F53" w:rsidP="00ED4349">
            <w:pPr>
              <w:spacing w:before="20"/>
              <w:rPr>
                <w:szCs w:val="22"/>
              </w:rPr>
            </w:pPr>
            <w:r w:rsidRPr="004E00C9">
              <w:rPr>
                <w:szCs w:val="22"/>
              </w:rPr>
              <w:t>6.79</w:t>
            </w:r>
          </w:p>
        </w:tc>
        <w:tc>
          <w:tcPr>
            <w:tcW w:w="4076" w:type="dxa"/>
          </w:tcPr>
          <w:p w:rsidR="00E97F53" w:rsidRPr="004E00C9" w:rsidRDefault="00E97F53" w:rsidP="00ED4349">
            <w:pPr>
              <w:spacing w:before="20"/>
              <w:rPr>
                <w:szCs w:val="22"/>
              </w:rPr>
            </w:pPr>
            <w:r w:rsidRPr="004E00C9">
              <w:rPr>
                <w:szCs w:val="22"/>
              </w:rPr>
              <w:t>RAIS (2010) for Aroclor 1254</w:t>
            </w:r>
          </w:p>
        </w:tc>
      </w:tr>
      <w:tr w:rsidR="00E97F53" w:rsidRPr="004E00C9" w:rsidTr="00287A72">
        <w:tc>
          <w:tcPr>
            <w:tcW w:w="2383" w:type="dxa"/>
          </w:tcPr>
          <w:p w:rsidR="00E97F53" w:rsidRPr="004E00C9" w:rsidRDefault="00E97F53" w:rsidP="00ED4349">
            <w:pPr>
              <w:spacing w:before="20"/>
              <w:rPr>
                <w:szCs w:val="22"/>
              </w:rPr>
            </w:pPr>
            <w:r w:rsidRPr="004E00C9">
              <w:rPr>
                <w:szCs w:val="22"/>
              </w:rPr>
              <w:t>Diffusivity in water</w:t>
            </w:r>
          </w:p>
        </w:tc>
        <w:tc>
          <w:tcPr>
            <w:tcW w:w="1900" w:type="dxa"/>
          </w:tcPr>
          <w:p w:rsidR="00E97F53" w:rsidRPr="004E00C9" w:rsidRDefault="00E97F53" w:rsidP="00ED4349">
            <w:pPr>
              <w:spacing w:before="20"/>
              <w:rPr>
                <w:szCs w:val="22"/>
              </w:rPr>
            </w:pPr>
            <w:r w:rsidRPr="004E00C9">
              <w:rPr>
                <w:szCs w:val="22"/>
              </w:rPr>
              <w:t>6.75x10</w:t>
            </w:r>
            <w:r w:rsidR="004E00C9">
              <w:rPr>
                <w:szCs w:val="22"/>
                <w:vertAlign w:val="superscript"/>
              </w:rPr>
              <w:noBreakHyphen/>
            </w:r>
            <w:r w:rsidRPr="004E00C9">
              <w:rPr>
                <w:szCs w:val="22"/>
                <w:vertAlign w:val="superscript"/>
              </w:rPr>
              <w:t>6</w:t>
            </w:r>
            <w:r w:rsidRPr="004E00C9">
              <w:rPr>
                <w:szCs w:val="22"/>
              </w:rPr>
              <w:t xml:space="preserve"> (cm</w:t>
            </w:r>
            <w:r w:rsidRPr="004E00C9">
              <w:rPr>
                <w:szCs w:val="22"/>
                <w:vertAlign w:val="superscript"/>
              </w:rPr>
              <w:t>2</w:t>
            </w:r>
            <w:r w:rsidRPr="004E00C9">
              <w:rPr>
                <w:szCs w:val="22"/>
              </w:rPr>
              <w:t>/s)</w:t>
            </w:r>
          </w:p>
        </w:tc>
        <w:tc>
          <w:tcPr>
            <w:tcW w:w="4076" w:type="dxa"/>
          </w:tcPr>
          <w:p w:rsidR="00E97F53" w:rsidRPr="004E00C9" w:rsidRDefault="00E97F53" w:rsidP="00ED4349">
            <w:pPr>
              <w:spacing w:before="20"/>
              <w:rPr>
                <w:szCs w:val="22"/>
              </w:rPr>
            </w:pPr>
            <w:r w:rsidRPr="004E00C9">
              <w:rPr>
                <w:szCs w:val="22"/>
              </w:rPr>
              <w:t>RAIS (2010) for Aroclor 1221</w:t>
            </w:r>
          </w:p>
        </w:tc>
      </w:tr>
      <w:tr w:rsidR="00E97F53" w:rsidRPr="004E00C9" w:rsidTr="00287A72">
        <w:tc>
          <w:tcPr>
            <w:tcW w:w="8359" w:type="dxa"/>
            <w:gridSpan w:val="3"/>
          </w:tcPr>
          <w:p w:rsidR="00E97F53" w:rsidRPr="004E00C9" w:rsidRDefault="00E97F53" w:rsidP="00ED4349">
            <w:pPr>
              <w:spacing w:before="20"/>
              <w:jc w:val="center"/>
              <w:rPr>
                <w:b/>
                <w:szCs w:val="22"/>
              </w:rPr>
            </w:pPr>
            <w:r w:rsidRPr="004E00C9">
              <w:rPr>
                <w:b/>
                <w:szCs w:val="22"/>
              </w:rPr>
              <w:t>Calculated Plant Uptake Factors (mg/kg produce fresh weight per mg/kg soil)</w:t>
            </w:r>
          </w:p>
        </w:tc>
      </w:tr>
      <w:tr w:rsidR="00E97F53" w:rsidRPr="004E00C9" w:rsidTr="00287A72">
        <w:tc>
          <w:tcPr>
            <w:tcW w:w="2383" w:type="dxa"/>
          </w:tcPr>
          <w:p w:rsidR="00E97F53" w:rsidRPr="004E00C9" w:rsidRDefault="00E97F53" w:rsidP="00ED4349">
            <w:pPr>
              <w:spacing w:before="20"/>
              <w:rPr>
                <w:szCs w:val="22"/>
              </w:rPr>
            </w:pPr>
            <w:r w:rsidRPr="004E00C9">
              <w:rPr>
                <w:szCs w:val="22"/>
              </w:rPr>
              <w:t>Green vegetables</w:t>
            </w:r>
          </w:p>
        </w:tc>
        <w:tc>
          <w:tcPr>
            <w:tcW w:w="1900" w:type="dxa"/>
          </w:tcPr>
          <w:p w:rsidR="00E97F53" w:rsidRPr="004E00C9" w:rsidRDefault="00E97F53" w:rsidP="00ED4349">
            <w:pPr>
              <w:spacing w:before="20"/>
              <w:rPr>
                <w:szCs w:val="22"/>
              </w:rPr>
            </w:pPr>
            <w:r w:rsidRPr="004E00C9">
              <w:rPr>
                <w:szCs w:val="22"/>
              </w:rPr>
              <w:t>0.00026</w:t>
            </w:r>
          </w:p>
        </w:tc>
        <w:tc>
          <w:tcPr>
            <w:tcW w:w="4076" w:type="dxa"/>
          </w:tcPr>
          <w:p w:rsidR="00E97F53" w:rsidRPr="004E00C9" w:rsidRDefault="00E97F53" w:rsidP="00ED4349">
            <w:pPr>
              <w:spacing w:before="20"/>
              <w:rPr>
                <w:szCs w:val="22"/>
              </w:rPr>
            </w:pPr>
            <w:r w:rsidRPr="004E00C9">
              <w:rPr>
                <w:szCs w:val="22"/>
              </w:rPr>
              <w:t>calculated</w:t>
            </w:r>
          </w:p>
        </w:tc>
      </w:tr>
      <w:tr w:rsidR="00E97F53" w:rsidRPr="004E00C9" w:rsidTr="00287A72">
        <w:tc>
          <w:tcPr>
            <w:tcW w:w="2383" w:type="dxa"/>
          </w:tcPr>
          <w:p w:rsidR="00E97F53" w:rsidRPr="004E00C9" w:rsidRDefault="00E97F53" w:rsidP="00ED4349">
            <w:pPr>
              <w:spacing w:before="20"/>
              <w:rPr>
                <w:szCs w:val="22"/>
              </w:rPr>
            </w:pPr>
            <w:r w:rsidRPr="004E00C9">
              <w:rPr>
                <w:szCs w:val="22"/>
              </w:rPr>
              <w:t>Root vegetables</w:t>
            </w:r>
          </w:p>
        </w:tc>
        <w:tc>
          <w:tcPr>
            <w:tcW w:w="1900" w:type="dxa"/>
          </w:tcPr>
          <w:p w:rsidR="00E97F53" w:rsidRPr="004E00C9" w:rsidRDefault="00E97F53" w:rsidP="00ED4349">
            <w:pPr>
              <w:spacing w:before="20"/>
              <w:rPr>
                <w:szCs w:val="22"/>
              </w:rPr>
            </w:pPr>
            <w:r w:rsidRPr="004E00C9">
              <w:rPr>
                <w:szCs w:val="22"/>
              </w:rPr>
              <w:t>0.0038</w:t>
            </w:r>
          </w:p>
        </w:tc>
        <w:tc>
          <w:tcPr>
            <w:tcW w:w="4076" w:type="dxa"/>
          </w:tcPr>
          <w:p w:rsidR="00E97F53" w:rsidRPr="004E00C9" w:rsidRDefault="00E97F53" w:rsidP="00ED4349">
            <w:pPr>
              <w:spacing w:before="20"/>
              <w:rPr>
                <w:szCs w:val="22"/>
              </w:rPr>
            </w:pPr>
            <w:r w:rsidRPr="004E00C9">
              <w:rPr>
                <w:szCs w:val="22"/>
              </w:rPr>
              <w:t>calculated</w:t>
            </w:r>
          </w:p>
        </w:tc>
      </w:tr>
      <w:tr w:rsidR="00E97F53" w:rsidRPr="004E00C9" w:rsidTr="00287A72">
        <w:tc>
          <w:tcPr>
            <w:tcW w:w="2383" w:type="dxa"/>
          </w:tcPr>
          <w:p w:rsidR="00E97F53" w:rsidRPr="004E00C9" w:rsidRDefault="00E97F53" w:rsidP="00ED4349">
            <w:pPr>
              <w:spacing w:before="20"/>
              <w:rPr>
                <w:szCs w:val="22"/>
              </w:rPr>
            </w:pPr>
            <w:r w:rsidRPr="004E00C9">
              <w:rPr>
                <w:szCs w:val="22"/>
              </w:rPr>
              <w:t>Tuber vegetables</w:t>
            </w:r>
          </w:p>
        </w:tc>
        <w:tc>
          <w:tcPr>
            <w:tcW w:w="1900" w:type="dxa"/>
          </w:tcPr>
          <w:p w:rsidR="00E97F53" w:rsidRPr="004E00C9" w:rsidRDefault="00E97F53" w:rsidP="00ED4349">
            <w:pPr>
              <w:spacing w:before="20"/>
              <w:rPr>
                <w:szCs w:val="22"/>
              </w:rPr>
            </w:pPr>
            <w:r w:rsidRPr="004E00C9">
              <w:rPr>
                <w:szCs w:val="22"/>
              </w:rPr>
              <w:t>0.079</w:t>
            </w:r>
          </w:p>
        </w:tc>
        <w:tc>
          <w:tcPr>
            <w:tcW w:w="4076" w:type="dxa"/>
          </w:tcPr>
          <w:p w:rsidR="00E97F53" w:rsidRPr="004E00C9" w:rsidRDefault="00E97F53" w:rsidP="00ED4349">
            <w:pPr>
              <w:spacing w:before="20"/>
              <w:rPr>
                <w:szCs w:val="22"/>
              </w:rPr>
            </w:pPr>
            <w:r w:rsidRPr="004E00C9">
              <w:rPr>
                <w:szCs w:val="22"/>
              </w:rPr>
              <w:t>calculated</w:t>
            </w:r>
          </w:p>
        </w:tc>
      </w:tr>
      <w:tr w:rsidR="00E97F53" w:rsidRPr="004E00C9" w:rsidTr="00287A72">
        <w:tc>
          <w:tcPr>
            <w:tcW w:w="2383" w:type="dxa"/>
          </w:tcPr>
          <w:p w:rsidR="00E97F53" w:rsidRPr="004E00C9" w:rsidRDefault="00E97F53" w:rsidP="00ED4349">
            <w:pPr>
              <w:spacing w:before="20"/>
              <w:rPr>
                <w:szCs w:val="22"/>
              </w:rPr>
            </w:pPr>
            <w:r w:rsidRPr="004E00C9">
              <w:rPr>
                <w:szCs w:val="22"/>
              </w:rPr>
              <w:t>Tree fruit</w:t>
            </w:r>
          </w:p>
        </w:tc>
        <w:tc>
          <w:tcPr>
            <w:tcW w:w="1900" w:type="dxa"/>
          </w:tcPr>
          <w:p w:rsidR="00E97F53" w:rsidRPr="004E00C9" w:rsidRDefault="00E97F53" w:rsidP="00ED4349">
            <w:pPr>
              <w:spacing w:before="20"/>
              <w:rPr>
                <w:szCs w:val="22"/>
              </w:rPr>
            </w:pPr>
            <w:r w:rsidRPr="004E00C9">
              <w:rPr>
                <w:szCs w:val="22"/>
              </w:rPr>
              <w:t>0.00096</w:t>
            </w:r>
          </w:p>
        </w:tc>
        <w:tc>
          <w:tcPr>
            <w:tcW w:w="4076" w:type="dxa"/>
          </w:tcPr>
          <w:p w:rsidR="00E97F53" w:rsidRPr="004E00C9" w:rsidRDefault="00E97F53" w:rsidP="00ED4349">
            <w:pPr>
              <w:spacing w:before="20"/>
              <w:rPr>
                <w:szCs w:val="22"/>
              </w:rPr>
            </w:pPr>
            <w:r w:rsidRPr="004E00C9">
              <w:rPr>
                <w:szCs w:val="22"/>
              </w:rPr>
              <w:t>calculated</w:t>
            </w:r>
          </w:p>
        </w:tc>
      </w:tr>
    </w:tbl>
    <w:p w:rsidR="00E97F53" w:rsidRPr="004E00C9" w:rsidRDefault="00E97F53" w:rsidP="00E97F53"/>
    <w:p w:rsidR="00E97F53" w:rsidRPr="004E00C9" w:rsidRDefault="00E97F53" w:rsidP="00E97F53">
      <w:pPr>
        <w:pStyle w:val="Heading3"/>
      </w:pPr>
      <w:bookmarkStart w:id="9" w:name="_Toc351713683"/>
      <w:r w:rsidRPr="004E00C9">
        <w:t>Intakes from Other Sources – Background</w:t>
      </w:r>
      <w:bookmarkEnd w:id="9"/>
    </w:p>
    <w:p w:rsidR="00E97F53" w:rsidRPr="004E00C9" w:rsidRDefault="00E97F53" w:rsidP="00E97F53">
      <w:r w:rsidRPr="004E00C9">
        <w:t>Background intakes (5.4 ng/kg/day for a child) were estimated by Di Marco &amp; Buckett (1993) in the derivation of the previous HIL. Review of information available from FSANZ (2003) indicates that PCBs remain undetected in Australian and New Zealand food supplies, information consistent with that identified by Di Marco &amp; Buckett (1993). Hence, intakes from food are considered negligible.</w:t>
      </w:r>
    </w:p>
    <w:p w:rsidR="00287A72" w:rsidRPr="004E00C9" w:rsidRDefault="00287A72" w:rsidP="00E97F53"/>
    <w:p w:rsidR="00E97F53" w:rsidRPr="004E00C9" w:rsidRDefault="00E97F53" w:rsidP="00E97F53">
      <w:r w:rsidRPr="004E00C9">
        <w:t>Intakes estimated by WHO (2003) are 0.3</w:t>
      </w:r>
      <w:r w:rsidRPr="004E00C9">
        <w:sym w:font="Symbol" w:char="F02D"/>
      </w:r>
      <w:r w:rsidRPr="004E00C9">
        <w:t>3 ng/kg/day from air (including data derived from close</w:t>
      </w:r>
      <w:r w:rsidR="004E00C9">
        <w:noBreakHyphen/>
      </w:r>
      <w:r w:rsidRPr="004E00C9">
        <w:t>to</w:t>
      </w:r>
      <w:r w:rsidR="004E00C9">
        <w:noBreakHyphen/>
      </w:r>
      <w:r w:rsidRPr="004E00C9">
        <w:t>stack emissions from industrial/hazardous waste sources) and less than 0.2 ng/kg/day, from water. These values are similar to those noted above. Air concentrations reported by WHO (2003) from areas away from significant sources ranged from 0.002</w:t>
      </w:r>
      <w:r w:rsidRPr="004E00C9">
        <w:sym w:font="Symbol" w:char="F02D"/>
      </w:r>
      <w:r w:rsidRPr="004E00C9">
        <w:t>0.95 ng/m</w:t>
      </w:r>
      <w:r w:rsidRPr="004E00C9">
        <w:rPr>
          <w:vertAlign w:val="superscript"/>
        </w:rPr>
        <w:t>3</w:t>
      </w:r>
      <w:r w:rsidRPr="004E00C9">
        <w:t xml:space="preserve"> with PCBs in air noted to be slowly declining since the early 1980s. Based on these concentrations, intake of PCBs in air away from significant sources is approximately 0.3 ng/kg/day (the lower end of the range reported by WHO). Intakes estimated by RIVM (2001) are dominated by food (particularly where seafood dominates the diet), where the total intake is estimated to be 10 ng/kg/day. More recent review of intakes of PCBs from food by RIVM (2003) suggests that median lifelong intakes are estimated to be 5.6 ng/kg/day, similar to those estimated by Di Marco &amp; Buckett (1993).</w:t>
      </w:r>
    </w:p>
    <w:p w:rsidR="00287A72" w:rsidRPr="004E00C9" w:rsidRDefault="00287A72" w:rsidP="00E97F53"/>
    <w:p w:rsidR="00E97F53" w:rsidRPr="004E00C9" w:rsidRDefault="00E97F53" w:rsidP="00E97F53">
      <w:r w:rsidRPr="004E00C9">
        <w:t>If the intakes estimated by WHO (2003) for air (away from significant sources) and water are considered relevant to current background intakes in Australia (where intakes from food are negligible), these comprise approximately 0.5 ng/kg/day, approximately 2.5% of the recommended oral TRV. These intakes are considered negligible.</w:t>
      </w:r>
    </w:p>
    <w:p w:rsidR="00E97F53" w:rsidRPr="004E00C9" w:rsidRDefault="00E97F53" w:rsidP="00E97F53">
      <w:pPr>
        <w:pStyle w:val="Heading2"/>
      </w:pPr>
      <w:bookmarkStart w:id="10" w:name="_Toc351713684"/>
      <w:r w:rsidRPr="004E00C9">
        <w:t>Identification of Toxicity Reference Values</w:t>
      </w:r>
      <w:bookmarkEnd w:id="10"/>
    </w:p>
    <w:p w:rsidR="00E97F53" w:rsidRPr="004E00C9" w:rsidRDefault="00E97F53" w:rsidP="00E97F53">
      <w:pPr>
        <w:pStyle w:val="Heading3"/>
      </w:pPr>
      <w:bookmarkStart w:id="11" w:name="_Toc351713685"/>
      <w:r w:rsidRPr="004E00C9">
        <w:t>Classification</w:t>
      </w:r>
      <w:bookmarkEnd w:id="11"/>
    </w:p>
    <w:p w:rsidR="00E97F53" w:rsidRPr="004E00C9" w:rsidRDefault="00E97F53" w:rsidP="00E97F53">
      <w:r w:rsidRPr="004E00C9">
        <w:t xml:space="preserve">The International Agency for Research on Cancer (IARC 1987) has classified PCBs as Group 2A—probably carcinogenic to humans. This evaluation is based on limited evidence in humans (occupational studies) and sufficient evidence in experimental animals, where some PCBs (particularly those with greater than 50% chlorination) produced liver neoplasms in mice and rats after oral administration. </w:t>
      </w:r>
    </w:p>
    <w:p w:rsidR="00287A72" w:rsidRPr="004E00C9" w:rsidRDefault="00287A72" w:rsidP="00E97F53"/>
    <w:p w:rsidR="00E97F53" w:rsidRPr="004E00C9" w:rsidRDefault="00E97F53" w:rsidP="00E97F53">
      <w:r w:rsidRPr="004E00C9">
        <w:t>It is noted that US EPA has classified PCBs as Group B2—probable human carcinogen.</w:t>
      </w:r>
    </w:p>
    <w:p w:rsidR="00E97F53" w:rsidRPr="004E00C9" w:rsidRDefault="00E97F53" w:rsidP="00E97F53">
      <w:pPr>
        <w:pStyle w:val="Heading3"/>
      </w:pPr>
      <w:bookmarkStart w:id="12" w:name="_Toc351713686"/>
      <w:r w:rsidRPr="004E00C9">
        <w:t>Review of Available Values/Information</w:t>
      </w:r>
      <w:bookmarkEnd w:id="12"/>
    </w:p>
    <w:p w:rsidR="00E97F53" w:rsidRPr="004E00C9" w:rsidRDefault="00E97F53" w:rsidP="00E97F53">
      <w:r w:rsidRPr="004E00C9">
        <w:t>PCBs have been associated with carcinogenic effects (in particular, hepatocarcinogenic effects have been seen in animals for PCBs with higher levels of chlorination) but the mode of action is of prime importance for determining the most appropriate dose</w:t>
      </w:r>
      <w:r w:rsidRPr="004E00C9">
        <w:sym w:font="Symbol" w:char="F02D"/>
      </w:r>
      <w:r w:rsidRPr="004E00C9">
        <w:t>response approach to adopt for establishing an HIL. Review by WHO (2003) notes that the results of in vitro</w:t>
      </w:r>
      <w:r w:rsidRPr="004E00C9">
        <w:rPr>
          <w:iCs/>
        </w:rPr>
        <w:t xml:space="preserve"> </w:t>
      </w:r>
      <w:r w:rsidRPr="004E00C9">
        <w:t>and in vivo genotoxicity studies on PCB mixtures are generally negative and suggest that PCB mixtures do not pose a direct genotoxic threat to humans. Although the mechanistic basis of the hepatocarcinogenicity of PCB mixtures in rodents is not clearly understood, it apparently is not due to genotoxicity. This is consistent with information provided by ATSDR (2000) and RIVM (2001).</w:t>
      </w:r>
    </w:p>
    <w:p w:rsidR="00287A72" w:rsidRPr="004E00C9" w:rsidRDefault="00287A72" w:rsidP="00E97F53"/>
    <w:p w:rsidR="00E97F53" w:rsidRPr="004E00C9" w:rsidRDefault="00E97F53" w:rsidP="00E97F53">
      <w:r w:rsidRPr="004E00C9">
        <w:t>On the basis of the available information, it is considered appropriate that a threshold dose</w:t>
      </w:r>
      <w:r w:rsidRPr="004E00C9">
        <w:sym w:font="Symbol" w:char="F02D"/>
      </w:r>
      <w:r w:rsidRPr="004E00C9">
        <w:t>response approach be adopted for PCBs. The following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2236"/>
        <w:gridCol w:w="5560"/>
      </w:tblGrid>
      <w:tr w:rsidR="00E97F53" w:rsidRPr="004E00C9" w:rsidTr="00ED4349">
        <w:trPr>
          <w:tblHeader/>
        </w:trPr>
        <w:tc>
          <w:tcPr>
            <w:tcW w:w="1384" w:type="dxa"/>
            <w:shd w:val="clear" w:color="auto" w:fill="C6D9F1" w:themeFill="text2" w:themeFillTint="33"/>
          </w:tcPr>
          <w:p w:rsidR="00E97F53" w:rsidRPr="004E00C9" w:rsidRDefault="00E97F53" w:rsidP="00ED4349">
            <w:pPr>
              <w:spacing w:before="20"/>
              <w:jc w:val="center"/>
              <w:rPr>
                <w:b/>
                <w:szCs w:val="22"/>
              </w:rPr>
            </w:pPr>
            <w:r w:rsidRPr="004E00C9">
              <w:rPr>
                <w:b/>
                <w:szCs w:val="22"/>
              </w:rPr>
              <w:t>Source</w:t>
            </w:r>
          </w:p>
        </w:tc>
        <w:tc>
          <w:tcPr>
            <w:tcW w:w="2410" w:type="dxa"/>
            <w:shd w:val="clear" w:color="auto" w:fill="C6D9F1" w:themeFill="text2" w:themeFillTint="33"/>
          </w:tcPr>
          <w:p w:rsidR="00E97F53" w:rsidRPr="004E00C9" w:rsidRDefault="00E97F53" w:rsidP="00ED4349">
            <w:pPr>
              <w:spacing w:before="20"/>
              <w:jc w:val="center"/>
              <w:rPr>
                <w:b/>
                <w:szCs w:val="22"/>
              </w:rPr>
            </w:pPr>
            <w:r w:rsidRPr="004E00C9">
              <w:rPr>
                <w:b/>
                <w:szCs w:val="22"/>
              </w:rPr>
              <w:t>Value</w:t>
            </w:r>
          </w:p>
        </w:tc>
        <w:tc>
          <w:tcPr>
            <w:tcW w:w="6169" w:type="dxa"/>
            <w:shd w:val="clear" w:color="auto" w:fill="C6D9F1" w:themeFill="text2" w:themeFillTint="33"/>
          </w:tcPr>
          <w:p w:rsidR="00E97F53" w:rsidRPr="004E00C9" w:rsidRDefault="00E97F53" w:rsidP="00ED4349">
            <w:pPr>
              <w:spacing w:before="20"/>
              <w:jc w:val="center"/>
              <w:rPr>
                <w:b/>
                <w:szCs w:val="22"/>
              </w:rPr>
            </w:pPr>
            <w:r w:rsidRPr="004E00C9">
              <w:rPr>
                <w:b/>
                <w:szCs w:val="22"/>
              </w:rPr>
              <w:t>Basis/Comments</w:t>
            </w:r>
          </w:p>
        </w:tc>
      </w:tr>
      <w:tr w:rsidR="00E97F53" w:rsidRPr="004E00C9" w:rsidTr="00ED4349">
        <w:tc>
          <w:tcPr>
            <w:tcW w:w="9963" w:type="dxa"/>
            <w:gridSpan w:val="3"/>
          </w:tcPr>
          <w:p w:rsidR="00E97F53" w:rsidRPr="004E00C9" w:rsidRDefault="00E97F53" w:rsidP="00ED4349">
            <w:pPr>
              <w:spacing w:before="20"/>
              <w:jc w:val="center"/>
              <w:rPr>
                <w:b/>
                <w:szCs w:val="22"/>
              </w:rPr>
            </w:pPr>
            <w:r w:rsidRPr="004E00C9">
              <w:rPr>
                <w:b/>
                <w:szCs w:val="22"/>
              </w:rPr>
              <w:t>Australian</w:t>
            </w:r>
          </w:p>
        </w:tc>
      </w:tr>
      <w:tr w:rsidR="00E97F53" w:rsidRPr="004E00C9" w:rsidTr="00ED4349">
        <w:tc>
          <w:tcPr>
            <w:tcW w:w="1384" w:type="dxa"/>
          </w:tcPr>
          <w:p w:rsidR="00E97F53" w:rsidRPr="004E00C9" w:rsidRDefault="00E97F53" w:rsidP="00ED4349">
            <w:pPr>
              <w:spacing w:before="20"/>
              <w:rPr>
                <w:szCs w:val="22"/>
              </w:rPr>
            </w:pPr>
            <w:r w:rsidRPr="004E00C9">
              <w:rPr>
                <w:szCs w:val="22"/>
              </w:rPr>
              <w:t xml:space="preserve">ADWG </w:t>
            </w:r>
          </w:p>
        </w:tc>
        <w:tc>
          <w:tcPr>
            <w:tcW w:w="2410" w:type="dxa"/>
          </w:tcPr>
          <w:p w:rsidR="00E97F53" w:rsidRPr="004E00C9" w:rsidRDefault="00E97F53" w:rsidP="00ED4349">
            <w:pPr>
              <w:spacing w:before="20"/>
              <w:rPr>
                <w:szCs w:val="22"/>
              </w:rPr>
            </w:pPr>
            <w:r w:rsidRPr="004E00C9">
              <w:rPr>
                <w:szCs w:val="22"/>
              </w:rPr>
              <w:t>No evaluation available</w:t>
            </w:r>
          </w:p>
        </w:tc>
        <w:tc>
          <w:tcPr>
            <w:tcW w:w="6169" w:type="dxa"/>
          </w:tcPr>
          <w:p w:rsidR="00E97F53" w:rsidRPr="004E00C9" w:rsidRDefault="00E97F53" w:rsidP="00ED4349">
            <w:pPr>
              <w:spacing w:before="20"/>
              <w:rPr>
                <w:szCs w:val="22"/>
              </w:rPr>
            </w:pPr>
          </w:p>
        </w:tc>
      </w:tr>
      <w:tr w:rsidR="00E97F53" w:rsidRPr="004E00C9" w:rsidTr="00ED4349">
        <w:tc>
          <w:tcPr>
            <w:tcW w:w="1384" w:type="dxa"/>
          </w:tcPr>
          <w:p w:rsidR="00E97F53" w:rsidRPr="004E00C9" w:rsidRDefault="00E97F53" w:rsidP="00ED4349">
            <w:pPr>
              <w:spacing w:before="20"/>
              <w:rPr>
                <w:szCs w:val="22"/>
              </w:rPr>
            </w:pPr>
            <w:r w:rsidRPr="004E00C9">
              <w:rPr>
                <w:szCs w:val="22"/>
              </w:rPr>
              <w:t>OCS (2012)</w:t>
            </w:r>
          </w:p>
        </w:tc>
        <w:tc>
          <w:tcPr>
            <w:tcW w:w="2410" w:type="dxa"/>
          </w:tcPr>
          <w:p w:rsidR="00E97F53" w:rsidRPr="004E00C9" w:rsidRDefault="00E97F53" w:rsidP="00ED4349">
            <w:pPr>
              <w:spacing w:before="20"/>
              <w:rPr>
                <w:szCs w:val="22"/>
              </w:rPr>
            </w:pPr>
            <w:r w:rsidRPr="004E00C9">
              <w:rPr>
                <w:szCs w:val="22"/>
              </w:rPr>
              <w:t xml:space="preserve">No evaluation </w:t>
            </w:r>
            <w:r w:rsidRPr="004E00C9">
              <w:rPr>
                <w:szCs w:val="22"/>
              </w:rPr>
              <w:lastRenderedPageBreak/>
              <w:t>available</w:t>
            </w:r>
          </w:p>
        </w:tc>
        <w:tc>
          <w:tcPr>
            <w:tcW w:w="6169" w:type="dxa"/>
          </w:tcPr>
          <w:p w:rsidR="00E97F53" w:rsidRPr="004E00C9" w:rsidRDefault="00E97F53" w:rsidP="00ED4349">
            <w:pPr>
              <w:spacing w:before="20"/>
              <w:rPr>
                <w:szCs w:val="22"/>
              </w:rPr>
            </w:pPr>
          </w:p>
        </w:tc>
      </w:tr>
      <w:tr w:rsidR="00E97F53" w:rsidRPr="004E00C9" w:rsidTr="00ED4349">
        <w:tc>
          <w:tcPr>
            <w:tcW w:w="9963" w:type="dxa"/>
            <w:gridSpan w:val="3"/>
          </w:tcPr>
          <w:p w:rsidR="00E97F53" w:rsidRPr="004E00C9" w:rsidRDefault="00E97F53" w:rsidP="00ED4349">
            <w:pPr>
              <w:spacing w:before="20"/>
              <w:jc w:val="center"/>
              <w:rPr>
                <w:b/>
                <w:szCs w:val="22"/>
              </w:rPr>
            </w:pPr>
            <w:r w:rsidRPr="004E00C9">
              <w:rPr>
                <w:b/>
                <w:szCs w:val="22"/>
              </w:rPr>
              <w:lastRenderedPageBreak/>
              <w:t>International</w:t>
            </w:r>
          </w:p>
        </w:tc>
      </w:tr>
      <w:tr w:rsidR="00E97F53" w:rsidRPr="004E00C9" w:rsidTr="00ED4349">
        <w:tc>
          <w:tcPr>
            <w:tcW w:w="1384" w:type="dxa"/>
          </w:tcPr>
          <w:p w:rsidR="00E97F53" w:rsidRPr="004E00C9" w:rsidRDefault="00E97F53" w:rsidP="00ED4349">
            <w:pPr>
              <w:spacing w:before="20"/>
              <w:rPr>
                <w:szCs w:val="22"/>
              </w:rPr>
            </w:pPr>
            <w:r w:rsidRPr="004E00C9">
              <w:rPr>
                <w:szCs w:val="22"/>
              </w:rPr>
              <w:t>WHO (2003)</w:t>
            </w:r>
          </w:p>
        </w:tc>
        <w:tc>
          <w:tcPr>
            <w:tcW w:w="2410" w:type="dxa"/>
          </w:tcPr>
          <w:p w:rsidR="00E97F53" w:rsidRPr="004E00C9" w:rsidRDefault="00E97F53" w:rsidP="00ED4349">
            <w:pPr>
              <w:spacing w:before="20"/>
              <w:rPr>
                <w:szCs w:val="22"/>
              </w:rPr>
            </w:pPr>
            <w:r w:rsidRPr="004E00C9">
              <w:rPr>
                <w:szCs w:val="22"/>
              </w:rPr>
              <w:t>TDI = 0.00002 mg/kg/day</w:t>
            </w:r>
          </w:p>
        </w:tc>
        <w:tc>
          <w:tcPr>
            <w:tcW w:w="6169" w:type="dxa"/>
          </w:tcPr>
          <w:p w:rsidR="00E97F53" w:rsidRPr="004E00C9" w:rsidRDefault="00E97F53" w:rsidP="00ED4349">
            <w:pPr>
              <w:spacing w:before="20"/>
              <w:rPr>
                <w:szCs w:val="22"/>
              </w:rPr>
            </w:pPr>
            <w:r w:rsidRPr="004E00C9">
              <w:rPr>
                <w:szCs w:val="22"/>
              </w:rPr>
              <w:t>Derived on the basis of a LOAEL of 0.005 mg/kg/day for Aroclor 1254 associated with immunological effects in a 23</w:t>
            </w:r>
            <w:r w:rsidR="004E00C9">
              <w:rPr>
                <w:szCs w:val="22"/>
              </w:rPr>
              <w:noBreakHyphen/>
            </w:r>
            <w:r w:rsidRPr="004E00C9">
              <w:rPr>
                <w:szCs w:val="22"/>
              </w:rPr>
              <w:t>month study in monkeys, and an uncertainty factor of 300. WHO considers this TDI relevant to mixtures of PCBs.</w:t>
            </w:r>
          </w:p>
        </w:tc>
      </w:tr>
      <w:tr w:rsidR="00E97F53" w:rsidRPr="004E00C9" w:rsidTr="00ED4349">
        <w:tc>
          <w:tcPr>
            <w:tcW w:w="1384" w:type="dxa"/>
          </w:tcPr>
          <w:p w:rsidR="00E97F53" w:rsidRPr="004E00C9" w:rsidRDefault="00E97F53" w:rsidP="00ED4349">
            <w:pPr>
              <w:spacing w:before="20"/>
              <w:rPr>
                <w:szCs w:val="22"/>
              </w:rPr>
            </w:pPr>
            <w:r w:rsidRPr="004E00C9">
              <w:rPr>
                <w:szCs w:val="22"/>
              </w:rPr>
              <w:t>WHO (2011)</w:t>
            </w:r>
          </w:p>
        </w:tc>
        <w:tc>
          <w:tcPr>
            <w:tcW w:w="2410" w:type="dxa"/>
          </w:tcPr>
          <w:p w:rsidR="00E97F53" w:rsidRPr="004E00C9" w:rsidRDefault="00E97F53" w:rsidP="00ED4349">
            <w:pPr>
              <w:spacing w:before="20"/>
              <w:rPr>
                <w:szCs w:val="22"/>
              </w:rPr>
            </w:pPr>
            <w:r w:rsidRPr="004E00C9">
              <w:rPr>
                <w:szCs w:val="22"/>
              </w:rPr>
              <w:t>No evaluation available</w:t>
            </w:r>
          </w:p>
        </w:tc>
        <w:tc>
          <w:tcPr>
            <w:tcW w:w="6169" w:type="dxa"/>
          </w:tcPr>
          <w:p w:rsidR="00E97F53" w:rsidRPr="004E00C9" w:rsidRDefault="00E97F53" w:rsidP="00ED4349">
            <w:pPr>
              <w:spacing w:before="20"/>
              <w:rPr>
                <w:szCs w:val="22"/>
              </w:rPr>
            </w:pPr>
          </w:p>
        </w:tc>
      </w:tr>
      <w:tr w:rsidR="00E97F53" w:rsidRPr="004E00C9" w:rsidTr="00ED4349">
        <w:tc>
          <w:tcPr>
            <w:tcW w:w="1384" w:type="dxa"/>
          </w:tcPr>
          <w:p w:rsidR="00E97F53" w:rsidRPr="004E00C9" w:rsidRDefault="00E97F53" w:rsidP="00ED4349">
            <w:pPr>
              <w:spacing w:before="20"/>
              <w:rPr>
                <w:szCs w:val="22"/>
              </w:rPr>
            </w:pPr>
            <w:r w:rsidRPr="004E00C9">
              <w:rPr>
                <w:szCs w:val="22"/>
              </w:rPr>
              <w:t>RIVM (2001)</w:t>
            </w:r>
          </w:p>
        </w:tc>
        <w:tc>
          <w:tcPr>
            <w:tcW w:w="2410" w:type="dxa"/>
          </w:tcPr>
          <w:p w:rsidR="00E97F53" w:rsidRPr="004E00C9" w:rsidRDefault="00E97F53" w:rsidP="00ED4349">
            <w:pPr>
              <w:spacing w:before="20"/>
              <w:rPr>
                <w:szCs w:val="22"/>
              </w:rPr>
            </w:pPr>
            <w:r w:rsidRPr="004E00C9">
              <w:rPr>
                <w:szCs w:val="22"/>
              </w:rPr>
              <w:t>TDI = 0.00001 mg/kg/day</w:t>
            </w:r>
          </w:p>
          <w:p w:rsidR="00E97F53" w:rsidRPr="004E00C9" w:rsidRDefault="00E97F53" w:rsidP="00ED4349">
            <w:pPr>
              <w:spacing w:before="20"/>
              <w:rPr>
                <w:szCs w:val="22"/>
              </w:rPr>
            </w:pPr>
            <w:r w:rsidRPr="004E00C9">
              <w:rPr>
                <w:szCs w:val="22"/>
              </w:rPr>
              <w:t>TC = 0.0005 mg/m</w:t>
            </w:r>
            <w:r w:rsidRPr="004E00C9">
              <w:rPr>
                <w:szCs w:val="22"/>
                <w:vertAlign w:val="superscript"/>
              </w:rPr>
              <w:t>3</w:t>
            </w:r>
          </w:p>
        </w:tc>
        <w:tc>
          <w:tcPr>
            <w:tcW w:w="6169" w:type="dxa"/>
          </w:tcPr>
          <w:p w:rsidR="00E97F53" w:rsidRPr="004E00C9" w:rsidRDefault="00E97F53" w:rsidP="00ED4349">
            <w:pPr>
              <w:spacing w:before="20"/>
              <w:rPr>
                <w:szCs w:val="22"/>
              </w:rPr>
            </w:pPr>
            <w:r w:rsidRPr="004E00C9">
              <w:rPr>
                <w:szCs w:val="22"/>
              </w:rPr>
              <w:t>TDI based on a LOAEL of 0.005 mg/kg/day for Aroclor 1254 associated with immunological effects in a 23</w:t>
            </w:r>
            <w:r w:rsidR="004E00C9">
              <w:rPr>
                <w:szCs w:val="22"/>
              </w:rPr>
              <w:noBreakHyphen/>
            </w:r>
            <w:r w:rsidRPr="004E00C9">
              <w:rPr>
                <w:szCs w:val="22"/>
              </w:rPr>
              <w:t>month study in monkeys, and an uncertainty factor of 270 (approx. 300). An additional factor of 2 has been applied that relates the TDI derived from Aroclor 1254 to that relevant to PCB mixtures, where the seven indicator PCBs are present in Aroclor 1254 between 40 and 50%. Hence the assessment of mixtures has been undertaking by assuming 50% of the TDI for Aroclor 1254.</w:t>
            </w:r>
          </w:p>
          <w:p w:rsidR="00E97F53" w:rsidRPr="004E00C9" w:rsidRDefault="00E97F53" w:rsidP="00ED4349">
            <w:pPr>
              <w:spacing w:before="20"/>
              <w:rPr>
                <w:szCs w:val="22"/>
              </w:rPr>
            </w:pPr>
            <w:r w:rsidRPr="004E00C9">
              <w:rPr>
                <w:szCs w:val="22"/>
              </w:rPr>
              <w:t>TC is based on a LOAEC (adjusted) of 0.3 mg/m</w:t>
            </w:r>
            <w:r w:rsidRPr="004E00C9">
              <w:rPr>
                <w:szCs w:val="22"/>
                <w:vertAlign w:val="superscript"/>
              </w:rPr>
              <w:t>3</w:t>
            </w:r>
            <w:r w:rsidRPr="004E00C9">
              <w:rPr>
                <w:szCs w:val="22"/>
              </w:rPr>
              <w:t xml:space="preserve"> for Aroclor 1254 associated with marginal effects in experimental animals, and an uncertainty factor of 300. The additional 50% factor noted above is also applied to the Aroclor TC.</w:t>
            </w:r>
          </w:p>
        </w:tc>
      </w:tr>
      <w:tr w:rsidR="00E97F53" w:rsidRPr="004E00C9" w:rsidTr="00ED4349">
        <w:tc>
          <w:tcPr>
            <w:tcW w:w="1384" w:type="dxa"/>
          </w:tcPr>
          <w:p w:rsidR="00E97F53" w:rsidRPr="004E00C9" w:rsidRDefault="00E97F53" w:rsidP="00ED4349">
            <w:pPr>
              <w:spacing w:before="20"/>
              <w:rPr>
                <w:szCs w:val="22"/>
              </w:rPr>
            </w:pPr>
            <w:r w:rsidRPr="004E00C9">
              <w:rPr>
                <w:szCs w:val="22"/>
              </w:rPr>
              <w:t>ATSDR (2000)</w:t>
            </w:r>
          </w:p>
        </w:tc>
        <w:tc>
          <w:tcPr>
            <w:tcW w:w="2410" w:type="dxa"/>
          </w:tcPr>
          <w:p w:rsidR="00E97F53" w:rsidRPr="004E00C9" w:rsidRDefault="00E97F53" w:rsidP="00ED4349">
            <w:pPr>
              <w:spacing w:before="20"/>
              <w:rPr>
                <w:szCs w:val="22"/>
              </w:rPr>
            </w:pPr>
            <w:r w:rsidRPr="004E00C9">
              <w:rPr>
                <w:szCs w:val="22"/>
              </w:rPr>
              <w:t>Oral MRL = 0.00002 mg/kg/day</w:t>
            </w:r>
          </w:p>
        </w:tc>
        <w:tc>
          <w:tcPr>
            <w:tcW w:w="6169" w:type="dxa"/>
          </w:tcPr>
          <w:p w:rsidR="00E97F53" w:rsidRPr="004E00C9" w:rsidRDefault="00E97F53" w:rsidP="00ED4349">
            <w:pPr>
              <w:spacing w:before="20"/>
              <w:rPr>
                <w:szCs w:val="22"/>
              </w:rPr>
            </w:pPr>
            <w:r w:rsidRPr="004E00C9">
              <w:rPr>
                <w:szCs w:val="22"/>
              </w:rPr>
              <w:t>Chronic oral MRL based on the same study as considered by RIVM and WHO (2003), with no additional adjustment for PCB mixtures.</w:t>
            </w:r>
          </w:p>
          <w:p w:rsidR="00E97F53" w:rsidRPr="004E00C9" w:rsidRDefault="00E97F53" w:rsidP="00ED4349">
            <w:pPr>
              <w:spacing w:before="20"/>
              <w:rPr>
                <w:szCs w:val="22"/>
              </w:rPr>
            </w:pPr>
            <w:r w:rsidRPr="004E00C9">
              <w:rPr>
                <w:szCs w:val="22"/>
              </w:rPr>
              <w:t>No inhalation MRL has been derived.</w:t>
            </w:r>
          </w:p>
        </w:tc>
      </w:tr>
      <w:tr w:rsidR="00E97F53" w:rsidRPr="004E00C9" w:rsidTr="00ED4349">
        <w:tc>
          <w:tcPr>
            <w:tcW w:w="1384" w:type="dxa"/>
          </w:tcPr>
          <w:p w:rsidR="00E97F53" w:rsidRPr="004E00C9" w:rsidRDefault="00E97F53" w:rsidP="00ED4349">
            <w:pPr>
              <w:spacing w:before="20"/>
              <w:rPr>
                <w:szCs w:val="22"/>
              </w:rPr>
            </w:pPr>
            <w:r w:rsidRPr="004E00C9">
              <w:rPr>
                <w:szCs w:val="22"/>
              </w:rPr>
              <w:t>US EPA (IRIS 2012)</w:t>
            </w:r>
          </w:p>
        </w:tc>
        <w:tc>
          <w:tcPr>
            <w:tcW w:w="2410" w:type="dxa"/>
          </w:tcPr>
          <w:p w:rsidR="00E97F53" w:rsidRPr="004E00C9" w:rsidRDefault="00E97F53" w:rsidP="00ED4349">
            <w:pPr>
              <w:spacing w:before="20"/>
              <w:rPr>
                <w:szCs w:val="22"/>
              </w:rPr>
            </w:pPr>
            <w:r w:rsidRPr="004E00C9">
              <w:rPr>
                <w:szCs w:val="22"/>
              </w:rPr>
              <w:t>RfD = 0.00002 mg/kg/day</w:t>
            </w:r>
          </w:p>
          <w:p w:rsidR="00E97F53" w:rsidRPr="004E00C9" w:rsidRDefault="00E97F53" w:rsidP="00ED4349">
            <w:pPr>
              <w:spacing w:before="20"/>
              <w:rPr>
                <w:szCs w:val="22"/>
              </w:rPr>
            </w:pPr>
          </w:p>
        </w:tc>
        <w:tc>
          <w:tcPr>
            <w:tcW w:w="6169" w:type="dxa"/>
          </w:tcPr>
          <w:p w:rsidR="00E97F53" w:rsidRPr="004E00C9" w:rsidRDefault="00E97F53" w:rsidP="00ED4349">
            <w:pPr>
              <w:spacing w:before="20"/>
              <w:rPr>
                <w:szCs w:val="22"/>
              </w:rPr>
            </w:pPr>
            <w:r w:rsidRPr="004E00C9">
              <w:rPr>
                <w:szCs w:val="22"/>
              </w:rPr>
              <w:t>US EPA RfD (last reviewed in 1994) derived on the same basis as that presented by ATSDR and WHO (2003).</w:t>
            </w:r>
          </w:p>
          <w:p w:rsidR="00E97F53" w:rsidRPr="004E00C9" w:rsidRDefault="00E97F53" w:rsidP="00ED4349">
            <w:pPr>
              <w:spacing w:before="20"/>
              <w:rPr>
                <w:szCs w:val="22"/>
              </w:rPr>
            </w:pPr>
            <w:r w:rsidRPr="004E00C9">
              <w:rPr>
                <w:szCs w:val="22"/>
              </w:rPr>
              <w:t>US EPA also presents a non</w:t>
            </w:r>
            <w:r w:rsidR="004E00C9">
              <w:rPr>
                <w:szCs w:val="22"/>
              </w:rPr>
              <w:noBreakHyphen/>
            </w:r>
            <w:r w:rsidRPr="004E00C9">
              <w:rPr>
                <w:szCs w:val="22"/>
              </w:rPr>
              <w:t>threshold oral slope factor for PCBs which is not considered relevant in this assessment.</w:t>
            </w:r>
          </w:p>
        </w:tc>
      </w:tr>
    </w:tbl>
    <w:p w:rsidR="00E97F53" w:rsidRPr="004E00C9" w:rsidRDefault="00E97F53" w:rsidP="00E97F53"/>
    <w:p w:rsidR="00E97F53" w:rsidRPr="004E00C9" w:rsidRDefault="00E97F53" w:rsidP="00E97F53">
      <w:r w:rsidRPr="004E00C9">
        <w:t>All the currently available oral threshold values for PCBs, based on Aroclor 1254, are derived from the same study with the only difference being the application of an additional factor by RIVM (2001) to address PCB mixtures. WHO (2003) considers that the available TDI for Aroclor 1254 is adequate to address PCB mixtures with no further adjustment. Hence the value derived by WHO (2003), also adopted by ATSDR and US EPA, is recommended for use in the derivation of a soil HIL.</w:t>
      </w:r>
    </w:p>
    <w:p w:rsidR="00287A72" w:rsidRPr="004E00C9" w:rsidRDefault="00287A72" w:rsidP="00E97F53"/>
    <w:p w:rsidR="00E97F53" w:rsidRPr="004E00C9" w:rsidRDefault="00E97F53" w:rsidP="00E97F53">
      <w:r w:rsidRPr="004E00C9">
        <w:t>Few inhalation</w:t>
      </w:r>
      <w:r w:rsidR="004E00C9">
        <w:noBreakHyphen/>
      </w:r>
      <w:r w:rsidRPr="004E00C9">
        <w:t>specific studies are available, with RIVM deriving an inhalation</w:t>
      </w:r>
      <w:r w:rsidR="004E00C9">
        <w:noBreakHyphen/>
      </w:r>
      <w:r w:rsidRPr="004E00C9">
        <w:t>specific value based on limited data. No dermal or inhalation</w:t>
      </w:r>
      <w:r w:rsidR="004E00C9">
        <w:noBreakHyphen/>
      </w:r>
      <w:r w:rsidRPr="004E00C9">
        <w:t>specific studies or data are available. As the data is limited and does not suggest the toxicity of PCBs is significantly different via inhalation, the oral TDI is recommended for the assessment of all pathways of exposure.</w:t>
      </w:r>
    </w:p>
    <w:p w:rsidR="00E97F53" w:rsidRPr="004E00C9" w:rsidRDefault="00E97F53" w:rsidP="00E97F53">
      <w:pPr>
        <w:pStyle w:val="Heading3"/>
      </w:pPr>
      <w:bookmarkStart w:id="13" w:name="_Toc351713687"/>
      <w:r w:rsidRPr="004E00C9">
        <w:t>Recommendation</w:t>
      </w:r>
      <w:bookmarkEnd w:id="13"/>
    </w:p>
    <w:p w:rsidR="00E97F53" w:rsidRPr="004E00C9" w:rsidRDefault="00E97F53" w:rsidP="00E97F53">
      <w:r w:rsidRPr="004E00C9">
        <w:t>On the basis of the discussion above, the following toxicity reference values (TRVs) have been adopted for PCBs in the derivation of HIL</w:t>
      </w:r>
      <w:r w:rsidR="006D0887" w:rsidRPr="004E00C9">
        <w:t>s</w:t>
      </w:r>
      <w:bookmarkStart w:id="14" w:name="OPCBMStartLocation"/>
      <w:bookmarkStart w:id="15" w:name="OPCFixDocStart"/>
      <w:bookmarkEnd w:id="14"/>
      <w:bookmarkEnd w:id="15"/>
    </w:p>
    <w:p w:rsidR="00E97F53" w:rsidRPr="004E00C9" w:rsidRDefault="00E97F53" w:rsidP="00E97F53">
      <w:pPr>
        <w:pStyle w:val="Heading2"/>
      </w:pPr>
      <w:bookmarkStart w:id="16" w:name="_Toc351713688"/>
      <w:r w:rsidRPr="004E00C9">
        <w:t>Calculated HILs</w:t>
      </w:r>
      <w:bookmarkEnd w:id="16"/>
    </w:p>
    <w:p w:rsidR="00E97F53" w:rsidRPr="004E00C9" w:rsidRDefault="00E97F53" w:rsidP="00E97F53">
      <w:r w:rsidRPr="004E00C9">
        <w:t>On the basis of the above, the following HILs have been derived for PCBs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E97F53" w:rsidRPr="004E00C9" w:rsidTr="00ED4349">
        <w:tc>
          <w:tcPr>
            <w:tcW w:w="1639" w:type="dxa"/>
            <w:vMerge w:val="restart"/>
            <w:shd w:val="clear" w:color="auto" w:fill="C6D9F1" w:themeFill="text2" w:themeFillTint="33"/>
          </w:tcPr>
          <w:p w:rsidR="00E97F53" w:rsidRPr="004E00C9" w:rsidRDefault="00E97F53" w:rsidP="00ED4349">
            <w:pPr>
              <w:spacing w:after="40"/>
              <w:rPr>
                <w:b/>
                <w:szCs w:val="22"/>
              </w:rPr>
            </w:pPr>
            <w:r w:rsidRPr="004E00C9">
              <w:rPr>
                <w:b/>
                <w:szCs w:val="22"/>
              </w:rPr>
              <w:t>HIL Scenario</w:t>
            </w:r>
          </w:p>
        </w:tc>
        <w:tc>
          <w:tcPr>
            <w:tcW w:w="1287" w:type="dxa"/>
            <w:vMerge w:val="restart"/>
            <w:shd w:val="clear" w:color="auto" w:fill="C6D9F1" w:themeFill="text2" w:themeFillTint="33"/>
          </w:tcPr>
          <w:p w:rsidR="00E97F53" w:rsidRPr="004E00C9" w:rsidRDefault="00E97F53" w:rsidP="00ED4349">
            <w:pPr>
              <w:spacing w:after="40"/>
              <w:jc w:val="center"/>
              <w:rPr>
                <w:b/>
                <w:szCs w:val="22"/>
              </w:rPr>
            </w:pPr>
            <w:r w:rsidRPr="004E00C9">
              <w:rPr>
                <w:b/>
                <w:szCs w:val="22"/>
              </w:rPr>
              <w:t>HIL (mg/kg)</w:t>
            </w:r>
          </w:p>
        </w:tc>
        <w:tc>
          <w:tcPr>
            <w:tcW w:w="5907" w:type="dxa"/>
            <w:gridSpan w:val="4"/>
            <w:shd w:val="clear" w:color="auto" w:fill="C6D9F1" w:themeFill="text2" w:themeFillTint="33"/>
          </w:tcPr>
          <w:p w:rsidR="00E97F53" w:rsidRPr="004E00C9" w:rsidRDefault="00E97F53" w:rsidP="00ED4349">
            <w:pPr>
              <w:spacing w:after="40"/>
              <w:jc w:val="center"/>
              <w:rPr>
                <w:b/>
                <w:szCs w:val="22"/>
              </w:rPr>
            </w:pPr>
            <w:r w:rsidRPr="004E00C9">
              <w:rPr>
                <w:b/>
                <w:szCs w:val="22"/>
              </w:rPr>
              <w:t>Percentage Contribution from Exposure Pathways</w:t>
            </w:r>
          </w:p>
        </w:tc>
      </w:tr>
      <w:tr w:rsidR="00E97F53" w:rsidRPr="004E00C9" w:rsidTr="00ED4349">
        <w:trPr>
          <w:trHeight w:val="427"/>
        </w:trPr>
        <w:tc>
          <w:tcPr>
            <w:tcW w:w="1639" w:type="dxa"/>
            <w:vMerge/>
            <w:shd w:val="clear" w:color="auto" w:fill="C6D9F1" w:themeFill="text2" w:themeFillTint="33"/>
          </w:tcPr>
          <w:p w:rsidR="00E97F53" w:rsidRPr="004E00C9" w:rsidRDefault="00E97F53" w:rsidP="00ED4349">
            <w:pPr>
              <w:spacing w:after="40"/>
              <w:rPr>
                <w:szCs w:val="22"/>
              </w:rPr>
            </w:pPr>
          </w:p>
        </w:tc>
        <w:tc>
          <w:tcPr>
            <w:tcW w:w="1287" w:type="dxa"/>
            <w:vMerge/>
            <w:shd w:val="clear" w:color="auto" w:fill="C6D9F1" w:themeFill="text2" w:themeFillTint="33"/>
          </w:tcPr>
          <w:p w:rsidR="00E97F53" w:rsidRPr="004E00C9" w:rsidRDefault="00E97F53" w:rsidP="00ED4349">
            <w:pPr>
              <w:spacing w:after="40"/>
              <w:jc w:val="center"/>
              <w:rPr>
                <w:szCs w:val="22"/>
              </w:rPr>
            </w:pPr>
          </w:p>
        </w:tc>
        <w:tc>
          <w:tcPr>
            <w:tcW w:w="1445" w:type="dxa"/>
            <w:shd w:val="clear" w:color="auto" w:fill="C6D9F1" w:themeFill="text2" w:themeFillTint="33"/>
          </w:tcPr>
          <w:p w:rsidR="00E97F53" w:rsidRPr="004E00C9" w:rsidRDefault="00E97F53" w:rsidP="00ED4349">
            <w:pPr>
              <w:spacing w:after="40"/>
              <w:jc w:val="center"/>
              <w:rPr>
                <w:b/>
                <w:szCs w:val="22"/>
              </w:rPr>
            </w:pPr>
            <w:r w:rsidRPr="004E00C9">
              <w:rPr>
                <w:b/>
                <w:szCs w:val="22"/>
              </w:rPr>
              <w:t xml:space="preserve">Ingestion of </w:t>
            </w:r>
            <w:r w:rsidRPr="004E00C9">
              <w:rPr>
                <w:b/>
                <w:szCs w:val="22"/>
              </w:rPr>
              <w:lastRenderedPageBreak/>
              <w:t>Soil/Dust</w:t>
            </w:r>
          </w:p>
        </w:tc>
        <w:tc>
          <w:tcPr>
            <w:tcW w:w="1517" w:type="dxa"/>
            <w:shd w:val="clear" w:color="auto" w:fill="C6D9F1" w:themeFill="text2" w:themeFillTint="33"/>
          </w:tcPr>
          <w:p w:rsidR="00E97F53" w:rsidRPr="004E00C9" w:rsidRDefault="00E97F53" w:rsidP="00ED4349">
            <w:pPr>
              <w:spacing w:after="40"/>
              <w:jc w:val="center"/>
              <w:rPr>
                <w:b/>
                <w:szCs w:val="22"/>
              </w:rPr>
            </w:pPr>
            <w:r w:rsidRPr="004E00C9">
              <w:rPr>
                <w:b/>
                <w:szCs w:val="22"/>
              </w:rPr>
              <w:lastRenderedPageBreak/>
              <w:t xml:space="preserve">Ingestion of </w:t>
            </w:r>
            <w:r w:rsidRPr="004E00C9">
              <w:rPr>
                <w:b/>
                <w:szCs w:val="22"/>
              </w:rPr>
              <w:lastRenderedPageBreak/>
              <w:t>Home</w:t>
            </w:r>
            <w:r w:rsidR="004E00C9">
              <w:rPr>
                <w:b/>
                <w:szCs w:val="22"/>
              </w:rPr>
              <w:noBreakHyphen/>
            </w:r>
            <w:r w:rsidRPr="004E00C9">
              <w:rPr>
                <w:b/>
                <w:szCs w:val="22"/>
              </w:rPr>
              <w:t>grown Produce</w:t>
            </w:r>
          </w:p>
        </w:tc>
        <w:tc>
          <w:tcPr>
            <w:tcW w:w="1553" w:type="dxa"/>
            <w:shd w:val="clear" w:color="auto" w:fill="C6D9F1" w:themeFill="text2" w:themeFillTint="33"/>
          </w:tcPr>
          <w:p w:rsidR="00E97F53" w:rsidRPr="004E00C9" w:rsidRDefault="00E97F53" w:rsidP="00ED4349">
            <w:pPr>
              <w:spacing w:after="40"/>
              <w:jc w:val="center"/>
              <w:rPr>
                <w:b/>
                <w:szCs w:val="22"/>
              </w:rPr>
            </w:pPr>
            <w:r w:rsidRPr="004E00C9">
              <w:rPr>
                <w:b/>
                <w:szCs w:val="22"/>
              </w:rPr>
              <w:lastRenderedPageBreak/>
              <w:t xml:space="preserve">Dermal </w:t>
            </w:r>
            <w:r w:rsidRPr="004E00C9">
              <w:rPr>
                <w:b/>
                <w:szCs w:val="22"/>
              </w:rPr>
              <w:lastRenderedPageBreak/>
              <w:t>Absorption of Soil/Dust</w:t>
            </w:r>
          </w:p>
        </w:tc>
        <w:tc>
          <w:tcPr>
            <w:tcW w:w="1392" w:type="dxa"/>
            <w:shd w:val="clear" w:color="auto" w:fill="C6D9F1" w:themeFill="text2" w:themeFillTint="33"/>
          </w:tcPr>
          <w:p w:rsidR="00E97F53" w:rsidRPr="004E00C9" w:rsidRDefault="00E97F53" w:rsidP="00ED4349">
            <w:pPr>
              <w:spacing w:after="40"/>
              <w:jc w:val="center"/>
              <w:rPr>
                <w:b/>
                <w:szCs w:val="22"/>
              </w:rPr>
            </w:pPr>
            <w:r w:rsidRPr="004E00C9">
              <w:rPr>
                <w:b/>
                <w:szCs w:val="22"/>
              </w:rPr>
              <w:lastRenderedPageBreak/>
              <w:t xml:space="preserve">Inhalation </w:t>
            </w:r>
            <w:r w:rsidRPr="004E00C9">
              <w:rPr>
                <w:b/>
                <w:szCs w:val="22"/>
              </w:rPr>
              <w:lastRenderedPageBreak/>
              <w:t>(dust)</w:t>
            </w:r>
          </w:p>
        </w:tc>
      </w:tr>
      <w:tr w:rsidR="00E97F53" w:rsidRPr="004E00C9" w:rsidTr="00ED4349">
        <w:tc>
          <w:tcPr>
            <w:tcW w:w="1639" w:type="dxa"/>
          </w:tcPr>
          <w:p w:rsidR="00E97F53" w:rsidRPr="004E00C9" w:rsidRDefault="00E97F53" w:rsidP="00ED4349">
            <w:pPr>
              <w:spacing w:after="40"/>
              <w:rPr>
                <w:szCs w:val="22"/>
              </w:rPr>
            </w:pPr>
            <w:r w:rsidRPr="004E00C9">
              <w:rPr>
                <w:szCs w:val="22"/>
              </w:rPr>
              <w:lastRenderedPageBreak/>
              <w:t>Residential A</w:t>
            </w:r>
          </w:p>
        </w:tc>
        <w:tc>
          <w:tcPr>
            <w:tcW w:w="1287" w:type="dxa"/>
          </w:tcPr>
          <w:p w:rsidR="00E97F53" w:rsidRPr="004E00C9" w:rsidRDefault="00E97F53" w:rsidP="00ED4349">
            <w:pPr>
              <w:spacing w:after="40"/>
              <w:jc w:val="center"/>
              <w:rPr>
                <w:szCs w:val="22"/>
              </w:rPr>
            </w:pPr>
            <w:r w:rsidRPr="004E00C9">
              <w:rPr>
                <w:szCs w:val="22"/>
              </w:rPr>
              <w:t>1</w:t>
            </w:r>
          </w:p>
        </w:tc>
        <w:tc>
          <w:tcPr>
            <w:tcW w:w="1445" w:type="dxa"/>
          </w:tcPr>
          <w:p w:rsidR="00E97F53" w:rsidRPr="004E00C9" w:rsidRDefault="00E97F53" w:rsidP="00ED4349">
            <w:pPr>
              <w:spacing w:after="40"/>
              <w:jc w:val="center"/>
              <w:rPr>
                <w:szCs w:val="22"/>
              </w:rPr>
            </w:pPr>
            <w:r w:rsidRPr="004E00C9">
              <w:rPr>
                <w:szCs w:val="22"/>
              </w:rPr>
              <w:t>19</w:t>
            </w:r>
          </w:p>
        </w:tc>
        <w:tc>
          <w:tcPr>
            <w:tcW w:w="1517" w:type="dxa"/>
          </w:tcPr>
          <w:p w:rsidR="00E97F53" w:rsidRPr="004E00C9" w:rsidRDefault="00E97F53" w:rsidP="00ED4349">
            <w:pPr>
              <w:spacing w:after="40"/>
              <w:jc w:val="center"/>
              <w:rPr>
                <w:szCs w:val="22"/>
              </w:rPr>
            </w:pPr>
            <w:r w:rsidRPr="004E00C9">
              <w:rPr>
                <w:szCs w:val="22"/>
              </w:rPr>
              <w:t>46</w:t>
            </w:r>
          </w:p>
        </w:tc>
        <w:tc>
          <w:tcPr>
            <w:tcW w:w="1553" w:type="dxa"/>
          </w:tcPr>
          <w:p w:rsidR="00E97F53" w:rsidRPr="004E00C9" w:rsidRDefault="00E97F53" w:rsidP="00ED4349">
            <w:pPr>
              <w:spacing w:after="40"/>
              <w:jc w:val="center"/>
              <w:rPr>
                <w:szCs w:val="22"/>
              </w:rPr>
            </w:pPr>
            <w:r w:rsidRPr="004E00C9">
              <w:rPr>
                <w:szCs w:val="22"/>
              </w:rPr>
              <w:t>35</w:t>
            </w:r>
          </w:p>
        </w:tc>
        <w:tc>
          <w:tcPr>
            <w:tcW w:w="1392" w:type="dxa"/>
          </w:tcPr>
          <w:p w:rsidR="00E97F53" w:rsidRPr="004E00C9" w:rsidRDefault="00E97F53" w:rsidP="00ED4349">
            <w:pPr>
              <w:spacing w:after="40"/>
              <w:jc w:val="center"/>
              <w:rPr>
                <w:szCs w:val="22"/>
              </w:rPr>
            </w:pPr>
            <w:r w:rsidRPr="004E00C9">
              <w:rPr>
                <w:szCs w:val="22"/>
              </w:rPr>
              <w:t>&lt;1</w:t>
            </w:r>
          </w:p>
        </w:tc>
      </w:tr>
      <w:tr w:rsidR="00E97F53" w:rsidRPr="004E00C9" w:rsidTr="00ED4349">
        <w:tc>
          <w:tcPr>
            <w:tcW w:w="1639" w:type="dxa"/>
          </w:tcPr>
          <w:p w:rsidR="00E97F53" w:rsidRPr="004E00C9" w:rsidRDefault="00E97F53" w:rsidP="00ED4349">
            <w:pPr>
              <w:spacing w:after="40"/>
              <w:rPr>
                <w:szCs w:val="22"/>
              </w:rPr>
            </w:pPr>
            <w:r w:rsidRPr="004E00C9">
              <w:rPr>
                <w:szCs w:val="22"/>
              </w:rPr>
              <w:t>Residential B</w:t>
            </w:r>
          </w:p>
        </w:tc>
        <w:tc>
          <w:tcPr>
            <w:tcW w:w="1287" w:type="dxa"/>
          </w:tcPr>
          <w:p w:rsidR="00E97F53" w:rsidRPr="004E00C9" w:rsidRDefault="00E97F53" w:rsidP="00ED4349">
            <w:pPr>
              <w:spacing w:after="40"/>
              <w:jc w:val="center"/>
              <w:rPr>
                <w:szCs w:val="22"/>
              </w:rPr>
            </w:pPr>
            <w:r w:rsidRPr="004E00C9">
              <w:rPr>
                <w:szCs w:val="22"/>
              </w:rPr>
              <w:t>1</w:t>
            </w:r>
          </w:p>
        </w:tc>
        <w:tc>
          <w:tcPr>
            <w:tcW w:w="1445" w:type="dxa"/>
          </w:tcPr>
          <w:p w:rsidR="00E97F53" w:rsidRPr="004E00C9" w:rsidRDefault="00E97F53" w:rsidP="00ED4349">
            <w:pPr>
              <w:spacing w:after="40"/>
              <w:jc w:val="center"/>
              <w:rPr>
                <w:szCs w:val="22"/>
              </w:rPr>
            </w:pPr>
            <w:r w:rsidRPr="004E00C9">
              <w:rPr>
                <w:szCs w:val="22"/>
              </w:rPr>
              <w:t>12</w:t>
            </w:r>
          </w:p>
        </w:tc>
        <w:tc>
          <w:tcPr>
            <w:tcW w:w="1517" w:type="dxa"/>
          </w:tcPr>
          <w:p w:rsidR="00E97F53" w:rsidRPr="004E00C9" w:rsidRDefault="004E00C9" w:rsidP="00ED4349">
            <w:pPr>
              <w:spacing w:after="40"/>
              <w:jc w:val="center"/>
              <w:rPr>
                <w:szCs w:val="22"/>
              </w:rPr>
            </w:pPr>
            <w:r>
              <w:rPr>
                <w:szCs w:val="22"/>
              </w:rPr>
              <w:noBreakHyphen/>
            </w:r>
            <w:r>
              <w:rPr>
                <w:szCs w:val="22"/>
              </w:rPr>
              <w:noBreakHyphen/>
            </w:r>
          </w:p>
        </w:tc>
        <w:tc>
          <w:tcPr>
            <w:tcW w:w="1553" w:type="dxa"/>
          </w:tcPr>
          <w:p w:rsidR="00E97F53" w:rsidRPr="004E00C9" w:rsidRDefault="00E97F53" w:rsidP="00ED4349">
            <w:pPr>
              <w:spacing w:after="40"/>
              <w:jc w:val="center"/>
              <w:rPr>
                <w:szCs w:val="22"/>
              </w:rPr>
            </w:pPr>
            <w:r w:rsidRPr="004E00C9">
              <w:rPr>
                <w:szCs w:val="22"/>
              </w:rPr>
              <w:t>88</w:t>
            </w:r>
          </w:p>
        </w:tc>
        <w:tc>
          <w:tcPr>
            <w:tcW w:w="1392" w:type="dxa"/>
          </w:tcPr>
          <w:p w:rsidR="00E97F53" w:rsidRPr="004E00C9" w:rsidRDefault="00E97F53" w:rsidP="00ED4349">
            <w:pPr>
              <w:spacing w:after="40"/>
              <w:jc w:val="center"/>
              <w:rPr>
                <w:szCs w:val="22"/>
              </w:rPr>
            </w:pPr>
            <w:r w:rsidRPr="004E00C9">
              <w:rPr>
                <w:szCs w:val="22"/>
              </w:rPr>
              <w:t>&lt;1</w:t>
            </w:r>
          </w:p>
        </w:tc>
      </w:tr>
      <w:tr w:rsidR="00E97F53" w:rsidRPr="004E00C9" w:rsidTr="00ED4349">
        <w:tc>
          <w:tcPr>
            <w:tcW w:w="1639" w:type="dxa"/>
          </w:tcPr>
          <w:p w:rsidR="00E97F53" w:rsidRPr="004E00C9" w:rsidRDefault="00E97F53" w:rsidP="00ED4349">
            <w:pPr>
              <w:spacing w:after="40"/>
              <w:rPr>
                <w:szCs w:val="22"/>
              </w:rPr>
            </w:pPr>
            <w:r w:rsidRPr="004E00C9">
              <w:rPr>
                <w:szCs w:val="22"/>
              </w:rPr>
              <w:t>Recreational C</w:t>
            </w:r>
          </w:p>
        </w:tc>
        <w:tc>
          <w:tcPr>
            <w:tcW w:w="1287" w:type="dxa"/>
          </w:tcPr>
          <w:p w:rsidR="00E97F53" w:rsidRPr="004E00C9" w:rsidRDefault="00E97F53" w:rsidP="00ED4349">
            <w:pPr>
              <w:spacing w:after="40"/>
              <w:jc w:val="center"/>
              <w:rPr>
                <w:szCs w:val="22"/>
              </w:rPr>
            </w:pPr>
            <w:r w:rsidRPr="004E00C9">
              <w:rPr>
                <w:szCs w:val="22"/>
              </w:rPr>
              <w:t>1</w:t>
            </w:r>
          </w:p>
        </w:tc>
        <w:tc>
          <w:tcPr>
            <w:tcW w:w="1445" w:type="dxa"/>
          </w:tcPr>
          <w:p w:rsidR="00E97F53" w:rsidRPr="004E00C9" w:rsidRDefault="00E97F53" w:rsidP="00ED4349">
            <w:pPr>
              <w:spacing w:after="40"/>
              <w:jc w:val="center"/>
              <w:rPr>
                <w:szCs w:val="22"/>
              </w:rPr>
            </w:pPr>
            <w:r w:rsidRPr="004E00C9">
              <w:rPr>
                <w:szCs w:val="22"/>
              </w:rPr>
              <w:t>21</w:t>
            </w:r>
          </w:p>
        </w:tc>
        <w:tc>
          <w:tcPr>
            <w:tcW w:w="1517" w:type="dxa"/>
          </w:tcPr>
          <w:p w:rsidR="00E97F53" w:rsidRPr="004E00C9" w:rsidRDefault="004E00C9" w:rsidP="00ED4349">
            <w:pPr>
              <w:spacing w:after="40"/>
              <w:jc w:val="center"/>
              <w:rPr>
                <w:szCs w:val="22"/>
              </w:rPr>
            </w:pPr>
            <w:r>
              <w:rPr>
                <w:szCs w:val="22"/>
              </w:rPr>
              <w:noBreakHyphen/>
            </w:r>
            <w:r>
              <w:rPr>
                <w:szCs w:val="22"/>
              </w:rPr>
              <w:noBreakHyphen/>
            </w:r>
          </w:p>
        </w:tc>
        <w:tc>
          <w:tcPr>
            <w:tcW w:w="1553" w:type="dxa"/>
          </w:tcPr>
          <w:p w:rsidR="00E97F53" w:rsidRPr="004E00C9" w:rsidRDefault="00E97F53" w:rsidP="00ED4349">
            <w:pPr>
              <w:spacing w:after="40"/>
              <w:jc w:val="center"/>
              <w:rPr>
                <w:szCs w:val="22"/>
              </w:rPr>
            </w:pPr>
            <w:r w:rsidRPr="004E00C9">
              <w:rPr>
                <w:szCs w:val="22"/>
              </w:rPr>
              <w:t>79</w:t>
            </w:r>
          </w:p>
        </w:tc>
        <w:tc>
          <w:tcPr>
            <w:tcW w:w="1392" w:type="dxa"/>
          </w:tcPr>
          <w:p w:rsidR="00E97F53" w:rsidRPr="004E00C9" w:rsidRDefault="00E97F53" w:rsidP="00ED4349">
            <w:pPr>
              <w:spacing w:after="40"/>
              <w:jc w:val="center"/>
              <w:rPr>
                <w:szCs w:val="22"/>
              </w:rPr>
            </w:pPr>
            <w:r w:rsidRPr="004E00C9">
              <w:rPr>
                <w:szCs w:val="22"/>
              </w:rPr>
              <w:t>&lt;1</w:t>
            </w:r>
          </w:p>
        </w:tc>
      </w:tr>
      <w:tr w:rsidR="00E97F53" w:rsidRPr="004E00C9" w:rsidTr="00ED4349">
        <w:tc>
          <w:tcPr>
            <w:tcW w:w="1639" w:type="dxa"/>
          </w:tcPr>
          <w:p w:rsidR="00E97F53" w:rsidRPr="004E00C9" w:rsidRDefault="00E97F53" w:rsidP="00ED4349">
            <w:pPr>
              <w:spacing w:after="40"/>
              <w:rPr>
                <w:szCs w:val="22"/>
              </w:rPr>
            </w:pPr>
            <w:r w:rsidRPr="004E00C9">
              <w:rPr>
                <w:szCs w:val="22"/>
              </w:rPr>
              <w:t>Commercial D</w:t>
            </w:r>
          </w:p>
        </w:tc>
        <w:tc>
          <w:tcPr>
            <w:tcW w:w="1287" w:type="dxa"/>
          </w:tcPr>
          <w:p w:rsidR="00E97F53" w:rsidRPr="004E00C9" w:rsidRDefault="00E97F53" w:rsidP="00ED4349">
            <w:pPr>
              <w:spacing w:after="40"/>
              <w:jc w:val="center"/>
              <w:rPr>
                <w:szCs w:val="22"/>
              </w:rPr>
            </w:pPr>
            <w:r w:rsidRPr="004E00C9">
              <w:rPr>
                <w:szCs w:val="22"/>
              </w:rPr>
              <w:t>7</w:t>
            </w:r>
          </w:p>
        </w:tc>
        <w:tc>
          <w:tcPr>
            <w:tcW w:w="1445" w:type="dxa"/>
          </w:tcPr>
          <w:p w:rsidR="00E97F53" w:rsidRPr="004E00C9" w:rsidRDefault="00E97F53" w:rsidP="00ED4349">
            <w:pPr>
              <w:spacing w:after="40"/>
              <w:jc w:val="center"/>
              <w:rPr>
                <w:szCs w:val="22"/>
              </w:rPr>
            </w:pPr>
            <w:r w:rsidRPr="004E00C9">
              <w:rPr>
                <w:szCs w:val="22"/>
              </w:rPr>
              <w:t>9</w:t>
            </w:r>
          </w:p>
        </w:tc>
        <w:tc>
          <w:tcPr>
            <w:tcW w:w="1517" w:type="dxa"/>
          </w:tcPr>
          <w:p w:rsidR="00E97F53" w:rsidRPr="004E00C9" w:rsidRDefault="004E00C9" w:rsidP="00ED4349">
            <w:pPr>
              <w:spacing w:after="40"/>
              <w:jc w:val="center"/>
              <w:rPr>
                <w:szCs w:val="22"/>
              </w:rPr>
            </w:pPr>
            <w:r>
              <w:rPr>
                <w:szCs w:val="22"/>
              </w:rPr>
              <w:noBreakHyphen/>
            </w:r>
            <w:r>
              <w:rPr>
                <w:szCs w:val="22"/>
              </w:rPr>
              <w:noBreakHyphen/>
            </w:r>
          </w:p>
        </w:tc>
        <w:tc>
          <w:tcPr>
            <w:tcW w:w="1553" w:type="dxa"/>
          </w:tcPr>
          <w:p w:rsidR="00E97F53" w:rsidRPr="004E00C9" w:rsidRDefault="00E97F53" w:rsidP="00ED4349">
            <w:pPr>
              <w:spacing w:after="40"/>
              <w:jc w:val="center"/>
              <w:rPr>
                <w:szCs w:val="22"/>
              </w:rPr>
            </w:pPr>
            <w:r w:rsidRPr="004E00C9">
              <w:rPr>
                <w:szCs w:val="22"/>
              </w:rPr>
              <w:t>91</w:t>
            </w:r>
          </w:p>
        </w:tc>
        <w:tc>
          <w:tcPr>
            <w:tcW w:w="1392" w:type="dxa"/>
          </w:tcPr>
          <w:p w:rsidR="00E97F53" w:rsidRPr="004E00C9" w:rsidRDefault="00E97F53" w:rsidP="00ED4349">
            <w:pPr>
              <w:spacing w:after="40"/>
              <w:jc w:val="center"/>
              <w:rPr>
                <w:szCs w:val="22"/>
              </w:rPr>
            </w:pPr>
            <w:r w:rsidRPr="004E00C9">
              <w:rPr>
                <w:szCs w:val="22"/>
              </w:rPr>
              <w:t>&lt;1</w:t>
            </w:r>
          </w:p>
        </w:tc>
      </w:tr>
    </w:tbl>
    <w:p w:rsidR="00E97F53" w:rsidRPr="004E00C9" w:rsidRDefault="004E00C9" w:rsidP="00E97F53">
      <w:pPr>
        <w:spacing w:after="40"/>
        <w:rPr>
          <w:sz w:val="16"/>
          <w:szCs w:val="16"/>
        </w:rPr>
      </w:pPr>
      <w:r>
        <w:rPr>
          <w:sz w:val="16"/>
          <w:szCs w:val="16"/>
        </w:rPr>
        <w:noBreakHyphen/>
      </w:r>
      <w:r>
        <w:rPr>
          <w:sz w:val="16"/>
          <w:szCs w:val="16"/>
        </w:rPr>
        <w:noBreakHyphen/>
      </w:r>
      <w:r w:rsidR="00E97F53" w:rsidRPr="004E00C9">
        <w:rPr>
          <w:sz w:val="16"/>
          <w:szCs w:val="16"/>
        </w:rPr>
        <w:t xml:space="preserve"> Pathway not included in derivation of HIL</w:t>
      </w:r>
    </w:p>
    <w:p w:rsidR="00E97F53" w:rsidRPr="004E00C9" w:rsidRDefault="00E97F53" w:rsidP="00E97F53"/>
    <w:p w:rsidR="00E97F53" w:rsidRPr="004E00C9" w:rsidRDefault="00E97F53" w:rsidP="00E97F53">
      <w:pPr>
        <w:pStyle w:val="Heading2"/>
      </w:pPr>
      <w:bookmarkStart w:id="17" w:name="_Toc351713689"/>
      <w:r w:rsidRPr="004E00C9">
        <w:t>References</w:t>
      </w:r>
      <w:bookmarkEnd w:id="17"/>
    </w:p>
    <w:p w:rsidR="00E97F53" w:rsidRPr="004E00C9" w:rsidRDefault="00E97F53" w:rsidP="00E97F53">
      <w:pPr>
        <w:pStyle w:val="StyletextLeft0cmHanging1cm"/>
      </w:pPr>
      <w:r w:rsidRPr="004E00C9">
        <w:t xml:space="preserve">ATSDR 2000, </w:t>
      </w:r>
      <w:r w:rsidRPr="004E00C9">
        <w:rPr>
          <w:i/>
          <w:lang w:eastAsia="en-US"/>
        </w:rPr>
        <w:t xml:space="preserve">Toxicological Profile </w:t>
      </w:r>
      <w:r w:rsidRPr="004E00C9">
        <w:rPr>
          <w:i/>
        </w:rPr>
        <w:t>for Polychlorinated Biphenyls</w:t>
      </w:r>
      <w:r w:rsidRPr="004E00C9">
        <w:t>, Agency for Toxic Substances and Disease Registry, November 2000.</w:t>
      </w:r>
    </w:p>
    <w:p w:rsidR="00E97F53" w:rsidRPr="004E00C9" w:rsidRDefault="00E97F53" w:rsidP="00E97F53">
      <w:pPr>
        <w:pStyle w:val="StyletextLeft0cmHanging1cm"/>
      </w:pPr>
      <w:r w:rsidRPr="004E00C9">
        <w:t xml:space="preserve">CCME 1999, </w:t>
      </w:r>
      <w:r w:rsidRPr="004E00C9">
        <w:rPr>
          <w:i/>
        </w:rPr>
        <w:t>Polychlorinated Biphenyls (total), Canadian Soil Quality Guidelines for the Protection of Environmental and Human Health,</w:t>
      </w:r>
      <w:r w:rsidRPr="004E00C9">
        <w:t xml:space="preserve"> Canadian Council of Ministers of the Environment, 1999.</w:t>
      </w:r>
    </w:p>
    <w:p w:rsidR="00E97F53" w:rsidRPr="004E00C9" w:rsidRDefault="00E97F53" w:rsidP="00E97F53">
      <w:pPr>
        <w:pStyle w:val="StyletextLeft0cmHanging1cm"/>
      </w:pPr>
      <w:r w:rsidRPr="004E00C9">
        <w:t xml:space="preserve">Di Marco, P &amp; Buckett, K 1993, ‘Derivation of a Health Investigation Level for PCBs’, presented in the proceedings of the </w:t>
      </w:r>
      <w:r w:rsidRPr="004E00C9">
        <w:rPr>
          <w:i/>
        </w:rPr>
        <w:t>Second National Workshop on the Health Risk Assessment and Management of Contaminated Sites, Contaminated Sites Monograph Series, No.</w:t>
      </w:r>
      <w:r w:rsidR="004E00C9">
        <w:rPr>
          <w:i/>
        </w:rPr>
        <w:t> </w:t>
      </w:r>
      <w:r w:rsidRPr="004E00C9">
        <w:rPr>
          <w:i/>
        </w:rPr>
        <w:t>2,</w:t>
      </w:r>
      <w:r w:rsidRPr="004E00C9">
        <w:t xml:space="preserve"> 1993.</w:t>
      </w:r>
    </w:p>
    <w:p w:rsidR="00E97F53" w:rsidRPr="004E00C9" w:rsidRDefault="00E97F53" w:rsidP="00E97F53">
      <w:pPr>
        <w:pStyle w:val="StyletextLeft0cmHanging1cm"/>
      </w:pPr>
      <w:r w:rsidRPr="004E00C9">
        <w:t xml:space="preserve">EPHC 2003, </w:t>
      </w:r>
      <w:r w:rsidRPr="004E00C9">
        <w:rPr>
          <w:i/>
        </w:rPr>
        <w:t>Polychlorinated Biphenyls Management Plan</w:t>
      </w:r>
      <w:r w:rsidRPr="004E00C9">
        <w:t xml:space="preserve">, Revised edition, April 2003, Scheduled Waste Management Group, available from </w:t>
      </w:r>
      <w:hyperlink r:id="rId11" w:anchor="download" w:history="1">
        <w:r w:rsidRPr="004E00C9">
          <w:rPr>
            <w:rStyle w:val="Hyperlink"/>
            <w:rFonts w:cs="Arial"/>
            <w:szCs w:val="22"/>
          </w:rPr>
          <w:t>http://www.environment.gov.au/settlements/publications/chemicals/scheduled</w:t>
        </w:r>
        <w:r w:rsidR="004E00C9">
          <w:rPr>
            <w:rStyle w:val="Hyperlink"/>
            <w:rFonts w:cs="Arial"/>
            <w:szCs w:val="22"/>
          </w:rPr>
          <w:noBreakHyphen/>
        </w:r>
        <w:r w:rsidRPr="004E00C9">
          <w:rPr>
            <w:rStyle w:val="Hyperlink"/>
            <w:rFonts w:cs="Arial"/>
            <w:szCs w:val="22"/>
          </w:rPr>
          <w:t>waste/pcbmanagement/index.html#download</w:t>
        </w:r>
      </w:hyperlink>
      <w:r w:rsidRPr="004E00C9">
        <w:t>.</w:t>
      </w:r>
    </w:p>
    <w:p w:rsidR="00E97F53" w:rsidRPr="004E00C9" w:rsidRDefault="00E97F53" w:rsidP="00E97F53">
      <w:pPr>
        <w:pStyle w:val="StyletextLeft0cmHanging1cm"/>
      </w:pPr>
      <w:r w:rsidRPr="004E00C9">
        <w:t xml:space="preserve">IARC 1987, </w:t>
      </w:r>
      <w:r w:rsidRPr="004E00C9">
        <w:rPr>
          <w:i/>
        </w:rPr>
        <w:t>Summaries &amp; Evaluations, Polychlorinated Biphenyls</w:t>
      </w:r>
      <w:r w:rsidRPr="004E00C9">
        <w:t>, Supplement 7: (1987), p. 322, International Agency for Research on Cancer.</w:t>
      </w:r>
    </w:p>
    <w:p w:rsidR="00E97F53" w:rsidRPr="004E00C9" w:rsidRDefault="00E97F53" w:rsidP="00E97F53">
      <w:pPr>
        <w:pStyle w:val="StyletextLeft0cmHanging1cm"/>
      </w:pPr>
      <w:r w:rsidRPr="004E00C9">
        <w:t xml:space="preserve">NEPC 1999, </w:t>
      </w:r>
      <w:r w:rsidRPr="004E00C9">
        <w:rPr>
          <w:i/>
        </w:rPr>
        <w:t>Schedule B (7a), Guideline on Health</w:t>
      </w:r>
      <w:r w:rsidR="004E00C9">
        <w:rPr>
          <w:i/>
        </w:rPr>
        <w:noBreakHyphen/>
      </w:r>
      <w:r w:rsidRPr="004E00C9">
        <w:rPr>
          <w:i/>
        </w:rPr>
        <w:t>Based Investigation Levels, National Environment Protection (Assessment of Site Contamination) Measure</w:t>
      </w:r>
      <w:r w:rsidRPr="004E00C9">
        <w:t>, National Environment Protection Council, Australia.</w:t>
      </w:r>
    </w:p>
    <w:p w:rsidR="00E97F53" w:rsidRPr="004E00C9" w:rsidRDefault="00E97F53" w:rsidP="00E97F53">
      <w:pPr>
        <w:pStyle w:val="StyletextLeft0cmHanging1cm"/>
        <w:rPr>
          <w:lang w:eastAsia="en-US"/>
        </w:rPr>
      </w:pPr>
      <w:r w:rsidRPr="004E00C9">
        <w:rPr>
          <w:lang w:eastAsia="en-US"/>
        </w:rPr>
        <w:t xml:space="preserve">RIVM 2001, </w:t>
      </w:r>
      <w:r w:rsidRPr="004E00C9">
        <w:rPr>
          <w:i/>
          <w:lang w:eastAsia="en-US"/>
        </w:rPr>
        <w:t>Re</w:t>
      </w:r>
      <w:r w:rsidR="004E00C9">
        <w:rPr>
          <w:i/>
          <w:lang w:eastAsia="en-US"/>
        </w:rPr>
        <w:noBreakHyphen/>
      </w:r>
      <w:r w:rsidRPr="004E00C9">
        <w:rPr>
          <w:i/>
          <w:lang w:eastAsia="en-US"/>
        </w:rPr>
        <w:t>evaluation of human</w:t>
      </w:r>
      <w:r w:rsidR="004E00C9">
        <w:rPr>
          <w:i/>
          <w:lang w:eastAsia="en-US"/>
        </w:rPr>
        <w:noBreakHyphen/>
      </w:r>
      <w:r w:rsidRPr="004E00C9">
        <w:rPr>
          <w:i/>
          <w:lang w:eastAsia="en-US"/>
        </w:rPr>
        <w:t>toxicological Maximum Permissible Risk levels</w:t>
      </w:r>
      <w:r w:rsidRPr="004E00C9">
        <w:rPr>
          <w:lang w:eastAsia="en-US"/>
        </w:rPr>
        <w:t xml:space="preserve">, National Institute of Public Health and the Environment, Bilthoven, Netherlands, available from: </w:t>
      </w:r>
      <w:hyperlink r:id="rId12" w:history="1">
        <w:r w:rsidRPr="004E00C9">
          <w:rPr>
            <w:rStyle w:val="Hyperlink"/>
            <w:rFonts w:cs="Arial"/>
            <w:szCs w:val="22"/>
            <w:lang w:eastAsia="en-US"/>
          </w:rPr>
          <w:t>http://www.rivm.nl/bibliotheek/rapporten/711701025.html</w:t>
        </w:r>
      </w:hyperlink>
      <w:r w:rsidRPr="004E00C9">
        <w:rPr>
          <w:lang w:eastAsia="en-US"/>
        </w:rPr>
        <w:t>.</w:t>
      </w:r>
    </w:p>
    <w:p w:rsidR="00E97F53" w:rsidRPr="004E00C9" w:rsidRDefault="00E97F53" w:rsidP="00E97F53">
      <w:pPr>
        <w:pStyle w:val="StyletextLeft0cmHanging1cm"/>
        <w:rPr>
          <w:lang w:eastAsia="en-US"/>
        </w:rPr>
      </w:pPr>
      <w:r w:rsidRPr="004E00C9">
        <w:rPr>
          <w:lang w:eastAsia="en-US"/>
        </w:rPr>
        <w:t xml:space="preserve">RIVM 2003, </w:t>
      </w:r>
      <w:r w:rsidRPr="004E00C9">
        <w:rPr>
          <w:i/>
          <w:lang w:eastAsia="en-US"/>
        </w:rPr>
        <w:t>Indicator PCBs in foodstuffs: occurrence and dietary intake in The Netherlands at the end of the 20</w:t>
      </w:r>
      <w:r w:rsidRPr="004E00C9">
        <w:rPr>
          <w:i/>
          <w:vertAlign w:val="superscript"/>
          <w:lang w:eastAsia="en-US"/>
        </w:rPr>
        <w:t>th</w:t>
      </w:r>
      <w:r w:rsidRPr="004E00C9">
        <w:rPr>
          <w:i/>
          <w:lang w:eastAsia="en-US"/>
        </w:rPr>
        <w:t xml:space="preserve"> century</w:t>
      </w:r>
      <w:r w:rsidRPr="004E00C9">
        <w:rPr>
          <w:lang w:eastAsia="en-US"/>
        </w:rPr>
        <w:t>, National Institute of Public Health and the Environment, RIVM Report: 639102025/2003, Bilthoven, Netherlands.</w:t>
      </w:r>
    </w:p>
    <w:p w:rsidR="00E97F53" w:rsidRPr="004E00C9" w:rsidRDefault="00E97F53" w:rsidP="00E97F53">
      <w:pPr>
        <w:pStyle w:val="StyletextLeft0cmHanging1cm"/>
      </w:pPr>
      <w:r w:rsidRPr="004E00C9">
        <w:t xml:space="preserve">RAIS (2010), </w:t>
      </w:r>
      <w:r w:rsidRPr="004E00C9">
        <w:rPr>
          <w:i/>
        </w:rPr>
        <w:t>Risk Assessment Information System</w:t>
      </w:r>
      <w:r w:rsidRPr="004E00C9">
        <w:t xml:space="preserve">, website and database maintained by the Oak Ridge Operations Office, available from: </w:t>
      </w:r>
      <w:hyperlink r:id="rId13" w:history="1">
        <w:r w:rsidRPr="004E00C9">
          <w:rPr>
            <w:rStyle w:val="Hyperlink"/>
            <w:szCs w:val="22"/>
          </w:rPr>
          <w:t>http://rais.ornl.gov/</w:t>
        </w:r>
      </w:hyperlink>
      <w:r w:rsidRPr="004E00C9">
        <w:t>.</w:t>
      </w:r>
    </w:p>
    <w:p w:rsidR="00E97F53" w:rsidRPr="004E00C9" w:rsidRDefault="00E97F53" w:rsidP="00E97F53">
      <w:pPr>
        <w:pStyle w:val="StyletextLeft0cmHanging1cm"/>
      </w:pPr>
      <w:r w:rsidRPr="004E00C9">
        <w:t xml:space="preserve">US EPA (IRIS 2012), data and information available from the </w:t>
      </w:r>
      <w:r w:rsidRPr="004E00C9">
        <w:rPr>
          <w:i/>
        </w:rPr>
        <w:t>Integrated Risk Information System</w:t>
      </w:r>
      <w:r w:rsidRPr="004E00C9">
        <w:t xml:space="preserve">, an online database, available from </w:t>
      </w:r>
      <w:hyperlink r:id="rId14" w:history="1">
        <w:r w:rsidRPr="004E00C9">
          <w:rPr>
            <w:rStyle w:val="Hyperlink"/>
            <w:szCs w:val="22"/>
          </w:rPr>
          <w:t>http://www.epa.gov/iris/</w:t>
        </w:r>
      </w:hyperlink>
      <w:r w:rsidRPr="004E00C9">
        <w:t>.</w:t>
      </w:r>
    </w:p>
    <w:p w:rsidR="00E97F53" w:rsidRPr="004E00C9" w:rsidRDefault="00E97F53" w:rsidP="00E97F53">
      <w:pPr>
        <w:pStyle w:val="StyletextLeft0cmHanging1cm"/>
      </w:pPr>
      <w:r w:rsidRPr="004E00C9">
        <w:t xml:space="preserve">US EPA 2004, </w:t>
      </w:r>
      <w:r w:rsidRPr="004E00C9">
        <w:rPr>
          <w:i/>
        </w:rPr>
        <w:t>Risk Assessment Guidance for Superfund, Volume I: Human Health Evaluation Manual (Part E, Supplemental Guidance for Dermal Risk Assessment), Final</w:t>
      </w:r>
      <w:r w:rsidRPr="004E00C9">
        <w:t>, EPA/540/R/99/005, OSWER 9285.7</w:t>
      </w:r>
      <w:r w:rsidR="004E00C9">
        <w:noBreakHyphen/>
      </w:r>
      <w:r w:rsidRPr="004E00C9">
        <w:t>02EP, July 2004.</w:t>
      </w:r>
    </w:p>
    <w:p w:rsidR="00E97F53" w:rsidRPr="004E00C9" w:rsidRDefault="00E97F53" w:rsidP="00E97F53">
      <w:pPr>
        <w:pStyle w:val="StyletextLeft0cmHanging1cm"/>
      </w:pPr>
      <w:r w:rsidRPr="004E00C9">
        <w:t>Wester, RC, Maibach, HI, Sedik, L, Melendres, J, &amp; Wade, M 1993, ‘Percutaneous Absorption of PCBs from Soil: In</w:t>
      </w:r>
      <w:r w:rsidR="004E00C9">
        <w:noBreakHyphen/>
      </w:r>
      <w:r w:rsidRPr="004E00C9">
        <w:t>vivo Rhesus Monkey, In</w:t>
      </w:r>
      <w:r w:rsidR="004E00C9">
        <w:noBreakHyphen/>
      </w:r>
      <w:r w:rsidRPr="004E00C9">
        <w:t xml:space="preserve">vitro Human Skin, and Binding to Powered Human Stratum Corneum’, </w:t>
      </w:r>
      <w:r w:rsidRPr="004E00C9">
        <w:rPr>
          <w:i/>
        </w:rPr>
        <w:t xml:space="preserve">J. Toxicol. Environ. Health, </w:t>
      </w:r>
      <w:r w:rsidRPr="004E00C9">
        <w:t>vol</w:t>
      </w:r>
      <w:r w:rsidRPr="004E00C9">
        <w:rPr>
          <w:i/>
        </w:rPr>
        <w:t xml:space="preserve">. </w:t>
      </w:r>
      <w:r w:rsidRPr="004E00C9">
        <w:t>39, pp. 375</w:t>
      </w:r>
      <w:r w:rsidRPr="004E00C9">
        <w:sym w:font="Symbol" w:char="F02D"/>
      </w:r>
      <w:r w:rsidRPr="004E00C9">
        <w:t>382.</w:t>
      </w:r>
    </w:p>
    <w:p w:rsidR="00E97F53" w:rsidRPr="004E00C9" w:rsidRDefault="00E97F53" w:rsidP="00E97F53">
      <w:pPr>
        <w:pStyle w:val="StyletextLeft0cmHanging1cm"/>
      </w:pPr>
      <w:r w:rsidRPr="004E00C9">
        <w:lastRenderedPageBreak/>
        <w:t xml:space="preserve">WHO 1993, </w:t>
      </w:r>
      <w:r w:rsidRPr="004E00C9">
        <w:rPr>
          <w:i/>
          <w:iCs/>
        </w:rPr>
        <w:t xml:space="preserve">Environmental Health Criteria No 140 </w:t>
      </w:r>
      <w:r w:rsidRPr="004E00C9">
        <w:rPr>
          <w:i/>
          <w:iCs/>
        </w:rPr>
        <w:sym w:font="Symbol" w:char="F02D"/>
      </w:r>
      <w:r w:rsidRPr="004E00C9">
        <w:rPr>
          <w:i/>
          <w:iCs/>
        </w:rPr>
        <w:t xml:space="preserve"> Polychlorinated Biphenyls and Terphenyls</w:t>
      </w:r>
      <w:r w:rsidRPr="004E00C9">
        <w:rPr>
          <w:iCs/>
        </w:rPr>
        <w:t>,</w:t>
      </w:r>
      <w:r w:rsidRPr="004E00C9">
        <w:rPr>
          <w:i/>
          <w:iCs/>
        </w:rPr>
        <w:t xml:space="preserve"> </w:t>
      </w:r>
      <w:r w:rsidRPr="004E00C9">
        <w:t>World Health Organization, Geneva.</w:t>
      </w:r>
    </w:p>
    <w:p w:rsidR="00E97F53" w:rsidRPr="004E00C9" w:rsidRDefault="00E97F53" w:rsidP="00E97F53">
      <w:pPr>
        <w:pStyle w:val="StyletextLeft0cmHanging1cm"/>
      </w:pPr>
      <w:r w:rsidRPr="004E00C9">
        <w:t xml:space="preserve">WHO 2003, </w:t>
      </w:r>
      <w:r w:rsidRPr="004E00C9">
        <w:rPr>
          <w:i/>
        </w:rPr>
        <w:t>Concise International Chemical Assessment Document 55, Polychlorinated Biphenyls</w:t>
      </w:r>
      <w:r w:rsidRPr="004E00C9">
        <w:t>: Human Health Aspects, World Health Organization, Geneva.</w:t>
      </w:r>
    </w:p>
    <w:p w:rsidR="00E97F53" w:rsidRPr="004E00C9" w:rsidRDefault="00E97F53" w:rsidP="00E97F53">
      <w:pPr>
        <w:pStyle w:val="StyletextLeft0cmHanging1cm"/>
      </w:pPr>
    </w:p>
    <w:p w:rsidR="00E97F53" w:rsidRPr="004E00C9" w:rsidRDefault="00E97F53" w:rsidP="00E97F53">
      <w:pPr>
        <w:pStyle w:val="Heading1"/>
        <w:ind w:left="720" w:hanging="720"/>
      </w:pPr>
      <w:bookmarkStart w:id="18" w:name="_Toc351713690"/>
      <w:r w:rsidRPr="004E00C9">
        <w:lastRenderedPageBreak/>
        <w:t>Polybrominated Diphenyl Ethers (Br1 to Br9)</w:t>
      </w:r>
      <w:bookmarkEnd w:id="18"/>
    </w:p>
    <w:p w:rsidR="00E97F53" w:rsidRPr="004E00C9" w:rsidRDefault="00E97F53" w:rsidP="00E97F53">
      <w:pPr>
        <w:pStyle w:val="Heading2"/>
      </w:pPr>
      <w:bookmarkStart w:id="19" w:name="_Toc351713691"/>
      <w:r w:rsidRPr="004E00C9">
        <w:t>General</w:t>
      </w:r>
      <w:bookmarkEnd w:id="19"/>
    </w:p>
    <w:p w:rsidR="00E97F53" w:rsidRPr="004E00C9" w:rsidRDefault="00E97F53" w:rsidP="00E97F53">
      <w:r w:rsidRPr="004E00C9">
        <w:t>Polybrominated diphenyl ethers (PBDE) are a group of compounds manufactured for their flame retardant properties. They consist of two phenyl groups bound to a single oxygen atom with the hydrogen atoms on the phenyl groups substituted with between one and ten bromine atoms. The group consists of 209 congeners, which differ in the number and location of substituted bromine atoms. The internationally accepted numbering system for PBDE congeners is the acronym ‘BDE’ followed by a number from 1 to 209 (NICNAS 2007).</w:t>
      </w:r>
    </w:p>
    <w:p w:rsidR="00287A72" w:rsidRPr="004E00C9" w:rsidRDefault="00287A72" w:rsidP="00E97F53"/>
    <w:p w:rsidR="00E97F53" w:rsidRPr="004E00C9" w:rsidRDefault="00E97F53" w:rsidP="00E97F53">
      <w:r w:rsidRPr="004E00C9">
        <w:t>Several comprehensive reviews of PBDEs in the environment and their toxicity to humans are available and should be consulted for more detailed information not presented in this summary (ATSDR 2004; NICNAS 2007; UNEP 2009). The following provides a summary of the key aspects of these compounds that are relevant to the derivation of a soil HIL.</w:t>
      </w:r>
    </w:p>
    <w:p w:rsidR="00287A72" w:rsidRPr="004E00C9" w:rsidRDefault="00287A72" w:rsidP="00E97F53"/>
    <w:p w:rsidR="00E97F53" w:rsidRPr="004E00C9" w:rsidRDefault="00E97F53" w:rsidP="00E97F53">
      <w:r w:rsidRPr="004E00C9">
        <w:t>The literature to date indicates that the toxicity and environmental fate of PBDEs with a lower number of substituted bromine atoms (penta</w:t>
      </w:r>
      <w:r w:rsidR="004E00C9">
        <w:noBreakHyphen/>
      </w:r>
      <w:r w:rsidRPr="004E00C9">
        <w:t>BDE to hexa</w:t>
      </w:r>
      <w:r w:rsidR="004E00C9">
        <w:noBreakHyphen/>
      </w:r>
      <w:r w:rsidRPr="004E00C9">
        <w:t>BDE) is different from higher brominated BDEs (deca</w:t>
      </w:r>
      <w:r w:rsidR="004E00C9">
        <w:noBreakHyphen/>
      </w:r>
      <w:r w:rsidRPr="004E00C9">
        <w:t>BDE to BDE</w:t>
      </w:r>
      <w:r w:rsidR="004E00C9">
        <w:noBreakHyphen/>
      </w:r>
      <w:r w:rsidRPr="004E00C9">
        <w:t>209). Lower brominated BDEs have been demonstrated to be more toxic in animal studies, have a higher bioavailability and are more readily transported in the environment. As a result, ATSDR has recommended separating deca</w:t>
      </w:r>
      <w:r w:rsidR="004E00C9">
        <w:noBreakHyphen/>
      </w:r>
      <w:r w:rsidRPr="004E00C9">
        <w:t xml:space="preserve">BDE from lower brominated BDEs (ATSDR 2004). For the purpose of this assessment, lower brominated BDEs are considered to be BDEs containing between one and nine substituted bromines and it is these lower brominated BDEs for which HILs have been derived. </w:t>
      </w:r>
    </w:p>
    <w:p w:rsidR="00287A72" w:rsidRPr="004E00C9" w:rsidRDefault="00287A72" w:rsidP="00E97F53"/>
    <w:p w:rsidR="00E97F53" w:rsidRPr="004E00C9" w:rsidRDefault="00E97F53" w:rsidP="00E97F53">
      <w:r w:rsidRPr="004E00C9">
        <w:t>It is noted that the toxicity of higher BDEs is less certain, hence if significant levels of PBDE that include higher BDEs are present, a site</w:t>
      </w:r>
      <w:r w:rsidR="004E00C9">
        <w:noBreakHyphen/>
      </w:r>
      <w:r w:rsidRPr="004E00C9">
        <w:t>specific assessment should be conducted.</w:t>
      </w:r>
    </w:p>
    <w:p w:rsidR="00287A72" w:rsidRPr="004E00C9" w:rsidRDefault="00287A72" w:rsidP="00E97F53"/>
    <w:p w:rsidR="00E97F53" w:rsidRPr="004E00C9" w:rsidRDefault="00E97F53" w:rsidP="00E97F53">
      <w:r w:rsidRPr="004E00C9">
        <w:t>Further studies regarding the toxicity and environmental fate of lower brominated BDEs may result in this grouping being revised to a smaller proportion of significant congeners in future reviews.</w:t>
      </w:r>
    </w:p>
    <w:p w:rsidR="00287A72" w:rsidRPr="004E00C9" w:rsidRDefault="00287A72" w:rsidP="00E97F53"/>
    <w:p w:rsidR="00E97F53" w:rsidRPr="004E00C9" w:rsidRDefault="00E97F53" w:rsidP="00E97F53">
      <w:r w:rsidRPr="004E00C9">
        <w:t>PBDE are manufactured compounds, which have been widely used in industrial and consumer applications. A review of the compounds conducted by scientific and regulatory bodies has culminated in tetra</w:t>
      </w:r>
      <w:r w:rsidR="004E00C9">
        <w:noBreakHyphen/>
      </w:r>
      <w:r w:rsidRPr="004E00C9">
        <w:t xml:space="preserve"> and penta</w:t>
      </w:r>
      <w:r w:rsidR="004E00C9">
        <w:noBreakHyphen/>
      </w:r>
      <w:r w:rsidRPr="004E00C9">
        <w:t>BDEs (components of technical penta</w:t>
      </w:r>
      <w:r w:rsidR="004E00C9">
        <w:noBreakHyphen/>
      </w:r>
      <w:r w:rsidRPr="004E00C9">
        <w:t>BDE) and hexa</w:t>
      </w:r>
      <w:r w:rsidR="004E00C9">
        <w:noBreakHyphen/>
      </w:r>
      <w:r w:rsidRPr="004E00C9">
        <w:t xml:space="preserve"> and hepta</w:t>
      </w:r>
      <w:r w:rsidR="004E00C9">
        <w:noBreakHyphen/>
      </w:r>
      <w:r w:rsidRPr="004E00C9">
        <w:t>BDEs (components in technical octa</w:t>
      </w:r>
      <w:r w:rsidR="004E00C9">
        <w:noBreakHyphen/>
      </w:r>
      <w:r w:rsidRPr="004E00C9">
        <w:t>BDE) being listed as a Persistent Organic Pollutants (POPs) under the Stockholm Convention in May 2009 (UNEP 2009). All production and use of these compounds has subsequently been banned, with the exception of recycling activities (UNEP 2009). PBDEs are not manufactured in Australia but were historically imported and used until 2005 (NICNAS 2007). Importation of products pre</w:t>
      </w:r>
      <w:r w:rsidR="004E00C9">
        <w:noBreakHyphen/>
      </w:r>
      <w:r w:rsidRPr="004E00C9">
        <w:t>treated with PBDEs is expected to decrease following the recent ban. Technical penta</w:t>
      </w:r>
      <w:r w:rsidR="004E00C9">
        <w:noBreakHyphen/>
      </w:r>
      <w:r w:rsidRPr="004E00C9">
        <w:t>BDE was mainly used in polyurethane foams (such as in furnishings) whereas technical octa</w:t>
      </w:r>
      <w:r w:rsidR="004E00C9">
        <w:noBreakHyphen/>
      </w:r>
      <w:r w:rsidRPr="004E00C9">
        <w:t>BDE and deca</w:t>
      </w:r>
      <w:r w:rsidR="004E00C9">
        <w:noBreakHyphen/>
      </w:r>
      <w:r w:rsidRPr="004E00C9">
        <w:t>BDE were mainly used in hard plastics (such as for electrical equipment) (NICNAS 2007). The articles treated with PBDEs usually have long lives and, as such, articles containing PBDEs are still expected to be in use (NICNAS 2007). Deca</w:t>
      </w:r>
      <w:r w:rsidR="004E00C9">
        <w:noBreakHyphen/>
      </w:r>
      <w:r w:rsidRPr="004E00C9">
        <w:t>BDE was declared a priority existing chemical in Australia and is currently being assessed as to its environment and human health risks (NICNAS 2007).</w:t>
      </w:r>
    </w:p>
    <w:p w:rsidR="00E97F53" w:rsidRPr="004E00C9" w:rsidRDefault="00E97F53" w:rsidP="00E97F53">
      <w:pPr>
        <w:pStyle w:val="Heading2"/>
      </w:pPr>
      <w:bookmarkStart w:id="20" w:name="_Toc351713692"/>
      <w:r w:rsidRPr="004E00C9">
        <w:t>Previous HIL</w:t>
      </w:r>
      <w:bookmarkEnd w:id="20"/>
    </w:p>
    <w:p w:rsidR="00E97F53" w:rsidRPr="004E00C9" w:rsidRDefault="00E97F53" w:rsidP="00E97F53">
      <w:r w:rsidRPr="004E00C9">
        <w:t>No previous HIL is available for lower BDEs (NEPC 1999).</w:t>
      </w:r>
    </w:p>
    <w:p w:rsidR="00E97F53" w:rsidRPr="004E00C9" w:rsidRDefault="00E97F53" w:rsidP="00E97F53">
      <w:pPr>
        <w:pStyle w:val="Heading2"/>
      </w:pPr>
      <w:bookmarkStart w:id="21" w:name="_Toc351713693"/>
      <w:r w:rsidRPr="004E00C9">
        <w:lastRenderedPageBreak/>
        <w:t>Significance of Exposure Pathways</w:t>
      </w:r>
      <w:bookmarkEnd w:id="21"/>
    </w:p>
    <w:p w:rsidR="00E97F53" w:rsidRPr="004E00C9" w:rsidRDefault="00E97F53" w:rsidP="00E97F53">
      <w:pPr>
        <w:pStyle w:val="Heading3"/>
      </w:pPr>
      <w:bookmarkStart w:id="22" w:name="_Toc351713694"/>
      <w:r w:rsidRPr="004E00C9">
        <w:t>Oral Bioavailability</w:t>
      </w:r>
      <w:bookmarkEnd w:id="22"/>
    </w:p>
    <w:p w:rsidR="00E97F53" w:rsidRPr="004E00C9" w:rsidRDefault="00E97F53" w:rsidP="00E97F53">
      <w:r w:rsidRPr="004E00C9">
        <w:t>Insufficient data is available to adequately define the bioavailability of lower BDEs, hence a default approach of assuming 100% oral bioavailability has been adopted in the derivation of an HIL. It is noted that a site</w:t>
      </w:r>
      <w:r w:rsidR="004E00C9">
        <w:noBreakHyphen/>
      </w:r>
      <w:r w:rsidRPr="004E00C9">
        <w:t>specific assessment of bioavailability can be undertaken where required.</w:t>
      </w:r>
    </w:p>
    <w:p w:rsidR="00E97F53" w:rsidRPr="004E00C9" w:rsidRDefault="00E97F53" w:rsidP="00E97F53">
      <w:pPr>
        <w:pStyle w:val="Heading3"/>
      </w:pPr>
      <w:bookmarkStart w:id="23" w:name="_Toc351713695"/>
      <w:r w:rsidRPr="004E00C9">
        <w:t>Dermal absorption</w:t>
      </w:r>
      <w:bookmarkEnd w:id="23"/>
    </w:p>
    <w:p w:rsidR="00E97F53" w:rsidRPr="004E00C9" w:rsidRDefault="00E97F53" w:rsidP="00E97F53">
      <w:r w:rsidRPr="004E00C9">
        <w:t>Insufficient data is available on the dermal absorption of lower BDEs from soil. Hence the default values of 0.1 (10%) suggested by US EPA (2004) for semi</w:t>
      </w:r>
      <w:r w:rsidR="004E00C9">
        <w:noBreakHyphen/>
      </w:r>
      <w:r w:rsidRPr="004E00C9">
        <w:t>volatile organic compounds has been adopted in the derivation of HILs.</w:t>
      </w:r>
    </w:p>
    <w:p w:rsidR="00287A72" w:rsidRPr="004E00C9" w:rsidRDefault="00287A72" w:rsidP="00E97F53"/>
    <w:p w:rsidR="00E97F53" w:rsidRPr="004E00C9" w:rsidRDefault="00E97F53" w:rsidP="00E97F53">
      <w:r w:rsidRPr="004E00C9">
        <w:t>It is noted that EU (2004) estimated a dermal absorption value of 1% as a maximum for deca</w:t>
      </w:r>
      <w:r w:rsidR="004E00C9">
        <w:noBreakHyphen/>
      </w:r>
      <w:r w:rsidRPr="004E00C9">
        <w:t>BDE, based on assumptions associated with the lipophillic nature of the compound and analogies to PCB. However, it is also noted in this review that dermal absorption may also be associated with accumulation in the stratum corneum, which may behave as a storage site, resulting in a low systemic release over time.</w:t>
      </w:r>
    </w:p>
    <w:p w:rsidR="00E97F53" w:rsidRPr="004E00C9" w:rsidRDefault="00E97F53" w:rsidP="00E97F53">
      <w:pPr>
        <w:pStyle w:val="Heading3"/>
      </w:pPr>
      <w:bookmarkStart w:id="24" w:name="_Toc351713696"/>
      <w:r w:rsidRPr="004E00C9">
        <w:t>Inhalation of Dust</w:t>
      </w:r>
      <w:bookmarkEnd w:id="24"/>
    </w:p>
    <w:p w:rsidR="00E97F53" w:rsidRPr="004E00C9" w:rsidRDefault="00E97F53" w:rsidP="00E97F53">
      <w:r w:rsidRPr="004E00C9">
        <w:t>Lower BDEs are not considered sufficiently volatile to be of significance and inhalation exposures associated with dust particulates outdoors and indoors are expected to be of less significance than ingestion of soil. While likely to be negligible, potential inhalation exposures associated with dust have been considered in the HIL derived.</w:t>
      </w:r>
    </w:p>
    <w:p w:rsidR="00E97F53" w:rsidRPr="004E00C9" w:rsidRDefault="00E97F53" w:rsidP="00E97F53">
      <w:pPr>
        <w:pStyle w:val="Heading3"/>
      </w:pPr>
      <w:bookmarkStart w:id="25" w:name="_Toc351713697"/>
      <w:r w:rsidRPr="004E00C9">
        <w:t>Plant Uptake</w:t>
      </w:r>
      <w:bookmarkEnd w:id="25"/>
    </w:p>
    <w:p w:rsidR="00E97F53" w:rsidRPr="004E00C9" w:rsidRDefault="00E97F53" w:rsidP="00E97F53">
      <w:r w:rsidRPr="004E00C9">
        <w:t>Limited data is available on the potential for lower BDEs to be taken up by plants from soil into edible fruit and vegetable crops. ATSDR notes that PBDEs will be strongly adsorbed to soil, hence PBDEs present in soil</w:t>
      </w:r>
      <w:r w:rsidR="004E00C9">
        <w:noBreakHyphen/>
      </w:r>
      <w:r w:rsidRPr="004E00C9">
        <w:t xml:space="preserve">pore water will bind to soil organic matter. Because PBDEs adsorb strongly to soil, they will have very low mobility, and leaching of PBDEs from soil to groundwater will be insignificant. </w:t>
      </w:r>
    </w:p>
    <w:p w:rsidR="00287A72" w:rsidRPr="004E00C9" w:rsidRDefault="00287A72" w:rsidP="00E97F53"/>
    <w:p w:rsidR="00E97F53" w:rsidRPr="004E00C9" w:rsidRDefault="00E97F53" w:rsidP="00E97F53">
      <w:r w:rsidRPr="004E00C9">
        <w:t>Review of plant uptake of deca</w:t>
      </w:r>
      <w:r w:rsidR="004E00C9">
        <w:noBreakHyphen/>
      </w:r>
      <w:r w:rsidRPr="004E00C9">
        <w:t>PBDE (BDE</w:t>
      </w:r>
      <w:r w:rsidR="004E00C9">
        <w:noBreakHyphen/>
      </w:r>
      <w:r w:rsidRPr="004E00C9">
        <w:t>209) into plants from soil by Huang et al. (2010) suggests that deca</w:t>
      </w:r>
      <w:r w:rsidR="004E00C9">
        <w:noBreakHyphen/>
      </w:r>
      <w:r w:rsidRPr="004E00C9">
        <w:t>BDE is taken up and translocated within the plants assessed (ryegrass, alfalfa, pumpkin, squash, maize and radish). Nineteen lower brominated (di</w:t>
      </w:r>
      <w:r w:rsidR="004E00C9">
        <w:noBreakHyphen/>
      </w:r>
      <w:r w:rsidRPr="004E00C9">
        <w:t xml:space="preserve"> to nona</w:t>
      </w:r>
      <w:r w:rsidR="004E00C9">
        <w:noBreakHyphen/>
      </w:r>
      <w:r w:rsidRPr="004E00C9">
        <w:t>) PBDEs were detected in the soil and plant samples and five hydroxylated congeners were detected in the plant samples, indicating debromination and hydroxylation of BDE</w:t>
      </w:r>
      <w:r w:rsidR="004E00C9">
        <w:noBreakHyphen/>
      </w:r>
      <w:r w:rsidRPr="004E00C9">
        <w:t>209 in the soil−plant system. Evidence of a relatively higher proportion of penta</w:t>
      </w:r>
      <w:r w:rsidR="004E00C9">
        <w:noBreakHyphen/>
      </w:r>
      <w:r w:rsidRPr="004E00C9">
        <w:t xml:space="preserve"> through to di</w:t>
      </w:r>
      <w:r w:rsidR="004E00C9">
        <w:noBreakHyphen/>
      </w:r>
      <w:r w:rsidRPr="004E00C9">
        <w:t>BDE congeners in plant tissues than in the soil indicates that there is further debromination of PBDEs within plants or lower brominated PBDEs are more readily taken up by plants.</w:t>
      </w:r>
    </w:p>
    <w:p w:rsidR="00287A72" w:rsidRPr="004E00C9" w:rsidRDefault="00287A72" w:rsidP="00E97F53"/>
    <w:p w:rsidR="00E97F53" w:rsidRPr="004E00C9" w:rsidRDefault="00E97F53" w:rsidP="00E97F53">
      <w:r w:rsidRPr="004E00C9">
        <w:t>On the basis of the available information, the potential for the uptake of lower BDEs into home</w:t>
      </w:r>
      <w:r w:rsidR="004E00C9">
        <w:noBreakHyphen/>
      </w:r>
      <w:r w:rsidRPr="004E00C9">
        <w:t xml:space="preserve">grown produce has been considered in the derivation of an HIL A. This has been undertaken on the basis of the equations presented in Appendix B with the following parameters and </w:t>
      </w:r>
      <w:r w:rsidR="00287A72" w:rsidRPr="004E00C9">
        <w:t>plant uptake factors estimated:</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1985"/>
        <w:gridCol w:w="4536"/>
      </w:tblGrid>
      <w:tr w:rsidR="00E97F53" w:rsidRPr="004E00C9" w:rsidTr="00ED4349">
        <w:trPr>
          <w:tblHeader/>
        </w:trPr>
        <w:tc>
          <w:tcPr>
            <w:tcW w:w="2206" w:type="dxa"/>
            <w:shd w:val="clear" w:color="auto" w:fill="C6D9F1" w:themeFill="text2" w:themeFillTint="33"/>
          </w:tcPr>
          <w:p w:rsidR="00E97F53" w:rsidRPr="004E00C9" w:rsidRDefault="00E97F53" w:rsidP="00ED4349">
            <w:pPr>
              <w:spacing w:before="20"/>
              <w:jc w:val="center"/>
              <w:rPr>
                <w:b/>
                <w:szCs w:val="22"/>
              </w:rPr>
            </w:pPr>
            <w:r w:rsidRPr="004E00C9">
              <w:rPr>
                <w:b/>
                <w:szCs w:val="22"/>
              </w:rPr>
              <w:t>Parameter</w:t>
            </w:r>
          </w:p>
        </w:tc>
        <w:tc>
          <w:tcPr>
            <w:tcW w:w="1985" w:type="dxa"/>
            <w:shd w:val="clear" w:color="auto" w:fill="C6D9F1" w:themeFill="text2" w:themeFillTint="33"/>
          </w:tcPr>
          <w:p w:rsidR="00E97F53" w:rsidRPr="004E00C9" w:rsidRDefault="00E97F53" w:rsidP="00ED4349">
            <w:pPr>
              <w:spacing w:before="20"/>
              <w:jc w:val="center"/>
              <w:rPr>
                <w:b/>
                <w:szCs w:val="22"/>
              </w:rPr>
            </w:pPr>
            <w:r w:rsidRPr="004E00C9">
              <w:rPr>
                <w:b/>
                <w:szCs w:val="22"/>
              </w:rPr>
              <w:t>Value</w:t>
            </w:r>
          </w:p>
        </w:tc>
        <w:tc>
          <w:tcPr>
            <w:tcW w:w="4536" w:type="dxa"/>
            <w:shd w:val="clear" w:color="auto" w:fill="C6D9F1" w:themeFill="text2" w:themeFillTint="33"/>
          </w:tcPr>
          <w:p w:rsidR="00E97F53" w:rsidRPr="004E00C9" w:rsidRDefault="00E97F53" w:rsidP="00ED4349">
            <w:pPr>
              <w:spacing w:before="20"/>
              <w:jc w:val="center"/>
              <w:rPr>
                <w:b/>
                <w:szCs w:val="22"/>
              </w:rPr>
            </w:pPr>
            <w:r w:rsidRPr="004E00C9">
              <w:rPr>
                <w:b/>
                <w:szCs w:val="22"/>
              </w:rPr>
              <w:t>Reference/Comment</w:t>
            </w:r>
          </w:p>
        </w:tc>
      </w:tr>
      <w:tr w:rsidR="00E97F53" w:rsidRPr="004E00C9" w:rsidTr="00ED4349">
        <w:tc>
          <w:tcPr>
            <w:tcW w:w="8727" w:type="dxa"/>
            <w:gridSpan w:val="3"/>
          </w:tcPr>
          <w:p w:rsidR="00E97F53" w:rsidRPr="004E00C9" w:rsidRDefault="00E97F53" w:rsidP="00ED4349">
            <w:pPr>
              <w:spacing w:before="20"/>
              <w:jc w:val="center"/>
              <w:rPr>
                <w:b/>
                <w:szCs w:val="22"/>
              </w:rPr>
            </w:pPr>
            <w:r w:rsidRPr="004E00C9">
              <w:rPr>
                <w:b/>
                <w:szCs w:val="22"/>
              </w:rPr>
              <w:t>Parameters</w:t>
            </w:r>
          </w:p>
        </w:tc>
      </w:tr>
      <w:tr w:rsidR="00E97F53" w:rsidRPr="004E00C9" w:rsidTr="00ED4349">
        <w:tc>
          <w:tcPr>
            <w:tcW w:w="2206" w:type="dxa"/>
          </w:tcPr>
          <w:p w:rsidR="00E97F53" w:rsidRPr="004E00C9" w:rsidRDefault="00E97F53" w:rsidP="00ED4349">
            <w:pPr>
              <w:spacing w:before="20"/>
              <w:rPr>
                <w:szCs w:val="22"/>
              </w:rPr>
            </w:pPr>
            <w:r w:rsidRPr="004E00C9">
              <w:rPr>
                <w:szCs w:val="22"/>
              </w:rPr>
              <w:t>K</w:t>
            </w:r>
            <w:r w:rsidRPr="004E00C9">
              <w:rPr>
                <w:szCs w:val="22"/>
                <w:vertAlign w:val="subscript"/>
              </w:rPr>
              <w:t>oc</w:t>
            </w:r>
          </w:p>
        </w:tc>
        <w:tc>
          <w:tcPr>
            <w:tcW w:w="1985" w:type="dxa"/>
          </w:tcPr>
          <w:p w:rsidR="00E97F53" w:rsidRPr="004E00C9" w:rsidRDefault="00E97F53" w:rsidP="00ED4349">
            <w:pPr>
              <w:spacing w:before="20"/>
              <w:rPr>
                <w:szCs w:val="22"/>
              </w:rPr>
            </w:pPr>
            <w:r w:rsidRPr="004E00C9">
              <w:rPr>
                <w:szCs w:val="22"/>
              </w:rPr>
              <w:t>1 698 000 (cm</w:t>
            </w:r>
            <w:r w:rsidRPr="004E00C9">
              <w:rPr>
                <w:szCs w:val="22"/>
                <w:vertAlign w:val="superscript"/>
              </w:rPr>
              <w:t>3</w:t>
            </w:r>
            <w:r w:rsidRPr="004E00C9">
              <w:rPr>
                <w:szCs w:val="22"/>
              </w:rPr>
              <w:t>/g)</w:t>
            </w:r>
          </w:p>
        </w:tc>
        <w:tc>
          <w:tcPr>
            <w:tcW w:w="4536" w:type="dxa"/>
          </w:tcPr>
          <w:p w:rsidR="00E97F53" w:rsidRPr="004E00C9" w:rsidRDefault="00E97F53" w:rsidP="00ED4349">
            <w:pPr>
              <w:spacing w:before="20"/>
              <w:rPr>
                <w:szCs w:val="22"/>
              </w:rPr>
            </w:pPr>
            <w:r w:rsidRPr="004E00C9">
              <w:rPr>
                <w:szCs w:val="22"/>
              </w:rPr>
              <w:t>Refer to note below</w:t>
            </w:r>
            <w:r w:rsidR="004E00C9" w:rsidRPr="004E00C9">
              <w:rPr>
                <w:position w:val="6"/>
                <w:sz w:val="16"/>
                <w:szCs w:val="22"/>
              </w:rPr>
              <w:t>*</w:t>
            </w:r>
          </w:p>
        </w:tc>
      </w:tr>
      <w:tr w:rsidR="00E97F53" w:rsidRPr="004E00C9" w:rsidTr="00ED4349">
        <w:tc>
          <w:tcPr>
            <w:tcW w:w="2206" w:type="dxa"/>
          </w:tcPr>
          <w:p w:rsidR="00E97F53" w:rsidRPr="004E00C9" w:rsidRDefault="00E97F53" w:rsidP="00ED4349">
            <w:pPr>
              <w:spacing w:before="20"/>
              <w:rPr>
                <w:szCs w:val="22"/>
              </w:rPr>
            </w:pPr>
            <w:r w:rsidRPr="004E00C9">
              <w:rPr>
                <w:szCs w:val="22"/>
              </w:rPr>
              <w:t>log K</w:t>
            </w:r>
            <w:r w:rsidRPr="004E00C9">
              <w:rPr>
                <w:szCs w:val="22"/>
                <w:vertAlign w:val="subscript"/>
              </w:rPr>
              <w:t>ow</w:t>
            </w:r>
          </w:p>
        </w:tc>
        <w:tc>
          <w:tcPr>
            <w:tcW w:w="1985" w:type="dxa"/>
          </w:tcPr>
          <w:p w:rsidR="00E97F53" w:rsidRPr="004E00C9" w:rsidRDefault="00E97F53" w:rsidP="00ED4349">
            <w:pPr>
              <w:spacing w:before="20"/>
              <w:rPr>
                <w:szCs w:val="22"/>
              </w:rPr>
            </w:pPr>
            <w:r w:rsidRPr="004E00C9">
              <w:rPr>
                <w:szCs w:val="22"/>
              </w:rPr>
              <w:t>6.84</w:t>
            </w:r>
          </w:p>
        </w:tc>
        <w:tc>
          <w:tcPr>
            <w:tcW w:w="4536" w:type="dxa"/>
          </w:tcPr>
          <w:p w:rsidR="00E97F53" w:rsidRPr="004E00C9" w:rsidRDefault="00E97F53" w:rsidP="00ED4349">
            <w:pPr>
              <w:spacing w:before="20"/>
              <w:rPr>
                <w:szCs w:val="22"/>
              </w:rPr>
            </w:pPr>
            <w:r w:rsidRPr="004E00C9">
              <w:rPr>
                <w:szCs w:val="22"/>
              </w:rPr>
              <w:t>RAIS (2010) for penta</w:t>
            </w:r>
            <w:r w:rsidR="004E00C9">
              <w:rPr>
                <w:szCs w:val="22"/>
              </w:rPr>
              <w:noBreakHyphen/>
            </w:r>
            <w:r w:rsidRPr="004E00C9">
              <w:rPr>
                <w:szCs w:val="22"/>
              </w:rPr>
              <w:t>BDE (BDE</w:t>
            </w:r>
            <w:r w:rsidR="004E00C9">
              <w:rPr>
                <w:szCs w:val="22"/>
              </w:rPr>
              <w:noBreakHyphen/>
            </w:r>
            <w:r w:rsidRPr="004E00C9">
              <w:rPr>
                <w:szCs w:val="22"/>
              </w:rPr>
              <w:t>99)</w:t>
            </w:r>
          </w:p>
        </w:tc>
      </w:tr>
      <w:tr w:rsidR="00E97F53" w:rsidRPr="004E00C9" w:rsidTr="00ED4349">
        <w:tc>
          <w:tcPr>
            <w:tcW w:w="2206" w:type="dxa"/>
          </w:tcPr>
          <w:p w:rsidR="00E97F53" w:rsidRPr="004E00C9" w:rsidRDefault="00E97F53" w:rsidP="00ED4349">
            <w:pPr>
              <w:spacing w:before="20"/>
              <w:rPr>
                <w:szCs w:val="22"/>
              </w:rPr>
            </w:pPr>
            <w:r w:rsidRPr="004E00C9">
              <w:rPr>
                <w:szCs w:val="22"/>
              </w:rPr>
              <w:t>Diffusivity in water</w:t>
            </w:r>
          </w:p>
        </w:tc>
        <w:tc>
          <w:tcPr>
            <w:tcW w:w="1985" w:type="dxa"/>
          </w:tcPr>
          <w:p w:rsidR="00E97F53" w:rsidRPr="004E00C9" w:rsidRDefault="00E97F53" w:rsidP="00ED4349">
            <w:pPr>
              <w:spacing w:before="20"/>
              <w:rPr>
                <w:szCs w:val="22"/>
              </w:rPr>
            </w:pPr>
            <w:r w:rsidRPr="004E00C9">
              <w:rPr>
                <w:szCs w:val="22"/>
              </w:rPr>
              <w:t>5.32x10</w:t>
            </w:r>
            <w:r w:rsidR="004E00C9">
              <w:rPr>
                <w:szCs w:val="22"/>
                <w:vertAlign w:val="superscript"/>
              </w:rPr>
              <w:noBreakHyphen/>
            </w:r>
            <w:r w:rsidRPr="004E00C9">
              <w:rPr>
                <w:szCs w:val="22"/>
                <w:vertAlign w:val="superscript"/>
              </w:rPr>
              <w:t>6</w:t>
            </w:r>
            <w:r w:rsidRPr="004E00C9">
              <w:rPr>
                <w:szCs w:val="22"/>
              </w:rPr>
              <w:t xml:space="preserve"> (cm</w:t>
            </w:r>
            <w:r w:rsidRPr="004E00C9">
              <w:rPr>
                <w:szCs w:val="22"/>
                <w:vertAlign w:val="superscript"/>
              </w:rPr>
              <w:t>2</w:t>
            </w:r>
            <w:r w:rsidRPr="004E00C9">
              <w:rPr>
                <w:szCs w:val="22"/>
              </w:rPr>
              <w:t>/s)</w:t>
            </w:r>
          </w:p>
        </w:tc>
        <w:tc>
          <w:tcPr>
            <w:tcW w:w="4536" w:type="dxa"/>
          </w:tcPr>
          <w:p w:rsidR="00E97F53" w:rsidRPr="004E00C9" w:rsidRDefault="00E97F53" w:rsidP="00ED4349">
            <w:pPr>
              <w:spacing w:before="20"/>
              <w:rPr>
                <w:szCs w:val="22"/>
              </w:rPr>
            </w:pPr>
            <w:r w:rsidRPr="004E00C9">
              <w:rPr>
                <w:szCs w:val="22"/>
              </w:rPr>
              <w:t>Estimated as per Guan et al. (2009)</w:t>
            </w:r>
          </w:p>
        </w:tc>
      </w:tr>
      <w:tr w:rsidR="00E97F53" w:rsidRPr="004E00C9" w:rsidTr="00ED4349">
        <w:tc>
          <w:tcPr>
            <w:tcW w:w="8727" w:type="dxa"/>
            <w:gridSpan w:val="3"/>
          </w:tcPr>
          <w:p w:rsidR="00E97F53" w:rsidRPr="004E00C9" w:rsidRDefault="00E97F53" w:rsidP="00ED4349">
            <w:pPr>
              <w:spacing w:before="20"/>
              <w:jc w:val="center"/>
              <w:rPr>
                <w:b/>
                <w:szCs w:val="22"/>
              </w:rPr>
            </w:pPr>
            <w:r w:rsidRPr="004E00C9">
              <w:rPr>
                <w:b/>
                <w:szCs w:val="22"/>
              </w:rPr>
              <w:t>Calculated Plant Uptake Factors (mg/kg produce fresh weight per mg/kg soil)</w:t>
            </w:r>
          </w:p>
        </w:tc>
      </w:tr>
      <w:tr w:rsidR="00E97F53" w:rsidRPr="004E00C9" w:rsidTr="00ED4349">
        <w:tc>
          <w:tcPr>
            <w:tcW w:w="2206" w:type="dxa"/>
          </w:tcPr>
          <w:p w:rsidR="00E97F53" w:rsidRPr="004E00C9" w:rsidRDefault="00E97F53" w:rsidP="00ED4349">
            <w:pPr>
              <w:spacing w:before="20"/>
              <w:rPr>
                <w:szCs w:val="22"/>
              </w:rPr>
            </w:pPr>
            <w:r w:rsidRPr="004E00C9">
              <w:rPr>
                <w:szCs w:val="22"/>
              </w:rPr>
              <w:t>Green vegetables</w:t>
            </w:r>
          </w:p>
        </w:tc>
        <w:tc>
          <w:tcPr>
            <w:tcW w:w="1985" w:type="dxa"/>
          </w:tcPr>
          <w:p w:rsidR="00E97F53" w:rsidRPr="004E00C9" w:rsidRDefault="00E97F53" w:rsidP="00ED4349">
            <w:pPr>
              <w:spacing w:before="20"/>
              <w:rPr>
                <w:szCs w:val="22"/>
              </w:rPr>
            </w:pPr>
            <w:r w:rsidRPr="004E00C9">
              <w:rPr>
                <w:szCs w:val="22"/>
              </w:rPr>
              <w:t>0.00026</w:t>
            </w:r>
          </w:p>
        </w:tc>
        <w:tc>
          <w:tcPr>
            <w:tcW w:w="4536" w:type="dxa"/>
          </w:tcPr>
          <w:p w:rsidR="00E97F53" w:rsidRPr="004E00C9" w:rsidRDefault="00E97F53" w:rsidP="00ED4349">
            <w:pPr>
              <w:spacing w:before="20"/>
              <w:rPr>
                <w:szCs w:val="22"/>
              </w:rPr>
            </w:pPr>
            <w:r w:rsidRPr="004E00C9">
              <w:rPr>
                <w:szCs w:val="22"/>
              </w:rPr>
              <w:t>calculated</w:t>
            </w:r>
          </w:p>
        </w:tc>
      </w:tr>
      <w:tr w:rsidR="00E97F53" w:rsidRPr="004E00C9" w:rsidTr="00ED4349">
        <w:tc>
          <w:tcPr>
            <w:tcW w:w="2206" w:type="dxa"/>
          </w:tcPr>
          <w:p w:rsidR="00E97F53" w:rsidRPr="004E00C9" w:rsidRDefault="00E97F53" w:rsidP="00ED4349">
            <w:pPr>
              <w:spacing w:before="20"/>
              <w:rPr>
                <w:szCs w:val="22"/>
              </w:rPr>
            </w:pPr>
            <w:r w:rsidRPr="004E00C9">
              <w:rPr>
                <w:szCs w:val="22"/>
              </w:rPr>
              <w:t>Root vegetables</w:t>
            </w:r>
          </w:p>
        </w:tc>
        <w:tc>
          <w:tcPr>
            <w:tcW w:w="1985" w:type="dxa"/>
          </w:tcPr>
          <w:p w:rsidR="00E97F53" w:rsidRPr="004E00C9" w:rsidRDefault="00E97F53" w:rsidP="00ED4349">
            <w:pPr>
              <w:spacing w:before="20"/>
              <w:rPr>
                <w:szCs w:val="22"/>
              </w:rPr>
            </w:pPr>
            <w:r w:rsidRPr="004E00C9">
              <w:rPr>
                <w:szCs w:val="22"/>
              </w:rPr>
              <w:t>0.0038</w:t>
            </w:r>
          </w:p>
        </w:tc>
        <w:tc>
          <w:tcPr>
            <w:tcW w:w="4536" w:type="dxa"/>
          </w:tcPr>
          <w:p w:rsidR="00E97F53" w:rsidRPr="004E00C9" w:rsidRDefault="00E97F53" w:rsidP="00ED4349">
            <w:pPr>
              <w:spacing w:before="20"/>
              <w:rPr>
                <w:szCs w:val="22"/>
              </w:rPr>
            </w:pPr>
            <w:r w:rsidRPr="004E00C9">
              <w:rPr>
                <w:szCs w:val="22"/>
              </w:rPr>
              <w:t>calculated</w:t>
            </w:r>
          </w:p>
        </w:tc>
      </w:tr>
      <w:tr w:rsidR="00E97F53" w:rsidRPr="004E00C9" w:rsidTr="00ED4349">
        <w:tc>
          <w:tcPr>
            <w:tcW w:w="2206" w:type="dxa"/>
          </w:tcPr>
          <w:p w:rsidR="00E97F53" w:rsidRPr="004E00C9" w:rsidRDefault="00E97F53" w:rsidP="00ED4349">
            <w:pPr>
              <w:spacing w:before="20"/>
              <w:rPr>
                <w:szCs w:val="22"/>
              </w:rPr>
            </w:pPr>
            <w:r w:rsidRPr="004E00C9">
              <w:rPr>
                <w:szCs w:val="22"/>
              </w:rPr>
              <w:t>Tuber vegetables</w:t>
            </w:r>
          </w:p>
        </w:tc>
        <w:tc>
          <w:tcPr>
            <w:tcW w:w="1985" w:type="dxa"/>
          </w:tcPr>
          <w:p w:rsidR="00E97F53" w:rsidRPr="004E00C9" w:rsidRDefault="00E97F53" w:rsidP="00ED4349">
            <w:pPr>
              <w:spacing w:before="20"/>
              <w:rPr>
                <w:szCs w:val="22"/>
              </w:rPr>
            </w:pPr>
            <w:r w:rsidRPr="004E00C9">
              <w:rPr>
                <w:szCs w:val="22"/>
              </w:rPr>
              <w:t>0.079</w:t>
            </w:r>
          </w:p>
        </w:tc>
        <w:tc>
          <w:tcPr>
            <w:tcW w:w="4536" w:type="dxa"/>
          </w:tcPr>
          <w:p w:rsidR="00E97F53" w:rsidRPr="004E00C9" w:rsidRDefault="00E97F53" w:rsidP="00ED4349">
            <w:pPr>
              <w:spacing w:before="20"/>
              <w:rPr>
                <w:szCs w:val="22"/>
              </w:rPr>
            </w:pPr>
            <w:r w:rsidRPr="004E00C9">
              <w:rPr>
                <w:szCs w:val="22"/>
              </w:rPr>
              <w:t>calculated</w:t>
            </w:r>
          </w:p>
        </w:tc>
      </w:tr>
      <w:tr w:rsidR="00E97F53" w:rsidRPr="004E00C9" w:rsidTr="00ED4349">
        <w:tc>
          <w:tcPr>
            <w:tcW w:w="2206" w:type="dxa"/>
            <w:tcBorders>
              <w:bottom w:val="single" w:sz="4" w:space="0" w:color="000000"/>
            </w:tcBorders>
          </w:tcPr>
          <w:p w:rsidR="00E97F53" w:rsidRPr="004E00C9" w:rsidRDefault="00E97F53" w:rsidP="00ED4349">
            <w:pPr>
              <w:spacing w:before="20"/>
              <w:rPr>
                <w:szCs w:val="22"/>
              </w:rPr>
            </w:pPr>
            <w:r w:rsidRPr="004E00C9">
              <w:rPr>
                <w:szCs w:val="22"/>
              </w:rPr>
              <w:lastRenderedPageBreak/>
              <w:t>Tree fruit</w:t>
            </w:r>
          </w:p>
        </w:tc>
        <w:tc>
          <w:tcPr>
            <w:tcW w:w="1985" w:type="dxa"/>
            <w:tcBorders>
              <w:bottom w:val="single" w:sz="4" w:space="0" w:color="000000"/>
            </w:tcBorders>
          </w:tcPr>
          <w:p w:rsidR="00E97F53" w:rsidRPr="004E00C9" w:rsidRDefault="00E97F53" w:rsidP="00ED4349">
            <w:pPr>
              <w:spacing w:before="20"/>
              <w:rPr>
                <w:szCs w:val="22"/>
              </w:rPr>
            </w:pPr>
            <w:r w:rsidRPr="004E00C9">
              <w:rPr>
                <w:szCs w:val="22"/>
              </w:rPr>
              <w:t>0.00096</w:t>
            </w:r>
          </w:p>
        </w:tc>
        <w:tc>
          <w:tcPr>
            <w:tcW w:w="4536" w:type="dxa"/>
            <w:tcBorders>
              <w:bottom w:val="single" w:sz="4" w:space="0" w:color="000000"/>
            </w:tcBorders>
          </w:tcPr>
          <w:p w:rsidR="00E97F53" w:rsidRPr="004E00C9" w:rsidRDefault="00E97F53" w:rsidP="00ED4349">
            <w:pPr>
              <w:spacing w:before="20"/>
              <w:rPr>
                <w:szCs w:val="22"/>
              </w:rPr>
            </w:pPr>
            <w:r w:rsidRPr="004E00C9">
              <w:rPr>
                <w:szCs w:val="22"/>
              </w:rPr>
              <w:t>calculated</w:t>
            </w:r>
          </w:p>
        </w:tc>
      </w:tr>
      <w:tr w:rsidR="00E97F53" w:rsidRPr="004E00C9" w:rsidTr="00ED4349">
        <w:tc>
          <w:tcPr>
            <w:tcW w:w="8727" w:type="dxa"/>
            <w:gridSpan w:val="3"/>
            <w:tcBorders>
              <w:left w:val="nil"/>
              <w:bottom w:val="nil"/>
              <w:right w:val="nil"/>
            </w:tcBorders>
          </w:tcPr>
          <w:p w:rsidR="00E97F53" w:rsidRPr="004E00C9" w:rsidRDefault="004E00C9" w:rsidP="00ED4349">
            <w:pPr>
              <w:rPr>
                <w:sz w:val="18"/>
                <w:szCs w:val="18"/>
              </w:rPr>
            </w:pPr>
            <w:r w:rsidRPr="004E00C9">
              <w:rPr>
                <w:position w:val="6"/>
                <w:sz w:val="16"/>
                <w:szCs w:val="18"/>
              </w:rPr>
              <w:t>*</w:t>
            </w:r>
            <w:r w:rsidR="00E97F53" w:rsidRPr="004E00C9">
              <w:rPr>
                <w:sz w:val="18"/>
                <w:szCs w:val="18"/>
              </w:rPr>
              <w:t xml:space="preserve"> The estimation of potential plant uptake of BDE is sensitive to the value of K</w:t>
            </w:r>
            <w:r w:rsidR="00E97F53" w:rsidRPr="004E00C9">
              <w:rPr>
                <w:sz w:val="18"/>
                <w:szCs w:val="18"/>
                <w:vertAlign w:val="subscript"/>
              </w:rPr>
              <w:t>oc</w:t>
            </w:r>
            <w:r w:rsidR="00E97F53" w:rsidRPr="004E00C9">
              <w:rPr>
                <w:sz w:val="18"/>
                <w:szCs w:val="18"/>
              </w:rPr>
              <w:t xml:space="preserve"> adopted. The data would normally be derived from RAIS (2010) for consistency; however, the data provided is only for penta</w:t>
            </w:r>
            <w:r>
              <w:rPr>
                <w:sz w:val="18"/>
                <w:szCs w:val="18"/>
              </w:rPr>
              <w:noBreakHyphen/>
            </w:r>
            <w:r w:rsidR="00E97F53" w:rsidRPr="004E00C9">
              <w:rPr>
                <w:sz w:val="18"/>
                <w:szCs w:val="18"/>
              </w:rPr>
              <w:t>BDE with data from no other lower BDEs presented for comparison. Data presented in ATSDR (2001) suggests log K</w:t>
            </w:r>
            <w:r w:rsidR="00E97F53" w:rsidRPr="004E00C9">
              <w:rPr>
                <w:sz w:val="18"/>
                <w:szCs w:val="18"/>
                <w:vertAlign w:val="subscript"/>
              </w:rPr>
              <w:t>oc</w:t>
            </w:r>
            <w:r w:rsidR="00E97F53" w:rsidRPr="004E00C9">
              <w:rPr>
                <w:sz w:val="18"/>
                <w:szCs w:val="18"/>
              </w:rPr>
              <w:t xml:space="preserve"> ranges from 2.89</w:t>
            </w:r>
            <w:r w:rsidR="00E97F53" w:rsidRPr="004E00C9">
              <w:rPr>
                <w:sz w:val="18"/>
                <w:szCs w:val="18"/>
              </w:rPr>
              <w:sym w:font="Symbol" w:char="F02D"/>
            </w:r>
            <w:r w:rsidR="00E97F53" w:rsidRPr="004E00C9">
              <w:rPr>
                <w:sz w:val="18"/>
                <w:szCs w:val="18"/>
              </w:rPr>
              <w:t>5.1 for penta</w:t>
            </w:r>
            <w:r>
              <w:rPr>
                <w:sz w:val="18"/>
                <w:szCs w:val="18"/>
              </w:rPr>
              <w:noBreakHyphen/>
            </w:r>
            <w:r w:rsidR="00E97F53" w:rsidRPr="004E00C9">
              <w:rPr>
                <w:sz w:val="18"/>
                <w:szCs w:val="18"/>
              </w:rPr>
              <w:t>BDE and from 5.92</w:t>
            </w:r>
            <w:r w:rsidR="00E97F53" w:rsidRPr="004E00C9">
              <w:rPr>
                <w:sz w:val="18"/>
                <w:szCs w:val="18"/>
              </w:rPr>
              <w:sym w:font="Symbol" w:char="F02D"/>
            </w:r>
            <w:r w:rsidR="00E97F53" w:rsidRPr="004E00C9">
              <w:rPr>
                <w:sz w:val="18"/>
                <w:szCs w:val="18"/>
              </w:rPr>
              <w:t>6.22 for octa</w:t>
            </w:r>
            <w:r>
              <w:rPr>
                <w:sz w:val="18"/>
                <w:szCs w:val="18"/>
              </w:rPr>
              <w:noBreakHyphen/>
            </w:r>
            <w:r w:rsidR="00E97F53" w:rsidRPr="004E00C9">
              <w:rPr>
                <w:sz w:val="18"/>
                <w:szCs w:val="18"/>
              </w:rPr>
              <w:t>BDE. Review by Guan et al. (2009) provides log K</w:t>
            </w:r>
            <w:r w:rsidR="00E97F53" w:rsidRPr="004E00C9">
              <w:rPr>
                <w:sz w:val="18"/>
                <w:szCs w:val="18"/>
                <w:vertAlign w:val="subscript"/>
              </w:rPr>
              <w:t>oc</w:t>
            </w:r>
            <w:r w:rsidR="00E97F53" w:rsidRPr="004E00C9">
              <w:rPr>
                <w:sz w:val="18"/>
                <w:szCs w:val="18"/>
              </w:rPr>
              <w:t xml:space="preserve"> values for the lower BDEs (BDE</w:t>
            </w:r>
            <w:r>
              <w:rPr>
                <w:sz w:val="18"/>
                <w:szCs w:val="18"/>
              </w:rPr>
              <w:noBreakHyphen/>
            </w:r>
            <w:r w:rsidR="00E97F53" w:rsidRPr="004E00C9">
              <w:rPr>
                <w:sz w:val="18"/>
                <w:szCs w:val="18"/>
              </w:rPr>
              <w:t>28 to BDE</w:t>
            </w:r>
            <w:r>
              <w:rPr>
                <w:sz w:val="18"/>
                <w:szCs w:val="18"/>
              </w:rPr>
              <w:noBreakHyphen/>
            </w:r>
            <w:r w:rsidR="00E97F53" w:rsidRPr="004E00C9">
              <w:rPr>
                <w:sz w:val="18"/>
                <w:szCs w:val="18"/>
              </w:rPr>
              <w:t>208) that range from 5.73</w:t>
            </w:r>
            <w:r w:rsidR="00E97F53" w:rsidRPr="004E00C9">
              <w:rPr>
                <w:sz w:val="18"/>
                <w:szCs w:val="18"/>
              </w:rPr>
              <w:sym w:font="Symbol" w:char="F02D"/>
            </w:r>
            <w:r w:rsidR="00E97F53" w:rsidRPr="004E00C9">
              <w:rPr>
                <w:sz w:val="18"/>
                <w:szCs w:val="18"/>
              </w:rPr>
              <w:t>6.49. Due to the range of values provided for the lower BDEs, the average of values presented by Guan et al. (2009), log K</w:t>
            </w:r>
            <w:r w:rsidR="00E97F53" w:rsidRPr="004E00C9">
              <w:rPr>
                <w:sz w:val="18"/>
                <w:szCs w:val="18"/>
                <w:vertAlign w:val="subscript"/>
              </w:rPr>
              <w:t>oc</w:t>
            </w:r>
            <w:r w:rsidR="00E97F53" w:rsidRPr="004E00C9">
              <w:rPr>
                <w:sz w:val="18"/>
                <w:szCs w:val="18"/>
              </w:rPr>
              <w:t xml:space="preserve"> = 6.23, has been adopted.</w:t>
            </w:r>
          </w:p>
        </w:tc>
      </w:tr>
    </w:tbl>
    <w:p w:rsidR="00E97F53" w:rsidRPr="004E00C9" w:rsidRDefault="00E97F53" w:rsidP="00E97F53">
      <w:pPr>
        <w:pStyle w:val="Heading3"/>
      </w:pPr>
      <w:bookmarkStart w:id="26" w:name="_Toc351713698"/>
      <w:r w:rsidRPr="004E00C9">
        <w:t>Intakes from Other Sources – Background</w:t>
      </w:r>
      <w:bookmarkEnd w:id="26"/>
    </w:p>
    <w:p w:rsidR="00E97F53" w:rsidRPr="004E00C9" w:rsidRDefault="00E97F53" w:rsidP="00E97F53">
      <w:r w:rsidRPr="004E00C9">
        <w:t>Background intakes were evaluated by NICNAS (2007) on the basis of PBDE levels in blood rather than as an intake. The presence of PBDEs in blood lipids indicates exposure by the general population; however, the data does not determine the major source of exposure. Data available from FSANZ (2007) suggests that dietary sources are likely to be low, therefore house dust may be the major source, but there is little correlation between exposure levels and house construction/contents. FSANZ notes a review by USA where dietary exposures did not explain the current body burden and exposures to hose dust were estimated to account for 82% of the total intake. Based on information presented in the available reviews, the following can be noted with respect to background intakes of PBDEs:</w:t>
      </w:r>
    </w:p>
    <w:p w:rsidR="00E97F53" w:rsidRPr="004E00C9" w:rsidRDefault="00E97F53" w:rsidP="00E97F53">
      <w:pPr>
        <w:pStyle w:val="Dot-points"/>
      </w:pPr>
      <w:r w:rsidRPr="004E00C9">
        <w:t>A range of dietary intakes has been determined by FSANZ (2007) for all age groups. Estimated 95</w:t>
      </w:r>
      <w:r w:rsidRPr="004E00C9">
        <w:rPr>
          <w:vertAlign w:val="superscript"/>
        </w:rPr>
        <w:t>th</w:t>
      </w:r>
      <w:r w:rsidRPr="004E00C9">
        <w:t xml:space="preserve"> percentile dietary intakes from FSANZ (2007) for a child aged 2</w:t>
      </w:r>
      <w:r w:rsidRPr="004E00C9">
        <w:sym w:font="Symbol" w:char="F02D"/>
      </w:r>
      <w:r w:rsidRPr="004E00C9">
        <w:t>5 years ranged from 7 ng/kg/day (lower</w:t>
      </w:r>
      <w:r w:rsidR="004E00C9">
        <w:noBreakHyphen/>
      </w:r>
      <w:r w:rsidRPr="004E00C9">
        <w:t>bound) to 389 ng/kg/day (upper</w:t>
      </w:r>
      <w:r w:rsidR="004E00C9">
        <w:noBreakHyphen/>
      </w:r>
      <w:r w:rsidRPr="004E00C9">
        <w:t>bound). These intakes are consistent with data reported from other countries, including Canada and USA, and corresponded with a margin of exposure (MoE) of 300 or greater where a threshold of 0.1 mg/kg/day was considered. The MoE was greater for all other age groups considered in the study.</w:t>
      </w:r>
    </w:p>
    <w:p w:rsidR="00E97F53" w:rsidRPr="004E00C9" w:rsidRDefault="00E97F53" w:rsidP="00E97F53">
      <w:pPr>
        <w:pStyle w:val="Dot-points"/>
      </w:pPr>
      <w:r w:rsidRPr="004E00C9">
        <w:t>PBDE in dust reported in indoor air in Australian buildings (Toms et al. 2006) ranged from 0.5</w:t>
      </w:r>
      <w:r w:rsidRPr="004E00C9">
        <w:sym w:font="Symbol" w:char="F02D"/>
      </w:r>
      <w:r w:rsidRPr="004E00C9">
        <w:t>179 pg/m</w:t>
      </w:r>
      <w:r w:rsidRPr="004E00C9">
        <w:rPr>
          <w:vertAlign w:val="superscript"/>
        </w:rPr>
        <w:t>3</w:t>
      </w:r>
      <w:r w:rsidRPr="004E00C9">
        <w:t xml:space="preserve"> for homes and 15</w:t>
      </w:r>
      <w:r w:rsidRPr="004E00C9">
        <w:sym w:font="Symbol" w:char="F02D"/>
      </w:r>
      <w:r w:rsidRPr="004E00C9">
        <w:t>487 pg/m</w:t>
      </w:r>
      <w:r w:rsidRPr="004E00C9">
        <w:rPr>
          <w:vertAlign w:val="superscript"/>
        </w:rPr>
        <w:t>3</w:t>
      </w:r>
      <w:r w:rsidRPr="004E00C9">
        <w:t xml:space="preserve"> for offices. Dust concentrations ranged from 87 ng/g</w:t>
      </w:r>
      <w:r w:rsidRPr="004E00C9">
        <w:sym w:font="Symbol" w:char="F02D"/>
      </w:r>
      <w:r w:rsidRPr="004E00C9">
        <w:t>3070 ng/g. PBCEs were detected in 9 out of 10 surface wipe samples. No estimation of intake associated with measured levels in air and dust was presented. The study size was limited and showed dust levels similar to or lower than those conducted overseas in Canada and USA.</w:t>
      </w:r>
    </w:p>
    <w:p w:rsidR="00E97F53" w:rsidRPr="004E00C9" w:rsidRDefault="00E97F53" w:rsidP="00E97F53">
      <w:pPr>
        <w:pStyle w:val="Dot-points"/>
      </w:pPr>
      <w:r w:rsidRPr="004E00C9">
        <w:t>Upper</w:t>
      </w:r>
      <w:r w:rsidR="004E00C9">
        <w:noBreakHyphen/>
      </w:r>
      <w:r w:rsidRPr="004E00C9">
        <w:t xml:space="preserve">bound total intakes of PBDEs from all sources (ambient and indoor air, dietary and dust) in Canada (Health Canada 2006) have been estimated to be approximately 0.95 </w:t>
      </w:r>
      <w:r w:rsidRPr="004E00C9">
        <w:rPr>
          <w:rFonts w:cs="Arial"/>
        </w:rPr>
        <w:t>µ</w:t>
      </w:r>
      <w:r w:rsidRPr="004E00C9">
        <w:t>g/kg/day for children aged 0.5</w:t>
      </w:r>
      <w:r w:rsidRPr="004E00C9">
        <w:sym w:font="Symbol" w:char="F02D"/>
      </w:r>
      <w:r w:rsidRPr="004E00C9">
        <w:t xml:space="preserve">4 years. Higher intakes (2.6 </w:t>
      </w:r>
      <w:r w:rsidRPr="004E00C9">
        <w:rPr>
          <w:rFonts w:cs="Arial"/>
        </w:rPr>
        <w:t>µ</w:t>
      </w:r>
      <w:r w:rsidRPr="004E00C9">
        <w:t xml:space="preserve">g/kg/day) are noted for breastfed infants. Recent review of total intakes from food, dust and air of PBDEs in USA (Schecter et al. 2008) range from 1.2 ng/kg/day for adults to 307 ng/kg/day for infants. </w:t>
      </w:r>
    </w:p>
    <w:p w:rsidR="00E97F53" w:rsidRPr="004E00C9" w:rsidRDefault="00E97F53" w:rsidP="00E97F53">
      <w:pPr>
        <w:pStyle w:val="Dot-points"/>
      </w:pPr>
      <w:r w:rsidRPr="004E00C9">
        <w:t>Based on the Australian data noted above, intakes by young children may range from 0.007</w:t>
      </w:r>
      <w:r w:rsidRPr="004E00C9">
        <w:sym w:font="Symbol" w:char="F02D"/>
      </w:r>
      <w:r w:rsidRPr="004E00C9">
        <w:t xml:space="preserve">0.5 </w:t>
      </w:r>
      <w:r w:rsidRPr="004E00C9">
        <w:rPr>
          <w:rFonts w:cs="Arial"/>
        </w:rPr>
        <w:t>µ</w:t>
      </w:r>
      <w:r w:rsidRPr="004E00C9">
        <w:t xml:space="preserve">g/kg/day. The higher value is half that estimated by Health Canada (2006), both of which exceed the recommended oral TRV. </w:t>
      </w:r>
    </w:p>
    <w:p w:rsidR="00E97F53" w:rsidRPr="004E00C9" w:rsidRDefault="00E97F53" w:rsidP="00E97F53">
      <w:pPr>
        <w:pStyle w:val="Dot-points"/>
      </w:pPr>
      <w:r w:rsidRPr="004E00C9">
        <w:t>On the basis of the above, total intakes (and those reported from Australia) vary and may comprise a significant proportion of the recommended threshold value. Hence, consideration of 80% of the recommended TRV as background intakes is considered appropriate.</w:t>
      </w:r>
    </w:p>
    <w:p w:rsidR="00E97F53" w:rsidRPr="004E00C9" w:rsidRDefault="00E97F53" w:rsidP="00E97F53">
      <w:pPr>
        <w:pStyle w:val="Heading2"/>
      </w:pPr>
      <w:bookmarkStart w:id="27" w:name="_Toc351713699"/>
      <w:r w:rsidRPr="004E00C9">
        <w:t>Identification of Toxicity Reference Values</w:t>
      </w:r>
      <w:bookmarkEnd w:id="27"/>
    </w:p>
    <w:p w:rsidR="00E97F53" w:rsidRPr="004E00C9" w:rsidRDefault="00E97F53" w:rsidP="00E97F53">
      <w:pPr>
        <w:pStyle w:val="Heading3"/>
      </w:pPr>
      <w:bookmarkStart w:id="28" w:name="_Toc351713700"/>
      <w:r w:rsidRPr="004E00C9">
        <w:t>Classification</w:t>
      </w:r>
      <w:bookmarkEnd w:id="28"/>
    </w:p>
    <w:p w:rsidR="00E97F53" w:rsidRPr="004E00C9" w:rsidRDefault="00E97F53" w:rsidP="00E97F53">
      <w:r w:rsidRPr="004E00C9">
        <w:t>The International Agency for Research on Cancer (IARC 1999) has classified technical deca</w:t>
      </w:r>
      <w:r w:rsidR="004E00C9">
        <w:noBreakHyphen/>
      </w:r>
      <w:r w:rsidRPr="004E00C9">
        <w:t>BDE as Group 3</w:t>
      </w:r>
      <w:r w:rsidRPr="004E00C9">
        <w:rPr>
          <w:rFonts w:cs="Arial"/>
        </w:rPr>
        <w:t>—</w:t>
      </w:r>
      <w:r w:rsidRPr="004E00C9">
        <w:t>not classifiable. No classification is available for other BDEs.</w:t>
      </w:r>
    </w:p>
    <w:p w:rsidR="00E97F53" w:rsidRPr="004E00C9" w:rsidRDefault="00E97F53" w:rsidP="00E97F53">
      <w:r w:rsidRPr="004E00C9">
        <w:lastRenderedPageBreak/>
        <w:t>It is noted that US EPA has a classification for deca</w:t>
      </w:r>
      <w:r w:rsidR="004E00C9">
        <w:noBreakHyphen/>
      </w:r>
      <w:r w:rsidRPr="004E00C9">
        <w:t>BDE where it is classified as Group C</w:t>
      </w:r>
      <w:r w:rsidRPr="004E00C9">
        <w:rPr>
          <w:rFonts w:cs="Arial"/>
        </w:rPr>
        <w:t>—</w:t>
      </w:r>
      <w:r w:rsidRPr="004E00C9">
        <w:t>possible human carcinogen. US EPA has classified technical penta</w:t>
      </w:r>
      <w:r w:rsidR="004E00C9">
        <w:noBreakHyphen/>
      </w:r>
      <w:r w:rsidRPr="004E00C9">
        <w:t>BDE and technical octa</w:t>
      </w:r>
      <w:r w:rsidR="004E00C9">
        <w:noBreakHyphen/>
      </w:r>
      <w:r w:rsidRPr="004E00C9">
        <w:t>BDE as Group D</w:t>
      </w:r>
      <w:r w:rsidRPr="004E00C9">
        <w:rPr>
          <w:rFonts w:cs="Arial"/>
        </w:rPr>
        <w:t>—</w:t>
      </w:r>
      <w:r w:rsidRPr="004E00C9">
        <w:t>not classifiable.</w:t>
      </w:r>
    </w:p>
    <w:p w:rsidR="00E97F53" w:rsidRPr="004E00C9" w:rsidRDefault="00E97F53" w:rsidP="00E97F53">
      <w:pPr>
        <w:pStyle w:val="Heading3"/>
      </w:pPr>
      <w:bookmarkStart w:id="29" w:name="_Toc351713701"/>
      <w:r w:rsidRPr="004E00C9">
        <w:t>Review of Available Values/Information</w:t>
      </w:r>
      <w:bookmarkEnd w:id="29"/>
    </w:p>
    <w:p w:rsidR="00E97F53" w:rsidRPr="004E00C9" w:rsidRDefault="00E97F53" w:rsidP="00E97F53">
      <w:r w:rsidRPr="004E00C9">
        <w:t>Review of PBDEs, in particular, penta</w:t>
      </w:r>
      <w:r w:rsidR="004E00C9">
        <w:noBreakHyphen/>
      </w:r>
      <w:r w:rsidRPr="004E00C9">
        <w:t>BDE and octa</w:t>
      </w:r>
      <w:r w:rsidR="004E00C9">
        <w:noBreakHyphen/>
      </w:r>
      <w:r w:rsidRPr="004E00C9">
        <w:t>BDE by NICNAS (2007), indicated there is insufficient information on the carcinogenic potential of these PBDEs, and that the overall conclusion relating to penta</w:t>
      </w:r>
      <w:r w:rsidR="004E00C9">
        <w:noBreakHyphen/>
      </w:r>
      <w:r w:rsidRPr="004E00C9">
        <w:t>BDE is that it is not genotoxic. Further review of octa</w:t>
      </w:r>
      <w:r w:rsidR="004E00C9">
        <w:noBreakHyphen/>
      </w:r>
      <w:r w:rsidRPr="004E00C9">
        <w:t>BDE, PBDE mixtures and penta</w:t>
      </w:r>
      <w:r w:rsidR="004E00C9">
        <w:noBreakHyphen/>
      </w:r>
      <w:r w:rsidRPr="004E00C9">
        <w:t>BDE (JECFA 2006) suggests that PBDE mixtures and individual congeners are not genotoxic. On the basis of the available information, it is considered appropriate that a threshold dose</w:t>
      </w:r>
      <w:r w:rsidRPr="004E00C9">
        <w:sym w:font="Symbol" w:char="F02D"/>
      </w:r>
      <w:r w:rsidRPr="004E00C9">
        <w:t xml:space="preserve">response approach be adopted for PBDEs. </w:t>
      </w:r>
    </w:p>
    <w:p w:rsidR="00287A72" w:rsidRPr="004E00C9" w:rsidRDefault="00287A72" w:rsidP="00E97F53"/>
    <w:p w:rsidR="00E97F53" w:rsidRPr="004E00C9" w:rsidRDefault="00E97F53" w:rsidP="00E97F53">
      <w:r w:rsidRPr="004E00C9">
        <w:t>The following are available for the lower BDEs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gridCol w:w="2004"/>
        <w:gridCol w:w="5493"/>
      </w:tblGrid>
      <w:tr w:rsidR="00E97F53" w:rsidRPr="004E00C9" w:rsidTr="00ED4349">
        <w:trPr>
          <w:tblHeader/>
        </w:trPr>
        <w:tc>
          <w:tcPr>
            <w:tcW w:w="1336" w:type="dxa"/>
            <w:shd w:val="clear" w:color="auto" w:fill="C6D9F1" w:themeFill="text2" w:themeFillTint="33"/>
          </w:tcPr>
          <w:p w:rsidR="00E97F53" w:rsidRPr="004E00C9" w:rsidRDefault="00E97F53" w:rsidP="00ED4349">
            <w:pPr>
              <w:spacing w:before="20"/>
              <w:jc w:val="center"/>
              <w:rPr>
                <w:b/>
                <w:szCs w:val="22"/>
              </w:rPr>
            </w:pPr>
            <w:r w:rsidRPr="004E00C9">
              <w:rPr>
                <w:b/>
                <w:szCs w:val="22"/>
              </w:rPr>
              <w:t>Source</w:t>
            </w:r>
          </w:p>
        </w:tc>
        <w:tc>
          <w:tcPr>
            <w:tcW w:w="2004" w:type="dxa"/>
            <w:shd w:val="clear" w:color="auto" w:fill="C6D9F1" w:themeFill="text2" w:themeFillTint="33"/>
          </w:tcPr>
          <w:p w:rsidR="00E97F53" w:rsidRPr="004E00C9" w:rsidRDefault="00E97F53" w:rsidP="00ED4349">
            <w:pPr>
              <w:spacing w:before="20"/>
              <w:jc w:val="center"/>
              <w:rPr>
                <w:b/>
                <w:szCs w:val="22"/>
              </w:rPr>
            </w:pPr>
            <w:r w:rsidRPr="004E00C9">
              <w:rPr>
                <w:b/>
                <w:szCs w:val="22"/>
              </w:rPr>
              <w:t>Value</w:t>
            </w:r>
          </w:p>
        </w:tc>
        <w:tc>
          <w:tcPr>
            <w:tcW w:w="5493" w:type="dxa"/>
            <w:shd w:val="clear" w:color="auto" w:fill="C6D9F1" w:themeFill="text2" w:themeFillTint="33"/>
          </w:tcPr>
          <w:p w:rsidR="00E97F53" w:rsidRPr="004E00C9" w:rsidRDefault="00E97F53" w:rsidP="00ED4349">
            <w:pPr>
              <w:spacing w:before="20"/>
              <w:jc w:val="center"/>
              <w:rPr>
                <w:b/>
                <w:szCs w:val="22"/>
              </w:rPr>
            </w:pPr>
            <w:r w:rsidRPr="004E00C9">
              <w:rPr>
                <w:b/>
                <w:szCs w:val="22"/>
              </w:rPr>
              <w:t>Basis/Comments</w:t>
            </w:r>
          </w:p>
        </w:tc>
      </w:tr>
      <w:tr w:rsidR="00E97F53" w:rsidRPr="004E00C9" w:rsidTr="00ED4349">
        <w:tc>
          <w:tcPr>
            <w:tcW w:w="8833" w:type="dxa"/>
            <w:gridSpan w:val="3"/>
          </w:tcPr>
          <w:p w:rsidR="00E97F53" w:rsidRPr="004E00C9" w:rsidRDefault="00E97F53" w:rsidP="00ED4349">
            <w:pPr>
              <w:spacing w:before="20"/>
              <w:jc w:val="center"/>
              <w:rPr>
                <w:b/>
                <w:szCs w:val="22"/>
              </w:rPr>
            </w:pPr>
            <w:r w:rsidRPr="004E00C9">
              <w:rPr>
                <w:b/>
                <w:szCs w:val="22"/>
              </w:rPr>
              <w:t>Australian</w:t>
            </w:r>
          </w:p>
        </w:tc>
      </w:tr>
      <w:tr w:rsidR="00E97F53" w:rsidRPr="004E00C9" w:rsidTr="00ED4349">
        <w:tc>
          <w:tcPr>
            <w:tcW w:w="1336" w:type="dxa"/>
          </w:tcPr>
          <w:p w:rsidR="00E97F53" w:rsidRPr="004E00C9" w:rsidRDefault="00E97F53" w:rsidP="00ED4349">
            <w:pPr>
              <w:spacing w:before="20"/>
              <w:rPr>
                <w:szCs w:val="22"/>
              </w:rPr>
            </w:pPr>
            <w:r w:rsidRPr="004E00C9">
              <w:rPr>
                <w:szCs w:val="22"/>
              </w:rPr>
              <w:t xml:space="preserve">ADWG (NHMRC 2004) </w:t>
            </w:r>
          </w:p>
        </w:tc>
        <w:tc>
          <w:tcPr>
            <w:tcW w:w="2004" w:type="dxa"/>
          </w:tcPr>
          <w:p w:rsidR="00E97F53" w:rsidRPr="004E00C9" w:rsidRDefault="00E97F53" w:rsidP="00ED4349">
            <w:pPr>
              <w:spacing w:before="20"/>
              <w:rPr>
                <w:szCs w:val="22"/>
              </w:rPr>
            </w:pPr>
            <w:r w:rsidRPr="004E00C9">
              <w:rPr>
                <w:szCs w:val="22"/>
              </w:rPr>
              <w:t>No evaluation available</w:t>
            </w:r>
          </w:p>
        </w:tc>
        <w:tc>
          <w:tcPr>
            <w:tcW w:w="5493" w:type="dxa"/>
          </w:tcPr>
          <w:p w:rsidR="00E97F53" w:rsidRPr="004E00C9" w:rsidRDefault="00E97F53" w:rsidP="00ED4349">
            <w:pPr>
              <w:spacing w:before="20"/>
              <w:rPr>
                <w:szCs w:val="22"/>
              </w:rPr>
            </w:pPr>
          </w:p>
        </w:tc>
      </w:tr>
      <w:tr w:rsidR="00E97F53" w:rsidRPr="004E00C9" w:rsidTr="00ED4349">
        <w:tc>
          <w:tcPr>
            <w:tcW w:w="1336" w:type="dxa"/>
          </w:tcPr>
          <w:p w:rsidR="00E97F53" w:rsidRPr="004E00C9" w:rsidRDefault="00E97F53" w:rsidP="00ED4349">
            <w:pPr>
              <w:spacing w:before="20"/>
              <w:rPr>
                <w:szCs w:val="22"/>
              </w:rPr>
            </w:pPr>
            <w:r w:rsidRPr="004E00C9">
              <w:rPr>
                <w:szCs w:val="22"/>
              </w:rPr>
              <w:t>OCS (2012)</w:t>
            </w:r>
          </w:p>
        </w:tc>
        <w:tc>
          <w:tcPr>
            <w:tcW w:w="2004" w:type="dxa"/>
          </w:tcPr>
          <w:p w:rsidR="00E97F53" w:rsidRPr="004E00C9" w:rsidRDefault="00E97F53" w:rsidP="00ED4349">
            <w:pPr>
              <w:spacing w:before="20"/>
              <w:rPr>
                <w:szCs w:val="22"/>
              </w:rPr>
            </w:pPr>
            <w:r w:rsidRPr="004E00C9">
              <w:rPr>
                <w:szCs w:val="22"/>
              </w:rPr>
              <w:t>No evaluation available</w:t>
            </w:r>
          </w:p>
        </w:tc>
        <w:tc>
          <w:tcPr>
            <w:tcW w:w="5493" w:type="dxa"/>
          </w:tcPr>
          <w:p w:rsidR="00E97F53" w:rsidRPr="004E00C9" w:rsidRDefault="00E97F53" w:rsidP="00ED4349">
            <w:pPr>
              <w:spacing w:before="20"/>
              <w:rPr>
                <w:szCs w:val="22"/>
              </w:rPr>
            </w:pPr>
          </w:p>
        </w:tc>
      </w:tr>
      <w:tr w:rsidR="00E97F53" w:rsidRPr="004E00C9" w:rsidTr="00ED4349">
        <w:tc>
          <w:tcPr>
            <w:tcW w:w="1336" w:type="dxa"/>
          </w:tcPr>
          <w:p w:rsidR="00E97F53" w:rsidRPr="004E00C9" w:rsidRDefault="00E97F53" w:rsidP="00ED4349">
            <w:pPr>
              <w:spacing w:before="20"/>
              <w:rPr>
                <w:szCs w:val="22"/>
              </w:rPr>
            </w:pPr>
            <w:r w:rsidRPr="004E00C9">
              <w:rPr>
                <w:szCs w:val="22"/>
              </w:rPr>
              <w:t>NICNAS (2007)</w:t>
            </w:r>
          </w:p>
        </w:tc>
        <w:tc>
          <w:tcPr>
            <w:tcW w:w="2004" w:type="dxa"/>
          </w:tcPr>
          <w:p w:rsidR="00E97F53" w:rsidRPr="004E00C9" w:rsidRDefault="00E97F53" w:rsidP="00ED4349">
            <w:pPr>
              <w:spacing w:before="20"/>
              <w:rPr>
                <w:szCs w:val="22"/>
              </w:rPr>
            </w:pPr>
            <w:r w:rsidRPr="004E00C9">
              <w:rPr>
                <w:szCs w:val="22"/>
              </w:rPr>
              <w:t>No ADI/TDI established</w:t>
            </w:r>
          </w:p>
        </w:tc>
        <w:tc>
          <w:tcPr>
            <w:tcW w:w="5493" w:type="dxa"/>
          </w:tcPr>
          <w:p w:rsidR="00E97F53" w:rsidRPr="004E00C9" w:rsidRDefault="00E97F53" w:rsidP="00ED4349">
            <w:pPr>
              <w:spacing w:before="20"/>
              <w:rPr>
                <w:szCs w:val="22"/>
              </w:rPr>
            </w:pPr>
            <w:r w:rsidRPr="004E00C9">
              <w:rPr>
                <w:szCs w:val="22"/>
              </w:rPr>
              <w:t>Based on review of PBDEs and available studies, the highest toxicity was associated with penta</w:t>
            </w:r>
            <w:r w:rsidR="004E00C9">
              <w:rPr>
                <w:szCs w:val="22"/>
              </w:rPr>
              <w:noBreakHyphen/>
            </w:r>
            <w:r w:rsidRPr="004E00C9">
              <w:rPr>
                <w:szCs w:val="22"/>
              </w:rPr>
              <w:t>BDE associated with neurodevelopmental effects in pups and dams where the LOAELs were 0.8 mg/kg/day in pups and 0.06 mg/kg/day in dams.</w:t>
            </w:r>
          </w:p>
        </w:tc>
      </w:tr>
      <w:tr w:rsidR="00E97F53" w:rsidRPr="004E00C9" w:rsidTr="00ED4349">
        <w:tc>
          <w:tcPr>
            <w:tcW w:w="1336" w:type="dxa"/>
          </w:tcPr>
          <w:p w:rsidR="00E97F53" w:rsidRPr="004E00C9" w:rsidRDefault="00E97F53" w:rsidP="00ED4349">
            <w:pPr>
              <w:spacing w:before="20"/>
              <w:rPr>
                <w:szCs w:val="22"/>
              </w:rPr>
            </w:pPr>
            <w:r w:rsidRPr="004E00C9">
              <w:rPr>
                <w:szCs w:val="22"/>
              </w:rPr>
              <w:t>FSANZ (2007)</w:t>
            </w:r>
          </w:p>
        </w:tc>
        <w:tc>
          <w:tcPr>
            <w:tcW w:w="2004" w:type="dxa"/>
          </w:tcPr>
          <w:p w:rsidR="00E97F53" w:rsidRPr="004E00C9" w:rsidRDefault="00E97F53" w:rsidP="00ED4349">
            <w:pPr>
              <w:spacing w:before="20"/>
              <w:rPr>
                <w:szCs w:val="22"/>
              </w:rPr>
            </w:pPr>
            <w:r w:rsidRPr="004E00C9">
              <w:rPr>
                <w:szCs w:val="22"/>
              </w:rPr>
              <w:t>No ADI/TDI established</w:t>
            </w:r>
          </w:p>
        </w:tc>
        <w:tc>
          <w:tcPr>
            <w:tcW w:w="5493" w:type="dxa"/>
          </w:tcPr>
          <w:p w:rsidR="00E97F53" w:rsidRPr="004E00C9" w:rsidRDefault="00E97F53" w:rsidP="00ED4349">
            <w:pPr>
              <w:spacing w:before="20"/>
              <w:rPr>
                <w:szCs w:val="22"/>
              </w:rPr>
            </w:pPr>
            <w:r w:rsidRPr="004E00C9">
              <w:rPr>
                <w:szCs w:val="22"/>
              </w:rPr>
              <w:t>Review of dietary intakes considered a margin of exposure (MoE) approach where a threshold value of 0.1 mg/kg/day was considered, based on a review by JECFA.</w:t>
            </w:r>
          </w:p>
        </w:tc>
      </w:tr>
      <w:tr w:rsidR="00E97F53" w:rsidRPr="004E00C9" w:rsidTr="00ED4349">
        <w:tc>
          <w:tcPr>
            <w:tcW w:w="8833" w:type="dxa"/>
            <w:gridSpan w:val="3"/>
          </w:tcPr>
          <w:p w:rsidR="00E97F53" w:rsidRPr="004E00C9" w:rsidRDefault="00E97F53" w:rsidP="00ED4349">
            <w:pPr>
              <w:spacing w:before="20"/>
              <w:jc w:val="center"/>
              <w:rPr>
                <w:b/>
                <w:szCs w:val="22"/>
              </w:rPr>
            </w:pPr>
            <w:r w:rsidRPr="004E00C9">
              <w:rPr>
                <w:b/>
                <w:szCs w:val="22"/>
              </w:rPr>
              <w:t>International</w:t>
            </w:r>
          </w:p>
        </w:tc>
      </w:tr>
      <w:tr w:rsidR="00E97F53" w:rsidRPr="004E00C9" w:rsidTr="00ED4349">
        <w:tc>
          <w:tcPr>
            <w:tcW w:w="1336" w:type="dxa"/>
          </w:tcPr>
          <w:p w:rsidR="00E97F53" w:rsidRPr="004E00C9" w:rsidRDefault="00E97F53" w:rsidP="00ED4349">
            <w:pPr>
              <w:spacing w:before="20"/>
              <w:rPr>
                <w:szCs w:val="22"/>
              </w:rPr>
            </w:pPr>
            <w:r w:rsidRPr="004E00C9">
              <w:rPr>
                <w:szCs w:val="22"/>
              </w:rPr>
              <w:t>JECFA (2006)</w:t>
            </w:r>
          </w:p>
        </w:tc>
        <w:tc>
          <w:tcPr>
            <w:tcW w:w="2004" w:type="dxa"/>
          </w:tcPr>
          <w:p w:rsidR="00E97F53" w:rsidRPr="004E00C9" w:rsidRDefault="00E97F53" w:rsidP="00ED4349">
            <w:pPr>
              <w:spacing w:before="20"/>
              <w:rPr>
                <w:szCs w:val="22"/>
              </w:rPr>
            </w:pPr>
            <w:r w:rsidRPr="004E00C9">
              <w:rPr>
                <w:szCs w:val="22"/>
              </w:rPr>
              <w:t>No ADI/TDI established</w:t>
            </w:r>
          </w:p>
        </w:tc>
        <w:tc>
          <w:tcPr>
            <w:tcW w:w="5493" w:type="dxa"/>
          </w:tcPr>
          <w:p w:rsidR="00E97F53" w:rsidRPr="004E00C9" w:rsidRDefault="00E97F53" w:rsidP="00ED4349">
            <w:pPr>
              <w:spacing w:before="20"/>
              <w:rPr>
                <w:szCs w:val="22"/>
              </w:rPr>
            </w:pPr>
            <w:r w:rsidRPr="004E00C9">
              <w:rPr>
                <w:szCs w:val="22"/>
              </w:rPr>
              <w:t>Due to the complexity of PBDEs and the lack of adequate data, a provisional maximum tolerable daily intake or provisional tolerable weekly intake has not been derived for PBDEs. Limited data suggests that, for more toxic PBDE congeners, adverse effects would be unlikely to occur in rodents at doses less than approximately 0.1 mg/kg/day.</w:t>
            </w:r>
          </w:p>
        </w:tc>
      </w:tr>
      <w:tr w:rsidR="00E97F53" w:rsidRPr="004E00C9" w:rsidTr="00ED4349">
        <w:tc>
          <w:tcPr>
            <w:tcW w:w="1336" w:type="dxa"/>
          </w:tcPr>
          <w:p w:rsidR="00E97F53" w:rsidRPr="004E00C9" w:rsidRDefault="00E97F53" w:rsidP="00ED4349">
            <w:pPr>
              <w:spacing w:before="20"/>
              <w:rPr>
                <w:szCs w:val="22"/>
              </w:rPr>
            </w:pPr>
            <w:r w:rsidRPr="004E00C9">
              <w:rPr>
                <w:szCs w:val="22"/>
              </w:rPr>
              <w:t>WHO (2011)</w:t>
            </w:r>
          </w:p>
        </w:tc>
        <w:tc>
          <w:tcPr>
            <w:tcW w:w="2004" w:type="dxa"/>
          </w:tcPr>
          <w:p w:rsidR="00E97F53" w:rsidRPr="004E00C9" w:rsidRDefault="00E97F53" w:rsidP="00ED4349">
            <w:pPr>
              <w:spacing w:before="20"/>
              <w:rPr>
                <w:szCs w:val="22"/>
              </w:rPr>
            </w:pPr>
            <w:r w:rsidRPr="004E00C9">
              <w:rPr>
                <w:szCs w:val="22"/>
              </w:rPr>
              <w:t>No evaluation available</w:t>
            </w:r>
          </w:p>
        </w:tc>
        <w:tc>
          <w:tcPr>
            <w:tcW w:w="5493" w:type="dxa"/>
          </w:tcPr>
          <w:p w:rsidR="00E97F53" w:rsidRPr="004E00C9" w:rsidRDefault="00E97F53" w:rsidP="00ED4349">
            <w:pPr>
              <w:spacing w:before="20"/>
              <w:rPr>
                <w:szCs w:val="22"/>
              </w:rPr>
            </w:pPr>
          </w:p>
        </w:tc>
      </w:tr>
      <w:tr w:rsidR="00E97F53" w:rsidRPr="004E00C9" w:rsidTr="00ED4349">
        <w:tc>
          <w:tcPr>
            <w:tcW w:w="1336" w:type="dxa"/>
          </w:tcPr>
          <w:p w:rsidR="00E97F53" w:rsidRPr="004E00C9" w:rsidRDefault="00E97F53" w:rsidP="00ED4349">
            <w:pPr>
              <w:spacing w:before="20"/>
              <w:rPr>
                <w:szCs w:val="22"/>
              </w:rPr>
            </w:pPr>
            <w:r w:rsidRPr="004E00C9">
              <w:rPr>
                <w:szCs w:val="22"/>
              </w:rPr>
              <w:t>Health Canada (2006)</w:t>
            </w:r>
          </w:p>
        </w:tc>
        <w:tc>
          <w:tcPr>
            <w:tcW w:w="2004" w:type="dxa"/>
          </w:tcPr>
          <w:p w:rsidR="00E97F53" w:rsidRPr="004E00C9" w:rsidRDefault="00E97F53" w:rsidP="00ED4349">
            <w:pPr>
              <w:spacing w:before="20"/>
              <w:rPr>
                <w:szCs w:val="22"/>
              </w:rPr>
            </w:pPr>
            <w:r w:rsidRPr="004E00C9">
              <w:rPr>
                <w:szCs w:val="22"/>
              </w:rPr>
              <w:t>No ADI/TDI established</w:t>
            </w:r>
          </w:p>
        </w:tc>
        <w:tc>
          <w:tcPr>
            <w:tcW w:w="5493" w:type="dxa"/>
          </w:tcPr>
          <w:p w:rsidR="00E97F53" w:rsidRPr="004E00C9" w:rsidRDefault="00E97F53" w:rsidP="00ED4349">
            <w:pPr>
              <w:spacing w:before="20"/>
              <w:rPr>
                <w:szCs w:val="22"/>
              </w:rPr>
            </w:pPr>
            <w:r w:rsidRPr="004E00C9">
              <w:rPr>
                <w:szCs w:val="22"/>
              </w:rPr>
              <w:t>A threshold value of 0.8 mg/kg/day was identified for penta</w:t>
            </w:r>
            <w:r w:rsidR="004E00C9">
              <w:rPr>
                <w:szCs w:val="22"/>
              </w:rPr>
              <w:noBreakHyphen/>
            </w:r>
            <w:r w:rsidRPr="004E00C9">
              <w:rPr>
                <w:szCs w:val="22"/>
              </w:rPr>
              <w:t>BDE, based on neurobehavioural effects in neonatal mice, considered the critical effects and appropriate for undertaking a MoE approach to the assessment of risk.</w:t>
            </w:r>
          </w:p>
        </w:tc>
      </w:tr>
      <w:tr w:rsidR="00E97F53" w:rsidRPr="004E00C9" w:rsidTr="00ED4349">
        <w:tc>
          <w:tcPr>
            <w:tcW w:w="1336" w:type="dxa"/>
          </w:tcPr>
          <w:p w:rsidR="00E97F53" w:rsidRPr="004E00C9" w:rsidRDefault="00E97F53" w:rsidP="00ED4349">
            <w:pPr>
              <w:spacing w:before="20"/>
              <w:rPr>
                <w:szCs w:val="22"/>
              </w:rPr>
            </w:pPr>
            <w:r w:rsidRPr="004E00C9">
              <w:rPr>
                <w:szCs w:val="22"/>
              </w:rPr>
              <w:t>ATSDR (2004)</w:t>
            </w:r>
          </w:p>
        </w:tc>
        <w:tc>
          <w:tcPr>
            <w:tcW w:w="2004" w:type="dxa"/>
          </w:tcPr>
          <w:p w:rsidR="00E97F53" w:rsidRPr="004E00C9" w:rsidRDefault="00E97F53" w:rsidP="00ED4349">
            <w:pPr>
              <w:spacing w:before="20"/>
              <w:rPr>
                <w:szCs w:val="22"/>
              </w:rPr>
            </w:pPr>
            <w:r w:rsidRPr="004E00C9">
              <w:rPr>
                <w:szCs w:val="22"/>
              </w:rPr>
              <w:t>No chronic duration MRLs derived</w:t>
            </w:r>
          </w:p>
        </w:tc>
        <w:tc>
          <w:tcPr>
            <w:tcW w:w="5493" w:type="dxa"/>
          </w:tcPr>
          <w:p w:rsidR="00E97F53" w:rsidRPr="004E00C9" w:rsidRDefault="00E97F53" w:rsidP="00ED4349">
            <w:pPr>
              <w:spacing w:before="20"/>
              <w:rPr>
                <w:szCs w:val="22"/>
              </w:rPr>
            </w:pPr>
            <w:r w:rsidRPr="004E00C9">
              <w:rPr>
                <w:szCs w:val="22"/>
              </w:rPr>
              <w:t xml:space="preserve">No chronic duration MRLs have been derived for lower brominated BDEs, due to insufficient data. </w:t>
            </w:r>
          </w:p>
          <w:p w:rsidR="00E97F53" w:rsidRPr="004E00C9" w:rsidRDefault="00E97F53" w:rsidP="00ED4349">
            <w:pPr>
              <w:spacing w:before="20"/>
              <w:rPr>
                <w:szCs w:val="22"/>
              </w:rPr>
            </w:pPr>
            <w:r w:rsidRPr="004E00C9">
              <w:rPr>
                <w:szCs w:val="22"/>
              </w:rPr>
              <w:t>An intermediate duration oral MRL of 0.007 mg/kg/day has been derived on the basis of a LOAEL of 2 mg/kg/day associated with liver effects in rats exposed to penta</w:t>
            </w:r>
            <w:r w:rsidR="004E00C9">
              <w:rPr>
                <w:szCs w:val="22"/>
              </w:rPr>
              <w:noBreakHyphen/>
            </w:r>
            <w:r w:rsidRPr="004E00C9">
              <w:rPr>
                <w:szCs w:val="22"/>
              </w:rPr>
              <w:t>BDE.</w:t>
            </w:r>
          </w:p>
          <w:p w:rsidR="00E97F53" w:rsidRPr="004E00C9" w:rsidRDefault="00E97F53" w:rsidP="00ED4349">
            <w:pPr>
              <w:spacing w:before="20"/>
              <w:rPr>
                <w:szCs w:val="22"/>
              </w:rPr>
            </w:pPr>
            <w:r w:rsidRPr="004E00C9">
              <w:rPr>
                <w:szCs w:val="22"/>
              </w:rPr>
              <w:t>An intermediate duration inhalation MRL of 0.006 mg/m</w:t>
            </w:r>
            <w:r w:rsidRPr="004E00C9">
              <w:rPr>
                <w:szCs w:val="22"/>
                <w:vertAlign w:val="superscript"/>
              </w:rPr>
              <w:t>3</w:t>
            </w:r>
            <w:r w:rsidRPr="004E00C9">
              <w:rPr>
                <w:szCs w:val="22"/>
              </w:rPr>
              <w:t xml:space="preserve"> has been derived based on a NOAEL of 1.1 mg/m</w:t>
            </w:r>
            <w:r w:rsidRPr="004E00C9">
              <w:rPr>
                <w:szCs w:val="22"/>
                <w:vertAlign w:val="superscript"/>
              </w:rPr>
              <w:t>3</w:t>
            </w:r>
            <w:r w:rsidRPr="004E00C9">
              <w:rPr>
                <w:szCs w:val="22"/>
              </w:rPr>
              <w:t xml:space="preserve"> for thyroid effects in rats exposed to commercial octa</w:t>
            </w:r>
            <w:r w:rsidR="004E00C9">
              <w:rPr>
                <w:szCs w:val="22"/>
              </w:rPr>
              <w:noBreakHyphen/>
            </w:r>
            <w:r w:rsidRPr="004E00C9">
              <w:rPr>
                <w:szCs w:val="22"/>
              </w:rPr>
              <w:t>BDE mixture.</w:t>
            </w:r>
          </w:p>
        </w:tc>
      </w:tr>
      <w:tr w:rsidR="00E97F53" w:rsidRPr="004E00C9" w:rsidTr="00ED4349">
        <w:tc>
          <w:tcPr>
            <w:tcW w:w="1336" w:type="dxa"/>
          </w:tcPr>
          <w:p w:rsidR="00E97F53" w:rsidRPr="004E00C9" w:rsidRDefault="00E97F53" w:rsidP="00ED4349">
            <w:pPr>
              <w:spacing w:before="20"/>
              <w:rPr>
                <w:szCs w:val="22"/>
              </w:rPr>
            </w:pPr>
            <w:r w:rsidRPr="004E00C9">
              <w:rPr>
                <w:szCs w:val="22"/>
              </w:rPr>
              <w:t xml:space="preserve">US EPA </w:t>
            </w:r>
            <w:r w:rsidRPr="004E00C9">
              <w:rPr>
                <w:szCs w:val="22"/>
              </w:rPr>
              <w:lastRenderedPageBreak/>
              <w:t>(IRIS 2012)</w:t>
            </w:r>
          </w:p>
        </w:tc>
        <w:tc>
          <w:tcPr>
            <w:tcW w:w="2004" w:type="dxa"/>
          </w:tcPr>
          <w:p w:rsidR="00E97F53" w:rsidRPr="004E00C9" w:rsidRDefault="00E97F53" w:rsidP="00ED4349">
            <w:pPr>
              <w:spacing w:before="20"/>
              <w:rPr>
                <w:szCs w:val="22"/>
              </w:rPr>
            </w:pPr>
            <w:r w:rsidRPr="004E00C9">
              <w:rPr>
                <w:szCs w:val="22"/>
              </w:rPr>
              <w:lastRenderedPageBreak/>
              <w:t xml:space="preserve">RfD = 0.0001 </w:t>
            </w:r>
            <w:r w:rsidRPr="004E00C9">
              <w:rPr>
                <w:szCs w:val="22"/>
              </w:rPr>
              <w:lastRenderedPageBreak/>
              <w:t>mg/kg/day for penta</w:t>
            </w:r>
            <w:r w:rsidR="004E00C9">
              <w:rPr>
                <w:szCs w:val="22"/>
              </w:rPr>
              <w:noBreakHyphen/>
            </w:r>
            <w:r w:rsidRPr="004E00C9">
              <w:rPr>
                <w:szCs w:val="22"/>
              </w:rPr>
              <w:t>BDE (BDE</w:t>
            </w:r>
            <w:r w:rsidR="004E00C9">
              <w:rPr>
                <w:szCs w:val="22"/>
              </w:rPr>
              <w:noBreakHyphen/>
            </w:r>
            <w:r w:rsidRPr="004E00C9">
              <w:rPr>
                <w:szCs w:val="22"/>
              </w:rPr>
              <w:t>99)</w:t>
            </w:r>
          </w:p>
          <w:p w:rsidR="00E97F53" w:rsidRPr="004E00C9" w:rsidRDefault="00E97F53" w:rsidP="00ED4349">
            <w:pPr>
              <w:spacing w:before="20"/>
              <w:rPr>
                <w:szCs w:val="22"/>
              </w:rPr>
            </w:pPr>
          </w:p>
          <w:p w:rsidR="00E97F53" w:rsidRPr="004E00C9" w:rsidRDefault="00E97F53" w:rsidP="00ED4349">
            <w:pPr>
              <w:spacing w:before="20"/>
              <w:rPr>
                <w:szCs w:val="22"/>
              </w:rPr>
            </w:pPr>
            <w:r w:rsidRPr="004E00C9">
              <w:rPr>
                <w:szCs w:val="22"/>
              </w:rPr>
              <w:t>RfD = 0.0002 mg/kg/day for hexa</w:t>
            </w:r>
            <w:r w:rsidR="004E00C9">
              <w:rPr>
                <w:szCs w:val="22"/>
              </w:rPr>
              <w:noBreakHyphen/>
            </w:r>
            <w:r w:rsidRPr="004E00C9">
              <w:rPr>
                <w:szCs w:val="22"/>
              </w:rPr>
              <w:t>BDE (BDE</w:t>
            </w:r>
            <w:r w:rsidR="004E00C9">
              <w:rPr>
                <w:szCs w:val="22"/>
              </w:rPr>
              <w:noBreakHyphen/>
            </w:r>
            <w:r w:rsidRPr="004E00C9">
              <w:rPr>
                <w:szCs w:val="22"/>
              </w:rPr>
              <w:t>153)</w:t>
            </w:r>
          </w:p>
          <w:p w:rsidR="00E97F53" w:rsidRPr="004E00C9" w:rsidRDefault="00E97F53" w:rsidP="00ED4349">
            <w:pPr>
              <w:spacing w:before="20"/>
              <w:rPr>
                <w:szCs w:val="22"/>
              </w:rPr>
            </w:pPr>
          </w:p>
          <w:p w:rsidR="00E97F53" w:rsidRPr="004E00C9" w:rsidRDefault="00E97F53" w:rsidP="00ED4349">
            <w:pPr>
              <w:spacing w:before="20"/>
              <w:rPr>
                <w:szCs w:val="22"/>
              </w:rPr>
            </w:pPr>
            <w:r w:rsidRPr="004E00C9">
              <w:rPr>
                <w:szCs w:val="22"/>
              </w:rPr>
              <w:t>RfD = 0.0001 mg/kg/day for tetra</w:t>
            </w:r>
            <w:r w:rsidR="004E00C9">
              <w:rPr>
                <w:szCs w:val="22"/>
              </w:rPr>
              <w:noBreakHyphen/>
            </w:r>
            <w:r w:rsidRPr="004E00C9">
              <w:rPr>
                <w:szCs w:val="22"/>
              </w:rPr>
              <w:t>BDE (BDE</w:t>
            </w:r>
            <w:r w:rsidR="004E00C9">
              <w:rPr>
                <w:szCs w:val="22"/>
              </w:rPr>
              <w:noBreakHyphen/>
            </w:r>
            <w:r w:rsidRPr="004E00C9">
              <w:rPr>
                <w:szCs w:val="22"/>
              </w:rPr>
              <w:t>47)</w:t>
            </w:r>
          </w:p>
          <w:p w:rsidR="00E97F53" w:rsidRPr="004E00C9" w:rsidRDefault="00E97F53" w:rsidP="00ED4349">
            <w:pPr>
              <w:spacing w:before="20"/>
              <w:rPr>
                <w:szCs w:val="22"/>
              </w:rPr>
            </w:pPr>
          </w:p>
          <w:p w:rsidR="00E97F53" w:rsidRPr="004E00C9" w:rsidRDefault="00E97F53" w:rsidP="00ED4349">
            <w:pPr>
              <w:spacing w:before="20"/>
              <w:rPr>
                <w:szCs w:val="22"/>
              </w:rPr>
            </w:pPr>
            <w:r w:rsidRPr="004E00C9">
              <w:rPr>
                <w:szCs w:val="22"/>
              </w:rPr>
              <w:t>RfD = 0.003 mg/kg/day for octa</w:t>
            </w:r>
            <w:r w:rsidR="004E00C9">
              <w:rPr>
                <w:szCs w:val="22"/>
              </w:rPr>
              <w:noBreakHyphen/>
            </w:r>
            <w:r w:rsidRPr="004E00C9">
              <w:rPr>
                <w:szCs w:val="22"/>
              </w:rPr>
              <w:t>BDE</w:t>
            </w:r>
          </w:p>
          <w:p w:rsidR="00E97F53" w:rsidRPr="004E00C9" w:rsidRDefault="00E97F53" w:rsidP="00ED4349">
            <w:pPr>
              <w:spacing w:before="20"/>
              <w:rPr>
                <w:szCs w:val="22"/>
              </w:rPr>
            </w:pPr>
          </w:p>
        </w:tc>
        <w:tc>
          <w:tcPr>
            <w:tcW w:w="5493" w:type="dxa"/>
          </w:tcPr>
          <w:p w:rsidR="00E97F53" w:rsidRPr="004E00C9" w:rsidRDefault="00E97F53" w:rsidP="00ED4349">
            <w:pPr>
              <w:spacing w:before="20"/>
              <w:rPr>
                <w:szCs w:val="22"/>
              </w:rPr>
            </w:pPr>
            <w:r w:rsidRPr="004E00C9">
              <w:rPr>
                <w:szCs w:val="22"/>
              </w:rPr>
              <w:lastRenderedPageBreak/>
              <w:t>RfD established (in 2008) for BDE</w:t>
            </w:r>
            <w:r w:rsidR="004E00C9">
              <w:rPr>
                <w:szCs w:val="22"/>
              </w:rPr>
              <w:noBreakHyphen/>
            </w:r>
            <w:r w:rsidRPr="004E00C9">
              <w:rPr>
                <w:szCs w:val="22"/>
              </w:rPr>
              <w:t>99 (penta</w:t>
            </w:r>
            <w:r w:rsidR="004E00C9">
              <w:rPr>
                <w:szCs w:val="22"/>
              </w:rPr>
              <w:noBreakHyphen/>
            </w:r>
            <w:r w:rsidRPr="004E00C9">
              <w:rPr>
                <w:szCs w:val="22"/>
              </w:rPr>
              <w:t xml:space="preserve">BDE) on the </w:t>
            </w:r>
            <w:r w:rsidRPr="004E00C9">
              <w:rPr>
                <w:szCs w:val="22"/>
              </w:rPr>
              <w:lastRenderedPageBreak/>
              <w:t>basis of a benchmark dose approach and a BMDL</w:t>
            </w:r>
            <w:r w:rsidRPr="004E00C9">
              <w:rPr>
                <w:szCs w:val="22"/>
                <w:vertAlign w:val="subscript"/>
              </w:rPr>
              <w:t>1SD</w:t>
            </w:r>
            <w:r w:rsidRPr="004E00C9">
              <w:rPr>
                <w:szCs w:val="22"/>
              </w:rPr>
              <w:t xml:space="preserve"> of 0.29 mg/kg/day associated with neurobehavioral effects in mice, and an uncertainty factor of 3000.</w:t>
            </w:r>
          </w:p>
          <w:p w:rsidR="00E97F53" w:rsidRPr="004E00C9" w:rsidRDefault="00E97F53" w:rsidP="00ED4349">
            <w:pPr>
              <w:spacing w:before="20"/>
              <w:rPr>
                <w:szCs w:val="22"/>
              </w:rPr>
            </w:pPr>
            <w:r w:rsidRPr="004E00C9">
              <w:rPr>
                <w:szCs w:val="22"/>
              </w:rPr>
              <w:t>Hexa</w:t>
            </w:r>
            <w:r w:rsidR="004E00C9">
              <w:rPr>
                <w:szCs w:val="22"/>
              </w:rPr>
              <w:noBreakHyphen/>
            </w:r>
            <w:r w:rsidRPr="004E00C9">
              <w:rPr>
                <w:szCs w:val="22"/>
              </w:rPr>
              <w:t>BDE RfD established (in 2008) for BDE</w:t>
            </w:r>
            <w:r w:rsidR="004E00C9">
              <w:rPr>
                <w:szCs w:val="22"/>
              </w:rPr>
              <w:noBreakHyphen/>
            </w:r>
            <w:r w:rsidRPr="004E00C9">
              <w:rPr>
                <w:szCs w:val="22"/>
              </w:rPr>
              <w:t>153 on the basis of a NOAEL of 0.45 mg/kg/day associated with neurobehavioral effects in mice, and an uncertainty factor of 3000.</w:t>
            </w:r>
          </w:p>
          <w:p w:rsidR="00E97F53" w:rsidRPr="004E00C9" w:rsidRDefault="00E97F53" w:rsidP="00ED4349">
            <w:pPr>
              <w:spacing w:before="20"/>
              <w:rPr>
                <w:szCs w:val="22"/>
              </w:rPr>
            </w:pPr>
            <w:r w:rsidRPr="004E00C9">
              <w:rPr>
                <w:szCs w:val="22"/>
              </w:rPr>
              <w:t>Tetra</w:t>
            </w:r>
            <w:r w:rsidR="004E00C9">
              <w:rPr>
                <w:szCs w:val="22"/>
              </w:rPr>
              <w:noBreakHyphen/>
            </w:r>
            <w:r w:rsidRPr="004E00C9">
              <w:rPr>
                <w:szCs w:val="22"/>
              </w:rPr>
              <w:t>BDE RfD established (in 2008) for BDE</w:t>
            </w:r>
            <w:r w:rsidR="004E00C9">
              <w:rPr>
                <w:szCs w:val="22"/>
              </w:rPr>
              <w:noBreakHyphen/>
            </w:r>
            <w:r w:rsidRPr="004E00C9">
              <w:rPr>
                <w:szCs w:val="22"/>
              </w:rPr>
              <w:t>47 on the basis of a benchmark dose approach and a BMDL</w:t>
            </w:r>
            <w:r w:rsidRPr="004E00C9">
              <w:rPr>
                <w:szCs w:val="22"/>
                <w:vertAlign w:val="subscript"/>
              </w:rPr>
              <w:t>1SD</w:t>
            </w:r>
            <w:r w:rsidRPr="004E00C9">
              <w:rPr>
                <w:szCs w:val="22"/>
              </w:rPr>
              <w:t xml:space="preserve"> of 0.35 mg/kg/day associated with neurobehavioral effects in mice, and an uncertainty factor of 3000.</w:t>
            </w:r>
          </w:p>
          <w:p w:rsidR="00E97F53" w:rsidRPr="004E00C9" w:rsidRDefault="00E97F53" w:rsidP="00ED4349">
            <w:pPr>
              <w:spacing w:before="20"/>
              <w:rPr>
                <w:szCs w:val="22"/>
              </w:rPr>
            </w:pPr>
            <w:r w:rsidRPr="004E00C9">
              <w:rPr>
                <w:szCs w:val="22"/>
              </w:rPr>
              <w:t>Octa</w:t>
            </w:r>
            <w:r w:rsidR="004E00C9">
              <w:rPr>
                <w:szCs w:val="22"/>
              </w:rPr>
              <w:noBreakHyphen/>
            </w:r>
            <w:r w:rsidRPr="004E00C9">
              <w:rPr>
                <w:szCs w:val="22"/>
              </w:rPr>
              <w:t>BDE RfD (established in 1986) for octa</w:t>
            </w:r>
            <w:r w:rsidR="004E00C9">
              <w:rPr>
                <w:szCs w:val="22"/>
              </w:rPr>
              <w:noBreakHyphen/>
            </w:r>
            <w:r w:rsidRPr="004E00C9">
              <w:rPr>
                <w:szCs w:val="22"/>
              </w:rPr>
              <w:t>BDE based on a NOAEL of 2.51 mg/kg/day associated with liver effects in rats, and an uncertainty factor of 1000.</w:t>
            </w:r>
          </w:p>
          <w:p w:rsidR="00E97F53" w:rsidRPr="004E00C9" w:rsidRDefault="00E97F53" w:rsidP="00ED4349">
            <w:pPr>
              <w:spacing w:before="20"/>
              <w:rPr>
                <w:szCs w:val="22"/>
              </w:rPr>
            </w:pPr>
          </w:p>
          <w:p w:rsidR="00E97F53" w:rsidRPr="004E00C9" w:rsidRDefault="00E97F53" w:rsidP="00ED4349">
            <w:pPr>
              <w:spacing w:before="20"/>
              <w:rPr>
                <w:szCs w:val="22"/>
              </w:rPr>
            </w:pPr>
            <w:r w:rsidRPr="004E00C9">
              <w:rPr>
                <w:szCs w:val="22"/>
              </w:rPr>
              <w:t>Note the US EPA (2008) review established an RfD = 0.007 mg/kg/day for deca</w:t>
            </w:r>
            <w:r w:rsidR="004E00C9">
              <w:rPr>
                <w:szCs w:val="22"/>
              </w:rPr>
              <w:noBreakHyphen/>
            </w:r>
            <w:r w:rsidRPr="004E00C9">
              <w:rPr>
                <w:szCs w:val="22"/>
              </w:rPr>
              <w:t>BDE (BDE</w:t>
            </w:r>
            <w:r w:rsidR="004E00C9">
              <w:rPr>
                <w:szCs w:val="22"/>
              </w:rPr>
              <w:noBreakHyphen/>
            </w:r>
            <w:r w:rsidRPr="004E00C9">
              <w:rPr>
                <w:szCs w:val="22"/>
              </w:rPr>
              <w:t>209), based on a NOAEL of 2.22 mg/kg/day associated with neurobehavioral effects in mice, and application of a 300</w:t>
            </w:r>
            <w:r w:rsidR="004E00C9">
              <w:rPr>
                <w:szCs w:val="22"/>
              </w:rPr>
              <w:noBreakHyphen/>
            </w:r>
            <w:r w:rsidRPr="004E00C9">
              <w:rPr>
                <w:szCs w:val="22"/>
              </w:rPr>
              <w:t>fold uncertainty factor. While not part of the lower</w:t>
            </w:r>
            <w:r w:rsidR="004E00C9">
              <w:rPr>
                <w:szCs w:val="22"/>
              </w:rPr>
              <w:noBreakHyphen/>
            </w:r>
            <w:r w:rsidRPr="004E00C9">
              <w:rPr>
                <w:szCs w:val="22"/>
              </w:rPr>
              <w:t>BDEs evaluated for the derivation of the soil HIL, this evaluation indicates that deca</w:t>
            </w:r>
            <w:r w:rsidR="004E00C9">
              <w:rPr>
                <w:szCs w:val="22"/>
              </w:rPr>
              <w:noBreakHyphen/>
            </w:r>
            <w:r w:rsidRPr="004E00C9">
              <w:rPr>
                <w:szCs w:val="22"/>
              </w:rPr>
              <w:t>BDE is less toxic than the lower BDEs.</w:t>
            </w:r>
          </w:p>
        </w:tc>
      </w:tr>
    </w:tbl>
    <w:p w:rsidR="00E97F53" w:rsidRPr="004E00C9" w:rsidRDefault="00E97F53" w:rsidP="00E97F53"/>
    <w:p w:rsidR="00E97F53" w:rsidRPr="004E00C9" w:rsidRDefault="00E97F53" w:rsidP="00E97F53">
      <w:r w:rsidRPr="004E00C9">
        <w:t>Limited quantitative data is available for the characterisation of chronic exposures to lower BDEs. The more recent evaluations by US EPA (IRIS 2012) for individual congeners BDE</w:t>
      </w:r>
      <w:r w:rsidR="004E00C9">
        <w:noBreakHyphen/>
      </w:r>
      <w:r w:rsidRPr="004E00C9">
        <w:t>99, BDE</w:t>
      </w:r>
      <w:r w:rsidR="004E00C9">
        <w:noBreakHyphen/>
      </w:r>
      <w:r w:rsidRPr="004E00C9">
        <w:t>153 and BDE</w:t>
      </w:r>
      <w:r w:rsidR="004E00C9">
        <w:noBreakHyphen/>
      </w:r>
      <w:r w:rsidRPr="004E00C9">
        <w:t>47 have considered threshold values (BMDLs or NOAELs) that are consistent with those identified in reviews by NICNAS (2007), JECFA (2006) and Health Canada (2006), that are associated with the more sensitive end point of neurobehavioral/developmental effects. These end points are more sensitive than those considered by ATSDR in the derivation of intermediate duration MRLs and considered in older reviews by US EPA for penta</w:t>
      </w:r>
      <w:r w:rsidR="004E00C9">
        <w:noBreakHyphen/>
      </w:r>
      <w:r w:rsidRPr="004E00C9">
        <w:t>BDE and octa</w:t>
      </w:r>
      <w:r w:rsidR="004E00C9">
        <w:noBreakHyphen/>
      </w:r>
      <w:r w:rsidRPr="004E00C9">
        <w:t>BDE. The uncertainty factor applied by US EPA to the individual congeners considered, 3000, includes an additional 10</w:t>
      </w:r>
      <w:r w:rsidR="004E00C9">
        <w:noBreakHyphen/>
      </w:r>
      <w:r w:rsidRPr="004E00C9">
        <w:t>fold factor to address database deficiencies.</w:t>
      </w:r>
    </w:p>
    <w:p w:rsidR="00287A72" w:rsidRPr="004E00C9" w:rsidRDefault="00287A72" w:rsidP="00E97F53"/>
    <w:p w:rsidR="00E97F53" w:rsidRPr="004E00C9" w:rsidRDefault="00E97F53" w:rsidP="00E97F53">
      <w:r w:rsidRPr="004E00C9">
        <w:t>There is no evaluation of a chronic threshold value that would be applicable to all lower BDEs as a group, hence application of the US EPA values requires an assumption that the congeners studied are an appropriate indicator for total lower BDEs. This is likely to be conservative but no more detailed evaluations are available. The individual congener studies by US EPA are noted by NICNAS (2007) to be those within commercial penta</w:t>
      </w:r>
      <w:r w:rsidR="004E00C9">
        <w:noBreakHyphen/>
      </w:r>
      <w:r w:rsidRPr="004E00C9">
        <w:t xml:space="preserve">BDE that are of most importance in biomonitoring and environmental sampling. </w:t>
      </w:r>
    </w:p>
    <w:p w:rsidR="00287A72" w:rsidRPr="004E00C9" w:rsidRDefault="00287A72" w:rsidP="00E97F53"/>
    <w:p w:rsidR="00E97F53" w:rsidRPr="004E00C9" w:rsidRDefault="00E97F53" w:rsidP="00E97F53">
      <w:r w:rsidRPr="004E00C9">
        <w:t>The lower RfD of 0.0001 mg/kg/day derived by US EPA for BDE</w:t>
      </w:r>
      <w:r w:rsidR="004E00C9">
        <w:noBreakHyphen/>
      </w:r>
      <w:r w:rsidRPr="004E00C9">
        <w:t>99 and BDE</w:t>
      </w:r>
      <w:r w:rsidR="004E00C9">
        <w:noBreakHyphen/>
      </w:r>
      <w:r w:rsidRPr="004E00C9">
        <w:t>47, similar to that derived for BDE</w:t>
      </w:r>
      <w:r w:rsidR="004E00C9">
        <w:noBreakHyphen/>
      </w:r>
      <w:r w:rsidRPr="004E00C9">
        <w:t>153, is recommended for use in the derivation of a soil HIL for lower BDEs. As noted in most other reviews, the available database is poor and limited with respect to identification of a threshold associated with chronic exposures to the group of congeners. Hence, the use of this threshold TRV requires further review and update in the future when further studies are undertaken.</w:t>
      </w:r>
    </w:p>
    <w:p w:rsidR="00287A72" w:rsidRPr="004E00C9" w:rsidRDefault="00287A72" w:rsidP="00E97F53"/>
    <w:p w:rsidR="00E97F53" w:rsidRPr="004E00C9" w:rsidRDefault="00E97F53" w:rsidP="00E97F53">
      <w:r w:rsidRPr="004E00C9">
        <w:t>No dermal or inhalation</w:t>
      </w:r>
      <w:r w:rsidR="004E00C9">
        <w:noBreakHyphen/>
      </w:r>
      <w:r w:rsidRPr="004E00C9">
        <w:t>specific chronic studies or data are available. For the presence of lower BDEs in soil, it is considered appropriate to consider use of the available threshold value for all pathways of exposures.</w:t>
      </w:r>
    </w:p>
    <w:p w:rsidR="00E97F53" w:rsidRPr="004E00C9" w:rsidRDefault="00E97F53" w:rsidP="00E97F53">
      <w:pPr>
        <w:pStyle w:val="Heading3"/>
      </w:pPr>
      <w:bookmarkStart w:id="30" w:name="_Toc351713702"/>
      <w:r w:rsidRPr="004E00C9">
        <w:lastRenderedPageBreak/>
        <w:t>Recommendation</w:t>
      </w:r>
      <w:bookmarkEnd w:id="30"/>
    </w:p>
    <w:p w:rsidR="00E97F53" w:rsidRPr="004E00C9" w:rsidRDefault="00E97F53" w:rsidP="00E97F53">
      <w:r w:rsidRPr="004E00C9">
        <w:t>On the basis of the discussion above, the following toxicity reference values (TRVs) have been adopted for lower BDEs in the derivation of HILs:</w:t>
      </w:r>
    </w:p>
    <w:p w:rsidR="00E97F53" w:rsidRPr="004E00C9" w:rsidRDefault="00E97F53" w:rsidP="00E97F53">
      <w:r w:rsidRPr="004E00C9">
        <w:rPr>
          <w:noProof/>
          <w:lang w:eastAsia="en-AU"/>
        </w:rPr>
        <mc:AlternateContent>
          <mc:Choice Requires="wps">
            <w:drawing>
              <wp:inline distT="0" distB="0" distL="0" distR="0" wp14:anchorId="5AF24212" wp14:editId="1ADD8A5A">
                <wp:extent cx="5570220" cy="2386965"/>
                <wp:effectExtent l="13335" t="12065" r="7620" b="107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2386965"/>
                        </a:xfrm>
                        <a:prstGeom prst="rect">
                          <a:avLst/>
                        </a:prstGeom>
                        <a:solidFill>
                          <a:srgbClr val="D8D8D8"/>
                        </a:solidFill>
                        <a:ln w="9525">
                          <a:solidFill>
                            <a:srgbClr val="000000"/>
                          </a:solidFill>
                          <a:miter lim="800000"/>
                          <a:headEnd/>
                          <a:tailEnd/>
                        </a:ln>
                      </wps:spPr>
                      <wps:txbx>
                        <w:txbxContent>
                          <w:p w:rsidR="00ED4349" w:rsidRPr="00742163" w:rsidRDefault="00ED4349" w:rsidP="00E97F53">
                            <w:pPr>
                              <w:spacing w:after="40"/>
                              <w:rPr>
                                <w:b/>
                                <w:u w:val="single"/>
                              </w:rPr>
                            </w:pPr>
                            <w:r w:rsidRPr="00742163">
                              <w:rPr>
                                <w:b/>
                                <w:u w:val="single"/>
                              </w:rPr>
                              <w:t xml:space="preserve">Recommendation for </w:t>
                            </w:r>
                            <w:r>
                              <w:rPr>
                                <w:b/>
                                <w:u w:val="single"/>
                              </w:rPr>
                              <w:t>Lower BDEs</w:t>
                            </w:r>
                          </w:p>
                          <w:p w:rsidR="00ED4349" w:rsidRDefault="00ED4349" w:rsidP="00E97F53">
                            <w:pPr>
                              <w:spacing w:after="40"/>
                            </w:pPr>
                            <w:r>
                              <w:t>Oral TRV (TRV</w:t>
                            </w:r>
                            <w:r w:rsidRPr="00F27B06">
                              <w:rPr>
                                <w:vertAlign w:val="subscript"/>
                              </w:rPr>
                              <w:t>O</w:t>
                            </w:r>
                            <w:r>
                              <w:t>) = 0.0001 mg/kg/day (US EPA (IRIS 2012)) for BDE-99 and BDE-47) for all pathways of exposure</w:t>
                            </w:r>
                          </w:p>
                          <w:p w:rsidR="00ED4349" w:rsidRDefault="00ED4349" w:rsidP="00E97F53">
                            <w:pPr>
                              <w:spacing w:after="40"/>
                            </w:pPr>
                            <w:r>
                              <w:t>Dermal absorption factor (DAF) = 0.1 (or 10%) (US EPA 2004)</w:t>
                            </w:r>
                          </w:p>
                          <w:p w:rsidR="00ED4349" w:rsidRDefault="00ED4349" w:rsidP="00E97F53">
                            <w:pPr>
                              <w:spacing w:after="40"/>
                            </w:pPr>
                            <w:r>
                              <w:t xml:space="preserve">Intakes allowable from soil (as % of TRV) = 20% </w:t>
                            </w:r>
                          </w:p>
                          <w:p w:rsidR="00ED4349" w:rsidRDefault="00ED4349" w:rsidP="00E97F53">
                            <w:pPr>
                              <w:spacing w:after="40"/>
                            </w:pPr>
                            <w:r>
                              <w:t>Background intakes from other sources (as % of TRV):</w:t>
                            </w:r>
                          </w:p>
                          <w:p w:rsidR="00ED4349" w:rsidRDefault="00ED4349" w:rsidP="00E97F53">
                            <w:pPr>
                              <w:spacing w:after="40"/>
                              <w:ind w:left="720"/>
                            </w:pPr>
                            <w:r>
                              <w:t>BI</w:t>
                            </w:r>
                            <w:r w:rsidRPr="002049F5">
                              <w:rPr>
                                <w:vertAlign w:val="subscript"/>
                              </w:rPr>
                              <w:t>O</w:t>
                            </w:r>
                            <w:r>
                              <w:t xml:space="preserve"> = 80% for oral and dermal intakes</w:t>
                            </w:r>
                          </w:p>
                          <w:p w:rsidR="00ED4349" w:rsidRDefault="00ED4349" w:rsidP="00E97F53">
                            <w:pPr>
                              <w:spacing w:after="40"/>
                              <w:ind w:left="720"/>
                            </w:pPr>
                            <w:r>
                              <w:t>BIi = 80% for inhalation</w:t>
                            </w:r>
                          </w:p>
                          <w:p w:rsidR="00ED4349" w:rsidRDefault="00ED4349" w:rsidP="00E97F53">
                            <w:pPr>
                              <w:spacing w:after="40"/>
                            </w:pPr>
                            <w:r>
                              <w:t>Uptake in home-grown produce considered in derivation of HIL A.</w:t>
                            </w:r>
                          </w:p>
                          <w:p w:rsidR="00ED4349" w:rsidRDefault="00ED4349" w:rsidP="00E97F53">
                            <w:pPr>
                              <w:spacing w:after="40"/>
                            </w:pPr>
                          </w:p>
                        </w:txbxContent>
                      </wps:txbx>
                      <wps:bodyPr rot="0" vert="horz" wrap="square" lIns="91440" tIns="45720" rIns="91440" bIns="45720" anchor="t" anchorCtr="0" upright="1">
                        <a:noAutofit/>
                      </wps:bodyPr>
                    </wps:wsp>
                  </a:graphicData>
                </a:graphic>
              </wp:inline>
            </w:drawing>
          </mc:Choice>
          <mc:Fallback>
            <w:pict>
              <v:shape id="Text Box 3" o:spid="_x0000_s1029" type="#_x0000_t202" style="width:438.6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" fillcolor="#d8d8d8">
                <v:textbox>
                  <w:txbxContent>
                    <w:p w:rsidR="00ED4349" w:rsidRPr="00742163" w:rsidRDefault="00ED4349" w:rsidP="00E97F53">
                      <w:pPr>
                        <w:spacing w:after="40"/>
                        <w:rPr>
                          <w:b/>
                          <w:u w:val="single"/>
                        </w:rPr>
                      </w:pPr>
                      <w:r w:rsidRPr="00742163">
                        <w:rPr>
                          <w:b/>
                          <w:u w:val="single"/>
                        </w:rPr>
                        <w:t xml:space="preserve">Recommendation for </w:t>
                      </w:r>
                      <w:r>
                        <w:rPr>
                          <w:b/>
                          <w:u w:val="single"/>
                        </w:rPr>
                        <w:t>Lower BDEs</w:t>
                      </w:r>
                    </w:p>
                    <w:p w:rsidR="00ED4349" w:rsidRDefault="00ED4349" w:rsidP="00E97F53">
                      <w:pPr>
                        <w:spacing w:after="40"/>
                      </w:pPr>
                      <w:r>
                        <w:t>Oral TRV (TRV</w:t>
                      </w:r>
                      <w:r w:rsidRPr="00F27B06">
                        <w:rPr>
                          <w:vertAlign w:val="subscript"/>
                        </w:rPr>
                        <w:t>O</w:t>
                      </w:r>
                      <w:r>
                        <w:t>) = 0.0001 mg/kg/day (US EPA (IRIS 2012)) for BDE-99 and BDE-47) for all pathways of exposure</w:t>
                      </w:r>
                    </w:p>
                    <w:p w:rsidR="00ED4349" w:rsidRDefault="00ED4349" w:rsidP="00E97F53">
                      <w:pPr>
                        <w:spacing w:after="40"/>
                      </w:pPr>
                      <w:r>
                        <w:t>Dermal absorption factor (DAF) = 0.1 (or 10%) (US EPA 2004)</w:t>
                      </w:r>
                    </w:p>
                    <w:p w:rsidR="00ED4349" w:rsidRDefault="00ED4349" w:rsidP="00E97F53">
                      <w:pPr>
                        <w:spacing w:after="40"/>
                      </w:pPr>
                      <w:r>
                        <w:t xml:space="preserve">Intakes allowable from soil (as % of TRV) = 20% </w:t>
                      </w:r>
                    </w:p>
                    <w:p w:rsidR="00ED4349" w:rsidRDefault="00ED4349" w:rsidP="00E97F53">
                      <w:pPr>
                        <w:spacing w:after="40"/>
                      </w:pPr>
                      <w:r>
                        <w:t>Background intakes from other sources (as % of TRV):</w:t>
                      </w:r>
                    </w:p>
                    <w:p w:rsidR="00ED4349" w:rsidRDefault="00ED4349" w:rsidP="00E97F53">
                      <w:pPr>
                        <w:spacing w:after="40"/>
                        <w:ind w:left="720"/>
                      </w:pPr>
                      <w:r>
                        <w:t>BI</w:t>
                      </w:r>
                      <w:r w:rsidRPr="002049F5">
                        <w:rPr>
                          <w:vertAlign w:val="subscript"/>
                        </w:rPr>
                        <w:t>O</w:t>
                      </w:r>
                      <w:r>
                        <w:t xml:space="preserve"> = 80% for oral and dermal intakes</w:t>
                      </w:r>
                    </w:p>
                    <w:p w:rsidR="00ED4349" w:rsidRDefault="00ED4349" w:rsidP="00E97F53">
                      <w:pPr>
                        <w:spacing w:after="40"/>
                        <w:ind w:left="720"/>
                      </w:pPr>
                      <w:r>
                        <w:t>BIi = 80% for inhalation</w:t>
                      </w:r>
                    </w:p>
                    <w:p w:rsidR="00ED4349" w:rsidRDefault="00ED4349" w:rsidP="00E97F53">
                      <w:pPr>
                        <w:spacing w:after="40"/>
                      </w:pPr>
                      <w:r>
                        <w:t>Uptake in home-grown produce considered in derivation of HIL A.</w:t>
                      </w:r>
                    </w:p>
                    <w:p w:rsidR="00ED4349" w:rsidRDefault="00ED4349" w:rsidP="00E97F53">
                      <w:pPr>
                        <w:spacing w:after="40"/>
                      </w:pPr>
                    </w:p>
                  </w:txbxContent>
                </v:textbox>
                <w10:anchorlock/>
              </v:shape>
            </w:pict>
          </mc:Fallback>
        </mc:AlternateContent>
      </w:r>
    </w:p>
    <w:p w:rsidR="00E97F53" w:rsidRPr="004E00C9" w:rsidRDefault="00E97F53" w:rsidP="00E97F53"/>
    <w:p w:rsidR="00E97F53" w:rsidRPr="004E00C9" w:rsidRDefault="00E97F53" w:rsidP="00E97F53">
      <w:pPr>
        <w:pStyle w:val="Heading2"/>
      </w:pPr>
      <w:bookmarkStart w:id="31" w:name="_Toc351713703"/>
      <w:r w:rsidRPr="004E00C9">
        <w:t>Calculated HILs</w:t>
      </w:r>
      <w:bookmarkEnd w:id="31"/>
    </w:p>
    <w:p w:rsidR="00E97F53" w:rsidRPr="004E00C9" w:rsidRDefault="00E97F53" w:rsidP="00E97F53">
      <w:r w:rsidRPr="004E00C9">
        <w:t>On the basis of the above, the following HILs have been derived for lower BDEs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E97F53" w:rsidRPr="004E00C9" w:rsidTr="00ED4349">
        <w:tc>
          <w:tcPr>
            <w:tcW w:w="1639" w:type="dxa"/>
            <w:vMerge w:val="restart"/>
            <w:shd w:val="clear" w:color="auto" w:fill="C6D9F1" w:themeFill="text2" w:themeFillTint="33"/>
          </w:tcPr>
          <w:p w:rsidR="00E97F53" w:rsidRPr="004E00C9" w:rsidRDefault="00E97F53" w:rsidP="00ED4349">
            <w:pPr>
              <w:spacing w:after="40"/>
              <w:rPr>
                <w:b/>
                <w:szCs w:val="22"/>
              </w:rPr>
            </w:pPr>
            <w:r w:rsidRPr="004E00C9">
              <w:rPr>
                <w:b/>
                <w:szCs w:val="22"/>
              </w:rPr>
              <w:t>HIL Scenario</w:t>
            </w:r>
          </w:p>
        </w:tc>
        <w:tc>
          <w:tcPr>
            <w:tcW w:w="1287" w:type="dxa"/>
            <w:vMerge w:val="restart"/>
            <w:shd w:val="clear" w:color="auto" w:fill="C6D9F1" w:themeFill="text2" w:themeFillTint="33"/>
          </w:tcPr>
          <w:p w:rsidR="00E97F53" w:rsidRPr="004E00C9" w:rsidRDefault="00E97F53" w:rsidP="00ED4349">
            <w:pPr>
              <w:spacing w:after="40"/>
              <w:jc w:val="center"/>
              <w:rPr>
                <w:b/>
                <w:szCs w:val="22"/>
              </w:rPr>
            </w:pPr>
            <w:r w:rsidRPr="004E00C9">
              <w:rPr>
                <w:b/>
                <w:szCs w:val="22"/>
              </w:rPr>
              <w:t>HIL (mg/kg)</w:t>
            </w:r>
          </w:p>
        </w:tc>
        <w:tc>
          <w:tcPr>
            <w:tcW w:w="5907" w:type="dxa"/>
            <w:gridSpan w:val="4"/>
            <w:shd w:val="clear" w:color="auto" w:fill="C6D9F1" w:themeFill="text2" w:themeFillTint="33"/>
          </w:tcPr>
          <w:p w:rsidR="00E97F53" w:rsidRPr="004E00C9" w:rsidRDefault="00E97F53" w:rsidP="00ED4349">
            <w:pPr>
              <w:spacing w:after="40"/>
              <w:jc w:val="center"/>
              <w:rPr>
                <w:b/>
                <w:szCs w:val="22"/>
              </w:rPr>
            </w:pPr>
            <w:r w:rsidRPr="004E00C9">
              <w:rPr>
                <w:b/>
                <w:szCs w:val="22"/>
              </w:rPr>
              <w:t>Percentage Contribution from Exposure Pathways</w:t>
            </w:r>
          </w:p>
        </w:tc>
      </w:tr>
      <w:tr w:rsidR="00E97F53" w:rsidRPr="004E00C9" w:rsidTr="00ED4349">
        <w:trPr>
          <w:trHeight w:val="427"/>
        </w:trPr>
        <w:tc>
          <w:tcPr>
            <w:tcW w:w="1639" w:type="dxa"/>
            <w:vMerge/>
            <w:shd w:val="clear" w:color="auto" w:fill="C6D9F1" w:themeFill="text2" w:themeFillTint="33"/>
          </w:tcPr>
          <w:p w:rsidR="00E97F53" w:rsidRPr="004E00C9" w:rsidRDefault="00E97F53" w:rsidP="00ED4349">
            <w:pPr>
              <w:spacing w:after="40"/>
              <w:rPr>
                <w:szCs w:val="22"/>
              </w:rPr>
            </w:pPr>
          </w:p>
        </w:tc>
        <w:tc>
          <w:tcPr>
            <w:tcW w:w="1287" w:type="dxa"/>
            <w:vMerge/>
            <w:shd w:val="clear" w:color="auto" w:fill="C6D9F1" w:themeFill="text2" w:themeFillTint="33"/>
          </w:tcPr>
          <w:p w:rsidR="00E97F53" w:rsidRPr="004E00C9" w:rsidRDefault="00E97F53" w:rsidP="00ED4349">
            <w:pPr>
              <w:spacing w:after="40"/>
              <w:jc w:val="center"/>
              <w:rPr>
                <w:szCs w:val="22"/>
              </w:rPr>
            </w:pPr>
          </w:p>
        </w:tc>
        <w:tc>
          <w:tcPr>
            <w:tcW w:w="1445" w:type="dxa"/>
            <w:shd w:val="clear" w:color="auto" w:fill="C6D9F1" w:themeFill="text2" w:themeFillTint="33"/>
          </w:tcPr>
          <w:p w:rsidR="00E97F53" w:rsidRPr="004E00C9" w:rsidRDefault="00E97F53" w:rsidP="00ED4349">
            <w:pPr>
              <w:spacing w:after="40"/>
              <w:jc w:val="center"/>
              <w:rPr>
                <w:b/>
                <w:szCs w:val="22"/>
              </w:rPr>
            </w:pPr>
            <w:r w:rsidRPr="004E00C9">
              <w:rPr>
                <w:b/>
                <w:szCs w:val="22"/>
              </w:rPr>
              <w:t>Ingestion of Soil/Dust</w:t>
            </w:r>
          </w:p>
        </w:tc>
        <w:tc>
          <w:tcPr>
            <w:tcW w:w="1517" w:type="dxa"/>
            <w:shd w:val="clear" w:color="auto" w:fill="C6D9F1" w:themeFill="text2" w:themeFillTint="33"/>
          </w:tcPr>
          <w:p w:rsidR="00E97F53" w:rsidRPr="004E00C9" w:rsidRDefault="00E97F53" w:rsidP="00ED4349">
            <w:pPr>
              <w:spacing w:after="40"/>
              <w:jc w:val="center"/>
              <w:rPr>
                <w:b/>
                <w:szCs w:val="22"/>
              </w:rPr>
            </w:pPr>
            <w:r w:rsidRPr="004E00C9">
              <w:rPr>
                <w:b/>
                <w:szCs w:val="22"/>
              </w:rPr>
              <w:t>Ingestion of Home</w:t>
            </w:r>
            <w:r w:rsidR="004E00C9">
              <w:rPr>
                <w:b/>
                <w:szCs w:val="22"/>
              </w:rPr>
              <w:noBreakHyphen/>
            </w:r>
            <w:r w:rsidRPr="004E00C9">
              <w:rPr>
                <w:b/>
                <w:szCs w:val="22"/>
              </w:rPr>
              <w:t>grown Produce</w:t>
            </w:r>
          </w:p>
        </w:tc>
        <w:tc>
          <w:tcPr>
            <w:tcW w:w="1553" w:type="dxa"/>
            <w:shd w:val="clear" w:color="auto" w:fill="C6D9F1" w:themeFill="text2" w:themeFillTint="33"/>
          </w:tcPr>
          <w:p w:rsidR="00E97F53" w:rsidRPr="004E00C9" w:rsidRDefault="00E97F53" w:rsidP="00ED4349">
            <w:pPr>
              <w:spacing w:after="40"/>
              <w:jc w:val="center"/>
              <w:rPr>
                <w:b/>
                <w:szCs w:val="22"/>
              </w:rPr>
            </w:pPr>
            <w:r w:rsidRPr="004E00C9">
              <w:rPr>
                <w:b/>
                <w:szCs w:val="22"/>
              </w:rPr>
              <w:t>Dermal Absorption of Soil/Dust</w:t>
            </w:r>
          </w:p>
        </w:tc>
        <w:tc>
          <w:tcPr>
            <w:tcW w:w="1392" w:type="dxa"/>
            <w:shd w:val="clear" w:color="auto" w:fill="C6D9F1" w:themeFill="text2" w:themeFillTint="33"/>
          </w:tcPr>
          <w:p w:rsidR="00E97F53" w:rsidRPr="004E00C9" w:rsidRDefault="00E97F53" w:rsidP="00ED4349">
            <w:pPr>
              <w:spacing w:after="40"/>
              <w:jc w:val="center"/>
              <w:rPr>
                <w:b/>
                <w:szCs w:val="22"/>
              </w:rPr>
            </w:pPr>
            <w:r w:rsidRPr="004E00C9">
              <w:rPr>
                <w:b/>
                <w:szCs w:val="22"/>
              </w:rPr>
              <w:t>Inhalation (dust)</w:t>
            </w:r>
          </w:p>
        </w:tc>
      </w:tr>
      <w:tr w:rsidR="00E97F53" w:rsidRPr="004E00C9" w:rsidTr="00ED4349">
        <w:tc>
          <w:tcPr>
            <w:tcW w:w="1639" w:type="dxa"/>
          </w:tcPr>
          <w:p w:rsidR="00E97F53" w:rsidRPr="004E00C9" w:rsidRDefault="00E97F53" w:rsidP="00ED4349">
            <w:pPr>
              <w:spacing w:after="40"/>
              <w:rPr>
                <w:szCs w:val="22"/>
              </w:rPr>
            </w:pPr>
            <w:r w:rsidRPr="004E00C9">
              <w:rPr>
                <w:szCs w:val="22"/>
              </w:rPr>
              <w:t>Residential A</w:t>
            </w:r>
          </w:p>
        </w:tc>
        <w:tc>
          <w:tcPr>
            <w:tcW w:w="1287" w:type="dxa"/>
          </w:tcPr>
          <w:p w:rsidR="00E97F53" w:rsidRPr="004E00C9" w:rsidRDefault="00E97F53" w:rsidP="00ED4349">
            <w:pPr>
              <w:spacing w:after="40"/>
              <w:jc w:val="center"/>
              <w:rPr>
                <w:szCs w:val="22"/>
              </w:rPr>
            </w:pPr>
            <w:r w:rsidRPr="004E00C9">
              <w:rPr>
                <w:szCs w:val="22"/>
              </w:rPr>
              <w:t>1</w:t>
            </w:r>
          </w:p>
        </w:tc>
        <w:tc>
          <w:tcPr>
            <w:tcW w:w="1445" w:type="dxa"/>
          </w:tcPr>
          <w:p w:rsidR="00E97F53" w:rsidRPr="004E00C9" w:rsidRDefault="00E97F53" w:rsidP="00ED4349">
            <w:pPr>
              <w:spacing w:after="40"/>
              <w:jc w:val="center"/>
              <w:rPr>
                <w:szCs w:val="22"/>
              </w:rPr>
            </w:pPr>
            <w:r w:rsidRPr="004E00C9">
              <w:rPr>
                <w:szCs w:val="22"/>
              </w:rPr>
              <w:t>39</w:t>
            </w:r>
          </w:p>
        </w:tc>
        <w:tc>
          <w:tcPr>
            <w:tcW w:w="1517" w:type="dxa"/>
          </w:tcPr>
          <w:p w:rsidR="00E97F53" w:rsidRPr="004E00C9" w:rsidRDefault="00E97F53" w:rsidP="00ED4349">
            <w:pPr>
              <w:spacing w:after="40"/>
              <w:jc w:val="center"/>
              <w:rPr>
                <w:szCs w:val="22"/>
              </w:rPr>
            </w:pPr>
            <w:r w:rsidRPr="004E00C9">
              <w:rPr>
                <w:szCs w:val="22"/>
              </w:rPr>
              <w:t>8</w:t>
            </w:r>
          </w:p>
        </w:tc>
        <w:tc>
          <w:tcPr>
            <w:tcW w:w="1553" w:type="dxa"/>
          </w:tcPr>
          <w:p w:rsidR="00E97F53" w:rsidRPr="004E00C9" w:rsidRDefault="00E97F53" w:rsidP="00ED4349">
            <w:pPr>
              <w:spacing w:after="40"/>
              <w:jc w:val="center"/>
              <w:rPr>
                <w:szCs w:val="22"/>
              </w:rPr>
            </w:pPr>
            <w:r w:rsidRPr="004E00C9">
              <w:rPr>
                <w:szCs w:val="22"/>
              </w:rPr>
              <w:t>53</w:t>
            </w:r>
          </w:p>
        </w:tc>
        <w:tc>
          <w:tcPr>
            <w:tcW w:w="1392" w:type="dxa"/>
          </w:tcPr>
          <w:p w:rsidR="00E97F53" w:rsidRPr="004E00C9" w:rsidRDefault="00E97F53" w:rsidP="00ED4349">
            <w:pPr>
              <w:spacing w:after="40"/>
              <w:jc w:val="center"/>
              <w:rPr>
                <w:szCs w:val="22"/>
              </w:rPr>
            </w:pPr>
            <w:r w:rsidRPr="004E00C9">
              <w:rPr>
                <w:szCs w:val="22"/>
              </w:rPr>
              <w:t>&lt;1</w:t>
            </w:r>
          </w:p>
        </w:tc>
      </w:tr>
      <w:tr w:rsidR="00E97F53" w:rsidRPr="004E00C9" w:rsidTr="00ED4349">
        <w:tc>
          <w:tcPr>
            <w:tcW w:w="1639" w:type="dxa"/>
          </w:tcPr>
          <w:p w:rsidR="00E97F53" w:rsidRPr="004E00C9" w:rsidRDefault="00E97F53" w:rsidP="00ED4349">
            <w:pPr>
              <w:spacing w:after="40"/>
              <w:rPr>
                <w:szCs w:val="22"/>
              </w:rPr>
            </w:pPr>
            <w:r w:rsidRPr="004E00C9">
              <w:rPr>
                <w:szCs w:val="22"/>
              </w:rPr>
              <w:t>Residential B</w:t>
            </w:r>
          </w:p>
        </w:tc>
        <w:tc>
          <w:tcPr>
            <w:tcW w:w="1287" w:type="dxa"/>
          </w:tcPr>
          <w:p w:rsidR="00E97F53" w:rsidRPr="004E00C9" w:rsidRDefault="00E97F53" w:rsidP="00ED4349">
            <w:pPr>
              <w:spacing w:after="40"/>
              <w:jc w:val="center"/>
              <w:rPr>
                <w:szCs w:val="22"/>
              </w:rPr>
            </w:pPr>
            <w:r w:rsidRPr="004E00C9">
              <w:rPr>
                <w:szCs w:val="22"/>
              </w:rPr>
              <w:t>2</w:t>
            </w:r>
          </w:p>
        </w:tc>
        <w:tc>
          <w:tcPr>
            <w:tcW w:w="1445" w:type="dxa"/>
          </w:tcPr>
          <w:p w:rsidR="00E97F53" w:rsidRPr="004E00C9" w:rsidRDefault="00E97F53" w:rsidP="00ED4349">
            <w:pPr>
              <w:spacing w:after="40"/>
              <w:jc w:val="center"/>
              <w:rPr>
                <w:szCs w:val="22"/>
              </w:rPr>
            </w:pPr>
            <w:r w:rsidRPr="004E00C9">
              <w:rPr>
                <w:szCs w:val="22"/>
              </w:rPr>
              <w:t>16</w:t>
            </w:r>
          </w:p>
        </w:tc>
        <w:tc>
          <w:tcPr>
            <w:tcW w:w="1517" w:type="dxa"/>
          </w:tcPr>
          <w:p w:rsidR="00E97F53" w:rsidRPr="004E00C9" w:rsidRDefault="004E00C9" w:rsidP="00ED4349">
            <w:pPr>
              <w:spacing w:after="40"/>
              <w:jc w:val="center"/>
              <w:rPr>
                <w:szCs w:val="22"/>
              </w:rPr>
            </w:pPr>
            <w:r>
              <w:rPr>
                <w:szCs w:val="22"/>
              </w:rPr>
              <w:noBreakHyphen/>
            </w:r>
            <w:r>
              <w:rPr>
                <w:szCs w:val="22"/>
              </w:rPr>
              <w:noBreakHyphen/>
            </w:r>
          </w:p>
        </w:tc>
        <w:tc>
          <w:tcPr>
            <w:tcW w:w="1553" w:type="dxa"/>
          </w:tcPr>
          <w:p w:rsidR="00E97F53" w:rsidRPr="004E00C9" w:rsidRDefault="00E97F53" w:rsidP="00ED4349">
            <w:pPr>
              <w:spacing w:after="40"/>
              <w:jc w:val="center"/>
              <w:rPr>
                <w:szCs w:val="22"/>
              </w:rPr>
            </w:pPr>
            <w:r w:rsidRPr="004E00C9">
              <w:rPr>
                <w:szCs w:val="22"/>
              </w:rPr>
              <w:t>84</w:t>
            </w:r>
          </w:p>
        </w:tc>
        <w:tc>
          <w:tcPr>
            <w:tcW w:w="1392" w:type="dxa"/>
          </w:tcPr>
          <w:p w:rsidR="00E97F53" w:rsidRPr="004E00C9" w:rsidRDefault="00E97F53" w:rsidP="00ED4349">
            <w:pPr>
              <w:spacing w:after="40"/>
              <w:jc w:val="center"/>
              <w:rPr>
                <w:szCs w:val="22"/>
              </w:rPr>
            </w:pPr>
            <w:r w:rsidRPr="004E00C9">
              <w:rPr>
                <w:szCs w:val="22"/>
              </w:rPr>
              <w:t>&lt;1</w:t>
            </w:r>
          </w:p>
        </w:tc>
      </w:tr>
      <w:tr w:rsidR="00E97F53" w:rsidRPr="004E00C9" w:rsidTr="00ED4349">
        <w:tc>
          <w:tcPr>
            <w:tcW w:w="1639" w:type="dxa"/>
          </w:tcPr>
          <w:p w:rsidR="00E97F53" w:rsidRPr="004E00C9" w:rsidRDefault="00E97F53" w:rsidP="00ED4349">
            <w:pPr>
              <w:spacing w:after="40"/>
              <w:rPr>
                <w:szCs w:val="22"/>
              </w:rPr>
            </w:pPr>
            <w:r w:rsidRPr="004E00C9">
              <w:rPr>
                <w:szCs w:val="22"/>
              </w:rPr>
              <w:t>Recreational C</w:t>
            </w:r>
          </w:p>
        </w:tc>
        <w:tc>
          <w:tcPr>
            <w:tcW w:w="1287" w:type="dxa"/>
          </w:tcPr>
          <w:p w:rsidR="00E97F53" w:rsidRPr="004E00C9" w:rsidRDefault="00E97F53" w:rsidP="00ED4349">
            <w:pPr>
              <w:spacing w:after="40"/>
              <w:jc w:val="center"/>
              <w:rPr>
                <w:szCs w:val="22"/>
              </w:rPr>
            </w:pPr>
            <w:r w:rsidRPr="004E00C9">
              <w:rPr>
                <w:szCs w:val="22"/>
              </w:rPr>
              <w:t>2</w:t>
            </w:r>
          </w:p>
        </w:tc>
        <w:tc>
          <w:tcPr>
            <w:tcW w:w="1445" w:type="dxa"/>
          </w:tcPr>
          <w:p w:rsidR="00E97F53" w:rsidRPr="004E00C9" w:rsidRDefault="00E97F53" w:rsidP="00ED4349">
            <w:pPr>
              <w:spacing w:after="40"/>
              <w:jc w:val="center"/>
              <w:rPr>
                <w:szCs w:val="22"/>
              </w:rPr>
            </w:pPr>
            <w:r w:rsidRPr="004E00C9">
              <w:rPr>
                <w:szCs w:val="22"/>
              </w:rPr>
              <w:t>27</w:t>
            </w:r>
          </w:p>
        </w:tc>
        <w:tc>
          <w:tcPr>
            <w:tcW w:w="1517" w:type="dxa"/>
          </w:tcPr>
          <w:p w:rsidR="00E97F53" w:rsidRPr="004E00C9" w:rsidRDefault="004E00C9" w:rsidP="00ED4349">
            <w:pPr>
              <w:spacing w:after="40"/>
              <w:jc w:val="center"/>
              <w:rPr>
                <w:szCs w:val="22"/>
              </w:rPr>
            </w:pPr>
            <w:r>
              <w:rPr>
                <w:szCs w:val="22"/>
              </w:rPr>
              <w:noBreakHyphen/>
            </w:r>
            <w:r>
              <w:rPr>
                <w:szCs w:val="22"/>
              </w:rPr>
              <w:noBreakHyphen/>
            </w:r>
          </w:p>
        </w:tc>
        <w:tc>
          <w:tcPr>
            <w:tcW w:w="1553" w:type="dxa"/>
          </w:tcPr>
          <w:p w:rsidR="00E97F53" w:rsidRPr="004E00C9" w:rsidRDefault="00E97F53" w:rsidP="00ED4349">
            <w:pPr>
              <w:spacing w:after="40"/>
              <w:jc w:val="center"/>
              <w:rPr>
                <w:szCs w:val="22"/>
              </w:rPr>
            </w:pPr>
            <w:r w:rsidRPr="004E00C9">
              <w:rPr>
                <w:szCs w:val="22"/>
              </w:rPr>
              <w:t>73</w:t>
            </w:r>
          </w:p>
        </w:tc>
        <w:tc>
          <w:tcPr>
            <w:tcW w:w="1392" w:type="dxa"/>
          </w:tcPr>
          <w:p w:rsidR="00E97F53" w:rsidRPr="004E00C9" w:rsidRDefault="00E97F53" w:rsidP="00ED4349">
            <w:pPr>
              <w:spacing w:after="40"/>
              <w:jc w:val="center"/>
              <w:rPr>
                <w:szCs w:val="22"/>
              </w:rPr>
            </w:pPr>
            <w:r w:rsidRPr="004E00C9">
              <w:rPr>
                <w:szCs w:val="22"/>
              </w:rPr>
              <w:t>&lt;1</w:t>
            </w:r>
          </w:p>
        </w:tc>
      </w:tr>
      <w:tr w:rsidR="00E97F53" w:rsidRPr="004E00C9" w:rsidTr="00ED4349">
        <w:tc>
          <w:tcPr>
            <w:tcW w:w="1639" w:type="dxa"/>
          </w:tcPr>
          <w:p w:rsidR="00E97F53" w:rsidRPr="004E00C9" w:rsidRDefault="00E97F53" w:rsidP="00ED4349">
            <w:pPr>
              <w:spacing w:after="40"/>
              <w:rPr>
                <w:szCs w:val="22"/>
              </w:rPr>
            </w:pPr>
            <w:r w:rsidRPr="004E00C9">
              <w:rPr>
                <w:szCs w:val="22"/>
              </w:rPr>
              <w:t>Commercial D</w:t>
            </w:r>
          </w:p>
        </w:tc>
        <w:tc>
          <w:tcPr>
            <w:tcW w:w="1287" w:type="dxa"/>
          </w:tcPr>
          <w:p w:rsidR="00E97F53" w:rsidRPr="004E00C9" w:rsidRDefault="00E97F53" w:rsidP="00ED4349">
            <w:pPr>
              <w:spacing w:after="40"/>
              <w:jc w:val="center"/>
              <w:rPr>
                <w:szCs w:val="22"/>
              </w:rPr>
            </w:pPr>
            <w:r w:rsidRPr="004E00C9">
              <w:rPr>
                <w:szCs w:val="22"/>
              </w:rPr>
              <w:t>10</w:t>
            </w:r>
          </w:p>
        </w:tc>
        <w:tc>
          <w:tcPr>
            <w:tcW w:w="1445" w:type="dxa"/>
          </w:tcPr>
          <w:p w:rsidR="00E97F53" w:rsidRPr="004E00C9" w:rsidRDefault="00E97F53" w:rsidP="00ED4349">
            <w:pPr>
              <w:spacing w:after="40"/>
              <w:jc w:val="center"/>
              <w:rPr>
                <w:szCs w:val="22"/>
              </w:rPr>
            </w:pPr>
            <w:r w:rsidRPr="004E00C9">
              <w:rPr>
                <w:szCs w:val="22"/>
              </w:rPr>
              <w:t>12</w:t>
            </w:r>
          </w:p>
        </w:tc>
        <w:tc>
          <w:tcPr>
            <w:tcW w:w="1517" w:type="dxa"/>
          </w:tcPr>
          <w:p w:rsidR="00E97F53" w:rsidRPr="004E00C9" w:rsidRDefault="004E00C9" w:rsidP="00ED4349">
            <w:pPr>
              <w:spacing w:after="40"/>
              <w:jc w:val="center"/>
              <w:rPr>
                <w:szCs w:val="22"/>
              </w:rPr>
            </w:pPr>
            <w:r>
              <w:rPr>
                <w:szCs w:val="22"/>
              </w:rPr>
              <w:noBreakHyphen/>
            </w:r>
            <w:r>
              <w:rPr>
                <w:szCs w:val="22"/>
              </w:rPr>
              <w:noBreakHyphen/>
            </w:r>
          </w:p>
        </w:tc>
        <w:tc>
          <w:tcPr>
            <w:tcW w:w="1553" w:type="dxa"/>
          </w:tcPr>
          <w:p w:rsidR="00E97F53" w:rsidRPr="004E00C9" w:rsidRDefault="00E97F53" w:rsidP="00ED4349">
            <w:pPr>
              <w:spacing w:after="40"/>
              <w:jc w:val="center"/>
              <w:rPr>
                <w:szCs w:val="22"/>
              </w:rPr>
            </w:pPr>
            <w:r w:rsidRPr="004E00C9">
              <w:rPr>
                <w:szCs w:val="22"/>
              </w:rPr>
              <w:t>88</w:t>
            </w:r>
          </w:p>
        </w:tc>
        <w:tc>
          <w:tcPr>
            <w:tcW w:w="1392" w:type="dxa"/>
          </w:tcPr>
          <w:p w:rsidR="00E97F53" w:rsidRPr="004E00C9" w:rsidRDefault="00E97F53" w:rsidP="00ED4349">
            <w:pPr>
              <w:spacing w:after="40"/>
              <w:jc w:val="center"/>
              <w:rPr>
                <w:szCs w:val="22"/>
              </w:rPr>
            </w:pPr>
            <w:r w:rsidRPr="004E00C9">
              <w:rPr>
                <w:szCs w:val="22"/>
              </w:rPr>
              <w:t>&lt;1</w:t>
            </w:r>
          </w:p>
        </w:tc>
      </w:tr>
    </w:tbl>
    <w:p w:rsidR="00E97F53" w:rsidRPr="004E00C9" w:rsidRDefault="004E00C9" w:rsidP="00E97F53">
      <w:pPr>
        <w:rPr>
          <w:sz w:val="16"/>
          <w:szCs w:val="16"/>
        </w:rPr>
      </w:pPr>
      <w:r>
        <w:rPr>
          <w:sz w:val="16"/>
          <w:szCs w:val="16"/>
        </w:rPr>
        <w:noBreakHyphen/>
      </w:r>
      <w:r>
        <w:rPr>
          <w:sz w:val="16"/>
          <w:szCs w:val="16"/>
        </w:rPr>
        <w:noBreakHyphen/>
      </w:r>
      <w:r w:rsidR="00E97F53" w:rsidRPr="004E00C9">
        <w:rPr>
          <w:sz w:val="16"/>
          <w:szCs w:val="16"/>
        </w:rPr>
        <w:t xml:space="preserve"> Pathway not included in derivation of HIL</w:t>
      </w:r>
    </w:p>
    <w:p w:rsidR="00E97F53" w:rsidRPr="004E00C9" w:rsidRDefault="00E97F53" w:rsidP="00E97F53"/>
    <w:p w:rsidR="00E97F53" w:rsidRPr="004E00C9" w:rsidRDefault="00E97F53" w:rsidP="00E97F53">
      <w:pPr>
        <w:pStyle w:val="Heading2"/>
      </w:pPr>
      <w:bookmarkStart w:id="32" w:name="_Toc351713704"/>
      <w:r w:rsidRPr="004E00C9">
        <w:t>References</w:t>
      </w:r>
      <w:bookmarkEnd w:id="32"/>
    </w:p>
    <w:p w:rsidR="00E97F53" w:rsidRPr="004E00C9" w:rsidRDefault="00E97F53" w:rsidP="00E97F53">
      <w:pPr>
        <w:pStyle w:val="StyletextLeft0cmHanging1cm"/>
        <w:rPr>
          <w:rFonts w:cs="Arial"/>
        </w:rPr>
      </w:pPr>
      <w:r w:rsidRPr="004E00C9">
        <w:t xml:space="preserve">ATSDR 2004, </w:t>
      </w:r>
      <w:r w:rsidRPr="004E00C9">
        <w:rPr>
          <w:lang w:eastAsia="en-US"/>
        </w:rPr>
        <w:t>Toxicological Profile for Polybrominated Biphenyls and Polybrominated Diphenyl Ethers</w:t>
      </w:r>
      <w:r w:rsidRPr="004E00C9">
        <w:t xml:space="preserve">, Agency for Toxic </w:t>
      </w:r>
      <w:r w:rsidRPr="004E00C9">
        <w:rPr>
          <w:rFonts w:cs="Arial"/>
        </w:rPr>
        <w:t>Substances and Disease Registry, September 2004.</w:t>
      </w:r>
    </w:p>
    <w:p w:rsidR="00E97F53" w:rsidRPr="004E00C9" w:rsidRDefault="00E97F53" w:rsidP="00E97F53">
      <w:pPr>
        <w:pStyle w:val="StyletextLeft0cmHanging1cm"/>
        <w:rPr>
          <w:rFonts w:cs="Arial"/>
        </w:rPr>
      </w:pPr>
      <w:r w:rsidRPr="004E00C9">
        <w:rPr>
          <w:rFonts w:cs="Arial"/>
        </w:rPr>
        <w:t>EU 2003, European Union Risk Assessment Report: Diphenyl Ether, Octobromo Derivative, CAS No: 32536</w:t>
      </w:r>
      <w:r w:rsidR="004E00C9">
        <w:rPr>
          <w:rFonts w:cs="Arial"/>
        </w:rPr>
        <w:noBreakHyphen/>
      </w:r>
      <w:r w:rsidRPr="004E00C9">
        <w:rPr>
          <w:rFonts w:cs="Arial"/>
        </w:rPr>
        <w:t>52</w:t>
      </w:r>
      <w:r w:rsidR="004E00C9">
        <w:rPr>
          <w:rFonts w:cs="Arial"/>
        </w:rPr>
        <w:noBreakHyphen/>
      </w:r>
      <w:r w:rsidRPr="004E00C9">
        <w:rPr>
          <w:rFonts w:cs="Arial"/>
        </w:rPr>
        <w:t>0, EINECS No: 251</w:t>
      </w:r>
      <w:r w:rsidR="004E00C9">
        <w:rPr>
          <w:rFonts w:cs="Arial"/>
        </w:rPr>
        <w:noBreakHyphen/>
      </w:r>
      <w:r w:rsidRPr="004E00C9">
        <w:rPr>
          <w:rFonts w:cs="Arial"/>
        </w:rPr>
        <w:t>087</w:t>
      </w:r>
      <w:r w:rsidR="004E00C9">
        <w:rPr>
          <w:rFonts w:cs="Arial"/>
        </w:rPr>
        <w:noBreakHyphen/>
      </w:r>
      <w:r w:rsidRPr="004E00C9">
        <w:rPr>
          <w:rFonts w:cs="Arial"/>
        </w:rPr>
        <w:t>9, European Union, Brussels.</w:t>
      </w:r>
    </w:p>
    <w:p w:rsidR="00E97F53" w:rsidRPr="004E00C9" w:rsidRDefault="00E97F53" w:rsidP="00E97F53">
      <w:pPr>
        <w:pStyle w:val="StyletextLeft0cmHanging1cm"/>
        <w:rPr>
          <w:rFonts w:cs="Arial"/>
        </w:rPr>
      </w:pPr>
      <w:r w:rsidRPr="004E00C9">
        <w:rPr>
          <w:rFonts w:cs="Arial"/>
        </w:rPr>
        <w:t>FSANZ 2007, Polybrominated Diphenyl Ethers (PBDE) in Food in Australia, Study of Concentrations in Foods in Australia including Dietary Exposure Assessment and Risk Characterisation, Food Standards Australia and New Zealand, 2007.</w:t>
      </w:r>
    </w:p>
    <w:p w:rsidR="00E97F53" w:rsidRPr="004E00C9" w:rsidRDefault="00E97F53" w:rsidP="00E97F53">
      <w:pPr>
        <w:pStyle w:val="StyletextLeft0cmHanging1cm"/>
        <w:rPr>
          <w:rFonts w:cs="Arial"/>
        </w:rPr>
      </w:pPr>
      <w:r w:rsidRPr="004E00C9">
        <w:rPr>
          <w:rFonts w:cs="Arial"/>
        </w:rPr>
        <w:t>Guan, Y, Sojinu, OSS, Li, S &amp; Yeng, EY 2009, ‘Fate of polybrominated diphenyl ethers in the environment the Pearl River Estuary, South China’, Environmental Pollution, vol. 157 (2009), pp. 2166–2172.</w:t>
      </w:r>
    </w:p>
    <w:p w:rsidR="00E97F53" w:rsidRPr="004E00C9" w:rsidRDefault="00E97F53" w:rsidP="00E97F53">
      <w:pPr>
        <w:pStyle w:val="StyletextLeft0cmHanging1cm"/>
        <w:rPr>
          <w:rFonts w:cs="Arial"/>
        </w:rPr>
      </w:pPr>
      <w:r w:rsidRPr="004E00C9">
        <w:rPr>
          <w:rFonts w:cs="Arial"/>
        </w:rPr>
        <w:t>Health Canada 2006, Polybrominated Diphenyl Ethers (PBDEs), State of the Science Report for a Screening Health Assessment, Health Canada.</w:t>
      </w:r>
    </w:p>
    <w:p w:rsidR="00E97F53" w:rsidRPr="004E00C9" w:rsidRDefault="00E97F53" w:rsidP="00E97F53">
      <w:pPr>
        <w:pStyle w:val="StyletextLeft0cmHanging1cm"/>
        <w:rPr>
          <w:rFonts w:cs="Arial"/>
        </w:rPr>
      </w:pPr>
      <w:r w:rsidRPr="004E00C9">
        <w:rPr>
          <w:rFonts w:cs="Arial"/>
        </w:rPr>
        <w:lastRenderedPageBreak/>
        <w:t>Huang, H, Zhang, S, Christie, P, Wang, A &amp; Xie, M 2010, ‘</w:t>
      </w:r>
      <w:r w:rsidRPr="004E00C9">
        <w:rPr>
          <w:rFonts w:cs="Arial"/>
          <w:kern w:val="36"/>
        </w:rPr>
        <w:t>Behaviour of Decabromodiphenyl Ether (BDE</w:t>
      </w:r>
      <w:r w:rsidR="004E00C9">
        <w:rPr>
          <w:rFonts w:cs="Arial"/>
          <w:kern w:val="36"/>
        </w:rPr>
        <w:noBreakHyphen/>
      </w:r>
      <w:r w:rsidRPr="004E00C9">
        <w:rPr>
          <w:rFonts w:cs="Arial"/>
          <w:kern w:val="36"/>
        </w:rPr>
        <w:t xml:space="preserve">209) in the Soil−Plant System: Uptake, Translocation, and Metabolism in Plants and Dissipation in Soil’, </w:t>
      </w:r>
      <w:r w:rsidRPr="004E00C9">
        <w:rPr>
          <w:rFonts w:cs="Arial"/>
        </w:rPr>
        <w:t>Environ. Sci. Technol., vol. 44 (2), pp. 663–667.</w:t>
      </w:r>
    </w:p>
    <w:p w:rsidR="00E97F53" w:rsidRPr="004E00C9" w:rsidRDefault="00E97F53" w:rsidP="00E97F53">
      <w:pPr>
        <w:pStyle w:val="StyletextLeft0cmHanging1cm"/>
        <w:rPr>
          <w:rFonts w:cs="Arial"/>
        </w:rPr>
      </w:pPr>
      <w:r w:rsidRPr="004E00C9">
        <w:rPr>
          <w:rFonts w:cs="Arial"/>
        </w:rPr>
        <w:t>IARC 1999, Summaries &amp; Evaluations, Decabromodiphenyl oxide, vol. 71 (1999), pp.1365, International Agency for Research on Cancer.</w:t>
      </w:r>
    </w:p>
    <w:p w:rsidR="00E97F53" w:rsidRPr="004E00C9" w:rsidRDefault="00E97F53" w:rsidP="00E97F53">
      <w:pPr>
        <w:pStyle w:val="StyletextLeft0cmHanging1cm"/>
        <w:rPr>
          <w:rFonts w:cs="Arial"/>
          <w:lang w:eastAsia="en-US"/>
        </w:rPr>
      </w:pPr>
      <w:r w:rsidRPr="004E00C9">
        <w:rPr>
          <w:rFonts w:cs="Arial"/>
          <w:lang w:eastAsia="en-US"/>
        </w:rPr>
        <w:t>JECFA 2006, Safety Evaluation of Certain Contaminants in Food – Polybrominated Diphenyl Ethers, prepared by the Sixty Fourth Meeting of the Joint FAO/WHO Expert Committee on Food Additives (JECFA), World Health Organization, Geneva.</w:t>
      </w:r>
    </w:p>
    <w:p w:rsidR="00E97F53" w:rsidRPr="004E00C9" w:rsidRDefault="00E97F53" w:rsidP="00E97F53">
      <w:pPr>
        <w:pStyle w:val="StyletextLeft0cmHanging1cm"/>
        <w:rPr>
          <w:rFonts w:cs="Arial"/>
        </w:rPr>
      </w:pPr>
      <w:r w:rsidRPr="004E00C9">
        <w:rPr>
          <w:rFonts w:cs="Arial"/>
        </w:rPr>
        <w:t>NEPC 1999, Schedule B (7a), Guideline on Health</w:t>
      </w:r>
      <w:r w:rsidR="004E00C9">
        <w:rPr>
          <w:rFonts w:cs="Arial"/>
        </w:rPr>
        <w:noBreakHyphen/>
      </w:r>
      <w:r w:rsidRPr="004E00C9">
        <w:rPr>
          <w:rFonts w:cs="Arial"/>
        </w:rPr>
        <w:t>Based Investigation Levels, National Environment Protection (Assessment of Site Contamination) Measure, National Environment Protection Council, Australia.</w:t>
      </w:r>
    </w:p>
    <w:p w:rsidR="00E97F53" w:rsidRPr="004E00C9" w:rsidRDefault="00E97F53" w:rsidP="00E97F53">
      <w:pPr>
        <w:pStyle w:val="StyletextLeft0cmHanging1cm"/>
        <w:rPr>
          <w:rFonts w:cs="Arial"/>
          <w:lang w:eastAsia="en-US"/>
        </w:rPr>
      </w:pPr>
      <w:r w:rsidRPr="004E00C9">
        <w:rPr>
          <w:rFonts w:cs="Arial"/>
          <w:lang w:eastAsia="en-US"/>
        </w:rPr>
        <w:t>NICNAS 2007, Interim Public Health Risk Assessment of Certain PBDE Congeners, National Industrial Chemicals Notification and Assessment Scheme, Commonwealth of Australia, Sydney, Australia.</w:t>
      </w:r>
    </w:p>
    <w:p w:rsidR="00E97F53" w:rsidRPr="004E00C9" w:rsidRDefault="00E97F53" w:rsidP="00E97F53">
      <w:pPr>
        <w:pStyle w:val="StyletextLeft0cmHanging1cm"/>
        <w:rPr>
          <w:rFonts w:cs="Arial"/>
        </w:rPr>
      </w:pPr>
      <w:r w:rsidRPr="004E00C9">
        <w:rPr>
          <w:rFonts w:cs="Arial"/>
        </w:rPr>
        <w:t xml:space="preserve">RAIS (2010), Risk Assessment Information System, website and database maintained by the Oak Ridge Operations Office, and available from: </w:t>
      </w:r>
      <w:hyperlink r:id="rId15" w:history="1">
        <w:r w:rsidRPr="004E00C9">
          <w:rPr>
            <w:rStyle w:val="Hyperlink"/>
            <w:rFonts w:cs="Arial"/>
            <w:szCs w:val="22"/>
          </w:rPr>
          <w:t>http://rais.ornl.gov/</w:t>
        </w:r>
      </w:hyperlink>
      <w:r w:rsidRPr="004E00C9">
        <w:rPr>
          <w:rFonts w:cs="Arial"/>
        </w:rPr>
        <w:t>.</w:t>
      </w:r>
    </w:p>
    <w:p w:rsidR="00E97F53" w:rsidRPr="004E00C9" w:rsidRDefault="00E97F53" w:rsidP="00E97F53">
      <w:pPr>
        <w:pStyle w:val="StyletextLeft0cmHanging1cm"/>
        <w:rPr>
          <w:rFonts w:cs="Arial"/>
        </w:rPr>
      </w:pPr>
      <w:r w:rsidRPr="004E00C9">
        <w:rPr>
          <w:rFonts w:cs="Arial"/>
        </w:rPr>
        <w:t>Schecter, A, Harris, TR, Brummitt, S, Shah, N &amp; Paepke, O 2008, ‘PBDE and HBCD Brominated Flame Retardants in the USA, Update 2008: Levels in Human Milk and Blood, Food, and Environmental Samples’, Epidemiology,  vol. 19, Issue 6, pp. S76.</w:t>
      </w:r>
    </w:p>
    <w:p w:rsidR="00E97F53" w:rsidRPr="004E00C9" w:rsidRDefault="00E97F53" w:rsidP="00E97F53">
      <w:pPr>
        <w:pStyle w:val="StyletextLeft0cmHanging1cm"/>
        <w:rPr>
          <w:rFonts w:cs="Arial"/>
          <w:lang w:eastAsia="en-US"/>
        </w:rPr>
      </w:pPr>
      <w:r w:rsidRPr="004E00C9">
        <w:rPr>
          <w:rFonts w:cs="Arial"/>
          <w:lang w:eastAsia="en-US"/>
        </w:rPr>
        <w:t>Toms, L, Muelle,r J, Bartkow, M &amp; Symons, R 2006, Assessment of concentrations of polybrominated diphenyl ether flame retardants in indoor environments in Australia, Australian Government Department of the Environment and Heritage, Canberra, Australia.</w:t>
      </w:r>
    </w:p>
    <w:p w:rsidR="00E97F53" w:rsidRPr="004E00C9" w:rsidRDefault="00E97F53" w:rsidP="00E97F53">
      <w:pPr>
        <w:pStyle w:val="StyletextLeft0cmHanging1cm"/>
        <w:rPr>
          <w:rFonts w:cs="Arial"/>
          <w:lang w:eastAsia="en-US"/>
        </w:rPr>
      </w:pPr>
      <w:r w:rsidRPr="004E00C9">
        <w:rPr>
          <w:rFonts w:cs="Arial"/>
        </w:rPr>
        <w:t xml:space="preserve">UNEP 2009, </w:t>
      </w:r>
      <w:r w:rsidRPr="004E00C9">
        <w:rPr>
          <w:rFonts w:cs="Arial"/>
          <w:iCs/>
        </w:rPr>
        <w:t>Advanced Report of the Conference of the Parties of the Stockholm Convention on Persistent Organic Pollutants on the Work of its Fourth Meeting</w:t>
      </w:r>
      <w:r w:rsidRPr="004E00C9">
        <w:rPr>
          <w:rFonts w:cs="Arial"/>
        </w:rPr>
        <w:t xml:space="preserve">, </w:t>
      </w:r>
      <w:r w:rsidRPr="004E00C9">
        <w:rPr>
          <w:rFonts w:cs="Arial"/>
          <w:iCs/>
        </w:rPr>
        <w:t>Geneva, 4</w:t>
      </w:r>
      <w:r w:rsidRPr="004E00C9">
        <w:rPr>
          <w:rFonts w:cs="Arial"/>
          <w:iCs/>
        </w:rPr>
        <w:sym w:font="Symbol" w:char="F02D"/>
      </w:r>
      <w:r w:rsidRPr="004E00C9">
        <w:rPr>
          <w:rFonts w:cs="Arial"/>
          <w:iCs/>
        </w:rPr>
        <w:t>8</w:t>
      </w:r>
      <w:r w:rsidR="004E00C9">
        <w:rPr>
          <w:rFonts w:cs="Arial"/>
          <w:iCs/>
        </w:rPr>
        <w:t> </w:t>
      </w:r>
      <w:r w:rsidRPr="004E00C9">
        <w:rPr>
          <w:rFonts w:cs="Arial"/>
          <w:iCs/>
        </w:rPr>
        <w:t>May 2009</w:t>
      </w:r>
      <w:r w:rsidRPr="004E00C9">
        <w:rPr>
          <w:rFonts w:cs="Arial"/>
        </w:rPr>
        <w:t>, United Nations, Geneva.</w:t>
      </w:r>
    </w:p>
    <w:p w:rsidR="00E97F53" w:rsidRPr="004E00C9" w:rsidRDefault="00E97F53" w:rsidP="00E97F53">
      <w:pPr>
        <w:pStyle w:val="StyletextLeft0cmHanging1cm"/>
        <w:rPr>
          <w:rFonts w:cs="Arial"/>
        </w:rPr>
      </w:pPr>
      <w:r w:rsidRPr="004E00C9">
        <w:rPr>
          <w:rFonts w:cs="Arial"/>
        </w:rPr>
        <w:t xml:space="preserve">US EPA (IRIS 2012), data and information available from the Integrated Risk Information System, an online database, available from </w:t>
      </w:r>
      <w:hyperlink r:id="rId16" w:history="1">
        <w:r w:rsidRPr="004E00C9">
          <w:rPr>
            <w:rStyle w:val="Hyperlink"/>
            <w:rFonts w:cs="Arial"/>
            <w:szCs w:val="22"/>
          </w:rPr>
          <w:t>http://www.epa.gov/iris/</w:t>
        </w:r>
      </w:hyperlink>
      <w:r w:rsidRPr="004E00C9">
        <w:rPr>
          <w:rFonts w:cs="Arial"/>
        </w:rPr>
        <w:t>.</w:t>
      </w:r>
    </w:p>
    <w:p w:rsidR="00E97F53" w:rsidRPr="004E00C9" w:rsidRDefault="00E97F53" w:rsidP="00E97F53">
      <w:pPr>
        <w:pStyle w:val="StyletextLeft0cmHanging1cm"/>
        <w:rPr>
          <w:rFonts w:cs="Arial"/>
        </w:rPr>
      </w:pPr>
      <w:r w:rsidRPr="004E00C9">
        <w:rPr>
          <w:rFonts w:cs="Arial"/>
        </w:rPr>
        <w:t>US EPA, 2004, Risk Assessment Guidance for Superfund, Volume I: Human Health Evaluation Manual (Part E, Supplemental Guidance for Dermal Risk Assessment), Final, EPA/540/R</w:t>
      </w:r>
      <w:r w:rsidR="004E00C9">
        <w:rPr>
          <w:rFonts w:cs="Arial"/>
        </w:rPr>
        <w:noBreakHyphen/>
      </w:r>
      <w:r w:rsidRPr="004E00C9">
        <w:rPr>
          <w:rFonts w:cs="Arial"/>
        </w:rPr>
        <w:t>99/005, OSWER 9285.7</w:t>
      </w:r>
      <w:r w:rsidR="004E00C9">
        <w:rPr>
          <w:rFonts w:cs="Arial"/>
        </w:rPr>
        <w:noBreakHyphen/>
      </w:r>
      <w:r w:rsidRPr="004E00C9">
        <w:rPr>
          <w:rFonts w:cs="Arial"/>
        </w:rPr>
        <w:t>02EP, July 2004.</w:t>
      </w:r>
    </w:p>
    <w:p w:rsidR="00E97F53" w:rsidRPr="004E00C9" w:rsidRDefault="00E97F53" w:rsidP="00E97F53">
      <w:pPr>
        <w:pStyle w:val="StyletextLeft0cmHanging1cm"/>
      </w:pPr>
    </w:p>
    <w:p w:rsidR="00E97F53" w:rsidRPr="004E00C9" w:rsidRDefault="00E97F53" w:rsidP="00E97F53">
      <w:pPr>
        <w:rPr>
          <w:rFonts w:ascii="TimesNewRomanPSMT" w:hAnsi="TimesNewRomanPSMT" w:cs="TimesNewRomanPSMT"/>
        </w:rPr>
      </w:pPr>
    </w:p>
    <w:p w:rsidR="00E97F53" w:rsidRPr="004E00C9" w:rsidRDefault="00E97F53" w:rsidP="00E97F53"/>
    <w:p w:rsidR="00E97F53" w:rsidRPr="004E00C9" w:rsidRDefault="00E97F53" w:rsidP="00E97F53"/>
    <w:p w:rsidR="00E97F53" w:rsidRPr="004E00C9" w:rsidRDefault="00E97F53" w:rsidP="00E97F53">
      <w:pPr>
        <w:pStyle w:val="Heading1"/>
      </w:pPr>
      <w:bookmarkStart w:id="33" w:name="_Toc351713705"/>
      <w:r w:rsidRPr="004E00C9">
        <w:lastRenderedPageBreak/>
        <w:t>Shortened forms</w:t>
      </w:r>
      <w:bookmarkEnd w:id="33"/>
    </w:p>
    <w:tbl>
      <w:tblPr>
        <w:tblW w:w="8761" w:type="dxa"/>
        <w:tblInd w:w="136" w:type="dxa"/>
        <w:tblLayout w:type="fixed"/>
        <w:tblLook w:val="0000" w:firstRow="0" w:lastRow="0" w:firstColumn="0" w:lastColumn="0" w:noHBand="0" w:noVBand="0"/>
      </w:tblPr>
      <w:tblGrid>
        <w:gridCol w:w="1532"/>
        <w:gridCol w:w="7229"/>
      </w:tblGrid>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ADI</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acceptable daily intake</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ADWG</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Australian Drinking Water Guidelines</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AI</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adequate intake</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ANZECC</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Australia and New Zealand Environment and Conservation Council</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APVMA</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Australian Pesticides and Veterinary Medicines Authority</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ATDS</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Australian Total Diet Survey</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ATSDR</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Agency for Toxic Substances and Disease Registry</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BA</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bioavailability</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BI</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background intake</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BMD</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benchmark dose</w:t>
            </w:r>
          </w:p>
        </w:tc>
      </w:tr>
      <w:tr w:rsidR="00E97F53" w:rsidRPr="004E00C9" w:rsidTr="00ED4349">
        <w:trPr>
          <w:cantSplit/>
          <w:trHeight w:hRule="exact" w:val="454"/>
        </w:trPr>
        <w:tc>
          <w:tcPr>
            <w:tcW w:w="1532" w:type="dxa"/>
            <w:shd w:val="clear" w:color="auto" w:fill="auto"/>
          </w:tcPr>
          <w:p w:rsidR="00E97F53" w:rsidRPr="004E00C9" w:rsidDel="0001713B"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BMDL</w:t>
            </w:r>
          </w:p>
        </w:tc>
        <w:tc>
          <w:tcPr>
            <w:tcW w:w="7229" w:type="dxa"/>
            <w:shd w:val="clear" w:color="auto" w:fill="auto"/>
          </w:tcPr>
          <w:p w:rsidR="00E97F53" w:rsidRPr="004E00C9" w:rsidDel="0001713B"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Benchmark dose lower confidence limit</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CCME</w:t>
            </w:r>
          </w:p>
        </w:tc>
        <w:tc>
          <w:tcPr>
            <w:tcW w:w="7229" w:type="dxa"/>
            <w:shd w:val="clear" w:color="auto" w:fill="auto"/>
          </w:tcPr>
          <w:p w:rsidR="00E97F53" w:rsidRPr="004E00C9" w:rsidRDefault="00E97F53" w:rsidP="00ED4349">
            <w:pPr>
              <w:pStyle w:val="TableBody"/>
              <w:spacing w:before="20" w:after="20"/>
              <w:rPr>
                <w:rFonts w:ascii="Book Antiqua" w:hAnsi="Book Antiqua"/>
                <w:color w:val="000000"/>
                <w:sz w:val="22"/>
                <w:szCs w:val="22"/>
              </w:rPr>
            </w:pPr>
            <w:r w:rsidRPr="004E00C9">
              <w:rPr>
                <w:rFonts w:ascii="Book Antiqua" w:hAnsi="Book Antiqua"/>
                <w:color w:val="000000"/>
                <w:sz w:val="22"/>
                <w:szCs w:val="22"/>
              </w:rPr>
              <w:t>Canadian Council of Ministers of the Environment</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CICAD</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color w:val="000000"/>
                <w:sz w:val="22"/>
                <w:szCs w:val="22"/>
              </w:rPr>
              <w:t>Concise International Chemicals Assessment Document</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CNS</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central nervous system</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DAF</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dermal absorption factor</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DW</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dry weight</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EA</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Environment Agency (England and Wales)</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EHC</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Environmental Health Criteria</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EPA</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Environment Protection Authority</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FSANZ</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Food Standards Australia and New Zealand</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GAF</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gastrointestinal absorption factor</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HCB</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hexachlorobenzene</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HEC</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human equivalent concentration</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HED</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human equivalent dose</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HIARC</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Hazard Identification Assessment Review Committee</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HIL</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health investigation level</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HSDB</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Hazardous Substances Data Bank</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HSL</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health screening level</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IARC</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International Agency for Research on Cancer</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IEUBK</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Integrated exposure uptake biokinetic model</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lastRenderedPageBreak/>
              <w:t>IRIS</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Integrated Risk Information System</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JECFA</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color w:val="000000"/>
                <w:sz w:val="22"/>
                <w:szCs w:val="22"/>
              </w:rPr>
              <w:t>Joint FAO/WHO Expert Committee on Food Additives</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JMPR</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color w:val="000000"/>
                <w:sz w:val="22"/>
                <w:szCs w:val="22"/>
              </w:rPr>
              <w:t>WHO/FAO Joint Meeting on Pesticide Residues</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LOAEL</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lowest observed adverse effect level</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LOEL</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lowest observed effect level</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MF</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modifying factor</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MoA</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mode (or mechanism) of action</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MoE</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margin of exposure</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MRL</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maximum residue limit</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MRL</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minimal risk level</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NDI</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negligible daily intake</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NEPC</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National Environment Protection Council</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NEPM</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National Environment Protection Measure</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NHMRC</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National Health and Medical Research Council</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NOAEL</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no observable adverse effect level</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NOEL</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no observable effect level</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NSW DECC</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New South Wales Department of Environment and Climate Change</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OCS</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Office of Chemical Safety</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PBDE</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polybrominated diphenyl ether</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POP</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persistent organic pollutant</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PTDI</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provisional tolerable daily intake</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PTMI</w:t>
            </w:r>
          </w:p>
        </w:tc>
        <w:tc>
          <w:tcPr>
            <w:tcW w:w="7229" w:type="dxa"/>
            <w:shd w:val="clear" w:color="auto" w:fill="auto"/>
          </w:tcPr>
          <w:p w:rsidR="00E97F53" w:rsidRPr="004E00C9" w:rsidRDefault="00E97F53" w:rsidP="00ED4349">
            <w:pPr>
              <w:pStyle w:val="TableBody"/>
              <w:spacing w:before="20" w:after="20"/>
              <w:rPr>
                <w:rFonts w:ascii="Book Antiqua" w:hAnsi="Book Antiqua"/>
                <w:i/>
                <w:color w:val="1F497D"/>
                <w:sz w:val="22"/>
                <w:szCs w:val="22"/>
              </w:rPr>
            </w:pPr>
            <w:r w:rsidRPr="004E00C9">
              <w:rPr>
                <w:rFonts w:ascii="Book Antiqua" w:hAnsi="Book Antiqua"/>
                <w:sz w:val="22"/>
                <w:szCs w:val="22"/>
              </w:rPr>
              <w:t>provisional tolerable monthly intake</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PTWI</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provisional tolerable weekly intake</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RAIS</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Risk Assessment Information System</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RDI</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recommended daily intake</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REL</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reference exposure level</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RfC</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reference concentration</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RfD</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reference dose</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RME</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reasonable maximum exposure</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SF</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slope factor</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TC</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tolerable concentration</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lastRenderedPageBreak/>
              <w:t>TD</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tumorigenic dose</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TDI</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tolerable daily intake</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TRV</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toxicity reference value</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UF</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uncertainty factor</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UL</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upper limit</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UR</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unit risk</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US EPA</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United States Environmental Protection Agency</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WHO</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World Health Organization</w:t>
            </w:r>
          </w:p>
        </w:tc>
      </w:tr>
      <w:tr w:rsidR="00E97F53" w:rsidRPr="004E00C9" w:rsidTr="00ED4349">
        <w:trPr>
          <w:cantSplit/>
          <w:trHeight w:hRule="exact" w:val="454"/>
        </w:trPr>
        <w:tc>
          <w:tcPr>
            <w:tcW w:w="1532" w:type="dxa"/>
            <w:shd w:val="clear" w:color="auto" w:fill="auto"/>
          </w:tcPr>
          <w:p w:rsidR="00E97F53" w:rsidRPr="004E00C9" w:rsidRDefault="00E97F53" w:rsidP="00ED4349">
            <w:pPr>
              <w:pStyle w:val="TableBody"/>
              <w:spacing w:before="20" w:after="20"/>
              <w:rPr>
                <w:rFonts w:ascii="Book Antiqua" w:hAnsi="Book Antiqua"/>
                <w:b/>
                <w:sz w:val="22"/>
                <w:szCs w:val="22"/>
              </w:rPr>
            </w:pPr>
            <w:r w:rsidRPr="004E00C9">
              <w:rPr>
                <w:rFonts w:ascii="Book Antiqua" w:hAnsi="Book Antiqua"/>
                <w:b/>
                <w:sz w:val="22"/>
                <w:szCs w:val="22"/>
              </w:rPr>
              <w:t>WHO DWG</w:t>
            </w:r>
          </w:p>
        </w:tc>
        <w:tc>
          <w:tcPr>
            <w:tcW w:w="7229" w:type="dxa"/>
            <w:shd w:val="clear" w:color="auto" w:fill="auto"/>
          </w:tcPr>
          <w:p w:rsidR="00E97F53" w:rsidRPr="004E00C9" w:rsidRDefault="00E97F53" w:rsidP="00ED4349">
            <w:pPr>
              <w:pStyle w:val="TableBody"/>
              <w:spacing w:before="20" w:after="20"/>
              <w:rPr>
                <w:rFonts w:ascii="Book Antiqua" w:hAnsi="Book Antiqua"/>
                <w:sz w:val="22"/>
                <w:szCs w:val="22"/>
              </w:rPr>
            </w:pPr>
            <w:r w:rsidRPr="004E00C9">
              <w:rPr>
                <w:rFonts w:ascii="Book Antiqua" w:hAnsi="Book Antiqua"/>
                <w:sz w:val="22"/>
                <w:szCs w:val="22"/>
              </w:rPr>
              <w:t>World Health Organization Drinking Water Guidelines</w:t>
            </w:r>
          </w:p>
        </w:tc>
      </w:tr>
    </w:tbl>
    <w:p w:rsidR="008C792A" w:rsidRDefault="008C792A" w:rsidP="008C792A">
      <w:pPr>
        <w:sectPr w:rsidR="008C792A" w:rsidSect="008C792A">
          <w:headerReference w:type="even" r:id="rId17"/>
          <w:headerReference w:type="default" r:id="rId18"/>
          <w:footerReference w:type="even" r:id="rId19"/>
          <w:footerReference w:type="default" r:id="rId20"/>
          <w:headerReference w:type="first" r:id="rId21"/>
          <w:footerReference w:type="first" r:id="rId22"/>
          <w:pgSz w:w="11907" w:h="16839"/>
          <w:pgMar w:top="1134" w:right="1134" w:bottom="1418" w:left="1701" w:header="720" w:footer="591" w:gutter="0"/>
          <w:pgNumType w:start="1"/>
          <w:cols w:space="708"/>
          <w:docGrid w:linePitch="360"/>
        </w:sectPr>
      </w:pPr>
    </w:p>
    <w:p w:rsidR="008C792A" w:rsidRPr="004E00C9" w:rsidRDefault="008C792A" w:rsidP="008C792A"/>
    <w:sectPr w:rsidR="008C792A" w:rsidRPr="004E00C9" w:rsidSect="008C792A">
      <w:type w:val="continuous"/>
      <w:pgSz w:w="11907" w:h="16839"/>
      <w:pgMar w:top="1440" w:right="1797" w:bottom="1440" w:left="1797"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349" w:rsidRDefault="00ED4349" w:rsidP="00664C63">
      <w:pPr>
        <w:spacing w:line="240" w:lineRule="auto"/>
      </w:pPr>
      <w:r>
        <w:separator/>
      </w:r>
    </w:p>
  </w:endnote>
  <w:endnote w:type="continuationSeparator" w:id="0">
    <w:p w:rsidR="00ED4349" w:rsidRDefault="00ED4349"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embedRegular r:id="rId1" w:fontKey="{D6502720-87BA-497C-A03D-74D00BE31ADD}"/>
    <w:embedBold r:id="rId2" w:fontKey="{686F426C-14F7-4A27-AB2C-F1B20FD39F45}"/>
    <w:embedItalic r:id="rId3" w:fontKey="{3E27EE10-3452-4E7F-8C43-416A2F49C46B}"/>
  </w:font>
  <w:font w:name="Calibri">
    <w:panose1 w:val="020F0502020204030204"/>
    <w:charset w:val="00"/>
    <w:family w:val="swiss"/>
    <w:pitch w:val="variable"/>
    <w:sig w:usb0="E10002FF" w:usb1="4000ACFF" w:usb2="00000009" w:usb3="00000000" w:csb0="0000019F" w:csb1="00000000"/>
    <w:embedBold r:id="rId4" w:subsetted="1" w:fontKey="{FE660A62-D18D-48ED-9C19-E506BB1E190B}"/>
  </w:font>
  <w:font w:name="Arial 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embedBold r:id="rId5" w:subsetted="1" w:fontKey="{D31608D3-DB8C-4F68-A26D-48885B8EEE70}"/>
  </w:font>
  <w:font w:name="Kozuka Mincho Pro B">
    <w:panose1 w:val="00000000000000000000"/>
    <w:charset w:val="80"/>
    <w:family w:val="roman"/>
    <w:notTrueType/>
    <w:pitch w:val="variable"/>
    <w:sig w:usb0="00000283" w:usb1="2AC71C11" w:usb2="00000012" w:usb3="00000000" w:csb0="00020005"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2F9" w:rsidRPr="00C632F9" w:rsidRDefault="00C632F9" w:rsidP="00C632F9">
    <w:pPr>
      <w:pStyle w:val="Footer"/>
      <w:rPr>
        <w:rFonts w:ascii="Arial" w:hAnsi="Arial" w:cs="Arial"/>
        <w:sz w:val="14"/>
      </w:rPr>
    </w:pPr>
    <w:r>
      <w:rPr>
        <w:rFonts w:ascii="Arial" w:hAnsi="Arial" w:cs="Arial"/>
        <w:sz w:val="14"/>
      </w:rPr>
      <w:t>OPC50357</w:t>
    </w:r>
    <w:r w:rsidRPr="00C632F9">
      <w:rPr>
        <w:rFonts w:ascii="Arial" w:hAnsi="Arial" w:cs="Arial"/>
        <w:sz w:val="14"/>
      </w:rPr>
      <w:t xml:space="preserve">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2F9" w:rsidRPr="00C632F9" w:rsidRDefault="00C632F9" w:rsidP="00C632F9">
    <w:pPr>
      <w:pStyle w:val="Footer"/>
      <w:rPr>
        <w:rFonts w:ascii="Arial" w:hAnsi="Arial" w:cs="Arial"/>
        <w:sz w:val="14"/>
      </w:rPr>
    </w:pPr>
    <w:r>
      <w:rPr>
        <w:rFonts w:ascii="Arial" w:hAnsi="Arial" w:cs="Arial"/>
        <w:sz w:val="14"/>
      </w:rPr>
      <w:t>OPC50357</w:t>
    </w:r>
    <w:r w:rsidRPr="00C632F9">
      <w:rPr>
        <w:rFonts w:ascii="Arial" w:hAnsi="Arial" w:cs="Arial"/>
        <w:sz w:val="14"/>
      </w:rPr>
      <w:t xml:space="preserve">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349" w:rsidRPr="00BB4623" w:rsidRDefault="00ED4349" w:rsidP="00FA3991">
    <w:pPr>
      <w:pBdr>
        <w:top w:val="single" w:sz="6" w:space="1" w:color="auto"/>
      </w:pBdr>
      <w:spacing w:before="120"/>
      <w:jc w:val="right"/>
      <w:rPr>
        <w:sz w:val="18"/>
      </w:rPr>
    </w:pPr>
  </w:p>
  <w:p w:rsidR="00ED4349" w:rsidRPr="00BB4623" w:rsidRDefault="00ED4349"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CF6BF0">
      <w:rPr>
        <w:i/>
        <w:noProof/>
        <w:sz w:val="18"/>
      </w:rPr>
      <w:t>22</w:t>
    </w:r>
    <w:r w:rsidRPr="00BB4623">
      <w:rPr>
        <w:i/>
        <w:sz w:val="18"/>
      </w:rPr>
      <w:fldChar w:fldCharType="end"/>
    </w:r>
  </w:p>
  <w:p w:rsidR="00ED4349" w:rsidRPr="00BB4623" w:rsidRDefault="00ED4349" w:rsidP="00664C63">
    <w:pPr>
      <w:jc w:val="right"/>
      <w:rPr>
        <w:i/>
        <w:sz w:val="18"/>
      </w:rPr>
    </w:pPr>
    <w:r w:rsidRPr="00BB4623">
      <w:rPr>
        <w:i/>
        <w:sz w:val="18"/>
      </w:rPr>
      <w:fldChar w:fldCharType="begin"/>
    </w:r>
    <w:r w:rsidRPr="00BB4623">
      <w:rPr>
        <w:i/>
        <w:sz w:val="18"/>
      </w:rPr>
      <w:instrText xml:space="preserve"> FILENAME \p </w:instrText>
    </w:r>
    <w:r w:rsidRPr="00BB4623">
      <w:rPr>
        <w:i/>
        <w:sz w:val="18"/>
      </w:rPr>
      <w:fldChar w:fldCharType="separate"/>
    </w:r>
    <w:r w:rsidR="00C632F9">
      <w:rPr>
        <w:i/>
        <w:noProof/>
        <w:sz w:val="18"/>
      </w:rPr>
      <w:t>Q:\Word\INSTRUMENTS\I13KE126.DOCX</w:t>
    </w:r>
    <w:r w:rsidRPr="00BB4623">
      <w:rPr>
        <w:i/>
        <w:sz w:val="18"/>
      </w:rPr>
      <w:fldChar w:fldCharType="end"/>
    </w:r>
    <w:r w:rsidRPr="00BB4623">
      <w:rPr>
        <w:i/>
        <w:sz w:val="18"/>
      </w:rPr>
      <w:t xml:space="preserve">  </w:t>
    </w:r>
    <w:r w:rsidRPr="00BB4623">
      <w:rPr>
        <w:i/>
        <w:sz w:val="18"/>
      </w:rPr>
      <w:fldChar w:fldCharType="begin"/>
    </w:r>
    <w:r w:rsidRPr="00BB4623">
      <w:rPr>
        <w:i/>
        <w:sz w:val="18"/>
      </w:rPr>
      <w:instrText xml:space="preserve"> TIME \@ "d/M/yyyy h:mm AM/PM" </w:instrText>
    </w:r>
    <w:r w:rsidRPr="00BB4623">
      <w:rPr>
        <w:i/>
        <w:sz w:val="18"/>
      </w:rPr>
      <w:fldChar w:fldCharType="separate"/>
    </w:r>
    <w:r w:rsidR="00C632F9">
      <w:rPr>
        <w:i/>
        <w:noProof/>
        <w:sz w:val="18"/>
      </w:rPr>
      <w:t>22/3/2013 12:36 PM</w:t>
    </w:r>
    <w:r w:rsidRPr="00BB4623">
      <w:rPr>
        <w:i/>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2A" w:rsidRPr="00C632F9" w:rsidRDefault="008C792A" w:rsidP="00C632F9">
    <w:pPr>
      <w:pStyle w:val="Footer"/>
      <w:framePr w:wrap="around" w:vAnchor="text" w:hAnchor="page" w:x="10681" w:y="208"/>
      <w:rPr>
        <w:rStyle w:val="PageNumber"/>
        <w:rFonts w:ascii="Arial" w:hAnsi="Arial" w:cs="Arial"/>
        <w:sz w:val="14"/>
      </w:rPr>
    </w:pPr>
    <w:r w:rsidRPr="00C632F9">
      <w:rPr>
        <w:rStyle w:val="PageNumber"/>
        <w:rFonts w:ascii="Arial" w:hAnsi="Arial" w:cs="Arial"/>
        <w:sz w:val="14"/>
      </w:rPr>
      <w:fldChar w:fldCharType="begin"/>
    </w:r>
    <w:r w:rsidRPr="00C632F9">
      <w:rPr>
        <w:rStyle w:val="PageNumber"/>
        <w:rFonts w:ascii="Arial" w:hAnsi="Arial" w:cs="Arial"/>
        <w:sz w:val="14"/>
      </w:rPr>
      <w:instrText xml:space="preserve">PAGE  </w:instrText>
    </w:r>
    <w:r w:rsidRPr="00C632F9">
      <w:rPr>
        <w:rStyle w:val="PageNumber"/>
        <w:rFonts w:ascii="Arial" w:hAnsi="Arial" w:cs="Arial"/>
        <w:sz w:val="14"/>
      </w:rPr>
      <w:fldChar w:fldCharType="separate"/>
    </w:r>
    <w:r w:rsidR="00C632F9">
      <w:rPr>
        <w:rStyle w:val="PageNumber"/>
        <w:rFonts w:ascii="Arial" w:hAnsi="Arial" w:cs="Arial"/>
        <w:noProof/>
        <w:sz w:val="14"/>
      </w:rPr>
      <w:t>16</w:t>
    </w:r>
    <w:r w:rsidRPr="00C632F9">
      <w:rPr>
        <w:rStyle w:val="PageNumber"/>
        <w:rFonts w:ascii="Arial" w:hAnsi="Arial" w:cs="Arial"/>
        <w:sz w:val="14"/>
      </w:rPr>
      <w:fldChar w:fldCharType="end"/>
    </w:r>
  </w:p>
  <w:p w:rsidR="00C632F9" w:rsidRDefault="008C792A" w:rsidP="00C632F9">
    <w:pPr>
      <w:pBdr>
        <w:top w:val="single" w:sz="4" w:space="5" w:color="auto"/>
      </w:pBdr>
      <w:tabs>
        <w:tab w:val="right" w:pos="9071"/>
      </w:tabs>
      <w:ind w:right="-1"/>
      <w:rPr>
        <w:rFonts w:ascii="Arial" w:hAnsi="Arial" w:cs="Arial"/>
        <w:sz w:val="14"/>
        <w:szCs w:val="16"/>
      </w:rPr>
    </w:pPr>
    <w:r w:rsidRPr="00C632F9">
      <w:rPr>
        <w:rFonts w:ascii="Arial" w:hAnsi="Arial" w:cs="Arial"/>
        <w:sz w:val="14"/>
        <w:szCs w:val="16"/>
      </w:rPr>
      <w:t xml:space="preserve">Schedule B7 – </w:t>
    </w:r>
    <w:r w:rsidR="007F2DC4" w:rsidRPr="00C632F9">
      <w:rPr>
        <w:rFonts w:ascii="Arial" w:hAnsi="Arial" w:cs="Arial"/>
        <w:sz w:val="14"/>
        <w:szCs w:val="16"/>
      </w:rPr>
      <w:t xml:space="preserve">APPENDIX A5 </w:t>
    </w:r>
    <w:r w:rsidRPr="00C632F9">
      <w:rPr>
        <w:rFonts w:ascii="Arial" w:hAnsi="Arial" w:cs="Arial"/>
        <w:sz w:val="14"/>
        <w:szCs w:val="16"/>
      </w:rPr>
      <w:t>The Derivation of HILs for PCBs and PBDEs</w:t>
    </w:r>
    <w:r w:rsidRPr="00C632F9">
      <w:rPr>
        <w:rFonts w:ascii="Arial" w:hAnsi="Arial" w:cs="Arial"/>
        <w:sz w:val="14"/>
        <w:szCs w:val="16"/>
      </w:rPr>
      <w:tab/>
    </w:r>
  </w:p>
  <w:p w:rsidR="008C792A" w:rsidRPr="00C632F9" w:rsidRDefault="00C632F9" w:rsidP="00C632F9">
    <w:pPr>
      <w:pBdr>
        <w:top w:val="single" w:sz="4" w:space="5" w:color="auto"/>
      </w:pBdr>
      <w:tabs>
        <w:tab w:val="right" w:pos="9071"/>
      </w:tabs>
      <w:ind w:right="-1"/>
      <w:rPr>
        <w:rFonts w:ascii="Arial" w:hAnsi="Arial" w:cs="Arial"/>
        <w:sz w:val="14"/>
        <w:szCs w:val="16"/>
      </w:rPr>
    </w:pPr>
    <w:r w:rsidRPr="00C632F9">
      <w:rPr>
        <w:rFonts w:ascii="Arial" w:hAnsi="Arial" w:cs="Arial"/>
        <w:sz w:val="14"/>
        <w:szCs w:val="16"/>
      </w:rPr>
      <w:t>OPC50357 -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349" w:rsidRPr="00BB4623" w:rsidRDefault="00ED4349" w:rsidP="00FA399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349" w:rsidRDefault="00ED4349" w:rsidP="00664C63">
      <w:pPr>
        <w:spacing w:line="240" w:lineRule="auto"/>
      </w:pPr>
      <w:r>
        <w:separator/>
      </w:r>
    </w:p>
  </w:footnote>
  <w:footnote w:type="continuationSeparator" w:id="0">
    <w:p w:rsidR="00ED4349" w:rsidRDefault="00ED4349" w:rsidP="00664C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349" w:rsidRPr="00BB4623" w:rsidRDefault="00ED4349" w:rsidP="00664C63">
    <w:pPr>
      <w:rPr>
        <w:sz w:val="24"/>
      </w:rPr>
    </w:pPr>
  </w:p>
  <w:p w:rsidR="00ED4349" w:rsidRPr="00BB4623" w:rsidRDefault="00ED4349" w:rsidP="00664C63">
    <w:pPr>
      <w:pBdr>
        <w:bottom w:val="single" w:sz="6" w:space="1" w:color="auto"/>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2A" w:rsidRDefault="008C792A" w:rsidP="008C79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349" w:rsidRPr="00BB4623" w:rsidRDefault="00ED4349" w:rsidP="00664C63">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227E5A"/>
    <w:lvl w:ilvl="0">
      <w:start w:val="1"/>
      <w:numFmt w:val="decimal"/>
      <w:lvlText w:val="%1."/>
      <w:lvlJc w:val="left"/>
      <w:pPr>
        <w:tabs>
          <w:tab w:val="num" w:pos="1492"/>
        </w:tabs>
        <w:ind w:left="1492" w:hanging="360"/>
      </w:pPr>
    </w:lvl>
  </w:abstractNum>
  <w:abstractNum w:abstractNumId="1">
    <w:nsid w:val="FFFFFF7D"/>
    <w:multiLevelType w:val="singleLevel"/>
    <w:tmpl w:val="E2B621B4"/>
    <w:lvl w:ilvl="0">
      <w:start w:val="1"/>
      <w:numFmt w:val="decimal"/>
      <w:lvlText w:val="%1."/>
      <w:lvlJc w:val="left"/>
      <w:pPr>
        <w:tabs>
          <w:tab w:val="num" w:pos="1209"/>
        </w:tabs>
        <w:ind w:left="1209" w:hanging="360"/>
      </w:pPr>
    </w:lvl>
  </w:abstractNum>
  <w:abstractNum w:abstractNumId="2">
    <w:nsid w:val="FFFFFF7E"/>
    <w:multiLevelType w:val="singleLevel"/>
    <w:tmpl w:val="87C61B2C"/>
    <w:lvl w:ilvl="0">
      <w:start w:val="1"/>
      <w:numFmt w:val="decimal"/>
      <w:lvlText w:val="%1."/>
      <w:lvlJc w:val="left"/>
      <w:pPr>
        <w:tabs>
          <w:tab w:val="num" w:pos="926"/>
        </w:tabs>
        <w:ind w:left="926" w:hanging="360"/>
      </w:pPr>
    </w:lvl>
  </w:abstractNum>
  <w:abstractNum w:abstractNumId="3">
    <w:nsid w:val="FFFFFF7F"/>
    <w:multiLevelType w:val="singleLevel"/>
    <w:tmpl w:val="443637D0"/>
    <w:lvl w:ilvl="0">
      <w:start w:val="1"/>
      <w:numFmt w:val="decimal"/>
      <w:lvlText w:val="%1."/>
      <w:lvlJc w:val="left"/>
      <w:pPr>
        <w:tabs>
          <w:tab w:val="num" w:pos="643"/>
        </w:tabs>
        <w:ind w:left="643" w:hanging="360"/>
      </w:pPr>
    </w:lvl>
  </w:abstractNum>
  <w:abstractNum w:abstractNumId="4">
    <w:nsid w:val="FFFFFF80"/>
    <w:multiLevelType w:val="singleLevel"/>
    <w:tmpl w:val="9E26C9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2AA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7089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0E42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3EFDB8"/>
    <w:lvl w:ilvl="0">
      <w:start w:val="1"/>
      <w:numFmt w:val="decimal"/>
      <w:lvlText w:val="%1."/>
      <w:lvlJc w:val="left"/>
      <w:pPr>
        <w:tabs>
          <w:tab w:val="num" w:pos="360"/>
        </w:tabs>
        <w:ind w:left="360" w:hanging="360"/>
      </w:pPr>
    </w:lvl>
  </w:abstractNum>
  <w:abstractNum w:abstractNumId="9">
    <w:nsid w:val="FFFFFF89"/>
    <w:multiLevelType w:val="singleLevel"/>
    <w:tmpl w:val="1B12D8BE"/>
    <w:lvl w:ilvl="0">
      <w:start w:val="1"/>
      <w:numFmt w:val="bullet"/>
      <w:lvlText w:val=""/>
      <w:lvlJc w:val="left"/>
      <w:pPr>
        <w:tabs>
          <w:tab w:val="num" w:pos="360"/>
        </w:tabs>
        <w:ind w:left="360" w:hanging="360"/>
      </w:pPr>
      <w:rPr>
        <w:rFonts w:ascii="Symbol" w:hAnsi="Symbol" w:hint="default"/>
      </w:rPr>
    </w:lvl>
  </w:abstractNum>
  <w:abstractNum w:abstractNumId="10">
    <w:nsid w:val="05955278"/>
    <w:multiLevelType w:val="hybridMultilevel"/>
    <w:tmpl w:val="11322722"/>
    <w:lvl w:ilvl="0" w:tplc="DC5C6D56">
      <w:start w:val="1"/>
      <w:numFmt w:val="bullet"/>
      <w:lvlRestart w:val="0"/>
      <w:pStyle w:val="BulletedList"/>
      <w:lvlText w:val="·"/>
      <w:lvlJc w:val="left"/>
      <w:pPr>
        <w:tabs>
          <w:tab w:val="num" w:pos="425"/>
        </w:tabs>
        <w:ind w:left="425" w:hanging="425"/>
      </w:pPr>
      <w:rPr>
        <w:rFonts w:ascii="Symbol" w:hAnsi="Symbol" w:cs="Times New Roman" w:hint="default"/>
        <w:color w:val="0C479D"/>
      </w:rPr>
    </w:lvl>
    <w:lvl w:ilvl="1" w:tplc="0C090001">
      <w:start w:val="1"/>
      <w:numFmt w:val="bullet"/>
      <w:lvlText w:val=""/>
      <w:lvlJc w:val="left"/>
      <w:pPr>
        <w:tabs>
          <w:tab w:val="num" w:pos="1440"/>
        </w:tabs>
        <w:ind w:left="1440" w:hanging="360"/>
      </w:pPr>
      <w:rPr>
        <w:rFonts w:ascii="Symbol" w:hAnsi="Symbol" w:hint="default"/>
        <w:color w:val="0C479D"/>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36538E"/>
    <w:multiLevelType w:val="multilevel"/>
    <w:tmpl w:val="E1D8E0D6"/>
    <w:lvl w:ilvl="0">
      <w:start w:val="1"/>
      <w:numFmt w:val="bullet"/>
      <w:pStyle w:val="Bullet"/>
      <w:lvlText w:val=""/>
      <w:lvlJc w:val="left"/>
      <w:pPr>
        <w:tabs>
          <w:tab w:val="num" w:pos="1134"/>
        </w:tabs>
        <w:ind w:left="1134" w:hanging="567"/>
      </w:pPr>
      <w:rPr>
        <w:rFonts w:ascii="Symbol" w:hAnsi="Symbol" w:hint="default"/>
        <w:sz w:val="22"/>
      </w:rPr>
    </w:lvl>
    <w:lvl w:ilvl="1">
      <w:start w:val="1"/>
      <w:numFmt w:val="bullet"/>
      <w:pStyle w:val="Bullet2"/>
      <w:lvlText w:val="-"/>
      <w:lvlJc w:val="left"/>
      <w:pPr>
        <w:tabs>
          <w:tab w:val="num" w:pos="1701"/>
        </w:tabs>
        <w:ind w:left="1701" w:hanging="567"/>
      </w:pPr>
      <w:rPr>
        <w:rFonts w:ascii="Arial" w:hAnsi="Arial" w:hint="default"/>
      </w:rPr>
    </w:lvl>
    <w:lvl w:ilvl="2">
      <w:start w:val="1"/>
      <w:numFmt w:val="bullet"/>
      <w:pStyle w:val="Bullet3"/>
      <w:lvlText w:val=""/>
      <w:lvlJc w:val="left"/>
      <w:pPr>
        <w:tabs>
          <w:tab w:val="num" w:pos="2268"/>
        </w:tabs>
        <w:ind w:left="2268" w:hanging="567"/>
      </w:pPr>
      <w:rPr>
        <w:rFonts w:ascii="Wingdings" w:hAnsi="Wingdings" w:hint="default"/>
      </w:rPr>
    </w:lvl>
    <w:lvl w:ilvl="3">
      <w:start w:val="1"/>
      <w:numFmt w:val="bullet"/>
      <w:lvlText w:val=""/>
      <w:lvlJc w:val="left"/>
      <w:pPr>
        <w:tabs>
          <w:tab w:val="num" w:pos="15876"/>
        </w:tabs>
        <w:ind w:left="16443" w:hanging="567"/>
      </w:pPr>
      <w:rPr>
        <w:rFonts w:ascii="Symbol" w:hAnsi="Symbol" w:hint="default"/>
      </w:rPr>
    </w:lvl>
    <w:lvl w:ilvl="4">
      <w:start w:val="1"/>
      <w:numFmt w:val="bullet"/>
      <w:lvlText w:val="o"/>
      <w:lvlJc w:val="left"/>
      <w:pPr>
        <w:tabs>
          <w:tab w:val="num" w:pos="16641"/>
        </w:tabs>
        <w:ind w:left="16641" w:hanging="360"/>
      </w:pPr>
      <w:rPr>
        <w:rFonts w:ascii="Courier New" w:hAnsi="Courier New" w:cs="Courier New" w:hint="default"/>
      </w:rPr>
    </w:lvl>
    <w:lvl w:ilvl="5">
      <w:start w:val="1"/>
      <w:numFmt w:val="bullet"/>
      <w:lvlText w:val=""/>
      <w:lvlJc w:val="left"/>
      <w:pPr>
        <w:tabs>
          <w:tab w:val="num" w:pos="17361"/>
        </w:tabs>
        <w:ind w:left="17361" w:hanging="360"/>
      </w:pPr>
      <w:rPr>
        <w:rFonts w:ascii="Wingdings" w:hAnsi="Wingdings" w:hint="default"/>
      </w:rPr>
    </w:lvl>
    <w:lvl w:ilvl="6">
      <w:start w:val="1"/>
      <w:numFmt w:val="bullet"/>
      <w:lvlText w:val=""/>
      <w:lvlJc w:val="left"/>
      <w:pPr>
        <w:tabs>
          <w:tab w:val="num" w:pos="18081"/>
        </w:tabs>
        <w:ind w:left="18081" w:hanging="360"/>
      </w:pPr>
      <w:rPr>
        <w:rFonts w:ascii="Symbol" w:hAnsi="Symbol" w:hint="default"/>
      </w:rPr>
    </w:lvl>
    <w:lvl w:ilvl="7">
      <w:start w:val="1"/>
      <w:numFmt w:val="bullet"/>
      <w:lvlText w:val="o"/>
      <w:lvlJc w:val="left"/>
      <w:pPr>
        <w:tabs>
          <w:tab w:val="num" w:pos="18801"/>
        </w:tabs>
        <w:ind w:left="18801" w:hanging="360"/>
      </w:pPr>
      <w:rPr>
        <w:rFonts w:ascii="Courier New" w:hAnsi="Courier New" w:cs="Courier New" w:hint="default"/>
      </w:rPr>
    </w:lvl>
    <w:lvl w:ilvl="8">
      <w:start w:val="1"/>
      <w:numFmt w:val="bullet"/>
      <w:lvlText w:val=""/>
      <w:lvlJc w:val="left"/>
      <w:pPr>
        <w:tabs>
          <w:tab w:val="num" w:pos="19521"/>
        </w:tabs>
        <w:ind w:left="19521" w:hanging="360"/>
      </w:pPr>
      <w:rPr>
        <w:rFonts w:ascii="Wingdings" w:hAnsi="Wingdings" w:hint="default"/>
      </w:rPr>
    </w:lvl>
  </w:abstractNum>
  <w:abstractNum w:abstractNumId="13">
    <w:nsid w:val="124B7CF1"/>
    <w:multiLevelType w:val="multilevel"/>
    <w:tmpl w:val="7AC6A14E"/>
    <w:styleLink w:val="UrbanNumberedList"/>
    <w:lvl w:ilvl="0">
      <w:start w:val="1"/>
      <w:numFmt w:val="decimal"/>
      <w:lvlText w:val="%1."/>
      <w:lvlJc w:val="left"/>
      <w:pPr>
        <w:ind w:left="288" w:hanging="288"/>
      </w:pPr>
      <w:rPr>
        <w:rFonts w:ascii="Verdana" w:hAnsi="Verdana" w:hint="default"/>
        <w:i w:val="0"/>
        <w:color w:val="9BBB59"/>
        <w:sz w:val="20"/>
      </w:rPr>
    </w:lvl>
    <w:lvl w:ilvl="1">
      <w:start w:val="1"/>
      <w:numFmt w:val="upperLetter"/>
      <w:lvlText w:val="%2."/>
      <w:lvlJc w:val="left"/>
      <w:pPr>
        <w:ind w:left="792" w:hanging="288"/>
      </w:pPr>
      <w:rPr>
        <w:rFonts w:ascii="Verdana" w:hAnsi="Verdana" w:hint="default"/>
        <w:b w:val="0"/>
        <w:i w:val="0"/>
        <w:color w:val="C0504D"/>
        <w:sz w:val="20"/>
      </w:rPr>
    </w:lvl>
    <w:lvl w:ilvl="2">
      <w:start w:val="1"/>
      <w:numFmt w:val="lowerRoman"/>
      <w:lvlText w:val="%3."/>
      <w:lvlJc w:val="right"/>
      <w:pPr>
        <w:ind w:left="1296" w:hanging="288"/>
      </w:pPr>
      <w:rPr>
        <w:rFonts w:ascii="Verdana" w:hAnsi="Verdana" w:hint="default"/>
        <w:b w:val="0"/>
        <w:i w:val="0"/>
        <w:color w:val="4F81BD"/>
        <w:sz w:val="20"/>
      </w:rPr>
    </w:lvl>
    <w:lvl w:ilvl="3">
      <w:start w:val="1"/>
      <w:numFmt w:val="decimal"/>
      <w:lvlText w:val="%4."/>
      <w:lvlJc w:val="left"/>
      <w:pPr>
        <w:ind w:left="1800" w:hanging="288"/>
      </w:pPr>
      <w:rPr>
        <w:rFonts w:ascii="Verdana" w:hAnsi="Verdana" w:hint="default"/>
        <w:b w:val="0"/>
        <w:i w:val="0"/>
        <w:color w:val="4F81BD"/>
        <w:sz w:val="20"/>
      </w:rPr>
    </w:lvl>
    <w:lvl w:ilvl="4">
      <w:start w:val="1"/>
      <w:numFmt w:val="lowerLetter"/>
      <w:lvlText w:val="%5."/>
      <w:lvlJc w:val="left"/>
      <w:pPr>
        <w:ind w:left="2304" w:hanging="288"/>
      </w:pPr>
      <w:rPr>
        <w:rFonts w:ascii="Verdana" w:hAnsi="Verdana" w:hint="default"/>
        <w:b w:val="0"/>
        <w:i w:val="0"/>
        <w:color w:val="4F81BD"/>
        <w:sz w:val="20"/>
      </w:rPr>
    </w:lvl>
    <w:lvl w:ilvl="5">
      <w:start w:val="1"/>
      <w:numFmt w:val="lowerRoman"/>
      <w:lvlText w:val="%6."/>
      <w:lvlJc w:val="right"/>
      <w:pPr>
        <w:ind w:left="2808" w:hanging="288"/>
      </w:pPr>
      <w:rPr>
        <w:rFonts w:ascii="Verdana" w:hAnsi="Verdana" w:hint="default"/>
        <w:b w:val="0"/>
        <w:i w:val="0"/>
        <w:color w:val="4F81BD"/>
        <w:sz w:val="20"/>
      </w:rPr>
    </w:lvl>
    <w:lvl w:ilvl="6">
      <w:start w:val="1"/>
      <w:numFmt w:val="decimal"/>
      <w:lvlText w:val="%7."/>
      <w:lvlJc w:val="left"/>
      <w:pPr>
        <w:ind w:left="3312" w:hanging="288"/>
      </w:pPr>
      <w:rPr>
        <w:rFonts w:ascii="Verdana" w:hAnsi="Verdana" w:hint="default"/>
        <w:b w:val="0"/>
        <w:i w:val="0"/>
        <w:color w:val="4F81BD"/>
        <w:sz w:val="20"/>
      </w:rPr>
    </w:lvl>
    <w:lvl w:ilvl="7">
      <w:start w:val="1"/>
      <w:numFmt w:val="lowerLetter"/>
      <w:lvlText w:val="%8."/>
      <w:lvlJc w:val="left"/>
      <w:pPr>
        <w:ind w:left="3816" w:hanging="288"/>
      </w:pPr>
      <w:rPr>
        <w:rFonts w:ascii="Verdana" w:hAnsi="Verdana" w:hint="default"/>
        <w:b w:val="0"/>
        <w:i w:val="0"/>
        <w:color w:val="4F81BD"/>
        <w:sz w:val="20"/>
      </w:rPr>
    </w:lvl>
    <w:lvl w:ilvl="8">
      <w:start w:val="1"/>
      <w:numFmt w:val="lowerRoman"/>
      <w:lvlText w:val="%9."/>
      <w:lvlJc w:val="right"/>
      <w:pPr>
        <w:ind w:left="4320" w:hanging="288"/>
      </w:pPr>
      <w:rPr>
        <w:rFonts w:ascii="Verdana" w:hAnsi="Verdana" w:hint="default"/>
        <w:b w:val="0"/>
        <w:i w:val="0"/>
        <w:color w:val="4F81BD"/>
        <w:sz w:val="20"/>
      </w:rPr>
    </w:lvl>
  </w:abstractNum>
  <w:abstractNum w:abstractNumId="14">
    <w:nsid w:val="27157DBB"/>
    <w:multiLevelType w:val="singleLevel"/>
    <w:tmpl w:val="7278FBC6"/>
    <w:lvl w:ilvl="0">
      <w:start w:val="1"/>
      <w:numFmt w:val="lowerRoman"/>
      <w:pStyle w:val="DotpointiCONSITES"/>
      <w:lvlText w:val="(%1)"/>
      <w:lvlJc w:val="left"/>
      <w:pPr>
        <w:tabs>
          <w:tab w:val="num" w:pos="720"/>
        </w:tabs>
        <w:ind w:left="36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BB26458"/>
    <w:multiLevelType w:val="multilevel"/>
    <w:tmpl w:val="085C0706"/>
    <w:lvl w:ilvl="0">
      <w:start w:val="1"/>
      <w:numFmt w:val="decimal"/>
      <w:pStyle w:val="OutlineLev1"/>
      <w:lvlText w:val="%1."/>
      <w:lvlJc w:val="left"/>
      <w:pPr>
        <w:tabs>
          <w:tab w:val="num" w:pos="360"/>
        </w:tabs>
        <w:ind w:left="360" w:hanging="360"/>
      </w:pPr>
      <w:rPr>
        <w:rFonts w:ascii="Book Antiqua" w:hAnsi="Book Antiqua" w:hint="default"/>
        <w:b w:val="0"/>
        <w:i w:val="0"/>
        <w:sz w:val="24"/>
      </w:rPr>
    </w:lvl>
    <w:lvl w:ilvl="1">
      <w:start w:val="1"/>
      <w:numFmt w:val="bullet"/>
      <w:pStyle w:val="OutlineLev2"/>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D9C46A3"/>
    <w:multiLevelType w:val="multilevel"/>
    <w:tmpl w:val="33B056D0"/>
    <w:styleLink w:val="UrbanBulletedList"/>
    <w:lvl w:ilvl="0">
      <w:start w:val="1"/>
      <w:numFmt w:val="bullet"/>
      <w:pStyle w:val="Bullet1"/>
      <w:lvlText w:val=""/>
      <w:lvlJc w:val="left"/>
      <w:pPr>
        <w:ind w:left="216" w:hanging="216"/>
      </w:pPr>
      <w:rPr>
        <w:rFonts w:ascii="Symbol" w:hAnsi="Symbol" w:hint="default"/>
        <w:b w:val="0"/>
        <w:i w:val="0"/>
        <w:color w:val="9BBB59"/>
        <w:sz w:val="18"/>
      </w:rPr>
    </w:lvl>
    <w:lvl w:ilvl="1">
      <w:start w:val="1"/>
      <w:numFmt w:val="bullet"/>
      <w:pStyle w:val="Bullet20"/>
      <w:lvlText w:val=""/>
      <w:lvlJc w:val="left"/>
      <w:pPr>
        <w:ind w:left="461" w:hanging="216"/>
      </w:pPr>
      <w:rPr>
        <w:rFonts w:ascii="Wingdings" w:hAnsi="Wingdings" w:hint="default"/>
        <w:b w:val="0"/>
        <w:i w:val="0"/>
        <w:color w:val="C0504D"/>
        <w:sz w:val="12"/>
      </w:rPr>
    </w:lvl>
    <w:lvl w:ilvl="2">
      <w:start w:val="1"/>
      <w:numFmt w:val="bullet"/>
      <w:pStyle w:val="Bullet30"/>
      <w:lvlText w:val=""/>
      <w:lvlJc w:val="left"/>
      <w:pPr>
        <w:ind w:left="706" w:hanging="216"/>
      </w:pPr>
      <w:rPr>
        <w:rFonts w:ascii="Symbol" w:hAnsi="Symbol" w:hint="default"/>
        <w:b w:val="0"/>
        <w:i w:val="0"/>
        <w:color w:val="4F81BD"/>
        <w:sz w:val="16"/>
      </w:rPr>
    </w:lvl>
    <w:lvl w:ilvl="3">
      <w:start w:val="1"/>
      <w:numFmt w:val="bullet"/>
      <w:lvlText w:val=""/>
      <w:lvlJc w:val="left"/>
      <w:pPr>
        <w:ind w:left="951" w:hanging="216"/>
      </w:pPr>
      <w:rPr>
        <w:rFonts w:ascii="Symbol" w:hAnsi="Symbol" w:hint="default"/>
        <w:b w:val="0"/>
        <w:i w:val="0"/>
        <w:color w:val="4F81BD"/>
        <w:sz w:val="16"/>
      </w:rPr>
    </w:lvl>
    <w:lvl w:ilvl="4">
      <w:start w:val="1"/>
      <w:numFmt w:val="bullet"/>
      <w:lvlText w:val=""/>
      <w:lvlJc w:val="left"/>
      <w:pPr>
        <w:ind w:left="1196" w:hanging="216"/>
      </w:pPr>
      <w:rPr>
        <w:rFonts w:ascii="Symbol" w:hAnsi="Symbol" w:hint="default"/>
        <w:color w:val="4F81BD"/>
        <w:sz w:val="16"/>
      </w:rPr>
    </w:lvl>
    <w:lvl w:ilvl="5">
      <w:start w:val="1"/>
      <w:numFmt w:val="bullet"/>
      <w:lvlText w:val=""/>
      <w:lvlJc w:val="left"/>
      <w:pPr>
        <w:ind w:left="1441" w:hanging="216"/>
      </w:pPr>
      <w:rPr>
        <w:rFonts w:ascii="Symbol" w:hAnsi="Symbol" w:hint="default"/>
        <w:color w:val="4F81BD"/>
        <w:sz w:val="16"/>
      </w:rPr>
    </w:lvl>
    <w:lvl w:ilvl="6">
      <w:start w:val="1"/>
      <w:numFmt w:val="bullet"/>
      <w:lvlText w:val=""/>
      <w:lvlJc w:val="left"/>
      <w:pPr>
        <w:ind w:left="1686" w:hanging="216"/>
      </w:pPr>
      <w:rPr>
        <w:rFonts w:ascii="Symbol" w:hAnsi="Symbol" w:hint="default"/>
        <w:color w:val="4F81BD"/>
        <w:sz w:val="16"/>
      </w:rPr>
    </w:lvl>
    <w:lvl w:ilvl="7">
      <w:start w:val="1"/>
      <w:numFmt w:val="bullet"/>
      <w:lvlText w:val=""/>
      <w:lvlJc w:val="left"/>
      <w:pPr>
        <w:ind w:left="1931" w:hanging="216"/>
      </w:pPr>
      <w:rPr>
        <w:rFonts w:ascii="Symbol" w:hAnsi="Symbol" w:hint="default"/>
        <w:color w:val="4F81BD"/>
        <w:sz w:val="16"/>
      </w:rPr>
    </w:lvl>
    <w:lvl w:ilvl="8">
      <w:start w:val="1"/>
      <w:numFmt w:val="bullet"/>
      <w:lvlText w:val=""/>
      <w:lvlJc w:val="left"/>
      <w:pPr>
        <w:ind w:left="2176" w:hanging="216"/>
      </w:pPr>
      <w:rPr>
        <w:rFonts w:ascii="Symbol" w:hAnsi="Symbol" w:hint="default"/>
        <w:color w:val="4F81BD"/>
        <w:sz w:val="16"/>
      </w:rPr>
    </w:lvl>
  </w:abstractNum>
  <w:abstractNum w:abstractNumId="18">
    <w:nsid w:val="47E31FB5"/>
    <w:multiLevelType w:val="multilevel"/>
    <w:tmpl w:val="1F345A5C"/>
    <w:lvl w:ilvl="0">
      <w:start w:val="1"/>
      <w:numFmt w:val="bullet"/>
      <w:pStyle w:val="Dot-points"/>
      <w:lvlText w:val=""/>
      <w:lvlJc w:val="left"/>
      <w:pPr>
        <w:tabs>
          <w:tab w:val="num" w:pos="360"/>
        </w:tabs>
        <w:ind w:left="360" w:hanging="360"/>
      </w:pPr>
      <w:rPr>
        <w:rFonts w:ascii="Symbol" w:hAnsi="Symbol" w:hint="default"/>
        <w:sz w:val="18"/>
      </w:rPr>
    </w:lvl>
    <w:lvl w:ilvl="1">
      <w:start w:val="1"/>
      <w:numFmt w:val="bullet"/>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29C4473"/>
    <w:multiLevelType w:val="multilevel"/>
    <w:tmpl w:val="45B495F0"/>
    <w:lvl w:ilvl="0">
      <w:start w:val="1"/>
      <w:numFmt w:val="decimal"/>
      <w:pStyle w:val="Heading1"/>
      <w:lvlText w:val="%1"/>
      <w:lvlJc w:val="left"/>
      <w:pPr>
        <w:tabs>
          <w:tab w:val="num" w:pos="720"/>
        </w:tabs>
        <w:ind w:left="720" w:hanging="720"/>
      </w:pPr>
      <w:rPr>
        <w:rFonts w:ascii="Book Antiqua" w:hAnsi="Book Antiqua" w:hint="default"/>
        <w:b/>
        <w:i w:val="0"/>
        <w:sz w:val="3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645F562F"/>
    <w:multiLevelType w:val="singleLevel"/>
    <w:tmpl w:val="19683378"/>
    <w:lvl w:ilvl="0">
      <w:start w:val="1"/>
      <w:numFmt w:val="decimal"/>
      <w:pStyle w:val="NumberedList"/>
      <w:lvlText w:val="%1."/>
      <w:lvlJc w:val="left"/>
      <w:pPr>
        <w:tabs>
          <w:tab w:val="num" w:pos="425"/>
        </w:tabs>
        <w:ind w:left="425" w:hanging="425"/>
      </w:pPr>
      <w:rPr>
        <w:rFonts w:hint="default"/>
      </w:rPr>
    </w:lvl>
  </w:abstractNum>
  <w:abstractNum w:abstractNumId="21">
    <w:nsid w:val="684B4745"/>
    <w:multiLevelType w:val="multilevel"/>
    <w:tmpl w:val="88E40C24"/>
    <w:lvl w:ilvl="0">
      <w:start w:val="1"/>
      <w:numFmt w:val="lowerRoman"/>
      <w:lvlText w:val="(%1)"/>
      <w:lvlJc w:val="left"/>
      <w:pPr>
        <w:tabs>
          <w:tab w:val="num" w:pos="1080"/>
        </w:tabs>
        <w:ind w:left="360" w:hanging="360"/>
      </w:pPr>
    </w:lvl>
    <w:lvl w:ilvl="1">
      <w:start w:val="1"/>
      <w:numFmt w:val="bullet"/>
      <w:pStyle w:val="Dotpoint2ndCONSITES"/>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21"/>
  </w:num>
  <w:num w:numId="14">
    <w:abstractNumId w:val="14"/>
  </w:num>
  <w:num w:numId="15">
    <w:abstractNumId w:val="18"/>
  </w:num>
  <w:num w:numId="16">
    <w:abstractNumId w:val="19"/>
  </w:num>
  <w:num w:numId="17">
    <w:abstractNumId w:val="16"/>
  </w:num>
  <w:num w:numId="18">
    <w:abstractNumId w:val="17"/>
  </w:num>
  <w:num w:numId="19">
    <w:abstractNumId w:val="13"/>
  </w:num>
  <w:num w:numId="20">
    <w:abstractNumId w:val="10"/>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987"/>
    <w:rsid w:val="000136AF"/>
    <w:rsid w:val="00013AE3"/>
    <w:rsid w:val="00014B9A"/>
    <w:rsid w:val="000279D9"/>
    <w:rsid w:val="000614BF"/>
    <w:rsid w:val="00077D37"/>
    <w:rsid w:val="00087033"/>
    <w:rsid w:val="000B3C19"/>
    <w:rsid w:val="000B790B"/>
    <w:rsid w:val="000D05EF"/>
    <w:rsid w:val="000F21C1"/>
    <w:rsid w:val="001016D1"/>
    <w:rsid w:val="0010745C"/>
    <w:rsid w:val="0011206D"/>
    <w:rsid w:val="00166C2F"/>
    <w:rsid w:val="0018435F"/>
    <w:rsid w:val="001939E1"/>
    <w:rsid w:val="00195382"/>
    <w:rsid w:val="001B0F61"/>
    <w:rsid w:val="001C69C4"/>
    <w:rsid w:val="001E3590"/>
    <w:rsid w:val="001E36CC"/>
    <w:rsid w:val="001E7407"/>
    <w:rsid w:val="00240749"/>
    <w:rsid w:val="0024239A"/>
    <w:rsid w:val="00287A72"/>
    <w:rsid w:val="00297ECB"/>
    <w:rsid w:val="002D043A"/>
    <w:rsid w:val="002E2C8B"/>
    <w:rsid w:val="00313C6F"/>
    <w:rsid w:val="003340C6"/>
    <w:rsid w:val="003415D3"/>
    <w:rsid w:val="00352B0F"/>
    <w:rsid w:val="00366A72"/>
    <w:rsid w:val="00382869"/>
    <w:rsid w:val="003B2AAC"/>
    <w:rsid w:val="003D0BFE"/>
    <w:rsid w:val="003D5700"/>
    <w:rsid w:val="004116CD"/>
    <w:rsid w:val="00411B04"/>
    <w:rsid w:val="00424CA9"/>
    <w:rsid w:val="0043512F"/>
    <w:rsid w:val="0044291A"/>
    <w:rsid w:val="00484959"/>
    <w:rsid w:val="00496F97"/>
    <w:rsid w:val="004E00C9"/>
    <w:rsid w:val="00516B8D"/>
    <w:rsid w:val="005230DA"/>
    <w:rsid w:val="00537FBC"/>
    <w:rsid w:val="0054152E"/>
    <w:rsid w:val="00584811"/>
    <w:rsid w:val="00593AA6"/>
    <w:rsid w:val="00594161"/>
    <w:rsid w:val="00594749"/>
    <w:rsid w:val="005B4067"/>
    <w:rsid w:val="005C3F41"/>
    <w:rsid w:val="00600219"/>
    <w:rsid w:val="00664C63"/>
    <w:rsid w:val="00677CC2"/>
    <w:rsid w:val="0069207B"/>
    <w:rsid w:val="006B0CF5"/>
    <w:rsid w:val="006C5791"/>
    <w:rsid w:val="006C7F8C"/>
    <w:rsid w:val="006D0887"/>
    <w:rsid w:val="006D6987"/>
    <w:rsid w:val="006E6470"/>
    <w:rsid w:val="00700B2C"/>
    <w:rsid w:val="00713084"/>
    <w:rsid w:val="00731E00"/>
    <w:rsid w:val="007440B7"/>
    <w:rsid w:val="007459CF"/>
    <w:rsid w:val="007715C9"/>
    <w:rsid w:val="00774EDD"/>
    <w:rsid w:val="007757EC"/>
    <w:rsid w:val="007E335B"/>
    <w:rsid w:val="007F2DC4"/>
    <w:rsid w:val="00830815"/>
    <w:rsid w:val="00846AEC"/>
    <w:rsid w:val="00856A31"/>
    <w:rsid w:val="008754D0"/>
    <w:rsid w:val="008C792A"/>
    <w:rsid w:val="008D0EE0"/>
    <w:rsid w:val="00932377"/>
    <w:rsid w:val="009620C2"/>
    <w:rsid w:val="00A231E2"/>
    <w:rsid w:val="00A24CB9"/>
    <w:rsid w:val="00A25627"/>
    <w:rsid w:val="00A510A6"/>
    <w:rsid w:val="00A6121F"/>
    <w:rsid w:val="00A64912"/>
    <w:rsid w:val="00A70A74"/>
    <w:rsid w:val="00AA476D"/>
    <w:rsid w:val="00AD5641"/>
    <w:rsid w:val="00AE59F7"/>
    <w:rsid w:val="00AE7BD7"/>
    <w:rsid w:val="00B31C38"/>
    <w:rsid w:val="00B33B3C"/>
    <w:rsid w:val="00B340B6"/>
    <w:rsid w:val="00B90D47"/>
    <w:rsid w:val="00BB6BB7"/>
    <w:rsid w:val="00BD5689"/>
    <w:rsid w:val="00BD6B2E"/>
    <w:rsid w:val="00BE719A"/>
    <w:rsid w:val="00BE720A"/>
    <w:rsid w:val="00C255AB"/>
    <w:rsid w:val="00C42BF8"/>
    <w:rsid w:val="00C50043"/>
    <w:rsid w:val="00C632F9"/>
    <w:rsid w:val="00C7573B"/>
    <w:rsid w:val="00CE1009"/>
    <w:rsid w:val="00CF0BB2"/>
    <w:rsid w:val="00CF4975"/>
    <w:rsid w:val="00CF6BF0"/>
    <w:rsid w:val="00D05CA5"/>
    <w:rsid w:val="00D13441"/>
    <w:rsid w:val="00D3213F"/>
    <w:rsid w:val="00D70DFB"/>
    <w:rsid w:val="00D766DF"/>
    <w:rsid w:val="00DF09AC"/>
    <w:rsid w:val="00E01511"/>
    <w:rsid w:val="00E05704"/>
    <w:rsid w:val="00E4146C"/>
    <w:rsid w:val="00E43CDC"/>
    <w:rsid w:val="00E562DE"/>
    <w:rsid w:val="00E74DC7"/>
    <w:rsid w:val="00E82EEA"/>
    <w:rsid w:val="00E9136A"/>
    <w:rsid w:val="00E97F53"/>
    <w:rsid w:val="00EA1F0D"/>
    <w:rsid w:val="00ED1A6C"/>
    <w:rsid w:val="00ED4349"/>
    <w:rsid w:val="00EE7C5D"/>
    <w:rsid w:val="00EF2E3A"/>
    <w:rsid w:val="00F00410"/>
    <w:rsid w:val="00F078DC"/>
    <w:rsid w:val="00F1779C"/>
    <w:rsid w:val="00F5076A"/>
    <w:rsid w:val="00FA3991"/>
    <w:rsid w:val="00FD1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3"/>
    <w:lsdException w:name="Strong" w:semiHidden="0" w:uiPriority="22" w:unhideWhenUsed="0" w:qFormat="1"/>
    <w:lsdException w:name="Emphasis" w:semiHidden="0" w:uiPriority="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41"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4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46"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aliases w:val="Chapter Heading,Chapter Heading1,Chapter Heading2,Chapter Heading3,Chapter Heading4,Chapter Heading5,Chapter Heading6,Chapter Heading7,Chapter Heading8,Chapter Heading9,Chapter Heading10,Chapter Heading11,Chapter Heading21,Chapter Heading31,h1"/>
    <w:basedOn w:val="text"/>
    <w:next w:val="text"/>
    <w:link w:val="Heading1Char"/>
    <w:autoRedefine/>
    <w:uiPriority w:val="9"/>
    <w:qFormat/>
    <w:rsid w:val="00E97F53"/>
    <w:pPr>
      <w:keepNext/>
      <w:pageBreakBefore/>
      <w:numPr>
        <w:numId w:val="16"/>
      </w:numPr>
      <w:tabs>
        <w:tab w:val="right" w:pos="9072"/>
      </w:tabs>
      <w:spacing w:before="0"/>
      <w:ind w:left="709" w:hanging="709"/>
      <w:outlineLvl w:val="0"/>
    </w:pPr>
    <w:rPr>
      <w:b/>
      <w:kern w:val="28"/>
      <w:sz w:val="32"/>
    </w:rPr>
  </w:style>
  <w:style w:type="paragraph" w:styleId="Heading2">
    <w:name w:val="heading 2"/>
    <w:aliases w:val="Major Heading,Major Heading1,Major Heading2,Major Heading3,Major Heading4,Major Heading5,Major Heading6,Major Heading11,Major Heading21,Major Heading31,Major Heading7,Major Heading12,Major Heading22,Major Heading32,Major Heading8,h2,H2,2,Para2"/>
    <w:basedOn w:val="Heading1"/>
    <w:next w:val="Normal"/>
    <w:link w:val="Heading2Char"/>
    <w:autoRedefine/>
    <w:uiPriority w:val="9"/>
    <w:qFormat/>
    <w:rsid w:val="00E97F53"/>
    <w:pPr>
      <w:keepLines/>
      <w:pageBreakBefore w:val="0"/>
      <w:numPr>
        <w:ilvl w:val="1"/>
      </w:numPr>
      <w:tabs>
        <w:tab w:val="clear" w:pos="576"/>
        <w:tab w:val="right" w:pos="709"/>
        <w:tab w:val="left" w:pos="9180"/>
      </w:tabs>
      <w:autoSpaceDE w:val="0"/>
      <w:autoSpaceDN w:val="0"/>
      <w:adjustRightInd w:val="0"/>
      <w:spacing w:before="24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uiPriority w:val="9"/>
    <w:qFormat/>
    <w:rsid w:val="00E97F53"/>
    <w:pPr>
      <w:numPr>
        <w:ilvl w:val="2"/>
      </w:numPr>
      <w:outlineLvl w:val="2"/>
    </w:pPr>
    <w:rPr>
      <w:sz w:val="22"/>
    </w:rPr>
  </w:style>
  <w:style w:type="paragraph" w:styleId="Heading4">
    <w:name w:val="heading 4"/>
    <w:aliases w:val="Minor Heading,Minor Heading1,Minor Heading2,Minor Heading3,Minor Heading4,Minor Heading5,Minor Heading6,Minor Heading7,Minor Heading8,Minor Heading11,Minor Heading21,Minor Heading31,Minor Heading41,Minor Heading51,Minor Heading9,D&amp;M,h4,h41,h42"/>
    <w:basedOn w:val="Normal"/>
    <w:next w:val="Normal"/>
    <w:link w:val="Heading4Char"/>
    <w:uiPriority w:val="9"/>
    <w:qFormat/>
    <w:rsid w:val="00E97F53"/>
    <w:pPr>
      <w:keepNext/>
      <w:numPr>
        <w:ilvl w:val="3"/>
        <w:numId w:val="16"/>
      </w:numPr>
      <w:tabs>
        <w:tab w:val="left" w:pos="1134"/>
      </w:tabs>
      <w:spacing w:before="240" w:after="120" w:line="240" w:lineRule="auto"/>
      <w:jc w:val="both"/>
      <w:outlineLvl w:val="3"/>
    </w:pPr>
    <w:rPr>
      <w:rFonts w:ascii="Book Antiqua" w:eastAsia="Times New Roman" w:hAnsi="Book Antiqua" w:cs="Times New Roman"/>
      <w:i/>
      <w:lang w:eastAsia="en-AU"/>
    </w:rPr>
  </w:style>
  <w:style w:type="paragraph" w:styleId="Heading5">
    <w:name w:val="heading 5"/>
    <w:aliases w:val="Further Points,Further Points1,Further Points2,Further Points3,Further Points11,Further Points4,Further Points5,Further Points12,Further Points21,Further Points111,Further Points6,Further Points13,Further Points22,Further Points112,h5,Para5"/>
    <w:basedOn w:val="Normal"/>
    <w:next w:val="Normal"/>
    <w:link w:val="Heading5Char"/>
    <w:uiPriority w:val="9"/>
    <w:rsid w:val="00E97F53"/>
    <w:pPr>
      <w:keepNext/>
      <w:numPr>
        <w:ilvl w:val="4"/>
        <w:numId w:val="16"/>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uiPriority w:val="9"/>
    <w:rsid w:val="00E97F53"/>
    <w:pPr>
      <w:numPr>
        <w:ilvl w:val="5"/>
        <w:numId w:val="16"/>
      </w:numPr>
      <w:spacing w:before="240" w:after="60" w:line="240" w:lineRule="auto"/>
      <w:jc w:val="both"/>
      <w:outlineLvl w:val="5"/>
    </w:pPr>
    <w:rPr>
      <w:rFonts w:eastAsia="Times New Roman" w:cs="Times New Roman"/>
      <w:i/>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uiPriority w:val="9"/>
    <w:rsid w:val="00E97F53"/>
    <w:pPr>
      <w:numPr>
        <w:ilvl w:val="6"/>
        <w:numId w:val="16"/>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uiPriority w:val="9"/>
    <w:rsid w:val="00E97F53"/>
    <w:pPr>
      <w:numPr>
        <w:ilvl w:val="7"/>
        <w:numId w:val="16"/>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uiPriority w:val="9"/>
    <w:rsid w:val="00E97F53"/>
    <w:pPr>
      <w:numPr>
        <w:ilvl w:val="8"/>
        <w:numId w:val="16"/>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1"/>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styleId="PageNumber">
    <w:name w:val="page number"/>
    <w:basedOn w:val="DefaultParagraphFont"/>
    <w:rsid w:val="00E97F53"/>
  </w:style>
  <w:style w:type="paragraph" w:customStyle="1" w:styleId="text">
    <w:name w:val="text"/>
    <w:basedOn w:val="Normal"/>
    <w:link w:val="textChar"/>
    <w:rsid w:val="00E97F53"/>
    <w:pPr>
      <w:spacing w:before="120" w:after="120" w:line="240" w:lineRule="auto"/>
      <w:jc w:val="both"/>
    </w:pPr>
    <w:rPr>
      <w:rFonts w:ascii="Book Antiqua" w:eastAsia="Times New Roman" w:hAnsi="Book Antiqua" w:cs="Times New Roman"/>
      <w:lang w:eastAsia="en-AU"/>
    </w:rPr>
  </w:style>
  <w:style w:type="character" w:customStyle="1" w:styleId="textChar">
    <w:name w:val="text Char"/>
    <w:basedOn w:val="DefaultParagraphFont"/>
    <w:link w:val="text"/>
    <w:rsid w:val="00E97F53"/>
    <w:rPr>
      <w:rFonts w:ascii="Book Antiqua" w:eastAsia="Times New Roman" w:hAnsi="Book Antiqua" w:cs="Times New Roman"/>
      <w:sz w:val="22"/>
      <w:lang w:eastAsia="en-AU"/>
    </w:rPr>
  </w:style>
  <w:style w:type="character" w:customStyle="1" w:styleId="Heading1Char">
    <w:name w:val="Heading 1 Char"/>
    <w:aliases w:val="Chapter Heading Char,Chapter Heading1 Char,Chapter Heading2 Char,Chapter Heading3 Char,Chapter Heading4 Char,Chapter Heading5 Char,Chapter Heading6 Char,Chapter Heading7 Char,Chapter Heading8 Char,Chapter Heading9 Char,h1 Char"/>
    <w:basedOn w:val="DefaultParagraphFont"/>
    <w:link w:val="Heading1"/>
    <w:uiPriority w:val="9"/>
    <w:rsid w:val="00E97F53"/>
    <w:rPr>
      <w:rFonts w:ascii="Book Antiqua" w:eastAsia="Times New Roman" w:hAnsi="Book Antiqua" w:cs="Times New Roman"/>
      <w:b/>
      <w:kern w:val="28"/>
      <w:sz w:val="32"/>
      <w:lang w:eastAsia="en-AU"/>
    </w:rPr>
  </w:style>
  <w:style w:type="character" w:customStyle="1" w:styleId="Heading2Char">
    <w:name w:val="Heading 2 Char"/>
    <w:aliases w:val="Major Heading Char,Major Heading1 Char,Major Heading2 Char,Major Heading3 Char,Major Heading4 Char,Major Heading5 Char,Major Heading6 Char,Major Heading11 Char,Major Heading21 Char,Major Heading31 Char,Major Heading7 Char,h2 Char,H2 Char"/>
    <w:basedOn w:val="DefaultParagraphFont"/>
    <w:link w:val="Heading2"/>
    <w:uiPriority w:val="9"/>
    <w:rsid w:val="00E97F53"/>
    <w:rPr>
      <w:rFonts w:ascii="Book Antiqua" w:eastAsia="Times New Roman" w:hAnsi="Book Antiqua" w:cs="Times New Roman"/>
      <w:b/>
      <w:kern w:val="28"/>
      <w:sz w:val="24"/>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uiPriority w:val="9"/>
    <w:rsid w:val="00E97F53"/>
    <w:rPr>
      <w:rFonts w:ascii="Book Antiqua" w:eastAsia="Times New Roman" w:hAnsi="Book Antiqua" w:cs="Times New Roman"/>
      <w:b/>
      <w:kern w:val="28"/>
      <w:sz w:val="22"/>
    </w:rPr>
  </w:style>
  <w:style w:type="character" w:customStyle="1" w:styleId="Heading4Char">
    <w:name w:val="Heading 4 Char"/>
    <w:aliases w:val="Minor Heading Char,Minor Heading1 Char,Minor Heading2 Char,Minor Heading3 Char,Minor Heading4 Char,Minor Heading5 Char,Minor Heading6 Char,Minor Heading7 Char,Minor Heading8 Char,Minor Heading11 Char,Minor Heading21 Char,D&amp;M Char,h4 Char"/>
    <w:basedOn w:val="DefaultParagraphFont"/>
    <w:link w:val="Heading4"/>
    <w:uiPriority w:val="9"/>
    <w:rsid w:val="00E97F53"/>
    <w:rPr>
      <w:rFonts w:ascii="Book Antiqua" w:eastAsia="Times New Roman" w:hAnsi="Book Antiqua" w:cs="Times New Roman"/>
      <w:i/>
      <w:sz w:val="22"/>
      <w:lang w:eastAsia="en-AU"/>
    </w:rPr>
  </w:style>
  <w:style w:type="character" w:customStyle="1" w:styleId="Heading5Char">
    <w:name w:val="Heading 5 Char"/>
    <w:aliases w:val="Further Points Char,Further Points1 Char,Further Points2 Char,Further Points3 Char,Further Points11 Char,Further Points4 Char,Further Points5 Char,Further Points12 Char,Further Points21 Char,Further Points111 Char,Further Points6 Char"/>
    <w:basedOn w:val="DefaultParagraphFont"/>
    <w:link w:val="Heading5"/>
    <w:uiPriority w:val="9"/>
    <w:rsid w:val="00E97F53"/>
    <w:rPr>
      <w:rFonts w:ascii="Book Antiqua" w:eastAsia="Times New Roman" w:hAnsi="Book Antiqua" w:cs="Times New Roman"/>
      <w:b/>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uiPriority w:val="9"/>
    <w:rsid w:val="00E97F53"/>
    <w:rPr>
      <w:rFonts w:eastAsia="Times New Roman" w:cs="Times New Roman"/>
      <w:i/>
      <w:sz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uiPriority w:val="9"/>
    <w:rsid w:val="00E97F53"/>
    <w:rPr>
      <w:rFonts w:ascii="Arial" w:eastAsia="Times New Roman" w:hAnsi="Arial" w:cs="Times New Roman"/>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uiPriority w:val="9"/>
    <w:rsid w:val="00E97F53"/>
    <w:rPr>
      <w:rFonts w:ascii="Arial" w:eastAsia="Times New Roman" w:hAnsi="Arial" w:cs="Times New Roman"/>
      <w:i/>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uiPriority w:val="9"/>
    <w:rsid w:val="00E97F53"/>
    <w:rPr>
      <w:rFonts w:ascii="Arial" w:eastAsia="Times New Roman" w:hAnsi="Arial" w:cs="Times New Roman"/>
      <w:b/>
      <w:i/>
      <w:sz w:val="18"/>
      <w:lang w:eastAsia="en-AU"/>
    </w:rPr>
  </w:style>
  <w:style w:type="paragraph" w:customStyle="1" w:styleId="DotpointCONSITES">
    <w:name w:val="Dotpoint CON SITES"/>
    <w:basedOn w:val="Normal"/>
    <w:next w:val="Normal"/>
    <w:autoRedefine/>
    <w:rsid w:val="00E97F53"/>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rsid w:val="00E97F53"/>
    <w:pPr>
      <w:spacing w:before="120" w:after="120" w:line="240" w:lineRule="auto"/>
      <w:jc w:val="center"/>
    </w:pPr>
    <w:rPr>
      <w:rFonts w:ascii="Book Antiqua" w:eastAsia="Times New Roman" w:hAnsi="Book Antiqua" w:cs="Times New Roman"/>
      <w:b/>
      <w:lang w:eastAsia="en-AU"/>
    </w:rPr>
  </w:style>
  <w:style w:type="paragraph" w:styleId="BlockText">
    <w:name w:val="Block Text"/>
    <w:basedOn w:val="Normal"/>
    <w:uiPriority w:val="3"/>
    <w:rsid w:val="00E97F53"/>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E97F53"/>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rsid w:val="00E97F53"/>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rsid w:val="00E97F53"/>
    <w:pPr>
      <w:numPr>
        <w:ilvl w:val="1"/>
        <w:numId w:val="13"/>
      </w:numPr>
      <w:tabs>
        <w:tab w:val="clear" w:pos="720"/>
        <w:tab w:val="num" w:pos="851"/>
      </w:tabs>
      <w:ind w:left="851" w:hanging="284"/>
    </w:pPr>
  </w:style>
  <w:style w:type="paragraph" w:customStyle="1" w:styleId="DotpointiCONSITES">
    <w:name w:val="Dotpoint (i)CON SITES"/>
    <w:basedOn w:val="DotpointCONSITES"/>
    <w:rsid w:val="00E97F53"/>
    <w:pPr>
      <w:numPr>
        <w:numId w:val="14"/>
      </w:numPr>
      <w:tabs>
        <w:tab w:val="clear" w:pos="720"/>
        <w:tab w:val="num" w:pos="567"/>
      </w:tabs>
      <w:ind w:left="567" w:hanging="567"/>
    </w:pPr>
  </w:style>
  <w:style w:type="paragraph" w:customStyle="1" w:styleId="AppendixHeading">
    <w:name w:val="Appendix Heading"/>
    <w:basedOn w:val="Heading1"/>
    <w:rsid w:val="00E97F53"/>
    <w:pPr>
      <w:numPr>
        <w:numId w:val="0"/>
      </w:numPr>
      <w:spacing w:after="0"/>
      <w:jc w:val="center"/>
    </w:pPr>
  </w:style>
  <w:style w:type="paragraph" w:customStyle="1" w:styleId="Dot-points">
    <w:name w:val="Dot-points"/>
    <w:basedOn w:val="text"/>
    <w:qFormat/>
    <w:rsid w:val="00E97F53"/>
    <w:pPr>
      <w:numPr>
        <w:numId w:val="15"/>
      </w:numPr>
      <w:spacing w:before="0"/>
      <w:ind w:left="357" w:hanging="357"/>
    </w:pPr>
  </w:style>
  <w:style w:type="paragraph" w:customStyle="1" w:styleId="GlossaryHeading">
    <w:name w:val="Glossary Heading"/>
    <w:basedOn w:val="Heading1"/>
    <w:rsid w:val="00E97F53"/>
    <w:pPr>
      <w:numPr>
        <w:numId w:val="0"/>
      </w:numPr>
      <w:spacing w:after="0"/>
      <w:jc w:val="center"/>
    </w:pPr>
  </w:style>
  <w:style w:type="character" w:customStyle="1" w:styleId="Highlight">
    <w:name w:val="Highlight"/>
    <w:basedOn w:val="DefaultParagraphFont"/>
    <w:uiPriority w:val="99"/>
    <w:rsid w:val="00E97F53"/>
    <w:rPr>
      <w:rFonts w:ascii="Arial" w:hAnsi="Arial"/>
      <w:b/>
      <w:sz w:val="24"/>
    </w:rPr>
  </w:style>
  <w:style w:type="paragraph" w:customStyle="1" w:styleId="Level1">
    <w:name w:val="Level 1"/>
    <w:basedOn w:val="Heading2"/>
    <w:rsid w:val="00E97F53"/>
    <w:pPr>
      <w:numPr>
        <w:ilvl w:val="0"/>
        <w:numId w:val="0"/>
      </w:numPr>
    </w:pPr>
  </w:style>
  <w:style w:type="paragraph" w:customStyle="1" w:styleId="Level2">
    <w:name w:val="Level 2"/>
    <w:basedOn w:val="Heading3"/>
    <w:rsid w:val="00E97F53"/>
    <w:pPr>
      <w:numPr>
        <w:ilvl w:val="0"/>
        <w:numId w:val="0"/>
      </w:numPr>
    </w:pPr>
  </w:style>
  <w:style w:type="paragraph" w:customStyle="1" w:styleId="Level3">
    <w:name w:val="Level 3"/>
    <w:basedOn w:val="Heading4"/>
    <w:rsid w:val="00E97F53"/>
    <w:pPr>
      <w:numPr>
        <w:ilvl w:val="0"/>
        <w:numId w:val="0"/>
      </w:numPr>
    </w:pPr>
  </w:style>
  <w:style w:type="paragraph" w:customStyle="1" w:styleId="TitleHeading">
    <w:name w:val="Title Heading"/>
    <w:basedOn w:val="text"/>
    <w:rsid w:val="00E97F53"/>
    <w:pPr>
      <w:spacing w:before="20" w:after="20"/>
      <w:ind w:left="1985"/>
      <w:jc w:val="center"/>
    </w:pPr>
    <w:rPr>
      <w:rFonts w:ascii="Arial Bold" w:hAnsi="Arial Bold"/>
      <w:b/>
      <w:sz w:val="40"/>
    </w:rPr>
  </w:style>
  <w:style w:type="paragraph" w:customStyle="1" w:styleId="NationalHeading">
    <w:name w:val="National Heading"/>
    <w:basedOn w:val="TitleHeading"/>
    <w:rsid w:val="00E97F53"/>
  </w:style>
  <w:style w:type="paragraph" w:styleId="FootnoteText">
    <w:name w:val="footnote text"/>
    <w:basedOn w:val="Normal"/>
    <w:link w:val="FootnoteTextChar"/>
    <w:semiHidden/>
    <w:rsid w:val="00E97F53"/>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semiHidden/>
    <w:rsid w:val="00E97F53"/>
    <w:rPr>
      <w:rFonts w:ascii="Book Antiqua" w:eastAsia="Times New Roman" w:hAnsi="Book Antiqua" w:cs="Times New Roman"/>
      <w:sz w:val="14"/>
    </w:rPr>
  </w:style>
  <w:style w:type="paragraph" w:customStyle="1" w:styleId="OutlineLev1">
    <w:name w:val="Outline Lev 1"/>
    <w:basedOn w:val="Normal"/>
    <w:rsid w:val="00E97F53"/>
    <w:pPr>
      <w:numPr>
        <w:numId w:val="17"/>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rsid w:val="00E97F53"/>
    <w:pPr>
      <w:numPr>
        <w:ilvl w:val="1"/>
        <w:numId w:val="17"/>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uiPriority w:val="39"/>
    <w:rsid w:val="00E97F53"/>
    <w:pPr>
      <w:numPr>
        <w:ilvl w:val="0"/>
        <w:numId w:val="0"/>
      </w:numPr>
      <w:spacing w:before="120"/>
      <w:jc w:val="center"/>
    </w:pPr>
    <w:rPr>
      <w:rFonts w:ascii="Arial" w:hAnsi="Arial"/>
      <w:sz w:val="32"/>
    </w:rPr>
  </w:style>
  <w:style w:type="paragraph" w:styleId="BalloonText">
    <w:name w:val="Balloon Text"/>
    <w:basedOn w:val="Normal"/>
    <w:link w:val="BalloonTextChar"/>
    <w:uiPriority w:val="99"/>
    <w:semiHidden/>
    <w:rsid w:val="00E97F53"/>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97F53"/>
    <w:rPr>
      <w:rFonts w:ascii="Tahoma" w:eastAsia="Times New Roman" w:hAnsi="Tahoma" w:cs="Tahoma"/>
      <w:sz w:val="16"/>
      <w:szCs w:val="16"/>
      <w:lang w:eastAsia="en-AU"/>
    </w:rPr>
  </w:style>
  <w:style w:type="character" w:styleId="CommentReference">
    <w:name w:val="annotation reference"/>
    <w:basedOn w:val="DefaultParagraphFont"/>
    <w:rsid w:val="00E97F53"/>
    <w:rPr>
      <w:sz w:val="16"/>
      <w:szCs w:val="16"/>
    </w:rPr>
  </w:style>
  <w:style w:type="paragraph" w:styleId="CommentText">
    <w:name w:val="annotation text"/>
    <w:basedOn w:val="Normal"/>
    <w:link w:val="CommentTextChar"/>
    <w:rsid w:val="00E97F53"/>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link w:val="CommentText"/>
    <w:rsid w:val="00E97F53"/>
    <w:rPr>
      <w:rFonts w:ascii="Book Antiqua" w:eastAsia="Times New Roman" w:hAnsi="Book Antiqua" w:cs="Times New Roman"/>
      <w:lang w:eastAsia="en-AU"/>
    </w:rPr>
  </w:style>
  <w:style w:type="paragraph" w:styleId="CommentSubject">
    <w:name w:val="annotation subject"/>
    <w:basedOn w:val="CommentText"/>
    <w:next w:val="CommentText"/>
    <w:link w:val="CommentSubjectChar"/>
    <w:uiPriority w:val="99"/>
    <w:rsid w:val="00E97F53"/>
    <w:rPr>
      <w:b/>
      <w:bCs/>
    </w:rPr>
  </w:style>
  <w:style w:type="character" w:customStyle="1" w:styleId="CommentSubjectChar">
    <w:name w:val="Comment Subject Char"/>
    <w:basedOn w:val="CommentTextChar"/>
    <w:link w:val="CommentSubject"/>
    <w:uiPriority w:val="99"/>
    <w:rsid w:val="00E97F53"/>
    <w:rPr>
      <w:rFonts w:ascii="Book Antiqua" w:eastAsia="Times New Roman" w:hAnsi="Book Antiqua" w:cs="Times New Roman"/>
      <w:b/>
      <w:bCs/>
      <w:lang w:eastAsia="en-AU"/>
    </w:rPr>
  </w:style>
  <w:style w:type="character" w:styleId="FootnoteReference">
    <w:name w:val="footnote reference"/>
    <w:basedOn w:val="DefaultParagraphFont"/>
    <w:semiHidden/>
    <w:rsid w:val="00E97F53"/>
    <w:rPr>
      <w:rFonts w:ascii="Book Antiqua" w:hAnsi="Book Antiqua"/>
      <w:vertAlign w:val="superscript"/>
    </w:rPr>
  </w:style>
  <w:style w:type="paragraph" w:styleId="BodyText3">
    <w:name w:val="Body Text 3"/>
    <w:basedOn w:val="Normal"/>
    <w:link w:val="BodyText3Char"/>
    <w:rsid w:val="00E97F53"/>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rsid w:val="00E97F53"/>
    <w:rPr>
      <w:rFonts w:ascii="Book Antiqua" w:eastAsia="Times New Roman" w:hAnsi="Book Antiqua" w:cs="Times New Roman"/>
      <w:i/>
      <w:color w:val="FF0000"/>
      <w:sz w:val="22"/>
    </w:rPr>
  </w:style>
  <w:style w:type="paragraph" w:styleId="Revision">
    <w:name w:val="Revision"/>
    <w:hidden/>
    <w:uiPriority w:val="99"/>
    <w:semiHidden/>
    <w:rsid w:val="00E97F53"/>
    <w:rPr>
      <w:rFonts w:ascii="Book Antiqua" w:eastAsia="Times New Roman" w:hAnsi="Book Antiqua" w:cs="Times New Roman"/>
      <w:sz w:val="24"/>
      <w:lang w:eastAsia="en-AU"/>
    </w:rPr>
  </w:style>
  <w:style w:type="character" w:styleId="Hyperlink">
    <w:name w:val="Hyperlink"/>
    <w:basedOn w:val="DefaultParagraphFont"/>
    <w:uiPriority w:val="99"/>
    <w:rsid w:val="00E97F53"/>
    <w:rPr>
      <w:color w:val="0000FF"/>
      <w:u w:val="single"/>
    </w:rPr>
  </w:style>
  <w:style w:type="paragraph" w:customStyle="1" w:styleId="Default">
    <w:name w:val="Default"/>
    <w:rsid w:val="00E97F53"/>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rsid w:val="00E97F53"/>
    <w:rPr>
      <w:rFonts w:cs="Times New Roman"/>
      <w:color w:val="auto"/>
    </w:rPr>
  </w:style>
  <w:style w:type="paragraph" w:customStyle="1" w:styleId="glossary0">
    <w:name w:val="glossary"/>
    <w:basedOn w:val="Normal"/>
    <w:rsid w:val="00E97F53"/>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rsid w:val="00E97F53"/>
    <w:rPr>
      <w:rFonts w:ascii="Arial" w:hAnsi="Arial"/>
    </w:rPr>
  </w:style>
  <w:style w:type="paragraph" w:customStyle="1" w:styleId="StyleTitleHeading22pt">
    <w:name w:val="Style Title Heading + 22 pt"/>
    <w:basedOn w:val="TitleHeading"/>
    <w:rsid w:val="00E97F53"/>
    <w:rPr>
      <w:bCs/>
      <w:caps/>
    </w:rPr>
  </w:style>
  <w:style w:type="paragraph" w:customStyle="1" w:styleId="StyleglossaryJustified">
    <w:name w:val="Style glossary + Justified"/>
    <w:basedOn w:val="glossary0"/>
    <w:rsid w:val="00E97F53"/>
    <w:pPr>
      <w:jc w:val="both"/>
    </w:pPr>
    <w:rPr>
      <w:szCs w:val="20"/>
    </w:rPr>
  </w:style>
  <w:style w:type="paragraph" w:customStyle="1" w:styleId="StyletextArialBold">
    <w:name w:val="Style text + Arial Bold"/>
    <w:basedOn w:val="text"/>
    <w:link w:val="StyletextArialBoldChar"/>
    <w:rsid w:val="00E97F53"/>
    <w:rPr>
      <w:rFonts w:ascii="Arial" w:hAnsi="Arial"/>
      <w:b/>
      <w:bCs/>
    </w:rPr>
  </w:style>
  <w:style w:type="character" w:customStyle="1" w:styleId="StyletextArialBoldChar">
    <w:name w:val="Style text + Arial Bold Char"/>
    <w:basedOn w:val="textChar"/>
    <w:link w:val="StyletextArialBold"/>
    <w:rsid w:val="00E97F53"/>
    <w:rPr>
      <w:rFonts w:ascii="Arial" w:eastAsia="Times New Roman" w:hAnsi="Arial" w:cs="Times New Roman"/>
      <w:b/>
      <w:bCs/>
      <w:sz w:val="22"/>
      <w:lang w:eastAsia="en-AU"/>
    </w:rPr>
  </w:style>
  <w:style w:type="character" w:styleId="Strong">
    <w:name w:val="Strong"/>
    <w:basedOn w:val="DefaultParagraphFont"/>
    <w:uiPriority w:val="22"/>
    <w:rsid w:val="00E97F53"/>
    <w:rPr>
      <w:b/>
      <w:bCs/>
    </w:rPr>
  </w:style>
  <w:style w:type="paragraph" w:customStyle="1" w:styleId="Numbers">
    <w:name w:val="Numbers"/>
    <w:basedOn w:val="OutlineLev1"/>
    <w:rsid w:val="00E97F53"/>
    <w:pPr>
      <w:keepNext/>
      <w:numPr>
        <w:numId w:val="0"/>
      </w:numPr>
      <w:tabs>
        <w:tab w:val="num" w:pos="426"/>
        <w:tab w:val="right" w:pos="9071"/>
      </w:tabs>
      <w:ind w:left="425" w:hanging="425"/>
    </w:pPr>
    <w:rPr>
      <w:b/>
      <w:szCs w:val="22"/>
    </w:rPr>
  </w:style>
  <w:style w:type="paragraph" w:styleId="Caption">
    <w:name w:val="caption"/>
    <w:basedOn w:val="Normal"/>
    <w:next w:val="Normal"/>
    <w:autoRedefine/>
    <w:uiPriority w:val="99"/>
    <w:qFormat/>
    <w:rsid w:val="00E97F53"/>
    <w:pPr>
      <w:tabs>
        <w:tab w:val="right" w:pos="9071"/>
      </w:tabs>
      <w:spacing w:before="120" w:after="120" w:line="240" w:lineRule="auto"/>
      <w:ind w:left="142"/>
    </w:pPr>
    <w:rPr>
      <w:rFonts w:ascii="Book Antiqua" w:eastAsia="Times New Roman" w:hAnsi="Book Antiqua" w:cs="Times New Roman"/>
      <w:b/>
      <w:szCs w:val="22"/>
      <w:lang w:eastAsia="en-AU"/>
    </w:rPr>
  </w:style>
  <w:style w:type="paragraph" w:styleId="NormalWeb">
    <w:name w:val="Normal (Web)"/>
    <w:basedOn w:val="Normal"/>
    <w:rsid w:val="00E97F53"/>
    <w:pPr>
      <w:spacing w:before="100" w:beforeAutospacing="1" w:after="100" w:afterAutospacing="1" w:line="240" w:lineRule="auto"/>
    </w:pPr>
    <w:rPr>
      <w:rFonts w:eastAsia="Times New Roman" w:cs="Times New Roman"/>
      <w:szCs w:val="24"/>
      <w:lang w:eastAsia="en-AU"/>
    </w:rPr>
  </w:style>
  <w:style w:type="character" w:customStyle="1" w:styleId="data">
    <w:name w:val="data"/>
    <w:basedOn w:val="DefaultParagraphFont"/>
    <w:rsid w:val="00E97F53"/>
  </w:style>
  <w:style w:type="paragraph" w:customStyle="1" w:styleId="Indent2cm">
    <w:name w:val="Indent 2cm"/>
    <w:basedOn w:val="Normal"/>
    <w:rsid w:val="00E97F53"/>
    <w:pPr>
      <w:spacing w:before="160" w:after="160" w:line="240" w:lineRule="auto"/>
      <w:jc w:val="both"/>
    </w:pPr>
    <w:rPr>
      <w:rFonts w:ascii="Book Antiqua" w:eastAsia="Times New Roman" w:hAnsi="Book Antiqua" w:cs="Times New Roman"/>
      <w:lang w:eastAsia="en-AU"/>
    </w:rPr>
  </w:style>
  <w:style w:type="paragraph" w:customStyle="1" w:styleId="StyleHeading1ChapterHeadingChapterHeading1ChapterHeading2C">
    <w:name w:val="Style Heading 1Chapter HeadingChapter Heading1Chapter Heading2C..."/>
    <w:basedOn w:val="Heading1"/>
    <w:rsid w:val="00E97F53"/>
    <w:pPr>
      <w:tabs>
        <w:tab w:val="clear" w:pos="720"/>
        <w:tab w:val="right" w:pos="709"/>
      </w:tabs>
    </w:pPr>
    <w:rPr>
      <w:bCs/>
    </w:rPr>
  </w:style>
  <w:style w:type="paragraph" w:customStyle="1" w:styleId="FigureTableHeading">
    <w:name w:val="FigureTableHeading"/>
    <w:basedOn w:val="text"/>
    <w:rsid w:val="00E97F53"/>
    <w:pPr>
      <w:ind w:left="993" w:hanging="993"/>
    </w:pPr>
    <w:rPr>
      <w:b/>
      <w:sz w:val="20"/>
    </w:rPr>
  </w:style>
  <w:style w:type="paragraph" w:customStyle="1" w:styleId="Tableheader">
    <w:name w:val="Tableheader"/>
    <w:basedOn w:val="text"/>
    <w:rsid w:val="00E97F53"/>
    <w:pPr>
      <w:jc w:val="center"/>
    </w:pPr>
    <w:rPr>
      <w:b/>
      <w:sz w:val="20"/>
    </w:rPr>
  </w:style>
  <w:style w:type="paragraph" w:customStyle="1" w:styleId="StyleHeading1ChapterHeadingMainHeadingh1H1AMAJORBOLDPar">
    <w:name w:val="Style Heading 1Chapter HeadingMain Headingh1H1A MAJOR/BOLDPar..."/>
    <w:basedOn w:val="Heading1"/>
    <w:uiPriority w:val="99"/>
    <w:rsid w:val="00E97F53"/>
    <w:pPr>
      <w:keepLines/>
      <w:tabs>
        <w:tab w:val="clear" w:pos="720"/>
        <w:tab w:val="clear" w:pos="9072"/>
        <w:tab w:val="num" w:pos="360"/>
      </w:tabs>
      <w:ind w:left="0" w:firstLine="0"/>
    </w:pPr>
    <w:rPr>
      <w:rFonts w:cs="Book Antiqua"/>
      <w:bCs/>
      <w:szCs w:val="32"/>
    </w:rPr>
  </w:style>
  <w:style w:type="character" w:customStyle="1" w:styleId="CommentTextChar1">
    <w:name w:val="Comment Text Char1"/>
    <w:rsid w:val="00E97F53"/>
    <w:rPr>
      <w:rFonts w:ascii="Book Antiqua" w:hAnsi="Book Antiqua"/>
    </w:rPr>
  </w:style>
  <w:style w:type="paragraph" w:customStyle="1" w:styleId="StyletextLeft0cmHanging1cm">
    <w:name w:val="Style text + Left:  0 cm Hanging:  1 cm"/>
    <w:basedOn w:val="text"/>
    <w:qFormat/>
    <w:rsid w:val="00E97F53"/>
    <w:pPr>
      <w:ind w:left="720" w:hanging="720"/>
    </w:pPr>
  </w:style>
  <w:style w:type="paragraph" w:styleId="Title">
    <w:name w:val="Title"/>
    <w:basedOn w:val="Normal"/>
    <w:link w:val="TitleChar"/>
    <w:uiPriority w:val="10"/>
    <w:rsid w:val="00E97F53"/>
    <w:pPr>
      <w:spacing w:before="400" w:after="200" w:line="276" w:lineRule="auto"/>
    </w:pPr>
    <w:rPr>
      <w:rFonts w:ascii="Verdana" w:eastAsia="Verdana" w:hAnsi="Verdana" w:cs="Times New Roman"/>
      <w:color w:val="365F91"/>
      <w:sz w:val="56"/>
      <w:szCs w:val="56"/>
      <w:lang w:eastAsia="ja-JP"/>
    </w:rPr>
  </w:style>
  <w:style w:type="character" w:customStyle="1" w:styleId="TitleChar">
    <w:name w:val="Title Char"/>
    <w:basedOn w:val="DefaultParagraphFont"/>
    <w:link w:val="Title"/>
    <w:uiPriority w:val="10"/>
    <w:rsid w:val="00E97F53"/>
    <w:rPr>
      <w:rFonts w:ascii="Verdana" w:eastAsia="Verdana" w:hAnsi="Verdana" w:cs="Times New Roman"/>
      <w:color w:val="365F91"/>
      <w:sz w:val="56"/>
      <w:szCs w:val="56"/>
      <w:lang w:eastAsia="ja-JP"/>
    </w:rPr>
  </w:style>
  <w:style w:type="paragraph" w:styleId="Subtitle">
    <w:name w:val="Subtitle"/>
    <w:basedOn w:val="Normal"/>
    <w:link w:val="SubtitleChar"/>
    <w:uiPriority w:val="11"/>
    <w:rsid w:val="00E97F53"/>
    <w:pPr>
      <w:spacing w:after="480" w:line="276" w:lineRule="auto"/>
    </w:pPr>
    <w:rPr>
      <w:rFonts w:ascii="Verdana" w:eastAsia="Verdana" w:hAnsi="Verdana" w:cs="Times New Roman"/>
      <w:i/>
      <w:color w:val="1F497D"/>
      <w:sz w:val="24"/>
      <w:szCs w:val="24"/>
      <w:lang w:eastAsia="ja-JP"/>
    </w:rPr>
  </w:style>
  <w:style w:type="character" w:customStyle="1" w:styleId="SubtitleChar">
    <w:name w:val="Subtitle Char"/>
    <w:basedOn w:val="DefaultParagraphFont"/>
    <w:link w:val="Subtitle"/>
    <w:uiPriority w:val="11"/>
    <w:rsid w:val="00E97F53"/>
    <w:rPr>
      <w:rFonts w:ascii="Verdana" w:eastAsia="Verdana" w:hAnsi="Verdana" w:cs="Times New Roman"/>
      <w:i/>
      <w:color w:val="1F497D"/>
      <w:sz w:val="24"/>
      <w:szCs w:val="24"/>
      <w:lang w:eastAsia="ja-JP"/>
    </w:rPr>
  </w:style>
  <w:style w:type="character" w:styleId="IntenseEmphasis">
    <w:name w:val="Intense Emphasis"/>
    <w:uiPriority w:val="21"/>
    <w:rsid w:val="00E97F53"/>
    <w:rPr>
      <w:rFonts w:ascii="Verdana" w:hAnsi="Verdana" w:cs="Verdana"/>
      <w:b/>
      <w:i/>
      <w:caps/>
      <w:color w:val="438086"/>
      <w:spacing w:val="5"/>
    </w:rPr>
  </w:style>
  <w:style w:type="character" w:styleId="SubtleEmphasis">
    <w:name w:val="Subtle Emphasis"/>
    <w:uiPriority w:val="19"/>
    <w:rsid w:val="00E97F53"/>
    <w:rPr>
      <w:rFonts w:ascii="Verdana" w:hAnsi="Verdana"/>
      <w:i/>
      <w:color w:val="006666"/>
    </w:rPr>
  </w:style>
  <w:style w:type="character" w:styleId="IntenseReference">
    <w:name w:val="Intense Reference"/>
    <w:uiPriority w:val="32"/>
    <w:rsid w:val="00E97F53"/>
    <w:rPr>
      <w:rFonts w:ascii="Verdana" w:hAnsi="Verdana" w:cs="Times New Roman"/>
      <w:b/>
      <w:i/>
      <w:caps/>
      <w:color w:val="4E4F89"/>
      <w:spacing w:val="5"/>
    </w:rPr>
  </w:style>
  <w:style w:type="character" w:styleId="SubtleReference">
    <w:name w:val="Subtle Reference"/>
    <w:uiPriority w:val="31"/>
    <w:rsid w:val="00E97F53"/>
    <w:rPr>
      <w:rFonts w:cs="Times New Roman"/>
      <w:i/>
      <w:color w:val="4E4F89"/>
    </w:rPr>
  </w:style>
  <w:style w:type="character" w:styleId="Emphasis">
    <w:name w:val="Emphasis"/>
    <w:rsid w:val="00E97F53"/>
    <w:rPr>
      <w:rFonts w:ascii="Verdana" w:hAnsi="Verdana"/>
      <w:b/>
      <w:color w:val="C0504D"/>
      <w:spacing w:val="10"/>
    </w:rPr>
  </w:style>
  <w:style w:type="character" w:styleId="BookTitle">
    <w:name w:val="Book Title"/>
    <w:uiPriority w:val="33"/>
    <w:rsid w:val="00E97F53"/>
    <w:rPr>
      <w:rFonts w:ascii="Cambria" w:hAnsi="Cambria" w:cs="Times New Roman"/>
      <w:i/>
      <w:color w:val="000000"/>
      <w:sz w:val="20"/>
      <w:szCs w:val="20"/>
    </w:rPr>
  </w:style>
  <w:style w:type="paragraph" w:styleId="NormalIndent">
    <w:name w:val="Normal Indent"/>
    <w:basedOn w:val="Normal"/>
    <w:uiPriority w:val="99"/>
    <w:unhideWhenUsed/>
    <w:rsid w:val="00E97F53"/>
    <w:pPr>
      <w:spacing w:after="200" w:line="276" w:lineRule="auto"/>
      <w:ind w:left="720"/>
      <w:contextualSpacing/>
    </w:pPr>
    <w:rPr>
      <w:rFonts w:ascii="Arial" w:eastAsia="Verdana" w:hAnsi="Arial" w:cs="Verdana"/>
      <w:sz w:val="20"/>
      <w:lang w:eastAsia="ja-JP"/>
    </w:rPr>
  </w:style>
  <w:style w:type="paragraph" w:styleId="IntenseQuote">
    <w:name w:val="Intense Quote"/>
    <w:basedOn w:val="Normal"/>
    <w:link w:val="IntenseQuoteChar"/>
    <w:uiPriority w:val="30"/>
    <w:rsid w:val="00E97F53"/>
    <w:pPr>
      <w:pBdr>
        <w:top w:val="threeDEngrave" w:sz="6" w:space="10" w:color="C0504D"/>
        <w:bottom w:val="single" w:sz="4" w:space="10" w:color="C0504D"/>
      </w:pBdr>
      <w:spacing w:before="360" w:after="360" w:line="324" w:lineRule="auto"/>
      <w:ind w:left="1080" w:right="1080"/>
    </w:pPr>
    <w:rPr>
      <w:rFonts w:ascii="Arial" w:eastAsia="Verdana" w:hAnsi="Arial" w:cs="Verdana"/>
      <w:i/>
      <w:color w:val="C0504D"/>
      <w:szCs w:val="22"/>
      <w:lang w:eastAsia="ja-JP"/>
    </w:rPr>
  </w:style>
  <w:style w:type="character" w:customStyle="1" w:styleId="IntenseQuoteChar">
    <w:name w:val="Intense Quote Char"/>
    <w:basedOn w:val="DefaultParagraphFont"/>
    <w:link w:val="IntenseQuote"/>
    <w:uiPriority w:val="30"/>
    <w:rsid w:val="00E97F53"/>
    <w:rPr>
      <w:rFonts w:ascii="Arial" w:eastAsia="Verdana" w:hAnsi="Arial" w:cs="Verdana"/>
      <w:i/>
      <w:color w:val="C0504D"/>
      <w:sz w:val="22"/>
      <w:szCs w:val="22"/>
      <w:lang w:eastAsia="ja-JP"/>
    </w:rPr>
  </w:style>
  <w:style w:type="numbering" w:customStyle="1" w:styleId="UrbanBulletedList">
    <w:name w:val="Urban Bulleted List"/>
    <w:uiPriority w:val="99"/>
    <w:rsid w:val="00E97F53"/>
    <w:pPr>
      <w:numPr>
        <w:numId w:val="18"/>
      </w:numPr>
    </w:pPr>
  </w:style>
  <w:style w:type="numbering" w:customStyle="1" w:styleId="UrbanNumberedList">
    <w:name w:val="Urban Numbered List"/>
    <w:uiPriority w:val="99"/>
    <w:rsid w:val="00E97F53"/>
    <w:pPr>
      <w:numPr>
        <w:numId w:val="19"/>
      </w:numPr>
    </w:pPr>
  </w:style>
  <w:style w:type="paragraph" w:styleId="ListParagraph">
    <w:name w:val="List Paragraph"/>
    <w:basedOn w:val="Normal"/>
    <w:uiPriority w:val="34"/>
    <w:rsid w:val="00E97F53"/>
    <w:pPr>
      <w:spacing w:after="200" w:line="276" w:lineRule="auto"/>
      <w:ind w:left="720"/>
      <w:contextualSpacing/>
    </w:pPr>
    <w:rPr>
      <w:rFonts w:ascii="Arial" w:eastAsia="Verdana" w:hAnsi="Arial" w:cs="Verdana"/>
      <w:sz w:val="20"/>
      <w:lang w:eastAsia="ja-JP"/>
    </w:rPr>
  </w:style>
  <w:style w:type="paragraph" w:styleId="NoSpacing">
    <w:name w:val="No Spacing"/>
    <w:basedOn w:val="Normal"/>
    <w:uiPriority w:val="1"/>
    <w:rsid w:val="00E97F53"/>
    <w:pPr>
      <w:spacing w:line="240" w:lineRule="auto"/>
    </w:pPr>
    <w:rPr>
      <w:rFonts w:ascii="Arial" w:eastAsia="Verdana" w:hAnsi="Arial" w:cs="Verdana"/>
      <w:sz w:val="20"/>
      <w:szCs w:val="32"/>
      <w:lang w:eastAsia="ja-JP"/>
    </w:rPr>
  </w:style>
  <w:style w:type="character" w:styleId="PlaceholderText">
    <w:name w:val="Placeholder Text"/>
    <w:uiPriority w:val="99"/>
    <w:unhideWhenUsed/>
    <w:rsid w:val="00E97F53"/>
    <w:rPr>
      <w:color w:val="808080"/>
    </w:rPr>
  </w:style>
  <w:style w:type="paragraph" w:customStyle="1" w:styleId="HeaderEven">
    <w:name w:val="Header Even"/>
    <w:basedOn w:val="Header"/>
    <w:uiPriority w:val="39"/>
    <w:rsid w:val="00E97F53"/>
    <w:pPr>
      <w:keepNext w:val="0"/>
      <w:keepLines w:val="0"/>
      <w:pBdr>
        <w:bottom w:val="single" w:sz="4" w:space="1" w:color="auto"/>
      </w:pBdr>
      <w:tabs>
        <w:tab w:val="clear" w:pos="4150"/>
        <w:tab w:val="clear" w:pos="8307"/>
        <w:tab w:val="center" w:pos="4320"/>
        <w:tab w:val="right" w:pos="8640"/>
      </w:tabs>
      <w:spacing w:after="200" w:line="276" w:lineRule="auto"/>
    </w:pPr>
    <w:rPr>
      <w:rFonts w:ascii="Verdana" w:eastAsia="Verdana" w:hAnsi="Verdana"/>
      <w:sz w:val="20"/>
      <w:lang w:eastAsia="ja-JP"/>
    </w:rPr>
  </w:style>
  <w:style w:type="paragraph" w:customStyle="1" w:styleId="HeaderOdd">
    <w:name w:val="Header Odd"/>
    <w:basedOn w:val="Header"/>
    <w:uiPriority w:val="39"/>
    <w:rsid w:val="00E97F53"/>
    <w:pPr>
      <w:keepNext w:val="0"/>
      <w:keepLines w:val="0"/>
      <w:pBdr>
        <w:bottom w:val="single" w:sz="4" w:space="1" w:color="auto"/>
      </w:pBdr>
      <w:tabs>
        <w:tab w:val="clear" w:pos="4150"/>
        <w:tab w:val="clear" w:pos="8307"/>
        <w:tab w:val="center" w:pos="4320"/>
        <w:tab w:val="right" w:pos="8640"/>
      </w:tabs>
      <w:spacing w:after="200" w:line="276" w:lineRule="auto"/>
      <w:jc w:val="right"/>
    </w:pPr>
    <w:rPr>
      <w:rFonts w:ascii="Verdana" w:eastAsia="Verdana" w:hAnsi="Verdana"/>
      <w:sz w:val="20"/>
      <w:lang w:eastAsia="ja-JP"/>
    </w:rPr>
  </w:style>
  <w:style w:type="paragraph" w:customStyle="1" w:styleId="Bullet1">
    <w:name w:val="Bullet 1"/>
    <w:basedOn w:val="ListParagraph"/>
    <w:uiPriority w:val="38"/>
    <w:rsid w:val="00E97F53"/>
    <w:pPr>
      <w:numPr>
        <w:numId w:val="18"/>
      </w:numPr>
      <w:spacing w:after="0"/>
    </w:pPr>
  </w:style>
  <w:style w:type="paragraph" w:customStyle="1" w:styleId="Bullet20">
    <w:name w:val="Bullet 2"/>
    <w:basedOn w:val="ListParagraph"/>
    <w:uiPriority w:val="38"/>
    <w:rsid w:val="00E97F53"/>
    <w:pPr>
      <w:numPr>
        <w:ilvl w:val="1"/>
        <w:numId w:val="18"/>
      </w:numPr>
      <w:spacing w:after="0"/>
    </w:pPr>
  </w:style>
  <w:style w:type="paragraph" w:customStyle="1" w:styleId="Bullet30">
    <w:name w:val="Bullet 3"/>
    <w:basedOn w:val="ListParagraph"/>
    <w:uiPriority w:val="38"/>
    <w:rsid w:val="00E97F53"/>
    <w:pPr>
      <w:numPr>
        <w:ilvl w:val="2"/>
        <w:numId w:val="18"/>
      </w:numPr>
      <w:spacing w:after="0"/>
    </w:pPr>
  </w:style>
  <w:style w:type="paragraph" w:customStyle="1" w:styleId="DefaultPlaceholderSubject10">
    <w:name w:val="DefaultPlaceholder_Subject10"/>
    <w:uiPriority w:val="39"/>
    <w:rsid w:val="00E97F53"/>
    <w:pPr>
      <w:spacing w:after="200" w:line="276" w:lineRule="auto"/>
    </w:pPr>
    <w:rPr>
      <w:rFonts w:ascii="Verdana" w:eastAsia="Verdana" w:hAnsi="Verdana" w:cs="Verdana"/>
      <w:i/>
      <w:color w:val="1F497D"/>
      <w:sz w:val="24"/>
      <w:szCs w:val="24"/>
      <w:lang w:val="en-US"/>
    </w:rPr>
  </w:style>
  <w:style w:type="paragraph" w:customStyle="1" w:styleId="Category">
    <w:name w:val="Category"/>
    <w:basedOn w:val="Normal"/>
    <w:link w:val="CategoryChar"/>
    <w:uiPriority w:val="39"/>
    <w:rsid w:val="00E97F53"/>
    <w:pPr>
      <w:framePr w:hSpace="187" w:wrap="around" w:hAnchor="margin" w:xAlign="center" w:y="721"/>
      <w:spacing w:line="240" w:lineRule="auto"/>
    </w:pPr>
    <w:rPr>
      <w:rFonts w:ascii="Verdana" w:eastAsia="Verdana" w:hAnsi="Verdana" w:cs="Times New Roman"/>
      <w:caps/>
      <w:sz w:val="20"/>
      <w:lang w:eastAsia="ja-JP"/>
    </w:rPr>
  </w:style>
  <w:style w:type="paragraph" w:customStyle="1" w:styleId="Comments">
    <w:name w:val="Comments"/>
    <w:basedOn w:val="Normal"/>
    <w:link w:val="CommentsChar"/>
    <w:uiPriority w:val="39"/>
    <w:rsid w:val="00E97F53"/>
    <w:pPr>
      <w:spacing w:after="120" w:line="240" w:lineRule="auto"/>
    </w:pPr>
    <w:rPr>
      <w:rFonts w:ascii="Verdana" w:eastAsia="Verdana" w:hAnsi="Verdana" w:cs="Times New Roman"/>
      <w:b/>
      <w:sz w:val="20"/>
      <w:lang w:eastAsia="ja-JP"/>
    </w:rPr>
  </w:style>
  <w:style w:type="character" w:customStyle="1" w:styleId="CategoryChar">
    <w:name w:val="Category Char"/>
    <w:link w:val="Category"/>
    <w:uiPriority w:val="39"/>
    <w:rsid w:val="00E97F53"/>
    <w:rPr>
      <w:rFonts w:ascii="Verdana" w:eastAsia="Verdana" w:hAnsi="Verdana" w:cs="Times New Roman"/>
      <w:caps/>
      <w:lang w:eastAsia="ja-JP"/>
    </w:rPr>
  </w:style>
  <w:style w:type="character" w:customStyle="1" w:styleId="CommentsChar">
    <w:name w:val="Comments Char"/>
    <w:link w:val="Comments"/>
    <w:uiPriority w:val="39"/>
    <w:rsid w:val="00E97F53"/>
    <w:rPr>
      <w:rFonts w:ascii="Verdana" w:eastAsia="Verdana" w:hAnsi="Verdana" w:cs="Times New Roman"/>
      <w:b/>
      <w:lang w:eastAsia="ja-JP"/>
    </w:rPr>
  </w:style>
  <w:style w:type="paragraph" w:customStyle="1" w:styleId="CommentsText">
    <w:name w:val="Comments Text"/>
    <w:basedOn w:val="Normal"/>
    <w:uiPriority w:val="39"/>
    <w:rsid w:val="00E97F53"/>
    <w:pPr>
      <w:spacing w:after="120" w:line="288" w:lineRule="auto"/>
    </w:pPr>
    <w:rPr>
      <w:rFonts w:ascii="Arial" w:eastAsia="Verdana" w:hAnsi="Arial" w:cs="Verdana"/>
      <w:sz w:val="20"/>
      <w:szCs w:val="22"/>
      <w:lang w:eastAsia="ja-JP"/>
    </w:rPr>
  </w:style>
  <w:style w:type="paragraph" w:styleId="BodyText">
    <w:name w:val="Body Text"/>
    <w:aliases w:val="(Alt+1),Body,BodyText,body,b,block,Body Text before bullet,D&amp;M Body Text,IRMS (T),Body Text Char Char Char Char,Body Text Char1,Body Text Char Char,Body Text Char Char Char Char Char1 Char,BT"/>
    <w:basedOn w:val="Normal"/>
    <w:link w:val="BodyTextChar"/>
    <w:rsid w:val="00E97F53"/>
    <w:pPr>
      <w:spacing w:after="200" w:line="240" w:lineRule="auto"/>
    </w:pPr>
    <w:rPr>
      <w:rFonts w:eastAsia="Times New Roman" w:cs="Times New Roman"/>
      <w:sz w:val="24"/>
      <w:lang w:eastAsia="ja-JP"/>
    </w:rPr>
  </w:style>
  <w:style w:type="character" w:customStyle="1" w:styleId="BodyTextChar">
    <w:name w:val="Body Text Char"/>
    <w:aliases w:val="(Alt+1) Char,Body Char,BodyText Char,body Char,b Char,block Char,Body Text before bullet Char,D&amp;M Body Text Char,IRMS (T) Char,Body Text Char Char Char Char Char,Body Text Char1 Char,Body Text Char Char Char,BT Char"/>
    <w:basedOn w:val="DefaultParagraphFont"/>
    <w:link w:val="BodyText"/>
    <w:rsid w:val="00E97F53"/>
    <w:rPr>
      <w:rFonts w:eastAsia="Times New Roman" w:cs="Times New Roman"/>
      <w:sz w:val="24"/>
      <w:lang w:eastAsia="ja-JP"/>
    </w:rPr>
  </w:style>
  <w:style w:type="table" w:styleId="ColorfulList-Accent1">
    <w:name w:val="Colorful List Accent 1"/>
    <w:basedOn w:val="TableNormal"/>
    <w:uiPriority w:val="41"/>
    <w:rsid w:val="00E97F53"/>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ulletedList">
    <w:name w:val="BulletedList"/>
    <w:link w:val="BulletedListChar"/>
    <w:locked/>
    <w:rsid w:val="00E97F53"/>
    <w:pPr>
      <w:numPr>
        <w:numId w:val="20"/>
      </w:numPr>
      <w:spacing w:after="160"/>
    </w:pPr>
    <w:rPr>
      <w:rFonts w:ascii="Arial" w:eastAsia="Times New Roman" w:hAnsi="Arial" w:cs="Arial"/>
    </w:rPr>
  </w:style>
  <w:style w:type="paragraph" w:customStyle="1" w:styleId="CaptionTable">
    <w:name w:val="Caption Table"/>
    <w:basedOn w:val="Caption"/>
    <w:next w:val="BodyText"/>
    <w:rsid w:val="00E97F53"/>
    <w:pPr>
      <w:tabs>
        <w:tab w:val="clear" w:pos="9071"/>
      </w:tabs>
      <w:spacing w:after="240"/>
      <w:ind w:left="0"/>
      <w:jc w:val="center"/>
    </w:pPr>
    <w:rPr>
      <w:rFonts w:ascii="Arial" w:hAnsi="Arial" w:cs="Arial"/>
      <w:bCs/>
      <w:color w:val="0C479D"/>
      <w:szCs w:val="20"/>
      <w:lang w:eastAsia="en-US"/>
    </w:rPr>
  </w:style>
  <w:style w:type="paragraph" w:customStyle="1" w:styleId="TableHeadings">
    <w:name w:val="TableHeadings"/>
    <w:basedOn w:val="Normal"/>
    <w:next w:val="BodyText"/>
    <w:rsid w:val="00E97F53"/>
    <w:pPr>
      <w:spacing w:before="60" w:after="60" w:line="240" w:lineRule="auto"/>
      <w:jc w:val="center"/>
    </w:pPr>
    <w:rPr>
      <w:rFonts w:ascii="Arial Black" w:eastAsia="Times New Roman" w:hAnsi="Arial Black" w:cs="Arial"/>
      <w:b/>
      <w:sz w:val="20"/>
    </w:rPr>
  </w:style>
  <w:style w:type="paragraph" w:customStyle="1" w:styleId="TableRows">
    <w:name w:val="TableRows"/>
    <w:basedOn w:val="Normal"/>
    <w:next w:val="BodyText"/>
    <w:rsid w:val="00E97F53"/>
    <w:pPr>
      <w:spacing w:before="40" w:after="40" w:line="240" w:lineRule="auto"/>
    </w:pPr>
    <w:rPr>
      <w:rFonts w:ascii="Arial" w:eastAsia="Times New Roman" w:hAnsi="Arial" w:cs="Arial"/>
      <w:sz w:val="18"/>
    </w:rPr>
  </w:style>
  <w:style w:type="paragraph" w:customStyle="1" w:styleId="SubHeading">
    <w:name w:val="Sub Heading"/>
    <w:basedOn w:val="Normal"/>
    <w:next w:val="BodyText"/>
    <w:link w:val="SubHeadingChar"/>
    <w:rsid w:val="00E97F53"/>
    <w:pPr>
      <w:keepNext/>
      <w:spacing w:before="240" w:after="160" w:line="240" w:lineRule="auto"/>
    </w:pPr>
    <w:rPr>
      <w:rFonts w:ascii="Arial" w:eastAsia="Times New Roman" w:hAnsi="Arial" w:cs="Times New Roman"/>
      <w:b/>
      <w:i/>
      <w:sz w:val="20"/>
      <w:szCs w:val="24"/>
      <w:lang w:eastAsia="ja-JP"/>
    </w:rPr>
  </w:style>
  <w:style w:type="table" w:styleId="ColorfulList-Accent4">
    <w:name w:val="Colorful List Accent 4"/>
    <w:basedOn w:val="TableNormal"/>
    <w:uiPriority w:val="72"/>
    <w:rsid w:val="00E97F53"/>
    <w:rPr>
      <w:rFonts w:eastAsia="Times New Roman" w:cs="Times New Roman"/>
      <w:color w:val="000000"/>
      <w:lang w:eastAsia="en-A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2">
    <w:name w:val="Colorful List Accent 2"/>
    <w:basedOn w:val="TableNormal"/>
    <w:uiPriority w:val="42"/>
    <w:rsid w:val="00E97F53"/>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BulletedListChar">
    <w:name w:val="BulletedList Char"/>
    <w:link w:val="BulletedList"/>
    <w:rsid w:val="00E97F53"/>
    <w:rPr>
      <w:rFonts w:ascii="Arial" w:eastAsia="Times New Roman" w:hAnsi="Arial" w:cs="Arial"/>
    </w:rPr>
  </w:style>
  <w:style w:type="table" w:styleId="MediumShading2-Accent6">
    <w:name w:val="Medium Shading 2 Accent 6"/>
    <w:basedOn w:val="TableNormal"/>
    <w:uiPriority w:val="46"/>
    <w:rsid w:val="00E97F53"/>
    <w:rPr>
      <w:rFonts w:ascii="Verdana" w:eastAsia="Verdana" w:hAnsi="Verdana" w:cs="Verdana"/>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ubHeadingChar">
    <w:name w:val="Sub Heading Char"/>
    <w:link w:val="SubHeading"/>
    <w:rsid w:val="00E97F53"/>
    <w:rPr>
      <w:rFonts w:ascii="Arial" w:eastAsia="Times New Roman" w:hAnsi="Arial" w:cs="Times New Roman"/>
      <w:b/>
      <w:i/>
      <w:szCs w:val="24"/>
      <w:lang w:eastAsia="ja-JP"/>
    </w:rPr>
  </w:style>
  <w:style w:type="paragraph" w:customStyle="1" w:styleId="TableBody">
    <w:name w:val="TableBody"/>
    <w:basedOn w:val="Normal"/>
    <w:rsid w:val="00E97F53"/>
    <w:pPr>
      <w:tabs>
        <w:tab w:val="left" w:pos="1985"/>
      </w:tabs>
      <w:spacing w:before="60" w:after="60" w:line="240" w:lineRule="atLeast"/>
    </w:pPr>
    <w:rPr>
      <w:rFonts w:ascii="Arial" w:eastAsia="Times" w:hAnsi="Arial" w:cs="Times New Roman"/>
      <w:sz w:val="20"/>
      <w:lang w:eastAsia="ja-JP"/>
    </w:rPr>
  </w:style>
  <w:style w:type="paragraph" w:styleId="Bibliography">
    <w:name w:val="Bibliography"/>
    <w:basedOn w:val="Normal"/>
    <w:next w:val="Normal"/>
    <w:uiPriority w:val="37"/>
    <w:unhideWhenUsed/>
    <w:rsid w:val="00E97F53"/>
    <w:pPr>
      <w:spacing w:after="240" w:line="240" w:lineRule="auto"/>
      <w:jc w:val="both"/>
    </w:pPr>
    <w:rPr>
      <w:rFonts w:ascii="Arial" w:eastAsia="Times New Roman" w:hAnsi="Arial" w:cs="Times New Roman"/>
    </w:rPr>
  </w:style>
  <w:style w:type="paragraph" w:styleId="EndnoteText">
    <w:name w:val="endnote text"/>
    <w:basedOn w:val="Normal"/>
    <w:link w:val="EndnoteTextChar"/>
    <w:uiPriority w:val="99"/>
    <w:unhideWhenUsed/>
    <w:rsid w:val="00E97F53"/>
    <w:pPr>
      <w:spacing w:line="240" w:lineRule="auto"/>
    </w:pPr>
    <w:rPr>
      <w:rFonts w:ascii="Arial" w:eastAsia="Verdana" w:hAnsi="Arial" w:cs="Times New Roman"/>
      <w:sz w:val="20"/>
      <w:lang w:eastAsia="ja-JP"/>
    </w:rPr>
  </w:style>
  <w:style w:type="character" w:customStyle="1" w:styleId="EndnoteTextChar">
    <w:name w:val="Endnote Text Char"/>
    <w:basedOn w:val="DefaultParagraphFont"/>
    <w:link w:val="EndnoteText"/>
    <w:uiPriority w:val="99"/>
    <w:rsid w:val="00E97F53"/>
    <w:rPr>
      <w:rFonts w:ascii="Arial" w:eastAsia="Verdana" w:hAnsi="Arial" w:cs="Times New Roman"/>
      <w:lang w:eastAsia="ja-JP"/>
    </w:rPr>
  </w:style>
  <w:style w:type="character" w:styleId="EndnoteReference">
    <w:name w:val="endnote reference"/>
    <w:uiPriority w:val="99"/>
    <w:unhideWhenUsed/>
    <w:rsid w:val="00E97F53"/>
    <w:rPr>
      <w:vertAlign w:val="superscript"/>
    </w:rPr>
  </w:style>
  <w:style w:type="paragraph" w:customStyle="1" w:styleId="NumberedList">
    <w:name w:val="NumberedList"/>
    <w:basedOn w:val="BodyText"/>
    <w:rsid w:val="00E97F53"/>
    <w:pPr>
      <w:numPr>
        <w:numId w:val="21"/>
      </w:numPr>
      <w:spacing w:after="240"/>
    </w:pPr>
    <w:rPr>
      <w:rFonts w:ascii="Arial" w:hAnsi="Arial"/>
      <w:sz w:val="22"/>
    </w:rPr>
  </w:style>
  <w:style w:type="paragraph" w:styleId="ListBullet">
    <w:name w:val="List Bullet"/>
    <w:basedOn w:val="Normal"/>
    <w:rsid w:val="00E97F53"/>
    <w:pPr>
      <w:tabs>
        <w:tab w:val="left" w:pos="284"/>
        <w:tab w:val="left" w:pos="567"/>
        <w:tab w:val="num" w:pos="2835"/>
      </w:tabs>
      <w:spacing w:after="240" w:line="260" w:lineRule="exact"/>
      <w:ind w:left="2836" w:hanging="284"/>
      <w:contextualSpacing/>
      <w:jc w:val="both"/>
    </w:pPr>
    <w:rPr>
      <w:rFonts w:ascii="Arial Narrow" w:eastAsia="Times New Roman" w:hAnsi="Arial Narrow" w:cs="Times New Roman"/>
      <w:sz w:val="20"/>
      <w:lang w:eastAsia="en-AU"/>
    </w:rPr>
  </w:style>
  <w:style w:type="character" w:styleId="FollowedHyperlink">
    <w:name w:val="FollowedHyperlink"/>
    <w:uiPriority w:val="99"/>
    <w:unhideWhenUsed/>
    <w:rsid w:val="00E97F53"/>
    <w:rPr>
      <w:color w:val="800080"/>
      <w:u w:val="single"/>
    </w:rPr>
  </w:style>
  <w:style w:type="paragraph" w:styleId="HTMLPreformatted">
    <w:name w:val="HTML Preformatted"/>
    <w:basedOn w:val="Normal"/>
    <w:link w:val="HTMLPreformattedChar"/>
    <w:uiPriority w:val="99"/>
    <w:unhideWhenUsed/>
    <w:rsid w:val="00E9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lang w:eastAsia="en-AU"/>
    </w:rPr>
  </w:style>
  <w:style w:type="character" w:customStyle="1" w:styleId="HTMLPreformattedChar">
    <w:name w:val="HTML Preformatted Char"/>
    <w:basedOn w:val="DefaultParagraphFont"/>
    <w:link w:val="HTMLPreformatted"/>
    <w:uiPriority w:val="99"/>
    <w:rsid w:val="00E97F53"/>
    <w:rPr>
      <w:rFonts w:ascii="Courier New" w:eastAsia="Times New Roman" w:hAnsi="Courier New" w:cs="Times New Roman"/>
      <w:lang w:eastAsia="en-AU"/>
    </w:rPr>
  </w:style>
  <w:style w:type="paragraph" w:customStyle="1" w:styleId="Bullet">
    <w:name w:val="Bullet"/>
    <w:aliases w:val="b1"/>
    <w:basedOn w:val="Normal"/>
    <w:link w:val="BulletChar1"/>
    <w:rsid w:val="00E97F53"/>
    <w:pPr>
      <w:numPr>
        <w:numId w:val="22"/>
      </w:numPr>
      <w:spacing w:after="120" w:line="240" w:lineRule="atLeast"/>
    </w:pPr>
    <w:rPr>
      <w:rFonts w:ascii="Arial" w:eastAsia="Times New Roman" w:hAnsi="Arial" w:cs="Times New Roman"/>
      <w:sz w:val="20"/>
      <w:lang w:eastAsia="ja-JP"/>
    </w:rPr>
  </w:style>
  <w:style w:type="paragraph" w:customStyle="1" w:styleId="Bullet2">
    <w:name w:val="Bullet2"/>
    <w:aliases w:val="b2"/>
    <w:basedOn w:val="Bullet"/>
    <w:rsid w:val="00E97F53"/>
    <w:pPr>
      <w:numPr>
        <w:ilvl w:val="1"/>
      </w:numPr>
      <w:tabs>
        <w:tab w:val="clear" w:pos="1701"/>
        <w:tab w:val="num" w:pos="720"/>
      </w:tabs>
      <w:ind w:left="720" w:hanging="360"/>
    </w:pPr>
  </w:style>
  <w:style w:type="paragraph" w:customStyle="1" w:styleId="Bullet3">
    <w:name w:val="Bullet3"/>
    <w:basedOn w:val="Bullet"/>
    <w:rsid w:val="00E97F53"/>
    <w:pPr>
      <w:numPr>
        <w:ilvl w:val="2"/>
      </w:numPr>
      <w:tabs>
        <w:tab w:val="clear" w:pos="2268"/>
        <w:tab w:val="num" w:pos="1080"/>
      </w:tabs>
      <w:ind w:left="1080" w:hanging="360"/>
    </w:pPr>
  </w:style>
  <w:style w:type="character" w:customStyle="1" w:styleId="BulletChar1">
    <w:name w:val="Bullet Char1"/>
    <w:link w:val="Bullet"/>
    <w:rsid w:val="00E97F53"/>
    <w:rPr>
      <w:rFonts w:ascii="Arial" w:eastAsia="Times New Roman" w:hAnsi="Arial" w:cs="Times New Roman"/>
      <w:lang w:eastAsia="ja-JP"/>
    </w:rPr>
  </w:style>
  <w:style w:type="character" w:styleId="HTMLCite">
    <w:name w:val="HTML Cite"/>
    <w:uiPriority w:val="99"/>
    <w:unhideWhenUsed/>
    <w:rsid w:val="00E97F53"/>
    <w:rPr>
      <w:i/>
      <w:iCs/>
    </w:rPr>
  </w:style>
  <w:style w:type="character" w:customStyle="1" w:styleId="citationyear1">
    <w:name w:val="citation_year1"/>
    <w:rsid w:val="00E97F53"/>
    <w:rPr>
      <w:b/>
      <w:bCs/>
    </w:rPr>
  </w:style>
  <w:style w:type="character" w:customStyle="1" w:styleId="citationvolume1">
    <w:name w:val="citation_volume1"/>
    <w:rsid w:val="00E97F53"/>
    <w:rPr>
      <w:i/>
      <w:iCs/>
    </w:rPr>
  </w:style>
  <w:style w:type="character" w:customStyle="1" w:styleId="zTempStyle">
    <w:name w:val="zTempStyle"/>
    <w:basedOn w:val="DefaultParagraphFont"/>
    <w:rsid w:val="004E00C9"/>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3"/>
    <w:lsdException w:name="Strong" w:semiHidden="0" w:uiPriority="22" w:unhideWhenUsed="0" w:qFormat="1"/>
    <w:lsdException w:name="Emphasis" w:semiHidden="0" w:uiPriority="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41"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4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46"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aliases w:val="Chapter Heading,Chapter Heading1,Chapter Heading2,Chapter Heading3,Chapter Heading4,Chapter Heading5,Chapter Heading6,Chapter Heading7,Chapter Heading8,Chapter Heading9,Chapter Heading10,Chapter Heading11,Chapter Heading21,Chapter Heading31,h1"/>
    <w:basedOn w:val="text"/>
    <w:next w:val="text"/>
    <w:link w:val="Heading1Char"/>
    <w:autoRedefine/>
    <w:uiPriority w:val="9"/>
    <w:qFormat/>
    <w:rsid w:val="00E97F53"/>
    <w:pPr>
      <w:keepNext/>
      <w:pageBreakBefore/>
      <w:numPr>
        <w:numId w:val="16"/>
      </w:numPr>
      <w:tabs>
        <w:tab w:val="right" w:pos="9072"/>
      </w:tabs>
      <w:spacing w:before="0"/>
      <w:ind w:left="709" w:hanging="709"/>
      <w:outlineLvl w:val="0"/>
    </w:pPr>
    <w:rPr>
      <w:b/>
      <w:kern w:val="28"/>
      <w:sz w:val="32"/>
    </w:rPr>
  </w:style>
  <w:style w:type="paragraph" w:styleId="Heading2">
    <w:name w:val="heading 2"/>
    <w:aliases w:val="Major Heading,Major Heading1,Major Heading2,Major Heading3,Major Heading4,Major Heading5,Major Heading6,Major Heading11,Major Heading21,Major Heading31,Major Heading7,Major Heading12,Major Heading22,Major Heading32,Major Heading8,h2,H2,2,Para2"/>
    <w:basedOn w:val="Heading1"/>
    <w:next w:val="Normal"/>
    <w:link w:val="Heading2Char"/>
    <w:autoRedefine/>
    <w:uiPriority w:val="9"/>
    <w:qFormat/>
    <w:rsid w:val="00E97F53"/>
    <w:pPr>
      <w:keepLines/>
      <w:pageBreakBefore w:val="0"/>
      <w:numPr>
        <w:ilvl w:val="1"/>
      </w:numPr>
      <w:tabs>
        <w:tab w:val="clear" w:pos="576"/>
        <w:tab w:val="right" w:pos="709"/>
        <w:tab w:val="left" w:pos="9180"/>
      </w:tabs>
      <w:autoSpaceDE w:val="0"/>
      <w:autoSpaceDN w:val="0"/>
      <w:adjustRightInd w:val="0"/>
      <w:spacing w:before="24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uiPriority w:val="9"/>
    <w:qFormat/>
    <w:rsid w:val="00E97F53"/>
    <w:pPr>
      <w:numPr>
        <w:ilvl w:val="2"/>
      </w:numPr>
      <w:outlineLvl w:val="2"/>
    </w:pPr>
    <w:rPr>
      <w:sz w:val="22"/>
    </w:rPr>
  </w:style>
  <w:style w:type="paragraph" w:styleId="Heading4">
    <w:name w:val="heading 4"/>
    <w:aliases w:val="Minor Heading,Minor Heading1,Minor Heading2,Minor Heading3,Minor Heading4,Minor Heading5,Minor Heading6,Minor Heading7,Minor Heading8,Minor Heading11,Minor Heading21,Minor Heading31,Minor Heading41,Minor Heading51,Minor Heading9,D&amp;M,h4,h41,h42"/>
    <w:basedOn w:val="Normal"/>
    <w:next w:val="Normal"/>
    <w:link w:val="Heading4Char"/>
    <w:uiPriority w:val="9"/>
    <w:qFormat/>
    <w:rsid w:val="00E97F53"/>
    <w:pPr>
      <w:keepNext/>
      <w:numPr>
        <w:ilvl w:val="3"/>
        <w:numId w:val="16"/>
      </w:numPr>
      <w:tabs>
        <w:tab w:val="left" w:pos="1134"/>
      </w:tabs>
      <w:spacing w:before="240" w:after="120" w:line="240" w:lineRule="auto"/>
      <w:jc w:val="both"/>
      <w:outlineLvl w:val="3"/>
    </w:pPr>
    <w:rPr>
      <w:rFonts w:ascii="Book Antiqua" w:eastAsia="Times New Roman" w:hAnsi="Book Antiqua" w:cs="Times New Roman"/>
      <w:i/>
      <w:lang w:eastAsia="en-AU"/>
    </w:rPr>
  </w:style>
  <w:style w:type="paragraph" w:styleId="Heading5">
    <w:name w:val="heading 5"/>
    <w:aliases w:val="Further Points,Further Points1,Further Points2,Further Points3,Further Points11,Further Points4,Further Points5,Further Points12,Further Points21,Further Points111,Further Points6,Further Points13,Further Points22,Further Points112,h5,Para5"/>
    <w:basedOn w:val="Normal"/>
    <w:next w:val="Normal"/>
    <w:link w:val="Heading5Char"/>
    <w:uiPriority w:val="9"/>
    <w:rsid w:val="00E97F53"/>
    <w:pPr>
      <w:keepNext/>
      <w:numPr>
        <w:ilvl w:val="4"/>
        <w:numId w:val="16"/>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uiPriority w:val="9"/>
    <w:rsid w:val="00E97F53"/>
    <w:pPr>
      <w:numPr>
        <w:ilvl w:val="5"/>
        <w:numId w:val="16"/>
      </w:numPr>
      <w:spacing w:before="240" w:after="60" w:line="240" w:lineRule="auto"/>
      <w:jc w:val="both"/>
      <w:outlineLvl w:val="5"/>
    </w:pPr>
    <w:rPr>
      <w:rFonts w:eastAsia="Times New Roman" w:cs="Times New Roman"/>
      <w:i/>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uiPriority w:val="9"/>
    <w:rsid w:val="00E97F53"/>
    <w:pPr>
      <w:numPr>
        <w:ilvl w:val="6"/>
        <w:numId w:val="16"/>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uiPriority w:val="9"/>
    <w:rsid w:val="00E97F53"/>
    <w:pPr>
      <w:numPr>
        <w:ilvl w:val="7"/>
        <w:numId w:val="16"/>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uiPriority w:val="9"/>
    <w:rsid w:val="00E97F53"/>
    <w:pPr>
      <w:numPr>
        <w:ilvl w:val="8"/>
        <w:numId w:val="16"/>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1"/>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styleId="PageNumber">
    <w:name w:val="page number"/>
    <w:basedOn w:val="DefaultParagraphFont"/>
    <w:rsid w:val="00E97F53"/>
  </w:style>
  <w:style w:type="paragraph" w:customStyle="1" w:styleId="text">
    <w:name w:val="text"/>
    <w:basedOn w:val="Normal"/>
    <w:link w:val="textChar"/>
    <w:rsid w:val="00E97F53"/>
    <w:pPr>
      <w:spacing w:before="120" w:after="120" w:line="240" w:lineRule="auto"/>
      <w:jc w:val="both"/>
    </w:pPr>
    <w:rPr>
      <w:rFonts w:ascii="Book Antiqua" w:eastAsia="Times New Roman" w:hAnsi="Book Antiqua" w:cs="Times New Roman"/>
      <w:lang w:eastAsia="en-AU"/>
    </w:rPr>
  </w:style>
  <w:style w:type="character" w:customStyle="1" w:styleId="textChar">
    <w:name w:val="text Char"/>
    <w:basedOn w:val="DefaultParagraphFont"/>
    <w:link w:val="text"/>
    <w:rsid w:val="00E97F53"/>
    <w:rPr>
      <w:rFonts w:ascii="Book Antiqua" w:eastAsia="Times New Roman" w:hAnsi="Book Antiqua" w:cs="Times New Roman"/>
      <w:sz w:val="22"/>
      <w:lang w:eastAsia="en-AU"/>
    </w:rPr>
  </w:style>
  <w:style w:type="character" w:customStyle="1" w:styleId="Heading1Char">
    <w:name w:val="Heading 1 Char"/>
    <w:aliases w:val="Chapter Heading Char,Chapter Heading1 Char,Chapter Heading2 Char,Chapter Heading3 Char,Chapter Heading4 Char,Chapter Heading5 Char,Chapter Heading6 Char,Chapter Heading7 Char,Chapter Heading8 Char,Chapter Heading9 Char,h1 Char"/>
    <w:basedOn w:val="DefaultParagraphFont"/>
    <w:link w:val="Heading1"/>
    <w:uiPriority w:val="9"/>
    <w:rsid w:val="00E97F53"/>
    <w:rPr>
      <w:rFonts w:ascii="Book Antiqua" w:eastAsia="Times New Roman" w:hAnsi="Book Antiqua" w:cs="Times New Roman"/>
      <w:b/>
      <w:kern w:val="28"/>
      <w:sz w:val="32"/>
      <w:lang w:eastAsia="en-AU"/>
    </w:rPr>
  </w:style>
  <w:style w:type="character" w:customStyle="1" w:styleId="Heading2Char">
    <w:name w:val="Heading 2 Char"/>
    <w:aliases w:val="Major Heading Char,Major Heading1 Char,Major Heading2 Char,Major Heading3 Char,Major Heading4 Char,Major Heading5 Char,Major Heading6 Char,Major Heading11 Char,Major Heading21 Char,Major Heading31 Char,Major Heading7 Char,h2 Char,H2 Char"/>
    <w:basedOn w:val="DefaultParagraphFont"/>
    <w:link w:val="Heading2"/>
    <w:uiPriority w:val="9"/>
    <w:rsid w:val="00E97F53"/>
    <w:rPr>
      <w:rFonts w:ascii="Book Antiqua" w:eastAsia="Times New Roman" w:hAnsi="Book Antiqua" w:cs="Times New Roman"/>
      <w:b/>
      <w:kern w:val="28"/>
      <w:sz w:val="24"/>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uiPriority w:val="9"/>
    <w:rsid w:val="00E97F53"/>
    <w:rPr>
      <w:rFonts w:ascii="Book Antiqua" w:eastAsia="Times New Roman" w:hAnsi="Book Antiqua" w:cs="Times New Roman"/>
      <w:b/>
      <w:kern w:val="28"/>
      <w:sz w:val="22"/>
    </w:rPr>
  </w:style>
  <w:style w:type="character" w:customStyle="1" w:styleId="Heading4Char">
    <w:name w:val="Heading 4 Char"/>
    <w:aliases w:val="Minor Heading Char,Minor Heading1 Char,Minor Heading2 Char,Minor Heading3 Char,Minor Heading4 Char,Minor Heading5 Char,Minor Heading6 Char,Minor Heading7 Char,Minor Heading8 Char,Minor Heading11 Char,Minor Heading21 Char,D&amp;M Char,h4 Char"/>
    <w:basedOn w:val="DefaultParagraphFont"/>
    <w:link w:val="Heading4"/>
    <w:uiPriority w:val="9"/>
    <w:rsid w:val="00E97F53"/>
    <w:rPr>
      <w:rFonts w:ascii="Book Antiqua" w:eastAsia="Times New Roman" w:hAnsi="Book Antiqua" w:cs="Times New Roman"/>
      <w:i/>
      <w:sz w:val="22"/>
      <w:lang w:eastAsia="en-AU"/>
    </w:rPr>
  </w:style>
  <w:style w:type="character" w:customStyle="1" w:styleId="Heading5Char">
    <w:name w:val="Heading 5 Char"/>
    <w:aliases w:val="Further Points Char,Further Points1 Char,Further Points2 Char,Further Points3 Char,Further Points11 Char,Further Points4 Char,Further Points5 Char,Further Points12 Char,Further Points21 Char,Further Points111 Char,Further Points6 Char"/>
    <w:basedOn w:val="DefaultParagraphFont"/>
    <w:link w:val="Heading5"/>
    <w:uiPriority w:val="9"/>
    <w:rsid w:val="00E97F53"/>
    <w:rPr>
      <w:rFonts w:ascii="Book Antiqua" w:eastAsia="Times New Roman" w:hAnsi="Book Antiqua" w:cs="Times New Roman"/>
      <w:b/>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uiPriority w:val="9"/>
    <w:rsid w:val="00E97F53"/>
    <w:rPr>
      <w:rFonts w:eastAsia="Times New Roman" w:cs="Times New Roman"/>
      <w:i/>
      <w:sz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uiPriority w:val="9"/>
    <w:rsid w:val="00E97F53"/>
    <w:rPr>
      <w:rFonts w:ascii="Arial" w:eastAsia="Times New Roman" w:hAnsi="Arial" w:cs="Times New Roman"/>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uiPriority w:val="9"/>
    <w:rsid w:val="00E97F53"/>
    <w:rPr>
      <w:rFonts w:ascii="Arial" w:eastAsia="Times New Roman" w:hAnsi="Arial" w:cs="Times New Roman"/>
      <w:i/>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uiPriority w:val="9"/>
    <w:rsid w:val="00E97F53"/>
    <w:rPr>
      <w:rFonts w:ascii="Arial" w:eastAsia="Times New Roman" w:hAnsi="Arial" w:cs="Times New Roman"/>
      <w:b/>
      <w:i/>
      <w:sz w:val="18"/>
      <w:lang w:eastAsia="en-AU"/>
    </w:rPr>
  </w:style>
  <w:style w:type="paragraph" w:customStyle="1" w:styleId="DotpointCONSITES">
    <w:name w:val="Dotpoint CON SITES"/>
    <w:basedOn w:val="Normal"/>
    <w:next w:val="Normal"/>
    <w:autoRedefine/>
    <w:rsid w:val="00E97F53"/>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rsid w:val="00E97F53"/>
    <w:pPr>
      <w:spacing w:before="120" w:after="120" w:line="240" w:lineRule="auto"/>
      <w:jc w:val="center"/>
    </w:pPr>
    <w:rPr>
      <w:rFonts w:ascii="Book Antiqua" w:eastAsia="Times New Roman" w:hAnsi="Book Antiqua" w:cs="Times New Roman"/>
      <w:b/>
      <w:lang w:eastAsia="en-AU"/>
    </w:rPr>
  </w:style>
  <w:style w:type="paragraph" w:styleId="BlockText">
    <w:name w:val="Block Text"/>
    <w:basedOn w:val="Normal"/>
    <w:uiPriority w:val="3"/>
    <w:rsid w:val="00E97F53"/>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E97F53"/>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rsid w:val="00E97F53"/>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rsid w:val="00E97F53"/>
    <w:pPr>
      <w:numPr>
        <w:ilvl w:val="1"/>
        <w:numId w:val="13"/>
      </w:numPr>
      <w:tabs>
        <w:tab w:val="clear" w:pos="720"/>
        <w:tab w:val="num" w:pos="851"/>
      </w:tabs>
      <w:ind w:left="851" w:hanging="284"/>
    </w:pPr>
  </w:style>
  <w:style w:type="paragraph" w:customStyle="1" w:styleId="DotpointiCONSITES">
    <w:name w:val="Dotpoint (i)CON SITES"/>
    <w:basedOn w:val="DotpointCONSITES"/>
    <w:rsid w:val="00E97F53"/>
    <w:pPr>
      <w:numPr>
        <w:numId w:val="14"/>
      </w:numPr>
      <w:tabs>
        <w:tab w:val="clear" w:pos="720"/>
        <w:tab w:val="num" w:pos="567"/>
      </w:tabs>
      <w:ind w:left="567" w:hanging="567"/>
    </w:pPr>
  </w:style>
  <w:style w:type="paragraph" w:customStyle="1" w:styleId="AppendixHeading">
    <w:name w:val="Appendix Heading"/>
    <w:basedOn w:val="Heading1"/>
    <w:rsid w:val="00E97F53"/>
    <w:pPr>
      <w:numPr>
        <w:numId w:val="0"/>
      </w:numPr>
      <w:spacing w:after="0"/>
      <w:jc w:val="center"/>
    </w:pPr>
  </w:style>
  <w:style w:type="paragraph" w:customStyle="1" w:styleId="Dot-points">
    <w:name w:val="Dot-points"/>
    <w:basedOn w:val="text"/>
    <w:qFormat/>
    <w:rsid w:val="00E97F53"/>
    <w:pPr>
      <w:numPr>
        <w:numId w:val="15"/>
      </w:numPr>
      <w:spacing w:before="0"/>
      <w:ind w:left="357" w:hanging="357"/>
    </w:pPr>
  </w:style>
  <w:style w:type="paragraph" w:customStyle="1" w:styleId="GlossaryHeading">
    <w:name w:val="Glossary Heading"/>
    <w:basedOn w:val="Heading1"/>
    <w:rsid w:val="00E97F53"/>
    <w:pPr>
      <w:numPr>
        <w:numId w:val="0"/>
      </w:numPr>
      <w:spacing w:after="0"/>
      <w:jc w:val="center"/>
    </w:pPr>
  </w:style>
  <w:style w:type="character" w:customStyle="1" w:styleId="Highlight">
    <w:name w:val="Highlight"/>
    <w:basedOn w:val="DefaultParagraphFont"/>
    <w:uiPriority w:val="99"/>
    <w:rsid w:val="00E97F53"/>
    <w:rPr>
      <w:rFonts w:ascii="Arial" w:hAnsi="Arial"/>
      <w:b/>
      <w:sz w:val="24"/>
    </w:rPr>
  </w:style>
  <w:style w:type="paragraph" w:customStyle="1" w:styleId="Level1">
    <w:name w:val="Level 1"/>
    <w:basedOn w:val="Heading2"/>
    <w:rsid w:val="00E97F53"/>
    <w:pPr>
      <w:numPr>
        <w:ilvl w:val="0"/>
        <w:numId w:val="0"/>
      </w:numPr>
    </w:pPr>
  </w:style>
  <w:style w:type="paragraph" w:customStyle="1" w:styleId="Level2">
    <w:name w:val="Level 2"/>
    <w:basedOn w:val="Heading3"/>
    <w:rsid w:val="00E97F53"/>
    <w:pPr>
      <w:numPr>
        <w:ilvl w:val="0"/>
        <w:numId w:val="0"/>
      </w:numPr>
    </w:pPr>
  </w:style>
  <w:style w:type="paragraph" w:customStyle="1" w:styleId="Level3">
    <w:name w:val="Level 3"/>
    <w:basedOn w:val="Heading4"/>
    <w:rsid w:val="00E97F53"/>
    <w:pPr>
      <w:numPr>
        <w:ilvl w:val="0"/>
        <w:numId w:val="0"/>
      </w:numPr>
    </w:pPr>
  </w:style>
  <w:style w:type="paragraph" w:customStyle="1" w:styleId="TitleHeading">
    <w:name w:val="Title Heading"/>
    <w:basedOn w:val="text"/>
    <w:rsid w:val="00E97F53"/>
    <w:pPr>
      <w:spacing w:before="20" w:after="20"/>
      <w:ind w:left="1985"/>
      <w:jc w:val="center"/>
    </w:pPr>
    <w:rPr>
      <w:rFonts w:ascii="Arial Bold" w:hAnsi="Arial Bold"/>
      <w:b/>
      <w:sz w:val="40"/>
    </w:rPr>
  </w:style>
  <w:style w:type="paragraph" w:customStyle="1" w:styleId="NationalHeading">
    <w:name w:val="National Heading"/>
    <w:basedOn w:val="TitleHeading"/>
    <w:rsid w:val="00E97F53"/>
  </w:style>
  <w:style w:type="paragraph" w:styleId="FootnoteText">
    <w:name w:val="footnote text"/>
    <w:basedOn w:val="Normal"/>
    <w:link w:val="FootnoteTextChar"/>
    <w:semiHidden/>
    <w:rsid w:val="00E97F53"/>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semiHidden/>
    <w:rsid w:val="00E97F53"/>
    <w:rPr>
      <w:rFonts w:ascii="Book Antiqua" w:eastAsia="Times New Roman" w:hAnsi="Book Antiqua" w:cs="Times New Roman"/>
      <w:sz w:val="14"/>
    </w:rPr>
  </w:style>
  <w:style w:type="paragraph" w:customStyle="1" w:styleId="OutlineLev1">
    <w:name w:val="Outline Lev 1"/>
    <w:basedOn w:val="Normal"/>
    <w:rsid w:val="00E97F53"/>
    <w:pPr>
      <w:numPr>
        <w:numId w:val="17"/>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rsid w:val="00E97F53"/>
    <w:pPr>
      <w:numPr>
        <w:ilvl w:val="1"/>
        <w:numId w:val="17"/>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uiPriority w:val="39"/>
    <w:rsid w:val="00E97F53"/>
    <w:pPr>
      <w:numPr>
        <w:ilvl w:val="0"/>
        <w:numId w:val="0"/>
      </w:numPr>
      <w:spacing w:before="120"/>
      <w:jc w:val="center"/>
    </w:pPr>
    <w:rPr>
      <w:rFonts w:ascii="Arial" w:hAnsi="Arial"/>
      <w:sz w:val="32"/>
    </w:rPr>
  </w:style>
  <w:style w:type="paragraph" w:styleId="BalloonText">
    <w:name w:val="Balloon Text"/>
    <w:basedOn w:val="Normal"/>
    <w:link w:val="BalloonTextChar"/>
    <w:uiPriority w:val="99"/>
    <w:semiHidden/>
    <w:rsid w:val="00E97F53"/>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97F53"/>
    <w:rPr>
      <w:rFonts w:ascii="Tahoma" w:eastAsia="Times New Roman" w:hAnsi="Tahoma" w:cs="Tahoma"/>
      <w:sz w:val="16"/>
      <w:szCs w:val="16"/>
      <w:lang w:eastAsia="en-AU"/>
    </w:rPr>
  </w:style>
  <w:style w:type="character" w:styleId="CommentReference">
    <w:name w:val="annotation reference"/>
    <w:basedOn w:val="DefaultParagraphFont"/>
    <w:rsid w:val="00E97F53"/>
    <w:rPr>
      <w:sz w:val="16"/>
      <w:szCs w:val="16"/>
    </w:rPr>
  </w:style>
  <w:style w:type="paragraph" w:styleId="CommentText">
    <w:name w:val="annotation text"/>
    <w:basedOn w:val="Normal"/>
    <w:link w:val="CommentTextChar"/>
    <w:rsid w:val="00E97F53"/>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link w:val="CommentText"/>
    <w:rsid w:val="00E97F53"/>
    <w:rPr>
      <w:rFonts w:ascii="Book Antiqua" w:eastAsia="Times New Roman" w:hAnsi="Book Antiqua" w:cs="Times New Roman"/>
      <w:lang w:eastAsia="en-AU"/>
    </w:rPr>
  </w:style>
  <w:style w:type="paragraph" w:styleId="CommentSubject">
    <w:name w:val="annotation subject"/>
    <w:basedOn w:val="CommentText"/>
    <w:next w:val="CommentText"/>
    <w:link w:val="CommentSubjectChar"/>
    <w:uiPriority w:val="99"/>
    <w:rsid w:val="00E97F53"/>
    <w:rPr>
      <w:b/>
      <w:bCs/>
    </w:rPr>
  </w:style>
  <w:style w:type="character" w:customStyle="1" w:styleId="CommentSubjectChar">
    <w:name w:val="Comment Subject Char"/>
    <w:basedOn w:val="CommentTextChar"/>
    <w:link w:val="CommentSubject"/>
    <w:uiPriority w:val="99"/>
    <w:rsid w:val="00E97F53"/>
    <w:rPr>
      <w:rFonts w:ascii="Book Antiqua" w:eastAsia="Times New Roman" w:hAnsi="Book Antiqua" w:cs="Times New Roman"/>
      <w:b/>
      <w:bCs/>
      <w:lang w:eastAsia="en-AU"/>
    </w:rPr>
  </w:style>
  <w:style w:type="character" w:styleId="FootnoteReference">
    <w:name w:val="footnote reference"/>
    <w:basedOn w:val="DefaultParagraphFont"/>
    <w:semiHidden/>
    <w:rsid w:val="00E97F53"/>
    <w:rPr>
      <w:rFonts w:ascii="Book Antiqua" w:hAnsi="Book Antiqua"/>
      <w:vertAlign w:val="superscript"/>
    </w:rPr>
  </w:style>
  <w:style w:type="paragraph" w:styleId="BodyText3">
    <w:name w:val="Body Text 3"/>
    <w:basedOn w:val="Normal"/>
    <w:link w:val="BodyText3Char"/>
    <w:rsid w:val="00E97F53"/>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rsid w:val="00E97F53"/>
    <w:rPr>
      <w:rFonts w:ascii="Book Antiqua" w:eastAsia="Times New Roman" w:hAnsi="Book Antiqua" w:cs="Times New Roman"/>
      <w:i/>
      <w:color w:val="FF0000"/>
      <w:sz w:val="22"/>
    </w:rPr>
  </w:style>
  <w:style w:type="paragraph" w:styleId="Revision">
    <w:name w:val="Revision"/>
    <w:hidden/>
    <w:uiPriority w:val="99"/>
    <w:semiHidden/>
    <w:rsid w:val="00E97F53"/>
    <w:rPr>
      <w:rFonts w:ascii="Book Antiqua" w:eastAsia="Times New Roman" w:hAnsi="Book Antiqua" w:cs="Times New Roman"/>
      <w:sz w:val="24"/>
      <w:lang w:eastAsia="en-AU"/>
    </w:rPr>
  </w:style>
  <w:style w:type="character" w:styleId="Hyperlink">
    <w:name w:val="Hyperlink"/>
    <w:basedOn w:val="DefaultParagraphFont"/>
    <w:uiPriority w:val="99"/>
    <w:rsid w:val="00E97F53"/>
    <w:rPr>
      <w:color w:val="0000FF"/>
      <w:u w:val="single"/>
    </w:rPr>
  </w:style>
  <w:style w:type="paragraph" w:customStyle="1" w:styleId="Default">
    <w:name w:val="Default"/>
    <w:rsid w:val="00E97F53"/>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rsid w:val="00E97F53"/>
    <w:rPr>
      <w:rFonts w:cs="Times New Roman"/>
      <w:color w:val="auto"/>
    </w:rPr>
  </w:style>
  <w:style w:type="paragraph" w:customStyle="1" w:styleId="glossary0">
    <w:name w:val="glossary"/>
    <w:basedOn w:val="Normal"/>
    <w:rsid w:val="00E97F53"/>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rsid w:val="00E97F53"/>
    <w:rPr>
      <w:rFonts w:ascii="Arial" w:hAnsi="Arial"/>
    </w:rPr>
  </w:style>
  <w:style w:type="paragraph" w:customStyle="1" w:styleId="StyleTitleHeading22pt">
    <w:name w:val="Style Title Heading + 22 pt"/>
    <w:basedOn w:val="TitleHeading"/>
    <w:rsid w:val="00E97F53"/>
    <w:rPr>
      <w:bCs/>
      <w:caps/>
    </w:rPr>
  </w:style>
  <w:style w:type="paragraph" w:customStyle="1" w:styleId="StyleglossaryJustified">
    <w:name w:val="Style glossary + Justified"/>
    <w:basedOn w:val="glossary0"/>
    <w:rsid w:val="00E97F53"/>
    <w:pPr>
      <w:jc w:val="both"/>
    </w:pPr>
    <w:rPr>
      <w:szCs w:val="20"/>
    </w:rPr>
  </w:style>
  <w:style w:type="paragraph" w:customStyle="1" w:styleId="StyletextArialBold">
    <w:name w:val="Style text + Arial Bold"/>
    <w:basedOn w:val="text"/>
    <w:link w:val="StyletextArialBoldChar"/>
    <w:rsid w:val="00E97F53"/>
    <w:rPr>
      <w:rFonts w:ascii="Arial" w:hAnsi="Arial"/>
      <w:b/>
      <w:bCs/>
    </w:rPr>
  </w:style>
  <w:style w:type="character" w:customStyle="1" w:styleId="StyletextArialBoldChar">
    <w:name w:val="Style text + Arial Bold Char"/>
    <w:basedOn w:val="textChar"/>
    <w:link w:val="StyletextArialBold"/>
    <w:rsid w:val="00E97F53"/>
    <w:rPr>
      <w:rFonts w:ascii="Arial" w:eastAsia="Times New Roman" w:hAnsi="Arial" w:cs="Times New Roman"/>
      <w:b/>
      <w:bCs/>
      <w:sz w:val="22"/>
      <w:lang w:eastAsia="en-AU"/>
    </w:rPr>
  </w:style>
  <w:style w:type="character" w:styleId="Strong">
    <w:name w:val="Strong"/>
    <w:basedOn w:val="DefaultParagraphFont"/>
    <w:uiPriority w:val="22"/>
    <w:rsid w:val="00E97F53"/>
    <w:rPr>
      <w:b/>
      <w:bCs/>
    </w:rPr>
  </w:style>
  <w:style w:type="paragraph" w:customStyle="1" w:styleId="Numbers">
    <w:name w:val="Numbers"/>
    <w:basedOn w:val="OutlineLev1"/>
    <w:rsid w:val="00E97F53"/>
    <w:pPr>
      <w:keepNext/>
      <w:numPr>
        <w:numId w:val="0"/>
      </w:numPr>
      <w:tabs>
        <w:tab w:val="num" w:pos="426"/>
        <w:tab w:val="right" w:pos="9071"/>
      </w:tabs>
      <w:ind w:left="425" w:hanging="425"/>
    </w:pPr>
    <w:rPr>
      <w:b/>
      <w:szCs w:val="22"/>
    </w:rPr>
  </w:style>
  <w:style w:type="paragraph" w:styleId="Caption">
    <w:name w:val="caption"/>
    <w:basedOn w:val="Normal"/>
    <w:next w:val="Normal"/>
    <w:autoRedefine/>
    <w:uiPriority w:val="99"/>
    <w:qFormat/>
    <w:rsid w:val="00E97F53"/>
    <w:pPr>
      <w:tabs>
        <w:tab w:val="right" w:pos="9071"/>
      </w:tabs>
      <w:spacing w:before="120" w:after="120" w:line="240" w:lineRule="auto"/>
      <w:ind w:left="142"/>
    </w:pPr>
    <w:rPr>
      <w:rFonts w:ascii="Book Antiqua" w:eastAsia="Times New Roman" w:hAnsi="Book Antiqua" w:cs="Times New Roman"/>
      <w:b/>
      <w:szCs w:val="22"/>
      <w:lang w:eastAsia="en-AU"/>
    </w:rPr>
  </w:style>
  <w:style w:type="paragraph" w:styleId="NormalWeb">
    <w:name w:val="Normal (Web)"/>
    <w:basedOn w:val="Normal"/>
    <w:rsid w:val="00E97F53"/>
    <w:pPr>
      <w:spacing w:before="100" w:beforeAutospacing="1" w:after="100" w:afterAutospacing="1" w:line="240" w:lineRule="auto"/>
    </w:pPr>
    <w:rPr>
      <w:rFonts w:eastAsia="Times New Roman" w:cs="Times New Roman"/>
      <w:szCs w:val="24"/>
      <w:lang w:eastAsia="en-AU"/>
    </w:rPr>
  </w:style>
  <w:style w:type="character" w:customStyle="1" w:styleId="data">
    <w:name w:val="data"/>
    <w:basedOn w:val="DefaultParagraphFont"/>
    <w:rsid w:val="00E97F53"/>
  </w:style>
  <w:style w:type="paragraph" w:customStyle="1" w:styleId="Indent2cm">
    <w:name w:val="Indent 2cm"/>
    <w:basedOn w:val="Normal"/>
    <w:rsid w:val="00E97F53"/>
    <w:pPr>
      <w:spacing w:before="160" w:after="160" w:line="240" w:lineRule="auto"/>
      <w:jc w:val="both"/>
    </w:pPr>
    <w:rPr>
      <w:rFonts w:ascii="Book Antiqua" w:eastAsia="Times New Roman" w:hAnsi="Book Antiqua" w:cs="Times New Roman"/>
      <w:lang w:eastAsia="en-AU"/>
    </w:rPr>
  </w:style>
  <w:style w:type="paragraph" w:customStyle="1" w:styleId="StyleHeading1ChapterHeadingChapterHeading1ChapterHeading2C">
    <w:name w:val="Style Heading 1Chapter HeadingChapter Heading1Chapter Heading2C..."/>
    <w:basedOn w:val="Heading1"/>
    <w:rsid w:val="00E97F53"/>
    <w:pPr>
      <w:tabs>
        <w:tab w:val="clear" w:pos="720"/>
        <w:tab w:val="right" w:pos="709"/>
      </w:tabs>
    </w:pPr>
    <w:rPr>
      <w:bCs/>
    </w:rPr>
  </w:style>
  <w:style w:type="paragraph" w:customStyle="1" w:styleId="FigureTableHeading">
    <w:name w:val="FigureTableHeading"/>
    <w:basedOn w:val="text"/>
    <w:rsid w:val="00E97F53"/>
    <w:pPr>
      <w:ind w:left="993" w:hanging="993"/>
    </w:pPr>
    <w:rPr>
      <w:b/>
      <w:sz w:val="20"/>
    </w:rPr>
  </w:style>
  <w:style w:type="paragraph" w:customStyle="1" w:styleId="Tableheader">
    <w:name w:val="Tableheader"/>
    <w:basedOn w:val="text"/>
    <w:rsid w:val="00E97F53"/>
    <w:pPr>
      <w:jc w:val="center"/>
    </w:pPr>
    <w:rPr>
      <w:b/>
      <w:sz w:val="20"/>
    </w:rPr>
  </w:style>
  <w:style w:type="paragraph" w:customStyle="1" w:styleId="StyleHeading1ChapterHeadingMainHeadingh1H1AMAJORBOLDPar">
    <w:name w:val="Style Heading 1Chapter HeadingMain Headingh1H1A MAJOR/BOLDPar..."/>
    <w:basedOn w:val="Heading1"/>
    <w:uiPriority w:val="99"/>
    <w:rsid w:val="00E97F53"/>
    <w:pPr>
      <w:keepLines/>
      <w:tabs>
        <w:tab w:val="clear" w:pos="720"/>
        <w:tab w:val="clear" w:pos="9072"/>
        <w:tab w:val="num" w:pos="360"/>
      </w:tabs>
      <w:ind w:left="0" w:firstLine="0"/>
    </w:pPr>
    <w:rPr>
      <w:rFonts w:cs="Book Antiqua"/>
      <w:bCs/>
      <w:szCs w:val="32"/>
    </w:rPr>
  </w:style>
  <w:style w:type="character" w:customStyle="1" w:styleId="CommentTextChar1">
    <w:name w:val="Comment Text Char1"/>
    <w:rsid w:val="00E97F53"/>
    <w:rPr>
      <w:rFonts w:ascii="Book Antiqua" w:hAnsi="Book Antiqua"/>
    </w:rPr>
  </w:style>
  <w:style w:type="paragraph" w:customStyle="1" w:styleId="StyletextLeft0cmHanging1cm">
    <w:name w:val="Style text + Left:  0 cm Hanging:  1 cm"/>
    <w:basedOn w:val="text"/>
    <w:qFormat/>
    <w:rsid w:val="00E97F53"/>
    <w:pPr>
      <w:ind w:left="720" w:hanging="720"/>
    </w:pPr>
  </w:style>
  <w:style w:type="paragraph" w:styleId="Title">
    <w:name w:val="Title"/>
    <w:basedOn w:val="Normal"/>
    <w:link w:val="TitleChar"/>
    <w:uiPriority w:val="10"/>
    <w:rsid w:val="00E97F53"/>
    <w:pPr>
      <w:spacing w:before="400" w:after="200" w:line="276" w:lineRule="auto"/>
    </w:pPr>
    <w:rPr>
      <w:rFonts w:ascii="Verdana" w:eastAsia="Verdana" w:hAnsi="Verdana" w:cs="Times New Roman"/>
      <w:color w:val="365F91"/>
      <w:sz w:val="56"/>
      <w:szCs w:val="56"/>
      <w:lang w:eastAsia="ja-JP"/>
    </w:rPr>
  </w:style>
  <w:style w:type="character" w:customStyle="1" w:styleId="TitleChar">
    <w:name w:val="Title Char"/>
    <w:basedOn w:val="DefaultParagraphFont"/>
    <w:link w:val="Title"/>
    <w:uiPriority w:val="10"/>
    <w:rsid w:val="00E97F53"/>
    <w:rPr>
      <w:rFonts w:ascii="Verdana" w:eastAsia="Verdana" w:hAnsi="Verdana" w:cs="Times New Roman"/>
      <w:color w:val="365F91"/>
      <w:sz w:val="56"/>
      <w:szCs w:val="56"/>
      <w:lang w:eastAsia="ja-JP"/>
    </w:rPr>
  </w:style>
  <w:style w:type="paragraph" w:styleId="Subtitle">
    <w:name w:val="Subtitle"/>
    <w:basedOn w:val="Normal"/>
    <w:link w:val="SubtitleChar"/>
    <w:uiPriority w:val="11"/>
    <w:rsid w:val="00E97F53"/>
    <w:pPr>
      <w:spacing w:after="480" w:line="276" w:lineRule="auto"/>
    </w:pPr>
    <w:rPr>
      <w:rFonts w:ascii="Verdana" w:eastAsia="Verdana" w:hAnsi="Verdana" w:cs="Times New Roman"/>
      <w:i/>
      <w:color w:val="1F497D"/>
      <w:sz w:val="24"/>
      <w:szCs w:val="24"/>
      <w:lang w:eastAsia="ja-JP"/>
    </w:rPr>
  </w:style>
  <w:style w:type="character" w:customStyle="1" w:styleId="SubtitleChar">
    <w:name w:val="Subtitle Char"/>
    <w:basedOn w:val="DefaultParagraphFont"/>
    <w:link w:val="Subtitle"/>
    <w:uiPriority w:val="11"/>
    <w:rsid w:val="00E97F53"/>
    <w:rPr>
      <w:rFonts w:ascii="Verdana" w:eastAsia="Verdana" w:hAnsi="Verdana" w:cs="Times New Roman"/>
      <w:i/>
      <w:color w:val="1F497D"/>
      <w:sz w:val="24"/>
      <w:szCs w:val="24"/>
      <w:lang w:eastAsia="ja-JP"/>
    </w:rPr>
  </w:style>
  <w:style w:type="character" w:styleId="IntenseEmphasis">
    <w:name w:val="Intense Emphasis"/>
    <w:uiPriority w:val="21"/>
    <w:rsid w:val="00E97F53"/>
    <w:rPr>
      <w:rFonts w:ascii="Verdana" w:hAnsi="Verdana" w:cs="Verdana"/>
      <w:b/>
      <w:i/>
      <w:caps/>
      <w:color w:val="438086"/>
      <w:spacing w:val="5"/>
    </w:rPr>
  </w:style>
  <w:style w:type="character" w:styleId="SubtleEmphasis">
    <w:name w:val="Subtle Emphasis"/>
    <w:uiPriority w:val="19"/>
    <w:rsid w:val="00E97F53"/>
    <w:rPr>
      <w:rFonts w:ascii="Verdana" w:hAnsi="Verdana"/>
      <w:i/>
      <w:color w:val="006666"/>
    </w:rPr>
  </w:style>
  <w:style w:type="character" w:styleId="IntenseReference">
    <w:name w:val="Intense Reference"/>
    <w:uiPriority w:val="32"/>
    <w:rsid w:val="00E97F53"/>
    <w:rPr>
      <w:rFonts w:ascii="Verdana" w:hAnsi="Verdana" w:cs="Times New Roman"/>
      <w:b/>
      <w:i/>
      <w:caps/>
      <w:color w:val="4E4F89"/>
      <w:spacing w:val="5"/>
    </w:rPr>
  </w:style>
  <w:style w:type="character" w:styleId="SubtleReference">
    <w:name w:val="Subtle Reference"/>
    <w:uiPriority w:val="31"/>
    <w:rsid w:val="00E97F53"/>
    <w:rPr>
      <w:rFonts w:cs="Times New Roman"/>
      <w:i/>
      <w:color w:val="4E4F89"/>
    </w:rPr>
  </w:style>
  <w:style w:type="character" w:styleId="Emphasis">
    <w:name w:val="Emphasis"/>
    <w:rsid w:val="00E97F53"/>
    <w:rPr>
      <w:rFonts w:ascii="Verdana" w:hAnsi="Verdana"/>
      <w:b/>
      <w:color w:val="C0504D"/>
      <w:spacing w:val="10"/>
    </w:rPr>
  </w:style>
  <w:style w:type="character" w:styleId="BookTitle">
    <w:name w:val="Book Title"/>
    <w:uiPriority w:val="33"/>
    <w:rsid w:val="00E97F53"/>
    <w:rPr>
      <w:rFonts w:ascii="Cambria" w:hAnsi="Cambria" w:cs="Times New Roman"/>
      <w:i/>
      <w:color w:val="000000"/>
      <w:sz w:val="20"/>
      <w:szCs w:val="20"/>
    </w:rPr>
  </w:style>
  <w:style w:type="paragraph" w:styleId="NormalIndent">
    <w:name w:val="Normal Indent"/>
    <w:basedOn w:val="Normal"/>
    <w:uiPriority w:val="99"/>
    <w:unhideWhenUsed/>
    <w:rsid w:val="00E97F53"/>
    <w:pPr>
      <w:spacing w:after="200" w:line="276" w:lineRule="auto"/>
      <w:ind w:left="720"/>
      <w:contextualSpacing/>
    </w:pPr>
    <w:rPr>
      <w:rFonts w:ascii="Arial" w:eastAsia="Verdana" w:hAnsi="Arial" w:cs="Verdana"/>
      <w:sz w:val="20"/>
      <w:lang w:eastAsia="ja-JP"/>
    </w:rPr>
  </w:style>
  <w:style w:type="paragraph" w:styleId="IntenseQuote">
    <w:name w:val="Intense Quote"/>
    <w:basedOn w:val="Normal"/>
    <w:link w:val="IntenseQuoteChar"/>
    <w:uiPriority w:val="30"/>
    <w:rsid w:val="00E97F53"/>
    <w:pPr>
      <w:pBdr>
        <w:top w:val="threeDEngrave" w:sz="6" w:space="10" w:color="C0504D"/>
        <w:bottom w:val="single" w:sz="4" w:space="10" w:color="C0504D"/>
      </w:pBdr>
      <w:spacing w:before="360" w:after="360" w:line="324" w:lineRule="auto"/>
      <w:ind w:left="1080" w:right="1080"/>
    </w:pPr>
    <w:rPr>
      <w:rFonts w:ascii="Arial" w:eastAsia="Verdana" w:hAnsi="Arial" w:cs="Verdana"/>
      <w:i/>
      <w:color w:val="C0504D"/>
      <w:szCs w:val="22"/>
      <w:lang w:eastAsia="ja-JP"/>
    </w:rPr>
  </w:style>
  <w:style w:type="character" w:customStyle="1" w:styleId="IntenseQuoteChar">
    <w:name w:val="Intense Quote Char"/>
    <w:basedOn w:val="DefaultParagraphFont"/>
    <w:link w:val="IntenseQuote"/>
    <w:uiPriority w:val="30"/>
    <w:rsid w:val="00E97F53"/>
    <w:rPr>
      <w:rFonts w:ascii="Arial" w:eastAsia="Verdana" w:hAnsi="Arial" w:cs="Verdana"/>
      <w:i/>
      <w:color w:val="C0504D"/>
      <w:sz w:val="22"/>
      <w:szCs w:val="22"/>
      <w:lang w:eastAsia="ja-JP"/>
    </w:rPr>
  </w:style>
  <w:style w:type="numbering" w:customStyle="1" w:styleId="UrbanBulletedList">
    <w:name w:val="Urban Bulleted List"/>
    <w:uiPriority w:val="99"/>
    <w:rsid w:val="00E97F53"/>
    <w:pPr>
      <w:numPr>
        <w:numId w:val="18"/>
      </w:numPr>
    </w:pPr>
  </w:style>
  <w:style w:type="numbering" w:customStyle="1" w:styleId="UrbanNumberedList">
    <w:name w:val="Urban Numbered List"/>
    <w:uiPriority w:val="99"/>
    <w:rsid w:val="00E97F53"/>
    <w:pPr>
      <w:numPr>
        <w:numId w:val="19"/>
      </w:numPr>
    </w:pPr>
  </w:style>
  <w:style w:type="paragraph" w:styleId="ListParagraph">
    <w:name w:val="List Paragraph"/>
    <w:basedOn w:val="Normal"/>
    <w:uiPriority w:val="34"/>
    <w:rsid w:val="00E97F53"/>
    <w:pPr>
      <w:spacing w:after="200" w:line="276" w:lineRule="auto"/>
      <w:ind w:left="720"/>
      <w:contextualSpacing/>
    </w:pPr>
    <w:rPr>
      <w:rFonts w:ascii="Arial" w:eastAsia="Verdana" w:hAnsi="Arial" w:cs="Verdana"/>
      <w:sz w:val="20"/>
      <w:lang w:eastAsia="ja-JP"/>
    </w:rPr>
  </w:style>
  <w:style w:type="paragraph" w:styleId="NoSpacing">
    <w:name w:val="No Spacing"/>
    <w:basedOn w:val="Normal"/>
    <w:uiPriority w:val="1"/>
    <w:rsid w:val="00E97F53"/>
    <w:pPr>
      <w:spacing w:line="240" w:lineRule="auto"/>
    </w:pPr>
    <w:rPr>
      <w:rFonts w:ascii="Arial" w:eastAsia="Verdana" w:hAnsi="Arial" w:cs="Verdana"/>
      <w:sz w:val="20"/>
      <w:szCs w:val="32"/>
      <w:lang w:eastAsia="ja-JP"/>
    </w:rPr>
  </w:style>
  <w:style w:type="character" w:styleId="PlaceholderText">
    <w:name w:val="Placeholder Text"/>
    <w:uiPriority w:val="99"/>
    <w:unhideWhenUsed/>
    <w:rsid w:val="00E97F53"/>
    <w:rPr>
      <w:color w:val="808080"/>
    </w:rPr>
  </w:style>
  <w:style w:type="paragraph" w:customStyle="1" w:styleId="HeaderEven">
    <w:name w:val="Header Even"/>
    <w:basedOn w:val="Header"/>
    <w:uiPriority w:val="39"/>
    <w:rsid w:val="00E97F53"/>
    <w:pPr>
      <w:keepNext w:val="0"/>
      <w:keepLines w:val="0"/>
      <w:pBdr>
        <w:bottom w:val="single" w:sz="4" w:space="1" w:color="auto"/>
      </w:pBdr>
      <w:tabs>
        <w:tab w:val="clear" w:pos="4150"/>
        <w:tab w:val="clear" w:pos="8307"/>
        <w:tab w:val="center" w:pos="4320"/>
        <w:tab w:val="right" w:pos="8640"/>
      </w:tabs>
      <w:spacing w:after="200" w:line="276" w:lineRule="auto"/>
    </w:pPr>
    <w:rPr>
      <w:rFonts w:ascii="Verdana" w:eastAsia="Verdana" w:hAnsi="Verdana"/>
      <w:sz w:val="20"/>
      <w:lang w:eastAsia="ja-JP"/>
    </w:rPr>
  </w:style>
  <w:style w:type="paragraph" w:customStyle="1" w:styleId="HeaderOdd">
    <w:name w:val="Header Odd"/>
    <w:basedOn w:val="Header"/>
    <w:uiPriority w:val="39"/>
    <w:rsid w:val="00E97F53"/>
    <w:pPr>
      <w:keepNext w:val="0"/>
      <w:keepLines w:val="0"/>
      <w:pBdr>
        <w:bottom w:val="single" w:sz="4" w:space="1" w:color="auto"/>
      </w:pBdr>
      <w:tabs>
        <w:tab w:val="clear" w:pos="4150"/>
        <w:tab w:val="clear" w:pos="8307"/>
        <w:tab w:val="center" w:pos="4320"/>
        <w:tab w:val="right" w:pos="8640"/>
      </w:tabs>
      <w:spacing w:after="200" w:line="276" w:lineRule="auto"/>
      <w:jc w:val="right"/>
    </w:pPr>
    <w:rPr>
      <w:rFonts w:ascii="Verdana" w:eastAsia="Verdana" w:hAnsi="Verdana"/>
      <w:sz w:val="20"/>
      <w:lang w:eastAsia="ja-JP"/>
    </w:rPr>
  </w:style>
  <w:style w:type="paragraph" w:customStyle="1" w:styleId="Bullet1">
    <w:name w:val="Bullet 1"/>
    <w:basedOn w:val="ListParagraph"/>
    <w:uiPriority w:val="38"/>
    <w:rsid w:val="00E97F53"/>
    <w:pPr>
      <w:numPr>
        <w:numId w:val="18"/>
      </w:numPr>
      <w:spacing w:after="0"/>
    </w:pPr>
  </w:style>
  <w:style w:type="paragraph" w:customStyle="1" w:styleId="Bullet20">
    <w:name w:val="Bullet 2"/>
    <w:basedOn w:val="ListParagraph"/>
    <w:uiPriority w:val="38"/>
    <w:rsid w:val="00E97F53"/>
    <w:pPr>
      <w:numPr>
        <w:ilvl w:val="1"/>
        <w:numId w:val="18"/>
      </w:numPr>
      <w:spacing w:after="0"/>
    </w:pPr>
  </w:style>
  <w:style w:type="paragraph" w:customStyle="1" w:styleId="Bullet30">
    <w:name w:val="Bullet 3"/>
    <w:basedOn w:val="ListParagraph"/>
    <w:uiPriority w:val="38"/>
    <w:rsid w:val="00E97F53"/>
    <w:pPr>
      <w:numPr>
        <w:ilvl w:val="2"/>
        <w:numId w:val="18"/>
      </w:numPr>
      <w:spacing w:after="0"/>
    </w:pPr>
  </w:style>
  <w:style w:type="paragraph" w:customStyle="1" w:styleId="DefaultPlaceholderSubject10">
    <w:name w:val="DefaultPlaceholder_Subject10"/>
    <w:uiPriority w:val="39"/>
    <w:rsid w:val="00E97F53"/>
    <w:pPr>
      <w:spacing w:after="200" w:line="276" w:lineRule="auto"/>
    </w:pPr>
    <w:rPr>
      <w:rFonts w:ascii="Verdana" w:eastAsia="Verdana" w:hAnsi="Verdana" w:cs="Verdana"/>
      <w:i/>
      <w:color w:val="1F497D"/>
      <w:sz w:val="24"/>
      <w:szCs w:val="24"/>
      <w:lang w:val="en-US"/>
    </w:rPr>
  </w:style>
  <w:style w:type="paragraph" w:customStyle="1" w:styleId="Category">
    <w:name w:val="Category"/>
    <w:basedOn w:val="Normal"/>
    <w:link w:val="CategoryChar"/>
    <w:uiPriority w:val="39"/>
    <w:rsid w:val="00E97F53"/>
    <w:pPr>
      <w:framePr w:hSpace="187" w:wrap="around" w:hAnchor="margin" w:xAlign="center" w:y="721"/>
      <w:spacing w:line="240" w:lineRule="auto"/>
    </w:pPr>
    <w:rPr>
      <w:rFonts w:ascii="Verdana" w:eastAsia="Verdana" w:hAnsi="Verdana" w:cs="Times New Roman"/>
      <w:caps/>
      <w:sz w:val="20"/>
      <w:lang w:eastAsia="ja-JP"/>
    </w:rPr>
  </w:style>
  <w:style w:type="paragraph" w:customStyle="1" w:styleId="Comments">
    <w:name w:val="Comments"/>
    <w:basedOn w:val="Normal"/>
    <w:link w:val="CommentsChar"/>
    <w:uiPriority w:val="39"/>
    <w:rsid w:val="00E97F53"/>
    <w:pPr>
      <w:spacing w:after="120" w:line="240" w:lineRule="auto"/>
    </w:pPr>
    <w:rPr>
      <w:rFonts w:ascii="Verdana" w:eastAsia="Verdana" w:hAnsi="Verdana" w:cs="Times New Roman"/>
      <w:b/>
      <w:sz w:val="20"/>
      <w:lang w:eastAsia="ja-JP"/>
    </w:rPr>
  </w:style>
  <w:style w:type="character" w:customStyle="1" w:styleId="CategoryChar">
    <w:name w:val="Category Char"/>
    <w:link w:val="Category"/>
    <w:uiPriority w:val="39"/>
    <w:rsid w:val="00E97F53"/>
    <w:rPr>
      <w:rFonts w:ascii="Verdana" w:eastAsia="Verdana" w:hAnsi="Verdana" w:cs="Times New Roman"/>
      <w:caps/>
      <w:lang w:eastAsia="ja-JP"/>
    </w:rPr>
  </w:style>
  <w:style w:type="character" w:customStyle="1" w:styleId="CommentsChar">
    <w:name w:val="Comments Char"/>
    <w:link w:val="Comments"/>
    <w:uiPriority w:val="39"/>
    <w:rsid w:val="00E97F53"/>
    <w:rPr>
      <w:rFonts w:ascii="Verdana" w:eastAsia="Verdana" w:hAnsi="Verdana" w:cs="Times New Roman"/>
      <w:b/>
      <w:lang w:eastAsia="ja-JP"/>
    </w:rPr>
  </w:style>
  <w:style w:type="paragraph" w:customStyle="1" w:styleId="CommentsText">
    <w:name w:val="Comments Text"/>
    <w:basedOn w:val="Normal"/>
    <w:uiPriority w:val="39"/>
    <w:rsid w:val="00E97F53"/>
    <w:pPr>
      <w:spacing w:after="120" w:line="288" w:lineRule="auto"/>
    </w:pPr>
    <w:rPr>
      <w:rFonts w:ascii="Arial" w:eastAsia="Verdana" w:hAnsi="Arial" w:cs="Verdana"/>
      <w:sz w:val="20"/>
      <w:szCs w:val="22"/>
      <w:lang w:eastAsia="ja-JP"/>
    </w:rPr>
  </w:style>
  <w:style w:type="paragraph" w:styleId="BodyText">
    <w:name w:val="Body Text"/>
    <w:aliases w:val="(Alt+1),Body,BodyText,body,b,block,Body Text before bullet,D&amp;M Body Text,IRMS (T),Body Text Char Char Char Char,Body Text Char1,Body Text Char Char,Body Text Char Char Char Char Char1 Char,BT"/>
    <w:basedOn w:val="Normal"/>
    <w:link w:val="BodyTextChar"/>
    <w:rsid w:val="00E97F53"/>
    <w:pPr>
      <w:spacing w:after="200" w:line="240" w:lineRule="auto"/>
    </w:pPr>
    <w:rPr>
      <w:rFonts w:eastAsia="Times New Roman" w:cs="Times New Roman"/>
      <w:sz w:val="24"/>
      <w:lang w:eastAsia="ja-JP"/>
    </w:rPr>
  </w:style>
  <w:style w:type="character" w:customStyle="1" w:styleId="BodyTextChar">
    <w:name w:val="Body Text Char"/>
    <w:aliases w:val="(Alt+1) Char,Body Char,BodyText Char,body Char,b Char,block Char,Body Text before bullet Char,D&amp;M Body Text Char,IRMS (T) Char,Body Text Char Char Char Char Char,Body Text Char1 Char,Body Text Char Char Char,BT Char"/>
    <w:basedOn w:val="DefaultParagraphFont"/>
    <w:link w:val="BodyText"/>
    <w:rsid w:val="00E97F53"/>
    <w:rPr>
      <w:rFonts w:eastAsia="Times New Roman" w:cs="Times New Roman"/>
      <w:sz w:val="24"/>
      <w:lang w:eastAsia="ja-JP"/>
    </w:rPr>
  </w:style>
  <w:style w:type="table" w:styleId="ColorfulList-Accent1">
    <w:name w:val="Colorful List Accent 1"/>
    <w:basedOn w:val="TableNormal"/>
    <w:uiPriority w:val="41"/>
    <w:rsid w:val="00E97F53"/>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ulletedList">
    <w:name w:val="BulletedList"/>
    <w:link w:val="BulletedListChar"/>
    <w:locked/>
    <w:rsid w:val="00E97F53"/>
    <w:pPr>
      <w:numPr>
        <w:numId w:val="20"/>
      </w:numPr>
      <w:spacing w:after="160"/>
    </w:pPr>
    <w:rPr>
      <w:rFonts w:ascii="Arial" w:eastAsia="Times New Roman" w:hAnsi="Arial" w:cs="Arial"/>
    </w:rPr>
  </w:style>
  <w:style w:type="paragraph" w:customStyle="1" w:styleId="CaptionTable">
    <w:name w:val="Caption Table"/>
    <w:basedOn w:val="Caption"/>
    <w:next w:val="BodyText"/>
    <w:rsid w:val="00E97F53"/>
    <w:pPr>
      <w:tabs>
        <w:tab w:val="clear" w:pos="9071"/>
      </w:tabs>
      <w:spacing w:after="240"/>
      <w:ind w:left="0"/>
      <w:jc w:val="center"/>
    </w:pPr>
    <w:rPr>
      <w:rFonts w:ascii="Arial" w:hAnsi="Arial" w:cs="Arial"/>
      <w:bCs/>
      <w:color w:val="0C479D"/>
      <w:szCs w:val="20"/>
      <w:lang w:eastAsia="en-US"/>
    </w:rPr>
  </w:style>
  <w:style w:type="paragraph" w:customStyle="1" w:styleId="TableHeadings">
    <w:name w:val="TableHeadings"/>
    <w:basedOn w:val="Normal"/>
    <w:next w:val="BodyText"/>
    <w:rsid w:val="00E97F53"/>
    <w:pPr>
      <w:spacing w:before="60" w:after="60" w:line="240" w:lineRule="auto"/>
      <w:jc w:val="center"/>
    </w:pPr>
    <w:rPr>
      <w:rFonts w:ascii="Arial Black" w:eastAsia="Times New Roman" w:hAnsi="Arial Black" w:cs="Arial"/>
      <w:b/>
      <w:sz w:val="20"/>
    </w:rPr>
  </w:style>
  <w:style w:type="paragraph" w:customStyle="1" w:styleId="TableRows">
    <w:name w:val="TableRows"/>
    <w:basedOn w:val="Normal"/>
    <w:next w:val="BodyText"/>
    <w:rsid w:val="00E97F53"/>
    <w:pPr>
      <w:spacing w:before="40" w:after="40" w:line="240" w:lineRule="auto"/>
    </w:pPr>
    <w:rPr>
      <w:rFonts w:ascii="Arial" w:eastAsia="Times New Roman" w:hAnsi="Arial" w:cs="Arial"/>
      <w:sz w:val="18"/>
    </w:rPr>
  </w:style>
  <w:style w:type="paragraph" w:customStyle="1" w:styleId="SubHeading">
    <w:name w:val="Sub Heading"/>
    <w:basedOn w:val="Normal"/>
    <w:next w:val="BodyText"/>
    <w:link w:val="SubHeadingChar"/>
    <w:rsid w:val="00E97F53"/>
    <w:pPr>
      <w:keepNext/>
      <w:spacing w:before="240" w:after="160" w:line="240" w:lineRule="auto"/>
    </w:pPr>
    <w:rPr>
      <w:rFonts w:ascii="Arial" w:eastAsia="Times New Roman" w:hAnsi="Arial" w:cs="Times New Roman"/>
      <w:b/>
      <w:i/>
      <w:sz w:val="20"/>
      <w:szCs w:val="24"/>
      <w:lang w:eastAsia="ja-JP"/>
    </w:rPr>
  </w:style>
  <w:style w:type="table" w:styleId="ColorfulList-Accent4">
    <w:name w:val="Colorful List Accent 4"/>
    <w:basedOn w:val="TableNormal"/>
    <w:uiPriority w:val="72"/>
    <w:rsid w:val="00E97F53"/>
    <w:rPr>
      <w:rFonts w:eastAsia="Times New Roman" w:cs="Times New Roman"/>
      <w:color w:val="000000"/>
      <w:lang w:eastAsia="en-A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2">
    <w:name w:val="Colorful List Accent 2"/>
    <w:basedOn w:val="TableNormal"/>
    <w:uiPriority w:val="42"/>
    <w:rsid w:val="00E97F53"/>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BulletedListChar">
    <w:name w:val="BulletedList Char"/>
    <w:link w:val="BulletedList"/>
    <w:rsid w:val="00E97F53"/>
    <w:rPr>
      <w:rFonts w:ascii="Arial" w:eastAsia="Times New Roman" w:hAnsi="Arial" w:cs="Arial"/>
    </w:rPr>
  </w:style>
  <w:style w:type="table" w:styleId="MediumShading2-Accent6">
    <w:name w:val="Medium Shading 2 Accent 6"/>
    <w:basedOn w:val="TableNormal"/>
    <w:uiPriority w:val="46"/>
    <w:rsid w:val="00E97F53"/>
    <w:rPr>
      <w:rFonts w:ascii="Verdana" w:eastAsia="Verdana" w:hAnsi="Verdana" w:cs="Verdana"/>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ubHeadingChar">
    <w:name w:val="Sub Heading Char"/>
    <w:link w:val="SubHeading"/>
    <w:rsid w:val="00E97F53"/>
    <w:rPr>
      <w:rFonts w:ascii="Arial" w:eastAsia="Times New Roman" w:hAnsi="Arial" w:cs="Times New Roman"/>
      <w:b/>
      <w:i/>
      <w:szCs w:val="24"/>
      <w:lang w:eastAsia="ja-JP"/>
    </w:rPr>
  </w:style>
  <w:style w:type="paragraph" w:customStyle="1" w:styleId="TableBody">
    <w:name w:val="TableBody"/>
    <w:basedOn w:val="Normal"/>
    <w:rsid w:val="00E97F53"/>
    <w:pPr>
      <w:tabs>
        <w:tab w:val="left" w:pos="1985"/>
      </w:tabs>
      <w:spacing w:before="60" w:after="60" w:line="240" w:lineRule="atLeast"/>
    </w:pPr>
    <w:rPr>
      <w:rFonts w:ascii="Arial" w:eastAsia="Times" w:hAnsi="Arial" w:cs="Times New Roman"/>
      <w:sz w:val="20"/>
      <w:lang w:eastAsia="ja-JP"/>
    </w:rPr>
  </w:style>
  <w:style w:type="paragraph" w:styleId="Bibliography">
    <w:name w:val="Bibliography"/>
    <w:basedOn w:val="Normal"/>
    <w:next w:val="Normal"/>
    <w:uiPriority w:val="37"/>
    <w:unhideWhenUsed/>
    <w:rsid w:val="00E97F53"/>
    <w:pPr>
      <w:spacing w:after="240" w:line="240" w:lineRule="auto"/>
      <w:jc w:val="both"/>
    </w:pPr>
    <w:rPr>
      <w:rFonts w:ascii="Arial" w:eastAsia="Times New Roman" w:hAnsi="Arial" w:cs="Times New Roman"/>
    </w:rPr>
  </w:style>
  <w:style w:type="paragraph" w:styleId="EndnoteText">
    <w:name w:val="endnote text"/>
    <w:basedOn w:val="Normal"/>
    <w:link w:val="EndnoteTextChar"/>
    <w:uiPriority w:val="99"/>
    <w:unhideWhenUsed/>
    <w:rsid w:val="00E97F53"/>
    <w:pPr>
      <w:spacing w:line="240" w:lineRule="auto"/>
    </w:pPr>
    <w:rPr>
      <w:rFonts w:ascii="Arial" w:eastAsia="Verdana" w:hAnsi="Arial" w:cs="Times New Roman"/>
      <w:sz w:val="20"/>
      <w:lang w:eastAsia="ja-JP"/>
    </w:rPr>
  </w:style>
  <w:style w:type="character" w:customStyle="1" w:styleId="EndnoteTextChar">
    <w:name w:val="Endnote Text Char"/>
    <w:basedOn w:val="DefaultParagraphFont"/>
    <w:link w:val="EndnoteText"/>
    <w:uiPriority w:val="99"/>
    <w:rsid w:val="00E97F53"/>
    <w:rPr>
      <w:rFonts w:ascii="Arial" w:eastAsia="Verdana" w:hAnsi="Arial" w:cs="Times New Roman"/>
      <w:lang w:eastAsia="ja-JP"/>
    </w:rPr>
  </w:style>
  <w:style w:type="character" w:styleId="EndnoteReference">
    <w:name w:val="endnote reference"/>
    <w:uiPriority w:val="99"/>
    <w:unhideWhenUsed/>
    <w:rsid w:val="00E97F53"/>
    <w:rPr>
      <w:vertAlign w:val="superscript"/>
    </w:rPr>
  </w:style>
  <w:style w:type="paragraph" w:customStyle="1" w:styleId="NumberedList">
    <w:name w:val="NumberedList"/>
    <w:basedOn w:val="BodyText"/>
    <w:rsid w:val="00E97F53"/>
    <w:pPr>
      <w:numPr>
        <w:numId w:val="21"/>
      </w:numPr>
      <w:spacing w:after="240"/>
    </w:pPr>
    <w:rPr>
      <w:rFonts w:ascii="Arial" w:hAnsi="Arial"/>
      <w:sz w:val="22"/>
    </w:rPr>
  </w:style>
  <w:style w:type="paragraph" w:styleId="ListBullet">
    <w:name w:val="List Bullet"/>
    <w:basedOn w:val="Normal"/>
    <w:rsid w:val="00E97F53"/>
    <w:pPr>
      <w:tabs>
        <w:tab w:val="left" w:pos="284"/>
        <w:tab w:val="left" w:pos="567"/>
        <w:tab w:val="num" w:pos="2835"/>
      </w:tabs>
      <w:spacing w:after="240" w:line="260" w:lineRule="exact"/>
      <w:ind w:left="2836" w:hanging="284"/>
      <w:contextualSpacing/>
      <w:jc w:val="both"/>
    </w:pPr>
    <w:rPr>
      <w:rFonts w:ascii="Arial Narrow" w:eastAsia="Times New Roman" w:hAnsi="Arial Narrow" w:cs="Times New Roman"/>
      <w:sz w:val="20"/>
      <w:lang w:eastAsia="en-AU"/>
    </w:rPr>
  </w:style>
  <w:style w:type="character" w:styleId="FollowedHyperlink">
    <w:name w:val="FollowedHyperlink"/>
    <w:uiPriority w:val="99"/>
    <w:unhideWhenUsed/>
    <w:rsid w:val="00E97F53"/>
    <w:rPr>
      <w:color w:val="800080"/>
      <w:u w:val="single"/>
    </w:rPr>
  </w:style>
  <w:style w:type="paragraph" w:styleId="HTMLPreformatted">
    <w:name w:val="HTML Preformatted"/>
    <w:basedOn w:val="Normal"/>
    <w:link w:val="HTMLPreformattedChar"/>
    <w:uiPriority w:val="99"/>
    <w:unhideWhenUsed/>
    <w:rsid w:val="00E9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lang w:eastAsia="en-AU"/>
    </w:rPr>
  </w:style>
  <w:style w:type="character" w:customStyle="1" w:styleId="HTMLPreformattedChar">
    <w:name w:val="HTML Preformatted Char"/>
    <w:basedOn w:val="DefaultParagraphFont"/>
    <w:link w:val="HTMLPreformatted"/>
    <w:uiPriority w:val="99"/>
    <w:rsid w:val="00E97F53"/>
    <w:rPr>
      <w:rFonts w:ascii="Courier New" w:eastAsia="Times New Roman" w:hAnsi="Courier New" w:cs="Times New Roman"/>
      <w:lang w:eastAsia="en-AU"/>
    </w:rPr>
  </w:style>
  <w:style w:type="paragraph" w:customStyle="1" w:styleId="Bullet">
    <w:name w:val="Bullet"/>
    <w:aliases w:val="b1"/>
    <w:basedOn w:val="Normal"/>
    <w:link w:val="BulletChar1"/>
    <w:rsid w:val="00E97F53"/>
    <w:pPr>
      <w:numPr>
        <w:numId w:val="22"/>
      </w:numPr>
      <w:spacing w:after="120" w:line="240" w:lineRule="atLeast"/>
    </w:pPr>
    <w:rPr>
      <w:rFonts w:ascii="Arial" w:eastAsia="Times New Roman" w:hAnsi="Arial" w:cs="Times New Roman"/>
      <w:sz w:val="20"/>
      <w:lang w:eastAsia="ja-JP"/>
    </w:rPr>
  </w:style>
  <w:style w:type="paragraph" w:customStyle="1" w:styleId="Bullet2">
    <w:name w:val="Bullet2"/>
    <w:aliases w:val="b2"/>
    <w:basedOn w:val="Bullet"/>
    <w:rsid w:val="00E97F53"/>
    <w:pPr>
      <w:numPr>
        <w:ilvl w:val="1"/>
      </w:numPr>
      <w:tabs>
        <w:tab w:val="clear" w:pos="1701"/>
        <w:tab w:val="num" w:pos="720"/>
      </w:tabs>
      <w:ind w:left="720" w:hanging="360"/>
    </w:pPr>
  </w:style>
  <w:style w:type="paragraph" w:customStyle="1" w:styleId="Bullet3">
    <w:name w:val="Bullet3"/>
    <w:basedOn w:val="Bullet"/>
    <w:rsid w:val="00E97F53"/>
    <w:pPr>
      <w:numPr>
        <w:ilvl w:val="2"/>
      </w:numPr>
      <w:tabs>
        <w:tab w:val="clear" w:pos="2268"/>
        <w:tab w:val="num" w:pos="1080"/>
      </w:tabs>
      <w:ind w:left="1080" w:hanging="360"/>
    </w:pPr>
  </w:style>
  <w:style w:type="character" w:customStyle="1" w:styleId="BulletChar1">
    <w:name w:val="Bullet Char1"/>
    <w:link w:val="Bullet"/>
    <w:rsid w:val="00E97F53"/>
    <w:rPr>
      <w:rFonts w:ascii="Arial" w:eastAsia="Times New Roman" w:hAnsi="Arial" w:cs="Times New Roman"/>
      <w:lang w:eastAsia="ja-JP"/>
    </w:rPr>
  </w:style>
  <w:style w:type="character" w:styleId="HTMLCite">
    <w:name w:val="HTML Cite"/>
    <w:uiPriority w:val="99"/>
    <w:unhideWhenUsed/>
    <w:rsid w:val="00E97F53"/>
    <w:rPr>
      <w:i/>
      <w:iCs/>
    </w:rPr>
  </w:style>
  <w:style w:type="character" w:customStyle="1" w:styleId="citationyear1">
    <w:name w:val="citation_year1"/>
    <w:rsid w:val="00E97F53"/>
    <w:rPr>
      <w:b/>
      <w:bCs/>
    </w:rPr>
  </w:style>
  <w:style w:type="character" w:customStyle="1" w:styleId="citationvolume1">
    <w:name w:val="citation_volume1"/>
    <w:rsid w:val="00E97F53"/>
    <w:rPr>
      <w:i/>
      <w:iCs/>
    </w:rPr>
  </w:style>
  <w:style w:type="character" w:customStyle="1" w:styleId="zTempStyle">
    <w:name w:val="zTempStyle"/>
    <w:basedOn w:val="DefaultParagraphFont"/>
    <w:rsid w:val="004E00C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ais.ornl.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rivm.nl/bibliotheek/rapporten/711701025.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pa.gov/iri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vironment.gov.au/settlements/publications/chemicals/scheduled-waste/pcbmanagement/index.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ais.ornl.gov/"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epa.gov/iris/" TargetMode="External"/><Relationship Id="rId22"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D3D6-5CA7-4367-BB98-800C6CCB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INST_INS.DOTX</Template>
  <TotalTime>36</TotalTime>
  <Pages>19</Pages>
  <Words>6258</Words>
  <Characters>34611</Characters>
  <Application>Microsoft Office Word</Application>
  <DocSecurity>0</DocSecurity>
  <Lines>961</Lines>
  <Paragraphs>567</Paragraphs>
  <ScaleCrop>false</ScaleCrop>
  <HeadingPairs>
    <vt:vector size="2" baseType="variant">
      <vt:variant>
        <vt:lpstr>Title</vt:lpstr>
      </vt:variant>
      <vt:variant>
        <vt:i4>1</vt:i4>
      </vt:variant>
    </vt:vector>
  </HeadingPairs>
  <TitlesOfParts>
    <vt:vector size="1" baseType="lpstr">
      <vt:lpstr>National Environment Protection (Assessment of Site Contamination) Amendment Measure 2013 (No. A):Schedule B7 Appendix A5</vt:lpstr>
    </vt:vector>
  </TitlesOfParts>
  <Company>Office of Parliamentary Counsel</Company>
  <LinksUpToDate>false</LinksUpToDate>
  <CharactersWithSpaces>40302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 Protection (Assessment of Site Contamination) Amendment Measure 2013 (No. A):Schedule B7 Appendix A5</dc:title>
  <dc:creator>Larsen, Susan</dc:creator>
  <cp:lastModifiedBy>Anuj I. McFarland</cp:lastModifiedBy>
  <cp:revision>38</cp:revision>
  <cp:lastPrinted>2013-03-14T05:47:00Z</cp:lastPrinted>
  <dcterms:created xsi:type="dcterms:W3CDTF">2013-03-05T22:42:00Z</dcterms:created>
  <dcterms:modified xsi:type="dcterms:W3CDTF">2013-03-22T01:36:00Z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LI</vt:lpwstr>
  </property>
  <property fmtid="{D5CDD505-2E9C-101B-9397-08002B2CF9AE}" pid="3" name="ShortT">
    <vt:lpwstr>National Environment Protection (Assessment of Site Contamination) Amendment Measure 2013 (No. A):Schedule B7 Appendix A5;</vt:lpwstr>
  </property>
  <property fmtid="{D5CDD505-2E9C-101B-9397-08002B2CF9AE}" pid="4" name="Class">
    <vt:lpwstr>By-Law</vt:lpwstr>
  </property>
  <property fmtid="{D5CDD505-2E9C-101B-9397-08002B2CF9AE}" pid="5" name="DocType">
    <vt:lpwstr>INS</vt:lpwstr>
  </property>
  <property fmtid="{D5CDD505-2E9C-101B-9397-08002B2CF9AE}" pid="6" name="ID">
    <vt:lpwstr>OPC50357</vt:lpwstr>
  </property>
  <property fmtid="{D5CDD505-2E9C-101B-9397-08002B2CF9AE}" pid="7" name="ActMadeUnder">
    <vt:lpwstr/>
  </property>
  <property fmtid="{D5CDD505-2E9C-101B-9397-08002B2CF9AE}" pid="8" name="NonLegInst">
    <vt:lpwstr>0</vt:lpwstr>
  </property>
  <property fmtid="{D5CDD505-2E9C-101B-9397-08002B2CF9AE}" pid="9" name="Classification">
    <vt:lpwstr>DRAFT-IN-CONFIDENCE</vt:lpwstr>
  </property>
  <property fmtid="{D5CDD505-2E9C-101B-9397-08002B2CF9AE}" pid="10" name="DoNotAsk">
    <vt:lpwstr>0</vt:lpwstr>
  </property>
  <property fmtid="{D5CDD505-2E9C-101B-9397-08002B2CF9AE}" pid="11" name="ChangedTitle">
    <vt:lpwstr/>
  </property>
</Properties>
</file>