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F6068" w:rsidRDefault="00193461" w:rsidP="0048364F">
      <w:pPr>
        <w:rPr>
          <w:sz w:val="28"/>
        </w:rPr>
      </w:pPr>
      <w:r w:rsidRPr="004F6068">
        <w:rPr>
          <w:noProof/>
          <w:lang w:eastAsia="en-AU"/>
        </w:rPr>
        <w:drawing>
          <wp:inline distT="0" distB="0" distL="0" distR="0" wp14:anchorId="5F96482B" wp14:editId="235B947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4F6068" w:rsidRDefault="0048364F" w:rsidP="0048364F">
      <w:pPr>
        <w:rPr>
          <w:sz w:val="19"/>
        </w:rPr>
      </w:pPr>
    </w:p>
    <w:p w:rsidR="0048364F" w:rsidRPr="004F6068" w:rsidRDefault="00DD07CA" w:rsidP="0048364F">
      <w:pPr>
        <w:pStyle w:val="ShortT"/>
      </w:pPr>
      <w:bookmarkStart w:id="0" w:name="ConfidenceBlock"/>
      <w:bookmarkEnd w:id="0"/>
      <w:r w:rsidRPr="004F6068">
        <w:t xml:space="preserve">Clean Energy </w:t>
      </w:r>
      <w:r w:rsidR="005942A1" w:rsidRPr="004F6068">
        <w:t xml:space="preserve">Legislation </w:t>
      </w:r>
      <w:r w:rsidR="00AA321F" w:rsidRPr="004F6068">
        <w:t xml:space="preserve">Amendment </w:t>
      </w:r>
      <w:r w:rsidRPr="004F6068">
        <w:t>(International Linking) Regulation</w:t>
      </w:r>
      <w:r w:rsidR="004F6068" w:rsidRPr="004F6068">
        <w:t> </w:t>
      </w:r>
      <w:r w:rsidR="00AA321F" w:rsidRPr="004F6068">
        <w:t>2013</w:t>
      </w:r>
    </w:p>
    <w:p w:rsidR="0048364F" w:rsidRPr="004F6068" w:rsidRDefault="0048364F" w:rsidP="0048364F"/>
    <w:p w:rsidR="0048364F" w:rsidRPr="004F6068" w:rsidRDefault="00E854D3" w:rsidP="00680F17">
      <w:pPr>
        <w:pStyle w:val="InstNo"/>
      </w:pPr>
      <w:r>
        <w:t>Select Legislative Instrument No. 78,</w:t>
      </w:r>
      <w:r w:rsidR="002C0628">
        <w:t xml:space="preserve"> </w:t>
      </w:r>
      <w:r>
        <w:t>2013</w:t>
      </w:r>
    </w:p>
    <w:p w:rsidR="00913983" w:rsidRPr="004F6068" w:rsidRDefault="00913983" w:rsidP="003832AE">
      <w:pPr>
        <w:pStyle w:val="SignCoverPageStart"/>
        <w:spacing w:before="240"/>
      </w:pPr>
      <w:r w:rsidRPr="004F6068">
        <w:t>I, Quentin Bryce AC CVO, Governor</w:t>
      </w:r>
      <w:r w:rsidR="004F6068">
        <w:noBreakHyphen/>
      </w:r>
      <w:r w:rsidRPr="004F6068">
        <w:t xml:space="preserve">General of the Commonwealth of Australia, acting with the advice of the Federal Executive Council, make the following regulation under the </w:t>
      </w:r>
      <w:r w:rsidRPr="004F6068">
        <w:rPr>
          <w:i/>
        </w:rPr>
        <w:t>Australian National Registry of Emissions Units Act 2011</w:t>
      </w:r>
      <w:r w:rsidRPr="004F6068">
        <w:t xml:space="preserve">, the </w:t>
      </w:r>
      <w:r w:rsidRPr="004F6068">
        <w:rPr>
          <w:i/>
        </w:rPr>
        <w:t>Carbon Credits (Carbon Farming Initiative) Act 2011</w:t>
      </w:r>
      <w:r w:rsidRPr="004F6068">
        <w:t xml:space="preserve"> and the </w:t>
      </w:r>
      <w:r w:rsidRPr="004F6068">
        <w:rPr>
          <w:i/>
        </w:rPr>
        <w:t>Clean Energy Act 2011</w:t>
      </w:r>
      <w:r w:rsidRPr="004F6068">
        <w:t>.</w:t>
      </w:r>
    </w:p>
    <w:p w:rsidR="00913983" w:rsidRPr="004F6068" w:rsidRDefault="00913983" w:rsidP="003832AE">
      <w:pPr>
        <w:keepNext/>
        <w:spacing w:before="720" w:line="240" w:lineRule="atLeast"/>
        <w:ind w:right="397"/>
        <w:jc w:val="both"/>
        <w:rPr>
          <w:sz w:val="24"/>
          <w:szCs w:val="24"/>
        </w:rPr>
      </w:pPr>
      <w:r w:rsidRPr="004F6068">
        <w:rPr>
          <w:sz w:val="24"/>
          <w:szCs w:val="24"/>
        </w:rPr>
        <w:t xml:space="preserve">Dated </w:t>
      </w:r>
      <w:r w:rsidRPr="004F6068">
        <w:rPr>
          <w:sz w:val="24"/>
          <w:szCs w:val="24"/>
        </w:rPr>
        <w:tab/>
      </w:r>
      <w:r w:rsidRPr="004F6068">
        <w:rPr>
          <w:sz w:val="24"/>
          <w:szCs w:val="24"/>
        </w:rPr>
        <w:tab/>
      </w:r>
      <w:bookmarkStart w:id="1" w:name="BKCheck15B_2"/>
      <w:bookmarkEnd w:id="1"/>
      <w:r w:rsidR="002C0628">
        <w:rPr>
          <w:sz w:val="24"/>
          <w:szCs w:val="24"/>
        </w:rPr>
        <w:t>16 May 2013</w:t>
      </w:r>
      <w:r w:rsidRPr="004F6068">
        <w:rPr>
          <w:sz w:val="24"/>
          <w:szCs w:val="24"/>
        </w:rPr>
        <w:fldChar w:fldCharType="begin"/>
      </w:r>
      <w:r w:rsidRPr="004F6068">
        <w:rPr>
          <w:sz w:val="24"/>
          <w:szCs w:val="24"/>
        </w:rPr>
        <w:instrText xml:space="preserve"> DOCPROPERTY  DateMade </w:instrText>
      </w:r>
      <w:r w:rsidRPr="004F6068">
        <w:rPr>
          <w:sz w:val="24"/>
          <w:szCs w:val="24"/>
        </w:rPr>
        <w:fldChar w:fldCharType="end"/>
      </w:r>
    </w:p>
    <w:p w:rsidR="00913983" w:rsidRPr="004F6068" w:rsidRDefault="00913983" w:rsidP="003832AE">
      <w:pPr>
        <w:keepNext/>
        <w:tabs>
          <w:tab w:val="left" w:pos="3402"/>
        </w:tabs>
        <w:spacing w:before="960" w:line="300" w:lineRule="atLeast"/>
        <w:ind w:left="397" w:right="397"/>
        <w:jc w:val="right"/>
        <w:rPr>
          <w:sz w:val="24"/>
          <w:szCs w:val="24"/>
        </w:rPr>
      </w:pPr>
      <w:r w:rsidRPr="004F6068">
        <w:t>Quentin Bryce</w:t>
      </w:r>
    </w:p>
    <w:p w:rsidR="00913983" w:rsidRPr="004F6068" w:rsidRDefault="00913983" w:rsidP="003832AE">
      <w:pPr>
        <w:keepNext/>
        <w:tabs>
          <w:tab w:val="left" w:pos="3402"/>
        </w:tabs>
        <w:spacing w:line="300" w:lineRule="atLeast"/>
        <w:ind w:left="397" w:right="397"/>
        <w:jc w:val="right"/>
        <w:rPr>
          <w:sz w:val="24"/>
          <w:szCs w:val="24"/>
        </w:rPr>
      </w:pPr>
      <w:r w:rsidRPr="004F6068">
        <w:rPr>
          <w:sz w:val="24"/>
          <w:szCs w:val="24"/>
        </w:rPr>
        <w:t>Governor</w:t>
      </w:r>
      <w:r w:rsidR="004F6068">
        <w:rPr>
          <w:sz w:val="24"/>
          <w:szCs w:val="24"/>
        </w:rPr>
        <w:noBreakHyphen/>
      </w:r>
      <w:r w:rsidRPr="004F6068">
        <w:rPr>
          <w:sz w:val="24"/>
          <w:szCs w:val="24"/>
        </w:rPr>
        <w:t>General</w:t>
      </w:r>
    </w:p>
    <w:p w:rsidR="00913983" w:rsidRPr="004F6068" w:rsidRDefault="00913983" w:rsidP="003832AE">
      <w:pPr>
        <w:keepNext/>
        <w:tabs>
          <w:tab w:val="left" w:pos="3402"/>
        </w:tabs>
        <w:spacing w:after="800" w:line="300" w:lineRule="atLeast"/>
        <w:ind w:right="397"/>
        <w:rPr>
          <w:sz w:val="24"/>
          <w:szCs w:val="24"/>
        </w:rPr>
      </w:pPr>
      <w:r w:rsidRPr="004F6068">
        <w:rPr>
          <w:sz w:val="24"/>
          <w:szCs w:val="24"/>
        </w:rPr>
        <w:t>By Her Excellency’s Command</w:t>
      </w:r>
    </w:p>
    <w:p w:rsidR="00913983" w:rsidRPr="004F6068" w:rsidRDefault="00913983" w:rsidP="003832AE">
      <w:pPr>
        <w:keepNext/>
        <w:tabs>
          <w:tab w:val="left" w:pos="3402"/>
        </w:tabs>
        <w:spacing w:before="480" w:line="300" w:lineRule="atLeast"/>
        <w:ind w:right="397"/>
        <w:rPr>
          <w:szCs w:val="22"/>
        </w:rPr>
      </w:pPr>
      <w:r w:rsidRPr="004F6068">
        <w:rPr>
          <w:szCs w:val="22"/>
        </w:rPr>
        <w:t xml:space="preserve">Greg </w:t>
      </w:r>
      <w:proofErr w:type="spellStart"/>
      <w:r w:rsidRPr="004F6068">
        <w:rPr>
          <w:szCs w:val="22"/>
        </w:rPr>
        <w:t>Combet</w:t>
      </w:r>
      <w:proofErr w:type="spellEnd"/>
      <w:r w:rsidR="00F9664D" w:rsidRPr="004F6068">
        <w:rPr>
          <w:szCs w:val="22"/>
        </w:rPr>
        <w:t xml:space="preserve"> AM</w:t>
      </w:r>
    </w:p>
    <w:p w:rsidR="00913983" w:rsidRPr="004F6068" w:rsidRDefault="00913983" w:rsidP="003832AE">
      <w:pPr>
        <w:pStyle w:val="SignCoverPageEnd"/>
      </w:pPr>
      <w:r w:rsidRPr="004F6068">
        <w:t>Minister for Climate Change</w:t>
      </w:r>
      <w:r w:rsidR="00F9664D" w:rsidRPr="004F6068">
        <w:t>, Industry and Innovation</w:t>
      </w:r>
    </w:p>
    <w:p w:rsidR="00913983" w:rsidRPr="004F6068" w:rsidRDefault="00913983">
      <w:pPr>
        <w:pStyle w:val="Tabletext"/>
      </w:pPr>
    </w:p>
    <w:p w:rsidR="00913983" w:rsidRPr="004F6068" w:rsidRDefault="00913983" w:rsidP="00913983"/>
    <w:p w:rsidR="0048364F" w:rsidRPr="004F6068" w:rsidRDefault="0048364F" w:rsidP="0048364F">
      <w:pPr>
        <w:pStyle w:val="Header"/>
        <w:tabs>
          <w:tab w:val="clear" w:pos="4150"/>
          <w:tab w:val="clear" w:pos="8307"/>
        </w:tabs>
      </w:pPr>
      <w:r w:rsidRPr="004F6068">
        <w:rPr>
          <w:rStyle w:val="CharAmSchNo"/>
        </w:rPr>
        <w:t xml:space="preserve"> </w:t>
      </w:r>
      <w:r w:rsidRPr="004F6068">
        <w:rPr>
          <w:rStyle w:val="CharAmSchText"/>
        </w:rPr>
        <w:t xml:space="preserve"> </w:t>
      </w:r>
    </w:p>
    <w:p w:rsidR="0048364F" w:rsidRPr="004F6068" w:rsidRDefault="0048364F" w:rsidP="0048364F">
      <w:pPr>
        <w:pStyle w:val="Header"/>
        <w:tabs>
          <w:tab w:val="clear" w:pos="4150"/>
          <w:tab w:val="clear" w:pos="8307"/>
        </w:tabs>
      </w:pPr>
      <w:r w:rsidRPr="004F6068">
        <w:rPr>
          <w:rStyle w:val="CharAmPartNo"/>
        </w:rPr>
        <w:t xml:space="preserve"> </w:t>
      </w:r>
      <w:r w:rsidRPr="004F6068">
        <w:rPr>
          <w:rStyle w:val="CharAmPartText"/>
        </w:rPr>
        <w:t xml:space="preserve"> </w:t>
      </w:r>
    </w:p>
    <w:p w:rsidR="00EA35AE" w:rsidRPr="004F6068" w:rsidRDefault="00EA35AE" w:rsidP="00EA35AE">
      <w:pPr>
        <w:sectPr w:rsidR="00EA35AE" w:rsidRPr="004F6068" w:rsidSect="001E0D8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4F6068" w:rsidRDefault="0048364F" w:rsidP="004B0968">
      <w:pPr>
        <w:rPr>
          <w:sz w:val="36"/>
        </w:rPr>
      </w:pPr>
      <w:r w:rsidRPr="004F6068">
        <w:rPr>
          <w:sz w:val="36"/>
        </w:rPr>
        <w:lastRenderedPageBreak/>
        <w:t>Contents</w:t>
      </w:r>
    </w:p>
    <w:bookmarkStart w:id="2" w:name="BKCheck15B_3"/>
    <w:bookmarkEnd w:id="2"/>
    <w:p w:rsidR="002C0628" w:rsidRDefault="002C062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 of regulation</w:t>
      </w:r>
      <w:r w:rsidRPr="002C0628">
        <w:rPr>
          <w:noProof/>
        </w:rPr>
        <w:tab/>
      </w:r>
      <w:r w:rsidRPr="002C0628">
        <w:rPr>
          <w:noProof/>
        </w:rPr>
        <w:fldChar w:fldCharType="begin"/>
      </w:r>
      <w:r w:rsidRPr="002C0628">
        <w:rPr>
          <w:noProof/>
        </w:rPr>
        <w:instrText xml:space="preserve"> PAGEREF _Toc356308355 \h </w:instrText>
      </w:r>
      <w:r w:rsidRPr="002C0628">
        <w:rPr>
          <w:noProof/>
        </w:rPr>
      </w:r>
      <w:r w:rsidRPr="002C0628">
        <w:rPr>
          <w:noProof/>
        </w:rPr>
        <w:fldChar w:fldCharType="separate"/>
      </w:r>
      <w:r w:rsidRPr="002C0628">
        <w:rPr>
          <w:noProof/>
        </w:rPr>
        <w:t>1</w:t>
      </w:r>
      <w:r w:rsidRPr="002C0628">
        <w:rPr>
          <w:noProof/>
        </w:rPr>
        <w:fldChar w:fldCharType="end"/>
      </w:r>
    </w:p>
    <w:p w:rsidR="002C0628" w:rsidRDefault="002C0628">
      <w:pPr>
        <w:pStyle w:val="TOC5"/>
        <w:rPr>
          <w:rFonts w:asciiTheme="minorHAnsi" w:eastAsiaTheme="minorEastAsia" w:hAnsiTheme="minorHAnsi" w:cstheme="minorBidi"/>
          <w:noProof/>
          <w:kern w:val="0"/>
          <w:sz w:val="22"/>
          <w:szCs w:val="22"/>
        </w:rPr>
      </w:pPr>
      <w:r>
        <w:rPr>
          <w:noProof/>
        </w:rPr>
        <w:t>2</w:t>
      </w:r>
      <w:r>
        <w:rPr>
          <w:noProof/>
        </w:rPr>
        <w:tab/>
        <w:t>Commencement</w:t>
      </w:r>
      <w:r w:rsidRPr="002C0628">
        <w:rPr>
          <w:noProof/>
        </w:rPr>
        <w:tab/>
      </w:r>
      <w:r w:rsidRPr="002C0628">
        <w:rPr>
          <w:noProof/>
        </w:rPr>
        <w:fldChar w:fldCharType="begin"/>
      </w:r>
      <w:r w:rsidRPr="002C0628">
        <w:rPr>
          <w:noProof/>
        </w:rPr>
        <w:instrText xml:space="preserve"> PAGEREF _Toc356308356 \h </w:instrText>
      </w:r>
      <w:r w:rsidRPr="002C0628">
        <w:rPr>
          <w:noProof/>
        </w:rPr>
      </w:r>
      <w:r w:rsidRPr="002C0628">
        <w:rPr>
          <w:noProof/>
        </w:rPr>
        <w:fldChar w:fldCharType="separate"/>
      </w:r>
      <w:r w:rsidRPr="002C0628">
        <w:rPr>
          <w:noProof/>
        </w:rPr>
        <w:t>1</w:t>
      </w:r>
      <w:r w:rsidRPr="002C0628">
        <w:rPr>
          <w:noProof/>
        </w:rPr>
        <w:fldChar w:fldCharType="end"/>
      </w:r>
    </w:p>
    <w:p w:rsidR="002C0628" w:rsidRDefault="002C0628">
      <w:pPr>
        <w:pStyle w:val="TOC5"/>
        <w:rPr>
          <w:rFonts w:asciiTheme="minorHAnsi" w:eastAsiaTheme="minorEastAsia" w:hAnsiTheme="minorHAnsi" w:cstheme="minorBidi"/>
          <w:noProof/>
          <w:kern w:val="0"/>
          <w:sz w:val="22"/>
          <w:szCs w:val="22"/>
        </w:rPr>
      </w:pPr>
      <w:r>
        <w:rPr>
          <w:noProof/>
        </w:rPr>
        <w:t>3</w:t>
      </w:r>
      <w:r>
        <w:rPr>
          <w:noProof/>
        </w:rPr>
        <w:tab/>
        <w:t>Authority</w:t>
      </w:r>
      <w:r w:rsidRPr="002C0628">
        <w:rPr>
          <w:noProof/>
        </w:rPr>
        <w:tab/>
      </w:r>
      <w:r w:rsidRPr="002C0628">
        <w:rPr>
          <w:noProof/>
        </w:rPr>
        <w:fldChar w:fldCharType="begin"/>
      </w:r>
      <w:r w:rsidRPr="002C0628">
        <w:rPr>
          <w:noProof/>
        </w:rPr>
        <w:instrText xml:space="preserve"> PAGEREF _Toc356308357 \h </w:instrText>
      </w:r>
      <w:r w:rsidRPr="002C0628">
        <w:rPr>
          <w:noProof/>
        </w:rPr>
      </w:r>
      <w:r w:rsidRPr="002C0628">
        <w:rPr>
          <w:noProof/>
        </w:rPr>
        <w:fldChar w:fldCharType="separate"/>
      </w:r>
      <w:r w:rsidRPr="002C0628">
        <w:rPr>
          <w:noProof/>
        </w:rPr>
        <w:t>1</w:t>
      </w:r>
      <w:r w:rsidRPr="002C0628">
        <w:rPr>
          <w:noProof/>
        </w:rPr>
        <w:fldChar w:fldCharType="end"/>
      </w:r>
    </w:p>
    <w:p w:rsidR="002C0628" w:rsidRDefault="002C0628">
      <w:pPr>
        <w:pStyle w:val="TOC5"/>
        <w:rPr>
          <w:rFonts w:asciiTheme="minorHAnsi" w:eastAsiaTheme="minorEastAsia" w:hAnsiTheme="minorHAnsi" w:cstheme="minorBidi"/>
          <w:noProof/>
          <w:kern w:val="0"/>
          <w:sz w:val="22"/>
          <w:szCs w:val="22"/>
        </w:rPr>
      </w:pPr>
      <w:r>
        <w:rPr>
          <w:noProof/>
        </w:rPr>
        <w:t>4</w:t>
      </w:r>
      <w:r>
        <w:rPr>
          <w:noProof/>
        </w:rPr>
        <w:tab/>
        <w:t>Schedule(s)</w:t>
      </w:r>
      <w:r w:rsidRPr="002C0628">
        <w:rPr>
          <w:noProof/>
        </w:rPr>
        <w:tab/>
      </w:r>
      <w:r w:rsidRPr="002C0628">
        <w:rPr>
          <w:noProof/>
        </w:rPr>
        <w:fldChar w:fldCharType="begin"/>
      </w:r>
      <w:r w:rsidRPr="002C0628">
        <w:rPr>
          <w:noProof/>
        </w:rPr>
        <w:instrText xml:space="preserve"> PAGEREF _Toc356308358 \h </w:instrText>
      </w:r>
      <w:r w:rsidRPr="002C0628">
        <w:rPr>
          <w:noProof/>
        </w:rPr>
      </w:r>
      <w:r w:rsidRPr="002C0628">
        <w:rPr>
          <w:noProof/>
        </w:rPr>
        <w:fldChar w:fldCharType="separate"/>
      </w:r>
      <w:r w:rsidRPr="002C0628">
        <w:rPr>
          <w:noProof/>
        </w:rPr>
        <w:t>1</w:t>
      </w:r>
      <w:r w:rsidRPr="002C0628">
        <w:rPr>
          <w:noProof/>
        </w:rPr>
        <w:fldChar w:fldCharType="end"/>
      </w:r>
    </w:p>
    <w:p w:rsidR="002C0628" w:rsidRDefault="002C0628">
      <w:pPr>
        <w:pStyle w:val="TOC6"/>
        <w:rPr>
          <w:rFonts w:asciiTheme="minorHAnsi" w:eastAsiaTheme="minorEastAsia" w:hAnsiTheme="minorHAnsi" w:cstheme="minorBidi"/>
          <w:b w:val="0"/>
          <w:noProof/>
          <w:kern w:val="0"/>
          <w:sz w:val="22"/>
          <w:szCs w:val="22"/>
        </w:rPr>
      </w:pPr>
      <w:r>
        <w:rPr>
          <w:noProof/>
        </w:rPr>
        <w:t>Schedule 1—Amendments</w:t>
      </w:r>
      <w:r w:rsidRPr="002C0628">
        <w:rPr>
          <w:b w:val="0"/>
          <w:noProof/>
          <w:sz w:val="18"/>
        </w:rPr>
        <w:tab/>
      </w:r>
      <w:r w:rsidRPr="002C0628">
        <w:rPr>
          <w:b w:val="0"/>
          <w:noProof/>
          <w:sz w:val="18"/>
        </w:rPr>
        <w:fldChar w:fldCharType="begin"/>
      </w:r>
      <w:r w:rsidRPr="002C0628">
        <w:rPr>
          <w:b w:val="0"/>
          <w:noProof/>
          <w:sz w:val="18"/>
        </w:rPr>
        <w:instrText xml:space="preserve"> PAGEREF _Toc356308359 \h </w:instrText>
      </w:r>
      <w:r w:rsidRPr="002C0628">
        <w:rPr>
          <w:b w:val="0"/>
          <w:noProof/>
          <w:sz w:val="18"/>
        </w:rPr>
      </w:r>
      <w:r w:rsidRPr="002C0628">
        <w:rPr>
          <w:b w:val="0"/>
          <w:noProof/>
          <w:sz w:val="18"/>
        </w:rPr>
        <w:fldChar w:fldCharType="separate"/>
      </w:r>
      <w:r w:rsidRPr="002C0628">
        <w:rPr>
          <w:b w:val="0"/>
          <w:noProof/>
          <w:sz w:val="18"/>
        </w:rPr>
        <w:t>2</w:t>
      </w:r>
      <w:r w:rsidRPr="002C0628">
        <w:rPr>
          <w:b w:val="0"/>
          <w:noProof/>
          <w:sz w:val="18"/>
        </w:rPr>
        <w:fldChar w:fldCharType="end"/>
      </w:r>
    </w:p>
    <w:p w:rsidR="002C0628" w:rsidRDefault="002C0628">
      <w:pPr>
        <w:pStyle w:val="TOC9"/>
        <w:rPr>
          <w:rFonts w:asciiTheme="minorHAnsi" w:eastAsiaTheme="minorEastAsia" w:hAnsiTheme="minorHAnsi" w:cstheme="minorBidi"/>
          <w:i w:val="0"/>
          <w:noProof/>
          <w:kern w:val="0"/>
          <w:sz w:val="22"/>
          <w:szCs w:val="22"/>
        </w:rPr>
      </w:pPr>
      <w:r>
        <w:rPr>
          <w:noProof/>
        </w:rPr>
        <w:t>Australian National Registry of Emissions Units Regulations 2011</w:t>
      </w:r>
      <w:r w:rsidRPr="002C0628">
        <w:rPr>
          <w:i w:val="0"/>
          <w:noProof/>
          <w:sz w:val="18"/>
        </w:rPr>
        <w:tab/>
      </w:r>
      <w:r w:rsidRPr="002C0628">
        <w:rPr>
          <w:i w:val="0"/>
          <w:noProof/>
          <w:sz w:val="18"/>
        </w:rPr>
        <w:fldChar w:fldCharType="begin"/>
      </w:r>
      <w:r w:rsidRPr="002C0628">
        <w:rPr>
          <w:i w:val="0"/>
          <w:noProof/>
          <w:sz w:val="18"/>
        </w:rPr>
        <w:instrText xml:space="preserve"> PAGEREF _Toc356308360 \h </w:instrText>
      </w:r>
      <w:r w:rsidRPr="002C0628">
        <w:rPr>
          <w:i w:val="0"/>
          <w:noProof/>
          <w:sz w:val="18"/>
        </w:rPr>
      </w:r>
      <w:r w:rsidRPr="002C0628">
        <w:rPr>
          <w:i w:val="0"/>
          <w:noProof/>
          <w:sz w:val="18"/>
        </w:rPr>
        <w:fldChar w:fldCharType="separate"/>
      </w:r>
      <w:r w:rsidRPr="002C0628">
        <w:rPr>
          <w:i w:val="0"/>
          <w:noProof/>
          <w:sz w:val="18"/>
        </w:rPr>
        <w:t>2</w:t>
      </w:r>
      <w:r w:rsidRPr="002C0628">
        <w:rPr>
          <w:i w:val="0"/>
          <w:noProof/>
          <w:sz w:val="18"/>
        </w:rPr>
        <w:fldChar w:fldCharType="end"/>
      </w:r>
    </w:p>
    <w:p w:rsidR="002C0628" w:rsidRDefault="002C0628">
      <w:pPr>
        <w:pStyle w:val="TOC9"/>
        <w:rPr>
          <w:rFonts w:asciiTheme="minorHAnsi" w:eastAsiaTheme="minorEastAsia" w:hAnsiTheme="minorHAnsi" w:cstheme="minorBidi"/>
          <w:i w:val="0"/>
          <w:noProof/>
          <w:kern w:val="0"/>
          <w:sz w:val="22"/>
          <w:szCs w:val="22"/>
        </w:rPr>
      </w:pPr>
      <w:r>
        <w:rPr>
          <w:noProof/>
        </w:rPr>
        <w:t>Carbon Credits (Carbon Farming Initiative) Regulations 2011</w:t>
      </w:r>
      <w:r w:rsidRPr="002C0628">
        <w:rPr>
          <w:i w:val="0"/>
          <w:noProof/>
          <w:sz w:val="18"/>
        </w:rPr>
        <w:tab/>
      </w:r>
      <w:r w:rsidRPr="002C0628">
        <w:rPr>
          <w:i w:val="0"/>
          <w:noProof/>
          <w:sz w:val="18"/>
        </w:rPr>
        <w:fldChar w:fldCharType="begin"/>
      </w:r>
      <w:r w:rsidRPr="002C0628">
        <w:rPr>
          <w:i w:val="0"/>
          <w:noProof/>
          <w:sz w:val="18"/>
        </w:rPr>
        <w:instrText xml:space="preserve"> PAGEREF _Toc356308388 \h </w:instrText>
      </w:r>
      <w:r w:rsidRPr="002C0628">
        <w:rPr>
          <w:i w:val="0"/>
          <w:noProof/>
          <w:sz w:val="18"/>
        </w:rPr>
      </w:r>
      <w:r w:rsidRPr="002C0628">
        <w:rPr>
          <w:i w:val="0"/>
          <w:noProof/>
          <w:sz w:val="18"/>
        </w:rPr>
        <w:fldChar w:fldCharType="separate"/>
      </w:r>
      <w:r w:rsidRPr="002C0628">
        <w:rPr>
          <w:i w:val="0"/>
          <w:noProof/>
          <w:sz w:val="18"/>
        </w:rPr>
        <w:t>13</w:t>
      </w:r>
      <w:r w:rsidRPr="002C0628">
        <w:rPr>
          <w:i w:val="0"/>
          <w:noProof/>
          <w:sz w:val="18"/>
        </w:rPr>
        <w:fldChar w:fldCharType="end"/>
      </w:r>
    </w:p>
    <w:p w:rsidR="002C0628" w:rsidRDefault="002C0628">
      <w:pPr>
        <w:pStyle w:val="TOC9"/>
        <w:rPr>
          <w:rFonts w:asciiTheme="minorHAnsi" w:eastAsiaTheme="minorEastAsia" w:hAnsiTheme="minorHAnsi" w:cstheme="minorBidi"/>
          <w:i w:val="0"/>
          <w:noProof/>
          <w:kern w:val="0"/>
          <w:sz w:val="22"/>
          <w:szCs w:val="22"/>
        </w:rPr>
      </w:pPr>
      <w:r>
        <w:rPr>
          <w:noProof/>
        </w:rPr>
        <w:t>Clean Energy Regulations 2011</w:t>
      </w:r>
      <w:r w:rsidRPr="002C0628">
        <w:rPr>
          <w:i w:val="0"/>
          <w:noProof/>
          <w:sz w:val="18"/>
        </w:rPr>
        <w:tab/>
      </w:r>
      <w:r w:rsidRPr="002C0628">
        <w:rPr>
          <w:i w:val="0"/>
          <w:noProof/>
          <w:sz w:val="18"/>
        </w:rPr>
        <w:fldChar w:fldCharType="begin"/>
      </w:r>
      <w:r w:rsidRPr="002C0628">
        <w:rPr>
          <w:i w:val="0"/>
          <w:noProof/>
          <w:sz w:val="18"/>
        </w:rPr>
        <w:instrText xml:space="preserve"> PAGEREF _Toc356308390 \h </w:instrText>
      </w:r>
      <w:r w:rsidRPr="002C0628">
        <w:rPr>
          <w:i w:val="0"/>
          <w:noProof/>
          <w:sz w:val="18"/>
        </w:rPr>
      </w:r>
      <w:r w:rsidRPr="002C0628">
        <w:rPr>
          <w:i w:val="0"/>
          <w:noProof/>
          <w:sz w:val="18"/>
        </w:rPr>
        <w:fldChar w:fldCharType="separate"/>
      </w:r>
      <w:r w:rsidRPr="002C0628">
        <w:rPr>
          <w:i w:val="0"/>
          <w:noProof/>
          <w:sz w:val="18"/>
        </w:rPr>
        <w:t>14</w:t>
      </w:r>
      <w:r w:rsidRPr="002C0628">
        <w:rPr>
          <w:i w:val="0"/>
          <w:noProof/>
          <w:sz w:val="18"/>
        </w:rPr>
        <w:fldChar w:fldCharType="end"/>
      </w:r>
    </w:p>
    <w:p w:rsidR="00833416" w:rsidRPr="004F6068" w:rsidRDefault="002C0628" w:rsidP="0048364F">
      <w:r>
        <w:fldChar w:fldCharType="end"/>
      </w:r>
    </w:p>
    <w:p w:rsidR="00EA35AE" w:rsidRPr="004F6068" w:rsidRDefault="00EA35AE" w:rsidP="00EA35AE">
      <w:pPr>
        <w:sectPr w:rsidR="00EA35AE" w:rsidRPr="004F6068" w:rsidSect="001E0D89">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bookmarkStart w:id="3" w:name="_GoBack"/>
      <w:bookmarkEnd w:id="3"/>
    </w:p>
    <w:p w:rsidR="0048364F" w:rsidRPr="004F6068" w:rsidRDefault="0048364F" w:rsidP="0048364F">
      <w:pPr>
        <w:pStyle w:val="ActHead5"/>
      </w:pPr>
      <w:bookmarkStart w:id="4" w:name="_Toc356308355"/>
      <w:r w:rsidRPr="004F6068">
        <w:rPr>
          <w:rStyle w:val="CharSectno"/>
        </w:rPr>
        <w:lastRenderedPageBreak/>
        <w:t>1</w:t>
      </w:r>
      <w:r w:rsidRPr="004F6068">
        <w:t xml:space="preserve">  </w:t>
      </w:r>
      <w:r w:rsidR="004F676E" w:rsidRPr="004F6068">
        <w:t xml:space="preserve">Name of </w:t>
      </w:r>
      <w:r w:rsidR="00C64532" w:rsidRPr="004F6068">
        <w:t>regulation</w:t>
      </w:r>
      <w:bookmarkEnd w:id="4"/>
    </w:p>
    <w:p w:rsidR="0048364F" w:rsidRPr="004F6068" w:rsidRDefault="0048364F" w:rsidP="0048364F">
      <w:pPr>
        <w:pStyle w:val="subsection"/>
      </w:pPr>
      <w:r w:rsidRPr="004F6068">
        <w:tab/>
      </w:r>
      <w:r w:rsidRPr="004F6068">
        <w:tab/>
        <w:t>Th</w:t>
      </w:r>
      <w:r w:rsidR="00F24C35" w:rsidRPr="004F6068">
        <w:t>is</w:t>
      </w:r>
      <w:r w:rsidRPr="004F6068">
        <w:t xml:space="preserve"> </w:t>
      </w:r>
      <w:r w:rsidR="00C64532" w:rsidRPr="004F6068">
        <w:t>regulation</w:t>
      </w:r>
      <w:r w:rsidRPr="004F6068">
        <w:t xml:space="preserve"> </w:t>
      </w:r>
      <w:r w:rsidR="00F24C35" w:rsidRPr="004F6068">
        <w:t>is</w:t>
      </w:r>
      <w:r w:rsidR="003801D0" w:rsidRPr="004F6068">
        <w:t xml:space="preserve"> the</w:t>
      </w:r>
      <w:r w:rsidRPr="004F6068">
        <w:t xml:space="preserve"> </w:t>
      </w:r>
      <w:bookmarkStart w:id="5" w:name="BKCheck15B_4"/>
      <w:bookmarkEnd w:id="5"/>
      <w:r w:rsidR="00CB0180" w:rsidRPr="004F6068">
        <w:rPr>
          <w:i/>
        </w:rPr>
        <w:fldChar w:fldCharType="begin"/>
      </w:r>
      <w:r w:rsidR="00CB0180" w:rsidRPr="004F6068">
        <w:rPr>
          <w:i/>
        </w:rPr>
        <w:instrText xml:space="preserve"> STYLEREF  ShortT </w:instrText>
      </w:r>
      <w:r w:rsidR="00CB0180" w:rsidRPr="004F6068">
        <w:rPr>
          <w:i/>
        </w:rPr>
        <w:fldChar w:fldCharType="separate"/>
      </w:r>
      <w:r w:rsidR="002C0628">
        <w:rPr>
          <w:i/>
          <w:noProof/>
        </w:rPr>
        <w:t>Clean Energy Legislation Amendment (International Linking) Regulation 2013</w:t>
      </w:r>
      <w:r w:rsidR="00CB0180" w:rsidRPr="004F6068">
        <w:rPr>
          <w:i/>
        </w:rPr>
        <w:fldChar w:fldCharType="end"/>
      </w:r>
      <w:r w:rsidRPr="004F6068">
        <w:t>.</w:t>
      </w:r>
    </w:p>
    <w:p w:rsidR="0048364F" w:rsidRPr="004F6068" w:rsidRDefault="0048364F" w:rsidP="0048364F">
      <w:pPr>
        <w:pStyle w:val="ActHead5"/>
      </w:pPr>
      <w:bookmarkStart w:id="6" w:name="_Toc356308356"/>
      <w:r w:rsidRPr="004F6068">
        <w:rPr>
          <w:rStyle w:val="CharSectno"/>
        </w:rPr>
        <w:t>2</w:t>
      </w:r>
      <w:r w:rsidRPr="004F6068">
        <w:t xml:space="preserve">  Commencement</w:t>
      </w:r>
      <w:bookmarkEnd w:id="6"/>
    </w:p>
    <w:p w:rsidR="004F676E" w:rsidRPr="004F6068" w:rsidRDefault="004F676E" w:rsidP="004F676E">
      <w:pPr>
        <w:pStyle w:val="subsection"/>
      </w:pPr>
      <w:r w:rsidRPr="004F6068">
        <w:tab/>
      </w:r>
      <w:r w:rsidRPr="004F6068">
        <w:tab/>
        <w:t>Th</w:t>
      </w:r>
      <w:r w:rsidR="00F24C35" w:rsidRPr="004F6068">
        <w:t>is</w:t>
      </w:r>
      <w:r w:rsidRPr="004F6068">
        <w:t xml:space="preserve"> </w:t>
      </w:r>
      <w:r w:rsidR="00C64532" w:rsidRPr="004F6068">
        <w:t>regulation</w:t>
      </w:r>
      <w:r w:rsidRPr="004F6068">
        <w:t xml:space="preserve"> commence</w:t>
      </w:r>
      <w:r w:rsidR="00D17B17" w:rsidRPr="004F6068">
        <w:t>s</w:t>
      </w:r>
      <w:r w:rsidRPr="004F6068">
        <w:t xml:space="preserve"> on </w:t>
      </w:r>
      <w:r w:rsidR="00C64532" w:rsidRPr="004F6068">
        <w:t>the day after it is registered</w:t>
      </w:r>
      <w:r w:rsidRPr="004F6068">
        <w:t>.</w:t>
      </w:r>
    </w:p>
    <w:p w:rsidR="007769D4" w:rsidRPr="004F6068" w:rsidRDefault="007769D4" w:rsidP="007769D4">
      <w:pPr>
        <w:pStyle w:val="ActHead5"/>
      </w:pPr>
      <w:bookmarkStart w:id="7" w:name="_Toc356308357"/>
      <w:r w:rsidRPr="004F6068">
        <w:rPr>
          <w:rStyle w:val="CharSectno"/>
        </w:rPr>
        <w:t>3</w:t>
      </w:r>
      <w:r w:rsidRPr="004F6068">
        <w:t xml:space="preserve">  Authority</w:t>
      </w:r>
      <w:bookmarkEnd w:id="7"/>
    </w:p>
    <w:p w:rsidR="007769D4" w:rsidRPr="004F6068" w:rsidRDefault="007769D4" w:rsidP="007769D4">
      <w:pPr>
        <w:pStyle w:val="subsection"/>
      </w:pPr>
      <w:r w:rsidRPr="004F6068">
        <w:tab/>
      </w:r>
      <w:r w:rsidRPr="004F6068">
        <w:tab/>
      </w:r>
      <w:r w:rsidR="00AF0336" w:rsidRPr="004F6068">
        <w:t xml:space="preserve">This </w:t>
      </w:r>
      <w:r w:rsidR="00C64532" w:rsidRPr="004F6068">
        <w:t>regulation</w:t>
      </w:r>
      <w:r w:rsidR="00AF0336" w:rsidRPr="004F6068">
        <w:t xml:space="preserve"> is made under the </w:t>
      </w:r>
      <w:r w:rsidR="00C64532" w:rsidRPr="004F6068">
        <w:t>following Acts:</w:t>
      </w:r>
    </w:p>
    <w:p w:rsidR="00C64532" w:rsidRPr="004F6068" w:rsidRDefault="00C64532" w:rsidP="00C64532">
      <w:pPr>
        <w:pStyle w:val="paragraph"/>
      </w:pPr>
      <w:r w:rsidRPr="004F6068">
        <w:tab/>
        <w:t>(a)</w:t>
      </w:r>
      <w:r w:rsidRPr="004F6068">
        <w:tab/>
        <w:t xml:space="preserve">the </w:t>
      </w:r>
      <w:r w:rsidRPr="004F6068">
        <w:rPr>
          <w:i/>
        </w:rPr>
        <w:t>Australian National Registry of Emissions Units Act 2011</w:t>
      </w:r>
      <w:r w:rsidRPr="004F6068">
        <w:t>;</w:t>
      </w:r>
    </w:p>
    <w:p w:rsidR="00C64532" w:rsidRPr="004F6068" w:rsidRDefault="00C64532" w:rsidP="00C64532">
      <w:pPr>
        <w:pStyle w:val="paragraph"/>
      </w:pPr>
      <w:r w:rsidRPr="004F6068">
        <w:tab/>
        <w:t>(b)</w:t>
      </w:r>
      <w:r w:rsidRPr="004F6068">
        <w:tab/>
        <w:t>the</w:t>
      </w:r>
      <w:r w:rsidRPr="004F6068">
        <w:rPr>
          <w:i/>
        </w:rPr>
        <w:t xml:space="preserve"> Carbon Credits (Carbon Farming Initiative) Act 2011</w:t>
      </w:r>
      <w:r w:rsidRPr="004F6068">
        <w:t>;</w:t>
      </w:r>
    </w:p>
    <w:p w:rsidR="00C64532" w:rsidRPr="004F6068" w:rsidRDefault="004A0F4F" w:rsidP="00C64532">
      <w:pPr>
        <w:pStyle w:val="paragraph"/>
      </w:pPr>
      <w:r w:rsidRPr="004F6068">
        <w:tab/>
        <w:t>(c)</w:t>
      </w:r>
      <w:r w:rsidR="00C64532" w:rsidRPr="004F6068">
        <w:tab/>
        <w:t xml:space="preserve">the </w:t>
      </w:r>
      <w:r w:rsidR="00C64532" w:rsidRPr="004F6068">
        <w:rPr>
          <w:i/>
        </w:rPr>
        <w:t>Clean Energy Act 2011</w:t>
      </w:r>
      <w:r w:rsidR="00C64532" w:rsidRPr="004F6068">
        <w:t>.</w:t>
      </w:r>
    </w:p>
    <w:p w:rsidR="00557C7A" w:rsidRPr="004F6068" w:rsidRDefault="007769D4" w:rsidP="00557C7A">
      <w:pPr>
        <w:pStyle w:val="ActHead5"/>
      </w:pPr>
      <w:bookmarkStart w:id="8" w:name="_Toc356308358"/>
      <w:r w:rsidRPr="004F6068">
        <w:rPr>
          <w:rStyle w:val="CharSectno"/>
        </w:rPr>
        <w:t>4</w:t>
      </w:r>
      <w:r w:rsidR="00557C7A" w:rsidRPr="004F6068">
        <w:t xml:space="preserve">  </w:t>
      </w:r>
      <w:r w:rsidR="00B332B8" w:rsidRPr="004F6068">
        <w:t>Schedule(s)</w:t>
      </w:r>
      <w:bookmarkEnd w:id="8"/>
    </w:p>
    <w:p w:rsidR="00557C7A" w:rsidRPr="004F6068" w:rsidRDefault="00557C7A" w:rsidP="00557C7A">
      <w:pPr>
        <w:pStyle w:val="subsection"/>
      </w:pPr>
      <w:r w:rsidRPr="004F6068">
        <w:tab/>
      </w:r>
      <w:r w:rsidRPr="004F6068">
        <w:tab/>
      </w:r>
      <w:r w:rsidR="00CD7ECB" w:rsidRPr="004F6068">
        <w:t>Each instrument that is specified in a Schedule to this instrument is amended or repealed as set out in the applicable items in the Schedule concerned, and any other item in a Schedule to this instrument has effect according to its terms.</w:t>
      </w:r>
    </w:p>
    <w:p w:rsidR="0048364F" w:rsidRPr="004F6068" w:rsidRDefault="0048364F" w:rsidP="00FF3089">
      <w:pPr>
        <w:pStyle w:val="ActHead6"/>
        <w:pageBreakBefore/>
      </w:pPr>
      <w:bookmarkStart w:id="9" w:name="opcAmSched"/>
      <w:bookmarkStart w:id="10" w:name="opcCurrentFind"/>
      <w:bookmarkStart w:id="11" w:name="_Toc356308359"/>
      <w:r w:rsidRPr="004F6068">
        <w:rPr>
          <w:rStyle w:val="CharAmSchNo"/>
        </w:rPr>
        <w:lastRenderedPageBreak/>
        <w:t>Schedule</w:t>
      </w:r>
      <w:r w:rsidR="004F6068" w:rsidRPr="004F6068">
        <w:rPr>
          <w:rStyle w:val="CharAmSchNo"/>
        </w:rPr>
        <w:t> </w:t>
      </w:r>
      <w:r w:rsidRPr="004F6068">
        <w:rPr>
          <w:rStyle w:val="CharAmSchNo"/>
        </w:rPr>
        <w:t>1</w:t>
      </w:r>
      <w:r w:rsidRPr="004F6068">
        <w:t>—</w:t>
      </w:r>
      <w:r w:rsidR="00460499" w:rsidRPr="004F6068">
        <w:rPr>
          <w:rStyle w:val="CharAmSchText"/>
        </w:rPr>
        <w:t>Amendments</w:t>
      </w:r>
      <w:bookmarkEnd w:id="11"/>
    </w:p>
    <w:bookmarkEnd w:id="9"/>
    <w:bookmarkEnd w:id="10"/>
    <w:p w:rsidR="004B0968" w:rsidRPr="004F6068" w:rsidRDefault="004B0968" w:rsidP="004B0968">
      <w:pPr>
        <w:pStyle w:val="Header"/>
      </w:pPr>
      <w:r w:rsidRPr="004F6068">
        <w:rPr>
          <w:rStyle w:val="CharAmPartNo"/>
        </w:rPr>
        <w:t xml:space="preserve"> </w:t>
      </w:r>
      <w:r w:rsidRPr="004F6068">
        <w:rPr>
          <w:rStyle w:val="CharAmPartText"/>
        </w:rPr>
        <w:t xml:space="preserve"> </w:t>
      </w:r>
    </w:p>
    <w:p w:rsidR="00601817" w:rsidRPr="004F6068" w:rsidRDefault="00601817" w:rsidP="00601817">
      <w:pPr>
        <w:pStyle w:val="ActHead9"/>
      </w:pPr>
      <w:bookmarkStart w:id="12" w:name="_Toc356308360"/>
      <w:r w:rsidRPr="004F6068">
        <w:t>Australian National Registry of Emissions Units Regulations</w:t>
      </w:r>
      <w:r w:rsidR="004F6068" w:rsidRPr="004F6068">
        <w:t> </w:t>
      </w:r>
      <w:r w:rsidRPr="004F6068">
        <w:t>2011</w:t>
      </w:r>
      <w:bookmarkEnd w:id="12"/>
    </w:p>
    <w:p w:rsidR="00601817" w:rsidRPr="004F6068" w:rsidRDefault="00601817" w:rsidP="00601817">
      <w:pPr>
        <w:pStyle w:val="ItemHead"/>
        <w:rPr>
          <w:rFonts w:cs="Arial"/>
        </w:rPr>
      </w:pPr>
      <w:r w:rsidRPr="004F6068">
        <w:rPr>
          <w:rFonts w:cs="Arial"/>
          <w:noProof/>
        </w:rPr>
        <w:t>1</w:t>
      </w:r>
      <w:r w:rsidRPr="004F6068">
        <w:rPr>
          <w:rFonts w:cs="Arial"/>
        </w:rPr>
        <w:t xml:space="preserve">  Regulation</w:t>
      </w:r>
      <w:r w:rsidR="004F6068" w:rsidRPr="004F6068">
        <w:rPr>
          <w:rFonts w:cs="Arial"/>
        </w:rPr>
        <w:t> </w:t>
      </w:r>
      <w:r w:rsidRPr="004F6068">
        <w:rPr>
          <w:rFonts w:cs="Arial"/>
        </w:rPr>
        <w:t>3</w:t>
      </w:r>
    </w:p>
    <w:p w:rsidR="00601817" w:rsidRPr="004F6068" w:rsidRDefault="00601817" w:rsidP="00601817">
      <w:pPr>
        <w:pStyle w:val="Item"/>
      </w:pPr>
      <w:r w:rsidRPr="004F6068">
        <w:t>Insert:</w:t>
      </w:r>
    </w:p>
    <w:p w:rsidR="00601817" w:rsidRPr="004F6068" w:rsidRDefault="00601817" w:rsidP="00601817">
      <w:pPr>
        <w:pStyle w:val="Definition"/>
      </w:pPr>
      <w:r w:rsidRPr="004F6068">
        <w:rPr>
          <w:b/>
          <w:i/>
        </w:rPr>
        <w:t>European Union Transaction Log</w:t>
      </w:r>
      <w:r w:rsidRPr="004F6068">
        <w:t xml:space="preserve"> means the electronic data system of the European Union for the purpose of checking, recording and registering transactions in the Union Registry, as established under Article 20 of Directive 2003/87/EC of the European Parliament and of the Council, as in force from time to time.</w:t>
      </w:r>
    </w:p>
    <w:p w:rsidR="00601817" w:rsidRPr="004F6068" w:rsidRDefault="00601817" w:rsidP="00601817">
      <w:pPr>
        <w:pStyle w:val="notetext"/>
      </w:pPr>
      <w:r w:rsidRPr="004F6068">
        <w:t>Note:</w:t>
      </w:r>
      <w:r w:rsidRPr="004F6068">
        <w:rPr>
          <w:i/>
        </w:rPr>
        <w:tab/>
      </w:r>
      <w:r w:rsidRPr="004F6068">
        <w:t>The text of the Directive may be found at: http://eur</w:t>
      </w:r>
      <w:r w:rsidR="004F6068">
        <w:noBreakHyphen/>
      </w:r>
      <w:r w:rsidRPr="004F6068">
        <w:t>lex.europa.eu.</w:t>
      </w:r>
    </w:p>
    <w:p w:rsidR="00601817" w:rsidRPr="004F6068" w:rsidRDefault="00601817" w:rsidP="00601817">
      <w:pPr>
        <w:pStyle w:val="ItemHead"/>
        <w:rPr>
          <w:rFonts w:cs="Arial"/>
        </w:rPr>
      </w:pPr>
      <w:r w:rsidRPr="004F6068">
        <w:rPr>
          <w:rFonts w:cs="Arial"/>
          <w:noProof/>
        </w:rPr>
        <w:t>2</w:t>
      </w:r>
      <w:r w:rsidRPr="004F6068">
        <w:rPr>
          <w:rFonts w:cs="Arial"/>
        </w:rPr>
        <w:t xml:space="preserve">  Regulation</w:t>
      </w:r>
      <w:r w:rsidR="004F6068" w:rsidRPr="004F6068">
        <w:rPr>
          <w:rFonts w:cs="Arial"/>
        </w:rPr>
        <w:t> </w:t>
      </w:r>
      <w:r w:rsidRPr="004F6068">
        <w:rPr>
          <w:rFonts w:cs="Arial"/>
        </w:rPr>
        <w:t>3</w:t>
      </w:r>
    </w:p>
    <w:p w:rsidR="00601817" w:rsidRPr="004F6068" w:rsidRDefault="00601817" w:rsidP="00601817">
      <w:pPr>
        <w:pStyle w:val="Item"/>
      </w:pPr>
      <w:r w:rsidRPr="004F6068">
        <w:t>Insert:</w:t>
      </w:r>
    </w:p>
    <w:p w:rsidR="00601817" w:rsidRPr="004F6068" w:rsidRDefault="00601817" w:rsidP="00601817">
      <w:pPr>
        <w:pStyle w:val="Definition"/>
      </w:pPr>
      <w:r w:rsidRPr="004F6068">
        <w:rPr>
          <w:b/>
          <w:i/>
        </w:rPr>
        <w:t>foreign registry</w:t>
      </w:r>
      <w:r w:rsidRPr="004F6068">
        <w:t>: see regulation</w:t>
      </w:r>
      <w:r w:rsidR="004F6068" w:rsidRPr="004F6068">
        <w:t> </w:t>
      </w:r>
      <w:r w:rsidRPr="004F6068">
        <w:t>4A.</w:t>
      </w:r>
    </w:p>
    <w:p w:rsidR="00601817" w:rsidRPr="004F6068" w:rsidRDefault="00601817" w:rsidP="00601817">
      <w:pPr>
        <w:pStyle w:val="ItemHead"/>
        <w:rPr>
          <w:rFonts w:cs="Arial"/>
        </w:rPr>
      </w:pPr>
      <w:r w:rsidRPr="004F6068">
        <w:rPr>
          <w:rFonts w:cs="Arial"/>
          <w:noProof/>
        </w:rPr>
        <w:t>3</w:t>
      </w:r>
      <w:r w:rsidRPr="004F6068">
        <w:rPr>
          <w:rFonts w:cs="Arial"/>
        </w:rPr>
        <w:t xml:space="preserve">  Regulation</w:t>
      </w:r>
      <w:r w:rsidR="004F6068" w:rsidRPr="004F6068">
        <w:rPr>
          <w:rFonts w:cs="Arial"/>
        </w:rPr>
        <w:t> </w:t>
      </w:r>
      <w:r w:rsidRPr="004F6068">
        <w:rPr>
          <w:rFonts w:cs="Arial"/>
        </w:rPr>
        <w:t>3</w:t>
      </w:r>
    </w:p>
    <w:p w:rsidR="00601817" w:rsidRPr="004F6068" w:rsidRDefault="00601817" w:rsidP="00601817">
      <w:pPr>
        <w:pStyle w:val="Item"/>
      </w:pPr>
      <w:r w:rsidRPr="004F6068">
        <w:t>Insert:</w:t>
      </w:r>
    </w:p>
    <w:p w:rsidR="00601817" w:rsidRPr="004F6068" w:rsidRDefault="00601817" w:rsidP="00601817">
      <w:pPr>
        <w:pStyle w:val="Definition"/>
      </w:pPr>
      <w:r w:rsidRPr="004F6068">
        <w:rPr>
          <w:b/>
          <w:i/>
        </w:rPr>
        <w:t>Union allowance deletion account</w:t>
      </w:r>
      <w:r w:rsidRPr="004F6068">
        <w:t xml:space="preserve"> means the account in the Union Registry, however described, to which an allowance can be transferred for the purpose of its final disposal without it being recorded as surrendered for any emissions.</w:t>
      </w:r>
    </w:p>
    <w:p w:rsidR="00601817" w:rsidRPr="004F6068" w:rsidRDefault="00601817" w:rsidP="00601817">
      <w:pPr>
        <w:pStyle w:val="notetext"/>
      </w:pPr>
      <w:r w:rsidRPr="004F6068">
        <w:t>Note:</w:t>
      </w:r>
      <w:r w:rsidRPr="004F6068">
        <w:rPr>
          <w:i/>
        </w:rPr>
        <w:tab/>
      </w:r>
      <w:r w:rsidRPr="004F6068">
        <w:t>In April 2013, this account was mentioned in Article 63 of Commission Regulation (EU) No 1193/2011, the text of which may be found at: http://eur</w:t>
      </w:r>
      <w:r w:rsidR="004F6068">
        <w:noBreakHyphen/>
      </w:r>
      <w:r w:rsidRPr="004F6068">
        <w:t>lex.europa.eu.</w:t>
      </w:r>
    </w:p>
    <w:p w:rsidR="00601817" w:rsidRPr="004F6068" w:rsidRDefault="00601817" w:rsidP="00601817">
      <w:pPr>
        <w:pStyle w:val="Definition"/>
      </w:pPr>
      <w:r w:rsidRPr="004F6068">
        <w:rPr>
          <w:b/>
          <w:i/>
        </w:rPr>
        <w:t>Union Registry</w:t>
      </w:r>
      <w:r w:rsidRPr="004F6068">
        <w:t xml:space="preserve"> means the registry established under Article 19 of Directive 2003/87/EC of the European Parliament and of the Council, as in force from time to time.</w:t>
      </w:r>
    </w:p>
    <w:p w:rsidR="00601817" w:rsidRPr="004F6068" w:rsidRDefault="00601817" w:rsidP="00601817">
      <w:pPr>
        <w:pStyle w:val="notetext"/>
      </w:pPr>
      <w:r w:rsidRPr="004F6068">
        <w:t>Note:</w:t>
      </w:r>
      <w:r w:rsidRPr="004F6068">
        <w:tab/>
        <w:t>The text of the Directive may be found at: http://eur</w:t>
      </w:r>
      <w:r w:rsidR="004F6068">
        <w:noBreakHyphen/>
      </w:r>
      <w:r w:rsidRPr="004F6068">
        <w:t>lex.europa.eu.</w:t>
      </w:r>
    </w:p>
    <w:p w:rsidR="00601817" w:rsidRPr="004F6068" w:rsidRDefault="00601817" w:rsidP="00601817">
      <w:pPr>
        <w:pStyle w:val="ItemHead"/>
        <w:rPr>
          <w:rFonts w:cs="Arial"/>
        </w:rPr>
      </w:pPr>
      <w:r w:rsidRPr="004F6068">
        <w:rPr>
          <w:rFonts w:cs="Arial"/>
          <w:noProof/>
        </w:rPr>
        <w:lastRenderedPageBreak/>
        <w:t>4</w:t>
      </w:r>
      <w:r w:rsidRPr="004F6068">
        <w:rPr>
          <w:rFonts w:cs="Arial"/>
        </w:rPr>
        <w:t xml:space="preserve">  After regulation</w:t>
      </w:r>
      <w:r w:rsidR="004F6068" w:rsidRPr="004F6068">
        <w:rPr>
          <w:rFonts w:cs="Arial"/>
        </w:rPr>
        <w:t> </w:t>
      </w:r>
      <w:r w:rsidRPr="004F6068">
        <w:rPr>
          <w:rFonts w:cs="Arial"/>
        </w:rPr>
        <w:t>4</w:t>
      </w:r>
    </w:p>
    <w:p w:rsidR="00601817" w:rsidRPr="004F6068" w:rsidRDefault="00601817" w:rsidP="00601817">
      <w:pPr>
        <w:pStyle w:val="Item"/>
      </w:pPr>
      <w:r w:rsidRPr="004F6068">
        <w:t>Insert:</w:t>
      </w:r>
    </w:p>
    <w:p w:rsidR="00601817" w:rsidRPr="004F6068" w:rsidRDefault="00601817" w:rsidP="00601817">
      <w:pPr>
        <w:pStyle w:val="ActHead5"/>
      </w:pPr>
      <w:bookmarkStart w:id="13" w:name="_Toc356308361"/>
      <w:r w:rsidRPr="004F6068">
        <w:rPr>
          <w:rStyle w:val="CharSectno"/>
        </w:rPr>
        <w:t>4A</w:t>
      </w:r>
      <w:r w:rsidRPr="004F6068">
        <w:t xml:space="preserve">  Meaning of </w:t>
      </w:r>
      <w:r w:rsidRPr="004F6068">
        <w:rPr>
          <w:i/>
        </w:rPr>
        <w:t>foreign registry</w:t>
      </w:r>
      <w:bookmarkEnd w:id="13"/>
    </w:p>
    <w:p w:rsidR="00601817" w:rsidRPr="004F6068" w:rsidRDefault="00601817" w:rsidP="00601817">
      <w:pPr>
        <w:pStyle w:val="subsection"/>
      </w:pPr>
      <w:r w:rsidRPr="004F6068">
        <w:tab/>
      </w:r>
      <w:r w:rsidRPr="004F6068">
        <w:tab/>
        <w:t xml:space="preserve">For the definition of </w:t>
      </w:r>
      <w:r w:rsidRPr="004F6068">
        <w:rPr>
          <w:b/>
          <w:i/>
        </w:rPr>
        <w:t>foreign registry</w:t>
      </w:r>
      <w:r w:rsidRPr="004F6068">
        <w:t xml:space="preserve"> in section</w:t>
      </w:r>
      <w:r w:rsidR="004F6068" w:rsidRPr="004F6068">
        <w:t> </w:t>
      </w:r>
      <w:r w:rsidRPr="004F6068">
        <w:t>4 of the Act, the Union Registry is specified.</w:t>
      </w:r>
    </w:p>
    <w:p w:rsidR="00601817" w:rsidRPr="004F6068" w:rsidRDefault="00601817" w:rsidP="00601817">
      <w:pPr>
        <w:pStyle w:val="ItemHead"/>
        <w:rPr>
          <w:rFonts w:cs="Arial"/>
        </w:rPr>
      </w:pPr>
      <w:r w:rsidRPr="004F6068">
        <w:rPr>
          <w:rFonts w:cs="Arial"/>
        </w:rPr>
        <w:t>5  At the end of regulation</w:t>
      </w:r>
      <w:r w:rsidR="004F6068" w:rsidRPr="004F6068">
        <w:rPr>
          <w:rFonts w:cs="Arial"/>
        </w:rPr>
        <w:t> </w:t>
      </w:r>
      <w:r w:rsidRPr="004F6068">
        <w:rPr>
          <w:rFonts w:cs="Arial"/>
        </w:rPr>
        <w:t>24</w:t>
      </w:r>
    </w:p>
    <w:p w:rsidR="00601817" w:rsidRPr="004F6068" w:rsidRDefault="00601817" w:rsidP="00601817">
      <w:pPr>
        <w:pStyle w:val="Item"/>
      </w:pPr>
      <w:r w:rsidRPr="004F6068">
        <w:t>Add:</w:t>
      </w:r>
    </w:p>
    <w:p w:rsidR="00601817" w:rsidRPr="004F6068" w:rsidRDefault="00601817" w:rsidP="00601817">
      <w:pPr>
        <w:pStyle w:val="paragraph"/>
      </w:pPr>
      <w:r w:rsidRPr="004F6068">
        <w:tab/>
        <w:t>; (t)</w:t>
      </w:r>
      <w:r w:rsidRPr="004F6068">
        <w:tab/>
        <w:t>an Australian</w:t>
      </w:r>
      <w:r w:rsidR="004F6068">
        <w:noBreakHyphen/>
      </w:r>
      <w:r w:rsidRPr="004F6068">
        <w:t>issued international units—substitute units—relinquished units account;</w:t>
      </w:r>
    </w:p>
    <w:p w:rsidR="00601817" w:rsidRPr="004F6068" w:rsidRDefault="00601817" w:rsidP="00601817">
      <w:pPr>
        <w:pStyle w:val="paragraph"/>
      </w:pPr>
      <w:r w:rsidRPr="004F6068">
        <w:tab/>
        <w:t>(u)</w:t>
      </w:r>
      <w:r w:rsidRPr="004F6068">
        <w:tab/>
        <w:t>an Australian</w:t>
      </w:r>
      <w:r w:rsidR="004F6068">
        <w:noBreakHyphen/>
      </w:r>
      <w:r w:rsidRPr="004F6068">
        <w:t>issued international units—surrendered units account.</w:t>
      </w:r>
    </w:p>
    <w:p w:rsidR="00601817" w:rsidRPr="004F6068" w:rsidRDefault="00601817" w:rsidP="00601817">
      <w:pPr>
        <w:pStyle w:val="ItemHead"/>
      </w:pPr>
      <w:r w:rsidRPr="004F6068">
        <w:t>6  At the end of Part</w:t>
      </w:r>
      <w:r w:rsidR="004F6068" w:rsidRPr="004F6068">
        <w:t> </w:t>
      </w:r>
      <w:r w:rsidRPr="004F6068">
        <w:t>2</w:t>
      </w:r>
    </w:p>
    <w:p w:rsidR="00601817" w:rsidRPr="004F6068" w:rsidRDefault="00601817" w:rsidP="00601817">
      <w:pPr>
        <w:pStyle w:val="Item"/>
      </w:pPr>
      <w:r w:rsidRPr="004F6068">
        <w:t>Add:</w:t>
      </w:r>
    </w:p>
    <w:p w:rsidR="00601817" w:rsidRPr="004F6068" w:rsidRDefault="00601817" w:rsidP="00601817">
      <w:pPr>
        <w:pStyle w:val="ActHead5"/>
      </w:pPr>
      <w:bookmarkStart w:id="14" w:name="_Toc356308362"/>
      <w:r w:rsidRPr="004F6068">
        <w:rPr>
          <w:rStyle w:val="CharSectno"/>
        </w:rPr>
        <w:t>35A</w:t>
      </w:r>
      <w:r w:rsidRPr="004F6068">
        <w:t xml:space="preserve">  Suspension of Registry link with Union Registry</w:t>
      </w:r>
      <w:bookmarkEnd w:id="14"/>
    </w:p>
    <w:p w:rsidR="00601817" w:rsidRPr="004F6068" w:rsidRDefault="00601817" w:rsidP="00601817">
      <w:pPr>
        <w:pStyle w:val="subsection"/>
      </w:pPr>
      <w:r w:rsidRPr="004F6068">
        <w:tab/>
        <w:t>(1)</w:t>
      </w:r>
      <w:r w:rsidRPr="004F6068">
        <w:tab/>
        <w:t>This regulation applies to the following activities:</w:t>
      </w:r>
    </w:p>
    <w:p w:rsidR="00601817" w:rsidRPr="004F6068" w:rsidRDefault="00601817" w:rsidP="00601817">
      <w:pPr>
        <w:pStyle w:val="paragraph"/>
      </w:pPr>
      <w:r w:rsidRPr="004F6068">
        <w:tab/>
        <w:t>(a)</w:t>
      </w:r>
      <w:r w:rsidRPr="004F6068">
        <w:tab/>
        <w:t>the issue of Australian</w:t>
      </w:r>
      <w:r w:rsidR="004F6068">
        <w:noBreakHyphen/>
      </w:r>
      <w:r w:rsidRPr="004F6068">
        <w:t>issued international units for European allowance units;</w:t>
      </w:r>
    </w:p>
    <w:p w:rsidR="00601817" w:rsidRPr="004F6068" w:rsidRDefault="00601817" w:rsidP="00601817">
      <w:pPr>
        <w:pStyle w:val="paragraph"/>
      </w:pPr>
      <w:r w:rsidRPr="004F6068">
        <w:tab/>
        <w:t>(b)</w:t>
      </w:r>
      <w:r w:rsidRPr="004F6068">
        <w:tab/>
        <w:t>the processing of instructions to transfer prescribed international units from foreign accounts into Registry accounts;</w:t>
      </w:r>
    </w:p>
    <w:p w:rsidR="00601817" w:rsidRPr="004F6068" w:rsidRDefault="00601817" w:rsidP="00601817">
      <w:pPr>
        <w:pStyle w:val="paragraph"/>
      </w:pPr>
      <w:r w:rsidRPr="004F6068">
        <w:tab/>
        <w:t>(c)</w:t>
      </w:r>
      <w:r w:rsidRPr="004F6068">
        <w:tab/>
        <w:t>the processing of instructions to transfer prescribed international units from Registry accounts into foreign accounts.</w:t>
      </w:r>
    </w:p>
    <w:p w:rsidR="00601817" w:rsidRPr="004F6068" w:rsidRDefault="00601817" w:rsidP="00601817">
      <w:pPr>
        <w:pStyle w:val="subsection"/>
      </w:pPr>
      <w:r w:rsidRPr="004F6068">
        <w:tab/>
        <w:t>(2)</w:t>
      </w:r>
      <w:r w:rsidRPr="004F6068">
        <w:tab/>
        <w:t>The Regulator may temporarily suspend the operation of the Registry in relation to one or more of the activities if the Regulator is satisfied that:</w:t>
      </w:r>
    </w:p>
    <w:p w:rsidR="00601817" w:rsidRPr="004F6068" w:rsidRDefault="00601817" w:rsidP="00601817">
      <w:pPr>
        <w:pStyle w:val="paragraph"/>
      </w:pPr>
      <w:r w:rsidRPr="004F6068">
        <w:tab/>
        <w:t>(a)</w:t>
      </w:r>
      <w:r w:rsidRPr="004F6068">
        <w:tab/>
        <w:t>the suspension is required so that maintenance can be carried out; or</w:t>
      </w:r>
    </w:p>
    <w:p w:rsidR="00601817" w:rsidRPr="004F6068" w:rsidRDefault="00601817" w:rsidP="00601817">
      <w:pPr>
        <w:pStyle w:val="paragraph"/>
      </w:pPr>
      <w:r w:rsidRPr="004F6068">
        <w:tab/>
        <w:t>(b)</w:t>
      </w:r>
      <w:r w:rsidRPr="004F6068">
        <w:tab/>
        <w:t>it is prudent to suspend the operation of the Registry in order to:</w:t>
      </w:r>
    </w:p>
    <w:p w:rsidR="00601817" w:rsidRPr="004F6068" w:rsidRDefault="00601817" w:rsidP="00601817">
      <w:pPr>
        <w:pStyle w:val="paragraphsub"/>
      </w:pPr>
      <w:r w:rsidRPr="004F6068">
        <w:tab/>
        <w:t>(</w:t>
      </w:r>
      <w:proofErr w:type="spellStart"/>
      <w:r w:rsidRPr="004F6068">
        <w:t>i</w:t>
      </w:r>
      <w:proofErr w:type="spellEnd"/>
      <w:r w:rsidRPr="004F6068">
        <w:t>)</w:t>
      </w:r>
      <w:r w:rsidRPr="004F6068">
        <w:tab/>
        <w:t>ensure the integrity of the Registry; or</w:t>
      </w:r>
    </w:p>
    <w:p w:rsidR="00601817" w:rsidRPr="004F6068" w:rsidRDefault="00601817" w:rsidP="00601817">
      <w:pPr>
        <w:pStyle w:val="paragraphsub"/>
      </w:pPr>
      <w:r w:rsidRPr="004F6068">
        <w:lastRenderedPageBreak/>
        <w:tab/>
        <w:t>(ii)</w:t>
      </w:r>
      <w:r w:rsidRPr="004F6068">
        <w:tab/>
        <w:t>prevent, mitigate or minimise abuse of the Registry; or</w:t>
      </w:r>
    </w:p>
    <w:p w:rsidR="00601817" w:rsidRPr="004F6068" w:rsidRDefault="00601817" w:rsidP="00601817">
      <w:pPr>
        <w:pStyle w:val="paragraphsub"/>
      </w:pPr>
      <w:r w:rsidRPr="004F6068">
        <w:tab/>
        <w:t>(iii)</w:t>
      </w:r>
      <w:r w:rsidRPr="004F6068">
        <w:tab/>
        <w:t>prevent, mitigate or minimise criminal activity involving the Registry.</w:t>
      </w:r>
    </w:p>
    <w:p w:rsidR="00601817" w:rsidRPr="004F6068" w:rsidRDefault="00601817" w:rsidP="00601817">
      <w:pPr>
        <w:pStyle w:val="subsection"/>
      </w:pPr>
      <w:r w:rsidRPr="004F6068">
        <w:tab/>
        <w:t>(3)</w:t>
      </w:r>
      <w:r w:rsidRPr="004F6068">
        <w:tab/>
        <w:t xml:space="preserve">A suspension under </w:t>
      </w:r>
      <w:proofErr w:type="spellStart"/>
      <w:r w:rsidRPr="004F6068">
        <w:t>subregulation</w:t>
      </w:r>
      <w:proofErr w:type="spellEnd"/>
      <w:r w:rsidRPr="004F6068">
        <w:t xml:space="preserve"> (2) must be for no more than 5 business days.</w:t>
      </w:r>
    </w:p>
    <w:p w:rsidR="00601817" w:rsidRPr="004F6068" w:rsidRDefault="00601817" w:rsidP="00601817">
      <w:pPr>
        <w:pStyle w:val="subsection"/>
      </w:pPr>
      <w:r w:rsidRPr="004F6068">
        <w:tab/>
        <w:t>(4)</w:t>
      </w:r>
      <w:r w:rsidRPr="004F6068">
        <w:tab/>
        <w:t>If the Regulator suspends the operation of the Registry in relation to one or more activities, the Regulator must, as soon as practicable:</w:t>
      </w:r>
    </w:p>
    <w:p w:rsidR="00601817" w:rsidRPr="004F6068" w:rsidRDefault="00601817" w:rsidP="00601817">
      <w:pPr>
        <w:pStyle w:val="paragraph"/>
      </w:pPr>
      <w:r w:rsidRPr="004F6068">
        <w:tab/>
        <w:t>(a)</w:t>
      </w:r>
      <w:r w:rsidRPr="004F6068">
        <w:tab/>
        <w:t>publish a notice on the Regulator’s website informing the public of the suspension; and</w:t>
      </w:r>
    </w:p>
    <w:p w:rsidR="00601817" w:rsidRPr="004F6068" w:rsidRDefault="00601817" w:rsidP="00601817">
      <w:pPr>
        <w:pStyle w:val="paragraph"/>
      </w:pPr>
      <w:r w:rsidRPr="004F6068">
        <w:tab/>
        <w:t>(b)</w:t>
      </w:r>
      <w:r w:rsidRPr="004F6068">
        <w:tab/>
        <w:t>tell the European Union Transaction Log.</w:t>
      </w:r>
    </w:p>
    <w:p w:rsidR="00601817" w:rsidRPr="004F6068" w:rsidRDefault="00601817" w:rsidP="00601817">
      <w:pPr>
        <w:pStyle w:val="subsection"/>
      </w:pPr>
      <w:r w:rsidRPr="004F6068">
        <w:tab/>
        <w:t>(5)</w:t>
      </w:r>
      <w:r w:rsidRPr="004F6068">
        <w:tab/>
        <w:t>If the Regulator suspends the operation of the Registry in relation to one or more activities, the Regulator may defer taking action in relation to the activity until the suspension ends.</w:t>
      </w:r>
    </w:p>
    <w:p w:rsidR="00601817" w:rsidRPr="004F6068" w:rsidRDefault="00601817" w:rsidP="008600AD">
      <w:pPr>
        <w:pStyle w:val="notetext"/>
      </w:pPr>
      <w:r w:rsidRPr="004F6068">
        <w:t>Note:</w:t>
      </w:r>
      <w:r w:rsidR="00652908" w:rsidRPr="004F6068">
        <w:tab/>
      </w:r>
      <w:r w:rsidRPr="004F6068">
        <w:t>See also sections</w:t>
      </w:r>
      <w:r w:rsidR="004F6068" w:rsidRPr="004F6068">
        <w:t> </w:t>
      </w:r>
      <w:r w:rsidRPr="004F6068">
        <w:t>28 to 28D of the Act.</w:t>
      </w:r>
    </w:p>
    <w:p w:rsidR="00601817" w:rsidRPr="004F6068" w:rsidRDefault="00601817" w:rsidP="00601817">
      <w:pPr>
        <w:pStyle w:val="ItemHead"/>
        <w:rPr>
          <w:rFonts w:cs="Arial"/>
        </w:rPr>
      </w:pPr>
      <w:r w:rsidRPr="004F6068">
        <w:rPr>
          <w:rFonts w:cs="Arial"/>
        </w:rPr>
        <w:t>7  After Part</w:t>
      </w:r>
      <w:r w:rsidR="004F6068" w:rsidRPr="004F6068">
        <w:rPr>
          <w:rFonts w:cs="Arial"/>
        </w:rPr>
        <w:t> </w:t>
      </w:r>
      <w:r w:rsidRPr="004F6068">
        <w:rPr>
          <w:rFonts w:cs="Arial"/>
        </w:rPr>
        <w:t>3</w:t>
      </w:r>
    </w:p>
    <w:p w:rsidR="00601817" w:rsidRPr="004F6068" w:rsidRDefault="00601817" w:rsidP="00601817">
      <w:pPr>
        <w:pStyle w:val="Item"/>
      </w:pPr>
      <w:r w:rsidRPr="004F6068">
        <w:t>Insert:</w:t>
      </w:r>
    </w:p>
    <w:p w:rsidR="00601817" w:rsidRPr="004F6068" w:rsidRDefault="00601817" w:rsidP="00601817">
      <w:pPr>
        <w:pStyle w:val="ActHead2"/>
      </w:pPr>
      <w:bookmarkStart w:id="15" w:name="_Toc356308363"/>
      <w:r w:rsidRPr="004F6068">
        <w:rPr>
          <w:rStyle w:val="CharPartNo"/>
        </w:rPr>
        <w:t>Part</w:t>
      </w:r>
      <w:r w:rsidR="004F6068" w:rsidRPr="004F6068">
        <w:rPr>
          <w:rStyle w:val="CharPartNo"/>
        </w:rPr>
        <w:t> </w:t>
      </w:r>
      <w:r w:rsidRPr="004F6068">
        <w:rPr>
          <w:rStyle w:val="CharPartNo"/>
        </w:rPr>
        <w:t>4</w:t>
      </w:r>
      <w:r w:rsidRPr="004F6068">
        <w:t>—</w:t>
      </w:r>
      <w:r w:rsidRPr="004F6068">
        <w:rPr>
          <w:rStyle w:val="CharPartText"/>
        </w:rPr>
        <w:t>Prescribed international units</w:t>
      </w:r>
      <w:bookmarkEnd w:id="15"/>
    </w:p>
    <w:p w:rsidR="00601817" w:rsidRPr="004F6068" w:rsidRDefault="00601817" w:rsidP="00601817">
      <w:pPr>
        <w:pStyle w:val="ActHead3"/>
      </w:pPr>
      <w:bookmarkStart w:id="16" w:name="_Toc356308364"/>
      <w:r w:rsidRPr="004F6068">
        <w:rPr>
          <w:rStyle w:val="CharDivNo"/>
        </w:rPr>
        <w:t>Division</w:t>
      </w:r>
      <w:r w:rsidR="004F6068" w:rsidRPr="004F6068">
        <w:rPr>
          <w:rStyle w:val="CharDivNo"/>
        </w:rPr>
        <w:t> </w:t>
      </w:r>
      <w:r w:rsidRPr="004F6068">
        <w:rPr>
          <w:rStyle w:val="CharDivNo"/>
        </w:rPr>
        <w:t>4.1</w:t>
      </w:r>
      <w:r w:rsidRPr="004F6068">
        <w:t>—</w:t>
      </w:r>
      <w:r w:rsidRPr="004F6068">
        <w:rPr>
          <w:rStyle w:val="CharDivText"/>
        </w:rPr>
        <w:t>Australian</w:t>
      </w:r>
      <w:r w:rsidR="004F6068" w:rsidRPr="004F6068">
        <w:rPr>
          <w:rStyle w:val="CharDivText"/>
        </w:rPr>
        <w:noBreakHyphen/>
      </w:r>
      <w:r w:rsidRPr="004F6068">
        <w:rPr>
          <w:rStyle w:val="CharDivText"/>
        </w:rPr>
        <w:t>issued international units</w:t>
      </w:r>
      <w:bookmarkEnd w:id="16"/>
    </w:p>
    <w:p w:rsidR="00601817" w:rsidRPr="004F6068" w:rsidRDefault="00601817" w:rsidP="00601817">
      <w:pPr>
        <w:pStyle w:val="ActHead5"/>
      </w:pPr>
      <w:bookmarkStart w:id="17" w:name="_Toc356308365"/>
      <w:r w:rsidRPr="004F6068">
        <w:rPr>
          <w:rStyle w:val="CharSectno"/>
        </w:rPr>
        <w:t>50</w:t>
      </w:r>
      <w:r w:rsidRPr="004F6068">
        <w:t xml:space="preserve">  General</w:t>
      </w:r>
      <w:bookmarkEnd w:id="17"/>
    </w:p>
    <w:p w:rsidR="00601817" w:rsidRPr="004F6068" w:rsidRDefault="00601817" w:rsidP="00601817">
      <w:pPr>
        <w:pStyle w:val="subsection"/>
      </w:pPr>
      <w:r w:rsidRPr="004F6068">
        <w:tab/>
      </w:r>
      <w:r w:rsidRPr="004F6068">
        <w:tab/>
        <w:t>This Division is made for sections</w:t>
      </w:r>
      <w:r w:rsidR="004F6068" w:rsidRPr="004F6068">
        <w:t> </w:t>
      </w:r>
      <w:r w:rsidRPr="004F6068">
        <w:t>48D and 48E of the Act.</w:t>
      </w:r>
    </w:p>
    <w:p w:rsidR="00601817" w:rsidRPr="004F6068" w:rsidRDefault="00601817" w:rsidP="00601817">
      <w:pPr>
        <w:pStyle w:val="ActHead5"/>
      </w:pPr>
      <w:bookmarkStart w:id="18" w:name="_Toc356308366"/>
      <w:r w:rsidRPr="004F6068">
        <w:rPr>
          <w:rStyle w:val="CharSectno"/>
        </w:rPr>
        <w:t>51</w:t>
      </w:r>
      <w:r w:rsidRPr="004F6068">
        <w:t xml:space="preserve">  When Australian</w:t>
      </w:r>
      <w:r w:rsidR="004F6068">
        <w:noBreakHyphen/>
      </w:r>
      <w:r w:rsidRPr="004F6068">
        <w:t>issued international units may be issued—conditions</w:t>
      </w:r>
      <w:bookmarkEnd w:id="18"/>
    </w:p>
    <w:p w:rsidR="00601817" w:rsidRPr="004F6068" w:rsidRDefault="00601817" w:rsidP="00601817">
      <w:pPr>
        <w:pStyle w:val="subsection"/>
      </w:pPr>
      <w:r w:rsidRPr="004F6068">
        <w:tab/>
        <w:t>(1)</w:t>
      </w:r>
      <w:r w:rsidRPr="004F6068">
        <w:tab/>
        <w:t>The following conditions are specified for the issue of an Australian</w:t>
      </w:r>
      <w:r w:rsidR="004F6068">
        <w:noBreakHyphen/>
      </w:r>
      <w:r w:rsidRPr="004F6068">
        <w:t>issued international unit that is issued for a European allowance unit:</w:t>
      </w:r>
    </w:p>
    <w:p w:rsidR="00601817" w:rsidRPr="004F6068" w:rsidRDefault="00601817" w:rsidP="00601817">
      <w:pPr>
        <w:pStyle w:val="paragraph"/>
      </w:pPr>
      <w:r w:rsidRPr="004F6068">
        <w:tab/>
        <w:t>(a)</w:t>
      </w:r>
      <w:r w:rsidRPr="004F6068">
        <w:tab/>
        <w:t>the Commonwealth has opened a Commonwealth foreign registry account in the Union Registry and that account is operational;</w:t>
      </w:r>
    </w:p>
    <w:p w:rsidR="00601817" w:rsidRPr="004F6068" w:rsidRDefault="00601817" w:rsidP="00601817">
      <w:pPr>
        <w:pStyle w:val="paragraph"/>
      </w:pPr>
      <w:r w:rsidRPr="004F6068">
        <w:lastRenderedPageBreak/>
        <w:tab/>
        <w:t>(b)</w:t>
      </w:r>
      <w:r w:rsidRPr="004F6068">
        <w:tab/>
        <w:t xml:space="preserve">a person (the </w:t>
      </w:r>
      <w:r w:rsidRPr="004F6068">
        <w:rPr>
          <w:b/>
          <w:i/>
        </w:rPr>
        <w:t>transferor</w:t>
      </w:r>
      <w:r w:rsidRPr="004F6068">
        <w:t>) has made a request to an administrator of the Union Registry for a European allowance unit in an account in the Union Registry to be transferred to the Commonwealth foreign registry account so that an Australian</w:t>
      </w:r>
      <w:r w:rsidR="004F6068">
        <w:noBreakHyphen/>
      </w:r>
      <w:r w:rsidRPr="004F6068">
        <w:t>issued international unit may be issued;</w:t>
      </w:r>
    </w:p>
    <w:p w:rsidR="00601817" w:rsidRPr="004F6068" w:rsidRDefault="00601817" w:rsidP="00601817">
      <w:pPr>
        <w:pStyle w:val="paragraph"/>
      </w:pPr>
      <w:r w:rsidRPr="004F6068">
        <w:tab/>
        <w:t>(c)</w:t>
      </w:r>
      <w:r w:rsidRPr="004F6068">
        <w:tab/>
        <w:t>the transferor has specified a Registry account in which the corresponding Australian</w:t>
      </w:r>
      <w:r w:rsidR="004F6068">
        <w:noBreakHyphen/>
      </w:r>
      <w:r w:rsidRPr="004F6068">
        <w:t>issued international unit is to be issued;</w:t>
      </w:r>
    </w:p>
    <w:p w:rsidR="00601817" w:rsidRPr="004F6068" w:rsidRDefault="00601817" w:rsidP="00601817">
      <w:pPr>
        <w:pStyle w:val="paragraph"/>
      </w:pPr>
      <w:r w:rsidRPr="004F6068">
        <w:tab/>
        <w:t>(d)</w:t>
      </w:r>
      <w:r w:rsidRPr="004F6068">
        <w:tab/>
        <w:t xml:space="preserve">the Regulator and the European Union Transaction Log have validated the transfer in accordance with </w:t>
      </w:r>
      <w:proofErr w:type="spellStart"/>
      <w:r w:rsidRPr="004F6068">
        <w:t>subregulation</w:t>
      </w:r>
      <w:proofErr w:type="spellEnd"/>
      <w:r w:rsidRPr="004F6068">
        <w:t xml:space="preserve"> (3);</w:t>
      </w:r>
    </w:p>
    <w:p w:rsidR="00601817" w:rsidRPr="004F6068" w:rsidRDefault="00601817" w:rsidP="00601817">
      <w:pPr>
        <w:pStyle w:val="paragraph"/>
      </w:pPr>
      <w:r w:rsidRPr="004F6068">
        <w:tab/>
        <w:t>(e)</w:t>
      </w:r>
      <w:r w:rsidRPr="004F6068">
        <w:tab/>
        <w:t>at the time of the issue, no international arrangement that allows the direct transfer of the European allowance unit from the Union Registry into a Registry account is operational.</w:t>
      </w:r>
    </w:p>
    <w:p w:rsidR="00601817" w:rsidRPr="004F6068" w:rsidRDefault="00601817" w:rsidP="00601817">
      <w:pPr>
        <w:pStyle w:val="subsection"/>
      </w:pPr>
      <w:r w:rsidRPr="004F6068">
        <w:tab/>
        <w:t>(2)</w:t>
      </w:r>
      <w:r w:rsidRPr="004F6068">
        <w:tab/>
        <w:t>The Regulator must issue the Australian</w:t>
      </w:r>
      <w:r w:rsidR="004F6068">
        <w:noBreakHyphen/>
      </w:r>
      <w:r w:rsidRPr="004F6068">
        <w:t>issued international unit as soon as practicable after the transfer is validated.</w:t>
      </w:r>
    </w:p>
    <w:p w:rsidR="00601817" w:rsidRPr="004F6068" w:rsidRDefault="00601817" w:rsidP="008600AD">
      <w:pPr>
        <w:pStyle w:val="notetext"/>
      </w:pPr>
      <w:r w:rsidRPr="004F6068">
        <w:t>Note:</w:t>
      </w:r>
      <w:r w:rsidR="00652908" w:rsidRPr="004F6068">
        <w:tab/>
      </w:r>
      <w:r w:rsidRPr="004F6068">
        <w:t xml:space="preserve">At this stage the European Union Transaction Log </w:t>
      </w:r>
      <w:r w:rsidR="00482A17" w:rsidRPr="004F6068">
        <w:t xml:space="preserve">and the Union Registry </w:t>
      </w:r>
      <w:r w:rsidRPr="004F6068">
        <w:t xml:space="preserve">will </w:t>
      </w:r>
      <w:r w:rsidR="00482A17" w:rsidRPr="004F6068">
        <w:t>complete the transfer of</w:t>
      </w:r>
      <w:r w:rsidRPr="004F6068">
        <w:t xml:space="preserve"> the corresponding European allowance unit to the Commonwealth foreign registry account in the Union Registry.</w:t>
      </w:r>
    </w:p>
    <w:p w:rsidR="00601817" w:rsidRPr="004F6068" w:rsidRDefault="00601817" w:rsidP="00601817">
      <w:pPr>
        <w:pStyle w:val="subsection"/>
      </w:pPr>
      <w:r w:rsidRPr="004F6068">
        <w:tab/>
        <w:t>(3)</w:t>
      </w:r>
      <w:r w:rsidRPr="004F6068">
        <w:tab/>
        <w:t>A transfer is validated if:</w:t>
      </w:r>
    </w:p>
    <w:p w:rsidR="00601817" w:rsidRPr="004F6068" w:rsidRDefault="00601817" w:rsidP="00601817">
      <w:pPr>
        <w:pStyle w:val="paragraph"/>
      </w:pPr>
      <w:r w:rsidRPr="004F6068">
        <w:tab/>
        <w:t>(a)</w:t>
      </w:r>
      <w:r w:rsidRPr="004F6068">
        <w:tab/>
        <w:t>the Regulator has verified that the specified Registry account in which the Australian</w:t>
      </w:r>
      <w:r w:rsidR="004F6068">
        <w:noBreakHyphen/>
      </w:r>
      <w:r w:rsidRPr="004F6068">
        <w:t>issued international unit is to be issued is open and that:</w:t>
      </w:r>
    </w:p>
    <w:p w:rsidR="00601817" w:rsidRPr="004F6068" w:rsidRDefault="00601817" w:rsidP="00601817">
      <w:pPr>
        <w:pStyle w:val="paragraphsub"/>
      </w:pPr>
      <w:r w:rsidRPr="004F6068">
        <w:tab/>
        <w:t>(</w:t>
      </w:r>
      <w:proofErr w:type="spellStart"/>
      <w:r w:rsidRPr="004F6068">
        <w:t>i</w:t>
      </w:r>
      <w:proofErr w:type="spellEnd"/>
      <w:r w:rsidRPr="004F6068">
        <w:t>)</w:t>
      </w:r>
      <w:r w:rsidRPr="004F6068">
        <w:tab/>
        <w:t>the operation of the Registry is not suspended under section</w:t>
      </w:r>
      <w:r w:rsidR="004F6068" w:rsidRPr="004F6068">
        <w:t> </w:t>
      </w:r>
      <w:r w:rsidRPr="004F6068">
        <w:t>28 of the Act or regulation</w:t>
      </w:r>
      <w:r w:rsidR="004F6068" w:rsidRPr="004F6068">
        <w:t> </w:t>
      </w:r>
      <w:r w:rsidRPr="004F6068">
        <w:t>35A; and</w:t>
      </w:r>
    </w:p>
    <w:p w:rsidR="00601817" w:rsidRPr="004F6068" w:rsidRDefault="00601817" w:rsidP="00601817">
      <w:pPr>
        <w:pStyle w:val="paragraphsub"/>
      </w:pPr>
      <w:r w:rsidRPr="004F6068">
        <w:tab/>
        <w:t>(ii)</w:t>
      </w:r>
      <w:r w:rsidRPr="004F6068">
        <w:tab/>
        <w:t>the Registry account is not subject to any conditions under section</w:t>
      </w:r>
      <w:r w:rsidR="004F6068" w:rsidRPr="004F6068">
        <w:t> </w:t>
      </w:r>
      <w:r w:rsidRPr="004F6068">
        <w:t>28C of the Act prohibiting, restricting or limiting the transfer of units to the account; and</w:t>
      </w:r>
    </w:p>
    <w:p w:rsidR="00601817" w:rsidRPr="004F6068" w:rsidRDefault="00601817" w:rsidP="00601817">
      <w:pPr>
        <w:pStyle w:val="paragraphsub"/>
      </w:pPr>
      <w:r w:rsidRPr="004F6068">
        <w:tab/>
        <w:t>(iii)</w:t>
      </w:r>
      <w:r w:rsidRPr="004F6068">
        <w:tab/>
        <w:t>the Registry account is not suspended under section</w:t>
      </w:r>
      <w:r w:rsidR="004F6068" w:rsidRPr="004F6068">
        <w:t> </w:t>
      </w:r>
      <w:r w:rsidRPr="004F6068">
        <w:t>28D of the Act; and</w:t>
      </w:r>
    </w:p>
    <w:p w:rsidR="00601817" w:rsidRPr="004F6068" w:rsidRDefault="00601817" w:rsidP="006378CB">
      <w:pPr>
        <w:pStyle w:val="paragraph"/>
      </w:pPr>
      <w:r w:rsidRPr="004F6068">
        <w:tab/>
        <w:t>(b)</w:t>
      </w:r>
      <w:r w:rsidRPr="004F6068">
        <w:tab/>
        <w:t xml:space="preserve">the European Union Transaction Log </w:t>
      </w:r>
      <w:r w:rsidR="00EA53F4" w:rsidRPr="004F6068">
        <w:t xml:space="preserve">has confirmed that </w:t>
      </w:r>
      <w:r w:rsidR="006378CB" w:rsidRPr="004F6068">
        <w:t>the</w:t>
      </w:r>
      <w:r w:rsidR="00EA53F4" w:rsidRPr="004F6068">
        <w:t xml:space="preserve"> European allowance unit </w:t>
      </w:r>
      <w:r w:rsidR="006378CB" w:rsidRPr="004F6068">
        <w:t>will</w:t>
      </w:r>
      <w:r w:rsidR="00EA53F4" w:rsidRPr="004F6068">
        <w:t xml:space="preserve"> be transferred from the transferor’s account in the Union Registry to the Commonwealth foreign registry account.</w:t>
      </w:r>
    </w:p>
    <w:p w:rsidR="00601817" w:rsidRPr="004F6068" w:rsidRDefault="00601817" w:rsidP="00601817">
      <w:pPr>
        <w:pStyle w:val="ActHead5"/>
      </w:pPr>
      <w:bookmarkStart w:id="19" w:name="_Toc356308367"/>
      <w:r w:rsidRPr="004F6068">
        <w:rPr>
          <w:rStyle w:val="CharSectno"/>
        </w:rPr>
        <w:lastRenderedPageBreak/>
        <w:t>52</w:t>
      </w:r>
      <w:r w:rsidRPr="004F6068">
        <w:t xml:space="preserve">  Requirement following issue of Australian</w:t>
      </w:r>
      <w:r w:rsidR="004F6068">
        <w:noBreakHyphen/>
      </w:r>
      <w:r w:rsidRPr="004F6068">
        <w:t>issued international units</w:t>
      </w:r>
      <w:bookmarkEnd w:id="19"/>
    </w:p>
    <w:p w:rsidR="00601817" w:rsidRPr="004F6068" w:rsidRDefault="00601817" w:rsidP="00601817">
      <w:pPr>
        <w:pStyle w:val="subsection"/>
      </w:pPr>
      <w:r w:rsidRPr="004F6068">
        <w:tab/>
      </w:r>
      <w:r w:rsidRPr="004F6068">
        <w:tab/>
        <w:t>The Regulator must, as soon as practicable after an Australian</w:t>
      </w:r>
      <w:r w:rsidR="004F6068">
        <w:noBreakHyphen/>
      </w:r>
      <w:r w:rsidRPr="004F6068">
        <w:t>issued international unit is issued, tell the European Union Transaction Log that the unit has been issued.</w:t>
      </w:r>
    </w:p>
    <w:p w:rsidR="00601817" w:rsidRPr="004F6068" w:rsidRDefault="00601817" w:rsidP="00601817">
      <w:pPr>
        <w:pStyle w:val="ActHead5"/>
      </w:pPr>
      <w:bookmarkStart w:id="20" w:name="_Toc356308368"/>
      <w:r w:rsidRPr="004F6068">
        <w:rPr>
          <w:rStyle w:val="CharSectno"/>
        </w:rPr>
        <w:t>53</w:t>
      </w:r>
      <w:r w:rsidRPr="004F6068">
        <w:t xml:space="preserve">  Requirement following cancellation of Australian</w:t>
      </w:r>
      <w:r w:rsidR="004F6068">
        <w:noBreakHyphen/>
      </w:r>
      <w:r w:rsidRPr="004F6068">
        <w:t>issued international units</w:t>
      </w:r>
      <w:bookmarkEnd w:id="20"/>
    </w:p>
    <w:p w:rsidR="00601817" w:rsidRPr="004F6068" w:rsidRDefault="00601817" w:rsidP="00601817">
      <w:pPr>
        <w:pStyle w:val="subsection"/>
      </w:pPr>
      <w:r w:rsidRPr="004F6068">
        <w:tab/>
        <w:t>(1)</w:t>
      </w:r>
      <w:r w:rsidRPr="004F6068">
        <w:tab/>
        <w:t>If a Registry account is closed and an Australian</w:t>
      </w:r>
      <w:r w:rsidR="004F6068">
        <w:noBreakHyphen/>
      </w:r>
      <w:r w:rsidRPr="004F6068">
        <w:t xml:space="preserve">issued international unit is consequently cancelled in accordance with </w:t>
      </w:r>
      <w:proofErr w:type="spellStart"/>
      <w:r w:rsidRPr="004F6068">
        <w:t>subregulation</w:t>
      </w:r>
      <w:proofErr w:type="spellEnd"/>
      <w:r w:rsidR="004F6068" w:rsidRPr="004F6068">
        <w:t> </w:t>
      </w:r>
      <w:r w:rsidRPr="004F6068">
        <w:t>28(6), the Regulator must:</w:t>
      </w:r>
    </w:p>
    <w:p w:rsidR="00601817" w:rsidRPr="004F6068" w:rsidRDefault="00601817" w:rsidP="00601817">
      <w:pPr>
        <w:pStyle w:val="paragraph"/>
      </w:pPr>
      <w:r w:rsidRPr="004F6068">
        <w:tab/>
        <w:t>(a)</w:t>
      </w:r>
      <w:r w:rsidRPr="004F6068">
        <w:tab/>
        <w:t>as soon as practicable after the unit is cancelled, tell the European Union Transaction Log that the unit has been cancelled; and</w:t>
      </w:r>
    </w:p>
    <w:p w:rsidR="00601817" w:rsidRPr="004F6068" w:rsidRDefault="00601817" w:rsidP="00601817">
      <w:pPr>
        <w:pStyle w:val="paragraph"/>
      </w:pPr>
      <w:r w:rsidRPr="004F6068">
        <w:tab/>
        <w:t>(b)</w:t>
      </w:r>
      <w:r w:rsidRPr="004F6068">
        <w:tab/>
        <w:t>within 12 months after the unit is cancelled, arrange for a European allowance unit in the Commonwealth foreign registry account in the Union Registry to be transferred to the Union allowance deletion account.</w:t>
      </w:r>
    </w:p>
    <w:p w:rsidR="00601817" w:rsidRPr="004F6068" w:rsidRDefault="00601817" w:rsidP="00601817">
      <w:pPr>
        <w:pStyle w:val="subsection"/>
      </w:pPr>
      <w:r w:rsidRPr="004F6068">
        <w:tab/>
        <w:t>(2)</w:t>
      </w:r>
      <w:r w:rsidRPr="004F6068">
        <w:tab/>
        <w:t xml:space="preserve">A transfer under </w:t>
      </w:r>
      <w:r w:rsidR="004F6068" w:rsidRPr="004F6068">
        <w:t>paragraph (</w:t>
      </w:r>
      <w:r w:rsidRPr="004F6068">
        <w:t>1)(b) must be made in accordance with any direction given under subsection</w:t>
      </w:r>
      <w:r w:rsidR="004F6068" w:rsidRPr="004F6068">
        <w:t> </w:t>
      </w:r>
      <w:r w:rsidRPr="004F6068">
        <w:t>86A(4) of the Act.</w:t>
      </w:r>
    </w:p>
    <w:p w:rsidR="00601817" w:rsidRPr="004F6068" w:rsidRDefault="00601817" w:rsidP="00601817">
      <w:pPr>
        <w:pStyle w:val="ActHead3"/>
      </w:pPr>
      <w:bookmarkStart w:id="21" w:name="_Toc356308369"/>
      <w:r w:rsidRPr="004F6068">
        <w:rPr>
          <w:rStyle w:val="CharDivNo"/>
        </w:rPr>
        <w:t>Division</w:t>
      </w:r>
      <w:r w:rsidR="004F6068" w:rsidRPr="004F6068">
        <w:rPr>
          <w:rStyle w:val="CharDivNo"/>
        </w:rPr>
        <w:t> </w:t>
      </w:r>
      <w:r w:rsidRPr="004F6068">
        <w:rPr>
          <w:rStyle w:val="CharDivNo"/>
        </w:rPr>
        <w:t>4.2</w:t>
      </w:r>
      <w:r w:rsidRPr="004F6068">
        <w:t>—</w:t>
      </w:r>
      <w:r w:rsidRPr="004F6068">
        <w:rPr>
          <w:rStyle w:val="CharDivText"/>
        </w:rPr>
        <w:t>Ownership of prescribed international unit</w:t>
      </w:r>
      <w:bookmarkEnd w:id="21"/>
    </w:p>
    <w:p w:rsidR="00601817" w:rsidRPr="004F6068" w:rsidRDefault="00601817" w:rsidP="00601817">
      <w:pPr>
        <w:pStyle w:val="ActHead5"/>
      </w:pPr>
      <w:bookmarkStart w:id="22" w:name="_Toc356308370"/>
      <w:r w:rsidRPr="004F6068">
        <w:rPr>
          <w:rStyle w:val="CharSectno"/>
        </w:rPr>
        <w:t>54</w:t>
      </w:r>
      <w:r w:rsidRPr="004F6068">
        <w:t xml:space="preserve">  Legal ownership</w:t>
      </w:r>
      <w:bookmarkEnd w:id="22"/>
    </w:p>
    <w:p w:rsidR="00601817" w:rsidRPr="004F6068" w:rsidRDefault="00601817" w:rsidP="00601817">
      <w:pPr>
        <w:pStyle w:val="subsection"/>
      </w:pPr>
      <w:r w:rsidRPr="004F6068">
        <w:tab/>
      </w:r>
      <w:r w:rsidRPr="004F6068">
        <w:tab/>
        <w:t>For subsection</w:t>
      </w:r>
      <w:r w:rsidR="004F6068" w:rsidRPr="004F6068">
        <w:t> </w:t>
      </w:r>
      <w:r w:rsidRPr="004F6068">
        <w:t>49A(1) of the Act, the registered holder of a prescribed international unit:</w:t>
      </w:r>
    </w:p>
    <w:p w:rsidR="00601817" w:rsidRPr="004F6068" w:rsidRDefault="00601817" w:rsidP="00601817">
      <w:pPr>
        <w:pStyle w:val="paragraph"/>
      </w:pPr>
      <w:r w:rsidRPr="004F6068">
        <w:tab/>
        <w:t>(a)</w:t>
      </w:r>
      <w:r w:rsidRPr="004F6068">
        <w:tab/>
        <w:t>is the legal owner of the unit; and</w:t>
      </w:r>
    </w:p>
    <w:p w:rsidR="00601817" w:rsidRPr="004F6068" w:rsidRDefault="00601817" w:rsidP="00601817">
      <w:pPr>
        <w:pStyle w:val="paragraph"/>
      </w:pPr>
      <w:r w:rsidRPr="004F6068">
        <w:tab/>
        <w:t>(b)</w:t>
      </w:r>
      <w:r w:rsidRPr="004F6068">
        <w:tab/>
        <w:t>may, subject to the Act and these regulations, deal with the unit as its legal owner and give good discharges for any consideration for any such dealing.</w:t>
      </w:r>
    </w:p>
    <w:p w:rsidR="00601817" w:rsidRPr="004F6068" w:rsidRDefault="00601817" w:rsidP="00601817">
      <w:pPr>
        <w:pStyle w:val="ActHead3"/>
      </w:pPr>
      <w:bookmarkStart w:id="23" w:name="_Toc356308371"/>
      <w:r w:rsidRPr="004F6068">
        <w:rPr>
          <w:rStyle w:val="CharDivNo"/>
        </w:rPr>
        <w:lastRenderedPageBreak/>
        <w:t>Division</w:t>
      </w:r>
      <w:r w:rsidR="004F6068" w:rsidRPr="004F6068">
        <w:rPr>
          <w:rStyle w:val="CharDivNo"/>
        </w:rPr>
        <w:t> </w:t>
      </w:r>
      <w:r w:rsidRPr="004F6068">
        <w:rPr>
          <w:rStyle w:val="CharDivNo"/>
        </w:rPr>
        <w:t>4.3</w:t>
      </w:r>
      <w:r w:rsidRPr="004F6068">
        <w:t>—</w:t>
      </w:r>
      <w:r w:rsidRPr="004F6068">
        <w:rPr>
          <w:rStyle w:val="CharDivText"/>
        </w:rPr>
        <w:t>Transfers of prescribed international units</w:t>
      </w:r>
      <w:bookmarkEnd w:id="23"/>
    </w:p>
    <w:p w:rsidR="00601817" w:rsidRPr="004F6068" w:rsidRDefault="00601817" w:rsidP="00601817">
      <w:pPr>
        <w:pStyle w:val="ActHead5"/>
      </w:pPr>
      <w:bookmarkStart w:id="24" w:name="_Toc356308372"/>
      <w:r w:rsidRPr="004F6068">
        <w:rPr>
          <w:rStyle w:val="CharSectno"/>
        </w:rPr>
        <w:t>55</w:t>
      </w:r>
      <w:r w:rsidRPr="004F6068">
        <w:t xml:space="preserve">  Outgoing international transfers of Australian</w:t>
      </w:r>
      <w:r w:rsidR="004F6068">
        <w:noBreakHyphen/>
      </w:r>
      <w:r w:rsidRPr="004F6068">
        <w:t>issued international units</w:t>
      </w:r>
      <w:bookmarkEnd w:id="24"/>
    </w:p>
    <w:p w:rsidR="00601817" w:rsidRPr="004F6068" w:rsidRDefault="00601817" w:rsidP="00601817">
      <w:pPr>
        <w:pStyle w:val="subsection"/>
      </w:pPr>
      <w:r w:rsidRPr="004F6068">
        <w:tab/>
        <w:t>(1)</w:t>
      </w:r>
      <w:r w:rsidRPr="004F6068">
        <w:tab/>
        <w:t>For paragraph</w:t>
      </w:r>
      <w:r w:rsidR="004F6068" w:rsidRPr="004F6068">
        <w:t> </w:t>
      </w:r>
      <w:r w:rsidRPr="004F6068">
        <w:t>52(2)(b) of the Act, the account number of the foreign account is specified.</w:t>
      </w:r>
    </w:p>
    <w:p w:rsidR="00601817" w:rsidRPr="004F6068" w:rsidRDefault="00601817" w:rsidP="00601817">
      <w:pPr>
        <w:pStyle w:val="subsection"/>
      </w:pPr>
      <w:r w:rsidRPr="004F6068">
        <w:tab/>
        <w:t>(2)</w:t>
      </w:r>
      <w:r w:rsidRPr="004F6068">
        <w:tab/>
        <w:t>For paragraph</w:t>
      </w:r>
      <w:r w:rsidR="004F6068" w:rsidRPr="004F6068">
        <w:t> </w:t>
      </w:r>
      <w:r w:rsidRPr="004F6068">
        <w:t xml:space="preserve">52(3)(b) of the Act, the condition is that a person (the </w:t>
      </w:r>
      <w:r w:rsidRPr="004F6068">
        <w:rPr>
          <w:b/>
          <w:i/>
        </w:rPr>
        <w:t>transferor</w:t>
      </w:r>
      <w:r w:rsidRPr="004F6068">
        <w:t>) has requested that an Australian</w:t>
      </w:r>
      <w:r w:rsidR="004F6068">
        <w:noBreakHyphen/>
      </w:r>
      <w:r w:rsidRPr="004F6068">
        <w:t>issued international unit be cancelled and a European allowance unit be transferred from the Commonwealth foreign registry account in the Union Registry to a foreign account.</w:t>
      </w:r>
    </w:p>
    <w:p w:rsidR="00601817" w:rsidRPr="004F6068" w:rsidRDefault="00601817" w:rsidP="00601817">
      <w:pPr>
        <w:pStyle w:val="subsection"/>
      </w:pPr>
      <w:r w:rsidRPr="004F6068">
        <w:tab/>
        <w:t>(3)</w:t>
      </w:r>
      <w:r w:rsidRPr="004F6068">
        <w:tab/>
        <w:t>For subsection</w:t>
      </w:r>
      <w:r w:rsidR="004F6068" w:rsidRPr="004F6068">
        <w:t> </w:t>
      </w:r>
      <w:r w:rsidRPr="004F6068">
        <w:t xml:space="preserve">52(3) of the Act, if the Regulator is satisfied that the condition in </w:t>
      </w:r>
      <w:proofErr w:type="spellStart"/>
      <w:r w:rsidRPr="004F6068">
        <w:t>subregulation</w:t>
      </w:r>
      <w:proofErr w:type="spellEnd"/>
      <w:r w:rsidRPr="004F6068">
        <w:t xml:space="preserve"> (2) has been met, the Regulator must:</w:t>
      </w:r>
    </w:p>
    <w:p w:rsidR="00601817" w:rsidRPr="004F6068" w:rsidRDefault="00601817" w:rsidP="00601817">
      <w:pPr>
        <w:pStyle w:val="paragraph"/>
      </w:pPr>
      <w:r w:rsidRPr="004F6068">
        <w:tab/>
        <w:t>(a)</w:t>
      </w:r>
      <w:r w:rsidRPr="004F6068">
        <w:tab/>
        <w:t xml:space="preserve">decide if the transfer can be validated in accordance with </w:t>
      </w:r>
      <w:r w:rsidR="004F6068" w:rsidRPr="004F6068">
        <w:t>paragraph (</w:t>
      </w:r>
      <w:r w:rsidRPr="004F6068">
        <w:t>4)(a) and, if the transfer cannot be validated, tell the transferor that the transfer is declined; and</w:t>
      </w:r>
    </w:p>
    <w:p w:rsidR="00601817" w:rsidRPr="004F6068" w:rsidRDefault="00601817" w:rsidP="00601817">
      <w:pPr>
        <w:pStyle w:val="paragraph"/>
      </w:pPr>
      <w:r w:rsidRPr="004F6068">
        <w:tab/>
        <w:t>(b)</w:t>
      </w:r>
      <w:r w:rsidRPr="004F6068">
        <w:tab/>
        <w:t>if the transfer can be validated, send information about the transfer to the European Union Transaction Log, including:</w:t>
      </w:r>
    </w:p>
    <w:p w:rsidR="00601817" w:rsidRPr="004F6068" w:rsidRDefault="00601817" w:rsidP="00601817">
      <w:pPr>
        <w:pStyle w:val="paragraphsub"/>
      </w:pPr>
      <w:r w:rsidRPr="004F6068">
        <w:tab/>
        <w:t>(</w:t>
      </w:r>
      <w:proofErr w:type="spellStart"/>
      <w:r w:rsidRPr="004F6068">
        <w:t>i</w:t>
      </w:r>
      <w:proofErr w:type="spellEnd"/>
      <w:r w:rsidRPr="004F6068">
        <w:t>)</w:t>
      </w:r>
      <w:r w:rsidRPr="004F6068">
        <w:tab/>
        <w:t>the number of Australian</w:t>
      </w:r>
      <w:r w:rsidR="004F6068">
        <w:noBreakHyphen/>
      </w:r>
      <w:r w:rsidRPr="004F6068">
        <w:t>issued international units instructed to be cancelled; and</w:t>
      </w:r>
    </w:p>
    <w:p w:rsidR="00601817" w:rsidRPr="004F6068" w:rsidRDefault="00601817" w:rsidP="00601817">
      <w:pPr>
        <w:pStyle w:val="paragraphsub"/>
      </w:pPr>
      <w:r w:rsidRPr="004F6068">
        <w:tab/>
        <w:t>(ii)</w:t>
      </w:r>
      <w:r w:rsidRPr="004F6068">
        <w:tab/>
        <w:t>the account in the Union Registry to which an equivalent number of European allowance units are to be transferred; and</w:t>
      </w:r>
    </w:p>
    <w:p w:rsidR="00601817" w:rsidRPr="004F6068" w:rsidRDefault="00601817" w:rsidP="00601817">
      <w:pPr>
        <w:pStyle w:val="paragraph"/>
      </w:pPr>
      <w:r w:rsidRPr="004F6068">
        <w:tab/>
        <w:t>(c)</w:t>
      </w:r>
      <w:r w:rsidRPr="004F6068">
        <w:tab/>
        <w:t xml:space="preserve">if the transfer cannot be validated by the European Union Transaction Log in accordance with </w:t>
      </w:r>
      <w:r w:rsidR="004F6068" w:rsidRPr="004F6068">
        <w:t>paragraph (</w:t>
      </w:r>
      <w:r w:rsidRPr="004F6068">
        <w:t>4)(b), tell the transferor that the transfer is declined; and</w:t>
      </w:r>
    </w:p>
    <w:p w:rsidR="00601817" w:rsidRPr="004F6068" w:rsidRDefault="00601817" w:rsidP="00601817">
      <w:pPr>
        <w:pStyle w:val="paragraph"/>
      </w:pPr>
      <w:r w:rsidRPr="004F6068">
        <w:tab/>
        <w:t>(d)</w:t>
      </w:r>
      <w:r w:rsidRPr="004F6068">
        <w:tab/>
        <w:t>if the transfer is validated by the European Union Transaction Log, cancel the Australian</w:t>
      </w:r>
      <w:r w:rsidR="004F6068">
        <w:noBreakHyphen/>
      </w:r>
      <w:r w:rsidRPr="004F6068">
        <w:t>issued international units and remove the entries from the person’s Registry account; and</w:t>
      </w:r>
    </w:p>
    <w:p w:rsidR="00601817" w:rsidRPr="004F6068" w:rsidRDefault="00601817" w:rsidP="00601817">
      <w:pPr>
        <w:pStyle w:val="paragraph"/>
      </w:pPr>
      <w:r w:rsidRPr="004F6068">
        <w:tab/>
        <w:t>(e)</w:t>
      </w:r>
      <w:r w:rsidRPr="004F6068">
        <w:tab/>
        <w:t>advise the European Union Transaction Log that the Australian</w:t>
      </w:r>
      <w:r w:rsidR="004F6068">
        <w:noBreakHyphen/>
      </w:r>
      <w:r w:rsidRPr="004F6068">
        <w:t>issued international units have been cancelled; and</w:t>
      </w:r>
    </w:p>
    <w:p w:rsidR="00601817" w:rsidRPr="004F6068" w:rsidRDefault="00601817" w:rsidP="00601817">
      <w:pPr>
        <w:pStyle w:val="paragraph"/>
      </w:pPr>
      <w:r w:rsidRPr="004F6068">
        <w:tab/>
        <w:t>(f)</w:t>
      </w:r>
      <w:r w:rsidRPr="004F6068">
        <w:tab/>
        <w:t xml:space="preserve">arrange for an equivalent number of European allowance units to be transferred from the Commonwealth foreign </w:t>
      </w:r>
      <w:r w:rsidRPr="004F6068">
        <w:lastRenderedPageBreak/>
        <w:t>registry account in the Union Registry to the nominated account in the Union Registry.</w:t>
      </w:r>
    </w:p>
    <w:p w:rsidR="00601817" w:rsidRPr="004F6068" w:rsidRDefault="00601817" w:rsidP="00601817">
      <w:pPr>
        <w:pStyle w:val="notetext"/>
      </w:pPr>
      <w:r w:rsidRPr="004F6068">
        <w:t>Note:</w:t>
      </w:r>
      <w:r w:rsidRPr="004F6068">
        <w:tab/>
        <w:t>Division</w:t>
      </w:r>
      <w:r w:rsidR="004F6068" w:rsidRPr="004F6068">
        <w:t> </w:t>
      </w:r>
      <w:r w:rsidRPr="004F6068">
        <w:t>4.5 modifies paragraphs 50(1)(c) and (d) of the Act as to what constitutes the transfer of an Australian</w:t>
      </w:r>
      <w:r w:rsidR="004F6068">
        <w:noBreakHyphen/>
      </w:r>
      <w:r w:rsidRPr="004F6068">
        <w:t>issued international unit to a foreign account.</w:t>
      </w:r>
    </w:p>
    <w:p w:rsidR="00601817" w:rsidRPr="004F6068" w:rsidRDefault="00601817" w:rsidP="00601817">
      <w:pPr>
        <w:pStyle w:val="subsection"/>
      </w:pPr>
      <w:r w:rsidRPr="004F6068">
        <w:tab/>
        <w:t>(4)</w:t>
      </w:r>
      <w:r w:rsidRPr="004F6068">
        <w:tab/>
        <w:t>A transfer is validated if:</w:t>
      </w:r>
    </w:p>
    <w:p w:rsidR="00601817" w:rsidRPr="004F6068" w:rsidRDefault="00601817" w:rsidP="00601817">
      <w:pPr>
        <w:pStyle w:val="paragraph"/>
      </w:pPr>
      <w:r w:rsidRPr="004F6068">
        <w:tab/>
        <w:t>(a)</w:t>
      </w:r>
      <w:r w:rsidRPr="004F6068">
        <w:tab/>
        <w:t>the Regulator has verified that the specified Registry account from which the Australian</w:t>
      </w:r>
      <w:r w:rsidR="004F6068">
        <w:noBreakHyphen/>
      </w:r>
      <w:r w:rsidRPr="004F6068">
        <w:t>issued international unit is to be cancelled is open and that:</w:t>
      </w:r>
    </w:p>
    <w:p w:rsidR="00601817" w:rsidRPr="004F6068" w:rsidRDefault="00601817" w:rsidP="00601817">
      <w:pPr>
        <w:pStyle w:val="paragraphsub"/>
      </w:pPr>
      <w:r w:rsidRPr="004F6068">
        <w:tab/>
        <w:t>(</w:t>
      </w:r>
      <w:proofErr w:type="spellStart"/>
      <w:r w:rsidRPr="004F6068">
        <w:t>i</w:t>
      </w:r>
      <w:proofErr w:type="spellEnd"/>
      <w:r w:rsidRPr="004F6068">
        <w:t>)</w:t>
      </w:r>
      <w:r w:rsidRPr="004F6068">
        <w:tab/>
        <w:t>the operation of the Registry is not suspended under section</w:t>
      </w:r>
      <w:r w:rsidR="004F6068" w:rsidRPr="004F6068">
        <w:t> </w:t>
      </w:r>
      <w:r w:rsidRPr="004F6068">
        <w:t>28 of the Act or regulation</w:t>
      </w:r>
      <w:r w:rsidR="004F6068" w:rsidRPr="004F6068">
        <w:t> </w:t>
      </w:r>
      <w:r w:rsidRPr="004F6068">
        <w:t>35A; and</w:t>
      </w:r>
    </w:p>
    <w:p w:rsidR="00601817" w:rsidRPr="004F6068" w:rsidRDefault="00601817" w:rsidP="00601817">
      <w:pPr>
        <w:pStyle w:val="paragraphsub"/>
      </w:pPr>
      <w:r w:rsidRPr="004F6068">
        <w:tab/>
        <w:t>(ii)</w:t>
      </w:r>
      <w:r w:rsidRPr="004F6068">
        <w:tab/>
        <w:t>the Registry account is not subject to any conditions under section</w:t>
      </w:r>
      <w:r w:rsidR="004F6068" w:rsidRPr="004F6068">
        <w:t> </w:t>
      </w:r>
      <w:r w:rsidRPr="004F6068">
        <w:t>28C of the Act prohibiting, restricting or limiting the transfer of units from the account; and</w:t>
      </w:r>
    </w:p>
    <w:p w:rsidR="00601817" w:rsidRPr="004F6068" w:rsidRDefault="00601817" w:rsidP="00601817">
      <w:pPr>
        <w:pStyle w:val="paragraphsub"/>
      </w:pPr>
      <w:r w:rsidRPr="004F6068">
        <w:tab/>
        <w:t>(iii)</w:t>
      </w:r>
      <w:r w:rsidRPr="004F6068">
        <w:tab/>
        <w:t>the Registry account is not suspended under section</w:t>
      </w:r>
      <w:r w:rsidR="004F6068" w:rsidRPr="004F6068">
        <w:t> </w:t>
      </w:r>
      <w:r w:rsidRPr="004F6068">
        <w:t>28D of the Act; and</w:t>
      </w:r>
    </w:p>
    <w:p w:rsidR="00601817" w:rsidRPr="004F6068" w:rsidRDefault="00601817" w:rsidP="00127F8F">
      <w:pPr>
        <w:pStyle w:val="paragraph"/>
      </w:pPr>
      <w:r w:rsidRPr="004F6068">
        <w:tab/>
        <w:t>(b)</w:t>
      </w:r>
      <w:r w:rsidRPr="004F6068">
        <w:tab/>
        <w:t>the European Union Transaction Log has</w:t>
      </w:r>
      <w:r w:rsidR="00EA53F4" w:rsidRPr="004F6068">
        <w:t xml:space="preserve"> confirmed that </w:t>
      </w:r>
      <w:r w:rsidR="00127F8F" w:rsidRPr="004F6068">
        <w:t>the</w:t>
      </w:r>
      <w:r w:rsidR="00EA53F4" w:rsidRPr="004F6068">
        <w:t xml:space="preserve"> European allowance unit </w:t>
      </w:r>
      <w:r w:rsidR="006378CB" w:rsidRPr="004F6068">
        <w:t>will</w:t>
      </w:r>
      <w:r w:rsidR="00EA53F4" w:rsidRPr="004F6068">
        <w:t xml:space="preserve"> be transferred from the Commonwealth foreign registry account to the</w:t>
      </w:r>
      <w:r w:rsidR="00127F8F" w:rsidRPr="004F6068">
        <w:t xml:space="preserve"> nominated</w:t>
      </w:r>
      <w:r w:rsidR="006378CB" w:rsidRPr="004F6068">
        <w:t xml:space="preserve"> </w:t>
      </w:r>
      <w:r w:rsidR="00127F8F" w:rsidRPr="004F6068">
        <w:t xml:space="preserve">foreign </w:t>
      </w:r>
      <w:r w:rsidR="006378CB" w:rsidRPr="004F6068">
        <w:t>account in the Union Registry.</w:t>
      </w:r>
    </w:p>
    <w:p w:rsidR="00601817" w:rsidRPr="004F6068" w:rsidRDefault="00601817" w:rsidP="00601817">
      <w:pPr>
        <w:pStyle w:val="ActHead5"/>
      </w:pPr>
      <w:bookmarkStart w:id="25" w:name="_Toc356308373"/>
      <w:r w:rsidRPr="004F6068">
        <w:rPr>
          <w:rStyle w:val="CharSectno"/>
        </w:rPr>
        <w:t>56</w:t>
      </w:r>
      <w:r w:rsidRPr="004F6068">
        <w:t xml:space="preserve">  Incoming international transfers of prescribed international units</w:t>
      </w:r>
      <w:bookmarkEnd w:id="25"/>
    </w:p>
    <w:p w:rsidR="00601817" w:rsidRPr="004F6068" w:rsidRDefault="00601817" w:rsidP="00601817">
      <w:pPr>
        <w:pStyle w:val="subsection"/>
      </w:pPr>
      <w:r w:rsidRPr="004F6068">
        <w:tab/>
      </w:r>
      <w:r w:rsidRPr="004F6068">
        <w:tab/>
        <w:t>For paragraph</w:t>
      </w:r>
      <w:r w:rsidR="004F6068" w:rsidRPr="004F6068">
        <w:t> </w:t>
      </w:r>
      <w:r w:rsidRPr="004F6068">
        <w:t>53(1)(b) of the Act, the following conditions are specified:</w:t>
      </w:r>
    </w:p>
    <w:p w:rsidR="00601817" w:rsidRPr="004F6068" w:rsidRDefault="00601817" w:rsidP="00601817">
      <w:pPr>
        <w:pStyle w:val="paragraph"/>
      </w:pPr>
      <w:r w:rsidRPr="004F6068">
        <w:tab/>
        <w:t>(a)</w:t>
      </w:r>
      <w:r w:rsidRPr="004F6068">
        <w:tab/>
        <w:t>at the time the instruction is received, an international arrangement is operational;</w:t>
      </w:r>
    </w:p>
    <w:p w:rsidR="00601817" w:rsidRPr="004F6068" w:rsidRDefault="00601817" w:rsidP="00601817">
      <w:pPr>
        <w:pStyle w:val="paragraph"/>
      </w:pPr>
      <w:r w:rsidRPr="004F6068">
        <w:tab/>
        <w:t>(b)</w:t>
      </w:r>
      <w:r w:rsidRPr="004F6068">
        <w:tab/>
        <w:t>the transfer of the prescribed international unit from the foreign account to the Registry account is in accordance with the arrangement.</w:t>
      </w:r>
    </w:p>
    <w:p w:rsidR="00601817" w:rsidRPr="004F6068" w:rsidRDefault="00601817" w:rsidP="00601817">
      <w:pPr>
        <w:pStyle w:val="ActHead3"/>
      </w:pPr>
      <w:bookmarkStart w:id="26" w:name="_Toc356308374"/>
      <w:r w:rsidRPr="004F6068">
        <w:rPr>
          <w:rStyle w:val="CharDivNo"/>
        </w:rPr>
        <w:lastRenderedPageBreak/>
        <w:t>Division</w:t>
      </w:r>
      <w:r w:rsidR="004F6068" w:rsidRPr="004F6068">
        <w:rPr>
          <w:rStyle w:val="CharDivNo"/>
        </w:rPr>
        <w:t> </w:t>
      </w:r>
      <w:r w:rsidRPr="004F6068">
        <w:rPr>
          <w:rStyle w:val="CharDivNo"/>
        </w:rPr>
        <w:t>4.4</w:t>
      </w:r>
      <w:r w:rsidRPr="004F6068">
        <w:t>—</w:t>
      </w:r>
      <w:r w:rsidRPr="004F6068">
        <w:rPr>
          <w:rStyle w:val="CharDivText"/>
        </w:rPr>
        <w:t>General provisions about prescribed international units</w:t>
      </w:r>
      <w:bookmarkEnd w:id="26"/>
    </w:p>
    <w:p w:rsidR="00601817" w:rsidRPr="004F6068" w:rsidRDefault="00601817" w:rsidP="00601817">
      <w:pPr>
        <w:pStyle w:val="ActHead5"/>
      </w:pPr>
      <w:bookmarkStart w:id="27" w:name="_Toc356308375"/>
      <w:r w:rsidRPr="004F6068">
        <w:rPr>
          <w:rStyle w:val="CharSectno"/>
        </w:rPr>
        <w:t>57</w:t>
      </w:r>
      <w:r w:rsidRPr="004F6068">
        <w:t xml:space="preserve">  A registered prescribed international unit is personal property for certain purposes</w:t>
      </w:r>
      <w:bookmarkEnd w:id="27"/>
    </w:p>
    <w:p w:rsidR="00601817" w:rsidRPr="004F6068" w:rsidRDefault="00601817" w:rsidP="00601817">
      <w:pPr>
        <w:pStyle w:val="subsection"/>
      </w:pPr>
      <w:r w:rsidRPr="004F6068">
        <w:tab/>
      </w:r>
      <w:r w:rsidRPr="004F6068">
        <w:tab/>
        <w:t>The following purposes are prescribed for paragraph</w:t>
      </w:r>
      <w:r w:rsidR="004F6068" w:rsidRPr="004F6068">
        <w:t> </w:t>
      </w:r>
      <w:r w:rsidRPr="004F6068">
        <w:t>54(2)(d) of the Act:</w:t>
      </w:r>
    </w:p>
    <w:p w:rsidR="00601817" w:rsidRPr="004F6068" w:rsidRDefault="00601817" w:rsidP="00601817">
      <w:pPr>
        <w:pStyle w:val="paragraph"/>
      </w:pPr>
      <w:r w:rsidRPr="004F6068">
        <w:tab/>
        <w:t>(a)</w:t>
      </w:r>
      <w:r w:rsidRPr="004F6068">
        <w:tab/>
        <w:t xml:space="preserve">the purposes of the </w:t>
      </w:r>
      <w:r w:rsidRPr="004F6068">
        <w:rPr>
          <w:bCs/>
          <w:i/>
        </w:rPr>
        <w:t>Personal Property Securities Act 2009</w:t>
      </w:r>
      <w:r w:rsidRPr="004F6068">
        <w:rPr>
          <w:bCs/>
        </w:rPr>
        <w:t>;</w:t>
      </w:r>
    </w:p>
    <w:p w:rsidR="00601817" w:rsidRPr="004F6068" w:rsidRDefault="00601817" w:rsidP="00601817">
      <w:pPr>
        <w:pStyle w:val="paragraph"/>
      </w:pPr>
      <w:r w:rsidRPr="004F6068">
        <w:tab/>
        <w:t>(b)</w:t>
      </w:r>
      <w:r w:rsidRPr="004F6068">
        <w:tab/>
        <w:t xml:space="preserve">the purposes of the </w:t>
      </w:r>
      <w:r w:rsidRPr="004F6068">
        <w:rPr>
          <w:i/>
        </w:rPr>
        <w:t>Proceeds of Crime Act 2002</w:t>
      </w:r>
      <w:r w:rsidRPr="004F6068">
        <w:t>.</w:t>
      </w:r>
    </w:p>
    <w:p w:rsidR="00601817" w:rsidRPr="004F6068" w:rsidRDefault="00601817" w:rsidP="00601817">
      <w:pPr>
        <w:pStyle w:val="ActHead5"/>
      </w:pPr>
      <w:bookmarkStart w:id="28" w:name="_Toc356308376"/>
      <w:r w:rsidRPr="004F6068">
        <w:rPr>
          <w:rStyle w:val="CharSectno"/>
        </w:rPr>
        <w:t>58</w:t>
      </w:r>
      <w:r w:rsidRPr="004F6068">
        <w:t xml:space="preserve">  Transmission of prescribed international units by operation of law</w:t>
      </w:r>
      <w:bookmarkEnd w:id="28"/>
    </w:p>
    <w:p w:rsidR="00601817" w:rsidRPr="004F6068" w:rsidRDefault="00601817" w:rsidP="00601817">
      <w:pPr>
        <w:pStyle w:val="SubsectionHead"/>
      </w:pPr>
      <w:r w:rsidRPr="004F6068">
        <w:t>Evidence of transmission</w:t>
      </w:r>
    </w:p>
    <w:p w:rsidR="00601817" w:rsidRPr="004F6068" w:rsidRDefault="00601817" w:rsidP="00601817">
      <w:pPr>
        <w:pStyle w:val="subsection"/>
      </w:pPr>
      <w:r w:rsidRPr="004F6068">
        <w:tab/>
        <w:t>(1)</w:t>
      </w:r>
      <w:r w:rsidRPr="004F6068">
        <w:tab/>
        <w:t>For paragraph</w:t>
      </w:r>
      <w:r w:rsidR="004F6068" w:rsidRPr="004F6068">
        <w:t> </w:t>
      </w:r>
      <w:r w:rsidRPr="004F6068">
        <w:t>56(2)(b) of the Act, the transferee must give the Regulator a certified copy of a document showing the title to the prescribed international units has been transmitted to the transferee.</w:t>
      </w:r>
    </w:p>
    <w:p w:rsidR="00601817" w:rsidRPr="004F6068" w:rsidRDefault="00601817" w:rsidP="00601817">
      <w:pPr>
        <w:pStyle w:val="notetext"/>
      </w:pPr>
      <w:r w:rsidRPr="004F6068">
        <w:t>Example:</w:t>
      </w:r>
      <w:r w:rsidRPr="004F6068">
        <w:tab/>
        <w:t>If a prescribed international unit has been transmitted on the making of an order by a court, including a sequestration order, the evidence of the transmission would be a certified copy of the order.</w:t>
      </w:r>
    </w:p>
    <w:p w:rsidR="00601817" w:rsidRPr="004F6068" w:rsidRDefault="00601817" w:rsidP="00601817">
      <w:pPr>
        <w:pStyle w:val="SubsectionHead"/>
      </w:pPr>
      <w:r w:rsidRPr="004F6068">
        <w:t>Declaration of transmission</w:t>
      </w:r>
    </w:p>
    <w:p w:rsidR="00601817" w:rsidRPr="004F6068" w:rsidRDefault="00601817" w:rsidP="00601817">
      <w:pPr>
        <w:pStyle w:val="subsection"/>
      </w:pPr>
      <w:r w:rsidRPr="004F6068">
        <w:tab/>
        <w:t>(2)</w:t>
      </w:r>
      <w:r w:rsidRPr="004F6068">
        <w:tab/>
        <w:t>For subsection</w:t>
      </w:r>
      <w:r w:rsidR="004F6068" w:rsidRPr="004F6068">
        <w:t> </w:t>
      </w:r>
      <w:r w:rsidRPr="004F6068">
        <w:t>56(3) of the Act, a declaration of transmission must:</w:t>
      </w:r>
    </w:p>
    <w:p w:rsidR="00601817" w:rsidRPr="004F6068" w:rsidRDefault="00601817" w:rsidP="00601817">
      <w:pPr>
        <w:pStyle w:val="paragraph"/>
      </w:pPr>
      <w:r w:rsidRPr="004F6068">
        <w:tab/>
        <w:t>(a)</w:t>
      </w:r>
      <w:r w:rsidRPr="004F6068">
        <w:tab/>
        <w:t>be made in writing; and</w:t>
      </w:r>
    </w:p>
    <w:p w:rsidR="00601817" w:rsidRPr="004F6068" w:rsidRDefault="00601817" w:rsidP="00601817">
      <w:pPr>
        <w:pStyle w:val="paragraph"/>
      </w:pPr>
      <w:r w:rsidRPr="004F6068">
        <w:tab/>
        <w:t>(b)</w:t>
      </w:r>
      <w:r w:rsidRPr="004F6068">
        <w:tab/>
        <w:t>identify the serial numbers of the prescribed international units; and</w:t>
      </w:r>
    </w:p>
    <w:p w:rsidR="00601817" w:rsidRPr="004F6068" w:rsidRDefault="00601817" w:rsidP="00601817">
      <w:pPr>
        <w:pStyle w:val="paragraph"/>
      </w:pPr>
      <w:r w:rsidRPr="004F6068">
        <w:tab/>
        <w:t>(c)</w:t>
      </w:r>
      <w:r w:rsidRPr="004F6068">
        <w:tab/>
        <w:t>set out the name, address (if relevant) and Registry account number of the transferor; and</w:t>
      </w:r>
    </w:p>
    <w:p w:rsidR="00601817" w:rsidRPr="004F6068" w:rsidRDefault="00601817" w:rsidP="00601817">
      <w:pPr>
        <w:pStyle w:val="paragraph"/>
      </w:pPr>
      <w:r w:rsidRPr="004F6068">
        <w:tab/>
        <w:t>(d)</w:t>
      </w:r>
      <w:r w:rsidRPr="004F6068">
        <w:tab/>
        <w:t>set out the name, address and Registry account number (if any) of the transferee; and</w:t>
      </w:r>
    </w:p>
    <w:p w:rsidR="00601817" w:rsidRPr="004F6068" w:rsidRDefault="00601817" w:rsidP="00601817">
      <w:pPr>
        <w:pStyle w:val="paragraph"/>
      </w:pPr>
      <w:r w:rsidRPr="004F6068">
        <w:tab/>
        <w:t>(e)</w:t>
      </w:r>
      <w:r w:rsidRPr="004F6068">
        <w:tab/>
        <w:t>include a brief description of the circumstances that resulted in the transmission; and</w:t>
      </w:r>
    </w:p>
    <w:p w:rsidR="00601817" w:rsidRPr="004F6068" w:rsidRDefault="00601817" w:rsidP="00601817">
      <w:pPr>
        <w:pStyle w:val="paragraph"/>
      </w:pPr>
      <w:r w:rsidRPr="004F6068">
        <w:tab/>
        <w:t>(f)</w:t>
      </w:r>
      <w:r w:rsidRPr="004F6068">
        <w:tab/>
        <w:t>be signed by the transferee.</w:t>
      </w:r>
    </w:p>
    <w:p w:rsidR="00601817" w:rsidRPr="004F6068" w:rsidRDefault="00601817" w:rsidP="00601817">
      <w:pPr>
        <w:pStyle w:val="notetext"/>
      </w:pPr>
      <w:r w:rsidRPr="004F6068">
        <w:lastRenderedPageBreak/>
        <w:t>Note:</w:t>
      </w:r>
      <w:r w:rsidRPr="004F6068">
        <w:tab/>
        <w:t>If the transferee does not already have a Registry account, the transferee must request that a Registry account be opened in the transferee’s name: see subsection</w:t>
      </w:r>
      <w:r w:rsidR="004F6068" w:rsidRPr="004F6068">
        <w:t> </w:t>
      </w:r>
      <w:r w:rsidRPr="004F6068">
        <w:t>56(4) of the Act.</w:t>
      </w:r>
    </w:p>
    <w:p w:rsidR="00601817" w:rsidRPr="004F6068" w:rsidRDefault="00601817" w:rsidP="00601817">
      <w:pPr>
        <w:pStyle w:val="ActHead3"/>
      </w:pPr>
      <w:bookmarkStart w:id="29" w:name="_Toc356308377"/>
      <w:r w:rsidRPr="004F6068">
        <w:rPr>
          <w:rStyle w:val="CharDivNo"/>
        </w:rPr>
        <w:t>Division</w:t>
      </w:r>
      <w:r w:rsidR="004F6068" w:rsidRPr="004F6068">
        <w:rPr>
          <w:rStyle w:val="CharDivNo"/>
        </w:rPr>
        <w:t> </w:t>
      </w:r>
      <w:r w:rsidRPr="004F6068">
        <w:rPr>
          <w:rStyle w:val="CharDivNo"/>
        </w:rPr>
        <w:t>4.5</w:t>
      </w:r>
      <w:r w:rsidRPr="004F6068">
        <w:t>—</w:t>
      </w:r>
      <w:r w:rsidRPr="004F6068">
        <w:rPr>
          <w:rStyle w:val="CharDivText"/>
        </w:rPr>
        <w:t>Modification of Division</w:t>
      </w:r>
      <w:r w:rsidR="004F6068" w:rsidRPr="004F6068">
        <w:rPr>
          <w:rStyle w:val="CharDivText"/>
        </w:rPr>
        <w:t> </w:t>
      </w:r>
      <w:r w:rsidRPr="004F6068">
        <w:rPr>
          <w:rStyle w:val="CharDivText"/>
        </w:rPr>
        <w:t>3 of Part</w:t>
      </w:r>
      <w:r w:rsidR="004F6068" w:rsidRPr="004F6068">
        <w:rPr>
          <w:rStyle w:val="CharDivText"/>
        </w:rPr>
        <w:t> </w:t>
      </w:r>
      <w:r w:rsidRPr="004F6068">
        <w:rPr>
          <w:rStyle w:val="CharDivText"/>
        </w:rPr>
        <w:t>4 of the Act for Australian</w:t>
      </w:r>
      <w:r w:rsidR="004F6068" w:rsidRPr="004F6068">
        <w:rPr>
          <w:rStyle w:val="CharDivText"/>
        </w:rPr>
        <w:noBreakHyphen/>
      </w:r>
      <w:r w:rsidRPr="004F6068">
        <w:rPr>
          <w:rStyle w:val="CharDivText"/>
        </w:rPr>
        <w:t>issued international units</w:t>
      </w:r>
      <w:bookmarkEnd w:id="29"/>
    </w:p>
    <w:p w:rsidR="00601817" w:rsidRPr="004F6068" w:rsidRDefault="00601817" w:rsidP="00601817">
      <w:pPr>
        <w:pStyle w:val="ActHead5"/>
      </w:pPr>
      <w:bookmarkStart w:id="30" w:name="_Toc356308378"/>
      <w:r w:rsidRPr="004F6068">
        <w:rPr>
          <w:rStyle w:val="CharSectno"/>
        </w:rPr>
        <w:t>59</w:t>
      </w:r>
      <w:r w:rsidRPr="004F6068">
        <w:t xml:space="preserve">  General</w:t>
      </w:r>
      <w:bookmarkEnd w:id="30"/>
    </w:p>
    <w:p w:rsidR="00601817" w:rsidRPr="004F6068" w:rsidRDefault="00601817" w:rsidP="00601817">
      <w:pPr>
        <w:pStyle w:val="subsection"/>
      </w:pPr>
      <w:r w:rsidRPr="004F6068">
        <w:tab/>
      </w:r>
      <w:r w:rsidRPr="004F6068">
        <w:tab/>
        <w:t>This Division is made for subsection</w:t>
      </w:r>
      <w:r w:rsidR="004F6068" w:rsidRPr="004F6068">
        <w:t> </w:t>
      </w:r>
      <w:r w:rsidRPr="004F6068">
        <w:t>57(2) of the Act and applies to Australian</w:t>
      </w:r>
      <w:r w:rsidR="004F6068">
        <w:noBreakHyphen/>
      </w:r>
      <w:r w:rsidRPr="004F6068">
        <w:t>issued international units issued for European allowance units.</w:t>
      </w:r>
    </w:p>
    <w:p w:rsidR="00601817" w:rsidRPr="004F6068" w:rsidRDefault="00601817" w:rsidP="00601817">
      <w:pPr>
        <w:pStyle w:val="ActHead5"/>
      </w:pPr>
      <w:bookmarkStart w:id="31" w:name="_Toc356308379"/>
      <w:r w:rsidRPr="004F6068">
        <w:rPr>
          <w:rStyle w:val="CharSectno"/>
        </w:rPr>
        <w:t>60</w:t>
      </w:r>
      <w:r w:rsidRPr="004F6068">
        <w:t xml:space="preserve">  Modification of Act</w:t>
      </w:r>
      <w:bookmarkEnd w:id="31"/>
    </w:p>
    <w:p w:rsidR="00601817" w:rsidRPr="004F6068" w:rsidRDefault="00601817" w:rsidP="00601817">
      <w:pPr>
        <w:pStyle w:val="subsection"/>
      </w:pPr>
      <w:r w:rsidRPr="004F6068">
        <w:tab/>
      </w:r>
      <w:r w:rsidRPr="004F6068">
        <w:tab/>
        <w:t>Paragraphs 50(1)(c) and (d) of the Act are modified in their application to an Australian</w:t>
      </w:r>
      <w:r w:rsidR="004F6068">
        <w:noBreakHyphen/>
      </w:r>
      <w:r w:rsidRPr="004F6068">
        <w:t>issued international unit by substituting the following:</w:t>
      </w:r>
    </w:p>
    <w:p w:rsidR="00601817" w:rsidRPr="004F6068" w:rsidRDefault="00601817" w:rsidP="00601817">
      <w:pPr>
        <w:pStyle w:val="paragraph"/>
      </w:pPr>
      <w:r w:rsidRPr="004F6068">
        <w:tab/>
      </w:r>
      <w:r w:rsidR="007853E0" w:rsidRPr="004F6068">
        <w:t>“</w:t>
      </w:r>
      <w:r w:rsidRPr="004F6068">
        <w:t>(c)</w:t>
      </w:r>
      <w:r w:rsidRPr="004F6068">
        <w:tab/>
        <w:t xml:space="preserve">the </w:t>
      </w:r>
      <w:r w:rsidRPr="004F6068">
        <w:rPr>
          <w:b/>
          <w:i/>
        </w:rPr>
        <w:t>transfer</w:t>
      </w:r>
      <w:r w:rsidRPr="004F6068">
        <w:t xml:space="preserve"> of an Australian</w:t>
      </w:r>
      <w:r w:rsidR="004F6068">
        <w:noBreakHyphen/>
      </w:r>
      <w:r w:rsidRPr="004F6068">
        <w:t>issued international unit from the first Registry account to a foreign account kept by another person consists of:</w:t>
      </w:r>
    </w:p>
    <w:p w:rsidR="00601817" w:rsidRPr="004F6068" w:rsidRDefault="00601817" w:rsidP="00601817">
      <w:pPr>
        <w:pStyle w:val="paragraphsub"/>
      </w:pPr>
      <w:r w:rsidRPr="004F6068">
        <w:tab/>
        <w:t>(</w:t>
      </w:r>
      <w:proofErr w:type="spellStart"/>
      <w:r w:rsidRPr="004F6068">
        <w:t>i</w:t>
      </w:r>
      <w:proofErr w:type="spellEnd"/>
      <w:r w:rsidRPr="004F6068">
        <w:t>)</w:t>
      </w:r>
      <w:r w:rsidRPr="004F6068">
        <w:tab/>
        <w:t>the cancellation of the Australian</w:t>
      </w:r>
      <w:r w:rsidR="004F6068">
        <w:noBreakHyphen/>
      </w:r>
      <w:r w:rsidRPr="004F6068">
        <w:t>issued international unit; and</w:t>
      </w:r>
    </w:p>
    <w:p w:rsidR="00601817" w:rsidRPr="004F6068" w:rsidRDefault="00601817" w:rsidP="00601817">
      <w:pPr>
        <w:pStyle w:val="paragraphsub"/>
      </w:pPr>
      <w:r w:rsidRPr="004F6068">
        <w:tab/>
        <w:t>(ii)</w:t>
      </w:r>
      <w:r w:rsidRPr="004F6068">
        <w:tab/>
        <w:t>the removal of the entry for the Australian</w:t>
      </w:r>
      <w:r w:rsidR="004F6068">
        <w:noBreakHyphen/>
      </w:r>
      <w:r w:rsidRPr="004F6068">
        <w:t>issued international unit from the first Registry account; and</w:t>
      </w:r>
    </w:p>
    <w:p w:rsidR="00601817" w:rsidRPr="004F6068" w:rsidRDefault="00601817" w:rsidP="00601817">
      <w:pPr>
        <w:pStyle w:val="paragraphsub"/>
      </w:pPr>
      <w:r w:rsidRPr="004F6068">
        <w:tab/>
        <w:t>(iii)</w:t>
      </w:r>
      <w:r w:rsidRPr="004F6068">
        <w:tab/>
        <w:t xml:space="preserve">the </w:t>
      </w:r>
      <w:r w:rsidR="006342F0" w:rsidRPr="004F6068">
        <w:t>transfer of</w:t>
      </w:r>
      <w:r w:rsidRPr="004F6068">
        <w:t xml:space="preserve"> a European allowance unit</w:t>
      </w:r>
      <w:r w:rsidR="00127F8F" w:rsidRPr="004F6068">
        <w:t xml:space="preserve"> </w:t>
      </w:r>
      <w:r w:rsidRPr="004F6068">
        <w:t>from the Commonwealth foreign registry account</w:t>
      </w:r>
      <w:r w:rsidR="006342F0" w:rsidRPr="004F6068">
        <w:t xml:space="preserve"> to </w:t>
      </w:r>
      <w:r w:rsidRPr="004F6068">
        <w:t>the foreign account kept by the other person; and</w:t>
      </w:r>
    </w:p>
    <w:p w:rsidR="00601817" w:rsidRPr="004F6068" w:rsidRDefault="00601817" w:rsidP="00601817">
      <w:pPr>
        <w:pStyle w:val="paragraph"/>
      </w:pPr>
      <w:r w:rsidRPr="004F6068">
        <w:tab/>
        <w:t>(d)</w:t>
      </w:r>
      <w:r w:rsidRPr="004F6068">
        <w:tab/>
        <w:t xml:space="preserve">the </w:t>
      </w:r>
      <w:r w:rsidRPr="004F6068">
        <w:rPr>
          <w:b/>
          <w:i/>
        </w:rPr>
        <w:t>transfer</w:t>
      </w:r>
      <w:r w:rsidRPr="004F6068">
        <w:t xml:space="preserve"> of an Australian</w:t>
      </w:r>
      <w:r w:rsidR="004F6068">
        <w:noBreakHyphen/>
      </w:r>
      <w:r w:rsidRPr="004F6068">
        <w:t>issued international unit from the first Registry account to a foreign account kept by the first person consists of:</w:t>
      </w:r>
    </w:p>
    <w:p w:rsidR="00601817" w:rsidRPr="004F6068" w:rsidRDefault="00601817" w:rsidP="00601817">
      <w:pPr>
        <w:pStyle w:val="paragraphsub"/>
      </w:pPr>
      <w:r w:rsidRPr="004F6068">
        <w:tab/>
        <w:t>(</w:t>
      </w:r>
      <w:proofErr w:type="spellStart"/>
      <w:r w:rsidRPr="004F6068">
        <w:t>i</w:t>
      </w:r>
      <w:proofErr w:type="spellEnd"/>
      <w:r w:rsidRPr="004F6068">
        <w:t>)</w:t>
      </w:r>
      <w:r w:rsidRPr="004F6068">
        <w:tab/>
        <w:t>the cancellation of the Australian</w:t>
      </w:r>
      <w:r w:rsidR="004F6068">
        <w:noBreakHyphen/>
      </w:r>
      <w:r w:rsidRPr="004F6068">
        <w:t>issued international unit; and</w:t>
      </w:r>
    </w:p>
    <w:p w:rsidR="00601817" w:rsidRPr="004F6068" w:rsidRDefault="00601817" w:rsidP="00601817">
      <w:pPr>
        <w:pStyle w:val="paragraphsub"/>
      </w:pPr>
      <w:r w:rsidRPr="004F6068">
        <w:tab/>
        <w:t>(ii)</w:t>
      </w:r>
      <w:r w:rsidRPr="004F6068">
        <w:tab/>
        <w:t>the removal of the entry for the Australian</w:t>
      </w:r>
      <w:r w:rsidR="004F6068">
        <w:noBreakHyphen/>
      </w:r>
      <w:r w:rsidRPr="004F6068">
        <w:t>issued international unit from the first Registry account; and</w:t>
      </w:r>
    </w:p>
    <w:p w:rsidR="00601817" w:rsidRPr="004F6068" w:rsidRDefault="00601817" w:rsidP="00601817">
      <w:pPr>
        <w:pStyle w:val="paragraphsub"/>
      </w:pPr>
      <w:r w:rsidRPr="004F6068">
        <w:tab/>
        <w:t>(iii)</w:t>
      </w:r>
      <w:r w:rsidRPr="004F6068">
        <w:tab/>
      </w:r>
      <w:r w:rsidR="006342F0" w:rsidRPr="004F6068">
        <w:t>the transfer of a European allowance unit from the Commonwealth foreign registry account to the foreign account kept by the first person.</w:t>
      </w:r>
      <w:r w:rsidR="00DA619F" w:rsidRPr="004F6068">
        <w:t>”.</w:t>
      </w:r>
    </w:p>
    <w:p w:rsidR="00601817" w:rsidRPr="004F6068" w:rsidRDefault="00601817" w:rsidP="00601817">
      <w:pPr>
        <w:pStyle w:val="ItemHead"/>
        <w:rPr>
          <w:rFonts w:cs="Arial"/>
        </w:rPr>
      </w:pPr>
      <w:r w:rsidRPr="004F6068">
        <w:rPr>
          <w:rFonts w:cs="Arial"/>
        </w:rPr>
        <w:lastRenderedPageBreak/>
        <w:t>8  Part</w:t>
      </w:r>
      <w:r w:rsidR="004F6068" w:rsidRPr="004F6068">
        <w:rPr>
          <w:rFonts w:cs="Arial"/>
        </w:rPr>
        <w:t> </w:t>
      </w:r>
      <w:r w:rsidRPr="004F6068">
        <w:rPr>
          <w:rFonts w:cs="Arial"/>
        </w:rPr>
        <w:t>5 (after the heading)</w:t>
      </w:r>
    </w:p>
    <w:p w:rsidR="00601817" w:rsidRPr="004F6068" w:rsidRDefault="00601817" w:rsidP="00601817">
      <w:pPr>
        <w:pStyle w:val="Item"/>
      </w:pPr>
      <w:r w:rsidRPr="004F6068">
        <w:t>Insert:</w:t>
      </w:r>
    </w:p>
    <w:p w:rsidR="00601817" w:rsidRPr="004F6068" w:rsidRDefault="00601817" w:rsidP="00601817">
      <w:pPr>
        <w:pStyle w:val="ActHead5"/>
      </w:pPr>
      <w:bookmarkStart w:id="32" w:name="_Toc356308380"/>
      <w:r w:rsidRPr="004F6068">
        <w:rPr>
          <w:rStyle w:val="CharSectno"/>
        </w:rPr>
        <w:t>65</w:t>
      </w:r>
      <w:r w:rsidRPr="004F6068">
        <w:t xml:space="preserve">  Information about prescribed international units</w:t>
      </w:r>
      <w:bookmarkEnd w:id="32"/>
    </w:p>
    <w:p w:rsidR="00601817" w:rsidRPr="004F6068" w:rsidRDefault="00601817" w:rsidP="00601817">
      <w:pPr>
        <w:pStyle w:val="subsection"/>
      </w:pPr>
      <w:r w:rsidRPr="004F6068">
        <w:tab/>
      </w:r>
      <w:r w:rsidRPr="004F6068">
        <w:tab/>
        <w:t>For section</w:t>
      </w:r>
      <w:r w:rsidR="004F6068" w:rsidRPr="004F6068">
        <w:t> </w:t>
      </w:r>
      <w:r w:rsidRPr="004F6068">
        <w:t>59A of the Act, the class of prescribed international units that are Australian</w:t>
      </w:r>
      <w:r w:rsidR="004F6068">
        <w:noBreakHyphen/>
      </w:r>
      <w:r w:rsidRPr="004F6068">
        <w:t>issued international units is specified.</w:t>
      </w:r>
    </w:p>
    <w:p w:rsidR="00601817" w:rsidRPr="004F6068" w:rsidRDefault="00601817" w:rsidP="00601817">
      <w:pPr>
        <w:pStyle w:val="ItemHead"/>
        <w:rPr>
          <w:rFonts w:cs="Arial"/>
        </w:rPr>
      </w:pPr>
      <w:r w:rsidRPr="004F6068">
        <w:rPr>
          <w:rFonts w:cs="Arial"/>
        </w:rPr>
        <w:t>9  Regulation</w:t>
      </w:r>
      <w:r w:rsidR="004F6068" w:rsidRPr="004F6068">
        <w:rPr>
          <w:rFonts w:cs="Arial"/>
        </w:rPr>
        <w:t> </w:t>
      </w:r>
      <w:r w:rsidRPr="004F6068">
        <w:rPr>
          <w:rFonts w:cs="Arial"/>
        </w:rPr>
        <w:t>50</w:t>
      </w:r>
    </w:p>
    <w:p w:rsidR="00601817" w:rsidRPr="004F6068" w:rsidRDefault="00601817" w:rsidP="00601817">
      <w:pPr>
        <w:pStyle w:val="Item"/>
      </w:pPr>
      <w:r w:rsidRPr="004F6068">
        <w:t>Renumber as regulation</w:t>
      </w:r>
      <w:r w:rsidR="004F6068" w:rsidRPr="004F6068">
        <w:t> </w:t>
      </w:r>
      <w:r w:rsidRPr="004F6068">
        <w:t>66.</w:t>
      </w:r>
    </w:p>
    <w:p w:rsidR="00601817" w:rsidRPr="004F6068" w:rsidRDefault="00601817" w:rsidP="00601817">
      <w:pPr>
        <w:pStyle w:val="ItemHead"/>
        <w:rPr>
          <w:rFonts w:cs="Arial"/>
        </w:rPr>
      </w:pPr>
      <w:r w:rsidRPr="004F6068">
        <w:rPr>
          <w:rFonts w:cs="Arial"/>
        </w:rPr>
        <w:t>10  After Part</w:t>
      </w:r>
      <w:r w:rsidR="004F6068" w:rsidRPr="004F6068">
        <w:rPr>
          <w:rFonts w:cs="Arial"/>
        </w:rPr>
        <w:t> </w:t>
      </w:r>
      <w:r w:rsidRPr="004F6068">
        <w:rPr>
          <w:rFonts w:cs="Arial"/>
        </w:rPr>
        <w:t>5</w:t>
      </w:r>
    </w:p>
    <w:p w:rsidR="00601817" w:rsidRPr="004F6068" w:rsidRDefault="00601817" w:rsidP="00601817">
      <w:pPr>
        <w:pStyle w:val="Item"/>
      </w:pPr>
      <w:r w:rsidRPr="004F6068">
        <w:t>Insert:</w:t>
      </w:r>
    </w:p>
    <w:p w:rsidR="00601817" w:rsidRPr="004F6068" w:rsidRDefault="00601817" w:rsidP="004B0968">
      <w:pPr>
        <w:pStyle w:val="ActHead2"/>
      </w:pPr>
      <w:bookmarkStart w:id="33" w:name="_Toc356308381"/>
      <w:r w:rsidRPr="004F6068">
        <w:rPr>
          <w:rStyle w:val="CharPartNo"/>
        </w:rPr>
        <w:t>Part</w:t>
      </w:r>
      <w:r w:rsidR="004F6068" w:rsidRPr="004F6068">
        <w:rPr>
          <w:rStyle w:val="CharPartNo"/>
        </w:rPr>
        <w:t> </w:t>
      </w:r>
      <w:r w:rsidRPr="004F6068">
        <w:rPr>
          <w:rStyle w:val="CharPartNo"/>
        </w:rPr>
        <w:t>6</w:t>
      </w:r>
      <w:r w:rsidRPr="004F6068">
        <w:t>—</w:t>
      </w:r>
      <w:r w:rsidRPr="004F6068">
        <w:rPr>
          <w:rStyle w:val="CharPartText"/>
        </w:rPr>
        <w:t>Voluntary cancellation of prescribed international units</w:t>
      </w:r>
      <w:bookmarkEnd w:id="33"/>
    </w:p>
    <w:p w:rsidR="00601817" w:rsidRPr="004F6068" w:rsidRDefault="00601817" w:rsidP="00601817">
      <w:pPr>
        <w:pStyle w:val="Header"/>
      </w:pPr>
      <w:r w:rsidRPr="004F6068">
        <w:rPr>
          <w:rStyle w:val="CharDivNo"/>
        </w:rPr>
        <w:t xml:space="preserve"> </w:t>
      </w:r>
      <w:r w:rsidRPr="004F6068">
        <w:rPr>
          <w:rStyle w:val="CharDivText"/>
        </w:rPr>
        <w:t xml:space="preserve"> </w:t>
      </w:r>
    </w:p>
    <w:p w:rsidR="00601817" w:rsidRPr="004F6068" w:rsidRDefault="00601817" w:rsidP="00601817">
      <w:pPr>
        <w:pStyle w:val="ActHead5"/>
      </w:pPr>
      <w:bookmarkStart w:id="34" w:name="_Toc356308382"/>
      <w:r w:rsidRPr="004F6068">
        <w:rPr>
          <w:rStyle w:val="CharSectno"/>
        </w:rPr>
        <w:t>68</w:t>
      </w:r>
      <w:r w:rsidRPr="004F6068">
        <w:t xml:space="preserve">  Voluntary cancellation of Australian</w:t>
      </w:r>
      <w:r w:rsidR="004F6068">
        <w:noBreakHyphen/>
      </w:r>
      <w:r w:rsidRPr="004F6068">
        <w:t>issued international units</w:t>
      </w:r>
      <w:bookmarkEnd w:id="34"/>
    </w:p>
    <w:p w:rsidR="00601817" w:rsidRPr="004F6068" w:rsidRDefault="00601817" w:rsidP="00601817">
      <w:pPr>
        <w:pStyle w:val="subsection"/>
      </w:pPr>
      <w:r w:rsidRPr="004F6068">
        <w:tab/>
        <w:t>(1)</w:t>
      </w:r>
      <w:r w:rsidRPr="004F6068">
        <w:tab/>
        <w:t>For subsection</w:t>
      </w:r>
      <w:r w:rsidR="004F6068" w:rsidRPr="004F6068">
        <w:t> </w:t>
      </w:r>
      <w:r w:rsidRPr="004F6068">
        <w:t>66(3) of the Act, if the Regulator receives a notice to cancel an Australian</w:t>
      </w:r>
      <w:r w:rsidR="004F6068">
        <w:noBreakHyphen/>
      </w:r>
      <w:r w:rsidRPr="004F6068">
        <w:t>issued international unit, the Regulator must:</w:t>
      </w:r>
    </w:p>
    <w:p w:rsidR="00601817" w:rsidRPr="004F6068" w:rsidRDefault="00601817" w:rsidP="00601817">
      <w:pPr>
        <w:pStyle w:val="paragraph"/>
      </w:pPr>
      <w:r w:rsidRPr="004F6068">
        <w:tab/>
        <w:t>(a)</w:t>
      </w:r>
      <w:r w:rsidRPr="004F6068">
        <w:tab/>
        <w:t>cancel the unit; and</w:t>
      </w:r>
    </w:p>
    <w:p w:rsidR="00601817" w:rsidRPr="004F6068" w:rsidRDefault="00601817" w:rsidP="00601817">
      <w:pPr>
        <w:pStyle w:val="paragraph"/>
      </w:pPr>
      <w:r w:rsidRPr="004F6068">
        <w:tab/>
        <w:t>(b)</w:t>
      </w:r>
      <w:r w:rsidRPr="004F6068">
        <w:tab/>
        <w:t>as soon as practicable after the unit is cancelled, tell the European Union Transaction Log that the unit has been cancelled; and</w:t>
      </w:r>
    </w:p>
    <w:p w:rsidR="00601817" w:rsidRPr="004F6068" w:rsidRDefault="00601817" w:rsidP="00601817">
      <w:pPr>
        <w:pStyle w:val="paragraph"/>
      </w:pPr>
      <w:r w:rsidRPr="004F6068">
        <w:tab/>
        <w:t>(c)</w:t>
      </w:r>
      <w:r w:rsidRPr="004F6068">
        <w:tab/>
        <w:t>within 12 months after the unit is cancelled, arrange for a European allowance unit in the Commonwealth foreign registry account in the Union Registry to be transferred to the Union allowance deletion account.</w:t>
      </w:r>
    </w:p>
    <w:p w:rsidR="00601817" w:rsidRPr="004F6068" w:rsidRDefault="00601817" w:rsidP="00601817">
      <w:pPr>
        <w:pStyle w:val="subsection"/>
      </w:pPr>
      <w:r w:rsidRPr="004F6068">
        <w:tab/>
        <w:t>(2)</w:t>
      </w:r>
      <w:r w:rsidRPr="004F6068">
        <w:tab/>
        <w:t xml:space="preserve">A transfer under </w:t>
      </w:r>
      <w:r w:rsidR="004F6068" w:rsidRPr="004F6068">
        <w:t>paragraph (</w:t>
      </w:r>
      <w:r w:rsidRPr="004F6068">
        <w:t>1)(c) must be made in accordance with any direction given under subsection</w:t>
      </w:r>
      <w:r w:rsidR="004F6068" w:rsidRPr="004F6068">
        <w:t> </w:t>
      </w:r>
      <w:r w:rsidRPr="004F6068">
        <w:t>86A(4) of the Act.</w:t>
      </w:r>
    </w:p>
    <w:p w:rsidR="00601817" w:rsidRPr="004F6068" w:rsidRDefault="00601817" w:rsidP="00601817">
      <w:pPr>
        <w:pStyle w:val="ActHead2"/>
      </w:pPr>
      <w:bookmarkStart w:id="35" w:name="f_Check_Lines_above"/>
      <w:bookmarkStart w:id="36" w:name="_Toc356308383"/>
      <w:bookmarkEnd w:id="35"/>
      <w:r w:rsidRPr="004F6068">
        <w:rPr>
          <w:rStyle w:val="CharPartNo"/>
        </w:rPr>
        <w:lastRenderedPageBreak/>
        <w:t>Part</w:t>
      </w:r>
      <w:r w:rsidR="004F6068" w:rsidRPr="004F6068">
        <w:rPr>
          <w:rStyle w:val="CharPartNo"/>
        </w:rPr>
        <w:t> </w:t>
      </w:r>
      <w:r w:rsidRPr="004F6068">
        <w:rPr>
          <w:rStyle w:val="CharPartNo"/>
        </w:rPr>
        <w:t>6A</w:t>
      </w:r>
      <w:r w:rsidRPr="004F6068">
        <w:t>—</w:t>
      </w:r>
      <w:r w:rsidRPr="004F6068">
        <w:rPr>
          <w:rStyle w:val="CharPartText"/>
        </w:rPr>
        <w:t>Cancellation of Australian</w:t>
      </w:r>
      <w:r w:rsidR="004F6068" w:rsidRPr="004F6068">
        <w:rPr>
          <w:rStyle w:val="CharPartText"/>
        </w:rPr>
        <w:noBreakHyphen/>
      </w:r>
      <w:r w:rsidRPr="004F6068">
        <w:rPr>
          <w:rStyle w:val="CharPartText"/>
        </w:rPr>
        <w:t>issued international units</w:t>
      </w:r>
      <w:bookmarkEnd w:id="36"/>
    </w:p>
    <w:p w:rsidR="00601817" w:rsidRPr="004F6068" w:rsidRDefault="00601817" w:rsidP="00601817">
      <w:pPr>
        <w:pStyle w:val="Header"/>
      </w:pPr>
      <w:r w:rsidRPr="004F6068">
        <w:rPr>
          <w:rStyle w:val="CharDivNo"/>
        </w:rPr>
        <w:t xml:space="preserve"> </w:t>
      </w:r>
      <w:r w:rsidRPr="004F6068">
        <w:rPr>
          <w:rStyle w:val="CharDivText"/>
        </w:rPr>
        <w:t xml:space="preserve"> </w:t>
      </w:r>
    </w:p>
    <w:p w:rsidR="00601817" w:rsidRPr="004F6068" w:rsidRDefault="00601817" w:rsidP="00601817">
      <w:pPr>
        <w:pStyle w:val="ActHead5"/>
      </w:pPr>
      <w:bookmarkStart w:id="37" w:name="_Toc356308384"/>
      <w:r w:rsidRPr="004F6068">
        <w:rPr>
          <w:rStyle w:val="CharSectno"/>
        </w:rPr>
        <w:t>70</w:t>
      </w:r>
      <w:r w:rsidRPr="004F6068">
        <w:t xml:space="preserve">  Cancellation of Australian</w:t>
      </w:r>
      <w:r w:rsidR="004F6068">
        <w:noBreakHyphen/>
      </w:r>
      <w:r w:rsidRPr="004F6068">
        <w:t>issued international units for European allowance units</w:t>
      </w:r>
      <w:bookmarkEnd w:id="37"/>
    </w:p>
    <w:p w:rsidR="00601817" w:rsidRPr="004F6068" w:rsidRDefault="00601817" w:rsidP="00601817">
      <w:pPr>
        <w:pStyle w:val="subsection"/>
      </w:pPr>
      <w:r w:rsidRPr="004F6068">
        <w:tab/>
        <w:t>(1)</w:t>
      </w:r>
      <w:r w:rsidRPr="004F6068">
        <w:tab/>
        <w:t>For paragraph</w:t>
      </w:r>
      <w:r w:rsidR="004F6068" w:rsidRPr="004F6068">
        <w:t> </w:t>
      </w:r>
      <w:r w:rsidRPr="004F6068">
        <w:t>66A(1)(b) of the Act, the following conditions are specified:</w:t>
      </w:r>
    </w:p>
    <w:p w:rsidR="00601817" w:rsidRPr="004F6068" w:rsidRDefault="00601817" w:rsidP="00601817">
      <w:pPr>
        <w:pStyle w:val="paragraph"/>
      </w:pPr>
      <w:r w:rsidRPr="004F6068">
        <w:tab/>
        <w:t>(a)</w:t>
      </w:r>
      <w:r w:rsidRPr="004F6068">
        <w:tab/>
        <w:t>at the time the Australian</w:t>
      </w:r>
      <w:r w:rsidR="004F6068">
        <w:noBreakHyphen/>
      </w:r>
      <w:r w:rsidRPr="004F6068">
        <w:t>issued international units are cancelled, an international arrangement that allows the direct transfer of European allowance units from the Union Registry into a Registry account is operational;</w:t>
      </w:r>
    </w:p>
    <w:p w:rsidR="00601817" w:rsidRPr="004F6068" w:rsidRDefault="00601817" w:rsidP="00601817">
      <w:pPr>
        <w:pStyle w:val="paragraph"/>
      </w:pPr>
      <w:r w:rsidRPr="004F6068">
        <w:tab/>
        <w:t>(b)</w:t>
      </w:r>
      <w:r w:rsidRPr="004F6068">
        <w:tab/>
        <w:t>the arrangement ensures that the cancelled Australian</w:t>
      </w:r>
      <w:r w:rsidR="004F6068">
        <w:noBreakHyphen/>
      </w:r>
      <w:r w:rsidRPr="004F6068">
        <w:t>issued international units are replaced with the same number of European allowance units (</w:t>
      </w:r>
      <w:r w:rsidRPr="004F6068">
        <w:rPr>
          <w:b/>
          <w:i/>
        </w:rPr>
        <w:t>replacement units</w:t>
      </w:r>
      <w:r w:rsidRPr="004F6068">
        <w:t>);</w:t>
      </w:r>
    </w:p>
    <w:p w:rsidR="00601817" w:rsidRPr="004F6068" w:rsidRDefault="00601817" w:rsidP="00601817">
      <w:pPr>
        <w:pStyle w:val="paragraph"/>
      </w:pPr>
      <w:r w:rsidRPr="004F6068">
        <w:tab/>
        <w:t>(c)</w:t>
      </w:r>
      <w:r w:rsidRPr="004F6068">
        <w:tab/>
        <w:t>the replacement units are able to be transferred from the Commonwealth foreign registry account in the Union Registry to the person’s Registry account no more than 3 business days after the cancellation of the Australian</w:t>
      </w:r>
      <w:r w:rsidR="004F6068">
        <w:noBreakHyphen/>
      </w:r>
      <w:r w:rsidRPr="004F6068">
        <w:t>issued international units.</w:t>
      </w:r>
    </w:p>
    <w:p w:rsidR="00601817" w:rsidRPr="004F6068" w:rsidRDefault="00601817" w:rsidP="00601817">
      <w:pPr>
        <w:pStyle w:val="subsection"/>
      </w:pPr>
      <w:r w:rsidRPr="004F6068">
        <w:tab/>
        <w:t>(2)</w:t>
      </w:r>
      <w:r w:rsidRPr="004F6068">
        <w:tab/>
        <w:t>In this regulation:</w:t>
      </w:r>
    </w:p>
    <w:p w:rsidR="00601817" w:rsidRPr="004F6068" w:rsidRDefault="00601817" w:rsidP="00601817">
      <w:pPr>
        <w:pStyle w:val="Definition"/>
      </w:pPr>
      <w:r w:rsidRPr="004F6068">
        <w:rPr>
          <w:b/>
          <w:i/>
        </w:rPr>
        <w:t xml:space="preserve">business day </w:t>
      </w:r>
      <w:r w:rsidRPr="004F6068">
        <w:t>means a day that is not a Saturday, a Sunday or a public holiday in the Australian Capital Territory.</w:t>
      </w:r>
    </w:p>
    <w:p w:rsidR="00601817" w:rsidRPr="004F6068" w:rsidRDefault="00601817" w:rsidP="00601817">
      <w:pPr>
        <w:pStyle w:val="ActHead2"/>
      </w:pPr>
      <w:bookmarkStart w:id="38" w:name="_Toc356308385"/>
      <w:r w:rsidRPr="004F6068">
        <w:rPr>
          <w:rStyle w:val="CharPartNo"/>
        </w:rPr>
        <w:t>Part</w:t>
      </w:r>
      <w:r w:rsidR="004F6068" w:rsidRPr="004F6068">
        <w:rPr>
          <w:rStyle w:val="CharPartNo"/>
        </w:rPr>
        <w:t> </w:t>
      </w:r>
      <w:r w:rsidRPr="004F6068">
        <w:rPr>
          <w:rStyle w:val="CharPartNo"/>
        </w:rPr>
        <w:t>6B</w:t>
      </w:r>
      <w:r w:rsidRPr="004F6068">
        <w:t>—</w:t>
      </w:r>
      <w:r w:rsidRPr="004F6068">
        <w:rPr>
          <w:rStyle w:val="CharPartText"/>
        </w:rPr>
        <w:t>Relinquishment of Australian</w:t>
      </w:r>
      <w:r w:rsidR="004F6068" w:rsidRPr="004F6068">
        <w:rPr>
          <w:rStyle w:val="CharPartText"/>
        </w:rPr>
        <w:noBreakHyphen/>
      </w:r>
      <w:r w:rsidRPr="004F6068">
        <w:rPr>
          <w:rStyle w:val="CharPartText"/>
        </w:rPr>
        <w:t>issued international units</w:t>
      </w:r>
      <w:bookmarkEnd w:id="38"/>
    </w:p>
    <w:p w:rsidR="00601817" w:rsidRPr="004F6068" w:rsidRDefault="00601817" w:rsidP="00601817">
      <w:pPr>
        <w:pStyle w:val="Header"/>
      </w:pPr>
      <w:r w:rsidRPr="004F6068">
        <w:rPr>
          <w:rStyle w:val="CharDivNo"/>
        </w:rPr>
        <w:t xml:space="preserve"> </w:t>
      </w:r>
      <w:r w:rsidRPr="004F6068">
        <w:rPr>
          <w:rStyle w:val="CharDivText"/>
        </w:rPr>
        <w:t xml:space="preserve"> </w:t>
      </w:r>
    </w:p>
    <w:p w:rsidR="00601817" w:rsidRPr="004F6068" w:rsidRDefault="00601817" w:rsidP="00601817">
      <w:pPr>
        <w:pStyle w:val="ActHead5"/>
      </w:pPr>
      <w:bookmarkStart w:id="39" w:name="_Toc356308386"/>
      <w:r w:rsidRPr="004F6068">
        <w:rPr>
          <w:rStyle w:val="CharSectno"/>
        </w:rPr>
        <w:t>72</w:t>
      </w:r>
      <w:r w:rsidRPr="004F6068">
        <w:t xml:space="preserve">  How Australian</w:t>
      </w:r>
      <w:r w:rsidR="004F6068">
        <w:noBreakHyphen/>
      </w:r>
      <w:r w:rsidRPr="004F6068">
        <w:t>issued international units are relinquished</w:t>
      </w:r>
      <w:bookmarkEnd w:id="39"/>
    </w:p>
    <w:p w:rsidR="00601817" w:rsidRPr="004F6068" w:rsidRDefault="00601817" w:rsidP="00601817">
      <w:pPr>
        <w:pStyle w:val="subsection"/>
      </w:pPr>
      <w:r w:rsidRPr="004F6068">
        <w:tab/>
        <w:t>(1)</w:t>
      </w:r>
      <w:r w:rsidRPr="004F6068">
        <w:tab/>
        <w:t>For paragraph</w:t>
      </w:r>
      <w:r w:rsidR="004F6068" w:rsidRPr="004F6068">
        <w:t> </w:t>
      </w:r>
      <w:r w:rsidRPr="004F6068">
        <w:t>66D(3)(c) of the Act, if an Australian</w:t>
      </w:r>
      <w:r w:rsidR="004F6068">
        <w:noBreakHyphen/>
      </w:r>
      <w:r w:rsidRPr="004F6068">
        <w:t>issued international unit is relinquished, the Regulator must:</w:t>
      </w:r>
    </w:p>
    <w:p w:rsidR="00601817" w:rsidRPr="004F6068" w:rsidRDefault="00601817" w:rsidP="00601817">
      <w:pPr>
        <w:pStyle w:val="paragraph"/>
      </w:pPr>
      <w:r w:rsidRPr="004F6068">
        <w:tab/>
        <w:t>(a)</w:t>
      </w:r>
      <w:r w:rsidRPr="004F6068">
        <w:tab/>
        <w:t>as soon as practicable after the unit is relinquished, tell the European Union Transaction Log that the unit has been relinquished; and</w:t>
      </w:r>
    </w:p>
    <w:p w:rsidR="00601817" w:rsidRPr="004F6068" w:rsidRDefault="00601817" w:rsidP="00601817">
      <w:pPr>
        <w:pStyle w:val="paragraph"/>
      </w:pPr>
      <w:r w:rsidRPr="004F6068">
        <w:lastRenderedPageBreak/>
        <w:tab/>
        <w:t>(b)</w:t>
      </w:r>
      <w:r w:rsidRPr="004F6068">
        <w:tab/>
        <w:t>within 12 months after the unit is relinquished, arrange for a European allowance unit in the Commonwealth foreign registry account in the Union Registry to be transferred to the Union allowance deletion account.</w:t>
      </w:r>
    </w:p>
    <w:p w:rsidR="00601817" w:rsidRPr="004F6068" w:rsidRDefault="00601817" w:rsidP="00601817">
      <w:pPr>
        <w:pStyle w:val="subsection"/>
      </w:pPr>
      <w:r w:rsidRPr="004F6068">
        <w:tab/>
        <w:t>(2)</w:t>
      </w:r>
      <w:r w:rsidRPr="004F6068">
        <w:tab/>
        <w:t xml:space="preserve">A transfer under </w:t>
      </w:r>
      <w:r w:rsidR="004F6068" w:rsidRPr="004F6068">
        <w:t>paragraph (</w:t>
      </w:r>
      <w:r w:rsidRPr="004F6068">
        <w:t>1)(b) must be made in accordance with any direction given under subsection</w:t>
      </w:r>
      <w:r w:rsidR="004F6068" w:rsidRPr="004F6068">
        <w:t> </w:t>
      </w:r>
      <w:r w:rsidRPr="004F6068">
        <w:t>86A(4) of the Act.</w:t>
      </w:r>
    </w:p>
    <w:p w:rsidR="00601817" w:rsidRPr="004F6068" w:rsidRDefault="00601817" w:rsidP="00601817">
      <w:pPr>
        <w:pStyle w:val="ActHead5"/>
      </w:pPr>
      <w:bookmarkStart w:id="40" w:name="_Toc356308387"/>
      <w:r w:rsidRPr="004F6068">
        <w:rPr>
          <w:rStyle w:val="CharSectno"/>
        </w:rPr>
        <w:t>73</w:t>
      </w:r>
      <w:r w:rsidRPr="004F6068">
        <w:t xml:space="preserve">  Transfer of certain units instead of relinquishment of Australian</w:t>
      </w:r>
      <w:r w:rsidR="004F6068">
        <w:noBreakHyphen/>
      </w:r>
      <w:r w:rsidRPr="004F6068">
        <w:t>issued international units</w:t>
      </w:r>
      <w:bookmarkEnd w:id="40"/>
    </w:p>
    <w:p w:rsidR="00601817" w:rsidRPr="004F6068" w:rsidRDefault="00601817" w:rsidP="00601817">
      <w:pPr>
        <w:pStyle w:val="subsection"/>
      </w:pPr>
      <w:r w:rsidRPr="004F6068">
        <w:tab/>
      </w:r>
      <w:r w:rsidRPr="004F6068">
        <w:tab/>
        <w:t>For subsection</w:t>
      </w:r>
      <w:r w:rsidR="004F6068" w:rsidRPr="004F6068">
        <w:t> </w:t>
      </w:r>
      <w:r w:rsidRPr="004F6068">
        <w:t>66E(4) of the Act, the substitute units must be transferred to the Australian</w:t>
      </w:r>
      <w:r w:rsidR="004F6068">
        <w:noBreakHyphen/>
      </w:r>
      <w:r w:rsidRPr="004F6068">
        <w:t>issued international units—substitute units—relinquished units account.</w:t>
      </w:r>
    </w:p>
    <w:p w:rsidR="00601817" w:rsidRPr="004F6068" w:rsidRDefault="00601817" w:rsidP="00601817">
      <w:pPr>
        <w:pStyle w:val="notetext"/>
      </w:pPr>
      <w:r w:rsidRPr="004F6068">
        <w:t>Note:</w:t>
      </w:r>
      <w:r w:rsidRPr="004F6068">
        <w:tab/>
        <w:t xml:space="preserve">For </w:t>
      </w:r>
      <w:r w:rsidRPr="004F6068">
        <w:rPr>
          <w:b/>
          <w:i/>
        </w:rPr>
        <w:t>substitute unit</w:t>
      </w:r>
      <w:r w:rsidRPr="004F6068">
        <w:t>, see subsection</w:t>
      </w:r>
      <w:r w:rsidR="004F6068" w:rsidRPr="004F6068">
        <w:t> </w:t>
      </w:r>
      <w:r w:rsidRPr="004F6068">
        <w:t>66E(</w:t>
      </w:r>
      <w:bookmarkStart w:id="41" w:name="OPCSB_AmendSchdB5"/>
      <w:r w:rsidRPr="004F6068">
        <w:t>7) of the Act.</w:t>
      </w:r>
      <w:bookmarkEnd w:id="41"/>
    </w:p>
    <w:p w:rsidR="00601817" w:rsidRPr="004F6068" w:rsidRDefault="00601817" w:rsidP="00601817">
      <w:pPr>
        <w:pStyle w:val="ActHead9"/>
      </w:pPr>
      <w:bookmarkStart w:id="42" w:name="_Toc356308388"/>
      <w:r w:rsidRPr="004F6068">
        <w:t>Carbon Credits (Carbon Farming Initiative) Regulations</w:t>
      </w:r>
      <w:r w:rsidR="004F6068" w:rsidRPr="004F6068">
        <w:t> </w:t>
      </w:r>
      <w:r w:rsidRPr="004F6068">
        <w:t>2011</w:t>
      </w:r>
      <w:bookmarkEnd w:id="42"/>
    </w:p>
    <w:p w:rsidR="00601817" w:rsidRPr="004F6068" w:rsidRDefault="002E75E1" w:rsidP="00601817">
      <w:pPr>
        <w:pStyle w:val="ItemHead"/>
        <w:rPr>
          <w:rFonts w:cs="Arial"/>
        </w:rPr>
      </w:pPr>
      <w:r w:rsidRPr="004F6068">
        <w:t>1</w:t>
      </w:r>
      <w:r w:rsidR="00601817" w:rsidRPr="004F6068">
        <w:t xml:space="preserve">1  </w:t>
      </w:r>
      <w:r w:rsidR="00601817" w:rsidRPr="004F6068">
        <w:rPr>
          <w:rFonts w:cs="Arial"/>
        </w:rPr>
        <w:t>After regulation</w:t>
      </w:r>
      <w:r w:rsidR="004F6068" w:rsidRPr="004F6068">
        <w:rPr>
          <w:rFonts w:cs="Arial"/>
        </w:rPr>
        <w:t> </w:t>
      </w:r>
      <w:r w:rsidR="00601817" w:rsidRPr="004F6068">
        <w:rPr>
          <w:rFonts w:cs="Arial"/>
        </w:rPr>
        <w:t>11.1</w:t>
      </w:r>
    </w:p>
    <w:p w:rsidR="00601817" w:rsidRPr="004F6068" w:rsidRDefault="00601817" w:rsidP="00601817">
      <w:pPr>
        <w:pStyle w:val="Item"/>
      </w:pPr>
      <w:r w:rsidRPr="004F6068">
        <w:t>Insert:</w:t>
      </w:r>
    </w:p>
    <w:p w:rsidR="00601817" w:rsidRPr="004F6068" w:rsidRDefault="00601817" w:rsidP="00601817">
      <w:pPr>
        <w:pStyle w:val="ActHead5"/>
      </w:pPr>
      <w:bookmarkStart w:id="43" w:name="_Toc356308389"/>
      <w:r w:rsidRPr="004F6068">
        <w:rPr>
          <w:rStyle w:val="CharSectno"/>
        </w:rPr>
        <w:t>11.2</w:t>
      </w:r>
      <w:r w:rsidRPr="004F6068">
        <w:t xml:space="preserve">  Outgoing international transfers of Australian carbon credit units</w:t>
      </w:r>
      <w:bookmarkEnd w:id="43"/>
    </w:p>
    <w:p w:rsidR="00601817" w:rsidRPr="004F6068" w:rsidRDefault="00601817" w:rsidP="00601817">
      <w:pPr>
        <w:pStyle w:val="subsection"/>
      </w:pPr>
      <w:r w:rsidRPr="004F6068">
        <w:tab/>
      </w:r>
      <w:r w:rsidRPr="004F6068">
        <w:tab/>
        <w:t>For subsection</w:t>
      </w:r>
      <w:r w:rsidR="004F6068" w:rsidRPr="004F6068">
        <w:t> </w:t>
      </w:r>
      <w:r w:rsidRPr="004F6068">
        <w:t>154(3) of the Act, the Regulator must:</w:t>
      </w:r>
    </w:p>
    <w:p w:rsidR="00601817" w:rsidRPr="004F6068" w:rsidRDefault="00601817" w:rsidP="00601817">
      <w:pPr>
        <w:pStyle w:val="paragraph"/>
      </w:pPr>
      <w:r w:rsidRPr="004F6068">
        <w:tab/>
        <w:t>(a)</w:t>
      </w:r>
      <w:r w:rsidRPr="004F6068">
        <w:tab/>
        <w:t>take the following steps:</w:t>
      </w:r>
    </w:p>
    <w:p w:rsidR="00601817" w:rsidRPr="004F6068" w:rsidRDefault="00601817" w:rsidP="00601817">
      <w:pPr>
        <w:pStyle w:val="paragraphsub"/>
      </w:pPr>
      <w:r w:rsidRPr="004F6068">
        <w:tab/>
        <w:t>(</w:t>
      </w:r>
      <w:proofErr w:type="spellStart"/>
      <w:r w:rsidRPr="004F6068">
        <w:t>i</w:t>
      </w:r>
      <w:proofErr w:type="spellEnd"/>
      <w:r w:rsidRPr="004F6068">
        <w:t>)</w:t>
      </w:r>
      <w:r w:rsidRPr="004F6068">
        <w:tab/>
        <w:t>confirm that, at the time the instruction is received, an international arrangement that allows the direct transfer of the Australian carbon credit unit from the Registry account to the foreign account is operational;</w:t>
      </w:r>
    </w:p>
    <w:p w:rsidR="00601817" w:rsidRPr="004F6068" w:rsidRDefault="00601817" w:rsidP="00601817">
      <w:pPr>
        <w:pStyle w:val="paragraphsub"/>
      </w:pPr>
      <w:r w:rsidRPr="004F6068">
        <w:tab/>
        <w:t>(ii)</w:t>
      </w:r>
      <w:r w:rsidRPr="004F6068">
        <w:tab/>
        <w:t>ensure that the transfer of the unit from the Registry account to the foreign account is in accordance with the arrangement; or</w:t>
      </w:r>
    </w:p>
    <w:p w:rsidR="0004044E" w:rsidRPr="004F6068" w:rsidRDefault="00601817" w:rsidP="00601817">
      <w:pPr>
        <w:pStyle w:val="paragraph"/>
      </w:pPr>
      <w:r w:rsidRPr="004F6068">
        <w:tab/>
        <w:t>(b)</w:t>
      </w:r>
      <w:r w:rsidRPr="004F6068">
        <w:tab/>
        <w:t xml:space="preserve">if either of the steps in </w:t>
      </w:r>
      <w:r w:rsidR="004F6068" w:rsidRPr="004F6068">
        <w:t>paragraph (</w:t>
      </w:r>
      <w:r w:rsidRPr="004F6068">
        <w:t>a) cannot be taken, notify the person who gave the instruction that the instruction is declined.</w:t>
      </w:r>
    </w:p>
    <w:p w:rsidR="004B0968" w:rsidRPr="004F6068" w:rsidRDefault="00601817" w:rsidP="003E59E9">
      <w:pPr>
        <w:pStyle w:val="ActHead9"/>
      </w:pPr>
      <w:bookmarkStart w:id="44" w:name="_Toc356308390"/>
      <w:r w:rsidRPr="004F6068">
        <w:lastRenderedPageBreak/>
        <w:t>Clean Energy Regulations</w:t>
      </w:r>
      <w:r w:rsidR="004F6068" w:rsidRPr="004F6068">
        <w:t> </w:t>
      </w:r>
      <w:r w:rsidRPr="004F6068">
        <w:t>2011</w:t>
      </w:r>
      <w:bookmarkEnd w:id="44"/>
    </w:p>
    <w:p w:rsidR="00601817" w:rsidRPr="004F6068" w:rsidRDefault="00601817" w:rsidP="00601817">
      <w:pPr>
        <w:pStyle w:val="ItemHead"/>
        <w:rPr>
          <w:rFonts w:cs="Arial"/>
        </w:rPr>
      </w:pPr>
      <w:r w:rsidRPr="004F6068">
        <w:t>1</w:t>
      </w:r>
      <w:r w:rsidR="002E75E1" w:rsidRPr="004F6068">
        <w:t>2</w:t>
      </w:r>
      <w:r w:rsidRPr="004F6068">
        <w:t xml:space="preserve">  </w:t>
      </w:r>
      <w:r w:rsidRPr="004F6068">
        <w:rPr>
          <w:rFonts w:cs="Arial"/>
        </w:rPr>
        <w:t>Before regulation</w:t>
      </w:r>
      <w:r w:rsidR="004F6068" w:rsidRPr="004F6068">
        <w:rPr>
          <w:rFonts w:cs="Arial"/>
        </w:rPr>
        <w:t> </w:t>
      </w:r>
      <w:r w:rsidRPr="004F6068">
        <w:rPr>
          <w:rFonts w:cs="Arial"/>
        </w:rPr>
        <w:t>6.1</w:t>
      </w:r>
    </w:p>
    <w:p w:rsidR="00601817" w:rsidRPr="004F6068" w:rsidRDefault="00601817" w:rsidP="00601817">
      <w:pPr>
        <w:pStyle w:val="Item"/>
      </w:pPr>
      <w:r w:rsidRPr="004F6068">
        <w:t>Insert:</w:t>
      </w:r>
    </w:p>
    <w:p w:rsidR="00601817" w:rsidRPr="004F6068" w:rsidRDefault="00601817" w:rsidP="00601817">
      <w:pPr>
        <w:pStyle w:val="ActHead5"/>
      </w:pPr>
      <w:bookmarkStart w:id="45" w:name="_Toc356308391"/>
      <w:r w:rsidRPr="004F6068">
        <w:rPr>
          <w:rStyle w:val="CharSectno"/>
        </w:rPr>
        <w:t>6.1A</w:t>
      </w:r>
      <w:r w:rsidRPr="004F6068">
        <w:t xml:space="preserve">  How eligible international emissions units are surrendered</w:t>
      </w:r>
      <w:bookmarkEnd w:id="45"/>
    </w:p>
    <w:p w:rsidR="00601817" w:rsidRPr="004F6068" w:rsidRDefault="00601817" w:rsidP="00601817">
      <w:pPr>
        <w:pStyle w:val="subsection"/>
      </w:pPr>
      <w:r w:rsidRPr="004F6068">
        <w:tab/>
        <w:t>(1)</w:t>
      </w:r>
      <w:r w:rsidRPr="004F6068">
        <w:tab/>
        <w:t>For paragraph</w:t>
      </w:r>
      <w:r w:rsidR="004F6068" w:rsidRPr="004F6068">
        <w:t> </w:t>
      </w:r>
      <w:r w:rsidRPr="004F6068">
        <w:t>122(11)(a) of the Act, if an Australian</w:t>
      </w:r>
      <w:r w:rsidR="004F6068">
        <w:noBreakHyphen/>
      </w:r>
      <w:r w:rsidRPr="004F6068">
        <w:t>issued international unit is surrendered, the Regulator must:</w:t>
      </w:r>
    </w:p>
    <w:p w:rsidR="00601817" w:rsidRPr="004F6068" w:rsidRDefault="00601817" w:rsidP="00601817">
      <w:pPr>
        <w:pStyle w:val="paragraph"/>
      </w:pPr>
      <w:r w:rsidRPr="004F6068">
        <w:tab/>
        <w:t>(a)</w:t>
      </w:r>
      <w:r w:rsidRPr="004F6068">
        <w:tab/>
        <w:t>transfer the unit to the Australian</w:t>
      </w:r>
      <w:r w:rsidR="004F6068">
        <w:noBreakHyphen/>
      </w:r>
      <w:r w:rsidRPr="004F6068">
        <w:t>issued international units</w:t>
      </w:r>
      <w:r w:rsidR="00BA54F5" w:rsidRPr="004F6068">
        <w:t>—</w:t>
      </w:r>
      <w:r w:rsidRPr="004F6068">
        <w:t>surrendered units account and then cancel the unit; and</w:t>
      </w:r>
    </w:p>
    <w:p w:rsidR="00601817" w:rsidRPr="004F6068" w:rsidRDefault="00601817" w:rsidP="00601817">
      <w:pPr>
        <w:pStyle w:val="paragraph"/>
      </w:pPr>
      <w:r w:rsidRPr="004F6068">
        <w:tab/>
        <w:t>(b)</w:t>
      </w:r>
      <w:r w:rsidRPr="004F6068">
        <w:tab/>
        <w:t>as soon as practicable after the surrender, tell the European Union Transaction Log that the unit has been surrendered; and</w:t>
      </w:r>
    </w:p>
    <w:p w:rsidR="00601817" w:rsidRPr="004F6068" w:rsidRDefault="00601817" w:rsidP="00601817">
      <w:pPr>
        <w:pStyle w:val="paragraph"/>
      </w:pPr>
      <w:r w:rsidRPr="004F6068">
        <w:tab/>
        <w:t>(c)</w:t>
      </w:r>
      <w:r w:rsidRPr="004F6068">
        <w:tab/>
        <w:t>within 6 months after the day for surrender of the unit,</w:t>
      </w:r>
      <w:r w:rsidR="004B0968" w:rsidRPr="004F6068">
        <w:t xml:space="preserve"> </w:t>
      </w:r>
      <w:r w:rsidRPr="004F6068">
        <w:t>arrange for a European allowance unit in the Commonwealth foreign registry account in the Union Registry to be transferred to the Union allowance deletion account.</w:t>
      </w:r>
    </w:p>
    <w:p w:rsidR="00601817" w:rsidRPr="004F6068" w:rsidRDefault="00601817" w:rsidP="00601817">
      <w:pPr>
        <w:pStyle w:val="subsection"/>
      </w:pPr>
      <w:r w:rsidRPr="004F6068">
        <w:tab/>
        <w:t>(2)</w:t>
      </w:r>
      <w:r w:rsidRPr="004F6068">
        <w:tab/>
        <w:t>In this regulation:</w:t>
      </w:r>
    </w:p>
    <w:p w:rsidR="00601817" w:rsidRPr="004F6068" w:rsidRDefault="00601817" w:rsidP="00601817">
      <w:pPr>
        <w:pStyle w:val="Definition"/>
      </w:pPr>
      <w:r w:rsidRPr="004F6068">
        <w:rPr>
          <w:b/>
          <w:i/>
        </w:rPr>
        <w:t>Commonwealth foreign registry account</w:t>
      </w:r>
      <w:r w:rsidRPr="004F6068">
        <w:t xml:space="preserve"> has the same meaning as in the </w:t>
      </w:r>
      <w:proofErr w:type="spellStart"/>
      <w:r w:rsidRPr="004F6068">
        <w:t>ANREU</w:t>
      </w:r>
      <w:proofErr w:type="spellEnd"/>
      <w:r w:rsidRPr="004F6068">
        <w:t xml:space="preserve"> Act.</w:t>
      </w:r>
    </w:p>
    <w:p w:rsidR="00601817" w:rsidRPr="004F6068" w:rsidRDefault="00601817" w:rsidP="00601817">
      <w:pPr>
        <w:pStyle w:val="Definition"/>
      </w:pPr>
      <w:r w:rsidRPr="004F6068">
        <w:rPr>
          <w:b/>
          <w:i/>
        </w:rPr>
        <w:t>day for surrender of the unit</w:t>
      </w:r>
      <w:r w:rsidRPr="004F6068">
        <w:t xml:space="preserve"> is the last day on which the unit may be surrendered to avoid liability for unit shortfall charge in the financial year in relation to which the unit is surrendered.</w:t>
      </w:r>
    </w:p>
    <w:p w:rsidR="00601817" w:rsidRPr="004F6068" w:rsidRDefault="00601817" w:rsidP="00601817">
      <w:pPr>
        <w:pStyle w:val="Definition"/>
      </w:pPr>
      <w:r w:rsidRPr="004F6068">
        <w:rPr>
          <w:b/>
          <w:i/>
        </w:rPr>
        <w:t>European Union Transaction Log</w:t>
      </w:r>
      <w:r w:rsidRPr="004F6068">
        <w:t xml:space="preserve"> has the same meaning as in the </w:t>
      </w:r>
      <w:proofErr w:type="spellStart"/>
      <w:r w:rsidRPr="004F6068">
        <w:t>ANREU</w:t>
      </w:r>
      <w:proofErr w:type="spellEnd"/>
      <w:r w:rsidRPr="004F6068">
        <w:t xml:space="preserve"> Regulations.</w:t>
      </w:r>
    </w:p>
    <w:p w:rsidR="00601817" w:rsidRPr="004F6068" w:rsidRDefault="00601817" w:rsidP="00601817">
      <w:pPr>
        <w:pStyle w:val="Definition"/>
      </w:pPr>
      <w:r w:rsidRPr="004F6068">
        <w:rPr>
          <w:b/>
          <w:i/>
        </w:rPr>
        <w:t>Union allowance deletion account</w:t>
      </w:r>
      <w:r w:rsidRPr="004F6068">
        <w:t xml:space="preserve"> has the same meaning as in the </w:t>
      </w:r>
      <w:proofErr w:type="spellStart"/>
      <w:r w:rsidRPr="004F6068">
        <w:t>ANREU</w:t>
      </w:r>
      <w:proofErr w:type="spellEnd"/>
      <w:r w:rsidRPr="004F6068">
        <w:t xml:space="preserve"> Regulations.</w:t>
      </w:r>
    </w:p>
    <w:p w:rsidR="006D3667" w:rsidRPr="004F6068" w:rsidRDefault="00601817" w:rsidP="00601817">
      <w:pPr>
        <w:pStyle w:val="Definition"/>
      </w:pPr>
      <w:r w:rsidRPr="004F6068">
        <w:rPr>
          <w:b/>
          <w:i/>
        </w:rPr>
        <w:t>Union Registry</w:t>
      </w:r>
      <w:r w:rsidRPr="004F6068">
        <w:t xml:space="preserve"> has the same meaning as in the </w:t>
      </w:r>
      <w:proofErr w:type="spellStart"/>
      <w:r w:rsidRPr="004F6068">
        <w:t>ANREU</w:t>
      </w:r>
      <w:proofErr w:type="spellEnd"/>
      <w:r w:rsidRPr="004F6068">
        <w:t xml:space="preserve"> Regulations.</w:t>
      </w:r>
    </w:p>
    <w:sectPr w:rsidR="006D3667" w:rsidRPr="004F6068" w:rsidSect="001E0D89">
      <w:headerReference w:type="even" r:id="rId21"/>
      <w:headerReference w:type="default" r:id="rId22"/>
      <w:footerReference w:type="even" r:id="rId23"/>
      <w:footerReference w:type="default" r:id="rId24"/>
      <w:headerReference w:type="first" r:id="rId25"/>
      <w:footerReference w:type="first" r:id="rId26"/>
      <w:pgSz w:w="11907" w:h="16839" w:code="9"/>
      <w:pgMar w:top="1871" w:right="2410" w:bottom="4253" w:left="2410" w:header="720" w:footer="341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AE" w:rsidRDefault="003832AE" w:rsidP="0048364F">
      <w:pPr>
        <w:spacing w:line="240" w:lineRule="auto"/>
      </w:pPr>
      <w:r>
        <w:separator/>
      </w:r>
    </w:p>
  </w:endnote>
  <w:endnote w:type="continuationSeparator" w:id="0">
    <w:p w:rsidR="003832AE" w:rsidRDefault="003832A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89" w:rsidRPr="001E0D89" w:rsidRDefault="001E0D89" w:rsidP="001E0D89">
    <w:pPr>
      <w:pStyle w:val="Footer"/>
      <w:rPr>
        <w:sz w:val="18"/>
      </w:rPr>
    </w:pPr>
    <w:r>
      <w:rPr>
        <w:sz w:val="18"/>
      </w:rPr>
      <w:t>OPC50474</w:t>
    </w:r>
    <w:r w:rsidRPr="001E0D89">
      <w:rPr>
        <w:sz w:val="18"/>
      </w:rPr>
      <w:t xml:space="preserve">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EA35AE" w:rsidTr="007946FE">
      <w:tc>
        <w:tcPr>
          <w:tcW w:w="7303" w:type="dxa"/>
        </w:tcPr>
        <w:p w:rsidR="00EA35AE" w:rsidRDefault="00EA35AE" w:rsidP="007946FE">
          <w:pPr>
            <w:rPr>
              <w:sz w:val="18"/>
            </w:rPr>
          </w:pPr>
        </w:p>
      </w:tc>
    </w:tr>
  </w:tbl>
  <w:p w:rsidR="00EA35AE" w:rsidRPr="006D3667" w:rsidRDefault="001E0D89" w:rsidP="001E0D89">
    <w:pPr>
      <w:pStyle w:val="Footer"/>
    </w:pPr>
    <w:r>
      <w:t>OPC50474</w:t>
    </w:r>
    <w:r w:rsidRPr="001E0D89">
      <w:rPr>
        <w:sz w:val="18"/>
      </w:rPr>
      <w:t xml:space="preserve">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89" w:rsidRPr="001E0D89" w:rsidRDefault="001E0D89" w:rsidP="001E0D89">
    <w:pPr>
      <w:pStyle w:val="Footer"/>
      <w:rPr>
        <w:sz w:val="18"/>
      </w:rPr>
    </w:pPr>
    <w:r>
      <w:rPr>
        <w:sz w:val="18"/>
      </w:rPr>
      <w:t>OPC50474</w:t>
    </w:r>
    <w:r w:rsidRPr="001E0D89">
      <w:rPr>
        <w:sz w:val="18"/>
      </w:rPr>
      <w:t xml:space="preserve">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E" w:rsidRPr="001E0D89" w:rsidRDefault="00EA35AE"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EA35AE" w:rsidRPr="001E0D89" w:rsidTr="00E33C1C">
      <w:tc>
        <w:tcPr>
          <w:tcW w:w="533" w:type="dxa"/>
          <w:tcBorders>
            <w:top w:val="nil"/>
            <w:left w:val="nil"/>
            <w:bottom w:val="nil"/>
            <w:right w:val="nil"/>
          </w:tcBorders>
        </w:tcPr>
        <w:p w:rsidR="00EA35AE" w:rsidRPr="001E0D89" w:rsidRDefault="00EA35AE" w:rsidP="00E33C1C">
          <w:pPr>
            <w:spacing w:line="0" w:lineRule="atLeast"/>
            <w:rPr>
              <w:rFonts w:cs="Times New Roman"/>
              <w:sz w:val="18"/>
            </w:rPr>
          </w:pPr>
          <w:r w:rsidRPr="001E0D89">
            <w:rPr>
              <w:rFonts w:cs="Times New Roman"/>
              <w:i/>
              <w:sz w:val="18"/>
            </w:rPr>
            <w:fldChar w:fldCharType="begin"/>
          </w:r>
          <w:r w:rsidRPr="001E0D89">
            <w:rPr>
              <w:rFonts w:cs="Times New Roman"/>
              <w:i/>
              <w:sz w:val="18"/>
            </w:rPr>
            <w:instrText xml:space="preserve"> PAGE </w:instrText>
          </w:r>
          <w:r w:rsidRPr="001E0D89">
            <w:rPr>
              <w:rFonts w:cs="Times New Roman"/>
              <w:i/>
              <w:sz w:val="18"/>
            </w:rPr>
            <w:fldChar w:fldCharType="separate"/>
          </w:r>
          <w:r w:rsidR="002C0628">
            <w:rPr>
              <w:rFonts w:cs="Times New Roman"/>
              <w:i/>
              <w:noProof/>
              <w:sz w:val="18"/>
            </w:rPr>
            <w:t>ii</w:t>
          </w:r>
          <w:r w:rsidRPr="001E0D89">
            <w:rPr>
              <w:rFonts w:cs="Times New Roman"/>
              <w:i/>
              <w:sz w:val="18"/>
            </w:rPr>
            <w:fldChar w:fldCharType="end"/>
          </w:r>
        </w:p>
      </w:tc>
      <w:tc>
        <w:tcPr>
          <w:tcW w:w="5387" w:type="dxa"/>
          <w:tcBorders>
            <w:top w:val="nil"/>
            <w:left w:val="nil"/>
            <w:bottom w:val="nil"/>
            <w:right w:val="nil"/>
          </w:tcBorders>
        </w:tcPr>
        <w:p w:rsidR="00EA35AE" w:rsidRPr="001E0D89" w:rsidRDefault="00EA35AE" w:rsidP="00E33C1C">
          <w:pPr>
            <w:spacing w:line="0" w:lineRule="atLeast"/>
            <w:jc w:val="center"/>
            <w:rPr>
              <w:rFonts w:cs="Times New Roman"/>
              <w:sz w:val="18"/>
            </w:rPr>
          </w:pPr>
          <w:r w:rsidRPr="001E0D89">
            <w:rPr>
              <w:rFonts w:cs="Times New Roman"/>
              <w:i/>
              <w:sz w:val="18"/>
            </w:rPr>
            <w:fldChar w:fldCharType="begin"/>
          </w:r>
          <w:r w:rsidRPr="001E0D89">
            <w:rPr>
              <w:rFonts w:cs="Times New Roman"/>
              <w:i/>
              <w:sz w:val="18"/>
            </w:rPr>
            <w:instrText xml:space="preserve"> DOCPROPERTY ShortT </w:instrText>
          </w:r>
          <w:r w:rsidRPr="001E0D89">
            <w:rPr>
              <w:rFonts w:cs="Times New Roman"/>
              <w:i/>
              <w:sz w:val="18"/>
            </w:rPr>
            <w:fldChar w:fldCharType="separate"/>
          </w:r>
          <w:r w:rsidR="002C0628">
            <w:rPr>
              <w:rFonts w:cs="Times New Roman"/>
              <w:i/>
              <w:sz w:val="18"/>
            </w:rPr>
            <w:t>Clean Energy Legislation Amendment (International Linking) Regulation 2013</w:t>
          </w:r>
          <w:r w:rsidRPr="001E0D89">
            <w:rPr>
              <w:rFonts w:cs="Times New Roman"/>
              <w:i/>
              <w:sz w:val="18"/>
            </w:rPr>
            <w:fldChar w:fldCharType="end"/>
          </w:r>
        </w:p>
      </w:tc>
      <w:tc>
        <w:tcPr>
          <w:tcW w:w="1383" w:type="dxa"/>
          <w:tcBorders>
            <w:top w:val="nil"/>
            <w:left w:val="nil"/>
            <w:bottom w:val="nil"/>
            <w:right w:val="nil"/>
          </w:tcBorders>
        </w:tcPr>
        <w:p w:rsidR="00EA35AE" w:rsidRPr="001E0D89" w:rsidRDefault="00EA35AE" w:rsidP="00E33C1C">
          <w:pPr>
            <w:spacing w:line="0" w:lineRule="atLeast"/>
            <w:jc w:val="right"/>
            <w:rPr>
              <w:rFonts w:cs="Times New Roman"/>
              <w:sz w:val="18"/>
            </w:rPr>
          </w:pPr>
          <w:r w:rsidRPr="001E0D89">
            <w:rPr>
              <w:rFonts w:cs="Times New Roman"/>
              <w:i/>
              <w:sz w:val="18"/>
            </w:rPr>
            <w:fldChar w:fldCharType="begin"/>
          </w:r>
          <w:r w:rsidRPr="001E0D89">
            <w:rPr>
              <w:rFonts w:cs="Times New Roman"/>
              <w:i/>
              <w:sz w:val="18"/>
            </w:rPr>
            <w:instrText xml:space="preserve"> DOCPROPERTY ActNo </w:instrText>
          </w:r>
          <w:r w:rsidRPr="001E0D89">
            <w:rPr>
              <w:rFonts w:cs="Times New Roman"/>
              <w:i/>
              <w:sz w:val="18"/>
            </w:rPr>
            <w:fldChar w:fldCharType="separate"/>
          </w:r>
          <w:r w:rsidR="002C0628">
            <w:rPr>
              <w:rFonts w:cs="Times New Roman"/>
              <w:i/>
              <w:sz w:val="18"/>
            </w:rPr>
            <w:t>No. 78, 2013</w:t>
          </w:r>
          <w:r w:rsidRPr="001E0D89">
            <w:rPr>
              <w:rFonts w:cs="Times New Roman"/>
              <w:i/>
              <w:sz w:val="18"/>
            </w:rPr>
            <w:fldChar w:fldCharType="end"/>
          </w:r>
        </w:p>
      </w:tc>
    </w:tr>
    <w:tr w:rsidR="00EA35AE" w:rsidRPr="001E0D89"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A35AE" w:rsidRPr="001E0D89" w:rsidRDefault="00EA35AE" w:rsidP="007946FE">
          <w:pPr>
            <w:jc w:val="right"/>
            <w:rPr>
              <w:rFonts w:cs="Times New Roman"/>
              <w:sz w:val="18"/>
            </w:rPr>
          </w:pPr>
        </w:p>
      </w:tc>
    </w:tr>
  </w:tbl>
  <w:p w:rsidR="00EA35AE" w:rsidRPr="001E0D89" w:rsidRDefault="001E0D89" w:rsidP="001E0D89">
    <w:pPr>
      <w:rPr>
        <w:rFonts w:cs="Times New Roman"/>
        <w:i/>
        <w:sz w:val="18"/>
      </w:rPr>
    </w:pPr>
    <w:r>
      <w:rPr>
        <w:rFonts w:cs="Times New Roman"/>
        <w:i/>
        <w:sz w:val="18"/>
      </w:rPr>
      <w:t>OPC50474</w:t>
    </w:r>
    <w:r w:rsidRPr="001E0D89">
      <w:rPr>
        <w:rFonts w:cs="Times New Roman"/>
        <w:i/>
        <w:sz w:val="18"/>
      </w:rPr>
      <w:t xml:space="preserve">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E" w:rsidRPr="00E33C1C" w:rsidRDefault="00EA35A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A35AE" w:rsidTr="00E33C1C">
      <w:tc>
        <w:tcPr>
          <w:tcW w:w="1383" w:type="dxa"/>
          <w:tcBorders>
            <w:top w:val="nil"/>
            <w:left w:val="nil"/>
            <w:bottom w:val="nil"/>
            <w:right w:val="nil"/>
          </w:tcBorders>
        </w:tcPr>
        <w:p w:rsidR="00EA35AE" w:rsidRDefault="00EA35A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C0628">
            <w:rPr>
              <w:i/>
              <w:sz w:val="18"/>
            </w:rPr>
            <w:t>No. 78, 2013</w:t>
          </w:r>
          <w:r w:rsidRPr="007A1328">
            <w:rPr>
              <w:i/>
              <w:sz w:val="18"/>
            </w:rPr>
            <w:fldChar w:fldCharType="end"/>
          </w:r>
        </w:p>
      </w:tc>
      <w:tc>
        <w:tcPr>
          <w:tcW w:w="5387" w:type="dxa"/>
          <w:tcBorders>
            <w:top w:val="nil"/>
            <w:left w:val="nil"/>
            <w:bottom w:val="nil"/>
            <w:right w:val="nil"/>
          </w:tcBorders>
        </w:tcPr>
        <w:p w:rsidR="00EA35AE" w:rsidRDefault="00EA35A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0628">
            <w:rPr>
              <w:i/>
              <w:sz w:val="18"/>
            </w:rPr>
            <w:t>Clean Energy Legislation Amendment (International Linking) Regulation 2013</w:t>
          </w:r>
          <w:r w:rsidRPr="007A1328">
            <w:rPr>
              <w:i/>
              <w:sz w:val="18"/>
            </w:rPr>
            <w:fldChar w:fldCharType="end"/>
          </w:r>
        </w:p>
      </w:tc>
      <w:tc>
        <w:tcPr>
          <w:tcW w:w="533" w:type="dxa"/>
          <w:tcBorders>
            <w:top w:val="nil"/>
            <w:left w:val="nil"/>
            <w:bottom w:val="nil"/>
            <w:right w:val="nil"/>
          </w:tcBorders>
        </w:tcPr>
        <w:p w:rsidR="00EA35AE" w:rsidRDefault="00EA35A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0628">
            <w:rPr>
              <w:i/>
              <w:noProof/>
              <w:sz w:val="18"/>
            </w:rPr>
            <w:t>i</w:t>
          </w:r>
          <w:r w:rsidRPr="00ED79B6">
            <w:rPr>
              <w:i/>
              <w:sz w:val="18"/>
            </w:rPr>
            <w:fldChar w:fldCharType="end"/>
          </w:r>
        </w:p>
      </w:tc>
    </w:tr>
    <w:tr w:rsidR="00EA35AE" w:rsidTr="00794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A35AE" w:rsidRDefault="00EA35AE" w:rsidP="007946FE">
          <w:pPr>
            <w:rPr>
              <w:sz w:val="18"/>
            </w:rPr>
          </w:pPr>
        </w:p>
      </w:tc>
    </w:tr>
  </w:tbl>
  <w:p w:rsidR="00EA35AE" w:rsidRPr="00ED79B6" w:rsidRDefault="001E0D89" w:rsidP="001E0D89">
    <w:pPr>
      <w:rPr>
        <w:i/>
        <w:sz w:val="18"/>
      </w:rPr>
    </w:pPr>
    <w:r>
      <w:rPr>
        <w:i/>
        <w:sz w:val="18"/>
      </w:rPr>
      <w:t>OPC50474</w:t>
    </w:r>
    <w:r w:rsidRPr="001E0D89">
      <w:rPr>
        <w:rFonts w:cs="Times New Roman"/>
        <w:i/>
        <w:sz w:val="18"/>
      </w:rPr>
      <w:t xml:space="preserve">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E" w:rsidRPr="001E0D89" w:rsidRDefault="003832AE" w:rsidP="001F6924">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3832AE" w:rsidRPr="001E0D89" w:rsidTr="00E33C1C">
      <w:tc>
        <w:tcPr>
          <w:tcW w:w="533" w:type="dxa"/>
          <w:tcBorders>
            <w:top w:val="nil"/>
            <w:left w:val="nil"/>
            <w:bottom w:val="nil"/>
            <w:right w:val="nil"/>
          </w:tcBorders>
        </w:tcPr>
        <w:p w:rsidR="003832AE" w:rsidRPr="001E0D89" w:rsidRDefault="003832AE" w:rsidP="00E33C1C">
          <w:pPr>
            <w:spacing w:line="0" w:lineRule="atLeast"/>
            <w:rPr>
              <w:rFonts w:cs="Times New Roman"/>
              <w:sz w:val="18"/>
            </w:rPr>
          </w:pPr>
          <w:r w:rsidRPr="001E0D89">
            <w:rPr>
              <w:rFonts w:cs="Times New Roman"/>
              <w:i/>
              <w:sz w:val="18"/>
            </w:rPr>
            <w:fldChar w:fldCharType="begin"/>
          </w:r>
          <w:r w:rsidRPr="001E0D89">
            <w:rPr>
              <w:rFonts w:cs="Times New Roman"/>
              <w:i/>
              <w:sz w:val="18"/>
            </w:rPr>
            <w:instrText xml:space="preserve"> PAGE </w:instrText>
          </w:r>
          <w:r w:rsidRPr="001E0D89">
            <w:rPr>
              <w:rFonts w:cs="Times New Roman"/>
              <w:i/>
              <w:sz w:val="18"/>
            </w:rPr>
            <w:fldChar w:fldCharType="separate"/>
          </w:r>
          <w:r w:rsidR="002C0628">
            <w:rPr>
              <w:rFonts w:cs="Times New Roman"/>
              <w:i/>
              <w:noProof/>
              <w:sz w:val="18"/>
            </w:rPr>
            <w:t>2</w:t>
          </w:r>
          <w:r w:rsidRPr="001E0D89">
            <w:rPr>
              <w:rFonts w:cs="Times New Roman"/>
              <w:i/>
              <w:sz w:val="18"/>
            </w:rPr>
            <w:fldChar w:fldCharType="end"/>
          </w:r>
        </w:p>
      </w:tc>
      <w:tc>
        <w:tcPr>
          <w:tcW w:w="5387" w:type="dxa"/>
          <w:tcBorders>
            <w:top w:val="nil"/>
            <w:left w:val="nil"/>
            <w:bottom w:val="nil"/>
            <w:right w:val="nil"/>
          </w:tcBorders>
        </w:tcPr>
        <w:p w:rsidR="003832AE" w:rsidRPr="001E0D89" w:rsidRDefault="003832AE" w:rsidP="00E33C1C">
          <w:pPr>
            <w:spacing w:line="0" w:lineRule="atLeast"/>
            <w:jc w:val="center"/>
            <w:rPr>
              <w:rFonts w:cs="Times New Roman"/>
              <w:sz w:val="18"/>
            </w:rPr>
          </w:pPr>
          <w:r w:rsidRPr="001E0D89">
            <w:rPr>
              <w:rFonts w:cs="Times New Roman"/>
              <w:i/>
              <w:sz w:val="18"/>
            </w:rPr>
            <w:fldChar w:fldCharType="begin"/>
          </w:r>
          <w:r w:rsidRPr="001E0D89">
            <w:rPr>
              <w:rFonts w:cs="Times New Roman"/>
              <w:i/>
              <w:sz w:val="18"/>
            </w:rPr>
            <w:instrText xml:space="preserve"> DOCPROPERTY ShortT </w:instrText>
          </w:r>
          <w:r w:rsidRPr="001E0D89">
            <w:rPr>
              <w:rFonts w:cs="Times New Roman"/>
              <w:i/>
              <w:sz w:val="18"/>
            </w:rPr>
            <w:fldChar w:fldCharType="separate"/>
          </w:r>
          <w:r w:rsidR="002C0628">
            <w:rPr>
              <w:rFonts w:cs="Times New Roman"/>
              <w:i/>
              <w:sz w:val="18"/>
            </w:rPr>
            <w:t>Clean Energy Legislation Amendment (International Linking) Regulation 2013</w:t>
          </w:r>
          <w:r w:rsidRPr="001E0D89">
            <w:rPr>
              <w:rFonts w:cs="Times New Roman"/>
              <w:i/>
              <w:sz w:val="18"/>
            </w:rPr>
            <w:fldChar w:fldCharType="end"/>
          </w:r>
        </w:p>
      </w:tc>
      <w:tc>
        <w:tcPr>
          <w:tcW w:w="1383" w:type="dxa"/>
          <w:tcBorders>
            <w:top w:val="nil"/>
            <w:left w:val="nil"/>
            <w:bottom w:val="nil"/>
            <w:right w:val="nil"/>
          </w:tcBorders>
        </w:tcPr>
        <w:p w:rsidR="003832AE" w:rsidRPr="001E0D89" w:rsidRDefault="003832AE" w:rsidP="00E33C1C">
          <w:pPr>
            <w:spacing w:line="0" w:lineRule="atLeast"/>
            <w:jc w:val="right"/>
            <w:rPr>
              <w:rFonts w:cs="Times New Roman"/>
              <w:sz w:val="18"/>
            </w:rPr>
          </w:pPr>
          <w:r w:rsidRPr="001E0D89">
            <w:rPr>
              <w:rFonts w:cs="Times New Roman"/>
              <w:i/>
              <w:sz w:val="18"/>
            </w:rPr>
            <w:fldChar w:fldCharType="begin"/>
          </w:r>
          <w:r w:rsidRPr="001E0D89">
            <w:rPr>
              <w:rFonts w:cs="Times New Roman"/>
              <w:i/>
              <w:sz w:val="18"/>
            </w:rPr>
            <w:instrText xml:space="preserve"> DOCPROPERTY ActNo </w:instrText>
          </w:r>
          <w:r w:rsidRPr="001E0D89">
            <w:rPr>
              <w:rFonts w:cs="Times New Roman"/>
              <w:i/>
              <w:sz w:val="18"/>
            </w:rPr>
            <w:fldChar w:fldCharType="separate"/>
          </w:r>
          <w:r w:rsidR="002C0628">
            <w:rPr>
              <w:rFonts w:cs="Times New Roman"/>
              <w:i/>
              <w:sz w:val="18"/>
            </w:rPr>
            <w:t>No. 78, 2013</w:t>
          </w:r>
          <w:r w:rsidRPr="001E0D89">
            <w:rPr>
              <w:rFonts w:cs="Times New Roman"/>
              <w:i/>
              <w:sz w:val="18"/>
            </w:rPr>
            <w:fldChar w:fldCharType="end"/>
          </w:r>
        </w:p>
      </w:tc>
    </w:tr>
    <w:tr w:rsidR="004120C3" w:rsidRPr="001E0D89"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4120C3" w:rsidRPr="001E0D89" w:rsidRDefault="004120C3" w:rsidP="00EE34FA">
          <w:pPr>
            <w:jc w:val="right"/>
            <w:rPr>
              <w:rFonts w:cs="Times New Roman"/>
              <w:sz w:val="18"/>
            </w:rPr>
          </w:pPr>
        </w:p>
      </w:tc>
    </w:tr>
  </w:tbl>
  <w:p w:rsidR="003832AE" w:rsidRPr="001E0D89" w:rsidRDefault="001E0D89" w:rsidP="001E0D89">
    <w:pPr>
      <w:rPr>
        <w:rFonts w:cs="Times New Roman"/>
        <w:i/>
        <w:sz w:val="18"/>
      </w:rPr>
    </w:pPr>
    <w:r>
      <w:rPr>
        <w:rFonts w:cs="Times New Roman"/>
        <w:i/>
        <w:sz w:val="18"/>
      </w:rPr>
      <w:t>OPC50474</w:t>
    </w:r>
    <w:r w:rsidRPr="001E0D89">
      <w:rPr>
        <w:rFonts w:cs="Times New Roman"/>
        <w:i/>
        <w:sz w:val="18"/>
      </w:rPr>
      <w:t xml:space="preserve">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E" w:rsidRPr="00E33C1C" w:rsidRDefault="003832A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832AE" w:rsidTr="00E33C1C">
      <w:tc>
        <w:tcPr>
          <w:tcW w:w="1383" w:type="dxa"/>
          <w:tcBorders>
            <w:top w:val="nil"/>
            <w:left w:val="nil"/>
            <w:bottom w:val="nil"/>
            <w:right w:val="nil"/>
          </w:tcBorders>
        </w:tcPr>
        <w:p w:rsidR="003832AE" w:rsidRDefault="003832A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C0628">
            <w:rPr>
              <w:i/>
              <w:sz w:val="18"/>
            </w:rPr>
            <w:t>No. 78, 2013</w:t>
          </w:r>
          <w:r w:rsidRPr="007A1328">
            <w:rPr>
              <w:i/>
              <w:sz w:val="18"/>
            </w:rPr>
            <w:fldChar w:fldCharType="end"/>
          </w:r>
        </w:p>
      </w:tc>
      <w:tc>
        <w:tcPr>
          <w:tcW w:w="5387" w:type="dxa"/>
          <w:tcBorders>
            <w:top w:val="nil"/>
            <w:left w:val="nil"/>
            <w:bottom w:val="nil"/>
            <w:right w:val="nil"/>
          </w:tcBorders>
        </w:tcPr>
        <w:p w:rsidR="003832AE" w:rsidRDefault="003832A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0628">
            <w:rPr>
              <w:i/>
              <w:sz w:val="18"/>
            </w:rPr>
            <w:t>Clean Energy Legislation Amendment (International Linking) Regulation 2013</w:t>
          </w:r>
          <w:r w:rsidRPr="007A1328">
            <w:rPr>
              <w:i/>
              <w:sz w:val="18"/>
            </w:rPr>
            <w:fldChar w:fldCharType="end"/>
          </w:r>
        </w:p>
      </w:tc>
      <w:tc>
        <w:tcPr>
          <w:tcW w:w="533" w:type="dxa"/>
          <w:tcBorders>
            <w:top w:val="nil"/>
            <w:left w:val="nil"/>
            <w:bottom w:val="nil"/>
            <w:right w:val="nil"/>
          </w:tcBorders>
        </w:tcPr>
        <w:p w:rsidR="003832AE" w:rsidRDefault="003832A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0628">
            <w:rPr>
              <w:i/>
              <w:noProof/>
              <w:sz w:val="18"/>
            </w:rPr>
            <w:t>1</w:t>
          </w:r>
          <w:r w:rsidRPr="00ED79B6">
            <w:rPr>
              <w:i/>
              <w:sz w:val="18"/>
            </w:rPr>
            <w:fldChar w:fldCharType="end"/>
          </w:r>
        </w:p>
      </w:tc>
    </w:tr>
    <w:tr w:rsidR="003832AE" w:rsidTr="004B0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3832AE" w:rsidRDefault="003832AE" w:rsidP="004B0968">
          <w:pPr>
            <w:rPr>
              <w:sz w:val="18"/>
            </w:rPr>
          </w:pPr>
        </w:p>
      </w:tc>
    </w:tr>
  </w:tbl>
  <w:p w:rsidR="003832AE" w:rsidRPr="00ED79B6" w:rsidRDefault="001E0D89" w:rsidP="001E0D89">
    <w:pPr>
      <w:rPr>
        <w:i/>
        <w:sz w:val="18"/>
      </w:rPr>
    </w:pPr>
    <w:r>
      <w:rPr>
        <w:i/>
        <w:sz w:val="18"/>
      </w:rPr>
      <w:t>OPC50474</w:t>
    </w:r>
    <w:r w:rsidRPr="001E0D89">
      <w:rPr>
        <w:rFonts w:cs="Times New Roman"/>
        <w:i/>
        <w:sz w:val="18"/>
      </w:rPr>
      <w:t xml:space="preserve">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E" w:rsidRPr="00E33C1C" w:rsidRDefault="003832A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832AE" w:rsidTr="004B0968">
      <w:tc>
        <w:tcPr>
          <w:tcW w:w="1383" w:type="dxa"/>
          <w:tcBorders>
            <w:top w:val="nil"/>
            <w:left w:val="nil"/>
            <w:bottom w:val="nil"/>
            <w:right w:val="nil"/>
          </w:tcBorders>
        </w:tcPr>
        <w:p w:rsidR="003832AE" w:rsidRDefault="003832AE" w:rsidP="004B096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C0628">
            <w:rPr>
              <w:i/>
              <w:sz w:val="18"/>
            </w:rPr>
            <w:t>No. 78, 2013</w:t>
          </w:r>
          <w:r w:rsidRPr="007A1328">
            <w:rPr>
              <w:i/>
              <w:sz w:val="18"/>
            </w:rPr>
            <w:fldChar w:fldCharType="end"/>
          </w:r>
        </w:p>
      </w:tc>
      <w:tc>
        <w:tcPr>
          <w:tcW w:w="5387" w:type="dxa"/>
          <w:tcBorders>
            <w:top w:val="nil"/>
            <w:left w:val="nil"/>
            <w:bottom w:val="nil"/>
            <w:right w:val="nil"/>
          </w:tcBorders>
        </w:tcPr>
        <w:p w:rsidR="003832AE" w:rsidRDefault="003832AE" w:rsidP="004B09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0628">
            <w:rPr>
              <w:i/>
              <w:sz w:val="18"/>
            </w:rPr>
            <w:t>Clean Energy Legislation Amendment (International Linking) Regulation 2013</w:t>
          </w:r>
          <w:r w:rsidRPr="007A1328">
            <w:rPr>
              <w:i/>
              <w:sz w:val="18"/>
            </w:rPr>
            <w:fldChar w:fldCharType="end"/>
          </w:r>
        </w:p>
      </w:tc>
      <w:tc>
        <w:tcPr>
          <w:tcW w:w="533" w:type="dxa"/>
          <w:tcBorders>
            <w:top w:val="nil"/>
            <w:left w:val="nil"/>
            <w:bottom w:val="nil"/>
            <w:right w:val="nil"/>
          </w:tcBorders>
        </w:tcPr>
        <w:p w:rsidR="003832AE" w:rsidRDefault="003832AE" w:rsidP="004B09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0ED9">
            <w:rPr>
              <w:i/>
              <w:noProof/>
              <w:sz w:val="18"/>
            </w:rPr>
            <w:t>14</w:t>
          </w:r>
          <w:r w:rsidRPr="00ED79B6">
            <w:rPr>
              <w:i/>
              <w:sz w:val="18"/>
            </w:rPr>
            <w:fldChar w:fldCharType="end"/>
          </w:r>
        </w:p>
      </w:tc>
    </w:tr>
    <w:tr w:rsidR="003832AE" w:rsidTr="004B0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3832AE" w:rsidRDefault="003832AE" w:rsidP="004B0968">
          <w:pPr>
            <w:rPr>
              <w:sz w:val="18"/>
            </w:rPr>
          </w:pPr>
        </w:p>
      </w:tc>
    </w:tr>
  </w:tbl>
  <w:p w:rsidR="003832AE" w:rsidRPr="00ED79B6" w:rsidRDefault="003832A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AE" w:rsidRDefault="003832AE" w:rsidP="0048364F">
      <w:pPr>
        <w:spacing w:line="240" w:lineRule="auto"/>
      </w:pPr>
      <w:r>
        <w:separator/>
      </w:r>
    </w:p>
  </w:footnote>
  <w:footnote w:type="continuationSeparator" w:id="0">
    <w:p w:rsidR="003832AE" w:rsidRDefault="003832A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E" w:rsidRPr="005F1388" w:rsidRDefault="00EA35A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E" w:rsidRPr="005F1388" w:rsidRDefault="00EA35A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E" w:rsidRPr="005F1388" w:rsidRDefault="00EA35A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E" w:rsidRPr="00ED79B6" w:rsidRDefault="00EA35AE"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E" w:rsidRPr="00ED79B6" w:rsidRDefault="00EA35AE"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E" w:rsidRPr="00ED79B6" w:rsidRDefault="00EA35A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E" w:rsidRPr="00A961C4" w:rsidRDefault="003832AE" w:rsidP="00B63BDE">
    <w:pPr>
      <w:rPr>
        <w:b/>
        <w:sz w:val="20"/>
      </w:rPr>
    </w:pPr>
    <w:r>
      <w:rPr>
        <w:b/>
        <w:sz w:val="20"/>
      </w:rPr>
      <w:fldChar w:fldCharType="begin"/>
    </w:r>
    <w:r>
      <w:rPr>
        <w:b/>
        <w:sz w:val="20"/>
      </w:rPr>
      <w:instrText xml:space="preserve"> STYLEREF CharAmSchNo </w:instrText>
    </w:r>
    <w:r w:rsidR="002C0628">
      <w:rPr>
        <w:b/>
        <w:sz w:val="20"/>
      </w:rPr>
      <w:fldChar w:fldCharType="separate"/>
    </w:r>
    <w:r w:rsidR="002C062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C0628">
      <w:rPr>
        <w:sz w:val="20"/>
      </w:rPr>
      <w:fldChar w:fldCharType="separate"/>
    </w:r>
    <w:r w:rsidR="002C0628">
      <w:rPr>
        <w:noProof/>
        <w:sz w:val="20"/>
      </w:rPr>
      <w:t>Amendments</w:t>
    </w:r>
    <w:r>
      <w:rPr>
        <w:sz w:val="20"/>
      </w:rPr>
      <w:fldChar w:fldCharType="end"/>
    </w:r>
  </w:p>
  <w:p w:rsidR="003832AE" w:rsidRPr="00A961C4" w:rsidRDefault="003832A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832AE" w:rsidRPr="00A961C4" w:rsidRDefault="003832AE"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E" w:rsidRPr="00A961C4" w:rsidRDefault="003832AE"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832AE" w:rsidRPr="00A961C4" w:rsidRDefault="003832AE"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832AE" w:rsidRPr="00A961C4" w:rsidRDefault="003832AE"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E" w:rsidRPr="00A961C4" w:rsidRDefault="003832AE"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CA"/>
    <w:rsid w:val="00003F87"/>
    <w:rsid w:val="000041C6"/>
    <w:rsid w:val="00004925"/>
    <w:rsid w:val="000113BC"/>
    <w:rsid w:val="000136AF"/>
    <w:rsid w:val="00025060"/>
    <w:rsid w:val="0004044E"/>
    <w:rsid w:val="00050E6C"/>
    <w:rsid w:val="00051056"/>
    <w:rsid w:val="000614BF"/>
    <w:rsid w:val="000D05EF"/>
    <w:rsid w:val="000D5384"/>
    <w:rsid w:val="000E1A17"/>
    <w:rsid w:val="000F21C1"/>
    <w:rsid w:val="000F7427"/>
    <w:rsid w:val="00105DD3"/>
    <w:rsid w:val="0010745C"/>
    <w:rsid w:val="00120EF3"/>
    <w:rsid w:val="00127F8F"/>
    <w:rsid w:val="00131384"/>
    <w:rsid w:val="00140369"/>
    <w:rsid w:val="00154EAC"/>
    <w:rsid w:val="00155BBD"/>
    <w:rsid w:val="00155EDC"/>
    <w:rsid w:val="001643C9"/>
    <w:rsid w:val="00165568"/>
    <w:rsid w:val="00166C2F"/>
    <w:rsid w:val="001716C9"/>
    <w:rsid w:val="00171EAE"/>
    <w:rsid w:val="00193461"/>
    <w:rsid w:val="001939E1"/>
    <w:rsid w:val="00195382"/>
    <w:rsid w:val="001B7A5D"/>
    <w:rsid w:val="001C0C59"/>
    <w:rsid w:val="001C69C4"/>
    <w:rsid w:val="001E0D89"/>
    <w:rsid w:val="001E21C5"/>
    <w:rsid w:val="001E3590"/>
    <w:rsid w:val="001E562E"/>
    <w:rsid w:val="001E57B1"/>
    <w:rsid w:val="001E7407"/>
    <w:rsid w:val="001F6924"/>
    <w:rsid w:val="001F6A2E"/>
    <w:rsid w:val="00201D27"/>
    <w:rsid w:val="0022033E"/>
    <w:rsid w:val="00240749"/>
    <w:rsid w:val="00250ED9"/>
    <w:rsid w:val="00265FBC"/>
    <w:rsid w:val="00266D05"/>
    <w:rsid w:val="0028356A"/>
    <w:rsid w:val="00292E7A"/>
    <w:rsid w:val="002932B1"/>
    <w:rsid w:val="00297ECB"/>
    <w:rsid w:val="002B5B89"/>
    <w:rsid w:val="002B7D96"/>
    <w:rsid w:val="002C0628"/>
    <w:rsid w:val="002C12E6"/>
    <w:rsid w:val="002D043A"/>
    <w:rsid w:val="002E332E"/>
    <w:rsid w:val="002E75E1"/>
    <w:rsid w:val="00304E75"/>
    <w:rsid w:val="003072FA"/>
    <w:rsid w:val="0031713F"/>
    <w:rsid w:val="003200A4"/>
    <w:rsid w:val="0033799E"/>
    <w:rsid w:val="00340C6B"/>
    <w:rsid w:val="003415D3"/>
    <w:rsid w:val="00352B0F"/>
    <w:rsid w:val="00361BD9"/>
    <w:rsid w:val="003801D0"/>
    <w:rsid w:val="003832AE"/>
    <w:rsid w:val="00385D6A"/>
    <w:rsid w:val="0039228E"/>
    <w:rsid w:val="003926B5"/>
    <w:rsid w:val="003B04EC"/>
    <w:rsid w:val="003B2CA7"/>
    <w:rsid w:val="003B6650"/>
    <w:rsid w:val="003C5F2B"/>
    <w:rsid w:val="003D0BFE"/>
    <w:rsid w:val="003D5700"/>
    <w:rsid w:val="003E0557"/>
    <w:rsid w:val="003E3AE3"/>
    <w:rsid w:val="003E59E9"/>
    <w:rsid w:val="003E5FF5"/>
    <w:rsid w:val="003F567B"/>
    <w:rsid w:val="004010E7"/>
    <w:rsid w:val="00401403"/>
    <w:rsid w:val="004116CD"/>
    <w:rsid w:val="004120C3"/>
    <w:rsid w:val="00412B83"/>
    <w:rsid w:val="00424CA9"/>
    <w:rsid w:val="0044291A"/>
    <w:rsid w:val="00442ADA"/>
    <w:rsid w:val="00444E45"/>
    <w:rsid w:val="004541B9"/>
    <w:rsid w:val="00460499"/>
    <w:rsid w:val="00482A17"/>
    <w:rsid w:val="0048364F"/>
    <w:rsid w:val="004919AA"/>
    <w:rsid w:val="00496F97"/>
    <w:rsid w:val="004A0F4F"/>
    <w:rsid w:val="004A2484"/>
    <w:rsid w:val="004B0968"/>
    <w:rsid w:val="004C6444"/>
    <w:rsid w:val="004C6DE1"/>
    <w:rsid w:val="004D28CC"/>
    <w:rsid w:val="004D6E71"/>
    <w:rsid w:val="004F1FAC"/>
    <w:rsid w:val="004F3A90"/>
    <w:rsid w:val="004F6068"/>
    <w:rsid w:val="004F676E"/>
    <w:rsid w:val="004F7610"/>
    <w:rsid w:val="00514763"/>
    <w:rsid w:val="00516B8D"/>
    <w:rsid w:val="00527E0D"/>
    <w:rsid w:val="00537FBC"/>
    <w:rsid w:val="00543469"/>
    <w:rsid w:val="005510B1"/>
    <w:rsid w:val="00557C7A"/>
    <w:rsid w:val="00584811"/>
    <w:rsid w:val="0058646E"/>
    <w:rsid w:val="00591E07"/>
    <w:rsid w:val="00593AA6"/>
    <w:rsid w:val="00594161"/>
    <w:rsid w:val="005942A1"/>
    <w:rsid w:val="00594749"/>
    <w:rsid w:val="005A35A6"/>
    <w:rsid w:val="005B0106"/>
    <w:rsid w:val="005B4067"/>
    <w:rsid w:val="005C12DE"/>
    <w:rsid w:val="005C3F41"/>
    <w:rsid w:val="005E3B34"/>
    <w:rsid w:val="00600219"/>
    <w:rsid w:val="00601817"/>
    <w:rsid w:val="00607BB1"/>
    <w:rsid w:val="00623671"/>
    <w:rsid w:val="006249E6"/>
    <w:rsid w:val="00630733"/>
    <w:rsid w:val="006342F0"/>
    <w:rsid w:val="006378CB"/>
    <w:rsid w:val="0064468A"/>
    <w:rsid w:val="00652908"/>
    <w:rsid w:val="00654CCA"/>
    <w:rsid w:val="00656DE9"/>
    <w:rsid w:val="00677CC2"/>
    <w:rsid w:val="00680F17"/>
    <w:rsid w:val="00685F42"/>
    <w:rsid w:val="0069207B"/>
    <w:rsid w:val="006937E2"/>
    <w:rsid w:val="006977FB"/>
    <w:rsid w:val="006B63B4"/>
    <w:rsid w:val="006B75C6"/>
    <w:rsid w:val="006C2C12"/>
    <w:rsid w:val="006C7F8C"/>
    <w:rsid w:val="006D3667"/>
    <w:rsid w:val="006E004B"/>
    <w:rsid w:val="00700B2C"/>
    <w:rsid w:val="00701987"/>
    <w:rsid w:val="00701E6A"/>
    <w:rsid w:val="00713084"/>
    <w:rsid w:val="00722023"/>
    <w:rsid w:val="00731B17"/>
    <w:rsid w:val="00731E00"/>
    <w:rsid w:val="00733281"/>
    <w:rsid w:val="00743A25"/>
    <w:rsid w:val="007440B7"/>
    <w:rsid w:val="00756B2F"/>
    <w:rsid w:val="007634AD"/>
    <w:rsid w:val="007715C9"/>
    <w:rsid w:val="00774EDD"/>
    <w:rsid w:val="007757EC"/>
    <w:rsid w:val="007769D4"/>
    <w:rsid w:val="007853E0"/>
    <w:rsid w:val="00785AFA"/>
    <w:rsid w:val="007903AC"/>
    <w:rsid w:val="007D4751"/>
    <w:rsid w:val="007E7D4A"/>
    <w:rsid w:val="007F01C2"/>
    <w:rsid w:val="00826DA5"/>
    <w:rsid w:val="0083030F"/>
    <w:rsid w:val="00833416"/>
    <w:rsid w:val="0083509E"/>
    <w:rsid w:val="00846A5C"/>
    <w:rsid w:val="008508A2"/>
    <w:rsid w:val="00856A31"/>
    <w:rsid w:val="008600AD"/>
    <w:rsid w:val="00874B69"/>
    <w:rsid w:val="008754D0"/>
    <w:rsid w:val="00877D48"/>
    <w:rsid w:val="00896208"/>
    <w:rsid w:val="0089783B"/>
    <w:rsid w:val="008D0EE0"/>
    <w:rsid w:val="008F07E3"/>
    <w:rsid w:val="008F14E2"/>
    <w:rsid w:val="008F4F1C"/>
    <w:rsid w:val="00907271"/>
    <w:rsid w:val="00913983"/>
    <w:rsid w:val="00932377"/>
    <w:rsid w:val="009B3629"/>
    <w:rsid w:val="009C49D8"/>
    <w:rsid w:val="009E3601"/>
    <w:rsid w:val="009F570A"/>
    <w:rsid w:val="009F727E"/>
    <w:rsid w:val="00A0282A"/>
    <w:rsid w:val="00A2057D"/>
    <w:rsid w:val="00A231E2"/>
    <w:rsid w:val="00A2550D"/>
    <w:rsid w:val="00A4169B"/>
    <w:rsid w:val="00A4361F"/>
    <w:rsid w:val="00A64912"/>
    <w:rsid w:val="00A70A74"/>
    <w:rsid w:val="00A87AB9"/>
    <w:rsid w:val="00A94D40"/>
    <w:rsid w:val="00AA0633"/>
    <w:rsid w:val="00AA321F"/>
    <w:rsid w:val="00AB3315"/>
    <w:rsid w:val="00AD5641"/>
    <w:rsid w:val="00AF0336"/>
    <w:rsid w:val="00B00A75"/>
    <w:rsid w:val="00B032D8"/>
    <w:rsid w:val="00B2667B"/>
    <w:rsid w:val="00B332B8"/>
    <w:rsid w:val="00B33B3C"/>
    <w:rsid w:val="00B61D2C"/>
    <w:rsid w:val="00B63BDE"/>
    <w:rsid w:val="00B824DE"/>
    <w:rsid w:val="00BA5026"/>
    <w:rsid w:val="00BA54F5"/>
    <w:rsid w:val="00BB6E79"/>
    <w:rsid w:val="00BC4F91"/>
    <w:rsid w:val="00BD60E6"/>
    <w:rsid w:val="00BE253A"/>
    <w:rsid w:val="00BE3B6A"/>
    <w:rsid w:val="00BE719A"/>
    <w:rsid w:val="00BE720A"/>
    <w:rsid w:val="00C004A5"/>
    <w:rsid w:val="00C03C4D"/>
    <w:rsid w:val="00C06584"/>
    <w:rsid w:val="00C067E5"/>
    <w:rsid w:val="00C164CA"/>
    <w:rsid w:val="00C21B63"/>
    <w:rsid w:val="00C42BF8"/>
    <w:rsid w:val="00C460AE"/>
    <w:rsid w:val="00C47C6E"/>
    <w:rsid w:val="00C50043"/>
    <w:rsid w:val="00C64532"/>
    <w:rsid w:val="00C7573B"/>
    <w:rsid w:val="00C76CF3"/>
    <w:rsid w:val="00CB0180"/>
    <w:rsid w:val="00CC60FF"/>
    <w:rsid w:val="00CD606E"/>
    <w:rsid w:val="00CD7ECB"/>
    <w:rsid w:val="00CE33D4"/>
    <w:rsid w:val="00CF0BB2"/>
    <w:rsid w:val="00CF35F0"/>
    <w:rsid w:val="00D13441"/>
    <w:rsid w:val="00D17B17"/>
    <w:rsid w:val="00D22F83"/>
    <w:rsid w:val="00D243A3"/>
    <w:rsid w:val="00D33440"/>
    <w:rsid w:val="00D35BA0"/>
    <w:rsid w:val="00D40403"/>
    <w:rsid w:val="00D50E20"/>
    <w:rsid w:val="00D52EFE"/>
    <w:rsid w:val="00D63EF6"/>
    <w:rsid w:val="00D70DFB"/>
    <w:rsid w:val="00D766DF"/>
    <w:rsid w:val="00D76892"/>
    <w:rsid w:val="00D83155"/>
    <w:rsid w:val="00D84B58"/>
    <w:rsid w:val="00D925D1"/>
    <w:rsid w:val="00DA5EB4"/>
    <w:rsid w:val="00DA619F"/>
    <w:rsid w:val="00DD07CA"/>
    <w:rsid w:val="00E05704"/>
    <w:rsid w:val="00E05C46"/>
    <w:rsid w:val="00E30206"/>
    <w:rsid w:val="00E33C1C"/>
    <w:rsid w:val="00E443FC"/>
    <w:rsid w:val="00E54292"/>
    <w:rsid w:val="00E74DC7"/>
    <w:rsid w:val="00E84B32"/>
    <w:rsid w:val="00E854D3"/>
    <w:rsid w:val="00E87699"/>
    <w:rsid w:val="00EA35AE"/>
    <w:rsid w:val="00EA53F4"/>
    <w:rsid w:val="00EB650C"/>
    <w:rsid w:val="00EC1F69"/>
    <w:rsid w:val="00ED3A7D"/>
    <w:rsid w:val="00EE0AAF"/>
    <w:rsid w:val="00EF012D"/>
    <w:rsid w:val="00EF2E3A"/>
    <w:rsid w:val="00F029F8"/>
    <w:rsid w:val="00F047E2"/>
    <w:rsid w:val="00F07043"/>
    <w:rsid w:val="00F078DC"/>
    <w:rsid w:val="00F13E86"/>
    <w:rsid w:val="00F24C35"/>
    <w:rsid w:val="00F25F49"/>
    <w:rsid w:val="00F45BCF"/>
    <w:rsid w:val="00F56759"/>
    <w:rsid w:val="00F677A9"/>
    <w:rsid w:val="00F84CF5"/>
    <w:rsid w:val="00F865EF"/>
    <w:rsid w:val="00F9664D"/>
    <w:rsid w:val="00FA420B"/>
    <w:rsid w:val="00FD7CFE"/>
    <w:rsid w:val="00FF04E8"/>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606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F6068"/>
  </w:style>
  <w:style w:type="paragraph" w:customStyle="1" w:styleId="OPCParaBase">
    <w:name w:val="OPCParaBase"/>
    <w:qFormat/>
    <w:rsid w:val="004F6068"/>
    <w:pPr>
      <w:spacing w:line="260" w:lineRule="atLeast"/>
    </w:pPr>
    <w:rPr>
      <w:rFonts w:eastAsia="Times New Roman" w:cs="Times New Roman"/>
      <w:sz w:val="22"/>
      <w:lang w:eastAsia="en-AU"/>
    </w:rPr>
  </w:style>
  <w:style w:type="paragraph" w:customStyle="1" w:styleId="ShortT">
    <w:name w:val="ShortT"/>
    <w:basedOn w:val="OPCParaBase"/>
    <w:next w:val="Normal"/>
    <w:qFormat/>
    <w:rsid w:val="004F6068"/>
    <w:pPr>
      <w:spacing w:line="240" w:lineRule="auto"/>
    </w:pPr>
    <w:rPr>
      <w:b/>
      <w:sz w:val="40"/>
    </w:rPr>
  </w:style>
  <w:style w:type="paragraph" w:customStyle="1" w:styleId="ActHead1">
    <w:name w:val="ActHead 1"/>
    <w:aliases w:val="c"/>
    <w:basedOn w:val="OPCParaBase"/>
    <w:next w:val="Normal"/>
    <w:qFormat/>
    <w:rsid w:val="004F60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60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60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60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F60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60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60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60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60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F6068"/>
  </w:style>
  <w:style w:type="paragraph" w:customStyle="1" w:styleId="Blocks">
    <w:name w:val="Blocks"/>
    <w:aliases w:val="bb"/>
    <w:basedOn w:val="OPCParaBase"/>
    <w:qFormat/>
    <w:rsid w:val="004F6068"/>
    <w:pPr>
      <w:spacing w:line="240" w:lineRule="auto"/>
    </w:pPr>
    <w:rPr>
      <w:sz w:val="24"/>
    </w:rPr>
  </w:style>
  <w:style w:type="paragraph" w:customStyle="1" w:styleId="BoxText">
    <w:name w:val="BoxText"/>
    <w:aliases w:val="bt"/>
    <w:basedOn w:val="OPCParaBase"/>
    <w:qFormat/>
    <w:rsid w:val="004F60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6068"/>
    <w:rPr>
      <w:b/>
    </w:rPr>
  </w:style>
  <w:style w:type="paragraph" w:customStyle="1" w:styleId="BoxHeadItalic">
    <w:name w:val="BoxHeadItalic"/>
    <w:aliases w:val="bhi"/>
    <w:basedOn w:val="BoxText"/>
    <w:next w:val="BoxStep"/>
    <w:qFormat/>
    <w:rsid w:val="004F6068"/>
    <w:rPr>
      <w:i/>
    </w:rPr>
  </w:style>
  <w:style w:type="paragraph" w:customStyle="1" w:styleId="BoxList">
    <w:name w:val="BoxList"/>
    <w:aliases w:val="bl"/>
    <w:basedOn w:val="BoxText"/>
    <w:qFormat/>
    <w:rsid w:val="004F6068"/>
    <w:pPr>
      <w:ind w:left="1559" w:hanging="425"/>
    </w:pPr>
  </w:style>
  <w:style w:type="paragraph" w:customStyle="1" w:styleId="BoxNote">
    <w:name w:val="BoxNote"/>
    <w:aliases w:val="bn"/>
    <w:basedOn w:val="BoxText"/>
    <w:qFormat/>
    <w:rsid w:val="004F6068"/>
    <w:pPr>
      <w:tabs>
        <w:tab w:val="left" w:pos="1985"/>
      </w:tabs>
      <w:spacing w:before="122" w:line="198" w:lineRule="exact"/>
      <w:ind w:left="2948" w:hanging="1814"/>
    </w:pPr>
    <w:rPr>
      <w:sz w:val="18"/>
    </w:rPr>
  </w:style>
  <w:style w:type="paragraph" w:customStyle="1" w:styleId="BoxPara">
    <w:name w:val="BoxPara"/>
    <w:aliases w:val="bp"/>
    <w:basedOn w:val="BoxText"/>
    <w:qFormat/>
    <w:rsid w:val="004F6068"/>
    <w:pPr>
      <w:tabs>
        <w:tab w:val="right" w:pos="2268"/>
      </w:tabs>
      <w:ind w:left="2552" w:hanging="1418"/>
    </w:pPr>
  </w:style>
  <w:style w:type="paragraph" w:customStyle="1" w:styleId="BoxStep">
    <w:name w:val="BoxStep"/>
    <w:aliases w:val="bs"/>
    <w:basedOn w:val="BoxText"/>
    <w:qFormat/>
    <w:rsid w:val="004F6068"/>
    <w:pPr>
      <w:ind w:left="1985" w:hanging="851"/>
    </w:pPr>
  </w:style>
  <w:style w:type="character" w:customStyle="1" w:styleId="CharAmPartNo">
    <w:name w:val="CharAmPartNo"/>
    <w:basedOn w:val="OPCCharBase"/>
    <w:qFormat/>
    <w:rsid w:val="004F6068"/>
  </w:style>
  <w:style w:type="character" w:customStyle="1" w:styleId="CharAmPartText">
    <w:name w:val="CharAmPartText"/>
    <w:basedOn w:val="OPCCharBase"/>
    <w:qFormat/>
    <w:rsid w:val="004F6068"/>
  </w:style>
  <w:style w:type="character" w:customStyle="1" w:styleId="CharAmSchNo">
    <w:name w:val="CharAmSchNo"/>
    <w:basedOn w:val="OPCCharBase"/>
    <w:qFormat/>
    <w:rsid w:val="004F6068"/>
  </w:style>
  <w:style w:type="character" w:customStyle="1" w:styleId="CharAmSchText">
    <w:name w:val="CharAmSchText"/>
    <w:basedOn w:val="OPCCharBase"/>
    <w:qFormat/>
    <w:rsid w:val="004F6068"/>
  </w:style>
  <w:style w:type="character" w:customStyle="1" w:styleId="CharBoldItalic">
    <w:name w:val="CharBoldItalic"/>
    <w:basedOn w:val="OPCCharBase"/>
    <w:uiPriority w:val="1"/>
    <w:qFormat/>
    <w:rsid w:val="004F6068"/>
    <w:rPr>
      <w:b/>
      <w:i/>
    </w:rPr>
  </w:style>
  <w:style w:type="character" w:customStyle="1" w:styleId="CharChapNo">
    <w:name w:val="CharChapNo"/>
    <w:basedOn w:val="OPCCharBase"/>
    <w:uiPriority w:val="1"/>
    <w:qFormat/>
    <w:rsid w:val="004F6068"/>
  </w:style>
  <w:style w:type="character" w:customStyle="1" w:styleId="CharChapText">
    <w:name w:val="CharChapText"/>
    <w:basedOn w:val="OPCCharBase"/>
    <w:uiPriority w:val="1"/>
    <w:qFormat/>
    <w:rsid w:val="004F6068"/>
  </w:style>
  <w:style w:type="character" w:customStyle="1" w:styleId="CharDivNo">
    <w:name w:val="CharDivNo"/>
    <w:basedOn w:val="OPCCharBase"/>
    <w:uiPriority w:val="1"/>
    <w:qFormat/>
    <w:rsid w:val="004F6068"/>
  </w:style>
  <w:style w:type="character" w:customStyle="1" w:styleId="CharDivText">
    <w:name w:val="CharDivText"/>
    <w:basedOn w:val="OPCCharBase"/>
    <w:uiPriority w:val="1"/>
    <w:qFormat/>
    <w:rsid w:val="004F6068"/>
  </w:style>
  <w:style w:type="character" w:customStyle="1" w:styleId="CharItalic">
    <w:name w:val="CharItalic"/>
    <w:basedOn w:val="OPCCharBase"/>
    <w:uiPriority w:val="1"/>
    <w:qFormat/>
    <w:rsid w:val="004F6068"/>
    <w:rPr>
      <w:i/>
    </w:rPr>
  </w:style>
  <w:style w:type="character" w:customStyle="1" w:styleId="CharPartNo">
    <w:name w:val="CharPartNo"/>
    <w:basedOn w:val="OPCCharBase"/>
    <w:uiPriority w:val="1"/>
    <w:qFormat/>
    <w:rsid w:val="004F6068"/>
  </w:style>
  <w:style w:type="character" w:customStyle="1" w:styleId="CharPartText">
    <w:name w:val="CharPartText"/>
    <w:basedOn w:val="OPCCharBase"/>
    <w:uiPriority w:val="1"/>
    <w:qFormat/>
    <w:rsid w:val="004F6068"/>
  </w:style>
  <w:style w:type="character" w:customStyle="1" w:styleId="CharSectno">
    <w:name w:val="CharSectno"/>
    <w:basedOn w:val="OPCCharBase"/>
    <w:qFormat/>
    <w:rsid w:val="004F6068"/>
  </w:style>
  <w:style w:type="character" w:customStyle="1" w:styleId="CharSubdNo">
    <w:name w:val="CharSubdNo"/>
    <w:basedOn w:val="OPCCharBase"/>
    <w:uiPriority w:val="1"/>
    <w:qFormat/>
    <w:rsid w:val="004F6068"/>
  </w:style>
  <w:style w:type="character" w:customStyle="1" w:styleId="CharSubdText">
    <w:name w:val="CharSubdText"/>
    <w:basedOn w:val="OPCCharBase"/>
    <w:uiPriority w:val="1"/>
    <w:qFormat/>
    <w:rsid w:val="004F6068"/>
  </w:style>
  <w:style w:type="paragraph" w:customStyle="1" w:styleId="CTA--">
    <w:name w:val="CTA --"/>
    <w:basedOn w:val="OPCParaBase"/>
    <w:next w:val="Normal"/>
    <w:rsid w:val="004F6068"/>
    <w:pPr>
      <w:spacing w:before="60" w:line="240" w:lineRule="atLeast"/>
      <w:ind w:left="142" w:hanging="142"/>
    </w:pPr>
    <w:rPr>
      <w:sz w:val="20"/>
    </w:rPr>
  </w:style>
  <w:style w:type="paragraph" w:customStyle="1" w:styleId="CTA-">
    <w:name w:val="CTA -"/>
    <w:basedOn w:val="OPCParaBase"/>
    <w:rsid w:val="004F6068"/>
    <w:pPr>
      <w:spacing w:before="60" w:line="240" w:lineRule="atLeast"/>
      <w:ind w:left="85" w:hanging="85"/>
    </w:pPr>
    <w:rPr>
      <w:sz w:val="20"/>
    </w:rPr>
  </w:style>
  <w:style w:type="paragraph" w:customStyle="1" w:styleId="CTA---">
    <w:name w:val="CTA ---"/>
    <w:basedOn w:val="OPCParaBase"/>
    <w:next w:val="Normal"/>
    <w:rsid w:val="004F6068"/>
    <w:pPr>
      <w:spacing w:before="60" w:line="240" w:lineRule="atLeast"/>
      <w:ind w:left="198" w:hanging="198"/>
    </w:pPr>
    <w:rPr>
      <w:sz w:val="20"/>
    </w:rPr>
  </w:style>
  <w:style w:type="paragraph" w:customStyle="1" w:styleId="CTA----">
    <w:name w:val="CTA ----"/>
    <w:basedOn w:val="OPCParaBase"/>
    <w:next w:val="Normal"/>
    <w:rsid w:val="004F6068"/>
    <w:pPr>
      <w:spacing w:before="60" w:line="240" w:lineRule="atLeast"/>
      <w:ind w:left="255" w:hanging="255"/>
    </w:pPr>
    <w:rPr>
      <w:sz w:val="20"/>
    </w:rPr>
  </w:style>
  <w:style w:type="paragraph" w:customStyle="1" w:styleId="CTA1a">
    <w:name w:val="CTA 1(a)"/>
    <w:basedOn w:val="OPCParaBase"/>
    <w:rsid w:val="004F6068"/>
    <w:pPr>
      <w:tabs>
        <w:tab w:val="right" w:pos="414"/>
      </w:tabs>
      <w:spacing w:before="40" w:line="240" w:lineRule="atLeast"/>
      <w:ind w:left="675" w:hanging="675"/>
    </w:pPr>
    <w:rPr>
      <w:sz w:val="20"/>
    </w:rPr>
  </w:style>
  <w:style w:type="paragraph" w:customStyle="1" w:styleId="CTA1ai">
    <w:name w:val="CTA 1(a)(i)"/>
    <w:basedOn w:val="OPCParaBase"/>
    <w:rsid w:val="004F6068"/>
    <w:pPr>
      <w:tabs>
        <w:tab w:val="right" w:pos="1004"/>
      </w:tabs>
      <w:spacing w:before="40" w:line="240" w:lineRule="atLeast"/>
      <w:ind w:left="1253" w:hanging="1253"/>
    </w:pPr>
    <w:rPr>
      <w:sz w:val="20"/>
    </w:rPr>
  </w:style>
  <w:style w:type="paragraph" w:customStyle="1" w:styleId="CTA2a">
    <w:name w:val="CTA 2(a)"/>
    <w:basedOn w:val="OPCParaBase"/>
    <w:rsid w:val="004F6068"/>
    <w:pPr>
      <w:tabs>
        <w:tab w:val="right" w:pos="482"/>
      </w:tabs>
      <w:spacing w:before="40" w:line="240" w:lineRule="atLeast"/>
      <w:ind w:left="748" w:hanging="748"/>
    </w:pPr>
    <w:rPr>
      <w:sz w:val="20"/>
    </w:rPr>
  </w:style>
  <w:style w:type="paragraph" w:customStyle="1" w:styleId="CTA2ai">
    <w:name w:val="CTA 2(a)(i)"/>
    <w:basedOn w:val="OPCParaBase"/>
    <w:rsid w:val="004F6068"/>
    <w:pPr>
      <w:tabs>
        <w:tab w:val="right" w:pos="1089"/>
      </w:tabs>
      <w:spacing w:before="40" w:line="240" w:lineRule="atLeast"/>
      <w:ind w:left="1327" w:hanging="1327"/>
    </w:pPr>
    <w:rPr>
      <w:sz w:val="20"/>
    </w:rPr>
  </w:style>
  <w:style w:type="paragraph" w:customStyle="1" w:styleId="CTA3a">
    <w:name w:val="CTA 3(a)"/>
    <w:basedOn w:val="OPCParaBase"/>
    <w:rsid w:val="004F6068"/>
    <w:pPr>
      <w:tabs>
        <w:tab w:val="right" w:pos="556"/>
      </w:tabs>
      <w:spacing w:before="40" w:line="240" w:lineRule="atLeast"/>
      <w:ind w:left="805" w:hanging="805"/>
    </w:pPr>
    <w:rPr>
      <w:sz w:val="20"/>
    </w:rPr>
  </w:style>
  <w:style w:type="paragraph" w:customStyle="1" w:styleId="CTA3ai">
    <w:name w:val="CTA 3(a)(i)"/>
    <w:basedOn w:val="OPCParaBase"/>
    <w:rsid w:val="004F6068"/>
    <w:pPr>
      <w:tabs>
        <w:tab w:val="right" w:pos="1140"/>
      </w:tabs>
      <w:spacing w:before="40" w:line="240" w:lineRule="atLeast"/>
      <w:ind w:left="1361" w:hanging="1361"/>
    </w:pPr>
    <w:rPr>
      <w:sz w:val="20"/>
    </w:rPr>
  </w:style>
  <w:style w:type="paragraph" w:customStyle="1" w:styleId="CTA4a">
    <w:name w:val="CTA 4(a)"/>
    <w:basedOn w:val="OPCParaBase"/>
    <w:rsid w:val="004F6068"/>
    <w:pPr>
      <w:tabs>
        <w:tab w:val="right" w:pos="624"/>
      </w:tabs>
      <w:spacing w:before="40" w:line="240" w:lineRule="atLeast"/>
      <w:ind w:left="873" w:hanging="873"/>
    </w:pPr>
    <w:rPr>
      <w:sz w:val="20"/>
    </w:rPr>
  </w:style>
  <w:style w:type="paragraph" w:customStyle="1" w:styleId="CTA4ai">
    <w:name w:val="CTA 4(a)(i)"/>
    <w:basedOn w:val="OPCParaBase"/>
    <w:rsid w:val="004F6068"/>
    <w:pPr>
      <w:tabs>
        <w:tab w:val="right" w:pos="1213"/>
      </w:tabs>
      <w:spacing w:before="40" w:line="240" w:lineRule="atLeast"/>
      <w:ind w:left="1452" w:hanging="1452"/>
    </w:pPr>
    <w:rPr>
      <w:sz w:val="20"/>
    </w:rPr>
  </w:style>
  <w:style w:type="paragraph" w:customStyle="1" w:styleId="CTACAPS">
    <w:name w:val="CTA CAPS"/>
    <w:basedOn w:val="OPCParaBase"/>
    <w:rsid w:val="004F6068"/>
    <w:pPr>
      <w:spacing w:before="60" w:line="240" w:lineRule="atLeast"/>
    </w:pPr>
    <w:rPr>
      <w:sz w:val="20"/>
    </w:rPr>
  </w:style>
  <w:style w:type="paragraph" w:customStyle="1" w:styleId="CTAright">
    <w:name w:val="CTA right"/>
    <w:basedOn w:val="OPCParaBase"/>
    <w:rsid w:val="004F6068"/>
    <w:pPr>
      <w:spacing w:before="60" w:line="240" w:lineRule="auto"/>
      <w:jc w:val="right"/>
    </w:pPr>
    <w:rPr>
      <w:sz w:val="20"/>
    </w:rPr>
  </w:style>
  <w:style w:type="paragraph" w:customStyle="1" w:styleId="subsection">
    <w:name w:val="subsection"/>
    <w:aliases w:val="ss"/>
    <w:basedOn w:val="OPCParaBase"/>
    <w:link w:val="subsectionChar"/>
    <w:rsid w:val="004F6068"/>
    <w:pPr>
      <w:tabs>
        <w:tab w:val="right" w:pos="1021"/>
      </w:tabs>
      <w:spacing w:before="180" w:line="240" w:lineRule="auto"/>
      <w:ind w:left="1134" w:hanging="1134"/>
    </w:pPr>
  </w:style>
  <w:style w:type="paragraph" w:customStyle="1" w:styleId="Definition">
    <w:name w:val="Definition"/>
    <w:aliases w:val="dd"/>
    <w:basedOn w:val="OPCParaBase"/>
    <w:rsid w:val="004F6068"/>
    <w:pPr>
      <w:spacing w:before="180" w:line="240" w:lineRule="auto"/>
      <w:ind w:left="1134"/>
    </w:pPr>
  </w:style>
  <w:style w:type="paragraph" w:customStyle="1" w:styleId="ETAsubitem">
    <w:name w:val="ETA(subitem)"/>
    <w:basedOn w:val="OPCParaBase"/>
    <w:rsid w:val="004F6068"/>
    <w:pPr>
      <w:tabs>
        <w:tab w:val="right" w:pos="340"/>
      </w:tabs>
      <w:spacing w:before="60" w:line="240" w:lineRule="auto"/>
      <w:ind w:left="454" w:hanging="454"/>
    </w:pPr>
    <w:rPr>
      <w:sz w:val="20"/>
    </w:rPr>
  </w:style>
  <w:style w:type="paragraph" w:customStyle="1" w:styleId="ETApara">
    <w:name w:val="ETA(para)"/>
    <w:basedOn w:val="OPCParaBase"/>
    <w:rsid w:val="004F6068"/>
    <w:pPr>
      <w:tabs>
        <w:tab w:val="right" w:pos="754"/>
      </w:tabs>
      <w:spacing w:before="60" w:line="240" w:lineRule="auto"/>
      <w:ind w:left="828" w:hanging="828"/>
    </w:pPr>
    <w:rPr>
      <w:sz w:val="20"/>
    </w:rPr>
  </w:style>
  <w:style w:type="paragraph" w:customStyle="1" w:styleId="ETAsubpara">
    <w:name w:val="ETA(subpara)"/>
    <w:basedOn w:val="OPCParaBase"/>
    <w:rsid w:val="004F6068"/>
    <w:pPr>
      <w:tabs>
        <w:tab w:val="right" w:pos="1083"/>
      </w:tabs>
      <w:spacing w:before="60" w:line="240" w:lineRule="auto"/>
      <w:ind w:left="1191" w:hanging="1191"/>
    </w:pPr>
    <w:rPr>
      <w:sz w:val="20"/>
    </w:rPr>
  </w:style>
  <w:style w:type="paragraph" w:customStyle="1" w:styleId="ETAsub-subpara">
    <w:name w:val="ETA(sub-subpara)"/>
    <w:basedOn w:val="OPCParaBase"/>
    <w:rsid w:val="004F6068"/>
    <w:pPr>
      <w:tabs>
        <w:tab w:val="right" w:pos="1412"/>
      </w:tabs>
      <w:spacing w:before="60" w:line="240" w:lineRule="auto"/>
      <w:ind w:left="1525" w:hanging="1525"/>
    </w:pPr>
    <w:rPr>
      <w:sz w:val="20"/>
    </w:rPr>
  </w:style>
  <w:style w:type="paragraph" w:customStyle="1" w:styleId="Formula">
    <w:name w:val="Formula"/>
    <w:basedOn w:val="OPCParaBase"/>
    <w:rsid w:val="004F6068"/>
    <w:pPr>
      <w:spacing w:line="240" w:lineRule="auto"/>
      <w:ind w:left="1134"/>
    </w:pPr>
    <w:rPr>
      <w:sz w:val="20"/>
    </w:rPr>
  </w:style>
  <w:style w:type="paragraph" w:styleId="Header">
    <w:name w:val="header"/>
    <w:basedOn w:val="OPCParaBase"/>
    <w:link w:val="HeaderChar"/>
    <w:unhideWhenUsed/>
    <w:rsid w:val="004F60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F6068"/>
    <w:rPr>
      <w:rFonts w:eastAsia="Times New Roman" w:cs="Times New Roman"/>
      <w:sz w:val="16"/>
      <w:lang w:eastAsia="en-AU"/>
    </w:rPr>
  </w:style>
  <w:style w:type="paragraph" w:customStyle="1" w:styleId="House">
    <w:name w:val="House"/>
    <w:basedOn w:val="OPCParaBase"/>
    <w:rsid w:val="004F6068"/>
    <w:pPr>
      <w:spacing w:line="240" w:lineRule="auto"/>
    </w:pPr>
    <w:rPr>
      <w:sz w:val="28"/>
    </w:rPr>
  </w:style>
  <w:style w:type="paragraph" w:customStyle="1" w:styleId="Item">
    <w:name w:val="Item"/>
    <w:aliases w:val="i"/>
    <w:basedOn w:val="OPCParaBase"/>
    <w:next w:val="ItemHead"/>
    <w:rsid w:val="004F6068"/>
    <w:pPr>
      <w:keepLines/>
      <w:spacing w:before="80" w:line="240" w:lineRule="auto"/>
      <w:ind w:left="709"/>
    </w:pPr>
  </w:style>
  <w:style w:type="paragraph" w:customStyle="1" w:styleId="ItemHead">
    <w:name w:val="ItemHead"/>
    <w:aliases w:val="ih"/>
    <w:basedOn w:val="OPCParaBase"/>
    <w:next w:val="Item"/>
    <w:rsid w:val="004F60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F6068"/>
    <w:pPr>
      <w:spacing w:line="240" w:lineRule="auto"/>
    </w:pPr>
    <w:rPr>
      <w:b/>
      <w:sz w:val="32"/>
    </w:rPr>
  </w:style>
  <w:style w:type="paragraph" w:customStyle="1" w:styleId="notedraft">
    <w:name w:val="note(draft)"/>
    <w:aliases w:val="nd"/>
    <w:basedOn w:val="OPCParaBase"/>
    <w:rsid w:val="004F6068"/>
    <w:pPr>
      <w:spacing w:before="240" w:line="240" w:lineRule="auto"/>
      <w:ind w:left="284" w:hanging="284"/>
    </w:pPr>
    <w:rPr>
      <w:i/>
      <w:sz w:val="24"/>
    </w:rPr>
  </w:style>
  <w:style w:type="paragraph" w:customStyle="1" w:styleId="notemargin">
    <w:name w:val="note(margin)"/>
    <w:aliases w:val="nm"/>
    <w:basedOn w:val="OPCParaBase"/>
    <w:rsid w:val="004F6068"/>
    <w:pPr>
      <w:tabs>
        <w:tab w:val="left" w:pos="709"/>
      </w:tabs>
      <w:spacing w:before="122" w:line="198" w:lineRule="exact"/>
      <w:ind w:left="709" w:hanging="709"/>
    </w:pPr>
    <w:rPr>
      <w:sz w:val="18"/>
    </w:rPr>
  </w:style>
  <w:style w:type="paragraph" w:customStyle="1" w:styleId="noteToPara">
    <w:name w:val="noteToPara"/>
    <w:aliases w:val="ntp"/>
    <w:basedOn w:val="OPCParaBase"/>
    <w:rsid w:val="004F6068"/>
    <w:pPr>
      <w:spacing w:before="122" w:line="198" w:lineRule="exact"/>
      <w:ind w:left="2353" w:hanging="709"/>
    </w:pPr>
    <w:rPr>
      <w:sz w:val="18"/>
    </w:rPr>
  </w:style>
  <w:style w:type="paragraph" w:customStyle="1" w:styleId="noteParlAmend">
    <w:name w:val="note(ParlAmend)"/>
    <w:aliases w:val="npp"/>
    <w:basedOn w:val="OPCParaBase"/>
    <w:next w:val="ParlAmend"/>
    <w:rsid w:val="004F6068"/>
    <w:pPr>
      <w:spacing w:line="240" w:lineRule="auto"/>
      <w:jc w:val="right"/>
    </w:pPr>
    <w:rPr>
      <w:rFonts w:ascii="Arial" w:hAnsi="Arial"/>
      <w:b/>
      <w:i/>
    </w:rPr>
  </w:style>
  <w:style w:type="paragraph" w:customStyle="1" w:styleId="notetext">
    <w:name w:val="note(text)"/>
    <w:aliases w:val="n"/>
    <w:basedOn w:val="OPCParaBase"/>
    <w:rsid w:val="004F6068"/>
    <w:pPr>
      <w:spacing w:before="122" w:line="198" w:lineRule="exact"/>
      <w:ind w:left="1985" w:hanging="851"/>
    </w:pPr>
    <w:rPr>
      <w:sz w:val="18"/>
    </w:rPr>
  </w:style>
  <w:style w:type="paragraph" w:customStyle="1" w:styleId="Page1">
    <w:name w:val="Page1"/>
    <w:basedOn w:val="OPCParaBase"/>
    <w:rsid w:val="004F6068"/>
    <w:pPr>
      <w:spacing w:before="5600" w:line="240" w:lineRule="auto"/>
    </w:pPr>
    <w:rPr>
      <w:b/>
      <w:sz w:val="32"/>
    </w:rPr>
  </w:style>
  <w:style w:type="paragraph" w:customStyle="1" w:styleId="PageBreak">
    <w:name w:val="PageBreak"/>
    <w:aliases w:val="pb"/>
    <w:basedOn w:val="OPCParaBase"/>
    <w:rsid w:val="004F6068"/>
    <w:pPr>
      <w:spacing w:line="240" w:lineRule="auto"/>
    </w:pPr>
    <w:rPr>
      <w:sz w:val="20"/>
    </w:rPr>
  </w:style>
  <w:style w:type="paragraph" w:customStyle="1" w:styleId="paragraphsub">
    <w:name w:val="paragraph(sub)"/>
    <w:aliases w:val="aa"/>
    <w:basedOn w:val="OPCParaBase"/>
    <w:rsid w:val="004F6068"/>
    <w:pPr>
      <w:tabs>
        <w:tab w:val="right" w:pos="1985"/>
      </w:tabs>
      <w:spacing w:before="40" w:line="240" w:lineRule="auto"/>
      <w:ind w:left="2098" w:hanging="2098"/>
    </w:pPr>
  </w:style>
  <w:style w:type="paragraph" w:customStyle="1" w:styleId="paragraphsub-sub">
    <w:name w:val="paragraph(sub-sub)"/>
    <w:aliases w:val="aaa"/>
    <w:basedOn w:val="OPCParaBase"/>
    <w:rsid w:val="004F6068"/>
    <w:pPr>
      <w:tabs>
        <w:tab w:val="right" w:pos="2722"/>
      </w:tabs>
      <w:spacing w:before="40" w:line="240" w:lineRule="auto"/>
      <w:ind w:left="2835" w:hanging="2835"/>
    </w:pPr>
  </w:style>
  <w:style w:type="paragraph" w:customStyle="1" w:styleId="paragraph">
    <w:name w:val="paragraph"/>
    <w:aliases w:val="a"/>
    <w:basedOn w:val="OPCParaBase"/>
    <w:link w:val="paragraphChar"/>
    <w:rsid w:val="004F6068"/>
    <w:pPr>
      <w:tabs>
        <w:tab w:val="right" w:pos="1531"/>
      </w:tabs>
      <w:spacing w:before="40" w:line="240" w:lineRule="auto"/>
      <w:ind w:left="1644" w:hanging="1644"/>
    </w:pPr>
  </w:style>
  <w:style w:type="paragraph" w:customStyle="1" w:styleId="ParlAmend">
    <w:name w:val="ParlAmend"/>
    <w:aliases w:val="pp"/>
    <w:basedOn w:val="OPCParaBase"/>
    <w:rsid w:val="004F6068"/>
    <w:pPr>
      <w:spacing w:before="240" w:line="240" w:lineRule="atLeast"/>
      <w:ind w:hanging="567"/>
    </w:pPr>
    <w:rPr>
      <w:sz w:val="24"/>
    </w:rPr>
  </w:style>
  <w:style w:type="paragraph" w:customStyle="1" w:styleId="Penalty">
    <w:name w:val="Penalty"/>
    <w:basedOn w:val="OPCParaBase"/>
    <w:rsid w:val="004F6068"/>
    <w:pPr>
      <w:tabs>
        <w:tab w:val="left" w:pos="2977"/>
      </w:tabs>
      <w:spacing w:before="180" w:line="240" w:lineRule="auto"/>
      <w:ind w:left="1985" w:hanging="851"/>
    </w:pPr>
  </w:style>
  <w:style w:type="paragraph" w:customStyle="1" w:styleId="Portfolio">
    <w:name w:val="Portfolio"/>
    <w:basedOn w:val="OPCParaBase"/>
    <w:rsid w:val="004F6068"/>
    <w:pPr>
      <w:spacing w:line="240" w:lineRule="auto"/>
    </w:pPr>
    <w:rPr>
      <w:i/>
      <w:sz w:val="20"/>
    </w:rPr>
  </w:style>
  <w:style w:type="paragraph" w:customStyle="1" w:styleId="Preamble">
    <w:name w:val="Preamble"/>
    <w:basedOn w:val="OPCParaBase"/>
    <w:next w:val="Normal"/>
    <w:rsid w:val="004F60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6068"/>
    <w:pPr>
      <w:spacing w:line="240" w:lineRule="auto"/>
    </w:pPr>
    <w:rPr>
      <w:i/>
      <w:sz w:val="20"/>
    </w:rPr>
  </w:style>
  <w:style w:type="paragraph" w:customStyle="1" w:styleId="Session">
    <w:name w:val="Session"/>
    <w:basedOn w:val="OPCParaBase"/>
    <w:rsid w:val="004F6068"/>
    <w:pPr>
      <w:spacing w:line="240" w:lineRule="auto"/>
    </w:pPr>
    <w:rPr>
      <w:sz w:val="28"/>
    </w:rPr>
  </w:style>
  <w:style w:type="paragraph" w:customStyle="1" w:styleId="Sponsor">
    <w:name w:val="Sponsor"/>
    <w:basedOn w:val="OPCParaBase"/>
    <w:rsid w:val="004F6068"/>
    <w:pPr>
      <w:spacing w:line="240" w:lineRule="auto"/>
    </w:pPr>
    <w:rPr>
      <w:i/>
    </w:rPr>
  </w:style>
  <w:style w:type="paragraph" w:customStyle="1" w:styleId="Subitem">
    <w:name w:val="Subitem"/>
    <w:aliases w:val="iss"/>
    <w:basedOn w:val="OPCParaBase"/>
    <w:rsid w:val="004F6068"/>
    <w:pPr>
      <w:spacing w:before="180" w:line="240" w:lineRule="auto"/>
      <w:ind w:left="709" w:hanging="709"/>
    </w:pPr>
  </w:style>
  <w:style w:type="paragraph" w:customStyle="1" w:styleId="SubitemHead">
    <w:name w:val="SubitemHead"/>
    <w:aliases w:val="issh"/>
    <w:basedOn w:val="OPCParaBase"/>
    <w:rsid w:val="004F60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6068"/>
    <w:pPr>
      <w:spacing w:before="40" w:line="240" w:lineRule="auto"/>
      <w:ind w:left="1134"/>
    </w:pPr>
  </w:style>
  <w:style w:type="paragraph" w:customStyle="1" w:styleId="SubsectionHead">
    <w:name w:val="SubsectionHead"/>
    <w:aliases w:val="ssh"/>
    <w:basedOn w:val="OPCParaBase"/>
    <w:next w:val="subsection"/>
    <w:rsid w:val="004F6068"/>
    <w:pPr>
      <w:keepNext/>
      <w:keepLines/>
      <w:spacing w:before="240" w:line="240" w:lineRule="auto"/>
      <w:ind w:left="1134"/>
    </w:pPr>
    <w:rPr>
      <w:i/>
    </w:rPr>
  </w:style>
  <w:style w:type="paragraph" w:customStyle="1" w:styleId="Tablea">
    <w:name w:val="Table(a)"/>
    <w:aliases w:val="ta"/>
    <w:basedOn w:val="OPCParaBase"/>
    <w:rsid w:val="004F6068"/>
    <w:pPr>
      <w:spacing w:before="60" w:line="240" w:lineRule="auto"/>
      <w:ind w:left="284" w:hanging="284"/>
    </w:pPr>
    <w:rPr>
      <w:sz w:val="20"/>
    </w:rPr>
  </w:style>
  <w:style w:type="paragraph" w:customStyle="1" w:styleId="TableAA">
    <w:name w:val="Table(AA)"/>
    <w:aliases w:val="taaa"/>
    <w:basedOn w:val="OPCParaBase"/>
    <w:rsid w:val="004F60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F60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F6068"/>
    <w:pPr>
      <w:spacing w:before="60" w:line="240" w:lineRule="atLeast"/>
    </w:pPr>
    <w:rPr>
      <w:sz w:val="20"/>
    </w:rPr>
  </w:style>
  <w:style w:type="paragraph" w:customStyle="1" w:styleId="TLPBoxTextnote">
    <w:name w:val="TLPBoxText(note"/>
    <w:aliases w:val="right)"/>
    <w:basedOn w:val="OPCParaBase"/>
    <w:rsid w:val="004F60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60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6068"/>
    <w:pPr>
      <w:spacing w:before="122" w:line="198" w:lineRule="exact"/>
      <w:ind w:left="1985" w:hanging="851"/>
      <w:jc w:val="right"/>
    </w:pPr>
    <w:rPr>
      <w:sz w:val="18"/>
    </w:rPr>
  </w:style>
  <w:style w:type="paragraph" w:customStyle="1" w:styleId="TLPTableBullet">
    <w:name w:val="TLPTableBullet"/>
    <w:aliases w:val="ttb"/>
    <w:basedOn w:val="OPCParaBase"/>
    <w:rsid w:val="004F6068"/>
    <w:pPr>
      <w:spacing w:line="240" w:lineRule="exact"/>
      <w:ind w:left="284" w:hanging="284"/>
    </w:pPr>
    <w:rPr>
      <w:sz w:val="20"/>
    </w:rPr>
  </w:style>
  <w:style w:type="paragraph" w:styleId="TOC1">
    <w:name w:val="toc 1"/>
    <w:basedOn w:val="OPCParaBase"/>
    <w:next w:val="Normal"/>
    <w:uiPriority w:val="39"/>
    <w:semiHidden/>
    <w:unhideWhenUsed/>
    <w:rsid w:val="004F606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606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F606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F606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60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F60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F60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F60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F60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6068"/>
    <w:pPr>
      <w:keepLines/>
      <w:spacing w:before="240" w:after="120" w:line="240" w:lineRule="auto"/>
      <w:ind w:left="794"/>
    </w:pPr>
    <w:rPr>
      <w:b/>
      <w:kern w:val="28"/>
      <w:sz w:val="20"/>
    </w:rPr>
  </w:style>
  <w:style w:type="paragraph" w:customStyle="1" w:styleId="TofSectsHeading">
    <w:name w:val="TofSects(Heading)"/>
    <w:basedOn w:val="OPCParaBase"/>
    <w:rsid w:val="004F6068"/>
    <w:pPr>
      <w:spacing w:before="240" w:after="120" w:line="240" w:lineRule="auto"/>
    </w:pPr>
    <w:rPr>
      <w:b/>
      <w:sz w:val="24"/>
    </w:rPr>
  </w:style>
  <w:style w:type="paragraph" w:customStyle="1" w:styleId="TofSectsSection">
    <w:name w:val="TofSects(Section)"/>
    <w:basedOn w:val="OPCParaBase"/>
    <w:rsid w:val="004F6068"/>
    <w:pPr>
      <w:keepLines/>
      <w:spacing w:before="40" w:line="240" w:lineRule="auto"/>
      <w:ind w:left="1588" w:hanging="794"/>
    </w:pPr>
    <w:rPr>
      <w:kern w:val="28"/>
      <w:sz w:val="18"/>
    </w:rPr>
  </w:style>
  <w:style w:type="paragraph" w:customStyle="1" w:styleId="TofSectsSubdiv">
    <w:name w:val="TofSects(Subdiv)"/>
    <w:basedOn w:val="OPCParaBase"/>
    <w:rsid w:val="004F6068"/>
    <w:pPr>
      <w:keepLines/>
      <w:spacing w:before="80" w:line="240" w:lineRule="auto"/>
      <w:ind w:left="1588" w:hanging="794"/>
    </w:pPr>
    <w:rPr>
      <w:kern w:val="28"/>
    </w:rPr>
  </w:style>
  <w:style w:type="paragraph" w:customStyle="1" w:styleId="WRStyle">
    <w:name w:val="WR Style"/>
    <w:aliases w:val="WR"/>
    <w:basedOn w:val="OPCParaBase"/>
    <w:rsid w:val="004F6068"/>
    <w:pPr>
      <w:spacing w:before="240" w:line="240" w:lineRule="auto"/>
      <w:ind w:left="284" w:hanging="284"/>
    </w:pPr>
    <w:rPr>
      <w:b/>
      <w:i/>
      <w:kern w:val="28"/>
      <w:sz w:val="24"/>
    </w:rPr>
  </w:style>
  <w:style w:type="paragraph" w:customStyle="1" w:styleId="notepara">
    <w:name w:val="note(para)"/>
    <w:aliases w:val="na"/>
    <w:basedOn w:val="OPCParaBase"/>
    <w:rsid w:val="004F6068"/>
    <w:pPr>
      <w:spacing w:before="40" w:line="198" w:lineRule="exact"/>
      <w:ind w:left="2354" w:hanging="369"/>
    </w:pPr>
    <w:rPr>
      <w:sz w:val="18"/>
    </w:rPr>
  </w:style>
  <w:style w:type="paragraph" w:styleId="Footer">
    <w:name w:val="footer"/>
    <w:link w:val="FooterChar"/>
    <w:rsid w:val="004F60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F6068"/>
    <w:rPr>
      <w:rFonts w:eastAsia="Times New Roman" w:cs="Times New Roman"/>
      <w:sz w:val="22"/>
      <w:szCs w:val="24"/>
      <w:lang w:eastAsia="en-AU"/>
    </w:rPr>
  </w:style>
  <w:style w:type="character" w:styleId="LineNumber">
    <w:name w:val="line number"/>
    <w:basedOn w:val="OPCCharBase"/>
    <w:uiPriority w:val="99"/>
    <w:semiHidden/>
    <w:unhideWhenUsed/>
    <w:rsid w:val="004F6068"/>
    <w:rPr>
      <w:sz w:val="16"/>
    </w:rPr>
  </w:style>
  <w:style w:type="table" w:customStyle="1" w:styleId="CFlag">
    <w:name w:val="CFlag"/>
    <w:basedOn w:val="TableNormal"/>
    <w:uiPriority w:val="99"/>
    <w:rsid w:val="004F606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60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68"/>
    <w:rPr>
      <w:rFonts w:ascii="Tahoma" w:hAnsi="Tahoma" w:cs="Tahoma"/>
      <w:sz w:val="16"/>
      <w:szCs w:val="16"/>
    </w:rPr>
  </w:style>
  <w:style w:type="character" w:styleId="Hyperlink">
    <w:name w:val="Hyperlink"/>
    <w:basedOn w:val="DefaultParagraphFont"/>
    <w:rsid w:val="004F6068"/>
    <w:rPr>
      <w:color w:val="0000FF"/>
      <w:u w:val="single"/>
    </w:rPr>
  </w:style>
  <w:style w:type="table" w:styleId="TableGrid">
    <w:name w:val="Table Grid"/>
    <w:basedOn w:val="TableNormal"/>
    <w:uiPriority w:val="59"/>
    <w:rsid w:val="004F6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F6068"/>
    <w:rPr>
      <w:b/>
      <w:sz w:val="28"/>
      <w:szCs w:val="32"/>
    </w:rPr>
  </w:style>
  <w:style w:type="paragraph" w:customStyle="1" w:styleId="TerritoryT">
    <w:name w:val="TerritoryT"/>
    <w:basedOn w:val="OPCParaBase"/>
    <w:next w:val="Normal"/>
    <w:rsid w:val="004F6068"/>
    <w:rPr>
      <w:b/>
      <w:sz w:val="32"/>
    </w:rPr>
  </w:style>
  <w:style w:type="paragraph" w:customStyle="1" w:styleId="LegislationMadeUnder">
    <w:name w:val="LegislationMadeUnder"/>
    <w:basedOn w:val="OPCParaBase"/>
    <w:next w:val="Normal"/>
    <w:rsid w:val="004F6068"/>
    <w:rPr>
      <w:i/>
      <w:sz w:val="32"/>
      <w:szCs w:val="32"/>
    </w:rPr>
  </w:style>
  <w:style w:type="paragraph" w:customStyle="1" w:styleId="SignCoverPageEnd">
    <w:name w:val="SignCoverPageEnd"/>
    <w:basedOn w:val="OPCParaBase"/>
    <w:next w:val="Normal"/>
    <w:rsid w:val="004F6068"/>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F6068"/>
    <w:pPr>
      <w:pBdr>
        <w:top w:val="single" w:sz="4" w:space="1" w:color="auto"/>
      </w:pBdr>
      <w:spacing w:before="360"/>
      <w:ind w:right="397"/>
      <w:jc w:val="both"/>
    </w:pPr>
  </w:style>
  <w:style w:type="paragraph" w:customStyle="1" w:styleId="NotesHeading1">
    <w:name w:val="NotesHeading 1"/>
    <w:basedOn w:val="OPCParaBase"/>
    <w:next w:val="Normal"/>
    <w:rsid w:val="004F6068"/>
    <w:rPr>
      <w:b/>
      <w:sz w:val="28"/>
      <w:szCs w:val="28"/>
    </w:rPr>
  </w:style>
  <w:style w:type="paragraph" w:customStyle="1" w:styleId="NotesHeading2">
    <w:name w:val="NotesHeading 2"/>
    <w:basedOn w:val="OPCParaBase"/>
    <w:next w:val="Normal"/>
    <w:rsid w:val="004F6068"/>
    <w:rPr>
      <w:b/>
      <w:sz w:val="28"/>
      <w:szCs w:val="28"/>
    </w:rPr>
  </w:style>
  <w:style w:type="paragraph" w:customStyle="1" w:styleId="ENotesText">
    <w:name w:val="ENotesText"/>
    <w:basedOn w:val="OPCParaBase"/>
    <w:next w:val="Normal"/>
    <w:rsid w:val="004F6068"/>
  </w:style>
  <w:style w:type="paragraph" w:customStyle="1" w:styleId="CompiledActNo">
    <w:name w:val="CompiledActNo"/>
    <w:basedOn w:val="OPCParaBase"/>
    <w:next w:val="Normal"/>
    <w:rsid w:val="004F6068"/>
    <w:rPr>
      <w:b/>
      <w:sz w:val="24"/>
      <w:szCs w:val="24"/>
    </w:rPr>
  </w:style>
  <w:style w:type="paragraph" w:customStyle="1" w:styleId="CompiledMadeUnder">
    <w:name w:val="CompiledMadeUnder"/>
    <w:basedOn w:val="OPCParaBase"/>
    <w:next w:val="Normal"/>
    <w:rsid w:val="004F6068"/>
    <w:rPr>
      <w:i/>
      <w:sz w:val="24"/>
      <w:szCs w:val="24"/>
    </w:rPr>
  </w:style>
  <w:style w:type="paragraph" w:customStyle="1" w:styleId="Paragraphsub-sub-sub">
    <w:name w:val="Paragraph(sub-sub-sub)"/>
    <w:aliases w:val="aaaa"/>
    <w:basedOn w:val="OPCParaBase"/>
    <w:rsid w:val="004F6068"/>
    <w:pPr>
      <w:tabs>
        <w:tab w:val="right" w:pos="3402"/>
      </w:tabs>
      <w:spacing w:before="40" w:line="240" w:lineRule="auto"/>
      <w:ind w:left="3402" w:hanging="3402"/>
    </w:pPr>
  </w:style>
  <w:style w:type="paragraph" w:customStyle="1" w:styleId="SubPartCASA">
    <w:name w:val="SubPart(CASA)"/>
    <w:aliases w:val="csp"/>
    <w:basedOn w:val="OPCParaBase"/>
    <w:next w:val="ActHead3"/>
    <w:rsid w:val="004F6068"/>
    <w:pPr>
      <w:keepNext/>
      <w:keepLines/>
      <w:spacing w:before="280"/>
      <w:outlineLvl w:val="1"/>
    </w:pPr>
    <w:rPr>
      <w:b/>
      <w:kern w:val="28"/>
      <w:sz w:val="32"/>
    </w:rPr>
  </w:style>
  <w:style w:type="paragraph" w:customStyle="1" w:styleId="TableHeading">
    <w:name w:val="TableHeading"/>
    <w:aliases w:val="th"/>
    <w:basedOn w:val="OPCParaBase"/>
    <w:next w:val="Tabletext"/>
    <w:rsid w:val="004F6068"/>
    <w:pPr>
      <w:keepNext/>
      <w:spacing w:before="60" w:line="240" w:lineRule="atLeast"/>
    </w:pPr>
    <w:rPr>
      <w:b/>
      <w:sz w:val="20"/>
    </w:rPr>
  </w:style>
  <w:style w:type="paragraph" w:customStyle="1" w:styleId="NoteToSubpara">
    <w:name w:val="NoteToSubpara"/>
    <w:aliases w:val="nts"/>
    <w:basedOn w:val="OPCParaBase"/>
    <w:rsid w:val="004F6068"/>
    <w:pPr>
      <w:spacing w:before="40" w:line="198" w:lineRule="exact"/>
      <w:ind w:left="2835" w:hanging="709"/>
    </w:pPr>
    <w:rPr>
      <w:sz w:val="18"/>
    </w:rPr>
  </w:style>
  <w:style w:type="paragraph" w:customStyle="1" w:styleId="EndNotespara">
    <w:name w:val="EndNotes(para)"/>
    <w:aliases w:val="eta"/>
    <w:basedOn w:val="OPCParaBase"/>
    <w:next w:val="Normal"/>
    <w:rsid w:val="004F60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60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F60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606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F6068"/>
    <w:pPr>
      <w:keepNext/>
      <w:spacing w:before="60" w:line="240" w:lineRule="atLeast"/>
    </w:pPr>
    <w:rPr>
      <w:rFonts w:ascii="Arial" w:hAnsi="Arial"/>
      <w:b/>
      <w:sz w:val="16"/>
    </w:rPr>
  </w:style>
  <w:style w:type="paragraph" w:customStyle="1" w:styleId="ENoteTableText">
    <w:name w:val="ENoteTableText"/>
    <w:aliases w:val="entt"/>
    <w:basedOn w:val="OPCParaBase"/>
    <w:rsid w:val="004F6068"/>
    <w:pPr>
      <w:spacing w:before="60" w:line="240" w:lineRule="atLeast"/>
    </w:pPr>
    <w:rPr>
      <w:sz w:val="16"/>
    </w:rPr>
  </w:style>
  <w:style w:type="paragraph" w:customStyle="1" w:styleId="ENoteTTi">
    <w:name w:val="ENoteTTi"/>
    <w:aliases w:val="entti"/>
    <w:basedOn w:val="OPCParaBase"/>
    <w:rsid w:val="004F6068"/>
    <w:pPr>
      <w:keepNext/>
      <w:spacing w:before="60" w:line="240" w:lineRule="atLeast"/>
      <w:ind w:left="170"/>
    </w:pPr>
    <w:rPr>
      <w:sz w:val="16"/>
    </w:rPr>
  </w:style>
  <w:style w:type="paragraph" w:customStyle="1" w:styleId="ENoteTTIndentHeading">
    <w:name w:val="ENoteTTIndentHeading"/>
    <w:aliases w:val="enTTHi"/>
    <w:basedOn w:val="OPCParaBase"/>
    <w:rsid w:val="004F606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F6068"/>
    <w:pPr>
      <w:spacing w:before="120"/>
      <w:outlineLvl w:val="1"/>
    </w:pPr>
    <w:rPr>
      <w:b/>
      <w:sz w:val="28"/>
      <w:szCs w:val="28"/>
    </w:rPr>
  </w:style>
  <w:style w:type="paragraph" w:customStyle="1" w:styleId="ENotesHeading2">
    <w:name w:val="ENotesHeading 2"/>
    <w:aliases w:val="Enh2"/>
    <w:basedOn w:val="OPCParaBase"/>
    <w:next w:val="Normal"/>
    <w:rsid w:val="004F6068"/>
    <w:pPr>
      <w:spacing w:before="120" w:after="120"/>
      <w:outlineLvl w:val="2"/>
    </w:pPr>
    <w:rPr>
      <w:b/>
      <w:sz w:val="24"/>
      <w:szCs w:val="28"/>
    </w:rPr>
  </w:style>
  <w:style w:type="paragraph" w:customStyle="1" w:styleId="ENotesHeading3">
    <w:name w:val="ENotesHeading 3"/>
    <w:aliases w:val="Enh3"/>
    <w:basedOn w:val="OPCParaBase"/>
    <w:next w:val="Normal"/>
    <w:rsid w:val="004F6068"/>
    <w:pPr>
      <w:keepNext/>
      <w:spacing w:before="120" w:line="240" w:lineRule="auto"/>
      <w:outlineLvl w:val="4"/>
    </w:pPr>
    <w:rPr>
      <w:b/>
      <w:szCs w:val="24"/>
    </w:rPr>
  </w:style>
  <w:style w:type="character" w:customStyle="1" w:styleId="paragraphChar">
    <w:name w:val="paragraph Char"/>
    <w:aliases w:val="a Char"/>
    <w:basedOn w:val="DefaultParagraphFont"/>
    <w:link w:val="paragraph"/>
    <w:rsid w:val="00601817"/>
    <w:rPr>
      <w:rFonts w:eastAsia="Times New Roman" w:cs="Times New Roman"/>
      <w:sz w:val="22"/>
      <w:lang w:eastAsia="en-AU"/>
    </w:rPr>
  </w:style>
  <w:style w:type="character" w:customStyle="1" w:styleId="subsectionChar">
    <w:name w:val="subsection Char"/>
    <w:aliases w:val="ss Char"/>
    <w:basedOn w:val="DefaultParagraphFont"/>
    <w:link w:val="subsection"/>
    <w:rsid w:val="00601817"/>
    <w:rPr>
      <w:rFonts w:eastAsia="Times New Roman" w:cs="Times New Roman"/>
      <w:sz w:val="22"/>
      <w:lang w:eastAsia="en-AU"/>
    </w:rPr>
  </w:style>
  <w:style w:type="paragraph" w:customStyle="1" w:styleId="MadeunderText">
    <w:name w:val="MadeunderText"/>
    <w:basedOn w:val="OPCParaBase"/>
    <w:next w:val="CompiledMadeUnder"/>
    <w:rsid w:val="004F6068"/>
    <w:pPr>
      <w:spacing w:befor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606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F6068"/>
  </w:style>
  <w:style w:type="paragraph" w:customStyle="1" w:styleId="OPCParaBase">
    <w:name w:val="OPCParaBase"/>
    <w:qFormat/>
    <w:rsid w:val="004F6068"/>
    <w:pPr>
      <w:spacing w:line="260" w:lineRule="atLeast"/>
    </w:pPr>
    <w:rPr>
      <w:rFonts w:eastAsia="Times New Roman" w:cs="Times New Roman"/>
      <w:sz w:val="22"/>
      <w:lang w:eastAsia="en-AU"/>
    </w:rPr>
  </w:style>
  <w:style w:type="paragraph" w:customStyle="1" w:styleId="ShortT">
    <w:name w:val="ShortT"/>
    <w:basedOn w:val="OPCParaBase"/>
    <w:next w:val="Normal"/>
    <w:qFormat/>
    <w:rsid w:val="004F6068"/>
    <w:pPr>
      <w:spacing w:line="240" w:lineRule="auto"/>
    </w:pPr>
    <w:rPr>
      <w:b/>
      <w:sz w:val="40"/>
    </w:rPr>
  </w:style>
  <w:style w:type="paragraph" w:customStyle="1" w:styleId="ActHead1">
    <w:name w:val="ActHead 1"/>
    <w:aliases w:val="c"/>
    <w:basedOn w:val="OPCParaBase"/>
    <w:next w:val="Normal"/>
    <w:qFormat/>
    <w:rsid w:val="004F60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60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60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60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F60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60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60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60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60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F6068"/>
  </w:style>
  <w:style w:type="paragraph" w:customStyle="1" w:styleId="Blocks">
    <w:name w:val="Blocks"/>
    <w:aliases w:val="bb"/>
    <w:basedOn w:val="OPCParaBase"/>
    <w:qFormat/>
    <w:rsid w:val="004F6068"/>
    <w:pPr>
      <w:spacing w:line="240" w:lineRule="auto"/>
    </w:pPr>
    <w:rPr>
      <w:sz w:val="24"/>
    </w:rPr>
  </w:style>
  <w:style w:type="paragraph" w:customStyle="1" w:styleId="BoxText">
    <w:name w:val="BoxText"/>
    <w:aliases w:val="bt"/>
    <w:basedOn w:val="OPCParaBase"/>
    <w:qFormat/>
    <w:rsid w:val="004F60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6068"/>
    <w:rPr>
      <w:b/>
    </w:rPr>
  </w:style>
  <w:style w:type="paragraph" w:customStyle="1" w:styleId="BoxHeadItalic">
    <w:name w:val="BoxHeadItalic"/>
    <w:aliases w:val="bhi"/>
    <w:basedOn w:val="BoxText"/>
    <w:next w:val="BoxStep"/>
    <w:qFormat/>
    <w:rsid w:val="004F6068"/>
    <w:rPr>
      <w:i/>
    </w:rPr>
  </w:style>
  <w:style w:type="paragraph" w:customStyle="1" w:styleId="BoxList">
    <w:name w:val="BoxList"/>
    <w:aliases w:val="bl"/>
    <w:basedOn w:val="BoxText"/>
    <w:qFormat/>
    <w:rsid w:val="004F6068"/>
    <w:pPr>
      <w:ind w:left="1559" w:hanging="425"/>
    </w:pPr>
  </w:style>
  <w:style w:type="paragraph" w:customStyle="1" w:styleId="BoxNote">
    <w:name w:val="BoxNote"/>
    <w:aliases w:val="bn"/>
    <w:basedOn w:val="BoxText"/>
    <w:qFormat/>
    <w:rsid w:val="004F6068"/>
    <w:pPr>
      <w:tabs>
        <w:tab w:val="left" w:pos="1985"/>
      </w:tabs>
      <w:spacing w:before="122" w:line="198" w:lineRule="exact"/>
      <w:ind w:left="2948" w:hanging="1814"/>
    </w:pPr>
    <w:rPr>
      <w:sz w:val="18"/>
    </w:rPr>
  </w:style>
  <w:style w:type="paragraph" w:customStyle="1" w:styleId="BoxPara">
    <w:name w:val="BoxPara"/>
    <w:aliases w:val="bp"/>
    <w:basedOn w:val="BoxText"/>
    <w:qFormat/>
    <w:rsid w:val="004F6068"/>
    <w:pPr>
      <w:tabs>
        <w:tab w:val="right" w:pos="2268"/>
      </w:tabs>
      <w:ind w:left="2552" w:hanging="1418"/>
    </w:pPr>
  </w:style>
  <w:style w:type="paragraph" w:customStyle="1" w:styleId="BoxStep">
    <w:name w:val="BoxStep"/>
    <w:aliases w:val="bs"/>
    <w:basedOn w:val="BoxText"/>
    <w:qFormat/>
    <w:rsid w:val="004F6068"/>
    <w:pPr>
      <w:ind w:left="1985" w:hanging="851"/>
    </w:pPr>
  </w:style>
  <w:style w:type="character" w:customStyle="1" w:styleId="CharAmPartNo">
    <w:name w:val="CharAmPartNo"/>
    <w:basedOn w:val="OPCCharBase"/>
    <w:qFormat/>
    <w:rsid w:val="004F6068"/>
  </w:style>
  <w:style w:type="character" w:customStyle="1" w:styleId="CharAmPartText">
    <w:name w:val="CharAmPartText"/>
    <w:basedOn w:val="OPCCharBase"/>
    <w:qFormat/>
    <w:rsid w:val="004F6068"/>
  </w:style>
  <w:style w:type="character" w:customStyle="1" w:styleId="CharAmSchNo">
    <w:name w:val="CharAmSchNo"/>
    <w:basedOn w:val="OPCCharBase"/>
    <w:qFormat/>
    <w:rsid w:val="004F6068"/>
  </w:style>
  <w:style w:type="character" w:customStyle="1" w:styleId="CharAmSchText">
    <w:name w:val="CharAmSchText"/>
    <w:basedOn w:val="OPCCharBase"/>
    <w:qFormat/>
    <w:rsid w:val="004F6068"/>
  </w:style>
  <w:style w:type="character" w:customStyle="1" w:styleId="CharBoldItalic">
    <w:name w:val="CharBoldItalic"/>
    <w:basedOn w:val="OPCCharBase"/>
    <w:uiPriority w:val="1"/>
    <w:qFormat/>
    <w:rsid w:val="004F6068"/>
    <w:rPr>
      <w:b/>
      <w:i/>
    </w:rPr>
  </w:style>
  <w:style w:type="character" w:customStyle="1" w:styleId="CharChapNo">
    <w:name w:val="CharChapNo"/>
    <w:basedOn w:val="OPCCharBase"/>
    <w:uiPriority w:val="1"/>
    <w:qFormat/>
    <w:rsid w:val="004F6068"/>
  </w:style>
  <w:style w:type="character" w:customStyle="1" w:styleId="CharChapText">
    <w:name w:val="CharChapText"/>
    <w:basedOn w:val="OPCCharBase"/>
    <w:uiPriority w:val="1"/>
    <w:qFormat/>
    <w:rsid w:val="004F6068"/>
  </w:style>
  <w:style w:type="character" w:customStyle="1" w:styleId="CharDivNo">
    <w:name w:val="CharDivNo"/>
    <w:basedOn w:val="OPCCharBase"/>
    <w:uiPriority w:val="1"/>
    <w:qFormat/>
    <w:rsid w:val="004F6068"/>
  </w:style>
  <w:style w:type="character" w:customStyle="1" w:styleId="CharDivText">
    <w:name w:val="CharDivText"/>
    <w:basedOn w:val="OPCCharBase"/>
    <w:uiPriority w:val="1"/>
    <w:qFormat/>
    <w:rsid w:val="004F6068"/>
  </w:style>
  <w:style w:type="character" w:customStyle="1" w:styleId="CharItalic">
    <w:name w:val="CharItalic"/>
    <w:basedOn w:val="OPCCharBase"/>
    <w:uiPriority w:val="1"/>
    <w:qFormat/>
    <w:rsid w:val="004F6068"/>
    <w:rPr>
      <w:i/>
    </w:rPr>
  </w:style>
  <w:style w:type="character" w:customStyle="1" w:styleId="CharPartNo">
    <w:name w:val="CharPartNo"/>
    <w:basedOn w:val="OPCCharBase"/>
    <w:uiPriority w:val="1"/>
    <w:qFormat/>
    <w:rsid w:val="004F6068"/>
  </w:style>
  <w:style w:type="character" w:customStyle="1" w:styleId="CharPartText">
    <w:name w:val="CharPartText"/>
    <w:basedOn w:val="OPCCharBase"/>
    <w:uiPriority w:val="1"/>
    <w:qFormat/>
    <w:rsid w:val="004F6068"/>
  </w:style>
  <w:style w:type="character" w:customStyle="1" w:styleId="CharSectno">
    <w:name w:val="CharSectno"/>
    <w:basedOn w:val="OPCCharBase"/>
    <w:qFormat/>
    <w:rsid w:val="004F6068"/>
  </w:style>
  <w:style w:type="character" w:customStyle="1" w:styleId="CharSubdNo">
    <w:name w:val="CharSubdNo"/>
    <w:basedOn w:val="OPCCharBase"/>
    <w:uiPriority w:val="1"/>
    <w:qFormat/>
    <w:rsid w:val="004F6068"/>
  </w:style>
  <w:style w:type="character" w:customStyle="1" w:styleId="CharSubdText">
    <w:name w:val="CharSubdText"/>
    <w:basedOn w:val="OPCCharBase"/>
    <w:uiPriority w:val="1"/>
    <w:qFormat/>
    <w:rsid w:val="004F6068"/>
  </w:style>
  <w:style w:type="paragraph" w:customStyle="1" w:styleId="CTA--">
    <w:name w:val="CTA --"/>
    <w:basedOn w:val="OPCParaBase"/>
    <w:next w:val="Normal"/>
    <w:rsid w:val="004F6068"/>
    <w:pPr>
      <w:spacing w:before="60" w:line="240" w:lineRule="atLeast"/>
      <w:ind w:left="142" w:hanging="142"/>
    </w:pPr>
    <w:rPr>
      <w:sz w:val="20"/>
    </w:rPr>
  </w:style>
  <w:style w:type="paragraph" w:customStyle="1" w:styleId="CTA-">
    <w:name w:val="CTA -"/>
    <w:basedOn w:val="OPCParaBase"/>
    <w:rsid w:val="004F6068"/>
    <w:pPr>
      <w:spacing w:before="60" w:line="240" w:lineRule="atLeast"/>
      <w:ind w:left="85" w:hanging="85"/>
    </w:pPr>
    <w:rPr>
      <w:sz w:val="20"/>
    </w:rPr>
  </w:style>
  <w:style w:type="paragraph" w:customStyle="1" w:styleId="CTA---">
    <w:name w:val="CTA ---"/>
    <w:basedOn w:val="OPCParaBase"/>
    <w:next w:val="Normal"/>
    <w:rsid w:val="004F6068"/>
    <w:pPr>
      <w:spacing w:before="60" w:line="240" w:lineRule="atLeast"/>
      <w:ind w:left="198" w:hanging="198"/>
    </w:pPr>
    <w:rPr>
      <w:sz w:val="20"/>
    </w:rPr>
  </w:style>
  <w:style w:type="paragraph" w:customStyle="1" w:styleId="CTA----">
    <w:name w:val="CTA ----"/>
    <w:basedOn w:val="OPCParaBase"/>
    <w:next w:val="Normal"/>
    <w:rsid w:val="004F6068"/>
    <w:pPr>
      <w:spacing w:before="60" w:line="240" w:lineRule="atLeast"/>
      <w:ind w:left="255" w:hanging="255"/>
    </w:pPr>
    <w:rPr>
      <w:sz w:val="20"/>
    </w:rPr>
  </w:style>
  <w:style w:type="paragraph" w:customStyle="1" w:styleId="CTA1a">
    <w:name w:val="CTA 1(a)"/>
    <w:basedOn w:val="OPCParaBase"/>
    <w:rsid w:val="004F6068"/>
    <w:pPr>
      <w:tabs>
        <w:tab w:val="right" w:pos="414"/>
      </w:tabs>
      <w:spacing w:before="40" w:line="240" w:lineRule="atLeast"/>
      <w:ind w:left="675" w:hanging="675"/>
    </w:pPr>
    <w:rPr>
      <w:sz w:val="20"/>
    </w:rPr>
  </w:style>
  <w:style w:type="paragraph" w:customStyle="1" w:styleId="CTA1ai">
    <w:name w:val="CTA 1(a)(i)"/>
    <w:basedOn w:val="OPCParaBase"/>
    <w:rsid w:val="004F6068"/>
    <w:pPr>
      <w:tabs>
        <w:tab w:val="right" w:pos="1004"/>
      </w:tabs>
      <w:spacing w:before="40" w:line="240" w:lineRule="atLeast"/>
      <w:ind w:left="1253" w:hanging="1253"/>
    </w:pPr>
    <w:rPr>
      <w:sz w:val="20"/>
    </w:rPr>
  </w:style>
  <w:style w:type="paragraph" w:customStyle="1" w:styleId="CTA2a">
    <w:name w:val="CTA 2(a)"/>
    <w:basedOn w:val="OPCParaBase"/>
    <w:rsid w:val="004F6068"/>
    <w:pPr>
      <w:tabs>
        <w:tab w:val="right" w:pos="482"/>
      </w:tabs>
      <w:spacing w:before="40" w:line="240" w:lineRule="atLeast"/>
      <w:ind w:left="748" w:hanging="748"/>
    </w:pPr>
    <w:rPr>
      <w:sz w:val="20"/>
    </w:rPr>
  </w:style>
  <w:style w:type="paragraph" w:customStyle="1" w:styleId="CTA2ai">
    <w:name w:val="CTA 2(a)(i)"/>
    <w:basedOn w:val="OPCParaBase"/>
    <w:rsid w:val="004F6068"/>
    <w:pPr>
      <w:tabs>
        <w:tab w:val="right" w:pos="1089"/>
      </w:tabs>
      <w:spacing w:before="40" w:line="240" w:lineRule="atLeast"/>
      <w:ind w:left="1327" w:hanging="1327"/>
    </w:pPr>
    <w:rPr>
      <w:sz w:val="20"/>
    </w:rPr>
  </w:style>
  <w:style w:type="paragraph" w:customStyle="1" w:styleId="CTA3a">
    <w:name w:val="CTA 3(a)"/>
    <w:basedOn w:val="OPCParaBase"/>
    <w:rsid w:val="004F6068"/>
    <w:pPr>
      <w:tabs>
        <w:tab w:val="right" w:pos="556"/>
      </w:tabs>
      <w:spacing w:before="40" w:line="240" w:lineRule="atLeast"/>
      <w:ind w:left="805" w:hanging="805"/>
    </w:pPr>
    <w:rPr>
      <w:sz w:val="20"/>
    </w:rPr>
  </w:style>
  <w:style w:type="paragraph" w:customStyle="1" w:styleId="CTA3ai">
    <w:name w:val="CTA 3(a)(i)"/>
    <w:basedOn w:val="OPCParaBase"/>
    <w:rsid w:val="004F6068"/>
    <w:pPr>
      <w:tabs>
        <w:tab w:val="right" w:pos="1140"/>
      </w:tabs>
      <w:spacing w:before="40" w:line="240" w:lineRule="atLeast"/>
      <w:ind w:left="1361" w:hanging="1361"/>
    </w:pPr>
    <w:rPr>
      <w:sz w:val="20"/>
    </w:rPr>
  </w:style>
  <w:style w:type="paragraph" w:customStyle="1" w:styleId="CTA4a">
    <w:name w:val="CTA 4(a)"/>
    <w:basedOn w:val="OPCParaBase"/>
    <w:rsid w:val="004F6068"/>
    <w:pPr>
      <w:tabs>
        <w:tab w:val="right" w:pos="624"/>
      </w:tabs>
      <w:spacing w:before="40" w:line="240" w:lineRule="atLeast"/>
      <w:ind w:left="873" w:hanging="873"/>
    </w:pPr>
    <w:rPr>
      <w:sz w:val="20"/>
    </w:rPr>
  </w:style>
  <w:style w:type="paragraph" w:customStyle="1" w:styleId="CTA4ai">
    <w:name w:val="CTA 4(a)(i)"/>
    <w:basedOn w:val="OPCParaBase"/>
    <w:rsid w:val="004F6068"/>
    <w:pPr>
      <w:tabs>
        <w:tab w:val="right" w:pos="1213"/>
      </w:tabs>
      <w:spacing w:before="40" w:line="240" w:lineRule="atLeast"/>
      <w:ind w:left="1452" w:hanging="1452"/>
    </w:pPr>
    <w:rPr>
      <w:sz w:val="20"/>
    </w:rPr>
  </w:style>
  <w:style w:type="paragraph" w:customStyle="1" w:styleId="CTACAPS">
    <w:name w:val="CTA CAPS"/>
    <w:basedOn w:val="OPCParaBase"/>
    <w:rsid w:val="004F6068"/>
    <w:pPr>
      <w:spacing w:before="60" w:line="240" w:lineRule="atLeast"/>
    </w:pPr>
    <w:rPr>
      <w:sz w:val="20"/>
    </w:rPr>
  </w:style>
  <w:style w:type="paragraph" w:customStyle="1" w:styleId="CTAright">
    <w:name w:val="CTA right"/>
    <w:basedOn w:val="OPCParaBase"/>
    <w:rsid w:val="004F6068"/>
    <w:pPr>
      <w:spacing w:before="60" w:line="240" w:lineRule="auto"/>
      <w:jc w:val="right"/>
    </w:pPr>
    <w:rPr>
      <w:sz w:val="20"/>
    </w:rPr>
  </w:style>
  <w:style w:type="paragraph" w:customStyle="1" w:styleId="subsection">
    <w:name w:val="subsection"/>
    <w:aliases w:val="ss"/>
    <w:basedOn w:val="OPCParaBase"/>
    <w:link w:val="subsectionChar"/>
    <w:rsid w:val="004F6068"/>
    <w:pPr>
      <w:tabs>
        <w:tab w:val="right" w:pos="1021"/>
      </w:tabs>
      <w:spacing w:before="180" w:line="240" w:lineRule="auto"/>
      <w:ind w:left="1134" w:hanging="1134"/>
    </w:pPr>
  </w:style>
  <w:style w:type="paragraph" w:customStyle="1" w:styleId="Definition">
    <w:name w:val="Definition"/>
    <w:aliases w:val="dd"/>
    <w:basedOn w:val="OPCParaBase"/>
    <w:rsid w:val="004F6068"/>
    <w:pPr>
      <w:spacing w:before="180" w:line="240" w:lineRule="auto"/>
      <w:ind w:left="1134"/>
    </w:pPr>
  </w:style>
  <w:style w:type="paragraph" w:customStyle="1" w:styleId="ETAsubitem">
    <w:name w:val="ETA(subitem)"/>
    <w:basedOn w:val="OPCParaBase"/>
    <w:rsid w:val="004F6068"/>
    <w:pPr>
      <w:tabs>
        <w:tab w:val="right" w:pos="340"/>
      </w:tabs>
      <w:spacing w:before="60" w:line="240" w:lineRule="auto"/>
      <w:ind w:left="454" w:hanging="454"/>
    </w:pPr>
    <w:rPr>
      <w:sz w:val="20"/>
    </w:rPr>
  </w:style>
  <w:style w:type="paragraph" w:customStyle="1" w:styleId="ETApara">
    <w:name w:val="ETA(para)"/>
    <w:basedOn w:val="OPCParaBase"/>
    <w:rsid w:val="004F6068"/>
    <w:pPr>
      <w:tabs>
        <w:tab w:val="right" w:pos="754"/>
      </w:tabs>
      <w:spacing w:before="60" w:line="240" w:lineRule="auto"/>
      <w:ind w:left="828" w:hanging="828"/>
    </w:pPr>
    <w:rPr>
      <w:sz w:val="20"/>
    </w:rPr>
  </w:style>
  <w:style w:type="paragraph" w:customStyle="1" w:styleId="ETAsubpara">
    <w:name w:val="ETA(subpara)"/>
    <w:basedOn w:val="OPCParaBase"/>
    <w:rsid w:val="004F6068"/>
    <w:pPr>
      <w:tabs>
        <w:tab w:val="right" w:pos="1083"/>
      </w:tabs>
      <w:spacing w:before="60" w:line="240" w:lineRule="auto"/>
      <w:ind w:left="1191" w:hanging="1191"/>
    </w:pPr>
    <w:rPr>
      <w:sz w:val="20"/>
    </w:rPr>
  </w:style>
  <w:style w:type="paragraph" w:customStyle="1" w:styleId="ETAsub-subpara">
    <w:name w:val="ETA(sub-subpara)"/>
    <w:basedOn w:val="OPCParaBase"/>
    <w:rsid w:val="004F6068"/>
    <w:pPr>
      <w:tabs>
        <w:tab w:val="right" w:pos="1412"/>
      </w:tabs>
      <w:spacing w:before="60" w:line="240" w:lineRule="auto"/>
      <w:ind w:left="1525" w:hanging="1525"/>
    </w:pPr>
    <w:rPr>
      <w:sz w:val="20"/>
    </w:rPr>
  </w:style>
  <w:style w:type="paragraph" w:customStyle="1" w:styleId="Formula">
    <w:name w:val="Formula"/>
    <w:basedOn w:val="OPCParaBase"/>
    <w:rsid w:val="004F6068"/>
    <w:pPr>
      <w:spacing w:line="240" w:lineRule="auto"/>
      <w:ind w:left="1134"/>
    </w:pPr>
    <w:rPr>
      <w:sz w:val="20"/>
    </w:rPr>
  </w:style>
  <w:style w:type="paragraph" w:styleId="Header">
    <w:name w:val="header"/>
    <w:basedOn w:val="OPCParaBase"/>
    <w:link w:val="HeaderChar"/>
    <w:unhideWhenUsed/>
    <w:rsid w:val="004F60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F6068"/>
    <w:rPr>
      <w:rFonts w:eastAsia="Times New Roman" w:cs="Times New Roman"/>
      <w:sz w:val="16"/>
      <w:lang w:eastAsia="en-AU"/>
    </w:rPr>
  </w:style>
  <w:style w:type="paragraph" w:customStyle="1" w:styleId="House">
    <w:name w:val="House"/>
    <w:basedOn w:val="OPCParaBase"/>
    <w:rsid w:val="004F6068"/>
    <w:pPr>
      <w:spacing w:line="240" w:lineRule="auto"/>
    </w:pPr>
    <w:rPr>
      <w:sz w:val="28"/>
    </w:rPr>
  </w:style>
  <w:style w:type="paragraph" w:customStyle="1" w:styleId="Item">
    <w:name w:val="Item"/>
    <w:aliases w:val="i"/>
    <w:basedOn w:val="OPCParaBase"/>
    <w:next w:val="ItemHead"/>
    <w:rsid w:val="004F6068"/>
    <w:pPr>
      <w:keepLines/>
      <w:spacing w:before="80" w:line="240" w:lineRule="auto"/>
      <w:ind w:left="709"/>
    </w:pPr>
  </w:style>
  <w:style w:type="paragraph" w:customStyle="1" w:styleId="ItemHead">
    <w:name w:val="ItemHead"/>
    <w:aliases w:val="ih"/>
    <w:basedOn w:val="OPCParaBase"/>
    <w:next w:val="Item"/>
    <w:rsid w:val="004F60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F6068"/>
    <w:pPr>
      <w:spacing w:line="240" w:lineRule="auto"/>
    </w:pPr>
    <w:rPr>
      <w:b/>
      <w:sz w:val="32"/>
    </w:rPr>
  </w:style>
  <w:style w:type="paragraph" w:customStyle="1" w:styleId="notedraft">
    <w:name w:val="note(draft)"/>
    <w:aliases w:val="nd"/>
    <w:basedOn w:val="OPCParaBase"/>
    <w:rsid w:val="004F6068"/>
    <w:pPr>
      <w:spacing w:before="240" w:line="240" w:lineRule="auto"/>
      <w:ind w:left="284" w:hanging="284"/>
    </w:pPr>
    <w:rPr>
      <w:i/>
      <w:sz w:val="24"/>
    </w:rPr>
  </w:style>
  <w:style w:type="paragraph" w:customStyle="1" w:styleId="notemargin">
    <w:name w:val="note(margin)"/>
    <w:aliases w:val="nm"/>
    <w:basedOn w:val="OPCParaBase"/>
    <w:rsid w:val="004F6068"/>
    <w:pPr>
      <w:tabs>
        <w:tab w:val="left" w:pos="709"/>
      </w:tabs>
      <w:spacing w:before="122" w:line="198" w:lineRule="exact"/>
      <w:ind w:left="709" w:hanging="709"/>
    </w:pPr>
    <w:rPr>
      <w:sz w:val="18"/>
    </w:rPr>
  </w:style>
  <w:style w:type="paragraph" w:customStyle="1" w:styleId="noteToPara">
    <w:name w:val="noteToPara"/>
    <w:aliases w:val="ntp"/>
    <w:basedOn w:val="OPCParaBase"/>
    <w:rsid w:val="004F6068"/>
    <w:pPr>
      <w:spacing w:before="122" w:line="198" w:lineRule="exact"/>
      <w:ind w:left="2353" w:hanging="709"/>
    </w:pPr>
    <w:rPr>
      <w:sz w:val="18"/>
    </w:rPr>
  </w:style>
  <w:style w:type="paragraph" w:customStyle="1" w:styleId="noteParlAmend">
    <w:name w:val="note(ParlAmend)"/>
    <w:aliases w:val="npp"/>
    <w:basedOn w:val="OPCParaBase"/>
    <w:next w:val="ParlAmend"/>
    <w:rsid w:val="004F6068"/>
    <w:pPr>
      <w:spacing w:line="240" w:lineRule="auto"/>
      <w:jc w:val="right"/>
    </w:pPr>
    <w:rPr>
      <w:rFonts w:ascii="Arial" w:hAnsi="Arial"/>
      <w:b/>
      <w:i/>
    </w:rPr>
  </w:style>
  <w:style w:type="paragraph" w:customStyle="1" w:styleId="notetext">
    <w:name w:val="note(text)"/>
    <w:aliases w:val="n"/>
    <w:basedOn w:val="OPCParaBase"/>
    <w:rsid w:val="004F6068"/>
    <w:pPr>
      <w:spacing w:before="122" w:line="198" w:lineRule="exact"/>
      <w:ind w:left="1985" w:hanging="851"/>
    </w:pPr>
    <w:rPr>
      <w:sz w:val="18"/>
    </w:rPr>
  </w:style>
  <w:style w:type="paragraph" w:customStyle="1" w:styleId="Page1">
    <w:name w:val="Page1"/>
    <w:basedOn w:val="OPCParaBase"/>
    <w:rsid w:val="004F6068"/>
    <w:pPr>
      <w:spacing w:before="5600" w:line="240" w:lineRule="auto"/>
    </w:pPr>
    <w:rPr>
      <w:b/>
      <w:sz w:val="32"/>
    </w:rPr>
  </w:style>
  <w:style w:type="paragraph" w:customStyle="1" w:styleId="PageBreak">
    <w:name w:val="PageBreak"/>
    <w:aliases w:val="pb"/>
    <w:basedOn w:val="OPCParaBase"/>
    <w:rsid w:val="004F6068"/>
    <w:pPr>
      <w:spacing w:line="240" w:lineRule="auto"/>
    </w:pPr>
    <w:rPr>
      <w:sz w:val="20"/>
    </w:rPr>
  </w:style>
  <w:style w:type="paragraph" w:customStyle="1" w:styleId="paragraphsub">
    <w:name w:val="paragraph(sub)"/>
    <w:aliases w:val="aa"/>
    <w:basedOn w:val="OPCParaBase"/>
    <w:rsid w:val="004F6068"/>
    <w:pPr>
      <w:tabs>
        <w:tab w:val="right" w:pos="1985"/>
      </w:tabs>
      <w:spacing w:before="40" w:line="240" w:lineRule="auto"/>
      <w:ind w:left="2098" w:hanging="2098"/>
    </w:pPr>
  </w:style>
  <w:style w:type="paragraph" w:customStyle="1" w:styleId="paragraphsub-sub">
    <w:name w:val="paragraph(sub-sub)"/>
    <w:aliases w:val="aaa"/>
    <w:basedOn w:val="OPCParaBase"/>
    <w:rsid w:val="004F6068"/>
    <w:pPr>
      <w:tabs>
        <w:tab w:val="right" w:pos="2722"/>
      </w:tabs>
      <w:spacing w:before="40" w:line="240" w:lineRule="auto"/>
      <w:ind w:left="2835" w:hanging="2835"/>
    </w:pPr>
  </w:style>
  <w:style w:type="paragraph" w:customStyle="1" w:styleId="paragraph">
    <w:name w:val="paragraph"/>
    <w:aliases w:val="a"/>
    <w:basedOn w:val="OPCParaBase"/>
    <w:link w:val="paragraphChar"/>
    <w:rsid w:val="004F6068"/>
    <w:pPr>
      <w:tabs>
        <w:tab w:val="right" w:pos="1531"/>
      </w:tabs>
      <w:spacing w:before="40" w:line="240" w:lineRule="auto"/>
      <w:ind w:left="1644" w:hanging="1644"/>
    </w:pPr>
  </w:style>
  <w:style w:type="paragraph" w:customStyle="1" w:styleId="ParlAmend">
    <w:name w:val="ParlAmend"/>
    <w:aliases w:val="pp"/>
    <w:basedOn w:val="OPCParaBase"/>
    <w:rsid w:val="004F6068"/>
    <w:pPr>
      <w:spacing w:before="240" w:line="240" w:lineRule="atLeast"/>
      <w:ind w:hanging="567"/>
    </w:pPr>
    <w:rPr>
      <w:sz w:val="24"/>
    </w:rPr>
  </w:style>
  <w:style w:type="paragraph" w:customStyle="1" w:styleId="Penalty">
    <w:name w:val="Penalty"/>
    <w:basedOn w:val="OPCParaBase"/>
    <w:rsid w:val="004F6068"/>
    <w:pPr>
      <w:tabs>
        <w:tab w:val="left" w:pos="2977"/>
      </w:tabs>
      <w:spacing w:before="180" w:line="240" w:lineRule="auto"/>
      <w:ind w:left="1985" w:hanging="851"/>
    </w:pPr>
  </w:style>
  <w:style w:type="paragraph" w:customStyle="1" w:styleId="Portfolio">
    <w:name w:val="Portfolio"/>
    <w:basedOn w:val="OPCParaBase"/>
    <w:rsid w:val="004F6068"/>
    <w:pPr>
      <w:spacing w:line="240" w:lineRule="auto"/>
    </w:pPr>
    <w:rPr>
      <w:i/>
      <w:sz w:val="20"/>
    </w:rPr>
  </w:style>
  <w:style w:type="paragraph" w:customStyle="1" w:styleId="Preamble">
    <w:name w:val="Preamble"/>
    <w:basedOn w:val="OPCParaBase"/>
    <w:next w:val="Normal"/>
    <w:rsid w:val="004F60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6068"/>
    <w:pPr>
      <w:spacing w:line="240" w:lineRule="auto"/>
    </w:pPr>
    <w:rPr>
      <w:i/>
      <w:sz w:val="20"/>
    </w:rPr>
  </w:style>
  <w:style w:type="paragraph" w:customStyle="1" w:styleId="Session">
    <w:name w:val="Session"/>
    <w:basedOn w:val="OPCParaBase"/>
    <w:rsid w:val="004F6068"/>
    <w:pPr>
      <w:spacing w:line="240" w:lineRule="auto"/>
    </w:pPr>
    <w:rPr>
      <w:sz w:val="28"/>
    </w:rPr>
  </w:style>
  <w:style w:type="paragraph" w:customStyle="1" w:styleId="Sponsor">
    <w:name w:val="Sponsor"/>
    <w:basedOn w:val="OPCParaBase"/>
    <w:rsid w:val="004F6068"/>
    <w:pPr>
      <w:spacing w:line="240" w:lineRule="auto"/>
    </w:pPr>
    <w:rPr>
      <w:i/>
    </w:rPr>
  </w:style>
  <w:style w:type="paragraph" w:customStyle="1" w:styleId="Subitem">
    <w:name w:val="Subitem"/>
    <w:aliases w:val="iss"/>
    <w:basedOn w:val="OPCParaBase"/>
    <w:rsid w:val="004F6068"/>
    <w:pPr>
      <w:spacing w:before="180" w:line="240" w:lineRule="auto"/>
      <w:ind w:left="709" w:hanging="709"/>
    </w:pPr>
  </w:style>
  <w:style w:type="paragraph" w:customStyle="1" w:styleId="SubitemHead">
    <w:name w:val="SubitemHead"/>
    <w:aliases w:val="issh"/>
    <w:basedOn w:val="OPCParaBase"/>
    <w:rsid w:val="004F60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6068"/>
    <w:pPr>
      <w:spacing w:before="40" w:line="240" w:lineRule="auto"/>
      <w:ind w:left="1134"/>
    </w:pPr>
  </w:style>
  <w:style w:type="paragraph" w:customStyle="1" w:styleId="SubsectionHead">
    <w:name w:val="SubsectionHead"/>
    <w:aliases w:val="ssh"/>
    <w:basedOn w:val="OPCParaBase"/>
    <w:next w:val="subsection"/>
    <w:rsid w:val="004F6068"/>
    <w:pPr>
      <w:keepNext/>
      <w:keepLines/>
      <w:spacing w:before="240" w:line="240" w:lineRule="auto"/>
      <w:ind w:left="1134"/>
    </w:pPr>
    <w:rPr>
      <w:i/>
    </w:rPr>
  </w:style>
  <w:style w:type="paragraph" w:customStyle="1" w:styleId="Tablea">
    <w:name w:val="Table(a)"/>
    <w:aliases w:val="ta"/>
    <w:basedOn w:val="OPCParaBase"/>
    <w:rsid w:val="004F6068"/>
    <w:pPr>
      <w:spacing w:before="60" w:line="240" w:lineRule="auto"/>
      <w:ind w:left="284" w:hanging="284"/>
    </w:pPr>
    <w:rPr>
      <w:sz w:val="20"/>
    </w:rPr>
  </w:style>
  <w:style w:type="paragraph" w:customStyle="1" w:styleId="TableAA">
    <w:name w:val="Table(AA)"/>
    <w:aliases w:val="taaa"/>
    <w:basedOn w:val="OPCParaBase"/>
    <w:rsid w:val="004F60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F60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F6068"/>
    <w:pPr>
      <w:spacing w:before="60" w:line="240" w:lineRule="atLeast"/>
    </w:pPr>
    <w:rPr>
      <w:sz w:val="20"/>
    </w:rPr>
  </w:style>
  <w:style w:type="paragraph" w:customStyle="1" w:styleId="TLPBoxTextnote">
    <w:name w:val="TLPBoxText(note"/>
    <w:aliases w:val="right)"/>
    <w:basedOn w:val="OPCParaBase"/>
    <w:rsid w:val="004F60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60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6068"/>
    <w:pPr>
      <w:spacing w:before="122" w:line="198" w:lineRule="exact"/>
      <w:ind w:left="1985" w:hanging="851"/>
      <w:jc w:val="right"/>
    </w:pPr>
    <w:rPr>
      <w:sz w:val="18"/>
    </w:rPr>
  </w:style>
  <w:style w:type="paragraph" w:customStyle="1" w:styleId="TLPTableBullet">
    <w:name w:val="TLPTableBullet"/>
    <w:aliases w:val="ttb"/>
    <w:basedOn w:val="OPCParaBase"/>
    <w:rsid w:val="004F6068"/>
    <w:pPr>
      <w:spacing w:line="240" w:lineRule="exact"/>
      <w:ind w:left="284" w:hanging="284"/>
    </w:pPr>
    <w:rPr>
      <w:sz w:val="20"/>
    </w:rPr>
  </w:style>
  <w:style w:type="paragraph" w:styleId="TOC1">
    <w:name w:val="toc 1"/>
    <w:basedOn w:val="OPCParaBase"/>
    <w:next w:val="Normal"/>
    <w:uiPriority w:val="39"/>
    <w:semiHidden/>
    <w:unhideWhenUsed/>
    <w:rsid w:val="004F606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606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F606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F606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60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F60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F60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F60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F60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6068"/>
    <w:pPr>
      <w:keepLines/>
      <w:spacing w:before="240" w:after="120" w:line="240" w:lineRule="auto"/>
      <w:ind w:left="794"/>
    </w:pPr>
    <w:rPr>
      <w:b/>
      <w:kern w:val="28"/>
      <w:sz w:val="20"/>
    </w:rPr>
  </w:style>
  <w:style w:type="paragraph" w:customStyle="1" w:styleId="TofSectsHeading">
    <w:name w:val="TofSects(Heading)"/>
    <w:basedOn w:val="OPCParaBase"/>
    <w:rsid w:val="004F6068"/>
    <w:pPr>
      <w:spacing w:before="240" w:after="120" w:line="240" w:lineRule="auto"/>
    </w:pPr>
    <w:rPr>
      <w:b/>
      <w:sz w:val="24"/>
    </w:rPr>
  </w:style>
  <w:style w:type="paragraph" w:customStyle="1" w:styleId="TofSectsSection">
    <w:name w:val="TofSects(Section)"/>
    <w:basedOn w:val="OPCParaBase"/>
    <w:rsid w:val="004F6068"/>
    <w:pPr>
      <w:keepLines/>
      <w:spacing w:before="40" w:line="240" w:lineRule="auto"/>
      <w:ind w:left="1588" w:hanging="794"/>
    </w:pPr>
    <w:rPr>
      <w:kern w:val="28"/>
      <w:sz w:val="18"/>
    </w:rPr>
  </w:style>
  <w:style w:type="paragraph" w:customStyle="1" w:styleId="TofSectsSubdiv">
    <w:name w:val="TofSects(Subdiv)"/>
    <w:basedOn w:val="OPCParaBase"/>
    <w:rsid w:val="004F6068"/>
    <w:pPr>
      <w:keepLines/>
      <w:spacing w:before="80" w:line="240" w:lineRule="auto"/>
      <w:ind w:left="1588" w:hanging="794"/>
    </w:pPr>
    <w:rPr>
      <w:kern w:val="28"/>
    </w:rPr>
  </w:style>
  <w:style w:type="paragraph" w:customStyle="1" w:styleId="WRStyle">
    <w:name w:val="WR Style"/>
    <w:aliases w:val="WR"/>
    <w:basedOn w:val="OPCParaBase"/>
    <w:rsid w:val="004F6068"/>
    <w:pPr>
      <w:spacing w:before="240" w:line="240" w:lineRule="auto"/>
      <w:ind w:left="284" w:hanging="284"/>
    </w:pPr>
    <w:rPr>
      <w:b/>
      <w:i/>
      <w:kern w:val="28"/>
      <w:sz w:val="24"/>
    </w:rPr>
  </w:style>
  <w:style w:type="paragraph" w:customStyle="1" w:styleId="notepara">
    <w:name w:val="note(para)"/>
    <w:aliases w:val="na"/>
    <w:basedOn w:val="OPCParaBase"/>
    <w:rsid w:val="004F6068"/>
    <w:pPr>
      <w:spacing w:before="40" w:line="198" w:lineRule="exact"/>
      <w:ind w:left="2354" w:hanging="369"/>
    </w:pPr>
    <w:rPr>
      <w:sz w:val="18"/>
    </w:rPr>
  </w:style>
  <w:style w:type="paragraph" w:styleId="Footer">
    <w:name w:val="footer"/>
    <w:link w:val="FooterChar"/>
    <w:rsid w:val="004F60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F6068"/>
    <w:rPr>
      <w:rFonts w:eastAsia="Times New Roman" w:cs="Times New Roman"/>
      <w:sz w:val="22"/>
      <w:szCs w:val="24"/>
      <w:lang w:eastAsia="en-AU"/>
    </w:rPr>
  </w:style>
  <w:style w:type="character" w:styleId="LineNumber">
    <w:name w:val="line number"/>
    <w:basedOn w:val="OPCCharBase"/>
    <w:uiPriority w:val="99"/>
    <w:semiHidden/>
    <w:unhideWhenUsed/>
    <w:rsid w:val="004F6068"/>
    <w:rPr>
      <w:sz w:val="16"/>
    </w:rPr>
  </w:style>
  <w:style w:type="table" w:customStyle="1" w:styleId="CFlag">
    <w:name w:val="CFlag"/>
    <w:basedOn w:val="TableNormal"/>
    <w:uiPriority w:val="99"/>
    <w:rsid w:val="004F606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60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68"/>
    <w:rPr>
      <w:rFonts w:ascii="Tahoma" w:hAnsi="Tahoma" w:cs="Tahoma"/>
      <w:sz w:val="16"/>
      <w:szCs w:val="16"/>
    </w:rPr>
  </w:style>
  <w:style w:type="character" w:styleId="Hyperlink">
    <w:name w:val="Hyperlink"/>
    <w:basedOn w:val="DefaultParagraphFont"/>
    <w:rsid w:val="004F6068"/>
    <w:rPr>
      <w:color w:val="0000FF"/>
      <w:u w:val="single"/>
    </w:rPr>
  </w:style>
  <w:style w:type="table" w:styleId="TableGrid">
    <w:name w:val="Table Grid"/>
    <w:basedOn w:val="TableNormal"/>
    <w:uiPriority w:val="59"/>
    <w:rsid w:val="004F6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F6068"/>
    <w:rPr>
      <w:b/>
      <w:sz w:val="28"/>
      <w:szCs w:val="32"/>
    </w:rPr>
  </w:style>
  <w:style w:type="paragraph" w:customStyle="1" w:styleId="TerritoryT">
    <w:name w:val="TerritoryT"/>
    <w:basedOn w:val="OPCParaBase"/>
    <w:next w:val="Normal"/>
    <w:rsid w:val="004F6068"/>
    <w:rPr>
      <w:b/>
      <w:sz w:val="32"/>
    </w:rPr>
  </w:style>
  <w:style w:type="paragraph" w:customStyle="1" w:styleId="LegislationMadeUnder">
    <w:name w:val="LegislationMadeUnder"/>
    <w:basedOn w:val="OPCParaBase"/>
    <w:next w:val="Normal"/>
    <w:rsid w:val="004F6068"/>
    <w:rPr>
      <w:i/>
      <w:sz w:val="32"/>
      <w:szCs w:val="32"/>
    </w:rPr>
  </w:style>
  <w:style w:type="paragraph" w:customStyle="1" w:styleId="SignCoverPageEnd">
    <w:name w:val="SignCoverPageEnd"/>
    <w:basedOn w:val="OPCParaBase"/>
    <w:next w:val="Normal"/>
    <w:rsid w:val="004F6068"/>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F6068"/>
    <w:pPr>
      <w:pBdr>
        <w:top w:val="single" w:sz="4" w:space="1" w:color="auto"/>
      </w:pBdr>
      <w:spacing w:before="360"/>
      <w:ind w:right="397"/>
      <w:jc w:val="both"/>
    </w:pPr>
  </w:style>
  <w:style w:type="paragraph" w:customStyle="1" w:styleId="NotesHeading1">
    <w:name w:val="NotesHeading 1"/>
    <w:basedOn w:val="OPCParaBase"/>
    <w:next w:val="Normal"/>
    <w:rsid w:val="004F6068"/>
    <w:rPr>
      <w:b/>
      <w:sz w:val="28"/>
      <w:szCs w:val="28"/>
    </w:rPr>
  </w:style>
  <w:style w:type="paragraph" w:customStyle="1" w:styleId="NotesHeading2">
    <w:name w:val="NotesHeading 2"/>
    <w:basedOn w:val="OPCParaBase"/>
    <w:next w:val="Normal"/>
    <w:rsid w:val="004F6068"/>
    <w:rPr>
      <w:b/>
      <w:sz w:val="28"/>
      <w:szCs w:val="28"/>
    </w:rPr>
  </w:style>
  <w:style w:type="paragraph" w:customStyle="1" w:styleId="ENotesText">
    <w:name w:val="ENotesText"/>
    <w:basedOn w:val="OPCParaBase"/>
    <w:next w:val="Normal"/>
    <w:rsid w:val="004F6068"/>
  </w:style>
  <w:style w:type="paragraph" w:customStyle="1" w:styleId="CompiledActNo">
    <w:name w:val="CompiledActNo"/>
    <w:basedOn w:val="OPCParaBase"/>
    <w:next w:val="Normal"/>
    <w:rsid w:val="004F6068"/>
    <w:rPr>
      <w:b/>
      <w:sz w:val="24"/>
      <w:szCs w:val="24"/>
    </w:rPr>
  </w:style>
  <w:style w:type="paragraph" w:customStyle="1" w:styleId="CompiledMadeUnder">
    <w:name w:val="CompiledMadeUnder"/>
    <w:basedOn w:val="OPCParaBase"/>
    <w:next w:val="Normal"/>
    <w:rsid w:val="004F6068"/>
    <w:rPr>
      <w:i/>
      <w:sz w:val="24"/>
      <w:szCs w:val="24"/>
    </w:rPr>
  </w:style>
  <w:style w:type="paragraph" w:customStyle="1" w:styleId="Paragraphsub-sub-sub">
    <w:name w:val="Paragraph(sub-sub-sub)"/>
    <w:aliases w:val="aaaa"/>
    <w:basedOn w:val="OPCParaBase"/>
    <w:rsid w:val="004F6068"/>
    <w:pPr>
      <w:tabs>
        <w:tab w:val="right" w:pos="3402"/>
      </w:tabs>
      <w:spacing w:before="40" w:line="240" w:lineRule="auto"/>
      <w:ind w:left="3402" w:hanging="3402"/>
    </w:pPr>
  </w:style>
  <w:style w:type="paragraph" w:customStyle="1" w:styleId="SubPartCASA">
    <w:name w:val="SubPart(CASA)"/>
    <w:aliases w:val="csp"/>
    <w:basedOn w:val="OPCParaBase"/>
    <w:next w:val="ActHead3"/>
    <w:rsid w:val="004F6068"/>
    <w:pPr>
      <w:keepNext/>
      <w:keepLines/>
      <w:spacing w:before="280"/>
      <w:outlineLvl w:val="1"/>
    </w:pPr>
    <w:rPr>
      <w:b/>
      <w:kern w:val="28"/>
      <w:sz w:val="32"/>
    </w:rPr>
  </w:style>
  <w:style w:type="paragraph" w:customStyle="1" w:styleId="TableHeading">
    <w:name w:val="TableHeading"/>
    <w:aliases w:val="th"/>
    <w:basedOn w:val="OPCParaBase"/>
    <w:next w:val="Tabletext"/>
    <w:rsid w:val="004F6068"/>
    <w:pPr>
      <w:keepNext/>
      <w:spacing w:before="60" w:line="240" w:lineRule="atLeast"/>
    </w:pPr>
    <w:rPr>
      <w:b/>
      <w:sz w:val="20"/>
    </w:rPr>
  </w:style>
  <w:style w:type="paragraph" w:customStyle="1" w:styleId="NoteToSubpara">
    <w:name w:val="NoteToSubpara"/>
    <w:aliases w:val="nts"/>
    <w:basedOn w:val="OPCParaBase"/>
    <w:rsid w:val="004F6068"/>
    <w:pPr>
      <w:spacing w:before="40" w:line="198" w:lineRule="exact"/>
      <w:ind w:left="2835" w:hanging="709"/>
    </w:pPr>
    <w:rPr>
      <w:sz w:val="18"/>
    </w:rPr>
  </w:style>
  <w:style w:type="paragraph" w:customStyle="1" w:styleId="EndNotespara">
    <w:name w:val="EndNotes(para)"/>
    <w:aliases w:val="eta"/>
    <w:basedOn w:val="OPCParaBase"/>
    <w:next w:val="Normal"/>
    <w:rsid w:val="004F60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60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F60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606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F6068"/>
    <w:pPr>
      <w:keepNext/>
      <w:spacing w:before="60" w:line="240" w:lineRule="atLeast"/>
    </w:pPr>
    <w:rPr>
      <w:rFonts w:ascii="Arial" w:hAnsi="Arial"/>
      <w:b/>
      <w:sz w:val="16"/>
    </w:rPr>
  </w:style>
  <w:style w:type="paragraph" w:customStyle="1" w:styleId="ENoteTableText">
    <w:name w:val="ENoteTableText"/>
    <w:aliases w:val="entt"/>
    <w:basedOn w:val="OPCParaBase"/>
    <w:rsid w:val="004F6068"/>
    <w:pPr>
      <w:spacing w:before="60" w:line="240" w:lineRule="atLeast"/>
    </w:pPr>
    <w:rPr>
      <w:sz w:val="16"/>
    </w:rPr>
  </w:style>
  <w:style w:type="paragraph" w:customStyle="1" w:styleId="ENoteTTi">
    <w:name w:val="ENoteTTi"/>
    <w:aliases w:val="entti"/>
    <w:basedOn w:val="OPCParaBase"/>
    <w:rsid w:val="004F6068"/>
    <w:pPr>
      <w:keepNext/>
      <w:spacing w:before="60" w:line="240" w:lineRule="atLeast"/>
      <w:ind w:left="170"/>
    </w:pPr>
    <w:rPr>
      <w:sz w:val="16"/>
    </w:rPr>
  </w:style>
  <w:style w:type="paragraph" w:customStyle="1" w:styleId="ENoteTTIndentHeading">
    <w:name w:val="ENoteTTIndentHeading"/>
    <w:aliases w:val="enTTHi"/>
    <w:basedOn w:val="OPCParaBase"/>
    <w:rsid w:val="004F606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F6068"/>
    <w:pPr>
      <w:spacing w:before="120"/>
      <w:outlineLvl w:val="1"/>
    </w:pPr>
    <w:rPr>
      <w:b/>
      <w:sz w:val="28"/>
      <w:szCs w:val="28"/>
    </w:rPr>
  </w:style>
  <w:style w:type="paragraph" w:customStyle="1" w:styleId="ENotesHeading2">
    <w:name w:val="ENotesHeading 2"/>
    <w:aliases w:val="Enh2"/>
    <w:basedOn w:val="OPCParaBase"/>
    <w:next w:val="Normal"/>
    <w:rsid w:val="004F6068"/>
    <w:pPr>
      <w:spacing w:before="120" w:after="120"/>
      <w:outlineLvl w:val="2"/>
    </w:pPr>
    <w:rPr>
      <w:b/>
      <w:sz w:val="24"/>
      <w:szCs w:val="28"/>
    </w:rPr>
  </w:style>
  <w:style w:type="paragraph" w:customStyle="1" w:styleId="ENotesHeading3">
    <w:name w:val="ENotesHeading 3"/>
    <w:aliases w:val="Enh3"/>
    <w:basedOn w:val="OPCParaBase"/>
    <w:next w:val="Normal"/>
    <w:rsid w:val="004F6068"/>
    <w:pPr>
      <w:keepNext/>
      <w:spacing w:before="120" w:line="240" w:lineRule="auto"/>
      <w:outlineLvl w:val="4"/>
    </w:pPr>
    <w:rPr>
      <w:b/>
      <w:szCs w:val="24"/>
    </w:rPr>
  </w:style>
  <w:style w:type="character" w:customStyle="1" w:styleId="paragraphChar">
    <w:name w:val="paragraph Char"/>
    <w:aliases w:val="a Char"/>
    <w:basedOn w:val="DefaultParagraphFont"/>
    <w:link w:val="paragraph"/>
    <w:rsid w:val="00601817"/>
    <w:rPr>
      <w:rFonts w:eastAsia="Times New Roman" w:cs="Times New Roman"/>
      <w:sz w:val="22"/>
      <w:lang w:eastAsia="en-AU"/>
    </w:rPr>
  </w:style>
  <w:style w:type="character" w:customStyle="1" w:styleId="subsectionChar">
    <w:name w:val="subsection Char"/>
    <w:aliases w:val="ss Char"/>
    <w:basedOn w:val="DefaultParagraphFont"/>
    <w:link w:val="subsection"/>
    <w:rsid w:val="00601817"/>
    <w:rPr>
      <w:rFonts w:eastAsia="Times New Roman" w:cs="Times New Roman"/>
      <w:sz w:val="22"/>
      <w:lang w:eastAsia="en-AU"/>
    </w:rPr>
  </w:style>
  <w:style w:type="paragraph" w:customStyle="1" w:styleId="MadeunderText">
    <w:name w:val="MadeunderText"/>
    <w:basedOn w:val="OPCParaBase"/>
    <w:next w:val="CompiledMadeUnder"/>
    <w:rsid w:val="004F6068"/>
    <w:pPr>
      <w:spacing w:befor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C7FD-94FF-481C-AF00-49E457DE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18</Pages>
  <Words>2985</Words>
  <Characters>17016</Characters>
  <Application>Microsoft Office Word</Application>
  <DocSecurity>0</DocSecurity>
  <PresentationFormat/>
  <Lines>141</Lines>
  <Paragraphs>39</Paragraphs>
  <ScaleCrop>false</ScaleCrop>
  <HeadingPairs>
    <vt:vector size="2" baseType="variant">
      <vt:variant>
        <vt:lpstr>Title</vt:lpstr>
      </vt:variant>
      <vt:variant>
        <vt:i4>1</vt:i4>
      </vt:variant>
    </vt:vector>
  </HeadingPairs>
  <TitlesOfParts>
    <vt:vector size="1" baseType="lpstr">
      <vt:lpstr>Clean Energy Legislation Amendment (International Linking) Regulation 2013</vt:lpstr>
    </vt:vector>
  </TitlesOfParts>
  <Manager/>
  <Company/>
  <LinksUpToDate>false</LinksUpToDate>
  <CharactersWithSpaces>19962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2013-05-13T23:52:00Z</dcterms:created>
  <dcterms:modified xsi:type="dcterms:W3CDTF">2013-05-14T05:24:00Z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Clean Energy Legislation Amendment (International Linking) Regulation 2013</vt:lpwstr>
  </property>
  <property fmtid="{D5CDD505-2E9C-101B-9397-08002B2CF9AE}" pid="3" name="Class">
    <vt:lpwstr>Unkown</vt:lpwstr>
  </property>
  <property fmtid="{D5CDD505-2E9C-101B-9397-08002B2CF9AE}" pid="4" name="Type">
    <vt:lpwstr>SLI</vt:lpwstr>
  </property>
  <property fmtid="{D5CDD505-2E9C-101B-9397-08002B2CF9AE}" pid="5" name="DocType">
    <vt:lpwstr>AMD</vt:lpwstr>
  </property>
  <property fmtid="{D5CDD505-2E9C-101B-9397-08002B2CF9AE}" pid="6" name="Header">
    <vt:lpwstr>Section</vt:lpwstr>
  </property>
  <property fmtid="{D5CDD505-2E9C-101B-9397-08002B2CF9AE}" pid="7" name="Exco">
    <vt:lpwstr>Yes</vt:lpwstr>
  </property>
  <property fmtid="{D5CDD505-2E9C-101B-9397-08002B2CF9AE}" pid="8" name="Authority">
    <vt:lpwstr/>
  </property>
  <property fmtid="{D5CDD505-2E9C-101B-9397-08002B2CF9AE}" pid="9" name="ID">
    <vt:lpwstr>OPC50474</vt:lpwstr>
  </property>
  <property fmtid="{D5CDD505-2E9C-101B-9397-08002B2CF9AE}" pid="10" name="DoNotAsk">
    <vt:lpwstr>0</vt:lpwstr>
  </property>
  <property fmtid="{D5CDD505-2E9C-101B-9397-08002B2CF9AE}" pid="11" name="ChangedTitle">
    <vt:lpwstr/>
  </property>
  <property fmtid="{D5CDD505-2E9C-101B-9397-08002B2CF9AE}" pid="12" name="Classification">
    <vt:lpwstr> </vt:lpwstr>
  </property>
  <property fmtid="{D5CDD505-2E9C-101B-9397-08002B2CF9AE}" pid="13" name="CounterSign">
    <vt:lpwstr/>
  </property>
  <property fmtid="{D5CDD505-2E9C-101B-9397-08002B2CF9AE}" pid="14" name="ExcoDate">
    <vt:lpwstr/>
  </property>
  <property fmtid="{D5CDD505-2E9C-101B-9397-08002B2CF9AE}" pid="15" name="DateMade">
    <vt:lpwstr/>
  </property>
  <property fmtid="{D5CDD505-2E9C-101B-9397-08002B2CF9AE}" pid="16" name="ActNo">
    <vt:lpwstr>No. 78, 2013</vt:lpwstr>
  </property>
</Properties>
</file>