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7DC" w:rsidRPr="00105ABD" w:rsidRDefault="009077DC" w:rsidP="009077DC">
      <w:pPr>
        <w:pStyle w:val="Style3"/>
        <w:spacing w:before="240"/>
      </w:pPr>
      <w:r w:rsidRPr="00105ABD">
        <w:t xml:space="preserve">EXPLANATORY </w:t>
      </w:r>
      <w:r w:rsidR="00906346">
        <w:t>STATEMENT</w:t>
      </w:r>
    </w:p>
    <w:p w:rsidR="00C866C4" w:rsidRPr="00C866C4" w:rsidRDefault="00C866C4" w:rsidP="00C866C4">
      <w:pPr>
        <w:spacing w:before="0"/>
        <w:ind w:right="91"/>
        <w:jc w:val="center"/>
        <w:rPr>
          <w:b/>
          <w:bCs/>
          <w:sz w:val="28"/>
          <w:u w:val="single"/>
        </w:rPr>
      </w:pPr>
      <w:r w:rsidRPr="00C866C4">
        <w:rPr>
          <w:b/>
          <w:bCs/>
          <w:sz w:val="28"/>
          <w:u w:val="single"/>
        </w:rPr>
        <w:t>Select Legis</w:t>
      </w:r>
      <w:r w:rsidR="008B586C">
        <w:rPr>
          <w:b/>
          <w:bCs/>
          <w:sz w:val="28"/>
          <w:u w:val="single"/>
        </w:rPr>
        <w:t xml:space="preserve">lative Instrument 2013 </w:t>
      </w:r>
      <w:r w:rsidR="00592ACB">
        <w:rPr>
          <w:b/>
          <w:bCs/>
          <w:sz w:val="28"/>
          <w:u w:val="single"/>
        </w:rPr>
        <w:t>No. 79</w:t>
      </w:r>
    </w:p>
    <w:p w:rsidR="00C866C4" w:rsidRPr="00C866C4" w:rsidRDefault="00C866C4" w:rsidP="00C866C4">
      <w:pPr>
        <w:keepNext/>
        <w:ind w:right="91"/>
        <w:jc w:val="center"/>
        <w:outlineLvl w:val="5"/>
        <w:rPr>
          <w:u w:val="single"/>
        </w:rPr>
      </w:pPr>
      <w:r w:rsidRPr="00C866C4">
        <w:rPr>
          <w:u w:val="single"/>
        </w:rPr>
        <w:t>Issued by the Authority of the Minister for Climate Change, Industry and Innovation</w:t>
      </w:r>
    </w:p>
    <w:p w:rsidR="00C866C4" w:rsidRDefault="00C866C4" w:rsidP="00C866C4">
      <w:pPr>
        <w:ind w:right="-58"/>
        <w:jc w:val="center"/>
        <w:rPr>
          <w:i/>
        </w:rPr>
      </w:pPr>
      <w:r w:rsidRPr="00C866C4">
        <w:rPr>
          <w:i/>
        </w:rPr>
        <w:t>Clean Energy Act 2011</w:t>
      </w:r>
    </w:p>
    <w:p w:rsidR="008F0555" w:rsidRPr="00C866C4" w:rsidRDefault="008F0555" w:rsidP="00C866C4">
      <w:pPr>
        <w:ind w:right="-58"/>
        <w:jc w:val="center"/>
        <w:rPr>
          <w:i/>
        </w:rPr>
      </w:pPr>
      <w:r>
        <w:rPr>
          <w:i/>
        </w:rPr>
        <w:t>Renewable Energy (Electricity) Act 2000</w:t>
      </w:r>
    </w:p>
    <w:p w:rsidR="00C866C4" w:rsidRPr="00C866C4" w:rsidRDefault="00C866C4" w:rsidP="00C866C4">
      <w:pPr>
        <w:ind w:right="-58"/>
        <w:jc w:val="center"/>
        <w:rPr>
          <w:i/>
        </w:rPr>
      </w:pPr>
      <w:r w:rsidRPr="00C866C4">
        <w:rPr>
          <w:i/>
        </w:rPr>
        <w:t xml:space="preserve">Clean Energy </w:t>
      </w:r>
      <w:r w:rsidR="00B10716">
        <w:rPr>
          <w:i/>
          <w:lang w:val="en-GB"/>
        </w:rPr>
        <w:t xml:space="preserve">Legislation </w:t>
      </w:r>
      <w:r w:rsidR="008F0555">
        <w:rPr>
          <w:i/>
        </w:rPr>
        <w:t xml:space="preserve">Amendment </w:t>
      </w:r>
      <w:r w:rsidR="00C32C75">
        <w:rPr>
          <w:i/>
        </w:rPr>
        <w:t xml:space="preserve">(Various Measures) </w:t>
      </w:r>
      <w:r w:rsidR="008F0555">
        <w:rPr>
          <w:i/>
        </w:rPr>
        <w:t>Regulation 2013</w:t>
      </w:r>
    </w:p>
    <w:p w:rsidR="000C4649" w:rsidRDefault="009077DC" w:rsidP="000C4649">
      <w:r w:rsidRPr="00105ABD">
        <w:t xml:space="preserve">Section </w:t>
      </w:r>
      <w:r w:rsidR="00906346">
        <w:t>312</w:t>
      </w:r>
      <w:r w:rsidRPr="00105ABD">
        <w:t xml:space="preserve"> of the </w:t>
      </w:r>
      <w:r w:rsidR="00906346">
        <w:rPr>
          <w:i/>
          <w:iCs/>
        </w:rPr>
        <w:t>Clean Energy</w:t>
      </w:r>
      <w:r w:rsidRPr="00105ABD">
        <w:rPr>
          <w:i/>
          <w:iCs/>
        </w:rPr>
        <w:t xml:space="preserve"> Act 2011</w:t>
      </w:r>
      <w:r w:rsidRPr="00105ABD">
        <w:t xml:space="preserve"> (the </w:t>
      </w:r>
      <w:r w:rsidR="008F0555">
        <w:t>CE</w:t>
      </w:r>
      <w:r w:rsidR="006152A8">
        <w:t xml:space="preserve"> </w:t>
      </w:r>
      <w:r w:rsidRPr="00105ABD">
        <w:t xml:space="preserve">Act) </w:t>
      </w:r>
      <w:r w:rsidR="00906346">
        <w:t xml:space="preserve">provides </w:t>
      </w:r>
      <w:r w:rsidR="008F0555">
        <w:t>that the Governor</w:t>
      </w:r>
      <w:r w:rsidR="008F0555">
        <w:noBreakHyphen/>
      </w:r>
      <w:r>
        <w:t xml:space="preserve">General may make regulations prescribing matters required or permitted by the </w:t>
      </w:r>
      <w:r w:rsidR="008F0555">
        <w:t>CE</w:t>
      </w:r>
      <w:r w:rsidR="006152A8">
        <w:t xml:space="preserve"> Act</w:t>
      </w:r>
      <w:r>
        <w:t xml:space="preserve"> to be prescribed, or necessary or convenient to be prescribed for carrying out or giving effect to the Act. </w:t>
      </w:r>
      <w:r w:rsidR="000C4649">
        <w:t xml:space="preserve">The </w:t>
      </w:r>
      <w:r w:rsidR="008F0555">
        <w:t>CE</w:t>
      </w:r>
      <w:r w:rsidR="000C4649">
        <w:t xml:space="preserve"> Act, together with the </w:t>
      </w:r>
      <w:r w:rsidR="000C4649">
        <w:rPr>
          <w:iCs/>
        </w:rPr>
        <w:t>other Acts of the Clean Energy Legislative Package, sets up the carbon pricing mechanism (the mechanism)</w:t>
      </w:r>
      <w:r w:rsidR="000C4649">
        <w:t xml:space="preserve"> as part of the Government’s climate change plan, as set out in </w:t>
      </w:r>
      <w:r w:rsidR="000C4649" w:rsidRPr="00387433">
        <w:rPr>
          <w:i/>
        </w:rPr>
        <w:t>Securing a clean energy future: the Australian Government’s climate change plan</w:t>
      </w:r>
      <w:r w:rsidR="000C4649">
        <w:t xml:space="preserve">. </w:t>
      </w:r>
    </w:p>
    <w:p w:rsidR="00CD4652" w:rsidRDefault="00CD4652" w:rsidP="00CD4652">
      <w:pPr>
        <w:spacing w:before="100" w:beforeAutospacing="1" w:after="100" w:afterAutospacing="1"/>
      </w:pPr>
      <w:r w:rsidRPr="00583C11">
        <w:t xml:space="preserve">Section 161 of the </w:t>
      </w:r>
      <w:r w:rsidRPr="00583C11">
        <w:rPr>
          <w:i/>
          <w:iCs/>
        </w:rPr>
        <w:t xml:space="preserve">Renewable Energy (Electricity) Act 2000 </w:t>
      </w:r>
      <w:r w:rsidRPr="00583C11">
        <w:t xml:space="preserve">(the </w:t>
      </w:r>
      <w:r>
        <w:t xml:space="preserve">RET </w:t>
      </w:r>
      <w:r w:rsidRPr="00583C11">
        <w:t>Act)</w:t>
      </w:r>
      <w:r>
        <w:t xml:space="preserve"> </w:t>
      </w:r>
      <w:r w:rsidRPr="00583C11">
        <w:t xml:space="preserve">provides, in part, that the Governor-General may make </w:t>
      </w:r>
      <w:r w:rsidR="002008BA">
        <w:t>r</w:t>
      </w:r>
      <w:r w:rsidRPr="00583C11">
        <w:t xml:space="preserve">egulations prescribing matters required or permitted by the </w:t>
      </w:r>
      <w:r>
        <w:t xml:space="preserve">RET </w:t>
      </w:r>
      <w:r w:rsidRPr="00583C11">
        <w:t xml:space="preserve">Act, or necessary or convenient to be prescribed for carrying out or giving effect to the </w:t>
      </w:r>
      <w:r>
        <w:t xml:space="preserve">RET </w:t>
      </w:r>
      <w:r w:rsidRPr="00583C11">
        <w:t>Act.</w:t>
      </w:r>
      <w:r>
        <w:t xml:space="preserve"> The RET Act establishes the Renewable Energy Target (RET) scheme to encourage electricity generation from eligible energy sources. </w:t>
      </w:r>
    </w:p>
    <w:p w:rsidR="00A04A44" w:rsidRPr="004470C2" w:rsidRDefault="00B10716" w:rsidP="00A04A44">
      <w:pPr>
        <w:ind w:right="91"/>
        <w:rPr>
          <w:lang w:val="en-GB"/>
        </w:rPr>
      </w:pPr>
      <w:r w:rsidRPr="002776A1">
        <w:rPr>
          <w:lang w:val="en-GB"/>
        </w:rPr>
        <w:t xml:space="preserve">The </w:t>
      </w:r>
      <w:r w:rsidR="00597734" w:rsidRPr="00597734">
        <w:rPr>
          <w:i/>
        </w:rPr>
        <w:t>Clean Energy Legislation Amendment (Various Measures) Regulation 2013</w:t>
      </w:r>
      <w:r w:rsidRPr="002776A1">
        <w:rPr>
          <w:lang w:val="en-GB"/>
        </w:rPr>
        <w:t xml:space="preserve"> </w:t>
      </w:r>
      <w:r w:rsidR="007530D3">
        <w:rPr>
          <w:lang w:val="en-GB"/>
        </w:rPr>
        <w:t>(the </w:t>
      </w:r>
      <w:r>
        <w:rPr>
          <w:lang w:val="en-GB"/>
        </w:rPr>
        <w:t xml:space="preserve">Regulation) </w:t>
      </w:r>
      <w:r w:rsidR="00A04A44" w:rsidRPr="00356E5E">
        <w:rPr>
          <w:lang w:val="en-GB"/>
        </w:rPr>
        <w:t>amend</w:t>
      </w:r>
      <w:r w:rsidR="00A04A44">
        <w:rPr>
          <w:lang w:val="en-GB"/>
        </w:rPr>
        <w:t>s</w:t>
      </w:r>
      <w:r w:rsidR="00A04A44" w:rsidRPr="00356E5E">
        <w:rPr>
          <w:lang w:val="en-GB"/>
        </w:rPr>
        <w:t xml:space="preserve"> the </w:t>
      </w:r>
      <w:r w:rsidR="00A04A44" w:rsidRPr="00356E5E">
        <w:rPr>
          <w:i/>
          <w:lang w:val="en-GB"/>
        </w:rPr>
        <w:t>Clean Energy Regulations 2011</w:t>
      </w:r>
      <w:r w:rsidR="00A04A44" w:rsidRPr="00356E5E">
        <w:rPr>
          <w:lang w:val="en-GB"/>
        </w:rPr>
        <w:t xml:space="preserve"> </w:t>
      </w:r>
      <w:r w:rsidR="00A04A44">
        <w:rPr>
          <w:lang w:val="en-GB"/>
        </w:rPr>
        <w:t xml:space="preserve">(the CE Regulations) and the </w:t>
      </w:r>
      <w:r w:rsidR="00A04A44" w:rsidRPr="004470C2">
        <w:rPr>
          <w:i/>
          <w:lang w:val="en-GB"/>
        </w:rPr>
        <w:t>Renewable Energy (Electricity) Regulations 2001</w:t>
      </w:r>
      <w:r w:rsidR="00A04A44" w:rsidRPr="004470C2">
        <w:rPr>
          <w:lang w:val="en-GB"/>
        </w:rPr>
        <w:t xml:space="preserve"> (the RET Regulations).</w:t>
      </w:r>
    </w:p>
    <w:p w:rsidR="00B10716" w:rsidRPr="004470C2" w:rsidRDefault="00A04A44" w:rsidP="00B10716">
      <w:pPr>
        <w:tabs>
          <w:tab w:val="left" w:pos="851"/>
        </w:tabs>
        <w:rPr>
          <w:lang w:val="en-GB"/>
        </w:rPr>
      </w:pPr>
      <w:r w:rsidRPr="004470C2">
        <w:rPr>
          <w:lang w:val="en-GB"/>
        </w:rPr>
        <w:t xml:space="preserve">The CE Regulations are amended </w:t>
      </w:r>
      <w:r w:rsidR="00B10716" w:rsidRPr="004470C2">
        <w:rPr>
          <w:lang w:val="en-GB"/>
        </w:rPr>
        <w:t>to:</w:t>
      </w:r>
    </w:p>
    <w:p w:rsidR="00CF0EF3" w:rsidRPr="004470C2" w:rsidRDefault="007B09BA" w:rsidP="00B10716">
      <w:pPr>
        <w:numPr>
          <w:ilvl w:val="0"/>
          <w:numId w:val="27"/>
        </w:numPr>
        <w:rPr>
          <w:lang w:val="en-GB"/>
        </w:rPr>
      </w:pPr>
      <w:r>
        <w:t>remove one gas processing plant</w:t>
      </w:r>
      <w:r w:rsidR="00CF0EF3" w:rsidRPr="004470C2">
        <w:t xml:space="preserve"> in S</w:t>
      </w:r>
      <w:r w:rsidR="0059795E" w:rsidRPr="004470C2">
        <w:t>chedule 2 of the CE Regulations;</w:t>
      </w:r>
    </w:p>
    <w:p w:rsidR="00CF0EF3" w:rsidRPr="004470C2" w:rsidRDefault="00CF0EF3" w:rsidP="00B10716">
      <w:pPr>
        <w:numPr>
          <w:ilvl w:val="0"/>
          <w:numId w:val="27"/>
        </w:numPr>
        <w:rPr>
          <w:lang w:val="en-GB"/>
        </w:rPr>
      </w:pPr>
      <w:r w:rsidRPr="004470C2">
        <w:t>l</w:t>
      </w:r>
      <w:r w:rsidR="00214584" w:rsidRPr="004470C2">
        <w:t>ist</w:t>
      </w:r>
      <w:r w:rsidRPr="004470C2">
        <w:t xml:space="preserve"> </w:t>
      </w:r>
      <w:r w:rsidR="00214584" w:rsidRPr="004470C2">
        <w:t>16</w:t>
      </w:r>
      <w:r w:rsidRPr="004470C2">
        <w:t xml:space="preserve"> additional </w:t>
      </w:r>
      <w:r w:rsidR="00214584" w:rsidRPr="004470C2">
        <w:t>gas processing plants in S</w:t>
      </w:r>
      <w:r w:rsidR="0059795E" w:rsidRPr="004470C2">
        <w:t>chedule 2 of the CE Regulations;</w:t>
      </w:r>
    </w:p>
    <w:p w:rsidR="00B10716" w:rsidRPr="004470C2" w:rsidRDefault="0059795E" w:rsidP="00B10716">
      <w:pPr>
        <w:numPr>
          <w:ilvl w:val="0"/>
          <w:numId w:val="27"/>
        </w:numPr>
        <w:rPr>
          <w:lang w:val="en-GB"/>
        </w:rPr>
      </w:pPr>
      <w:r w:rsidRPr="004470C2">
        <w:t>allow for voluntary OTN quotation for uses of LPG and LNG that do not result in emissions, in addition to use as a feedstock; and</w:t>
      </w:r>
    </w:p>
    <w:p w:rsidR="0059795E" w:rsidRPr="004470C2" w:rsidRDefault="0059795E" w:rsidP="00B10716">
      <w:pPr>
        <w:numPr>
          <w:ilvl w:val="0"/>
          <w:numId w:val="27"/>
        </w:numPr>
        <w:rPr>
          <w:lang w:val="en-GB"/>
        </w:rPr>
      </w:pPr>
      <w:r w:rsidRPr="004470C2">
        <w:t>provide a netted-out number in situations where a producer or importer uses LPG or LNG at their own facility that is also liable under the direct emitter provisions of the CE Act.</w:t>
      </w:r>
    </w:p>
    <w:p w:rsidR="00BE4869" w:rsidRDefault="00BE4869" w:rsidP="002B0E35">
      <w:pPr>
        <w:widowControl/>
        <w:autoSpaceDE/>
        <w:autoSpaceDN/>
        <w:adjustRightInd/>
        <w:rPr>
          <w:lang w:val="en-GB"/>
        </w:rPr>
      </w:pPr>
      <w:r w:rsidRPr="00BE4869">
        <w:rPr>
          <w:lang w:val="en-GB"/>
        </w:rPr>
        <w:t>The Regulation also amends the CE Regulations and the RET Regulations to make a minor change to the description of the production of nickel emissions-intensive trade-exposed (EITE) activity and extend the Jobs and Competitiveness Program (the Program) and Partial Exemption Certificate (PEC) application deadlines for the activity.</w:t>
      </w:r>
    </w:p>
    <w:p w:rsidR="00F44CD0" w:rsidRDefault="00F44CD0" w:rsidP="00F44CD0">
      <w:pPr>
        <w:keepNext/>
        <w:rPr>
          <w:i/>
          <w:iCs/>
          <w:u w:val="single"/>
        </w:rPr>
      </w:pPr>
      <w:r>
        <w:rPr>
          <w:i/>
          <w:iCs/>
          <w:u w:val="single"/>
          <w:lang w:val="en-GB"/>
        </w:rPr>
        <w:lastRenderedPageBreak/>
        <w:t>Amendments to the treatment of liquefied petroleum gas and liquefied natural gas</w:t>
      </w:r>
    </w:p>
    <w:p w:rsidR="00F44CD0" w:rsidRDefault="00F44CD0" w:rsidP="00F44CD0">
      <w:pPr>
        <w:ind w:right="91"/>
      </w:pPr>
      <w:r>
        <w:t xml:space="preserve">Part 3, Division 3A of the CE Act sets out the requirements for liability to arise for LPG and LNG used for non-transport purposes from 1 July 2013. Default liability under the carbon pricing mechanism rests with the person that would pay duty on the fuel when it is entered for home consumption. The CE Act further allows for ‘fine tuning’ of liability where the general rules result in liability being applied in situations when it should not, such as cases where liability may be applied twice. </w:t>
      </w:r>
    </w:p>
    <w:p w:rsidR="00F44CD0" w:rsidRDefault="00F44CD0" w:rsidP="00F44CD0">
      <w:pPr>
        <w:ind w:right="91"/>
      </w:pPr>
      <w:r>
        <w:t>The Regulation enables a person that is liable for an amount of LPG or LNG under sections 36B or 36C of the CE Act to reduce their liability by ‘netting</w:t>
      </w:r>
      <w:r>
        <w:noBreakHyphen/>
        <w:t xml:space="preserve">out’ any amount that the person is also directly liable for from the combustion of that LPG or LNG. This ensures that liability is not applied twice in these situations. The Regulation also makes other minor amendments including enabling a person that is liable for an amount of LPG or LNG to net-out an amount where its use does not result in emissions. </w:t>
      </w:r>
    </w:p>
    <w:p w:rsidR="00F44CD0" w:rsidRDefault="00F44CD0" w:rsidP="00F44CD0">
      <w:pPr>
        <w:ind w:right="91"/>
        <w:rPr>
          <w:i/>
          <w:iCs/>
          <w:u w:val="single"/>
          <w:lang w:val="en-GB"/>
        </w:rPr>
      </w:pPr>
      <w:r>
        <w:rPr>
          <w:i/>
          <w:iCs/>
          <w:u w:val="single"/>
          <w:lang w:val="en-GB"/>
        </w:rPr>
        <w:t xml:space="preserve">Amendments relating to </w:t>
      </w:r>
      <w:r w:rsidRPr="00FF7984">
        <w:rPr>
          <w:i/>
          <w:iCs/>
          <w:u w:val="single"/>
          <w:lang w:val="en-GB"/>
        </w:rPr>
        <w:t>natural gas supply pipelines</w:t>
      </w:r>
    </w:p>
    <w:p w:rsidR="00F44CD0" w:rsidRPr="00FF7984" w:rsidRDefault="00F44CD0" w:rsidP="00F44CD0">
      <w:pPr>
        <w:ind w:right="91"/>
      </w:pPr>
      <w:r>
        <w:t xml:space="preserve">Part 3, Division 3 of the CE Act applies liability to a natural gas supplier where they supply natural gas through a ‘natural gas supply pipeline’ to a recipient for use. The CE </w:t>
      </w:r>
      <w:r w:rsidRPr="00DB30C2">
        <w:t>Act</w:t>
      </w:r>
      <w:r>
        <w:t xml:space="preserve"> provides for certain supplies of natural gas to be excluded in the Regulations. This exclusion is achieved by excluding some pipelines from the definition of ‘natural gas supply pipelines’.</w:t>
      </w:r>
      <w:r w:rsidR="00C527C4">
        <w:t xml:space="preserve"> </w:t>
      </w:r>
      <w:r w:rsidR="00C527C4">
        <w:rPr>
          <w:lang w:val="en-GB"/>
        </w:rPr>
        <w:t>The </w:t>
      </w:r>
      <w:r>
        <w:rPr>
          <w:lang w:val="en-GB"/>
        </w:rPr>
        <w:t xml:space="preserve">Regulation </w:t>
      </w:r>
      <w:r w:rsidRPr="002776A1">
        <w:rPr>
          <w:lang w:val="en-GB"/>
        </w:rPr>
        <w:t>amend</w:t>
      </w:r>
      <w:r>
        <w:rPr>
          <w:lang w:val="en-GB"/>
        </w:rPr>
        <w:t xml:space="preserve">s Schedule 2 to list an additional 16 gas processing plants. Anything upstream </w:t>
      </w:r>
      <w:r w:rsidRPr="00051D8F">
        <w:rPr>
          <w:lang w:val="en-GB"/>
        </w:rPr>
        <w:t xml:space="preserve">of a connection point or (if there is no connection point) an exit flange on a pipeline conveying natural gas from </w:t>
      </w:r>
      <w:r>
        <w:rPr>
          <w:lang w:val="en-GB"/>
        </w:rPr>
        <w:t>the</w:t>
      </w:r>
      <w:r w:rsidRPr="00051D8F">
        <w:rPr>
          <w:lang w:val="en-GB"/>
        </w:rPr>
        <w:t xml:space="preserve"> gas processing plant</w:t>
      </w:r>
      <w:r>
        <w:rPr>
          <w:lang w:val="en-GB"/>
        </w:rPr>
        <w:t>s listed</w:t>
      </w:r>
      <w:r w:rsidRPr="00051D8F">
        <w:rPr>
          <w:lang w:val="en-GB"/>
        </w:rPr>
        <w:t xml:space="preserve"> in Schedule 2 </w:t>
      </w:r>
      <w:r>
        <w:rPr>
          <w:lang w:val="en-GB"/>
        </w:rPr>
        <w:t>would</w:t>
      </w:r>
      <w:r w:rsidRPr="00051D8F">
        <w:rPr>
          <w:lang w:val="en-GB"/>
        </w:rPr>
        <w:t xml:space="preserve"> not </w:t>
      </w:r>
      <w:r>
        <w:rPr>
          <w:lang w:val="en-GB"/>
        </w:rPr>
        <w:t xml:space="preserve">be </w:t>
      </w:r>
      <w:r w:rsidRPr="00051D8F">
        <w:rPr>
          <w:lang w:val="en-GB"/>
        </w:rPr>
        <w:t xml:space="preserve">considered a </w:t>
      </w:r>
      <w:r>
        <w:rPr>
          <w:lang w:val="en-GB"/>
        </w:rPr>
        <w:t>‘</w:t>
      </w:r>
      <w:r w:rsidRPr="00051D8F">
        <w:rPr>
          <w:lang w:val="en-GB"/>
        </w:rPr>
        <w:t>natural gas supply pipeline</w:t>
      </w:r>
      <w:r>
        <w:rPr>
          <w:lang w:val="en-GB"/>
        </w:rPr>
        <w:t>’</w:t>
      </w:r>
      <w:r w:rsidRPr="00051D8F">
        <w:rPr>
          <w:lang w:val="en-GB"/>
        </w:rPr>
        <w:t>.</w:t>
      </w:r>
      <w:r>
        <w:rPr>
          <w:lang w:val="en-GB"/>
        </w:rPr>
        <w:t xml:space="preserve"> The Regulation also removes one gas processing plant as it is no longer in operation.</w:t>
      </w:r>
    </w:p>
    <w:p w:rsidR="00F44CD0" w:rsidRPr="004116FF" w:rsidRDefault="00F44CD0" w:rsidP="00F44CD0">
      <w:pPr>
        <w:keepNext/>
        <w:rPr>
          <w:i/>
          <w:u w:val="single"/>
        </w:rPr>
      </w:pPr>
      <w:r w:rsidRPr="004E15CF">
        <w:rPr>
          <w:i/>
          <w:u w:val="single"/>
          <w:lang w:val="en-GB"/>
        </w:rPr>
        <w:t xml:space="preserve">Amendments to the </w:t>
      </w:r>
      <w:r w:rsidRPr="004116FF">
        <w:rPr>
          <w:i/>
          <w:u w:val="single"/>
        </w:rPr>
        <w:t>Jobs and Competitiveness Program</w:t>
      </w:r>
    </w:p>
    <w:p w:rsidR="00F44CD0" w:rsidRPr="002F5FB4" w:rsidRDefault="00F44CD0" w:rsidP="00F44CD0">
      <w:pPr>
        <w:tabs>
          <w:tab w:val="left" w:pos="851"/>
        </w:tabs>
      </w:pPr>
      <w:r w:rsidRPr="002776A1">
        <w:t xml:space="preserve">Part 7 of the </w:t>
      </w:r>
      <w:r>
        <w:t xml:space="preserve">CE </w:t>
      </w:r>
      <w:r w:rsidRPr="002776A1">
        <w:t>Act</w:t>
      </w:r>
      <w:r w:rsidRPr="002776A1">
        <w:rPr>
          <w:lang w:val="en-GB"/>
        </w:rPr>
        <w:t xml:space="preserve"> provides for the establishment of the </w:t>
      </w:r>
      <w:r>
        <w:t xml:space="preserve">the Program </w:t>
      </w:r>
      <w:r w:rsidRPr="002776A1">
        <w:t xml:space="preserve">to support </w:t>
      </w:r>
      <w:r>
        <w:t xml:space="preserve">industries conducting </w:t>
      </w:r>
      <w:r w:rsidRPr="002776A1">
        <w:t xml:space="preserve">EITE </w:t>
      </w:r>
      <w:r>
        <w:t>activities</w:t>
      </w:r>
      <w:r w:rsidRPr="002776A1">
        <w:t>.</w:t>
      </w:r>
      <w:r>
        <w:t xml:space="preserve"> The administrative framework f</w:t>
      </w:r>
      <w:r w:rsidR="00C527C4">
        <w:t>or this is provided under the CE </w:t>
      </w:r>
      <w:r>
        <w:t>Regulations. The RET Act also provides for assistance in the form of PECs from the requirement to purchase renewable energy for electricity consumed by industries conducting EITE activities. The administrative framework for this is provided under t</w:t>
      </w:r>
      <w:r w:rsidRPr="006C5B76">
        <w:t xml:space="preserve">he </w:t>
      </w:r>
      <w:r>
        <w:t>RET</w:t>
      </w:r>
      <w:r w:rsidRPr="006C5B76">
        <w:t xml:space="preserve"> Regulations</w:t>
      </w:r>
      <w:r>
        <w:t>.</w:t>
      </w:r>
    </w:p>
    <w:p w:rsidR="00F44CD0" w:rsidRDefault="00F44CD0" w:rsidP="00F44CD0">
      <w:pPr>
        <w:tabs>
          <w:tab w:val="left" w:pos="851"/>
        </w:tabs>
        <w:rPr>
          <w:lang w:val="en-GB"/>
        </w:rPr>
      </w:pPr>
      <w:r>
        <w:rPr>
          <w:lang w:val="en-GB"/>
        </w:rPr>
        <w:t>The Regulation a</w:t>
      </w:r>
      <w:r w:rsidRPr="002776A1">
        <w:rPr>
          <w:lang w:val="en-GB"/>
        </w:rPr>
        <w:t>mend</w:t>
      </w:r>
      <w:r>
        <w:rPr>
          <w:lang w:val="en-GB"/>
        </w:rPr>
        <w:t>s</w:t>
      </w:r>
      <w:r w:rsidRPr="002776A1">
        <w:rPr>
          <w:lang w:val="en-GB"/>
        </w:rPr>
        <w:t xml:space="preserve"> the</w:t>
      </w:r>
      <w:r>
        <w:rPr>
          <w:lang w:val="en-GB"/>
        </w:rPr>
        <w:t xml:space="preserve"> existing EITE activity of the production of nickel in the</w:t>
      </w:r>
      <w:r w:rsidRPr="00D24715">
        <w:rPr>
          <w:lang w:val="en-GB"/>
        </w:rPr>
        <w:t xml:space="preserve"> </w:t>
      </w:r>
      <w:r w:rsidR="00C527C4">
        <w:rPr>
          <w:lang w:val="en-GB"/>
        </w:rPr>
        <w:t>CE </w:t>
      </w:r>
      <w:r>
        <w:rPr>
          <w:lang w:val="en-GB"/>
        </w:rPr>
        <w:t xml:space="preserve">Regulations and RET Regulations by reducing the </w:t>
      </w:r>
      <w:r w:rsidRPr="00765666">
        <w:rPr>
          <w:lang w:val="en-GB"/>
        </w:rPr>
        <w:t>minimum nickel concentration in</w:t>
      </w:r>
      <w:r>
        <w:rPr>
          <w:lang w:val="en-GB"/>
        </w:rPr>
        <w:t xml:space="preserve"> the definition of </w:t>
      </w:r>
      <w:r>
        <w:t>nickel sulphide concentrate</w:t>
      </w:r>
      <w:r w:rsidRPr="00765666">
        <w:rPr>
          <w:lang w:val="en-GB"/>
        </w:rPr>
        <w:t xml:space="preserve"> </w:t>
      </w:r>
      <w:r>
        <w:rPr>
          <w:lang w:val="en-GB"/>
        </w:rPr>
        <w:t>from 11 per cent to 6.5 per cent. The Regulation makes associated administrative amendments to the deadline for applications for free carbon units and PECs to allow entities undertaking these activities to submit applications in respect of the current years if the changes described above come into effect.</w:t>
      </w:r>
    </w:p>
    <w:p w:rsidR="00F44CD0" w:rsidRDefault="00F44CD0" w:rsidP="00283C6B">
      <w:pPr>
        <w:keepNext/>
        <w:keepLines/>
        <w:tabs>
          <w:tab w:val="left" w:pos="851"/>
        </w:tabs>
      </w:pPr>
      <w:r w:rsidRPr="002776A1">
        <w:lastRenderedPageBreak/>
        <w:t>Subsection</w:t>
      </w:r>
      <w:r>
        <w:t> </w:t>
      </w:r>
      <w:r w:rsidRPr="002776A1">
        <w:t xml:space="preserve">145(5) of the </w:t>
      </w:r>
      <w:r>
        <w:t xml:space="preserve">CE </w:t>
      </w:r>
      <w:r w:rsidRPr="002776A1">
        <w:t>Act provides that</w:t>
      </w:r>
      <w:r w:rsidR="007B09BA">
        <w:t>,</w:t>
      </w:r>
      <w:r w:rsidRPr="002776A1">
        <w:t xml:space="preserve"> i</w:t>
      </w:r>
      <w:r w:rsidRPr="002F5FB4">
        <w:t>n making a recommendation to the</w:t>
      </w:r>
      <w:r>
        <w:t xml:space="preserve"> </w:t>
      </w:r>
      <w:r w:rsidRPr="002F5FB4">
        <w:t>Governor</w:t>
      </w:r>
      <w:r>
        <w:noBreakHyphen/>
      </w:r>
      <w:r w:rsidRPr="002F5FB4">
        <w:t>General about regulations made for the purposes of subsection 145(1) of the Act, the Minister must have regard to the aim and objects of Part 7 of the Act; the most recent report given to the Productivity Minister by the Productivity Commission in relation to an inquiry mentioned in section 155 of the Act; and the principle that changes that will have a negative effect on recipients of assistance under the Program should not take effect before the later of 1 July 2017 or the end of the three-year period that begins when the reduction is announced.</w:t>
      </w:r>
      <w:r>
        <w:t xml:space="preserve"> T</w:t>
      </w:r>
      <w:r w:rsidRPr="002F5FB4">
        <w:t>here are currently no relevant reports from the Productivity Commission.</w:t>
      </w:r>
      <w:r>
        <w:t xml:space="preserve"> The Minister has had regard to the principles in subsection 145(5), and decided to implement changes to the production of nickel activity in accordance with these principles.</w:t>
      </w:r>
    </w:p>
    <w:p w:rsidR="009077DC" w:rsidRPr="00105ABD" w:rsidRDefault="005209B5" w:rsidP="002B0E35">
      <w:pPr>
        <w:widowControl/>
        <w:autoSpaceDE/>
        <w:autoSpaceDN/>
        <w:adjustRightInd/>
        <w:rPr>
          <w:color w:val="000000"/>
        </w:rPr>
      </w:pPr>
      <w:r>
        <w:rPr>
          <w:color w:val="000000"/>
        </w:rPr>
        <w:t>Details of the Regulation</w:t>
      </w:r>
      <w:r w:rsidR="009077DC">
        <w:rPr>
          <w:color w:val="000000"/>
        </w:rPr>
        <w:t xml:space="preserve"> are set out in </w:t>
      </w:r>
      <w:r w:rsidR="009077DC">
        <w:rPr>
          <w:color w:val="000000"/>
          <w:u w:val="single"/>
        </w:rPr>
        <w:t xml:space="preserve">Attachment </w:t>
      </w:r>
      <w:r w:rsidR="005B7D70">
        <w:rPr>
          <w:color w:val="000000"/>
          <w:u w:val="single"/>
        </w:rPr>
        <w:t>A</w:t>
      </w:r>
      <w:r w:rsidR="009077DC">
        <w:rPr>
          <w:color w:val="000000"/>
        </w:rPr>
        <w:t>.</w:t>
      </w:r>
    </w:p>
    <w:p w:rsidR="009077DC" w:rsidRPr="00105ABD" w:rsidRDefault="005209B5" w:rsidP="009077DC">
      <w:pPr>
        <w:widowControl/>
        <w:autoSpaceDE/>
        <w:autoSpaceDN/>
        <w:adjustRightInd/>
        <w:spacing w:before="100" w:beforeAutospacing="1" w:after="100" w:afterAutospacing="1"/>
        <w:ind w:right="91"/>
      </w:pPr>
      <w:r>
        <w:t>The Regulation is</w:t>
      </w:r>
      <w:r w:rsidR="009077DC">
        <w:t xml:space="preserve"> a legislative instrument for the purposes of the </w:t>
      </w:r>
      <w:r w:rsidR="009077DC">
        <w:rPr>
          <w:i/>
          <w:iCs/>
        </w:rPr>
        <w:t>Legislative Instruments Act 2003</w:t>
      </w:r>
      <w:r w:rsidR="009077DC">
        <w:t>.</w:t>
      </w:r>
    </w:p>
    <w:p w:rsidR="004470C2" w:rsidRDefault="004470C2" w:rsidP="004470C2">
      <w:pPr>
        <w:tabs>
          <w:tab w:val="left" w:pos="6521"/>
        </w:tabs>
        <w:spacing w:before="0"/>
        <w:ind w:right="91"/>
      </w:pPr>
      <w:r w:rsidRPr="008408DC">
        <w:t>Sections 1-</w:t>
      </w:r>
      <w:r>
        <w:t>4</w:t>
      </w:r>
      <w:r w:rsidRPr="008408DC">
        <w:t xml:space="preserve"> and Schedule 1, items 1 to 10, 17</w:t>
      </w:r>
      <w:r>
        <w:t xml:space="preserve">, </w:t>
      </w:r>
      <w:r w:rsidRPr="008408DC">
        <w:t>18</w:t>
      </w:r>
      <w:r>
        <w:t xml:space="preserve"> and 19</w:t>
      </w:r>
      <w:r w:rsidRPr="008408DC">
        <w:t xml:space="preserve"> of the Regulation commence on the day after it is registered on the Federal Register of Legislative Instruments. Items 11 to 16 of Schedule 1 commence on 1 July 2013.</w:t>
      </w:r>
    </w:p>
    <w:p w:rsidR="009077DC" w:rsidRPr="00167E03" w:rsidRDefault="009077DC" w:rsidP="00094075">
      <w:pPr>
        <w:keepNext/>
        <w:widowControl/>
        <w:autoSpaceDE/>
        <w:autoSpaceDN/>
        <w:adjustRightInd/>
        <w:rPr>
          <w:b/>
          <w:color w:val="000000"/>
        </w:rPr>
      </w:pPr>
      <w:r w:rsidRPr="00167E03">
        <w:rPr>
          <w:b/>
          <w:color w:val="000000"/>
        </w:rPr>
        <w:t>Consultation</w:t>
      </w:r>
    </w:p>
    <w:p w:rsidR="0045728F" w:rsidRPr="00AA22E4" w:rsidRDefault="00A1385D" w:rsidP="00094075">
      <w:pPr>
        <w:keepNext/>
        <w:widowControl/>
        <w:autoSpaceDE/>
        <w:autoSpaceDN/>
        <w:adjustRightInd/>
        <w:rPr>
          <w:i/>
          <w:color w:val="000000"/>
          <w:u w:val="single"/>
        </w:rPr>
      </w:pPr>
      <w:r w:rsidRPr="00AA22E4">
        <w:rPr>
          <w:i/>
          <w:color w:val="000000"/>
          <w:u w:val="single"/>
        </w:rPr>
        <w:t>Amendments to the treatment of LPG and LNG</w:t>
      </w:r>
    </w:p>
    <w:p w:rsidR="0045728F" w:rsidRPr="00AA22E4" w:rsidRDefault="0045728F" w:rsidP="00094075">
      <w:pPr>
        <w:keepLines/>
      </w:pPr>
      <w:r w:rsidRPr="00AA22E4">
        <w:t xml:space="preserve">The coverage of non-transport LPG and LNG in the carbon pricing mechanism is in response to requests from industry. The then-Department of Climate Change and Energy Efficiency (DCCEE) undertook extensive consultation to develop policy for the carbon pricing mechanism coverage of LPG and LNG and the details for the legislative implementation of that policy in 2011 and 2012. </w:t>
      </w:r>
      <w:r w:rsidR="00AA22E4">
        <w:t xml:space="preserve">DCCEE also consulted on the development of the regulations for coverage of LPG and LNG under the carbon pricing mechanism. </w:t>
      </w:r>
    </w:p>
    <w:p w:rsidR="0045728F" w:rsidRPr="00AA22E4" w:rsidRDefault="0045728F" w:rsidP="0045728F">
      <w:r w:rsidRPr="00AA22E4">
        <w:t>The Department of Industry, Innovation, Climate Change, Science, Research and Tertiary Education (the Department)</w:t>
      </w:r>
      <w:r w:rsidR="001862FD" w:rsidRPr="00AA22E4">
        <w:t xml:space="preserve"> </w:t>
      </w:r>
      <w:r w:rsidR="007E2B61">
        <w:t>provided</w:t>
      </w:r>
      <w:r w:rsidR="001862FD" w:rsidRPr="00AA22E4">
        <w:t xml:space="preserve"> a short consultation paper to the LPG and LNG industry regarding the</w:t>
      </w:r>
      <w:r w:rsidRPr="00AA22E4">
        <w:t xml:space="preserve"> </w:t>
      </w:r>
      <w:r w:rsidR="004B59AB" w:rsidRPr="00AA22E4">
        <w:t xml:space="preserve">proposal in the </w:t>
      </w:r>
      <w:r w:rsidRPr="00AA22E4">
        <w:t>amendment regulations</w:t>
      </w:r>
      <w:r w:rsidR="001862FD" w:rsidRPr="00AA22E4">
        <w:t xml:space="preserve"> </w:t>
      </w:r>
      <w:r w:rsidR="004B59AB" w:rsidRPr="00AA22E4">
        <w:t>to allow for a</w:t>
      </w:r>
      <w:r w:rsidR="00AA22E4">
        <w:t>n additional</w:t>
      </w:r>
      <w:r w:rsidR="004B59AB" w:rsidRPr="00AA22E4">
        <w:t xml:space="preserve"> netted-out number </w:t>
      </w:r>
      <w:r w:rsidR="00AA22E4">
        <w:t>for importers or producers of LPG or LNG where the importer or producer is also liable under another division</w:t>
      </w:r>
      <w:r w:rsidR="007E2B61">
        <w:t xml:space="preserve"> of the CE Act. The Department </w:t>
      </w:r>
      <w:r w:rsidR="001862FD" w:rsidRPr="00AA22E4">
        <w:t>received a submission in response from the peak LPG and LNG stakeholder group</w:t>
      </w:r>
      <w:r w:rsidRPr="00AA22E4">
        <w:t>.</w:t>
      </w:r>
      <w:r w:rsidR="00AA22E4">
        <w:t xml:space="preserve"> </w:t>
      </w:r>
    </w:p>
    <w:p w:rsidR="00AB3D58" w:rsidRDefault="00AB3D58" w:rsidP="00AB3D58">
      <w:pPr>
        <w:ind w:right="91"/>
        <w:rPr>
          <w:i/>
          <w:iCs/>
          <w:u w:val="single"/>
          <w:lang w:val="en-GB"/>
        </w:rPr>
      </w:pPr>
      <w:r>
        <w:rPr>
          <w:i/>
          <w:iCs/>
          <w:u w:val="single"/>
          <w:lang w:val="en-GB"/>
        </w:rPr>
        <w:t xml:space="preserve">Amendments relating to </w:t>
      </w:r>
      <w:r w:rsidRPr="00FF7984">
        <w:rPr>
          <w:i/>
          <w:iCs/>
          <w:u w:val="single"/>
          <w:lang w:val="en-GB"/>
        </w:rPr>
        <w:t>natural gas supply pipelines</w:t>
      </w:r>
    </w:p>
    <w:p w:rsidR="00AB3D58" w:rsidRDefault="00AB3D58" w:rsidP="00AB3D58">
      <w:pPr>
        <w:keepLines/>
      </w:pPr>
      <w:r>
        <w:t xml:space="preserve">In late 2012, DCCEE called for proposals to make amendments to the list of gas processing plants provided in Schedule 2 of the CE Regulations. Following the assessment of </w:t>
      </w:r>
      <w:r w:rsidR="005227E8">
        <w:t xml:space="preserve">the </w:t>
      </w:r>
      <w:r>
        <w:t>proposals</w:t>
      </w:r>
      <w:r w:rsidR="005227E8">
        <w:t xml:space="preserve">, </w:t>
      </w:r>
      <w:r w:rsidR="00C527C4">
        <w:t xml:space="preserve">The Department then </w:t>
      </w:r>
      <w:r w:rsidR="005227E8">
        <w:t xml:space="preserve">exposed a draft of the amendments to the CE Regulations on 12 April 2013 and received </w:t>
      </w:r>
      <w:r w:rsidR="00D23DD2">
        <w:t>six</w:t>
      </w:r>
      <w:r w:rsidR="005227E8">
        <w:t xml:space="preserve"> submissions.  </w:t>
      </w:r>
    </w:p>
    <w:p w:rsidR="005227E8" w:rsidRDefault="007B09BA" w:rsidP="00D23DD2">
      <w:pPr>
        <w:keepNext/>
        <w:keepLines/>
      </w:pPr>
      <w:r>
        <w:lastRenderedPageBreak/>
        <w:t xml:space="preserve">Officers of the </w:t>
      </w:r>
      <w:r w:rsidR="00D23DD2">
        <w:t xml:space="preserve">Department </w:t>
      </w:r>
      <w:r w:rsidR="005227E8">
        <w:t xml:space="preserve">have </w:t>
      </w:r>
      <w:r w:rsidR="00214584">
        <w:t xml:space="preserve">also </w:t>
      </w:r>
      <w:r w:rsidR="005227E8">
        <w:t xml:space="preserve">had numerous discussions with </w:t>
      </w:r>
      <w:r w:rsidR="00214584">
        <w:t>the proposal proponents, the wider industry</w:t>
      </w:r>
      <w:r w:rsidR="005227E8">
        <w:t xml:space="preserve"> and the Clean Energy Regulator in the development of these amendment regulations.</w:t>
      </w:r>
    </w:p>
    <w:p w:rsidR="00C3490C" w:rsidRPr="00BE4869" w:rsidRDefault="00C3490C" w:rsidP="00C3490C">
      <w:pPr>
        <w:rPr>
          <w:i/>
          <w:u w:val="single"/>
          <w:lang w:val="en-GB"/>
        </w:rPr>
      </w:pPr>
      <w:r w:rsidRPr="00BE4869">
        <w:rPr>
          <w:i/>
          <w:u w:val="single"/>
          <w:lang w:val="en-GB"/>
        </w:rPr>
        <w:t>Amendments to the Jobs and Competitiveness Program</w:t>
      </w:r>
    </w:p>
    <w:p w:rsidR="00BE4869" w:rsidRPr="00634C6A" w:rsidRDefault="00BE4869" w:rsidP="00BE4869">
      <w:pPr>
        <w:keepLines/>
        <w:rPr>
          <w:lang w:val="en-GB"/>
        </w:rPr>
      </w:pPr>
      <w:r w:rsidRPr="00634C6A">
        <w:rPr>
          <w:lang w:val="en-GB"/>
        </w:rPr>
        <w:t xml:space="preserve">Since 2011, </w:t>
      </w:r>
      <w:r w:rsidR="007B09BA">
        <w:rPr>
          <w:lang w:val="en-GB"/>
        </w:rPr>
        <w:t xml:space="preserve">the Government has </w:t>
      </w:r>
      <w:r w:rsidRPr="00634C6A">
        <w:rPr>
          <w:lang w:val="en-GB"/>
        </w:rPr>
        <w:t xml:space="preserve">undertaken an extensive consultation process to establish the eligibility of EITE activities and develop regulations to implement the Program. </w:t>
      </w:r>
    </w:p>
    <w:p w:rsidR="00BE4869" w:rsidRPr="00634C6A" w:rsidRDefault="00BE4869" w:rsidP="00BE4869">
      <w:pPr>
        <w:pStyle w:val="NumberLevel1"/>
        <w:numPr>
          <w:ilvl w:val="0"/>
          <w:numId w:val="0"/>
        </w:numPr>
        <w:spacing w:after="240"/>
        <w:rPr>
          <w:rFonts w:ascii="Times New Roman" w:hAnsi="Times New Roman" w:cs="Times New Roman"/>
          <w:sz w:val="24"/>
          <w:szCs w:val="24"/>
          <w:lang w:val="en-GB"/>
        </w:rPr>
      </w:pPr>
      <w:r w:rsidRPr="00634C6A">
        <w:rPr>
          <w:rFonts w:ascii="Times New Roman" w:hAnsi="Times New Roman" w:cs="Times New Roman"/>
          <w:sz w:val="24"/>
          <w:szCs w:val="24"/>
          <w:lang w:val="en-GB"/>
        </w:rPr>
        <w:t xml:space="preserve">The policy framework for determining the eligibility of EITE activities for assistance under the Program was originally developed in 2009 and has been used to establish the eligibility of activities with respect to assistance provided under the RET scheme. The process for assessing activities and defining the technical aspects of the activities, including setting assistance rates and </w:t>
      </w:r>
      <w:proofErr w:type="spellStart"/>
      <w:r w:rsidRPr="00634C6A">
        <w:rPr>
          <w:rFonts w:ascii="Times New Roman" w:hAnsi="Times New Roman" w:cs="Times New Roman"/>
          <w:sz w:val="24"/>
          <w:szCs w:val="24"/>
          <w:lang w:val="en-GB"/>
        </w:rPr>
        <w:t>allocative</w:t>
      </w:r>
      <w:proofErr w:type="spellEnd"/>
      <w:r w:rsidRPr="00634C6A">
        <w:rPr>
          <w:rFonts w:ascii="Times New Roman" w:hAnsi="Times New Roman" w:cs="Times New Roman"/>
          <w:sz w:val="24"/>
          <w:szCs w:val="24"/>
          <w:lang w:val="en-GB"/>
        </w:rPr>
        <w:t xml:space="preserve"> baselines, is outlined in the paper titled </w:t>
      </w:r>
      <w:r w:rsidRPr="00634C6A">
        <w:rPr>
          <w:rFonts w:ascii="Times New Roman" w:hAnsi="Times New Roman" w:cs="Times New Roman"/>
          <w:i/>
          <w:iCs/>
          <w:sz w:val="24"/>
          <w:szCs w:val="24"/>
          <w:lang w:val="en-GB"/>
        </w:rPr>
        <w:t>Establishing the eligibility of activities under the Jobs and Competitiveness Program.</w:t>
      </w:r>
    </w:p>
    <w:p w:rsidR="00BE4869" w:rsidRPr="00634C6A" w:rsidRDefault="00BE4869" w:rsidP="00BE4869">
      <w:pPr>
        <w:pStyle w:val="NumberLevel1"/>
        <w:numPr>
          <w:ilvl w:val="0"/>
          <w:numId w:val="0"/>
        </w:numPr>
        <w:spacing w:after="240"/>
        <w:rPr>
          <w:rFonts w:ascii="Times New Roman" w:hAnsi="Times New Roman" w:cs="Times New Roman"/>
          <w:sz w:val="24"/>
          <w:szCs w:val="24"/>
          <w:lang w:val="en-GB"/>
        </w:rPr>
      </w:pPr>
      <w:r w:rsidRPr="00634C6A">
        <w:rPr>
          <w:rFonts w:ascii="Times New Roman" w:hAnsi="Times New Roman" w:cs="Times New Roman"/>
          <w:sz w:val="24"/>
          <w:szCs w:val="24"/>
          <w:lang w:val="en-GB"/>
        </w:rPr>
        <w:t>The formal process for defining and determining the eligibility of an EITE activity involves a stakeholder workshop to formulate an appropriate activity definitions and boundary, and approval of the activity definition by the relevant Minister for the purposes of data collection. Audited data based on the approved definition is then submitted to the Government. If determined to be eligible, stakeholders in the relevant industry are consulted on the drafting of the definitions to be included in the Regulations to ensure that the structure of the definitions generally reflects how the activities are conducted. This process has been followed for the production of nickel activity included in the CE Regulations and the RET Regulations.</w:t>
      </w:r>
    </w:p>
    <w:p w:rsidR="00BE4869" w:rsidRPr="00896EA4" w:rsidRDefault="00BE4869" w:rsidP="00BE4869">
      <w:pPr>
        <w:pStyle w:val="NumberLevel1"/>
        <w:numPr>
          <w:ilvl w:val="0"/>
          <w:numId w:val="0"/>
        </w:numPr>
        <w:spacing w:after="240"/>
        <w:rPr>
          <w:rFonts w:ascii="Times New Roman" w:hAnsi="Times New Roman" w:cs="Times New Roman"/>
          <w:sz w:val="24"/>
          <w:szCs w:val="24"/>
          <w:lang w:val="en-GB"/>
        </w:rPr>
      </w:pPr>
      <w:r w:rsidRPr="00896EA4">
        <w:rPr>
          <w:rFonts w:ascii="Times New Roman" w:hAnsi="Times New Roman" w:cs="Times New Roman"/>
          <w:sz w:val="24"/>
          <w:szCs w:val="24"/>
          <w:lang w:val="en-GB"/>
        </w:rPr>
        <w:t>The Department has consulted with all nickel producers regarding the changes to the nickel activity and the application deadline extension throughout the process of developing the Regulation.</w:t>
      </w:r>
    </w:p>
    <w:p w:rsidR="00C3490C" w:rsidRPr="00BE4869" w:rsidRDefault="00BE4869" w:rsidP="00BE4869">
      <w:pPr>
        <w:rPr>
          <w:highlight w:val="yellow"/>
        </w:rPr>
      </w:pPr>
      <w:r w:rsidRPr="00896EA4">
        <w:rPr>
          <w:lang w:val="en-GB"/>
        </w:rPr>
        <w:t xml:space="preserve">The Minister has taken into consideration the principles under subsection 145(5) of the </w:t>
      </w:r>
      <w:r w:rsidR="0059795E">
        <w:rPr>
          <w:lang w:val="en-GB"/>
        </w:rPr>
        <w:t xml:space="preserve">CE </w:t>
      </w:r>
      <w:r w:rsidRPr="00896EA4">
        <w:rPr>
          <w:lang w:val="en-GB"/>
        </w:rPr>
        <w:t>Act regarding changes that will have a negative impact on recipients of assistance under the Program.</w:t>
      </w:r>
    </w:p>
    <w:p w:rsidR="00642ECA" w:rsidRPr="00245CBD" w:rsidRDefault="00642ECA" w:rsidP="00060FDF">
      <w:pPr>
        <w:keepNext/>
        <w:spacing w:after="0"/>
        <w:rPr>
          <w:b/>
        </w:rPr>
      </w:pPr>
      <w:r w:rsidRPr="00245CBD">
        <w:rPr>
          <w:b/>
        </w:rPr>
        <w:t xml:space="preserve">Statement of </w:t>
      </w:r>
      <w:r>
        <w:rPr>
          <w:b/>
        </w:rPr>
        <w:t>C</w:t>
      </w:r>
      <w:r w:rsidRPr="00245CBD">
        <w:rPr>
          <w:b/>
        </w:rPr>
        <w:t xml:space="preserve">ompatibility with </w:t>
      </w:r>
      <w:r>
        <w:rPr>
          <w:b/>
        </w:rPr>
        <w:t>H</w:t>
      </w:r>
      <w:r w:rsidRPr="00245CBD">
        <w:rPr>
          <w:b/>
        </w:rPr>
        <w:t xml:space="preserve">uman </w:t>
      </w:r>
      <w:r>
        <w:rPr>
          <w:b/>
        </w:rPr>
        <w:t>R</w:t>
      </w:r>
      <w:r w:rsidRPr="00245CBD">
        <w:rPr>
          <w:b/>
        </w:rPr>
        <w:t>ights</w:t>
      </w:r>
    </w:p>
    <w:p w:rsidR="00642ECA" w:rsidRPr="00245CBD" w:rsidRDefault="00642ECA" w:rsidP="00642ECA">
      <w:pPr>
        <w:spacing w:after="0"/>
      </w:pPr>
      <w:r w:rsidRPr="00245CBD">
        <w:t>A statement of compatibility with human rights for the purposes of Part 3 of the</w:t>
      </w:r>
      <w:r>
        <w:t xml:space="preserve"> </w:t>
      </w:r>
      <w:r w:rsidRPr="00245CBD">
        <w:rPr>
          <w:i/>
        </w:rPr>
        <w:t>Human Rights (Parliamentary Scrutiny) Act 2011</w:t>
      </w:r>
      <w:r w:rsidRPr="00245CBD">
        <w:t xml:space="preserve"> is set out at </w:t>
      </w:r>
      <w:r w:rsidRPr="004F40C1">
        <w:rPr>
          <w:u w:val="single"/>
        </w:rPr>
        <w:t xml:space="preserve">Attachment </w:t>
      </w:r>
      <w:r>
        <w:rPr>
          <w:u w:val="single"/>
        </w:rPr>
        <w:t>B</w:t>
      </w:r>
      <w:r w:rsidRPr="00245CBD">
        <w:t>.</w:t>
      </w:r>
    </w:p>
    <w:p w:rsidR="009077DC" w:rsidRDefault="009077DC" w:rsidP="009077DC">
      <w:pPr>
        <w:ind w:left="6096" w:hanging="1056"/>
        <w:rPr>
          <w:i/>
          <w:iCs/>
        </w:rPr>
      </w:pPr>
    </w:p>
    <w:p w:rsidR="00E2618D" w:rsidRDefault="00E2618D" w:rsidP="008B586C">
      <w:pPr>
        <w:tabs>
          <w:tab w:val="left" w:pos="5103"/>
          <w:tab w:val="left" w:pos="5245"/>
        </w:tabs>
        <w:spacing w:before="0"/>
        <w:ind w:left="6480" w:hanging="6480"/>
      </w:pPr>
      <w:r w:rsidRPr="008B586C">
        <w:tab/>
      </w:r>
      <w:r>
        <w:rPr>
          <w:u w:val="single"/>
        </w:rPr>
        <w:t>Authority:</w:t>
      </w:r>
      <w:r>
        <w:tab/>
        <w:t xml:space="preserve">Section 312 of the </w:t>
      </w:r>
      <w:r>
        <w:rPr>
          <w:i/>
          <w:iCs/>
        </w:rPr>
        <w:t>Clean Energy Act</w:t>
      </w:r>
      <w:r>
        <w:t> </w:t>
      </w:r>
      <w:r>
        <w:rPr>
          <w:i/>
          <w:iCs/>
        </w:rPr>
        <w:t>2011</w:t>
      </w:r>
    </w:p>
    <w:p w:rsidR="00E2618D" w:rsidRDefault="00E2618D" w:rsidP="008B586C">
      <w:pPr>
        <w:tabs>
          <w:tab w:val="left" w:pos="5103"/>
          <w:tab w:val="left" w:pos="5245"/>
        </w:tabs>
        <w:spacing w:before="0"/>
        <w:ind w:left="6480" w:hanging="6480"/>
      </w:pPr>
      <w:r w:rsidRPr="008B586C">
        <w:tab/>
      </w:r>
      <w:r w:rsidRPr="008B586C">
        <w:tab/>
      </w:r>
      <w:r w:rsidRPr="008B586C">
        <w:tab/>
      </w:r>
      <w:r>
        <w:t xml:space="preserve">Section 161 of the </w:t>
      </w:r>
      <w:r>
        <w:rPr>
          <w:i/>
        </w:rPr>
        <w:t>Renewable Energy (Electricity) Act 2000</w:t>
      </w:r>
    </w:p>
    <w:p w:rsidR="00E2618D" w:rsidRPr="00105ABD" w:rsidRDefault="00E2618D" w:rsidP="009077DC">
      <w:pPr>
        <w:ind w:left="6096" w:hanging="1056"/>
      </w:pPr>
    </w:p>
    <w:p w:rsidR="00AE184C" w:rsidRDefault="00AE184C">
      <w:pPr>
        <w:widowControl/>
        <w:autoSpaceDE/>
        <w:autoSpaceDN/>
        <w:adjustRightInd/>
        <w:spacing w:before="0" w:after="200" w:line="276" w:lineRule="auto"/>
      </w:pPr>
      <w:r>
        <w:br w:type="page"/>
      </w:r>
    </w:p>
    <w:p w:rsidR="00AE184C" w:rsidRPr="00AE184C" w:rsidRDefault="00AE184C" w:rsidP="00AE184C">
      <w:pPr>
        <w:keepLines/>
        <w:widowControl/>
        <w:autoSpaceDE/>
        <w:autoSpaceDN/>
        <w:adjustRightInd/>
        <w:spacing w:before="100" w:beforeAutospacing="1" w:after="100" w:afterAutospacing="1"/>
        <w:jc w:val="right"/>
        <w:rPr>
          <w:b/>
          <w:u w:val="single"/>
        </w:rPr>
      </w:pPr>
      <w:r w:rsidRPr="00AE184C">
        <w:rPr>
          <w:b/>
          <w:u w:val="single"/>
        </w:rPr>
        <w:lastRenderedPageBreak/>
        <w:t>Attachment A</w:t>
      </w:r>
    </w:p>
    <w:p w:rsidR="00AE184C" w:rsidRDefault="00AE184C" w:rsidP="00AE184C">
      <w:pPr>
        <w:keepNext/>
        <w:keepLines/>
        <w:rPr>
          <w:b/>
          <w:bCs/>
          <w:i/>
          <w:u w:val="single"/>
          <w:lang w:val="en-GB"/>
        </w:rPr>
      </w:pPr>
      <w:r w:rsidRPr="00AE184C">
        <w:rPr>
          <w:b/>
          <w:bCs/>
          <w:u w:val="single"/>
        </w:rPr>
        <w:t xml:space="preserve">Details of the </w:t>
      </w:r>
      <w:r w:rsidRPr="00AE184C">
        <w:rPr>
          <w:b/>
          <w:bCs/>
          <w:i/>
          <w:u w:val="single"/>
          <w:lang w:val="en-GB"/>
        </w:rPr>
        <w:t>Clean Energy Legisl</w:t>
      </w:r>
      <w:r w:rsidR="0059795E">
        <w:rPr>
          <w:b/>
          <w:bCs/>
          <w:i/>
          <w:u w:val="single"/>
          <w:lang w:val="en-GB"/>
        </w:rPr>
        <w:t>ation Amendment (Various Measures) Regulation 2013</w:t>
      </w:r>
    </w:p>
    <w:p w:rsidR="00AA4A1C" w:rsidRPr="00AA4A1C" w:rsidRDefault="00AA4A1C" w:rsidP="00AE184C">
      <w:pPr>
        <w:keepNext/>
        <w:keepLines/>
        <w:rPr>
          <w:b/>
          <w:bCs/>
          <w:u w:val="single"/>
          <w:lang w:val="en-GB"/>
        </w:rPr>
      </w:pPr>
      <w:r w:rsidRPr="00AA4A1C">
        <w:rPr>
          <w:b/>
          <w:bCs/>
          <w:u w:val="single"/>
          <w:lang w:val="en-GB"/>
        </w:rPr>
        <w:t>Sections 1 to 4 </w:t>
      </w:r>
    </w:p>
    <w:p w:rsidR="00AA4A1C" w:rsidRPr="00494316" w:rsidRDefault="00AA4A1C" w:rsidP="00AE184C">
      <w:pPr>
        <w:keepNext/>
        <w:keepLines/>
        <w:rPr>
          <w:b/>
          <w:bCs/>
          <w:i/>
          <w:u w:val="single"/>
          <w:lang w:val="en-GB"/>
        </w:rPr>
      </w:pPr>
      <w:r w:rsidRPr="00494316">
        <w:rPr>
          <w:b/>
          <w:bCs/>
          <w:i/>
          <w:u w:val="single"/>
          <w:lang w:val="en-GB"/>
        </w:rPr>
        <w:t>Commencing the day after registration</w:t>
      </w:r>
    </w:p>
    <w:p w:rsidR="00AE184C" w:rsidRPr="00AE184C" w:rsidRDefault="00AE184C" w:rsidP="00AE184C">
      <w:pPr>
        <w:keepLines/>
        <w:spacing w:before="0"/>
        <w:ind w:right="91"/>
        <w:rPr>
          <w:b/>
        </w:rPr>
      </w:pPr>
      <w:r w:rsidRPr="00AE184C">
        <w:rPr>
          <w:b/>
        </w:rPr>
        <w:t xml:space="preserve">Section 1 – Name of Regulation </w:t>
      </w:r>
    </w:p>
    <w:p w:rsidR="00AE184C" w:rsidRPr="00AE184C" w:rsidRDefault="00AE184C" w:rsidP="00AE184C">
      <w:pPr>
        <w:keepLines/>
        <w:spacing w:before="0"/>
        <w:ind w:right="91"/>
      </w:pPr>
      <w:r w:rsidRPr="00AE184C">
        <w:t xml:space="preserve">Section 1 provides that the name of the Regulation is the </w:t>
      </w:r>
      <w:r w:rsidRPr="00AE184C">
        <w:rPr>
          <w:i/>
        </w:rPr>
        <w:t>Clean Energy Legislation A</w:t>
      </w:r>
      <w:r w:rsidR="0059795E">
        <w:rPr>
          <w:i/>
        </w:rPr>
        <w:t xml:space="preserve">mendment (Various Measures) Regulation 2013 </w:t>
      </w:r>
      <w:r w:rsidRPr="00AE184C">
        <w:t>(the Regulation).</w:t>
      </w:r>
    </w:p>
    <w:p w:rsidR="00AE184C" w:rsidRPr="00AE184C" w:rsidRDefault="00AE184C" w:rsidP="00AE184C">
      <w:pPr>
        <w:keepLines/>
        <w:spacing w:before="0"/>
        <w:ind w:right="91"/>
        <w:rPr>
          <w:b/>
        </w:rPr>
      </w:pPr>
      <w:r w:rsidRPr="00AE184C">
        <w:rPr>
          <w:b/>
        </w:rPr>
        <w:t>Section 2 – Commencement</w:t>
      </w:r>
    </w:p>
    <w:p w:rsidR="007B09BA" w:rsidRDefault="007B09BA" w:rsidP="007B09BA">
      <w:pPr>
        <w:tabs>
          <w:tab w:val="left" w:pos="6521"/>
        </w:tabs>
        <w:spacing w:before="0"/>
        <w:ind w:right="91"/>
      </w:pPr>
      <w:r>
        <w:t>Section 2 provides that s</w:t>
      </w:r>
      <w:r w:rsidRPr="008408DC">
        <w:t>ections 1-</w:t>
      </w:r>
      <w:r>
        <w:t>4</w:t>
      </w:r>
      <w:r w:rsidRPr="008408DC">
        <w:t xml:space="preserve"> and Schedule 1, items 1 to 10, 17</w:t>
      </w:r>
      <w:r>
        <w:t xml:space="preserve">, </w:t>
      </w:r>
      <w:r w:rsidRPr="008408DC">
        <w:t>18</w:t>
      </w:r>
      <w:r>
        <w:t xml:space="preserve"> and 19</w:t>
      </w:r>
      <w:r w:rsidRPr="008408DC">
        <w:t xml:space="preserve"> of the Regulation commence on the day after it is registered on the Federal Register of Legislative Instruments. Items 11 to 16 of Schedule 1 commence on 1 July 2013.</w:t>
      </w:r>
    </w:p>
    <w:p w:rsidR="00AE184C" w:rsidRPr="00AE184C" w:rsidRDefault="00AE184C" w:rsidP="00AE184C">
      <w:pPr>
        <w:keepLines/>
        <w:spacing w:before="0"/>
        <w:ind w:right="91"/>
        <w:rPr>
          <w:b/>
        </w:rPr>
      </w:pPr>
      <w:r w:rsidRPr="00AE184C">
        <w:rPr>
          <w:b/>
        </w:rPr>
        <w:t>Section 3 – Authority</w:t>
      </w:r>
    </w:p>
    <w:p w:rsidR="00AE184C" w:rsidRPr="00AE184C" w:rsidRDefault="005A3F36" w:rsidP="00AE184C">
      <w:pPr>
        <w:keepLines/>
        <w:spacing w:before="100" w:beforeAutospacing="1" w:after="100" w:afterAutospacing="1"/>
      </w:pPr>
      <w:r>
        <w:t>Section</w:t>
      </w:r>
      <w:r w:rsidR="00AE184C" w:rsidRPr="00AE184C">
        <w:t xml:space="preserve"> </w:t>
      </w:r>
      <w:r>
        <w:t xml:space="preserve">3 </w:t>
      </w:r>
      <w:r w:rsidR="00AE184C" w:rsidRPr="00AE184C">
        <w:t xml:space="preserve">specifies that the Regulation is made under the </w:t>
      </w:r>
      <w:r w:rsidR="00AE184C" w:rsidRPr="00AE184C">
        <w:rPr>
          <w:i/>
        </w:rPr>
        <w:t>Clean Energy Act 2011</w:t>
      </w:r>
      <w:r w:rsidR="00AE184C" w:rsidRPr="00AE184C">
        <w:t xml:space="preserve"> (CE Act) and the </w:t>
      </w:r>
      <w:r w:rsidR="00AE184C" w:rsidRPr="00AE184C">
        <w:rPr>
          <w:i/>
        </w:rPr>
        <w:t xml:space="preserve">Renewable Energy (Electricity) Act 2000 </w:t>
      </w:r>
      <w:r w:rsidR="00AE184C" w:rsidRPr="00AE184C">
        <w:t xml:space="preserve">(RET Act).  </w:t>
      </w:r>
    </w:p>
    <w:p w:rsidR="00AE184C" w:rsidRPr="00AE184C" w:rsidRDefault="00AE184C" w:rsidP="00AE184C">
      <w:pPr>
        <w:keepLines/>
        <w:spacing w:before="100" w:beforeAutospacing="1" w:after="100" w:afterAutospacing="1"/>
        <w:rPr>
          <w:b/>
        </w:rPr>
      </w:pPr>
      <w:r w:rsidRPr="00AE184C">
        <w:rPr>
          <w:b/>
        </w:rPr>
        <w:t>Section 4 – Schedule(s)</w:t>
      </w:r>
    </w:p>
    <w:p w:rsidR="00AE184C" w:rsidRPr="00AE184C" w:rsidRDefault="005A3F36" w:rsidP="00AE184C">
      <w:pPr>
        <w:keepLines/>
        <w:spacing w:before="100" w:beforeAutospacing="1" w:after="100" w:afterAutospacing="1"/>
      </w:pPr>
      <w:r>
        <w:t>Section</w:t>
      </w:r>
      <w:r w:rsidR="00AE184C" w:rsidRPr="00AE184C">
        <w:t xml:space="preserve"> </w:t>
      </w:r>
      <w:r>
        <w:t xml:space="preserve">4 </w:t>
      </w:r>
      <w:r w:rsidR="00AE184C" w:rsidRPr="00AE184C">
        <w:t>provides that the Regulation amends or repeals each instrument that is specified in a Schedule to the Regulation.</w:t>
      </w:r>
    </w:p>
    <w:p w:rsidR="00AA4A1C" w:rsidRDefault="00AA4A1C" w:rsidP="00AE184C">
      <w:pPr>
        <w:keepLines/>
        <w:spacing w:before="100" w:beforeAutospacing="1" w:after="100" w:afterAutospacing="1"/>
        <w:rPr>
          <w:b/>
          <w:u w:val="single"/>
        </w:rPr>
      </w:pPr>
      <w:r>
        <w:rPr>
          <w:b/>
          <w:u w:val="single"/>
        </w:rPr>
        <w:t xml:space="preserve">Schedule 1 </w:t>
      </w:r>
    </w:p>
    <w:p w:rsidR="00AE184C" w:rsidRPr="00494316" w:rsidRDefault="00AE184C" w:rsidP="00AE184C">
      <w:pPr>
        <w:keepLines/>
        <w:spacing w:before="100" w:beforeAutospacing="1" w:after="100" w:afterAutospacing="1"/>
        <w:rPr>
          <w:b/>
          <w:i/>
          <w:u w:val="single"/>
        </w:rPr>
      </w:pPr>
      <w:r w:rsidRPr="00494316">
        <w:rPr>
          <w:b/>
          <w:i/>
          <w:u w:val="single"/>
        </w:rPr>
        <w:t>Amendments comm</w:t>
      </w:r>
      <w:r w:rsidR="00330700" w:rsidRPr="00494316">
        <w:rPr>
          <w:b/>
          <w:i/>
          <w:u w:val="single"/>
        </w:rPr>
        <w:t xml:space="preserve">encing </w:t>
      </w:r>
      <w:r w:rsidR="00AA4A1C" w:rsidRPr="00494316">
        <w:rPr>
          <w:b/>
          <w:i/>
          <w:u w:val="single"/>
        </w:rPr>
        <w:t>on the day after registration</w:t>
      </w:r>
    </w:p>
    <w:p w:rsidR="00AE184C" w:rsidRPr="00AE184C" w:rsidRDefault="00AE184C" w:rsidP="00AE184C">
      <w:pPr>
        <w:keepLines/>
        <w:spacing w:before="100" w:beforeAutospacing="1" w:after="100" w:afterAutospacing="1"/>
        <w:ind w:right="91"/>
        <w:rPr>
          <w:b/>
          <w:highlight w:val="yellow"/>
        </w:rPr>
      </w:pPr>
      <w:r w:rsidRPr="00AE184C">
        <w:rPr>
          <w:b/>
          <w:bCs/>
          <w:i/>
          <w:iCs/>
          <w:sz w:val="28"/>
          <w:szCs w:val="28"/>
        </w:rPr>
        <w:t>Clean Energy Regulations 2011</w:t>
      </w:r>
    </w:p>
    <w:p w:rsidR="00CC0ECC" w:rsidRPr="00A11CFC" w:rsidRDefault="00CC0ECC" w:rsidP="00CC0ECC">
      <w:pPr>
        <w:spacing w:before="100" w:beforeAutospacing="1" w:after="100" w:afterAutospacing="1"/>
        <w:ind w:right="91"/>
        <w:rPr>
          <w:b/>
          <w:bCs/>
          <w:sz w:val="23"/>
          <w:szCs w:val="23"/>
        </w:rPr>
      </w:pPr>
      <w:r>
        <w:rPr>
          <w:b/>
        </w:rPr>
        <w:t xml:space="preserve">Item 1 </w:t>
      </w:r>
    </w:p>
    <w:p w:rsidR="00CC0ECC" w:rsidRDefault="00CC0ECC" w:rsidP="00CC0ECC">
      <w:r>
        <w:t>I</w:t>
      </w:r>
      <w:r w:rsidRPr="00A11CFC">
        <w:t xml:space="preserve">tem </w:t>
      </w:r>
      <w:r>
        <w:t xml:space="preserve">1 repeals existing regulation 3.5G and replaces it with new regulations 3.5G, 3.5H and 3.5J. Existing regulation 3.5G allows importers, manufacturers and producers of </w:t>
      </w:r>
      <w:r w:rsidR="00E47FB4">
        <w:t>liquefied petroleum gas (LPG)</w:t>
      </w:r>
      <w:r>
        <w:t xml:space="preserve"> or </w:t>
      </w:r>
      <w:r w:rsidR="00E47FB4">
        <w:t>liquefied natural gas (</w:t>
      </w:r>
      <w:r>
        <w:t>LNG</w:t>
      </w:r>
      <w:r w:rsidR="00E47FB4">
        <w:t>)</w:t>
      </w:r>
      <w:r>
        <w:t xml:space="preserve">, as well as </w:t>
      </w:r>
      <w:r w:rsidR="00E47FB4">
        <w:t>Obligation Transfer Number (</w:t>
      </w:r>
      <w:r>
        <w:t>OTN</w:t>
      </w:r>
      <w:r w:rsidR="00E47FB4">
        <w:t>)</w:t>
      </w:r>
      <w:r>
        <w:t xml:space="preserve"> holders, to reduce their liability through use of a netted-out number to account for any LPG or LNG used as a feedstock where they would otherwise have a liability for that LPG or LNG. </w:t>
      </w:r>
    </w:p>
    <w:p w:rsidR="00CC0ECC" w:rsidRPr="00A11CFC" w:rsidRDefault="00CC0ECC" w:rsidP="00CC0ECC">
      <w:r>
        <w:t xml:space="preserve">The existing regulation </w:t>
      </w:r>
      <w:r w:rsidR="007B09BA">
        <w:t xml:space="preserve">3.5G </w:t>
      </w:r>
      <w:r>
        <w:t xml:space="preserve">has been split into three separate regulations to provide greater clarity regarding the netted-out numbers that can be used by importers, manufacturers and producers and OTN holders, respectively. The new regulations </w:t>
      </w:r>
      <w:r w:rsidR="007B09BA">
        <w:t xml:space="preserve">3.5G, 3.5H and 3.5J </w:t>
      </w:r>
      <w:r>
        <w:t>also include additional netted-out numbers that may be used by importers, manufacturers</w:t>
      </w:r>
      <w:r w:rsidR="00E47FB4">
        <w:t xml:space="preserve"> and producers and </w:t>
      </w:r>
      <w:r w:rsidR="00E47FB4">
        <w:lastRenderedPageBreak/>
        <w:t>OTN holders.</w:t>
      </w:r>
    </w:p>
    <w:p w:rsidR="00CC0ECC" w:rsidRPr="00494316" w:rsidRDefault="00CC0ECC" w:rsidP="00F44CD0">
      <w:pPr>
        <w:keepNext/>
        <w:spacing w:before="100" w:beforeAutospacing="1" w:after="100" w:afterAutospacing="1"/>
        <w:ind w:right="91"/>
        <w:rPr>
          <w:i/>
          <w:u w:val="single"/>
        </w:rPr>
      </w:pPr>
      <w:r w:rsidRPr="00494316">
        <w:rPr>
          <w:i/>
          <w:u w:val="single"/>
        </w:rPr>
        <w:t xml:space="preserve">Regulation 3.5G </w:t>
      </w:r>
    </w:p>
    <w:p w:rsidR="00CC0ECC" w:rsidRDefault="00BB4477" w:rsidP="00F44CD0">
      <w:pPr>
        <w:keepNext/>
        <w:keepLines/>
      </w:pPr>
      <w:r>
        <w:t>R</w:t>
      </w:r>
      <w:r w:rsidR="00CC0ECC">
        <w:t xml:space="preserve">egulation 3.5G enables importers </w:t>
      </w:r>
      <w:r w:rsidR="007B09BA">
        <w:t xml:space="preserve">of LPG and LNG </w:t>
      </w:r>
      <w:r w:rsidR="00CC0ECC">
        <w:t xml:space="preserve">to reduce their liability </w:t>
      </w:r>
      <w:r w:rsidR="00CC0ECC" w:rsidRPr="00AE184C">
        <w:t>through the use of a netted-out number</w:t>
      </w:r>
      <w:r w:rsidR="00CC0ECC">
        <w:t xml:space="preserve"> to account for any LPG or LNG that they use in a way that does not produce greenhouse gas emissions, in addition to the existing netted-out number for use of LPG or LNG as a feedstock. </w:t>
      </w:r>
    </w:p>
    <w:p w:rsidR="00CC0ECC" w:rsidRPr="008B5588" w:rsidRDefault="007B09BA" w:rsidP="00CC0ECC">
      <w:r>
        <w:t>R</w:t>
      </w:r>
      <w:r w:rsidR="00CC0ECC">
        <w:t xml:space="preserve">egulation </w:t>
      </w:r>
      <w:r>
        <w:t xml:space="preserve">3.5G </w:t>
      </w:r>
      <w:r w:rsidR="00CC0ECC">
        <w:t xml:space="preserve">also enables a person to net-out an amount of LPG or LNG from their liability under section 36B of the CE Act where that amount of LPG or LNG also counts towards a direct emitter liability when it is combusted at the person’s liable facility. </w:t>
      </w:r>
    </w:p>
    <w:p w:rsidR="00CC0ECC" w:rsidRPr="00494316" w:rsidRDefault="00CC0ECC" w:rsidP="00CC0ECC">
      <w:pPr>
        <w:spacing w:before="100" w:beforeAutospacing="1" w:after="100" w:afterAutospacing="1"/>
        <w:ind w:right="91"/>
        <w:rPr>
          <w:i/>
          <w:u w:val="single"/>
        </w:rPr>
      </w:pPr>
      <w:r w:rsidRPr="00494316">
        <w:rPr>
          <w:i/>
          <w:u w:val="single"/>
        </w:rPr>
        <w:t xml:space="preserve">Regulation 3.5H </w:t>
      </w:r>
    </w:p>
    <w:p w:rsidR="00CC0ECC" w:rsidRDefault="00CC0ECC" w:rsidP="00CC0ECC">
      <w:pPr>
        <w:keepLines/>
      </w:pPr>
      <w:r>
        <w:t xml:space="preserve">New regulation 3.5H enables manufacturers and producers of LPG or LNG to reduce their liability </w:t>
      </w:r>
      <w:r w:rsidRPr="00AE184C">
        <w:t>through the use of a netted-out number</w:t>
      </w:r>
      <w:r>
        <w:t xml:space="preserve"> to account for any LPG or LNG that they use in a way that does not </w:t>
      </w:r>
      <w:r w:rsidRPr="00462881">
        <w:t>produce greenhouse gas emissions</w:t>
      </w:r>
      <w:r>
        <w:t>, in addition to the existing netted-out number for use of LPG or LNG as a feedstock.</w:t>
      </w:r>
    </w:p>
    <w:p w:rsidR="00CC0ECC" w:rsidRDefault="007B09BA" w:rsidP="00CC0ECC">
      <w:pPr>
        <w:keepLines/>
      </w:pPr>
      <w:r>
        <w:t>R</w:t>
      </w:r>
      <w:r w:rsidR="00CC0ECC">
        <w:t xml:space="preserve">egulation </w:t>
      </w:r>
      <w:r>
        <w:t xml:space="preserve">3.5H </w:t>
      </w:r>
      <w:r w:rsidR="00CC0ECC">
        <w:t xml:space="preserve">also enables a person to net-out an amount of LPG or LNG from their liability under section 36C of the CE Act where that amount of LPG or LNG also counts towards a direct emitter liability when it is combusted at the person’s liable facility. </w:t>
      </w:r>
    </w:p>
    <w:p w:rsidR="00CC0ECC" w:rsidRPr="00494316" w:rsidRDefault="00CC0ECC" w:rsidP="00CC0ECC">
      <w:pPr>
        <w:rPr>
          <w:i/>
          <w:u w:val="single"/>
        </w:rPr>
      </w:pPr>
      <w:r w:rsidRPr="00494316">
        <w:rPr>
          <w:i/>
          <w:u w:val="single"/>
        </w:rPr>
        <w:t>Regulation 3.5J</w:t>
      </w:r>
    </w:p>
    <w:p w:rsidR="00CC0ECC" w:rsidRDefault="00CC0ECC" w:rsidP="00CC0ECC">
      <w:r>
        <w:t xml:space="preserve">New regulation 3.5J enables OTN holders to reduce their liability </w:t>
      </w:r>
      <w:r w:rsidRPr="00AE184C">
        <w:t>through the use of a netted-out number</w:t>
      </w:r>
      <w:r>
        <w:t xml:space="preserve"> to account for any LPG or LNG used in a way that does not </w:t>
      </w:r>
      <w:r w:rsidRPr="00462881">
        <w:t>produce greenhouse gas emissions</w:t>
      </w:r>
      <w:r>
        <w:t>, in addition to the existing netted-out number for use of LPG or LNG as a feedstock.</w:t>
      </w:r>
    </w:p>
    <w:p w:rsidR="00CC0ECC" w:rsidRPr="00105ABD" w:rsidRDefault="00CC0ECC" w:rsidP="00CC0ECC">
      <w:pPr>
        <w:spacing w:before="100" w:beforeAutospacing="1" w:after="100" w:afterAutospacing="1"/>
        <w:ind w:right="91"/>
        <w:rPr>
          <w:u w:val="single"/>
        </w:rPr>
      </w:pPr>
      <w:r>
        <w:rPr>
          <w:b/>
        </w:rPr>
        <w:t xml:space="preserve">Item 2 </w:t>
      </w:r>
    </w:p>
    <w:p w:rsidR="00CC0ECC" w:rsidRDefault="00CC0ECC" w:rsidP="00CC0ECC">
      <w:r>
        <w:t xml:space="preserve">Item 2 repeals </w:t>
      </w:r>
      <w:proofErr w:type="spellStart"/>
      <w:r>
        <w:t>subregulations</w:t>
      </w:r>
      <w:proofErr w:type="spellEnd"/>
      <w:r>
        <w:t xml:space="preserve"> 3.10B(2) and (3) of the </w:t>
      </w:r>
      <w:r w:rsidRPr="00BE5C43">
        <w:rPr>
          <w:i/>
        </w:rPr>
        <w:t>Clean Energy Regulations 2011</w:t>
      </w:r>
      <w:r>
        <w:t xml:space="preserve"> that set out the information that must be included in an application for an OTN for LPG or LNG that is used as a feedstock. These </w:t>
      </w:r>
      <w:proofErr w:type="spellStart"/>
      <w:r>
        <w:t>subregulations</w:t>
      </w:r>
      <w:proofErr w:type="spellEnd"/>
      <w:r>
        <w:t xml:space="preserve"> are replaced by new subregulations.310B(2), (3), (4) and (5) that set out the information that must be included in an application for an OTN for LPG or LNG that is used as a feedstock or in such a way as to not emit any greenhouse gases. </w:t>
      </w:r>
    </w:p>
    <w:p w:rsidR="00CC0ECC" w:rsidRDefault="00CC0ECC" w:rsidP="00CC0ECC">
      <w:pPr>
        <w:rPr>
          <w:b/>
        </w:rPr>
      </w:pPr>
      <w:r>
        <w:rPr>
          <w:b/>
        </w:rPr>
        <w:t>Items 3 and 4</w:t>
      </w:r>
    </w:p>
    <w:p w:rsidR="00CC0ECC" w:rsidRDefault="00BB4477" w:rsidP="00CC0ECC">
      <w:r>
        <w:t>Items 3 and 4 amend e</w:t>
      </w:r>
      <w:r w:rsidR="00CC0ECC">
        <w:t xml:space="preserve">xisting </w:t>
      </w:r>
      <w:proofErr w:type="spellStart"/>
      <w:r w:rsidR="00CC0ECC">
        <w:t>subregulations</w:t>
      </w:r>
      <w:proofErr w:type="spellEnd"/>
      <w:r w:rsidR="00CC0ECC">
        <w:t xml:space="preserve"> 3.12(3) and 3.19B(3) to allow the Clean Energy Regulator to specify a date by which applications to be taken to not be a large natural gas, LPG or LNG consuming facility must be provided to the Clean Energy Regulator. </w:t>
      </w:r>
    </w:p>
    <w:p w:rsidR="00CC0ECC" w:rsidRPr="00C527C4" w:rsidRDefault="00CC0ECC" w:rsidP="00CC0ECC">
      <w:r>
        <w:t xml:space="preserve">Currently, these applications must be made at least 90 days before the day on which the facility </w:t>
      </w:r>
      <w:r w:rsidRPr="00C527C4">
        <w:t xml:space="preserve">would become a large natural gas, LPG or LNG consuming facility. However, it may not be possible for applicants to comply with this requirement in all situations and the Clean Energy </w:t>
      </w:r>
      <w:r w:rsidRPr="00C527C4">
        <w:lastRenderedPageBreak/>
        <w:t xml:space="preserve">Regulator may want to specify an alternative later date if it considers this to be justified in the circumstances. </w:t>
      </w:r>
    </w:p>
    <w:p w:rsidR="00CC0ECC" w:rsidRPr="00C527C4" w:rsidRDefault="00CC0ECC" w:rsidP="00BB4477">
      <w:pPr>
        <w:keepNext/>
        <w:keepLines/>
        <w:spacing w:before="100" w:beforeAutospacing="1" w:after="100" w:afterAutospacing="1"/>
        <w:ind w:right="91"/>
        <w:rPr>
          <w:b/>
          <w:bCs/>
        </w:rPr>
      </w:pPr>
      <w:r w:rsidRPr="00C527C4">
        <w:rPr>
          <w:b/>
          <w:bCs/>
        </w:rPr>
        <w:t xml:space="preserve">Item 5 </w:t>
      </w:r>
    </w:p>
    <w:p w:rsidR="00CC0ECC" w:rsidRPr="00C527C4" w:rsidRDefault="00CC0ECC" w:rsidP="00BB4477">
      <w:pPr>
        <w:keepNext/>
        <w:keepLines/>
        <w:spacing w:before="100" w:beforeAutospacing="1" w:after="100" w:afterAutospacing="1"/>
        <w:ind w:right="91"/>
        <w:rPr>
          <w:bCs/>
        </w:rPr>
      </w:pPr>
      <w:r w:rsidRPr="00C527C4">
        <w:rPr>
          <w:bCs/>
        </w:rPr>
        <w:t xml:space="preserve">Item 5 replaces a reference in regulation 3.19C to natural gas with a reference to LPG or LNG, as regulation 3.19C relates to large LPG or LNG consuming facilities and not large natural gas consuming facilities. </w:t>
      </w:r>
    </w:p>
    <w:p w:rsidR="00CC0ECC" w:rsidRPr="00C527C4" w:rsidRDefault="00CC0ECC" w:rsidP="00CC0ECC">
      <w:pPr>
        <w:spacing w:before="100" w:beforeAutospacing="1" w:after="100" w:afterAutospacing="1"/>
        <w:ind w:right="91"/>
        <w:rPr>
          <w:b/>
          <w:bCs/>
        </w:rPr>
      </w:pPr>
      <w:r w:rsidRPr="00C527C4">
        <w:rPr>
          <w:b/>
          <w:bCs/>
        </w:rPr>
        <w:t xml:space="preserve">Item 6 </w:t>
      </w:r>
    </w:p>
    <w:p w:rsidR="00CC0ECC" w:rsidRPr="00C527C4" w:rsidRDefault="00CC0ECC" w:rsidP="00CC0ECC">
      <w:r w:rsidRPr="00C527C4">
        <w:t xml:space="preserve">Item 6 amends regulation 3.19F to allow for voluntary OTN quotation where the LPG or LNG is used in a way that does not produce greenhouse gas emissions. </w:t>
      </w:r>
    </w:p>
    <w:p w:rsidR="00CC0ECC" w:rsidRPr="00C527C4" w:rsidRDefault="00CC0ECC" w:rsidP="00CC0ECC">
      <w:pPr>
        <w:spacing w:before="100" w:beforeAutospacing="1" w:after="100" w:afterAutospacing="1"/>
        <w:ind w:right="91"/>
        <w:rPr>
          <w:b/>
          <w:bCs/>
        </w:rPr>
      </w:pPr>
      <w:r w:rsidRPr="00C527C4">
        <w:rPr>
          <w:b/>
          <w:bCs/>
        </w:rPr>
        <w:t xml:space="preserve">Item 7  </w:t>
      </w:r>
    </w:p>
    <w:p w:rsidR="00CC0ECC" w:rsidRPr="00C527C4" w:rsidRDefault="00CC0ECC" w:rsidP="00CC0ECC">
      <w:r w:rsidRPr="00C527C4">
        <w:t>Item 7 amends regulation 3.19J to require a supplier of LPG of LNG to accept an OTN quotation where the OTN is being quoted on the basis that the LPG or LNG is used in a way that does not produce greenhouse gas emissions.</w:t>
      </w:r>
    </w:p>
    <w:p w:rsidR="00BE4869" w:rsidRPr="00C527C4" w:rsidRDefault="00BE4869" w:rsidP="00BE4869">
      <w:pPr>
        <w:spacing w:before="100" w:beforeAutospacing="1" w:after="100" w:afterAutospacing="1"/>
        <w:ind w:right="91"/>
        <w:rPr>
          <w:b/>
        </w:rPr>
      </w:pPr>
      <w:r w:rsidRPr="00C527C4">
        <w:rPr>
          <w:b/>
        </w:rPr>
        <w:t xml:space="preserve">Item 8 </w:t>
      </w:r>
    </w:p>
    <w:p w:rsidR="00BE4869" w:rsidRPr="00C527C4" w:rsidRDefault="00BE4869" w:rsidP="00BE4869">
      <w:r w:rsidRPr="00C527C4">
        <w:t xml:space="preserve">Item 8 amends subclause 348(5) of Schedule 1 (definition of </w:t>
      </w:r>
      <w:r w:rsidRPr="00C527C4">
        <w:rPr>
          <w:i/>
        </w:rPr>
        <w:t>intermediate nickel products</w:t>
      </w:r>
      <w:r w:rsidRPr="00C527C4">
        <w:t>) to change the minimum concentration of nickel in the definition of nickel sulphide concentrate (</w:t>
      </w:r>
      <w:proofErr w:type="spellStart"/>
      <w:r w:rsidRPr="00C527C4">
        <w:t>NiS</w:t>
      </w:r>
      <w:proofErr w:type="spellEnd"/>
      <w:r w:rsidRPr="00C527C4">
        <w:t>) from 11</w:t>
      </w:r>
      <w:r w:rsidR="00BF3C5E" w:rsidRPr="00C527C4">
        <w:t xml:space="preserve"> per cent</w:t>
      </w:r>
      <w:r w:rsidRPr="00C527C4">
        <w:t xml:space="preserve"> to 6.5</w:t>
      </w:r>
      <w:r w:rsidR="00BF3C5E" w:rsidRPr="00C527C4">
        <w:t xml:space="preserve"> per cent</w:t>
      </w:r>
      <w:r w:rsidRPr="00C527C4">
        <w:t>.</w:t>
      </w:r>
    </w:p>
    <w:p w:rsidR="00BE4869" w:rsidRPr="00C527C4" w:rsidRDefault="00BE4869" w:rsidP="00BE4869">
      <w:pPr>
        <w:spacing w:before="100" w:beforeAutospacing="1" w:after="100" w:afterAutospacing="1"/>
        <w:ind w:right="91"/>
        <w:rPr>
          <w:b/>
        </w:rPr>
      </w:pPr>
      <w:r w:rsidRPr="00C527C4">
        <w:rPr>
          <w:b/>
        </w:rPr>
        <w:t>Items 9 and 10</w:t>
      </w:r>
    </w:p>
    <w:p w:rsidR="00BE4869" w:rsidRDefault="00BE4869" w:rsidP="00BE4869">
      <w:pPr>
        <w:widowControl/>
        <w:autoSpaceDE/>
        <w:autoSpaceDN/>
        <w:adjustRightInd/>
        <w:spacing w:before="0" w:after="200" w:line="276" w:lineRule="auto"/>
        <w:rPr>
          <w:lang w:val="en-GB"/>
        </w:rPr>
      </w:pPr>
      <w:r w:rsidRPr="00C527C4">
        <w:t>Items 9 and 10 amend subclause 702(1A) of Schedule 1 and insert new subclauses 702(1E) and 702(1F) to allow for applications for free carbon units for the production of nickel to be given</w:t>
      </w:r>
      <w:r w:rsidRPr="00C527C4">
        <w:rPr>
          <w:lang w:val="en-GB"/>
        </w:rPr>
        <w:t xml:space="preserve"> to the Clean Energy Regulator no later than 31 July 2013.</w:t>
      </w:r>
    </w:p>
    <w:p w:rsidR="00AA4A1C" w:rsidRPr="00494316" w:rsidRDefault="00AA4A1C" w:rsidP="00BE4869">
      <w:pPr>
        <w:widowControl/>
        <w:autoSpaceDE/>
        <w:autoSpaceDN/>
        <w:adjustRightInd/>
        <w:spacing w:before="0" w:after="200" w:line="276" w:lineRule="auto"/>
        <w:rPr>
          <w:b/>
          <w:i/>
          <w:u w:val="single"/>
        </w:rPr>
      </w:pPr>
      <w:r w:rsidRPr="00494316">
        <w:rPr>
          <w:b/>
          <w:i/>
          <w:u w:val="single"/>
          <w:lang w:val="en-GB"/>
        </w:rPr>
        <w:t>Amendments commencing on 1 July 2013</w:t>
      </w:r>
    </w:p>
    <w:p w:rsidR="00214584" w:rsidRPr="00C527C4" w:rsidRDefault="00214584" w:rsidP="00214584">
      <w:pPr>
        <w:spacing w:before="100" w:beforeAutospacing="1" w:after="100" w:afterAutospacing="1"/>
        <w:ind w:right="91"/>
        <w:rPr>
          <w:b/>
          <w:bCs/>
        </w:rPr>
      </w:pPr>
      <w:r w:rsidRPr="00C527C4">
        <w:rPr>
          <w:b/>
          <w:bCs/>
        </w:rPr>
        <w:t>Item 11</w:t>
      </w:r>
    </w:p>
    <w:p w:rsidR="00214584" w:rsidRPr="00C527C4" w:rsidRDefault="00214584" w:rsidP="00214584">
      <w:r w:rsidRPr="00C527C4">
        <w:t xml:space="preserve">Item 11 amends the note to Schedule 2 to clarify that Schedule 2 should be read in reference to regulation 1.8 rather than </w:t>
      </w:r>
      <w:proofErr w:type="spellStart"/>
      <w:r w:rsidRPr="00C527C4">
        <w:t>subregulation</w:t>
      </w:r>
      <w:proofErr w:type="spellEnd"/>
      <w:r w:rsidRPr="00C527C4">
        <w:t xml:space="preserve"> 1.8 (4)).</w:t>
      </w:r>
    </w:p>
    <w:p w:rsidR="00214584" w:rsidRPr="00C527C4" w:rsidRDefault="00214584" w:rsidP="00214584">
      <w:pPr>
        <w:spacing w:before="100" w:beforeAutospacing="1" w:after="100" w:afterAutospacing="1"/>
        <w:ind w:right="91"/>
        <w:rPr>
          <w:b/>
          <w:bCs/>
        </w:rPr>
      </w:pPr>
      <w:r w:rsidRPr="00C527C4">
        <w:rPr>
          <w:b/>
          <w:bCs/>
        </w:rPr>
        <w:t>Item 12</w:t>
      </w:r>
    </w:p>
    <w:p w:rsidR="00214584" w:rsidRPr="00C527C4" w:rsidRDefault="00214584" w:rsidP="00214584">
      <w:r w:rsidRPr="00C527C4">
        <w:t>Item 12 removes North Paaratte gas processing plant from</w:t>
      </w:r>
      <w:r w:rsidRPr="00C527C4">
        <w:rPr>
          <w:b/>
          <w:bCs/>
        </w:rPr>
        <w:t xml:space="preserve"> </w:t>
      </w:r>
      <w:r w:rsidRPr="00C527C4">
        <w:t>Schedule 2 as it is no longer in operation.</w:t>
      </w:r>
    </w:p>
    <w:p w:rsidR="00214584" w:rsidRPr="00C527C4" w:rsidRDefault="00214584" w:rsidP="00214584">
      <w:pPr>
        <w:spacing w:before="100" w:beforeAutospacing="1" w:after="100" w:afterAutospacing="1"/>
        <w:ind w:right="91"/>
        <w:rPr>
          <w:b/>
          <w:bCs/>
        </w:rPr>
      </w:pPr>
      <w:r w:rsidRPr="00C527C4">
        <w:rPr>
          <w:b/>
          <w:bCs/>
        </w:rPr>
        <w:t>Item 13</w:t>
      </w:r>
    </w:p>
    <w:p w:rsidR="00214584" w:rsidRPr="00C527C4" w:rsidRDefault="00214584" w:rsidP="00214584">
      <w:r w:rsidRPr="00C527C4">
        <w:lastRenderedPageBreak/>
        <w:t>Item 13 amends Schedule 2 to list an additional three gas processing plants located in Victoria.</w:t>
      </w:r>
    </w:p>
    <w:p w:rsidR="00214584" w:rsidRPr="00C527C4" w:rsidRDefault="00214584" w:rsidP="00BB4477">
      <w:pPr>
        <w:keepNext/>
        <w:spacing w:before="100" w:beforeAutospacing="1" w:after="100" w:afterAutospacing="1"/>
        <w:ind w:right="91"/>
        <w:rPr>
          <w:b/>
          <w:bCs/>
        </w:rPr>
      </w:pPr>
      <w:r w:rsidRPr="00C527C4">
        <w:rPr>
          <w:b/>
          <w:bCs/>
        </w:rPr>
        <w:t>Item 14</w:t>
      </w:r>
    </w:p>
    <w:p w:rsidR="00214584" w:rsidRPr="00C527C4" w:rsidRDefault="00214584" w:rsidP="00BB4477">
      <w:pPr>
        <w:keepLines/>
      </w:pPr>
      <w:r w:rsidRPr="00C527C4">
        <w:t>Item 14 amends Schedule 2 to list an additional nine gas processing plants located in Queensland.</w:t>
      </w:r>
    </w:p>
    <w:p w:rsidR="00214584" w:rsidRPr="00C527C4" w:rsidRDefault="00214584" w:rsidP="00214584">
      <w:pPr>
        <w:spacing w:before="100" w:beforeAutospacing="1" w:after="100" w:afterAutospacing="1"/>
        <w:ind w:right="91"/>
        <w:rPr>
          <w:b/>
          <w:bCs/>
        </w:rPr>
      </w:pPr>
      <w:r w:rsidRPr="00C527C4">
        <w:rPr>
          <w:b/>
          <w:bCs/>
        </w:rPr>
        <w:t>Item 15</w:t>
      </w:r>
    </w:p>
    <w:p w:rsidR="00214584" w:rsidRPr="00C527C4" w:rsidRDefault="00214584" w:rsidP="00214584">
      <w:r w:rsidRPr="00C527C4">
        <w:t>Item 15 amends Schedule 2 to list an additional three gas processing plants located in Western Australia.</w:t>
      </w:r>
    </w:p>
    <w:p w:rsidR="00214584" w:rsidRPr="00C527C4" w:rsidRDefault="00214584" w:rsidP="00214584">
      <w:pPr>
        <w:spacing w:before="100" w:beforeAutospacing="1" w:after="100" w:afterAutospacing="1"/>
        <w:ind w:right="91"/>
        <w:rPr>
          <w:b/>
          <w:bCs/>
        </w:rPr>
      </w:pPr>
      <w:r w:rsidRPr="00C527C4">
        <w:rPr>
          <w:b/>
          <w:bCs/>
        </w:rPr>
        <w:t>Item 16</w:t>
      </w:r>
    </w:p>
    <w:p w:rsidR="00214584" w:rsidRDefault="00214584" w:rsidP="00214584">
      <w:r w:rsidRPr="00C527C4">
        <w:t>Item 16 amends Schedule 2 to list an additional gas processing plant located in the Northern Territory.</w:t>
      </w:r>
    </w:p>
    <w:p w:rsidR="0076762B" w:rsidRDefault="0076762B" w:rsidP="00214584">
      <w:pPr>
        <w:rPr>
          <w:b/>
          <w:i/>
          <w:u w:val="single"/>
        </w:rPr>
      </w:pPr>
      <w:r w:rsidRPr="00494316">
        <w:rPr>
          <w:b/>
          <w:i/>
          <w:u w:val="single"/>
        </w:rPr>
        <w:t>Amendments commencing on the day after registration</w:t>
      </w:r>
    </w:p>
    <w:p w:rsidR="005036D9" w:rsidRPr="005036D9" w:rsidRDefault="005036D9" w:rsidP="005036D9">
      <w:pPr>
        <w:keepLines/>
        <w:spacing w:before="100" w:beforeAutospacing="1" w:after="100" w:afterAutospacing="1"/>
        <w:ind w:right="91"/>
        <w:rPr>
          <w:b/>
          <w:bCs/>
          <w:i/>
          <w:iCs/>
          <w:sz w:val="28"/>
          <w:szCs w:val="28"/>
        </w:rPr>
      </w:pPr>
      <w:bookmarkStart w:id="0" w:name="_GoBack"/>
      <w:r w:rsidRPr="005036D9">
        <w:rPr>
          <w:b/>
          <w:bCs/>
          <w:i/>
          <w:iCs/>
          <w:sz w:val="28"/>
          <w:szCs w:val="28"/>
        </w:rPr>
        <w:t>Renewable Energy (Electricity) Regulations 2001</w:t>
      </w:r>
    </w:p>
    <w:bookmarkEnd w:id="0"/>
    <w:p w:rsidR="00BE4869" w:rsidRPr="00C527C4" w:rsidRDefault="00BE4869" w:rsidP="00BE4869">
      <w:pPr>
        <w:pStyle w:val="Default"/>
        <w:rPr>
          <w:b/>
        </w:rPr>
      </w:pPr>
      <w:r w:rsidRPr="00C527C4">
        <w:rPr>
          <w:b/>
        </w:rPr>
        <w:t>Items 17 and 18</w:t>
      </w:r>
    </w:p>
    <w:p w:rsidR="00BE4869" w:rsidRDefault="00BE4869" w:rsidP="00BE4869">
      <w:r w:rsidRPr="00C527C4">
        <w:t xml:space="preserve">Items 17 and 18 amend </w:t>
      </w:r>
      <w:proofErr w:type="spellStart"/>
      <w:r w:rsidRPr="00C527C4">
        <w:t>subregulation</w:t>
      </w:r>
      <w:proofErr w:type="spellEnd"/>
      <w:r w:rsidRPr="00C527C4">
        <w:t xml:space="preserve"> 22X(1A) and insert</w:t>
      </w:r>
      <w:r w:rsidR="00BB4477" w:rsidRPr="00C527C4">
        <w:t>s</w:t>
      </w:r>
      <w:r w:rsidRPr="00C527C4">
        <w:t xml:space="preserve"> new </w:t>
      </w:r>
      <w:proofErr w:type="spellStart"/>
      <w:r w:rsidRPr="00C527C4">
        <w:t>subregulation</w:t>
      </w:r>
      <w:proofErr w:type="spellEnd"/>
      <w:r w:rsidRPr="00C527C4">
        <w:t xml:space="preserve"> 22X(1C) to allow for applications for Partial</w:t>
      </w:r>
      <w:r w:rsidRPr="00C527C4">
        <w:rPr>
          <w:lang w:val="en-GB"/>
        </w:rPr>
        <w:t xml:space="preserve"> Exemption Certificates for the production of nickel to be given to the</w:t>
      </w:r>
      <w:r>
        <w:rPr>
          <w:lang w:val="en-GB"/>
        </w:rPr>
        <w:t xml:space="preserve"> Clean Energy Regulator before 1 August 2013.</w:t>
      </w:r>
      <w:r>
        <w:rPr>
          <w:b/>
          <w:bCs/>
          <w:sz w:val="23"/>
          <w:szCs w:val="23"/>
        </w:rPr>
        <w:t xml:space="preserve"> </w:t>
      </w:r>
    </w:p>
    <w:p w:rsidR="00BE4869" w:rsidRDefault="00BE4869" w:rsidP="00BE4869">
      <w:pPr>
        <w:pStyle w:val="Default"/>
        <w:rPr>
          <w:b/>
        </w:rPr>
      </w:pPr>
      <w:r>
        <w:rPr>
          <w:b/>
        </w:rPr>
        <w:t>Item 19</w:t>
      </w:r>
    </w:p>
    <w:p w:rsidR="00AE184C" w:rsidRDefault="00BE4869" w:rsidP="00BB4477">
      <w:r>
        <w:t xml:space="preserve">Item 19 amends subclause </w:t>
      </w:r>
      <w:r w:rsidRPr="00BB4477">
        <w:t xml:space="preserve">740(2) of </w:t>
      </w:r>
      <w:r w:rsidRPr="00BE4869">
        <w:t xml:space="preserve">Schedule 6 (definition of </w:t>
      </w:r>
      <w:r w:rsidRPr="00BB4477">
        <w:t>intermediate nickel products</w:t>
      </w:r>
      <w:r w:rsidRPr="00BE4869">
        <w:t>)</w:t>
      </w:r>
      <w:r>
        <w:t xml:space="preserve"> to change</w:t>
      </w:r>
      <w:r w:rsidRPr="00C061B9">
        <w:t xml:space="preserve"> the minimum concentration of nickel in</w:t>
      </w:r>
      <w:r>
        <w:t xml:space="preserve"> </w:t>
      </w:r>
      <w:r w:rsidRPr="00C061B9">
        <w:t xml:space="preserve">the definition </w:t>
      </w:r>
      <w:r>
        <w:t>of nickel sulphide concentrate (</w:t>
      </w:r>
      <w:proofErr w:type="spellStart"/>
      <w:r>
        <w:t>NiS</w:t>
      </w:r>
      <w:proofErr w:type="spellEnd"/>
      <w:r>
        <w:t>)</w:t>
      </w:r>
      <w:r w:rsidRPr="00C061B9">
        <w:t xml:space="preserve"> from </w:t>
      </w:r>
      <w:r>
        <w:t>11</w:t>
      </w:r>
      <w:r w:rsidR="00BF3C5E">
        <w:t xml:space="preserve"> per cent</w:t>
      </w:r>
      <w:r w:rsidRPr="00C061B9">
        <w:t xml:space="preserve"> to </w:t>
      </w:r>
      <w:r>
        <w:t>6.5</w:t>
      </w:r>
      <w:r w:rsidR="00BF3C5E">
        <w:t xml:space="preserve"> per cent</w:t>
      </w:r>
      <w:r>
        <w:t>.</w:t>
      </w:r>
      <w:r w:rsidR="00AE184C">
        <w:br w:type="page"/>
      </w:r>
    </w:p>
    <w:p w:rsidR="00AE184C" w:rsidRDefault="00AE184C" w:rsidP="00AE184C">
      <w:pPr>
        <w:widowControl/>
        <w:autoSpaceDE/>
        <w:autoSpaceDN/>
        <w:adjustRightInd/>
        <w:spacing w:before="0" w:after="200" w:line="276" w:lineRule="auto"/>
        <w:jc w:val="right"/>
        <w:rPr>
          <w:b/>
          <w:u w:val="single"/>
        </w:rPr>
      </w:pPr>
      <w:r w:rsidRPr="000147FA">
        <w:rPr>
          <w:b/>
          <w:u w:val="single"/>
        </w:rPr>
        <w:lastRenderedPageBreak/>
        <w:t xml:space="preserve">Attachment </w:t>
      </w:r>
      <w:r>
        <w:rPr>
          <w:b/>
          <w:u w:val="single"/>
        </w:rPr>
        <w:t>B</w:t>
      </w:r>
    </w:p>
    <w:p w:rsidR="00AE184C" w:rsidRPr="008E1079" w:rsidRDefault="00AE184C" w:rsidP="00AE184C">
      <w:pPr>
        <w:spacing w:before="360" w:after="120"/>
        <w:jc w:val="center"/>
        <w:rPr>
          <w:b/>
          <w:sz w:val="28"/>
          <w:szCs w:val="28"/>
        </w:rPr>
      </w:pPr>
      <w:r w:rsidRPr="008E1079">
        <w:rPr>
          <w:b/>
          <w:sz w:val="28"/>
          <w:szCs w:val="28"/>
        </w:rPr>
        <w:t>Statement of Compatibility with Human Rights</w:t>
      </w:r>
    </w:p>
    <w:p w:rsidR="00AE184C" w:rsidRPr="008E1079" w:rsidRDefault="00AE184C" w:rsidP="00AE184C">
      <w:pPr>
        <w:spacing w:before="120"/>
        <w:jc w:val="center"/>
      </w:pPr>
      <w:r w:rsidRPr="008E1079">
        <w:rPr>
          <w:i/>
        </w:rPr>
        <w:t>Prepared in accordance with Part 3 of the Human Rights (Parliamentary Scrutiny) Act 2011</w:t>
      </w:r>
    </w:p>
    <w:p w:rsidR="00AE184C" w:rsidRPr="008E1079" w:rsidRDefault="00AE184C" w:rsidP="00AE184C">
      <w:pPr>
        <w:spacing w:before="120" w:after="120"/>
        <w:jc w:val="center"/>
        <w:rPr>
          <w:b/>
        </w:rPr>
      </w:pPr>
      <w:r w:rsidRPr="008E1079">
        <w:rPr>
          <w:b/>
        </w:rPr>
        <w:t xml:space="preserve">Clean Energy </w:t>
      </w:r>
      <w:r>
        <w:rPr>
          <w:b/>
        </w:rPr>
        <w:t>Legislation</w:t>
      </w:r>
      <w:r w:rsidRPr="00222093">
        <w:rPr>
          <w:b/>
        </w:rPr>
        <w:t xml:space="preserve"> </w:t>
      </w:r>
      <w:r w:rsidRPr="008E1079">
        <w:rPr>
          <w:b/>
        </w:rPr>
        <w:t xml:space="preserve">Amendment </w:t>
      </w:r>
      <w:r w:rsidR="00592ACB">
        <w:rPr>
          <w:b/>
        </w:rPr>
        <w:t xml:space="preserve">(Various Measures) </w:t>
      </w:r>
      <w:r w:rsidRPr="008E1079">
        <w:rPr>
          <w:b/>
        </w:rPr>
        <w:t>Regulation 201</w:t>
      </w:r>
      <w:r>
        <w:rPr>
          <w:b/>
        </w:rPr>
        <w:t>3</w:t>
      </w:r>
    </w:p>
    <w:p w:rsidR="00AE184C" w:rsidRPr="00222093" w:rsidRDefault="00AE184C" w:rsidP="004470C2">
      <w:pPr>
        <w:spacing w:before="120" w:after="120"/>
        <w:jc w:val="center"/>
      </w:pPr>
      <w:r w:rsidRPr="008E1079">
        <w:t xml:space="preserve">This Regulation is compatible with the human rights and freedoms recognised or declared in the international instruments listed in section 3 of the </w:t>
      </w:r>
      <w:r w:rsidRPr="008E1079">
        <w:rPr>
          <w:i/>
        </w:rPr>
        <w:t>Human</w:t>
      </w:r>
      <w:r w:rsidR="004470C2">
        <w:rPr>
          <w:i/>
        </w:rPr>
        <w:t> </w:t>
      </w:r>
      <w:r w:rsidRPr="008E1079">
        <w:rPr>
          <w:i/>
        </w:rPr>
        <w:t>Rights</w:t>
      </w:r>
      <w:r w:rsidR="004470C2">
        <w:rPr>
          <w:i/>
        </w:rPr>
        <w:t> </w:t>
      </w:r>
      <w:r w:rsidRPr="008E1079">
        <w:rPr>
          <w:i/>
        </w:rPr>
        <w:t>(Parliamentary</w:t>
      </w:r>
      <w:r w:rsidR="004470C2">
        <w:rPr>
          <w:i/>
        </w:rPr>
        <w:t> </w:t>
      </w:r>
      <w:r w:rsidRPr="008E1079">
        <w:rPr>
          <w:i/>
        </w:rPr>
        <w:t>Scrutiny)</w:t>
      </w:r>
      <w:r w:rsidR="004470C2">
        <w:rPr>
          <w:i/>
        </w:rPr>
        <w:t> </w:t>
      </w:r>
      <w:r w:rsidRPr="008E1079">
        <w:rPr>
          <w:i/>
        </w:rPr>
        <w:t>Act</w:t>
      </w:r>
      <w:r w:rsidR="004470C2">
        <w:rPr>
          <w:i/>
        </w:rPr>
        <w:t xml:space="preserve"> </w:t>
      </w:r>
      <w:r w:rsidRPr="008E1079">
        <w:rPr>
          <w:i/>
        </w:rPr>
        <w:t>2011</w:t>
      </w:r>
      <w:r w:rsidRPr="008E1079">
        <w:t>.</w:t>
      </w:r>
    </w:p>
    <w:p w:rsidR="00AE184C" w:rsidRPr="00222093" w:rsidRDefault="00AE184C" w:rsidP="00592ACB">
      <w:pPr>
        <w:spacing w:before="120" w:after="120"/>
        <w:jc w:val="center"/>
        <w:rPr>
          <w:b/>
        </w:rPr>
      </w:pPr>
      <w:r w:rsidRPr="00222093">
        <w:rPr>
          <w:b/>
        </w:rPr>
        <w:t xml:space="preserve">Overview of the </w:t>
      </w:r>
      <w:r w:rsidR="00592ACB" w:rsidRPr="008E1079">
        <w:rPr>
          <w:b/>
        </w:rPr>
        <w:t xml:space="preserve">Clean Energy </w:t>
      </w:r>
      <w:r w:rsidR="00592ACB">
        <w:rPr>
          <w:b/>
        </w:rPr>
        <w:t>Legislation</w:t>
      </w:r>
      <w:r w:rsidR="00592ACB" w:rsidRPr="00222093">
        <w:rPr>
          <w:b/>
        </w:rPr>
        <w:t xml:space="preserve"> </w:t>
      </w:r>
      <w:r w:rsidR="00592ACB" w:rsidRPr="008E1079">
        <w:rPr>
          <w:b/>
        </w:rPr>
        <w:t xml:space="preserve">Amendment </w:t>
      </w:r>
      <w:r w:rsidR="00592ACB">
        <w:rPr>
          <w:b/>
        </w:rPr>
        <w:t xml:space="preserve">(Various Measures) </w:t>
      </w:r>
      <w:r w:rsidR="00592ACB" w:rsidRPr="008E1079">
        <w:rPr>
          <w:b/>
        </w:rPr>
        <w:t>Regulation 201</w:t>
      </w:r>
      <w:r w:rsidR="00592ACB">
        <w:rPr>
          <w:b/>
        </w:rPr>
        <w:t>3</w:t>
      </w:r>
    </w:p>
    <w:p w:rsidR="00AE184C" w:rsidRDefault="00AE184C" w:rsidP="00AE184C">
      <w:pPr>
        <w:spacing w:before="0"/>
      </w:pPr>
      <w:r>
        <w:t>The Regulation:</w:t>
      </w:r>
    </w:p>
    <w:p w:rsidR="00AE184C" w:rsidRPr="00BC24A7" w:rsidRDefault="00AE184C" w:rsidP="00167E03">
      <w:pPr>
        <w:numPr>
          <w:ilvl w:val="0"/>
          <w:numId w:val="27"/>
        </w:numPr>
        <w:spacing w:before="0" w:after="0"/>
        <w:ind w:left="714" w:hanging="357"/>
        <w:rPr>
          <w:lang w:val="en-GB"/>
        </w:rPr>
      </w:pPr>
      <w:r>
        <w:t xml:space="preserve">provides necessary details that allow compliance with, and administration of, the </w:t>
      </w:r>
      <w:r w:rsidRPr="00600AA5">
        <w:rPr>
          <w:i/>
        </w:rPr>
        <w:t>Clean</w:t>
      </w:r>
      <w:r w:rsidR="004470C2">
        <w:rPr>
          <w:i/>
        </w:rPr>
        <w:t> </w:t>
      </w:r>
      <w:r w:rsidRPr="00600AA5">
        <w:rPr>
          <w:i/>
        </w:rPr>
        <w:t>Energy Act 2011</w:t>
      </w:r>
      <w:r>
        <w:t xml:space="preserve"> in relation to coverage of non-transport liquefied petroleum gas (LPG) and liquefied natural gas (LNG) under the carbon pricing mechanism;</w:t>
      </w:r>
    </w:p>
    <w:p w:rsidR="00BC24A7" w:rsidRDefault="00BC24A7" w:rsidP="00167E03">
      <w:pPr>
        <w:numPr>
          <w:ilvl w:val="0"/>
          <w:numId w:val="27"/>
        </w:numPr>
        <w:spacing w:before="0" w:after="0"/>
        <w:ind w:left="714" w:hanging="357"/>
        <w:rPr>
          <w:lang w:val="en-GB"/>
        </w:rPr>
      </w:pPr>
      <w:r>
        <w:t>amends Schedule 2 of the CE Regulations to list 16 additional gas processing plants and remove one;</w:t>
      </w:r>
      <w:r w:rsidR="00206B02">
        <w:t xml:space="preserve"> and</w:t>
      </w:r>
    </w:p>
    <w:p w:rsidR="00BE4869" w:rsidRDefault="00BE4869" w:rsidP="00167E03">
      <w:pPr>
        <w:numPr>
          <w:ilvl w:val="0"/>
          <w:numId w:val="27"/>
        </w:numPr>
        <w:tabs>
          <w:tab w:val="left" w:pos="709"/>
        </w:tabs>
        <w:spacing w:before="0" w:after="0"/>
        <w:ind w:left="714" w:hanging="357"/>
        <w:rPr>
          <w:lang w:val="en-GB"/>
        </w:rPr>
      </w:pPr>
      <w:r w:rsidRPr="00EF1084">
        <w:rPr>
          <w:lang w:val="en-GB"/>
        </w:rPr>
        <w:t xml:space="preserve">amends the CE Regulations and the RET Regulations to </w:t>
      </w:r>
      <w:r>
        <w:rPr>
          <w:lang w:val="en-GB"/>
        </w:rPr>
        <w:t>make a minor change</w:t>
      </w:r>
      <w:r w:rsidRPr="00EF1084">
        <w:rPr>
          <w:lang w:val="en-GB"/>
        </w:rPr>
        <w:t xml:space="preserve"> to the description of t</w:t>
      </w:r>
      <w:r>
        <w:rPr>
          <w:lang w:val="en-GB"/>
        </w:rPr>
        <w:t xml:space="preserve">he </w:t>
      </w:r>
      <w:r w:rsidRPr="00EF1084">
        <w:rPr>
          <w:lang w:val="en-GB"/>
        </w:rPr>
        <w:t>production of nickel</w:t>
      </w:r>
      <w:r>
        <w:rPr>
          <w:lang w:val="en-GB"/>
        </w:rPr>
        <w:t xml:space="preserve"> </w:t>
      </w:r>
      <w:r w:rsidRPr="007851A4">
        <w:rPr>
          <w:lang w:val="en-GB"/>
        </w:rPr>
        <w:t>emissions-intensive trade-exposed activity</w:t>
      </w:r>
      <w:r>
        <w:rPr>
          <w:lang w:val="en-GB"/>
        </w:rPr>
        <w:t xml:space="preserve"> and extend the </w:t>
      </w:r>
      <w:r w:rsidRPr="00634C6A">
        <w:rPr>
          <w:lang w:val="en-GB"/>
        </w:rPr>
        <w:t>Jobs and Competitiveness Program and Partial Exemption Certificate application deadlines for the activity</w:t>
      </w:r>
      <w:r>
        <w:rPr>
          <w:lang w:val="en-GB"/>
        </w:rPr>
        <w:t xml:space="preserve"> from</w:t>
      </w:r>
      <w:r w:rsidR="00167E03">
        <w:rPr>
          <w:lang w:val="en-GB"/>
        </w:rPr>
        <w:t xml:space="preserve"> 31 May 2013 to 31 July 2013</w:t>
      </w:r>
      <w:r w:rsidR="00206B02">
        <w:rPr>
          <w:lang w:val="en-GB"/>
        </w:rPr>
        <w:t>.</w:t>
      </w:r>
    </w:p>
    <w:p w:rsidR="00AE184C" w:rsidRPr="00DB0605" w:rsidRDefault="00AE184C" w:rsidP="00206B02">
      <w:pPr>
        <w:keepLines/>
        <w:widowControl/>
        <w:rPr>
          <w:highlight w:val="yellow"/>
        </w:rPr>
      </w:pPr>
      <w:r w:rsidRPr="00DB0605">
        <w:rPr>
          <w:b/>
        </w:rPr>
        <w:t>Human rights implications</w:t>
      </w:r>
    </w:p>
    <w:p w:rsidR="00AE184C" w:rsidRPr="00835381" w:rsidRDefault="00AE184C" w:rsidP="00AE184C">
      <w:pPr>
        <w:keepLines/>
        <w:spacing w:before="120" w:after="120"/>
      </w:pPr>
      <w:r>
        <w:t xml:space="preserve">The Regulation engages the right to privacy and reputation, at least to the extent that it applies to the collection of personal information by the Clean Energy Regulator. </w:t>
      </w:r>
      <w:r w:rsidRPr="00835381">
        <w:t xml:space="preserve">The Regulation makes certain persons who </w:t>
      </w:r>
      <w:r>
        <w:t xml:space="preserve">enter LPG or LNG for home consumption or are supplied LPG or LNG </w:t>
      </w:r>
      <w:r w:rsidRPr="00835381">
        <w:t>liable under the Act and require</w:t>
      </w:r>
      <w:r>
        <w:t>s</w:t>
      </w:r>
      <w:r w:rsidRPr="00835381">
        <w:t xml:space="preserve"> them to provide personal information for the purpose of identification of applicants under the various schemes established by the Act.</w:t>
      </w:r>
      <w:r>
        <w:t xml:space="preserve"> The Regulation also requires certain persons to provide personal information when applying for free carbon units and</w:t>
      </w:r>
      <w:r w:rsidRPr="001F7139">
        <w:t xml:space="preserve"> </w:t>
      </w:r>
      <w:r>
        <w:t>PECs.</w:t>
      </w:r>
    </w:p>
    <w:p w:rsidR="00AE184C" w:rsidRDefault="00AE184C" w:rsidP="00AE184C">
      <w:pPr>
        <w:keepLines/>
        <w:spacing w:before="120" w:after="120"/>
      </w:pPr>
      <w:r w:rsidRPr="00271FD6">
        <w:t>Although, in some circumstances some of the contact details may already be publicly available, the contact details of these individuals will not be publicly disclosed.</w:t>
      </w:r>
      <w:r w:rsidRPr="00835381" w:rsidDel="004258A2">
        <w:t xml:space="preserve"> </w:t>
      </w:r>
      <w:r w:rsidRPr="00835381">
        <w:t>The individual’s information will be regulated and treat</w:t>
      </w:r>
      <w:r>
        <w:t xml:space="preserve">ed </w:t>
      </w:r>
      <w:r w:rsidRPr="00835381">
        <w:t xml:space="preserve">in accordance with the secrecy provisions set out in the </w:t>
      </w:r>
      <w:r w:rsidRPr="00835381">
        <w:rPr>
          <w:i/>
        </w:rPr>
        <w:t>Clean Energy Regulator Act 2011</w:t>
      </w:r>
      <w:r w:rsidRPr="00835381">
        <w:t xml:space="preserve"> and the </w:t>
      </w:r>
      <w:r w:rsidRPr="00835381">
        <w:rPr>
          <w:i/>
        </w:rPr>
        <w:t>Privacy Act 1988</w:t>
      </w:r>
      <w:r w:rsidRPr="00835381">
        <w:t>.</w:t>
      </w:r>
    </w:p>
    <w:p w:rsidR="00AE184C" w:rsidRDefault="00AE184C" w:rsidP="008F37A0">
      <w:pPr>
        <w:spacing w:before="120" w:after="0"/>
        <w:rPr>
          <w:b/>
        </w:rPr>
      </w:pPr>
      <w:r>
        <w:rPr>
          <w:b/>
        </w:rPr>
        <w:t>Conclusion</w:t>
      </w:r>
    </w:p>
    <w:p w:rsidR="004470C2" w:rsidRPr="004470C2" w:rsidRDefault="00AE184C" w:rsidP="008F37A0">
      <w:pPr>
        <w:spacing w:before="120" w:after="0"/>
      </w:pPr>
      <w:r>
        <w:t xml:space="preserve">This Legislative Instrument is </w:t>
      </w:r>
      <w:r w:rsidR="004470C2" w:rsidRPr="004470C2">
        <w:t>compatible with human rights because it does not engage those rights or, to the extent that it may limit human rights, those limits are reasonable, necessary and proportionate.</w:t>
      </w:r>
    </w:p>
    <w:p w:rsidR="00AE184C" w:rsidRPr="00222093" w:rsidRDefault="00AE184C" w:rsidP="00AE184C">
      <w:pPr>
        <w:spacing w:before="120" w:after="120"/>
        <w:jc w:val="center"/>
        <w:rPr>
          <w:b/>
        </w:rPr>
      </w:pPr>
      <w:r w:rsidRPr="00222093">
        <w:rPr>
          <w:b/>
        </w:rPr>
        <w:t>Greg Combet</w:t>
      </w:r>
    </w:p>
    <w:p w:rsidR="002819A1" w:rsidRDefault="00AE184C" w:rsidP="00167E03">
      <w:pPr>
        <w:spacing w:before="120" w:after="120"/>
        <w:jc w:val="center"/>
      </w:pPr>
      <w:r w:rsidRPr="00222093">
        <w:rPr>
          <w:b/>
        </w:rPr>
        <w:t>Minister for Climate Change</w:t>
      </w:r>
      <w:r>
        <w:rPr>
          <w:b/>
        </w:rPr>
        <w:t>, Industry and Innovation</w:t>
      </w:r>
    </w:p>
    <w:sectPr w:rsidR="002819A1" w:rsidSect="00387433">
      <w:footerReference w:type="default" r:id="rId9"/>
      <w:pgSz w:w="12240" w:h="15840"/>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84A" w:rsidRDefault="00CC684A" w:rsidP="0056784D">
      <w:pPr>
        <w:spacing w:before="0" w:after="0"/>
      </w:pPr>
      <w:r>
        <w:separator/>
      </w:r>
    </w:p>
  </w:endnote>
  <w:endnote w:type="continuationSeparator" w:id="0">
    <w:p w:rsidR="00CC684A" w:rsidRDefault="00CC684A" w:rsidP="0056784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9BA" w:rsidRDefault="007B09BA">
    <w:pPr>
      <w:pStyle w:val="Footer"/>
      <w:jc w:val="right"/>
    </w:pPr>
    <w:r>
      <w:fldChar w:fldCharType="begin"/>
    </w:r>
    <w:r>
      <w:instrText xml:space="preserve"> PAGE   \* MERGEFORMAT </w:instrText>
    </w:r>
    <w:r>
      <w:fldChar w:fldCharType="separate"/>
    </w:r>
    <w:r w:rsidR="005036D9">
      <w:rPr>
        <w:noProof/>
      </w:rPr>
      <w:t>8</w:t>
    </w:r>
    <w:r>
      <w:rPr>
        <w:noProof/>
      </w:rPr>
      <w:fldChar w:fldCharType="end"/>
    </w:r>
  </w:p>
  <w:p w:rsidR="007B09BA" w:rsidRDefault="007B09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84A" w:rsidRDefault="00CC684A" w:rsidP="0056784D">
      <w:pPr>
        <w:spacing w:before="0" w:after="0"/>
      </w:pPr>
      <w:r>
        <w:separator/>
      </w:r>
    </w:p>
  </w:footnote>
  <w:footnote w:type="continuationSeparator" w:id="0">
    <w:p w:rsidR="00CC684A" w:rsidRDefault="00CC684A" w:rsidP="0056784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4323"/>
    <w:multiLevelType w:val="hybridMultilevel"/>
    <w:tmpl w:val="A0289C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3F87154"/>
    <w:multiLevelType w:val="hybridMultilevel"/>
    <w:tmpl w:val="4FACD712"/>
    <w:lvl w:ilvl="0" w:tplc="D6B8F466">
      <w:start w:val="1"/>
      <w:numFmt w:val="lowerLetter"/>
      <w:lvlText w:val="%1."/>
      <w:lvlJc w:val="left"/>
      <w:pPr>
        <w:ind w:left="1440" w:hanging="360"/>
      </w:pPr>
    </w:lvl>
    <w:lvl w:ilvl="1" w:tplc="B162A36A" w:tentative="1">
      <w:start w:val="1"/>
      <w:numFmt w:val="lowerLetter"/>
      <w:lvlText w:val="%2."/>
      <w:lvlJc w:val="left"/>
      <w:pPr>
        <w:ind w:left="2160" w:hanging="360"/>
      </w:pPr>
    </w:lvl>
    <w:lvl w:ilvl="2" w:tplc="A2AE749A" w:tentative="1">
      <w:start w:val="1"/>
      <w:numFmt w:val="lowerRoman"/>
      <w:lvlText w:val="%3."/>
      <w:lvlJc w:val="right"/>
      <w:pPr>
        <w:ind w:left="2880" w:hanging="180"/>
      </w:pPr>
    </w:lvl>
    <w:lvl w:ilvl="3" w:tplc="C6568592" w:tentative="1">
      <w:start w:val="1"/>
      <w:numFmt w:val="decimal"/>
      <w:lvlText w:val="%4."/>
      <w:lvlJc w:val="left"/>
      <w:pPr>
        <w:ind w:left="3600" w:hanging="360"/>
      </w:pPr>
    </w:lvl>
    <w:lvl w:ilvl="4" w:tplc="AF1E89F6" w:tentative="1">
      <w:start w:val="1"/>
      <w:numFmt w:val="lowerLetter"/>
      <w:lvlText w:val="%5."/>
      <w:lvlJc w:val="left"/>
      <w:pPr>
        <w:ind w:left="4320" w:hanging="360"/>
      </w:pPr>
    </w:lvl>
    <w:lvl w:ilvl="5" w:tplc="18A4D55A" w:tentative="1">
      <w:start w:val="1"/>
      <w:numFmt w:val="lowerRoman"/>
      <w:lvlText w:val="%6."/>
      <w:lvlJc w:val="right"/>
      <w:pPr>
        <w:ind w:left="5040" w:hanging="180"/>
      </w:pPr>
    </w:lvl>
    <w:lvl w:ilvl="6" w:tplc="892CD16A" w:tentative="1">
      <w:start w:val="1"/>
      <w:numFmt w:val="decimal"/>
      <w:lvlText w:val="%7."/>
      <w:lvlJc w:val="left"/>
      <w:pPr>
        <w:ind w:left="5760" w:hanging="360"/>
      </w:pPr>
    </w:lvl>
    <w:lvl w:ilvl="7" w:tplc="8A7C1DB8" w:tentative="1">
      <w:start w:val="1"/>
      <w:numFmt w:val="lowerLetter"/>
      <w:lvlText w:val="%8."/>
      <w:lvlJc w:val="left"/>
      <w:pPr>
        <w:ind w:left="6480" w:hanging="360"/>
      </w:pPr>
    </w:lvl>
    <w:lvl w:ilvl="8" w:tplc="71ECF790" w:tentative="1">
      <w:start w:val="1"/>
      <w:numFmt w:val="lowerRoman"/>
      <w:lvlText w:val="%9."/>
      <w:lvlJc w:val="right"/>
      <w:pPr>
        <w:ind w:left="7200" w:hanging="180"/>
      </w:pPr>
    </w:lvl>
  </w:abstractNum>
  <w:abstractNum w:abstractNumId="2">
    <w:nsid w:val="04402DC7"/>
    <w:multiLevelType w:val="hybridMultilevel"/>
    <w:tmpl w:val="B7501F3C"/>
    <w:lvl w:ilvl="0" w:tplc="679A0478">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5872C93"/>
    <w:multiLevelType w:val="hybridMultilevel"/>
    <w:tmpl w:val="95A8D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76E2A87"/>
    <w:multiLevelType w:val="hybridMultilevel"/>
    <w:tmpl w:val="38A0B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8327664"/>
    <w:multiLevelType w:val="multilevel"/>
    <w:tmpl w:val="D9E257EC"/>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6">
    <w:nsid w:val="1B524CEB"/>
    <w:multiLevelType w:val="hybridMultilevel"/>
    <w:tmpl w:val="4FACD712"/>
    <w:lvl w:ilvl="0" w:tplc="A1DC1CC2">
      <w:start w:val="1"/>
      <w:numFmt w:val="lowerLetter"/>
      <w:lvlText w:val="%1."/>
      <w:lvlJc w:val="left"/>
      <w:pPr>
        <w:ind w:left="1440" w:hanging="360"/>
      </w:pPr>
    </w:lvl>
    <w:lvl w:ilvl="1" w:tplc="80F010A2" w:tentative="1">
      <w:start w:val="1"/>
      <w:numFmt w:val="lowerLetter"/>
      <w:lvlText w:val="%2."/>
      <w:lvlJc w:val="left"/>
      <w:pPr>
        <w:ind w:left="2160" w:hanging="360"/>
      </w:pPr>
    </w:lvl>
    <w:lvl w:ilvl="2" w:tplc="71A8AC06" w:tentative="1">
      <w:start w:val="1"/>
      <w:numFmt w:val="lowerRoman"/>
      <w:lvlText w:val="%3."/>
      <w:lvlJc w:val="right"/>
      <w:pPr>
        <w:ind w:left="2880" w:hanging="180"/>
      </w:pPr>
    </w:lvl>
    <w:lvl w:ilvl="3" w:tplc="DE70F5AE" w:tentative="1">
      <w:start w:val="1"/>
      <w:numFmt w:val="decimal"/>
      <w:lvlText w:val="%4."/>
      <w:lvlJc w:val="left"/>
      <w:pPr>
        <w:ind w:left="3600" w:hanging="360"/>
      </w:pPr>
    </w:lvl>
    <w:lvl w:ilvl="4" w:tplc="BBDC84D6" w:tentative="1">
      <w:start w:val="1"/>
      <w:numFmt w:val="lowerLetter"/>
      <w:lvlText w:val="%5."/>
      <w:lvlJc w:val="left"/>
      <w:pPr>
        <w:ind w:left="4320" w:hanging="360"/>
      </w:pPr>
    </w:lvl>
    <w:lvl w:ilvl="5" w:tplc="A8265B5C" w:tentative="1">
      <w:start w:val="1"/>
      <w:numFmt w:val="lowerRoman"/>
      <w:lvlText w:val="%6."/>
      <w:lvlJc w:val="right"/>
      <w:pPr>
        <w:ind w:left="5040" w:hanging="180"/>
      </w:pPr>
    </w:lvl>
    <w:lvl w:ilvl="6" w:tplc="3C5E2AD0" w:tentative="1">
      <w:start w:val="1"/>
      <w:numFmt w:val="decimal"/>
      <w:lvlText w:val="%7."/>
      <w:lvlJc w:val="left"/>
      <w:pPr>
        <w:ind w:left="5760" w:hanging="360"/>
      </w:pPr>
    </w:lvl>
    <w:lvl w:ilvl="7" w:tplc="D7CE8DEA" w:tentative="1">
      <w:start w:val="1"/>
      <w:numFmt w:val="lowerLetter"/>
      <w:lvlText w:val="%8."/>
      <w:lvlJc w:val="left"/>
      <w:pPr>
        <w:ind w:left="6480" w:hanging="360"/>
      </w:pPr>
    </w:lvl>
    <w:lvl w:ilvl="8" w:tplc="ACAE1AAE" w:tentative="1">
      <w:start w:val="1"/>
      <w:numFmt w:val="lowerRoman"/>
      <w:lvlText w:val="%9."/>
      <w:lvlJc w:val="right"/>
      <w:pPr>
        <w:ind w:left="7200" w:hanging="180"/>
      </w:pPr>
    </w:lvl>
  </w:abstractNum>
  <w:abstractNum w:abstractNumId="7">
    <w:nsid w:val="27313BE6"/>
    <w:multiLevelType w:val="hybridMultilevel"/>
    <w:tmpl w:val="7114A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8F3570"/>
    <w:multiLevelType w:val="hybridMultilevel"/>
    <w:tmpl w:val="A4BC69BC"/>
    <w:lvl w:ilvl="0" w:tplc="679A0478">
      <w:numFmt w:val="bullet"/>
      <w:lvlText w:val="•"/>
      <w:lvlJc w:val="left"/>
      <w:pPr>
        <w:ind w:left="1440" w:hanging="72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32773576"/>
    <w:multiLevelType w:val="hybridMultilevel"/>
    <w:tmpl w:val="3BFE0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99F4056"/>
    <w:multiLevelType w:val="hybridMultilevel"/>
    <w:tmpl w:val="4FACD712"/>
    <w:lvl w:ilvl="0" w:tplc="70328602">
      <w:start w:val="1"/>
      <w:numFmt w:val="lowerLetter"/>
      <w:lvlText w:val="%1."/>
      <w:lvlJc w:val="left"/>
      <w:pPr>
        <w:ind w:left="1440" w:hanging="360"/>
      </w:pPr>
    </w:lvl>
    <w:lvl w:ilvl="1" w:tplc="5F1ACE58" w:tentative="1">
      <w:start w:val="1"/>
      <w:numFmt w:val="lowerLetter"/>
      <w:lvlText w:val="%2."/>
      <w:lvlJc w:val="left"/>
      <w:pPr>
        <w:ind w:left="2160" w:hanging="360"/>
      </w:pPr>
    </w:lvl>
    <w:lvl w:ilvl="2" w:tplc="99748CF6" w:tentative="1">
      <w:start w:val="1"/>
      <w:numFmt w:val="lowerRoman"/>
      <w:lvlText w:val="%3."/>
      <w:lvlJc w:val="right"/>
      <w:pPr>
        <w:ind w:left="2880" w:hanging="180"/>
      </w:pPr>
    </w:lvl>
    <w:lvl w:ilvl="3" w:tplc="46BC13EA" w:tentative="1">
      <w:start w:val="1"/>
      <w:numFmt w:val="decimal"/>
      <w:lvlText w:val="%4."/>
      <w:lvlJc w:val="left"/>
      <w:pPr>
        <w:ind w:left="3600" w:hanging="360"/>
      </w:pPr>
    </w:lvl>
    <w:lvl w:ilvl="4" w:tplc="7902B178" w:tentative="1">
      <w:start w:val="1"/>
      <w:numFmt w:val="lowerLetter"/>
      <w:lvlText w:val="%5."/>
      <w:lvlJc w:val="left"/>
      <w:pPr>
        <w:ind w:left="4320" w:hanging="360"/>
      </w:pPr>
    </w:lvl>
    <w:lvl w:ilvl="5" w:tplc="DAACB6C6" w:tentative="1">
      <w:start w:val="1"/>
      <w:numFmt w:val="lowerRoman"/>
      <w:lvlText w:val="%6."/>
      <w:lvlJc w:val="right"/>
      <w:pPr>
        <w:ind w:left="5040" w:hanging="180"/>
      </w:pPr>
    </w:lvl>
    <w:lvl w:ilvl="6" w:tplc="58BEC904" w:tentative="1">
      <w:start w:val="1"/>
      <w:numFmt w:val="decimal"/>
      <w:lvlText w:val="%7."/>
      <w:lvlJc w:val="left"/>
      <w:pPr>
        <w:ind w:left="5760" w:hanging="360"/>
      </w:pPr>
    </w:lvl>
    <w:lvl w:ilvl="7" w:tplc="54F222FC" w:tentative="1">
      <w:start w:val="1"/>
      <w:numFmt w:val="lowerLetter"/>
      <w:lvlText w:val="%8."/>
      <w:lvlJc w:val="left"/>
      <w:pPr>
        <w:ind w:left="6480" w:hanging="360"/>
      </w:pPr>
    </w:lvl>
    <w:lvl w:ilvl="8" w:tplc="A2368C44" w:tentative="1">
      <w:start w:val="1"/>
      <w:numFmt w:val="lowerRoman"/>
      <w:lvlText w:val="%9."/>
      <w:lvlJc w:val="right"/>
      <w:pPr>
        <w:ind w:left="7200" w:hanging="180"/>
      </w:pPr>
    </w:lvl>
  </w:abstractNum>
  <w:abstractNum w:abstractNumId="11">
    <w:nsid w:val="3EEF1490"/>
    <w:multiLevelType w:val="multilevel"/>
    <w:tmpl w:val="2FFAE7DC"/>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28237BD"/>
    <w:multiLevelType w:val="hybridMultilevel"/>
    <w:tmpl w:val="35C43058"/>
    <w:lvl w:ilvl="0" w:tplc="F5F0BA5E">
      <w:start w:val="2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5994A62"/>
    <w:multiLevelType w:val="hybridMultilevel"/>
    <w:tmpl w:val="CA98E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78D416D"/>
    <w:multiLevelType w:val="multilevel"/>
    <w:tmpl w:val="469EAFC0"/>
    <w:styleLink w:val="DotPointList"/>
    <w:lvl w:ilvl="0">
      <w:start w:val="1"/>
      <w:numFmt w:val="bullet"/>
      <w:pStyle w:val="dotpoint"/>
      <w:lvlText w:val="•"/>
      <w:lvlJc w:val="left"/>
      <w:pPr>
        <w:tabs>
          <w:tab w:val="num" w:pos="1247"/>
        </w:tabs>
        <w:ind w:left="1247" w:hanging="283"/>
      </w:pPr>
      <w:rPr>
        <w:rFonts w:ascii="Times New Roman" w:hAnsi="Times New Roman" w:cs="Times New Roman" w:hint="default"/>
        <w:color w:val="000000" w:themeColor="text1"/>
      </w:rPr>
    </w:lvl>
    <w:lvl w:ilvl="1">
      <w:start w:val="1"/>
      <w:numFmt w:val="bullet"/>
      <w:pStyle w:val="dotpoint2"/>
      <w:lvlText w:val="–"/>
      <w:lvlJc w:val="left"/>
      <w:pPr>
        <w:tabs>
          <w:tab w:val="num" w:pos="1531"/>
        </w:tabs>
        <w:ind w:left="1531" w:hanging="284"/>
      </w:pPr>
      <w:rPr>
        <w:rFonts w:ascii="Times New Roman" w:hAnsi="Times New Roman" w:cs="Times New Roman" w:hint="default"/>
        <w:color w:val="000000" w:themeColor="text1"/>
      </w:rPr>
    </w:lvl>
    <w:lvl w:ilvl="2">
      <w:start w:val="1"/>
      <w:numFmt w:val="lowerRoman"/>
      <w:lvlText w:val="%3)"/>
      <w:lvlJc w:val="left"/>
      <w:pPr>
        <w:ind w:left="59" w:hanging="360"/>
      </w:pPr>
      <w:rPr>
        <w:rFonts w:hint="default"/>
      </w:rPr>
    </w:lvl>
    <w:lvl w:ilvl="3">
      <w:start w:val="1"/>
      <w:numFmt w:val="decimal"/>
      <w:lvlText w:val="(%4)"/>
      <w:lvlJc w:val="left"/>
      <w:pPr>
        <w:ind w:left="419" w:hanging="360"/>
      </w:pPr>
      <w:rPr>
        <w:rFonts w:hint="default"/>
      </w:rPr>
    </w:lvl>
    <w:lvl w:ilvl="4">
      <w:start w:val="1"/>
      <w:numFmt w:val="lowerLetter"/>
      <w:lvlText w:val="(%5)"/>
      <w:lvlJc w:val="left"/>
      <w:pPr>
        <w:ind w:left="779" w:hanging="360"/>
      </w:pPr>
      <w:rPr>
        <w:rFonts w:hint="default"/>
      </w:rPr>
    </w:lvl>
    <w:lvl w:ilvl="5">
      <w:start w:val="1"/>
      <w:numFmt w:val="lowerRoman"/>
      <w:lvlText w:val="(%6)"/>
      <w:lvlJc w:val="left"/>
      <w:pPr>
        <w:ind w:left="1139" w:hanging="360"/>
      </w:pPr>
      <w:rPr>
        <w:rFonts w:hint="default"/>
      </w:rPr>
    </w:lvl>
    <w:lvl w:ilvl="6">
      <w:start w:val="1"/>
      <w:numFmt w:val="decimal"/>
      <w:lvlText w:val="%7."/>
      <w:lvlJc w:val="left"/>
      <w:pPr>
        <w:ind w:left="1499" w:hanging="360"/>
      </w:pPr>
      <w:rPr>
        <w:rFonts w:hint="default"/>
      </w:rPr>
    </w:lvl>
    <w:lvl w:ilvl="7">
      <w:start w:val="1"/>
      <w:numFmt w:val="lowerLetter"/>
      <w:lvlText w:val="%8."/>
      <w:lvlJc w:val="left"/>
      <w:pPr>
        <w:ind w:left="1859" w:hanging="360"/>
      </w:pPr>
      <w:rPr>
        <w:rFonts w:hint="default"/>
      </w:rPr>
    </w:lvl>
    <w:lvl w:ilvl="8">
      <w:start w:val="1"/>
      <w:numFmt w:val="lowerRoman"/>
      <w:lvlText w:val="%9."/>
      <w:lvlJc w:val="left"/>
      <w:pPr>
        <w:ind w:left="2219" w:hanging="360"/>
      </w:pPr>
      <w:rPr>
        <w:rFonts w:hint="default"/>
      </w:rPr>
    </w:lvl>
  </w:abstractNum>
  <w:abstractNum w:abstractNumId="15">
    <w:nsid w:val="47B653BA"/>
    <w:multiLevelType w:val="multilevel"/>
    <w:tmpl w:val="2E562912"/>
    <w:lvl w:ilvl="0">
      <w:start w:val="1"/>
      <w:numFmt w:val="bullet"/>
      <w:pStyle w:val="Bullet"/>
      <w:lvlText w:val="•"/>
      <w:lvlJc w:val="left"/>
      <w:pPr>
        <w:tabs>
          <w:tab w:val="num" w:pos="993"/>
        </w:tabs>
        <w:ind w:left="993"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8564E7C"/>
    <w:multiLevelType w:val="hybridMultilevel"/>
    <w:tmpl w:val="5308E694"/>
    <w:lvl w:ilvl="0" w:tplc="AC5A85E4">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9197828"/>
    <w:multiLevelType w:val="hybridMultilevel"/>
    <w:tmpl w:val="E5E62A9A"/>
    <w:name w:val="StandardBulletedList"/>
    <w:lvl w:ilvl="0" w:tplc="6BEA7C0A">
      <w:start w:val="1"/>
      <w:numFmt w:val="bullet"/>
      <w:pStyle w:val="Style4"/>
      <w:lvlText w:val=""/>
      <w:lvlJc w:val="left"/>
      <w:pPr>
        <w:ind w:left="720" w:hanging="360"/>
      </w:pPr>
      <w:rPr>
        <w:rFonts w:ascii="Symbol" w:hAnsi="Symbol" w:hint="default"/>
      </w:rPr>
    </w:lvl>
    <w:lvl w:ilvl="1" w:tplc="EA72D1CE" w:tentative="1">
      <w:start w:val="1"/>
      <w:numFmt w:val="bullet"/>
      <w:lvlText w:val="o"/>
      <w:lvlJc w:val="left"/>
      <w:pPr>
        <w:ind w:left="1440" w:hanging="360"/>
      </w:pPr>
      <w:rPr>
        <w:rFonts w:ascii="Courier New" w:hAnsi="Courier New" w:cs="Courier New" w:hint="default"/>
      </w:rPr>
    </w:lvl>
    <w:lvl w:ilvl="2" w:tplc="6986BCD0" w:tentative="1">
      <w:start w:val="1"/>
      <w:numFmt w:val="bullet"/>
      <w:lvlText w:val=""/>
      <w:lvlJc w:val="left"/>
      <w:pPr>
        <w:ind w:left="2160" w:hanging="360"/>
      </w:pPr>
      <w:rPr>
        <w:rFonts w:ascii="Wingdings" w:hAnsi="Wingdings" w:hint="default"/>
      </w:rPr>
    </w:lvl>
    <w:lvl w:ilvl="3" w:tplc="19AEAA92" w:tentative="1">
      <w:start w:val="1"/>
      <w:numFmt w:val="bullet"/>
      <w:lvlText w:val=""/>
      <w:lvlJc w:val="left"/>
      <w:pPr>
        <w:ind w:left="2880" w:hanging="360"/>
      </w:pPr>
      <w:rPr>
        <w:rFonts w:ascii="Symbol" w:hAnsi="Symbol" w:hint="default"/>
      </w:rPr>
    </w:lvl>
    <w:lvl w:ilvl="4" w:tplc="4EFC6E12" w:tentative="1">
      <w:start w:val="1"/>
      <w:numFmt w:val="bullet"/>
      <w:lvlText w:val="o"/>
      <w:lvlJc w:val="left"/>
      <w:pPr>
        <w:ind w:left="3600" w:hanging="360"/>
      </w:pPr>
      <w:rPr>
        <w:rFonts w:ascii="Courier New" w:hAnsi="Courier New" w:cs="Courier New" w:hint="default"/>
      </w:rPr>
    </w:lvl>
    <w:lvl w:ilvl="5" w:tplc="2C841D5C" w:tentative="1">
      <w:start w:val="1"/>
      <w:numFmt w:val="bullet"/>
      <w:lvlText w:val=""/>
      <w:lvlJc w:val="left"/>
      <w:pPr>
        <w:ind w:left="4320" w:hanging="360"/>
      </w:pPr>
      <w:rPr>
        <w:rFonts w:ascii="Wingdings" w:hAnsi="Wingdings" w:hint="default"/>
      </w:rPr>
    </w:lvl>
    <w:lvl w:ilvl="6" w:tplc="C9848986" w:tentative="1">
      <w:start w:val="1"/>
      <w:numFmt w:val="bullet"/>
      <w:lvlText w:val=""/>
      <w:lvlJc w:val="left"/>
      <w:pPr>
        <w:ind w:left="5040" w:hanging="360"/>
      </w:pPr>
      <w:rPr>
        <w:rFonts w:ascii="Symbol" w:hAnsi="Symbol" w:hint="default"/>
      </w:rPr>
    </w:lvl>
    <w:lvl w:ilvl="7" w:tplc="855EFE00" w:tentative="1">
      <w:start w:val="1"/>
      <w:numFmt w:val="bullet"/>
      <w:lvlText w:val="o"/>
      <w:lvlJc w:val="left"/>
      <w:pPr>
        <w:ind w:left="5760" w:hanging="360"/>
      </w:pPr>
      <w:rPr>
        <w:rFonts w:ascii="Courier New" w:hAnsi="Courier New" w:cs="Courier New" w:hint="default"/>
      </w:rPr>
    </w:lvl>
    <w:lvl w:ilvl="8" w:tplc="00E24FA4" w:tentative="1">
      <w:start w:val="1"/>
      <w:numFmt w:val="bullet"/>
      <w:lvlText w:val=""/>
      <w:lvlJc w:val="left"/>
      <w:pPr>
        <w:ind w:left="6480" w:hanging="360"/>
      </w:pPr>
      <w:rPr>
        <w:rFonts w:ascii="Wingdings" w:hAnsi="Wingdings" w:hint="default"/>
      </w:rPr>
    </w:lvl>
  </w:abstractNum>
  <w:abstractNum w:abstractNumId="18">
    <w:nsid w:val="4CF33E36"/>
    <w:multiLevelType w:val="hybridMultilevel"/>
    <w:tmpl w:val="E14CC44E"/>
    <w:lvl w:ilvl="0" w:tplc="679A0478">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8E168F1"/>
    <w:multiLevelType w:val="hybridMultilevel"/>
    <w:tmpl w:val="701A0698"/>
    <w:lvl w:ilvl="0" w:tplc="F710A90A">
      <w:start w:val="39"/>
      <w:numFmt w:val="bullet"/>
      <w:lvlText w:val="-"/>
      <w:lvlJc w:val="left"/>
      <w:pPr>
        <w:ind w:left="720" w:hanging="360"/>
      </w:pPr>
      <w:rPr>
        <w:rFonts w:ascii="Calibri" w:eastAsia="Times New Roman" w:hAnsi="Calibri" w:cs="Times New Roman" w:hint="default"/>
      </w:rPr>
    </w:lvl>
    <w:lvl w:ilvl="1" w:tplc="60528708">
      <w:start w:val="1"/>
      <w:numFmt w:val="bullet"/>
      <w:lvlText w:val="o"/>
      <w:lvlJc w:val="left"/>
      <w:pPr>
        <w:ind w:left="1440" w:hanging="360"/>
      </w:pPr>
      <w:rPr>
        <w:rFonts w:ascii="Courier New" w:hAnsi="Courier New" w:cs="Courier New" w:hint="default"/>
      </w:rPr>
    </w:lvl>
    <w:lvl w:ilvl="2" w:tplc="D71E57EA" w:tentative="1">
      <w:start w:val="1"/>
      <w:numFmt w:val="bullet"/>
      <w:lvlText w:val=""/>
      <w:lvlJc w:val="left"/>
      <w:pPr>
        <w:ind w:left="2160" w:hanging="360"/>
      </w:pPr>
      <w:rPr>
        <w:rFonts w:ascii="Wingdings" w:hAnsi="Wingdings" w:hint="default"/>
      </w:rPr>
    </w:lvl>
    <w:lvl w:ilvl="3" w:tplc="480C54FA" w:tentative="1">
      <w:start w:val="1"/>
      <w:numFmt w:val="bullet"/>
      <w:lvlText w:val=""/>
      <w:lvlJc w:val="left"/>
      <w:pPr>
        <w:ind w:left="2880" w:hanging="360"/>
      </w:pPr>
      <w:rPr>
        <w:rFonts w:ascii="Symbol" w:hAnsi="Symbol" w:hint="default"/>
      </w:rPr>
    </w:lvl>
    <w:lvl w:ilvl="4" w:tplc="4D44BE72" w:tentative="1">
      <w:start w:val="1"/>
      <w:numFmt w:val="bullet"/>
      <w:lvlText w:val="o"/>
      <w:lvlJc w:val="left"/>
      <w:pPr>
        <w:ind w:left="3600" w:hanging="360"/>
      </w:pPr>
      <w:rPr>
        <w:rFonts w:ascii="Courier New" w:hAnsi="Courier New" w:cs="Courier New" w:hint="default"/>
      </w:rPr>
    </w:lvl>
    <w:lvl w:ilvl="5" w:tplc="90A23556" w:tentative="1">
      <w:start w:val="1"/>
      <w:numFmt w:val="bullet"/>
      <w:lvlText w:val=""/>
      <w:lvlJc w:val="left"/>
      <w:pPr>
        <w:ind w:left="4320" w:hanging="360"/>
      </w:pPr>
      <w:rPr>
        <w:rFonts w:ascii="Wingdings" w:hAnsi="Wingdings" w:hint="default"/>
      </w:rPr>
    </w:lvl>
    <w:lvl w:ilvl="6" w:tplc="A31ACB92" w:tentative="1">
      <w:start w:val="1"/>
      <w:numFmt w:val="bullet"/>
      <w:lvlText w:val=""/>
      <w:lvlJc w:val="left"/>
      <w:pPr>
        <w:ind w:left="5040" w:hanging="360"/>
      </w:pPr>
      <w:rPr>
        <w:rFonts w:ascii="Symbol" w:hAnsi="Symbol" w:hint="default"/>
      </w:rPr>
    </w:lvl>
    <w:lvl w:ilvl="7" w:tplc="4510013C" w:tentative="1">
      <w:start w:val="1"/>
      <w:numFmt w:val="bullet"/>
      <w:lvlText w:val="o"/>
      <w:lvlJc w:val="left"/>
      <w:pPr>
        <w:ind w:left="5760" w:hanging="360"/>
      </w:pPr>
      <w:rPr>
        <w:rFonts w:ascii="Courier New" w:hAnsi="Courier New" w:cs="Courier New" w:hint="default"/>
      </w:rPr>
    </w:lvl>
    <w:lvl w:ilvl="8" w:tplc="B9E63ABA" w:tentative="1">
      <w:start w:val="1"/>
      <w:numFmt w:val="bullet"/>
      <w:lvlText w:val=""/>
      <w:lvlJc w:val="left"/>
      <w:pPr>
        <w:ind w:left="6480" w:hanging="360"/>
      </w:pPr>
      <w:rPr>
        <w:rFonts w:ascii="Wingdings" w:hAnsi="Wingdings" w:hint="default"/>
      </w:rPr>
    </w:lvl>
  </w:abstractNum>
  <w:abstractNum w:abstractNumId="20">
    <w:nsid w:val="5A0B2259"/>
    <w:multiLevelType w:val="multilevel"/>
    <w:tmpl w:val="BBD0A34A"/>
    <w:lvl w:ilvl="0">
      <w:start w:val="1"/>
      <w:numFmt w:val="bullet"/>
      <w:lvlText w:val=""/>
      <w:lvlJc w:val="left"/>
      <w:pPr>
        <w:tabs>
          <w:tab w:val="num" w:pos="1247"/>
        </w:tabs>
        <w:ind w:left="1247" w:hanging="283"/>
      </w:pPr>
      <w:rPr>
        <w:rFonts w:ascii="Symbol" w:hAnsi="Symbol" w:hint="default"/>
        <w:color w:val="000000" w:themeColor="text1"/>
      </w:rPr>
    </w:lvl>
    <w:lvl w:ilvl="1">
      <w:start w:val="1"/>
      <w:numFmt w:val="bullet"/>
      <w:lvlText w:val="–"/>
      <w:lvlJc w:val="left"/>
      <w:pPr>
        <w:tabs>
          <w:tab w:val="num" w:pos="1531"/>
        </w:tabs>
        <w:ind w:left="1531" w:hanging="284"/>
      </w:pPr>
      <w:rPr>
        <w:rFonts w:ascii="Times New Roman" w:hAnsi="Times New Roman" w:cs="Times New Roman" w:hint="default"/>
        <w:color w:val="000000" w:themeColor="text1"/>
      </w:rPr>
    </w:lvl>
    <w:lvl w:ilvl="2">
      <w:start w:val="1"/>
      <w:numFmt w:val="lowerRoman"/>
      <w:lvlText w:val="%3)"/>
      <w:lvlJc w:val="left"/>
      <w:pPr>
        <w:ind w:left="59" w:hanging="360"/>
      </w:pPr>
      <w:rPr>
        <w:rFonts w:hint="default"/>
      </w:rPr>
    </w:lvl>
    <w:lvl w:ilvl="3">
      <w:start w:val="1"/>
      <w:numFmt w:val="decimal"/>
      <w:lvlText w:val="(%4)"/>
      <w:lvlJc w:val="left"/>
      <w:pPr>
        <w:ind w:left="419" w:hanging="360"/>
      </w:pPr>
      <w:rPr>
        <w:rFonts w:hint="default"/>
      </w:rPr>
    </w:lvl>
    <w:lvl w:ilvl="4">
      <w:start w:val="1"/>
      <w:numFmt w:val="lowerLetter"/>
      <w:lvlText w:val="(%5)"/>
      <w:lvlJc w:val="left"/>
      <w:pPr>
        <w:ind w:left="779" w:hanging="360"/>
      </w:pPr>
      <w:rPr>
        <w:rFonts w:hint="default"/>
      </w:rPr>
    </w:lvl>
    <w:lvl w:ilvl="5">
      <w:start w:val="1"/>
      <w:numFmt w:val="lowerRoman"/>
      <w:lvlText w:val="(%6)"/>
      <w:lvlJc w:val="left"/>
      <w:pPr>
        <w:ind w:left="1139" w:hanging="360"/>
      </w:pPr>
      <w:rPr>
        <w:rFonts w:hint="default"/>
      </w:rPr>
    </w:lvl>
    <w:lvl w:ilvl="6">
      <w:start w:val="1"/>
      <w:numFmt w:val="decimal"/>
      <w:lvlText w:val="%7."/>
      <w:lvlJc w:val="left"/>
      <w:pPr>
        <w:ind w:left="1499" w:hanging="360"/>
      </w:pPr>
      <w:rPr>
        <w:rFonts w:hint="default"/>
      </w:rPr>
    </w:lvl>
    <w:lvl w:ilvl="7">
      <w:start w:val="1"/>
      <w:numFmt w:val="lowerLetter"/>
      <w:lvlText w:val="%8."/>
      <w:lvlJc w:val="left"/>
      <w:pPr>
        <w:ind w:left="1859" w:hanging="360"/>
      </w:pPr>
      <w:rPr>
        <w:rFonts w:hint="default"/>
      </w:rPr>
    </w:lvl>
    <w:lvl w:ilvl="8">
      <w:start w:val="1"/>
      <w:numFmt w:val="lowerRoman"/>
      <w:lvlText w:val="%9."/>
      <w:lvlJc w:val="left"/>
      <w:pPr>
        <w:ind w:left="2219" w:hanging="360"/>
      </w:pPr>
      <w:rPr>
        <w:rFonts w:hint="default"/>
      </w:rPr>
    </w:lvl>
  </w:abstractNum>
  <w:abstractNum w:abstractNumId="21">
    <w:nsid w:val="5B2A1961"/>
    <w:multiLevelType w:val="multilevel"/>
    <w:tmpl w:val="84680B32"/>
    <w:lvl w:ilvl="0">
      <w:start w:val="1"/>
      <w:numFmt w:val="bullet"/>
      <w:lvlText w:val=""/>
      <w:lvlJc w:val="left"/>
      <w:pPr>
        <w:tabs>
          <w:tab w:val="num" w:pos="1247"/>
        </w:tabs>
        <w:ind w:left="1247" w:hanging="283"/>
      </w:pPr>
      <w:rPr>
        <w:rFonts w:ascii="Symbol" w:hAnsi="Symbol" w:hint="default"/>
        <w:color w:val="000000" w:themeColor="text1"/>
      </w:rPr>
    </w:lvl>
    <w:lvl w:ilvl="1">
      <w:start w:val="1"/>
      <w:numFmt w:val="bullet"/>
      <w:lvlText w:val=""/>
      <w:lvlJc w:val="left"/>
      <w:pPr>
        <w:tabs>
          <w:tab w:val="num" w:pos="1531"/>
        </w:tabs>
        <w:ind w:left="1531" w:hanging="284"/>
      </w:pPr>
      <w:rPr>
        <w:rFonts w:ascii="Symbol" w:hAnsi="Symbol" w:hint="default"/>
        <w:color w:val="000000" w:themeColor="text1"/>
      </w:rPr>
    </w:lvl>
    <w:lvl w:ilvl="2">
      <w:start w:val="1"/>
      <w:numFmt w:val="lowerRoman"/>
      <w:lvlText w:val="%3)"/>
      <w:lvlJc w:val="left"/>
      <w:pPr>
        <w:ind w:left="59" w:hanging="360"/>
      </w:pPr>
      <w:rPr>
        <w:rFonts w:hint="default"/>
      </w:rPr>
    </w:lvl>
    <w:lvl w:ilvl="3">
      <w:start w:val="1"/>
      <w:numFmt w:val="decimal"/>
      <w:lvlText w:val="(%4)"/>
      <w:lvlJc w:val="left"/>
      <w:pPr>
        <w:ind w:left="419" w:hanging="360"/>
      </w:pPr>
      <w:rPr>
        <w:rFonts w:hint="default"/>
      </w:rPr>
    </w:lvl>
    <w:lvl w:ilvl="4">
      <w:start w:val="1"/>
      <w:numFmt w:val="lowerLetter"/>
      <w:lvlText w:val="(%5)"/>
      <w:lvlJc w:val="left"/>
      <w:pPr>
        <w:ind w:left="779" w:hanging="360"/>
      </w:pPr>
      <w:rPr>
        <w:rFonts w:hint="default"/>
      </w:rPr>
    </w:lvl>
    <w:lvl w:ilvl="5">
      <w:start w:val="1"/>
      <w:numFmt w:val="lowerRoman"/>
      <w:lvlText w:val="(%6)"/>
      <w:lvlJc w:val="left"/>
      <w:pPr>
        <w:ind w:left="1139" w:hanging="360"/>
      </w:pPr>
      <w:rPr>
        <w:rFonts w:hint="default"/>
      </w:rPr>
    </w:lvl>
    <w:lvl w:ilvl="6">
      <w:start w:val="1"/>
      <w:numFmt w:val="decimal"/>
      <w:lvlText w:val="%7."/>
      <w:lvlJc w:val="left"/>
      <w:pPr>
        <w:ind w:left="1499" w:hanging="360"/>
      </w:pPr>
      <w:rPr>
        <w:rFonts w:hint="default"/>
      </w:rPr>
    </w:lvl>
    <w:lvl w:ilvl="7">
      <w:start w:val="1"/>
      <w:numFmt w:val="lowerLetter"/>
      <w:lvlText w:val="%8."/>
      <w:lvlJc w:val="left"/>
      <w:pPr>
        <w:ind w:left="1859" w:hanging="360"/>
      </w:pPr>
      <w:rPr>
        <w:rFonts w:hint="default"/>
      </w:rPr>
    </w:lvl>
    <w:lvl w:ilvl="8">
      <w:start w:val="1"/>
      <w:numFmt w:val="lowerRoman"/>
      <w:lvlText w:val="%9."/>
      <w:lvlJc w:val="left"/>
      <w:pPr>
        <w:ind w:left="2219" w:hanging="360"/>
      </w:pPr>
      <w:rPr>
        <w:rFonts w:hint="default"/>
      </w:rPr>
    </w:lvl>
  </w:abstractNum>
  <w:abstractNum w:abstractNumId="22">
    <w:nsid w:val="60112C6D"/>
    <w:multiLevelType w:val="multilevel"/>
    <w:tmpl w:val="01BAA672"/>
    <w:lvl w:ilvl="0">
      <w:start w:val="1"/>
      <w:numFmt w:val="bullet"/>
      <w:lvlText w:val=""/>
      <w:lvlJc w:val="left"/>
      <w:pPr>
        <w:tabs>
          <w:tab w:val="num" w:pos="1247"/>
        </w:tabs>
        <w:ind w:left="1247" w:hanging="283"/>
      </w:pPr>
      <w:rPr>
        <w:rFonts w:ascii="Symbol" w:hAnsi="Symbol" w:hint="default"/>
        <w:color w:val="000000" w:themeColor="text1"/>
      </w:rPr>
    </w:lvl>
    <w:lvl w:ilvl="1">
      <w:start w:val="1"/>
      <w:numFmt w:val="bullet"/>
      <w:lvlText w:val=""/>
      <w:lvlJc w:val="left"/>
      <w:pPr>
        <w:tabs>
          <w:tab w:val="num" w:pos="1531"/>
        </w:tabs>
        <w:ind w:left="1531" w:hanging="284"/>
      </w:pPr>
      <w:rPr>
        <w:rFonts w:ascii="Symbol" w:hAnsi="Symbol" w:hint="default"/>
        <w:color w:val="000000" w:themeColor="text1"/>
      </w:rPr>
    </w:lvl>
    <w:lvl w:ilvl="2">
      <w:start w:val="1"/>
      <w:numFmt w:val="lowerRoman"/>
      <w:lvlText w:val="%3)"/>
      <w:lvlJc w:val="left"/>
      <w:pPr>
        <w:ind w:left="59" w:hanging="360"/>
      </w:pPr>
      <w:rPr>
        <w:rFonts w:hint="default"/>
      </w:rPr>
    </w:lvl>
    <w:lvl w:ilvl="3">
      <w:start w:val="1"/>
      <w:numFmt w:val="decimal"/>
      <w:lvlText w:val="(%4)"/>
      <w:lvlJc w:val="left"/>
      <w:pPr>
        <w:ind w:left="419" w:hanging="360"/>
      </w:pPr>
      <w:rPr>
        <w:rFonts w:hint="default"/>
      </w:rPr>
    </w:lvl>
    <w:lvl w:ilvl="4">
      <w:start w:val="1"/>
      <w:numFmt w:val="lowerLetter"/>
      <w:lvlText w:val="(%5)"/>
      <w:lvlJc w:val="left"/>
      <w:pPr>
        <w:ind w:left="779" w:hanging="360"/>
      </w:pPr>
      <w:rPr>
        <w:rFonts w:hint="default"/>
      </w:rPr>
    </w:lvl>
    <w:lvl w:ilvl="5">
      <w:start w:val="1"/>
      <w:numFmt w:val="lowerRoman"/>
      <w:lvlText w:val="(%6)"/>
      <w:lvlJc w:val="left"/>
      <w:pPr>
        <w:ind w:left="1139" w:hanging="360"/>
      </w:pPr>
      <w:rPr>
        <w:rFonts w:hint="default"/>
      </w:rPr>
    </w:lvl>
    <w:lvl w:ilvl="6">
      <w:start w:val="1"/>
      <w:numFmt w:val="decimal"/>
      <w:lvlText w:val="%7."/>
      <w:lvlJc w:val="left"/>
      <w:pPr>
        <w:ind w:left="1499" w:hanging="360"/>
      </w:pPr>
      <w:rPr>
        <w:rFonts w:hint="default"/>
      </w:rPr>
    </w:lvl>
    <w:lvl w:ilvl="7">
      <w:start w:val="1"/>
      <w:numFmt w:val="lowerLetter"/>
      <w:lvlText w:val="%8."/>
      <w:lvlJc w:val="left"/>
      <w:pPr>
        <w:ind w:left="1859" w:hanging="360"/>
      </w:pPr>
      <w:rPr>
        <w:rFonts w:hint="default"/>
      </w:rPr>
    </w:lvl>
    <w:lvl w:ilvl="8">
      <w:start w:val="1"/>
      <w:numFmt w:val="lowerRoman"/>
      <w:lvlText w:val="%9."/>
      <w:lvlJc w:val="left"/>
      <w:pPr>
        <w:ind w:left="2219" w:hanging="360"/>
      </w:pPr>
      <w:rPr>
        <w:rFonts w:hint="default"/>
      </w:rPr>
    </w:lvl>
  </w:abstractNum>
  <w:abstractNum w:abstractNumId="23">
    <w:nsid w:val="66E067F9"/>
    <w:multiLevelType w:val="hybridMultilevel"/>
    <w:tmpl w:val="07267AF2"/>
    <w:lvl w:ilvl="0" w:tplc="FFFFFFFF">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510289C"/>
    <w:multiLevelType w:val="hybridMultilevel"/>
    <w:tmpl w:val="86C0DF90"/>
    <w:lvl w:ilvl="0" w:tplc="DF08B2A4">
      <w:start w:val="1"/>
      <w:numFmt w:val="decimal"/>
      <w:lvlText w:val="%1."/>
      <w:lvlJc w:val="left"/>
      <w:pPr>
        <w:ind w:left="720" w:hanging="360"/>
      </w:pPr>
      <w:rPr>
        <w:rFonts w:hint="default"/>
      </w:rPr>
    </w:lvl>
    <w:lvl w:ilvl="1" w:tplc="E8C8D70C">
      <w:start w:val="1"/>
      <w:numFmt w:val="lowerLetter"/>
      <w:lvlText w:val="%2."/>
      <w:lvlJc w:val="left"/>
      <w:pPr>
        <w:ind w:left="1440" w:hanging="360"/>
      </w:pPr>
    </w:lvl>
    <w:lvl w:ilvl="2" w:tplc="6A6656B8">
      <w:start w:val="1"/>
      <w:numFmt w:val="lowerRoman"/>
      <w:lvlText w:val="%3."/>
      <w:lvlJc w:val="right"/>
      <w:pPr>
        <w:ind w:left="2160" w:hanging="180"/>
      </w:pPr>
    </w:lvl>
    <w:lvl w:ilvl="3" w:tplc="5A4A563A" w:tentative="1">
      <w:start w:val="1"/>
      <w:numFmt w:val="decimal"/>
      <w:lvlText w:val="%4."/>
      <w:lvlJc w:val="left"/>
      <w:pPr>
        <w:ind w:left="2880" w:hanging="360"/>
      </w:pPr>
    </w:lvl>
    <w:lvl w:ilvl="4" w:tplc="66EE4A26" w:tentative="1">
      <w:start w:val="1"/>
      <w:numFmt w:val="lowerLetter"/>
      <w:lvlText w:val="%5."/>
      <w:lvlJc w:val="left"/>
      <w:pPr>
        <w:ind w:left="3600" w:hanging="360"/>
      </w:pPr>
    </w:lvl>
    <w:lvl w:ilvl="5" w:tplc="0186CF90" w:tentative="1">
      <w:start w:val="1"/>
      <w:numFmt w:val="lowerRoman"/>
      <w:lvlText w:val="%6."/>
      <w:lvlJc w:val="right"/>
      <w:pPr>
        <w:ind w:left="4320" w:hanging="180"/>
      </w:pPr>
    </w:lvl>
    <w:lvl w:ilvl="6" w:tplc="48C40252" w:tentative="1">
      <w:start w:val="1"/>
      <w:numFmt w:val="decimal"/>
      <w:lvlText w:val="%7."/>
      <w:lvlJc w:val="left"/>
      <w:pPr>
        <w:ind w:left="5040" w:hanging="360"/>
      </w:pPr>
    </w:lvl>
    <w:lvl w:ilvl="7" w:tplc="4D787F72" w:tentative="1">
      <w:start w:val="1"/>
      <w:numFmt w:val="lowerLetter"/>
      <w:lvlText w:val="%8."/>
      <w:lvlJc w:val="left"/>
      <w:pPr>
        <w:ind w:left="5760" w:hanging="360"/>
      </w:pPr>
    </w:lvl>
    <w:lvl w:ilvl="8" w:tplc="B0A63BF2" w:tentative="1">
      <w:start w:val="1"/>
      <w:numFmt w:val="lowerRoman"/>
      <w:lvlText w:val="%9."/>
      <w:lvlJc w:val="right"/>
      <w:pPr>
        <w:ind w:left="6480" w:hanging="180"/>
      </w:pPr>
    </w:lvl>
  </w:abstractNum>
  <w:abstractNum w:abstractNumId="25">
    <w:nsid w:val="79B90E11"/>
    <w:multiLevelType w:val="multilevel"/>
    <w:tmpl w:val="84680B32"/>
    <w:lvl w:ilvl="0">
      <w:start w:val="1"/>
      <w:numFmt w:val="bullet"/>
      <w:lvlText w:val=""/>
      <w:lvlJc w:val="left"/>
      <w:pPr>
        <w:tabs>
          <w:tab w:val="num" w:pos="1247"/>
        </w:tabs>
        <w:ind w:left="1247" w:hanging="283"/>
      </w:pPr>
      <w:rPr>
        <w:rFonts w:ascii="Symbol" w:hAnsi="Symbol" w:hint="default"/>
        <w:color w:val="000000" w:themeColor="text1"/>
      </w:rPr>
    </w:lvl>
    <w:lvl w:ilvl="1">
      <w:start w:val="1"/>
      <w:numFmt w:val="bullet"/>
      <w:lvlText w:val=""/>
      <w:lvlJc w:val="left"/>
      <w:pPr>
        <w:tabs>
          <w:tab w:val="num" w:pos="1531"/>
        </w:tabs>
        <w:ind w:left="1531" w:hanging="284"/>
      </w:pPr>
      <w:rPr>
        <w:rFonts w:ascii="Symbol" w:hAnsi="Symbol" w:hint="default"/>
        <w:color w:val="000000" w:themeColor="text1"/>
      </w:rPr>
    </w:lvl>
    <w:lvl w:ilvl="2">
      <w:start w:val="1"/>
      <w:numFmt w:val="lowerRoman"/>
      <w:lvlText w:val="%3)"/>
      <w:lvlJc w:val="left"/>
      <w:pPr>
        <w:ind w:left="59" w:hanging="360"/>
      </w:pPr>
      <w:rPr>
        <w:rFonts w:hint="default"/>
      </w:rPr>
    </w:lvl>
    <w:lvl w:ilvl="3">
      <w:start w:val="1"/>
      <w:numFmt w:val="decimal"/>
      <w:lvlText w:val="(%4)"/>
      <w:lvlJc w:val="left"/>
      <w:pPr>
        <w:ind w:left="419" w:hanging="360"/>
      </w:pPr>
      <w:rPr>
        <w:rFonts w:hint="default"/>
      </w:rPr>
    </w:lvl>
    <w:lvl w:ilvl="4">
      <w:start w:val="1"/>
      <w:numFmt w:val="lowerLetter"/>
      <w:lvlText w:val="(%5)"/>
      <w:lvlJc w:val="left"/>
      <w:pPr>
        <w:ind w:left="779" w:hanging="360"/>
      </w:pPr>
      <w:rPr>
        <w:rFonts w:hint="default"/>
      </w:rPr>
    </w:lvl>
    <w:lvl w:ilvl="5">
      <w:start w:val="1"/>
      <w:numFmt w:val="lowerRoman"/>
      <w:lvlText w:val="(%6)"/>
      <w:lvlJc w:val="left"/>
      <w:pPr>
        <w:ind w:left="1139" w:hanging="360"/>
      </w:pPr>
      <w:rPr>
        <w:rFonts w:hint="default"/>
      </w:rPr>
    </w:lvl>
    <w:lvl w:ilvl="6">
      <w:start w:val="1"/>
      <w:numFmt w:val="decimal"/>
      <w:lvlText w:val="%7."/>
      <w:lvlJc w:val="left"/>
      <w:pPr>
        <w:ind w:left="1499" w:hanging="360"/>
      </w:pPr>
      <w:rPr>
        <w:rFonts w:hint="default"/>
      </w:rPr>
    </w:lvl>
    <w:lvl w:ilvl="7">
      <w:start w:val="1"/>
      <w:numFmt w:val="lowerLetter"/>
      <w:lvlText w:val="%8."/>
      <w:lvlJc w:val="left"/>
      <w:pPr>
        <w:ind w:left="1859" w:hanging="360"/>
      </w:pPr>
      <w:rPr>
        <w:rFonts w:hint="default"/>
      </w:rPr>
    </w:lvl>
    <w:lvl w:ilvl="8">
      <w:start w:val="1"/>
      <w:numFmt w:val="lowerRoman"/>
      <w:lvlText w:val="%9."/>
      <w:lvlJc w:val="left"/>
      <w:pPr>
        <w:ind w:left="2219" w:hanging="360"/>
      </w:pPr>
      <w:rPr>
        <w:rFonts w:hint="default"/>
      </w:rPr>
    </w:lvl>
  </w:abstractNum>
  <w:abstractNum w:abstractNumId="26">
    <w:nsid w:val="7EC23B8A"/>
    <w:multiLevelType w:val="multilevel"/>
    <w:tmpl w:val="BBD0A34A"/>
    <w:lvl w:ilvl="0">
      <w:start w:val="1"/>
      <w:numFmt w:val="bullet"/>
      <w:lvlText w:val=""/>
      <w:lvlJc w:val="left"/>
      <w:pPr>
        <w:tabs>
          <w:tab w:val="num" w:pos="1247"/>
        </w:tabs>
        <w:ind w:left="1247" w:hanging="283"/>
      </w:pPr>
      <w:rPr>
        <w:rFonts w:ascii="Symbol" w:hAnsi="Symbol" w:hint="default"/>
        <w:color w:val="000000" w:themeColor="text1"/>
      </w:rPr>
    </w:lvl>
    <w:lvl w:ilvl="1">
      <w:start w:val="1"/>
      <w:numFmt w:val="bullet"/>
      <w:lvlText w:val="–"/>
      <w:lvlJc w:val="left"/>
      <w:pPr>
        <w:tabs>
          <w:tab w:val="num" w:pos="1531"/>
        </w:tabs>
        <w:ind w:left="1531" w:hanging="284"/>
      </w:pPr>
      <w:rPr>
        <w:rFonts w:ascii="Times New Roman" w:hAnsi="Times New Roman" w:cs="Times New Roman" w:hint="default"/>
        <w:color w:val="000000" w:themeColor="text1"/>
      </w:rPr>
    </w:lvl>
    <w:lvl w:ilvl="2">
      <w:start w:val="1"/>
      <w:numFmt w:val="lowerRoman"/>
      <w:lvlText w:val="%3)"/>
      <w:lvlJc w:val="left"/>
      <w:pPr>
        <w:ind w:left="59" w:hanging="360"/>
      </w:pPr>
      <w:rPr>
        <w:rFonts w:hint="default"/>
      </w:rPr>
    </w:lvl>
    <w:lvl w:ilvl="3">
      <w:start w:val="1"/>
      <w:numFmt w:val="decimal"/>
      <w:lvlText w:val="(%4)"/>
      <w:lvlJc w:val="left"/>
      <w:pPr>
        <w:ind w:left="419" w:hanging="360"/>
      </w:pPr>
      <w:rPr>
        <w:rFonts w:hint="default"/>
      </w:rPr>
    </w:lvl>
    <w:lvl w:ilvl="4">
      <w:start w:val="1"/>
      <w:numFmt w:val="lowerLetter"/>
      <w:lvlText w:val="(%5)"/>
      <w:lvlJc w:val="left"/>
      <w:pPr>
        <w:ind w:left="779" w:hanging="360"/>
      </w:pPr>
      <w:rPr>
        <w:rFonts w:hint="default"/>
      </w:rPr>
    </w:lvl>
    <w:lvl w:ilvl="5">
      <w:start w:val="1"/>
      <w:numFmt w:val="lowerRoman"/>
      <w:lvlText w:val="(%6)"/>
      <w:lvlJc w:val="left"/>
      <w:pPr>
        <w:ind w:left="1139" w:hanging="360"/>
      </w:pPr>
      <w:rPr>
        <w:rFonts w:hint="default"/>
      </w:rPr>
    </w:lvl>
    <w:lvl w:ilvl="6">
      <w:start w:val="1"/>
      <w:numFmt w:val="decimal"/>
      <w:lvlText w:val="%7."/>
      <w:lvlJc w:val="left"/>
      <w:pPr>
        <w:ind w:left="1499" w:hanging="360"/>
      </w:pPr>
      <w:rPr>
        <w:rFonts w:hint="default"/>
      </w:rPr>
    </w:lvl>
    <w:lvl w:ilvl="7">
      <w:start w:val="1"/>
      <w:numFmt w:val="lowerLetter"/>
      <w:lvlText w:val="%8."/>
      <w:lvlJc w:val="left"/>
      <w:pPr>
        <w:ind w:left="1859" w:hanging="360"/>
      </w:pPr>
      <w:rPr>
        <w:rFonts w:hint="default"/>
      </w:rPr>
    </w:lvl>
    <w:lvl w:ilvl="8">
      <w:start w:val="1"/>
      <w:numFmt w:val="lowerRoman"/>
      <w:lvlText w:val="%9."/>
      <w:lvlJc w:val="left"/>
      <w:pPr>
        <w:ind w:left="2219" w:hanging="360"/>
      </w:pPr>
      <w:rPr>
        <w:rFonts w:hint="default"/>
      </w:rPr>
    </w:lvl>
  </w:abstractNum>
  <w:num w:numId="1">
    <w:abstractNumId w:val="15"/>
  </w:num>
  <w:num w:numId="2">
    <w:abstractNumId w:val="17"/>
  </w:num>
  <w:num w:numId="3">
    <w:abstractNumId w:val="5"/>
  </w:num>
  <w:num w:numId="4">
    <w:abstractNumId w:val="11"/>
  </w:num>
  <w:num w:numId="5">
    <w:abstractNumId w:val="0"/>
  </w:num>
  <w:num w:numId="6">
    <w:abstractNumId w:val="24"/>
  </w:num>
  <w:num w:numId="7">
    <w:abstractNumId w:val="6"/>
  </w:num>
  <w:num w:numId="8">
    <w:abstractNumId w:val="19"/>
  </w:num>
  <w:num w:numId="9">
    <w:abstractNumId w:val="1"/>
  </w:num>
  <w:num w:numId="10">
    <w:abstractNumId w:val="10"/>
  </w:num>
  <w:num w:numId="11">
    <w:abstractNumId w:val="3"/>
  </w:num>
  <w:num w:numId="12">
    <w:abstractNumId w:val="7"/>
  </w:num>
  <w:num w:numId="13">
    <w:abstractNumId w:val="9"/>
  </w:num>
  <w:num w:numId="14">
    <w:abstractNumId w:val="14"/>
  </w:num>
  <w:num w:numId="15">
    <w:abstractNumId w:val="20"/>
  </w:num>
  <w:num w:numId="16">
    <w:abstractNumId w:val="26"/>
  </w:num>
  <w:num w:numId="17">
    <w:abstractNumId w:val="22"/>
  </w:num>
  <w:num w:numId="18">
    <w:abstractNumId w:val="25"/>
  </w:num>
  <w:num w:numId="19">
    <w:abstractNumId w:val="14"/>
  </w:num>
  <w:num w:numId="20">
    <w:abstractNumId w:val="21"/>
  </w:num>
  <w:num w:numId="21">
    <w:abstractNumId w:val="16"/>
  </w:num>
  <w:num w:numId="22">
    <w:abstractNumId w:val="13"/>
  </w:num>
  <w:num w:numId="23">
    <w:abstractNumId w:val="18"/>
  </w:num>
  <w:num w:numId="24">
    <w:abstractNumId w:val="8"/>
  </w:num>
  <w:num w:numId="25">
    <w:abstractNumId w:val="2"/>
  </w:num>
  <w:num w:numId="26">
    <w:abstractNumId w:val="4"/>
  </w:num>
  <w:num w:numId="27">
    <w:abstractNumId w:val="2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7DC"/>
    <w:rsid w:val="000147FA"/>
    <w:rsid w:val="00054588"/>
    <w:rsid w:val="00060FDF"/>
    <w:rsid w:val="00094075"/>
    <w:rsid w:val="000A428B"/>
    <w:rsid w:val="000C2DC2"/>
    <w:rsid w:val="000C4649"/>
    <w:rsid w:val="000C597A"/>
    <w:rsid w:val="000D5C24"/>
    <w:rsid w:val="000F08C8"/>
    <w:rsid w:val="00106594"/>
    <w:rsid w:val="00125A9D"/>
    <w:rsid w:val="00167E03"/>
    <w:rsid w:val="001862FD"/>
    <w:rsid w:val="001A249C"/>
    <w:rsid w:val="001F7139"/>
    <w:rsid w:val="002008BA"/>
    <w:rsid w:val="00206B02"/>
    <w:rsid w:val="00214584"/>
    <w:rsid w:val="00220E14"/>
    <w:rsid w:val="00220F9F"/>
    <w:rsid w:val="00244136"/>
    <w:rsid w:val="00253019"/>
    <w:rsid w:val="00262BB3"/>
    <w:rsid w:val="002819A1"/>
    <w:rsid w:val="00283C6B"/>
    <w:rsid w:val="002A6BB3"/>
    <w:rsid w:val="002B0E35"/>
    <w:rsid w:val="002C0B63"/>
    <w:rsid w:val="00330700"/>
    <w:rsid w:val="0033669D"/>
    <w:rsid w:val="0035377D"/>
    <w:rsid w:val="00387433"/>
    <w:rsid w:val="00387877"/>
    <w:rsid w:val="003A191A"/>
    <w:rsid w:val="003A347C"/>
    <w:rsid w:val="003A4042"/>
    <w:rsid w:val="003C0A27"/>
    <w:rsid w:val="003F1CD8"/>
    <w:rsid w:val="004258A2"/>
    <w:rsid w:val="00426E8F"/>
    <w:rsid w:val="004470C2"/>
    <w:rsid w:val="004564F7"/>
    <w:rsid w:val="0045728F"/>
    <w:rsid w:val="004941AD"/>
    <w:rsid w:val="00494316"/>
    <w:rsid w:val="004A5475"/>
    <w:rsid w:val="004B17A7"/>
    <w:rsid w:val="004B59AB"/>
    <w:rsid w:val="004E59B6"/>
    <w:rsid w:val="005036D9"/>
    <w:rsid w:val="005136F1"/>
    <w:rsid w:val="005209B5"/>
    <w:rsid w:val="005227E8"/>
    <w:rsid w:val="005272E4"/>
    <w:rsid w:val="00554F1D"/>
    <w:rsid w:val="0056784D"/>
    <w:rsid w:val="0057662F"/>
    <w:rsid w:val="005877E9"/>
    <w:rsid w:val="00592ACB"/>
    <w:rsid w:val="00596816"/>
    <w:rsid w:val="00597734"/>
    <w:rsid w:val="0059795E"/>
    <w:rsid w:val="005A3F36"/>
    <w:rsid w:val="005B7D70"/>
    <w:rsid w:val="005E61F4"/>
    <w:rsid w:val="006152A8"/>
    <w:rsid w:val="00620420"/>
    <w:rsid w:val="00642ECA"/>
    <w:rsid w:val="00685D86"/>
    <w:rsid w:val="006F189F"/>
    <w:rsid w:val="007304BC"/>
    <w:rsid w:val="00730968"/>
    <w:rsid w:val="00732782"/>
    <w:rsid w:val="00750C8B"/>
    <w:rsid w:val="007530D3"/>
    <w:rsid w:val="0076762B"/>
    <w:rsid w:val="0078095A"/>
    <w:rsid w:val="007A3F9B"/>
    <w:rsid w:val="007B09BA"/>
    <w:rsid w:val="007B21C1"/>
    <w:rsid w:val="007C444C"/>
    <w:rsid w:val="007E2B61"/>
    <w:rsid w:val="00835C53"/>
    <w:rsid w:val="00853098"/>
    <w:rsid w:val="00861BD5"/>
    <w:rsid w:val="008B586C"/>
    <w:rsid w:val="008B7E17"/>
    <w:rsid w:val="008D22C5"/>
    <w:rsid w:val="008F0555"/>
    <w:rsid w:val="008F37A0"/>
    <w:rsid w:val="00906346"/>
    <w:rsid w:val="009077DC"/>
    <w:rsid w:val="009523CF"/>
    <w:rsid w:val="009A2C14"/>
    <w:rsid w:val="009A4210"/>
    <w:rsid w:val="009B11E3"/>
    <w:rsid w:val="009C1B33"/>
    <w:rsid w:val="009C21A9"/>
    <w:rsid w:val="009D0AAC"/>
    <w:rsid w:val="009E23A6"/>
    <w:rsid w:val="00A04A44"/>
    <w:rsid w:val="00A11CFC"/>
    <w:rsid w:val="00A1385D"/>
    <w:rsid w:val="00A25048"/>
    <w:rsid w:val="00A65B19"/>
    <w:rsid w:val="00AA22E4"/>
    <w:rsid w:val="00AA4A1C"/>
    <w:rsid w:val="00AB3D58"/>
    <w:rsid w:val="00AE184C"/>
    <w:rsid w:val="00AF146B"/>
    <w:rsid w:val="00B04E79"/>
    <w:rsid w:val="00B10716"/>
    <w:rsid w:val="00B16C5D"/>
    <w:rsid w:val="00B21E12"/>
    <w:rsid w:val="00B51928"/>
    <w:rsid w:val="00B52DCB"/>
    <w:rsid w:val="00B574A4"/>
    <w:rsid w:val="00BB2012"/>
    <w:rsid w:val="00BB4477"/>
    <w:rsid w:val="00BC24A7"/>
    <w:rsid w:val="00BC647F"/>
    <w:rsid w:val="00BE4869"/>
    <w:rsid w:val="00BE5C43"/>
    <w:rsid w:val="00BE6B70"/>
    <w:rsid w:val="00BF3C5E"/>
    <w:rsid w:val="00BF72E1"/>
    <w:rsid w:val="00C32C75"/>
    <w:rsid w:val="00C3490C"/>
    <w:rsid w:val="00C35D4A"/>
    <w:rsid w:val="00C412CE"/>
    <w:rsid w:val="00C527C4"/>
    <w:rsid w:val="00C65D33"/>
    <w:rsid w:val="00C70CD1"/>
    <w:rsid w:val="00C866C4"/>
    <w:rsid w:val="00C86760"/>
    <w:rsid w:val="00CC0ECC"/>
    <w:rsid w:val="00CC684A"/>
    <w:rsid w:val="00CD4652"/>
    <w:rsid w:val="00CF0EF3"/>
    <w:rsid w:val="00D057C4"/>
    <w:rsid w:val="00D21D95"/>
    <w:rsid w:val="00D23DD2"/>
    <w:rsid w:val="00D33127"/>
    <w:rsid w:val="00D3540C"/>
    <w:rsid w:val="00D37F91"/>
    <w:rsid w:val="00D4255A"/>
    <w:rsid w:val="00D44790"/>
    <w:rsid w:val="00D44A4E"/>
    <w:rsid w:val="00D5737E"/>
    <w:rsid w:val="00D608CF"/>
    <w:rsid w:val="00DB38F8"/>
    <w:rsid w:val="00DB5B21"/>
    <w:rsid w:val="00DD788C"/>
    <w:rsid w:val="00DF06D8"/>
    <w:rsid w:val="00DF67DC"/>
    <w:rsid w:val="00E03FA6"/>
    <w:rsid w:val="00E051C0"/>
    <w:rsid w:val="00E14FC4"/>
    <w:rsid w:val="00E2618D"/>
    <w:rsid w:val="00E42B3E"/>
    <w:rsid w:val="00E44887"/>
    <w:rsid w:val="00E47FB4"/>
    <w:rsid w:val="00E52B76"/>
    <w:rsid w:val="00E60CEA"/>
    <w:rsid w:val="00EB01E7"/>
    <w:rsid w:val="00EB18BB"/>
    <w:rsid w:val="00F44CD0"/>
    <w:rsid w:val="00F476F4"/>
    <w:rsid w:val="00F8720F"/>
    <w:rsid w:val="00FB0F84"/>
    <w:rsid w:val="00FC37FA"/>
    <w:rsid w:val="00FF2A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FC4"/>
    <w:pPr>
      <w:widowControl w:val="0"/>
      <w:autoSpaceDE w:val="0"/>
      <w:autoSpaceDN w:val="0"/>
      <w:adjustRightInd w:val="0"/>
      <w:spacing w:before="240" w:after="24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9"/>
    <w:qFormat/>
    <w:rsid w:val="009077DC"/>
    <w:pPr>
      <w:outlineLvl w:val="0"/>
    </w:pPr>
    <w:rPr>
      <w:b/>
      <w:sz w:val="28"/>
    </w:rPr>
  </w:style>
  <w:style w:type="paragraph" w:styleId="Heading2">
    <w:name w:val="heading 2"/>
    <w:basedOn w:val="Normal"/>
    <w:next w:val="Normal"/>
    <w:link w:val="Heading2Char"/>
    <w:uiPriority w:val="99"/>
    <w:qFormat/>
    <w:rsid w:val="009077DC"/>
    <w:pPr>
      <w:outlineLvl w:val="1"/>
    </w:pPr>
  </w:style>
  <w:style w:type="paragraph" w:styleId="Heading3">
    <w:name w:val="heading 3"/>
    <w:basedOn w:val="Normal"/>
    <w:next w:val="Normal"/>
    <w:link w:val="Heading3Char"/>
    <w:uiPriority w:val="99"/>
    <w:qFormat/>
    <w:rsid w:val="009077DC"/>
    <w:pPr>
      <w:outlineLvl w:val="2"/>
    </w:pPr>
  </w:style>
  <w:style w:type="paragraph" w:styleId="Heading4">
    <w:name w:val="heading 4"/>
    <w:basedOn w:val="Normal"/>
    <w:next w:val="Normal"/>
    <w:link w:val="Heading4Char"/>
    <w:uiPriority w:val="99"/>
    <w:qFormat/>
    <w:rsid w:val="009077DC"/>
    <w:pPr>
      <w:outlineLvl w:val="3"/>
    </w:pPr>
  </w:style>
  <w:style w:type="paragraph" w:styleId="Heading5">
    <w:name w:val="heading 5"/>
    <w:basedOn w:val="Normal"/>
    <w:next w:val="Normal"/>
    <w:link w:val="Heading5Char"/>
    <w:uiPriority w:val="99"/>
    <w:qFormat/>
    <w:rsid w:val="009077DC"/>
    <w:pPr>
      <w:outlineLvl w:val="4"/>
    </w:pPr>
  </w:style>
  <w:style w:type="paragraph" w:styleId="Heading6">
    <w:name w:val="heading 6"/>
    <w:basedOn w:val="Normal"/>
    <w:next w:val="Normal"/>
    <w:link w:val="Heading6Char"/>
    <w:uiPriority w:val="99"/>
    <w:qFormat/>
    <w:rsid w:val="009077DC"/>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077DC"/>
    <w:rPr>
      <w:rFonts w:ascii="Times New Roman" w:eastAsia="Times New Roman" w:hAnsi="Times New Roman" w:cs="Times New Roman"/>
      <w:b/>
      <w:sz w:val="28"/>
      <w:szCs w:val="24"/>
      <w:lang w:eastAsia="en-AU"/>
    </w:rPr>
  </w:style>
  <w:style w:type="character" w:customStyle="1" w:styleId="Heading2Char">
    <w:name w:val="Heading 2 Char"/>
    <w:basedOn w:val="DefaultParagraphFont"/>
    <w:link w:val="Heading2"/>
    <w:uiPriority w:val="99"/>
    <w:rsid w:val="009077DC"/>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9"/>
    <w:rsid w:val="009077DC"/>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9"/>
    <w:rsid w:val="009077DC"/>
    <w:rPr>
      <w:rFonts w:ascii="Times New Roman" w:eastAsia="Times New Roman" w:hAnsi="Times New Roman" w:cs="Times New Roman"/>
      <w:sz w:val="24"/>
      <w:szCs w:val="24"/>
      <w:lang w:eastAsia="en-AU"/>
    </w:rPr>
  </w:style>
  <w:style w:type="character" w:customStyle="1" w:styleId="Heading5Char">
    <w:name w:val="Heading 5 Char"/>
    <w:basedOn w:val="DefaultParagraphFont"/>
    <w:link w:val="Heading5"/>
    <w:uiPriority w:val="99"/>
    <w:rsid w:val="009077DC"/>
    <w:rPr>
      <w:rFonts w:ascii="Times New Roman" w:eastAsia="Times New Roman" w:hAnsi="Times New Roman" w:cs="Times New Roman"/>
      <w:sz w:val="24"/>
      <w:szCs w:val="24"/>
      <w:lang w:eastAsia="en-AU"/>
    </w:rPr>
  </w:style>
  <w:style w:type="character" w:customStyle="1" w:styleId="Heading6Char">
    <w:name w:val="Heading 6 Char"/>
    <w:basedOn w:val="DefaultParagraphFont"/>
    <w:link w:val="Heading6"/>
    <w:uiPriority w:val="99"/>
    <w:rsid w:val="009077DC"/>
    <w:rPr>
      <w:rFonts w:ascii="Times New Roman" w:eastAsia="Times New Roman" w:hAnsi="Times New Roman" w:cs="Times New Roman"/>
      <w:sz w:val="24"/>
      <w:szCs w:val="24"/>
      <w:lang w:eastAsia="en-AU"/>
    </w:rPr>
  </w:style>
  <w:style w:type="paragraph" w:customStyle="1" w:styleId="Style1">
    <w:name w:val="Style1"/>
    <w:basedOn w:val="Normal"/>
    <w:link w:val="Style1Char"/>
    <w:qFormat/>
    <w:rsid w:val="009077DC"/>
    <w:pPr>
      <w:keepNext/>
      <w:keepLines/>
    </w:pPr>
    <w:rPr>
      <w:b/>
      <w:bCs/>
    </w:rPr>
  </w:style>
  <w:style w:type="paragraph" w:styleId="Header">
    <w:name w:val="header"/>
    <w:basedOn w:val="Normal"/>
    <w:link w:val="HeaderChar"/>
    <w:uiPriority w:val="99"/>
    <w:unhideWhenUsed/>
    <w:rsid w:val="009077DC"/>
    <w:pPr>
      <w:tabs>
        <w:tab w:val="center" w:pos="4513"/>
        <w:tab w:val="right" w:pos="9026"/>
      </w:tabs>
      <w:spacing w:before="0" w:after="0"/>
    </w:pPr>
  </w:style>
  <w:style w:type="character" w:customStyle="1" w:styleId="HeaderChar">
    <w:name w:val="Header Char"/>
    <w:basedOn w:val="DefaultParagraphFont"/>
    <w:link w:val="Header"/>
    <w:uiPriority w:val="99"/>
    <w:rsid w:val="009077DC"/>
    <w:rPr>
      <w:rFonts w:ascii="Times New Roman" w:eastAsia="Times New Roman" w:hAnsi="Times New Roman" w:cs="Times New Roman"/>
      <w:sz w:val="24"/>
      <w:szCs w:val="24"/>
      <w:lang w:eastAsia="en-AU"/>
    </w:rPr>
  </w:style>
  <w:style w:type="character" w:customStyle="1" w:styleId="Style1Char">
    <w:name w:val="Style1 Char"/>
    <w:basedOn w:val="DefaultParagraphFont"/>
    <w:link w:val="Style1"/>
    <w:rsid w:val="009077DC"/>
    <w:rPr>
      <w:rFonts w:ascii="Times New Roman" w:eastAsia="Times New Roman" w:hAnsi="Times New Roman" w:cs="Times New Roman"/>
      <w:b/>
      <w:bCs/>
      <w:sz w:val="24"/>
      <w:szCs w:val="24"/>
      <w:lang w:eastAsia="en-AU"/>
    </w:rPr>
  </w:style>
  <w:style w:type="paragraph" w:styleId="Footer">
    <w:name w:val="footer"/>
    <w:basedOn w:val="Normal"/>
    <w:link w:val="FooterChar"/>
    <w:uiPriority w:val="99"/>
    <w:unhideWhenUsed/>
    <w:rsid w:val="009077DC"/>
    <w:pPr>
      <w:tabs>
        <w:tab w:val="center" w:pos="4513"/>
        <w:tab w:val="right" w:pos="9026"/>
      </w:tabs>
      <w:spacing w:before="0" w:after="0"/>
    </w:pPr>
  </w:style>
  <w:style w:type="character" w:customStyle="1" w:styleId="FooterChar">
    <w:name w:val="Footer Char"/>
    <w:basedOn w:val="DefaultParagraphFont"/>
    <w:link w:val="Footer"/>
    <w:uiPriority w:val="99"/>
    <w:rsid w:val="009077DC"/>
    <w:rPr>
      <w:rFonts w:ascii="Times New Roman" w:eastAsia="Times New Roman" w:hAnsi="Times New Roman" w:cs="Times New Roman"/>
      <w:sz w:val="24"/>
      <w:szCs w:val="24"/>
      <w:lang w:eastAsia="en-AU"/>
    </w:rPr>
  </w:style>
  <w:style w:type="paragraph" w:customStyle="1" w:styleId="Style2">
    <w:name w:val="Style2"/>
    <w:basedOn w:val="Normal"/>
    <w:link w:val="Style2Char"/>
    <w:qFormat/>
    <w:rsid w:val="009077DC"/>
    <w:pPr>
      <w:keepNext/>
    </w:pPr>
    <w:rPr>
      <w:u w:val="single"/>
    </w:rPr>
  </w:style>
  <w:style w:type="paragraph" w:customStyle="1" w:styleId="Style3">
    <w:name w:val="Style3"/>
    <w:basedOn w:val="Normal"/>
    <w:link w:val="Style3Char"/>
    <w:qFormat/>
    <w:rsid w:val="009077DC"/>
    <w:pPr>
      <w:spacing w:before="0"/>
      <w:ind w:right="91"/>
      <w:jc w:val="center"/>
    </w:pPr>
    <w:rPr>
      <w:b/>
      <w:bCs/>
      <w:sz w:val="28"/>
      <w:u w:val="single"/>
    </w:rPr>
  </w:style>
  <w:style w:type="character" w:customStyle="1" w:styleId="Style2Char">
    <w:name w:val="Style2 Char"/>
    <w:basedOn w:val="DefaultParagraphFont"/>
    <w:link w:val="Style2"/>
    <w:rsid w:val="009077DC"/>
    <w:rPr>
      <w:rFonts w:ascii="Times New Roman" w:eastAsia="Times New Roman" w:hAnsi="Times New Roman" w:cs="Times New Roman"/>
      <w:sz w:val="24"/>
      <w:szCs w:val="24"/>
      <w:u w:val="single"/>
      <w:lang w:eastAsia="en-AU"/>
    </w:rPr>
  </w:style>
  <w:style w:type="paragraph" w:styleId="BalloonText">
    <w:name w:val="Balloon Text"/>
    <w:basedOn w:val="Normal"/>
    <w:link w:val="BalloonTextChar"/>
    <w:uiPriority w:val="99"/>
    <w:semiHidden/>
    <w:unhideWhenUsed/>
    <w:rsid w:val="009077D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7DC"/>
    <w:rPr>
      <w:rFonts w:ascii="Tahoma" w:eastAsia="Times New Roman" w:hAnsi="Tahoma" w:cs="Tahoma"/>
      <w:sz w:val="16"/>
      <w:szCs w:val="16"/>
      <w:lang w:eastAsia="en-AU"/>
    </w:rPr>
  </w:style>
  <w:style w:type="character" w:customStyle="1" w:styleId="Style3Char">
    <w:name w:val="Style3 Char"/>
    <w:basedOn w:val="DefaultParagraphFont"/>
    <w:link w:val="Style3"/>
    <w:rsid w:val="009077DC"/>
    <w:rPr>
      <w:rFonts w:ascii="Times New Roman" w:eastAsia="Times New Roman" w:hAnsi="Times New Roman" w:cs="Times New Roman"/>
      <w:b/>
      <w:bCs/>
      <w:sz w:val="28"/>
      <w:szCs w:val="24"/>
      <w:u w:val="single"/>
      <w:lang w:eastAsia="en-AU"/>
    </w:rPr>
  </w:style>
  <w:style w:type="paragraph" w:customStyle="1" w:styleId="Bullet">
    <w:name w:val="Bullet"/>
    <w:aliases w:val="b"/>
    <w:basedOn w:val="Normal"/>
    <w:link w:val="BulletChar"/>
    <w:qFormat/>
    <w:rsid w:val="009077DC"/>
    <w:pPr>
      <w:numPr>
        <w:numId w:val="1"/>
      </w:numPr>
      <w:ind w:right="91"/>
    </w:pPr>
  </w:style>
  <w:style w:type="character" w:customStyle="1" w:styleId="BulletChar">
    <w:name w:val="Bullet Char"/>
    <w:aliases w:val="b Char"/>
    <w:basedOn w:val="DefaultParagraphFont"/>
    <w:link w:val="Bullet"/>
    <w:rsid w:val="009077DC"/>
    <w:rPr>
      <w:rFonts w:ascii="Times New Roman" w:eastAsia="Times New Roman" w:hAnsi="Times New Roman" w:cs="Times New Roman"/>
      <w:sz w:val="24"/>
      <w:szCs w:val="24"/>
      <w:lang w:eastAsia="en-AU"/>
    </w:rPr>
  </w:style>
  <w:style w:type="paragraph" w:customStyle="1" w:styleId="Dash">
    <w:name w:val="Dash"/>
    <w:basedOn w:val="Normal"/>
    <w:link w:val="DashChar"/>
    <w:qFormat/>
    <w:rsid w:val="009077DC"/>
    <w:pPr>
      <w:numPr>
        <w:ilvl w:val="1"/>
        <w:numId w:val="1"/>
      </w:numPr>
      <w:ind w:right="91"/>
    </w:pPr>
  </w:style>
  <w:style w:type="character" w:customStyle="1" w:styleId="DashChar">
    <w:name w:val="Dash Char"/>
    <w:basedOn w:val="DefaultParagraphFont"/>
    <w:link w:val="Dash"/>
    <w:rsid w:val="009077DC"/>
    <w:rPr>
      <w:rFonts w:ascii="Times New Roman" w:eastAsia="Times New Roman" w:hAnsi="Times New Roman" w:cs="Times New Roman"/>
      <w:sz w:val="24"/>
      <w:szCs w:val="24"/>
      <w:lang w:eastAsia="en-AU"/>
    </w:rPr>
  </w:style>
  <w:style w:type="paragraph" w:customStyle="1" w:styleId="DoubleDot">
    <w:name w:val="Double Dot"/>
    <w:basedOn w:val="Normal"/>
    <w:link w:val="DoubleDotChar"/>
    <w:rsid w:val="009077DC"/>
    <w:pPr>
      <w:numPr>
        <w:ilvl w:val="2"/>
        <w:numId w:val="1"/>
      </w:numPr>
      <w:ind w:right="91"/>
    </w:pPr>
  </w:style>
  <w:style w:type="character" w:customStyle="1" w:styleId="DoubleDotChar">
    <w:name w:val="Double Dot Char"/>
    <w:basedOn w:val="DefaultParagraphFont"/>
    <w:link w:val="DoubleDot"/>
    <w:rsid w:val="009077DC"/>
    <w:rPr>
      <w:rFonts w:ascii="Times New Roman" w:eastAsia="Times New Roman" w:hAnsi="Times New Roman" w:cs="Times New Roman"/>
      <w:sz w:val="24"/>
      <w:szCs w:val="24"/>
      <w:lang w:eastAsia="en-AU"/>
    </w:rPr>
  </w:style>
  <w:style w:type="paragraph" w:customStyle="1" w:styleId="Style4">
    <w:name w:val="Style4"/>
    <w:basedOn w:val="Normal"/>
    <w:link w:val="Style4Char"/>
    <w:qFormat/>
    <w:rsid w:val="009077DC"/>
    <w:pPr>
      <w:numPr>
        <w:numId w:val="2"/>
      </w:numPr>
      <w:tabs>
        <w:tab w:val="left" w:pos="567"/>
      </w:tabs>
      <w:ind w:left="567" w:hanging="567"/>
    </w:pPr>
  </w:style>
  <w:style w:type="character" w:customStyle="1" w:styleId="Style4Char">
    <w:name w:val="Style4 Char"/>
    <w:basedOn w:val="DefaultParagraphFont"/>
    <w:link w:val="Style4"/>
    <w:rsid w:val="009077DC"/>
    <w:rPr>
      <w:rFonts w:ascii="Times New Roman" w:eastAsia="Times New Roman" w:hAnsi="Times New Roman" w:cs="Times New Roman"/>
      <w:sz w:val="24"/>
      <w:szCs w:val="24"/>
      <w:lang w:eastAsia="en-AU"/>
    </w:rPr>
  </w:style>
  <w:style w:type="table" w:styleId="TableGrid">
    <w:name w:val="Table Grid"/>
    <w:basedOn w:val="TableNormal"/>
    <w:uiPriority w:val="59"/>
    <w:rsid w:val="009077DC"/>
    <w:pPr>
      <w:spacing w:after="0" w:line="240" w:lineRule="auto"/>
    </w:pPr>
    <w:rPr>
      <w:rFonts w:ascii="Calibri" w:eastAsia="Times New Roman" w:hAnsi="Calibri" w:cs="Times New Roman"/>
      <w:sz w:val="20"/>
      <w:szCs w:val="20"/>
      <w:lang w:eastAsia="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5">
    <w:name w:val="Style5"/>
    <w:basedOn w:val="Normal"/>
    <w:link w:val="Style5Char"/>
    <w:qFormat/>
    <w:rsid w:val="009077DC"/>
    <w:pPr>
      <w:keepNext/>
    </w:pPr>
    <w:rPr>
      <w:i/>
      <w:iCs/>
      <w:sz w:val="23"/>
      <w:szCs w:val="23"/>
    </w:rPr>
  </w:style>
  <w:style w:type="character" w:customStyle="1" w:styleId="Style5Char">
    <w:name w:val="Style5 Char"/>
    <w:basedOn w:val="DefaultParagraphFont"/>
    <w:link w:val="Style5"/>
    <w:rsid w:val="009077DC"/>
    <w:rPr>
      <w:rFonts w:ascii="Times New Roman" w:eastAsia="Times New Roman" w:hAnsi="Times New Roman" w:cs="Times New Roman"/>
      <w:i/>
      <w:iCs/>
      <w:sz w:val="23"/>
      <w:szCs w:val="23"/>
      <w:lang w:eastAsia="en-AU"/>
    </w:rPr>
  </w:style>
  <w:style w:type="paragraph" w:styleId="BodyText3">
    <w:name w:val="Body Text 3"/>
    <w:basedOn w:val="Normal"/>
    <w:link w:val="BodyText3Char"/>
    <w:rsid w:val="009077DC"/>
    <w:pPr>
      <w:widowControl/>
      <w:autoSpaceDE/>
      <w:autoSpaceDN/>
      <w:adjustRightInd/>
      <w:spacing w:before="0" w:after="0"/>
    </w:pPr>
    <w:rPr>
      <w:b/>
      <w:szCs w:val="20"/>
      <w:lang w:eastAsia="en-US"/>
    </w:rPr>
  </w:style>
  <w:style w:type="character" w:customStyle="1" w:styleId="BodyText3Char">
    <w:name w:val="Body Text 3 Char"/>
    <w:basedOn w:val="DefaultParagraphFont"/>
    <w:link w:val="BodyText3"/>
    <w:rsid w:val="009077DC"/>
    <w:rPr>
      <w:rFonts w:ascii="Times New Roman" w:eastAsia="Times New Roman" w:hAnsi="Times New Roman" w:cs="Times New Roman"/>
      <w:b/>
      <w:sz w:val="24"/>
      <w:szCs w:val="20"/>
    </w:rPr>
  </w:style>
  <w:style w:type="paragraph" w:styleId="NormalWeb">
    <w:name w:val="Normal (Web)"/>
    <w:basedOn w:val="Normal"/>
    <w:uiPriority w:val="99"/>
    <w:rsid w:val="009077DC"/>
    <w:pPr>
      <w:widowControl/>
      <w:autoSpaceDE/>
      <w:autoSpaceDN/>
      <w:adjustRightInd/>
      <w:spacing w:before="100" w:after="100"/>
    </w:pPr>
    <w:rPr>
      <w:rFonts w:ascii="Arial Unicode MS" w:eastAsia="Arial Unicode MS" w:hAnsi="Arial Unicode MS"/>
      <w:szCs w:val="20"/>
      <w:lang w:val="en-US" w:eastAsia="en-US"/>
    </w:rPr>
  </w:style>
  <w:style w:type="paragraph" w:customStyle="1" w:styleId="StyleHeading2TimesNewRoman">
    <w:name w:val="Style Heading 2 + Times New Roman"/>
    <w:basedOn w:val="Heading2"/>
    <w:rsid w:val="009077DC"/>
    <w:pPr>
      <w:keepNext/>
      <w:widowControl/>
      <w:autoSpaceDE/>
      <w:autoSpaceDN/>
      <w:adjustRightInd/>
      <w:spacing w:after="60"/>
    </w:pPr>
    <w:rPr>
      <w:rFonts w:cs="Arial"/>
      <w:b/>
      <w:bCs/>
      <w:iCs/>
      <w:szCs w:val="28"/>
    </w:rPr>
  </w:style>
  <w:style w:type="paragraph" w:styleId="ListParagraph">
    <w:name w:val="List Paragraph"/>
    <w:basedOn w:val="Normal"/>
    <w:uiPriority w:val="34"/>
    <w:qFormat/>
    <w:rsid w:val="009077DC"/>
    <w:pPr>
      <w:ind w:left="720"/>
      <w:contextualSpacing/>
    </w:pPr>
  </w:style>
  <w:style w:type="paragraph" w:customStyle="1" w:styleId="Default">
    <w:name w:val="Default"/>
    <w:rsid w:val="009077DC"/>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NumberLevel1">
    <w:name w:val="Number Level 1"/>
    <w:basedOn w:val="Normal"/>
    <w:link w:val="NumberLevel1Char"/>
    <w:rsid w:val="009077DC"/>
    <w:pPr>
      <w:widowControl/>
      <w:numPr>
        <w:numId w:val="3"/>
      </w:numPr>
      <w:autoSpaceDE/>
      <w:autoSpaceDN/>
      <w:adjustRightInd/>
      <w:spacing w:before="140" w:after="140" w:line="280" w:lineRule="atLeast"/>
    </w:pPr>
    <w:rPr>
      <w:rFonts w:ascii="Arial" w:hAnsi="Arial" w:cs="Arial"/>
      <w:sz w:val="22"/>
      <w:szCs w:val="22"/>
    </w:rPr>
  </w:style>
  <w:style w:type="paragraph" w:customStyle="1" w:styleId="NumberLevel2">
    <w:name w:val="Number Level 2"/>
    <w:basedOn w:val="Normal"/>
    <w:rsid w:val="009077DC"/>
    <w:pPr>
      <w:widowControl/>
      <w:numPr>
        <w:ilvl w:val="1"/>
        <w:numId w:val="3"/>
      </w:numPr>
      <w:autoSpaceDE/>
      <w:autoSpaceDN/>
      <w:adjustRightInd/>
      <w:spacing w:before="140" w:after="140" w:line="280" w:lineRule="atLeast"/>
    </w:pPr>
    <w:rPr>
      <w:rFonts w:ascii="Arial" w:hAnsi="Arial" w:cs="Arial"/>
      <w:sz w:val="22"/>
      <w:szCs w:val="22"/>
    </w:rPr>
  </w:style>
  <w:style w:type="paragraph" w:customStyle="1" w:styleId="NumberLevel3">
    <w:name w:val="Number Level 3"/>
    <w:basedOn w:val="Normal"/>
    <w:rsid w:val="009077DC"/>
    <w:pPr>
      <w:widowControl/>
      <w:numPr>
        <w:ilvl w:val="2"/>
        <w:numId w:val="3"/>
      </w:numPr>
      <w:autoSpaceDE/>
      <w:autoSpaceDN/>
      <w:adjustRightInd/>
      <w:spacing w:before="140" w:after="140" w:line="280" w:lineRule="atLeast"/>
    </w:pPr>
    <w:rPr>
      <w:rFonts w:ascii="Arial" w:hAnsi="Arial" w:cs="Arial"/>
      <w:sz w:val="22"/>
      <w:szCs w:val="22"/>
    </w:rPr>
  </w:style>
  <w:style w:type="paragraph" w:customStyle="1" w:styleId="NumberLevel4">
    <w:name w:val="Number Level 4"/>
    <w:basedOn w:val="Normal"/>
    <w:rsid w:val="009077DC"/>
    <w:pPr>
      <w:widowControl/>
      <w:numPr>
        <w:ilvl w:val="3"/>
        <w:numId w:val="3"/>
      </w:numPr>
      <w:autoSpaceDE/>
      <w:autoSpaceDN/>
      <w:adjustRightInd/>
      <w:spacing w:before="0" w:after="140" w:line="280" w:lineRule="atLeast"/>
    </w:pPr>
    <w:rPr>
      <w:rFonts w:ascii="Arial" w:hAnsi="Arial" w:cs="Arial"/>
      <w:sz w:val="22"/>
      <w:szCs w:val="22"/>
    </w:rPr>
  </w:style>
  <w:style w:type="paragraph" w:customStyle="1" w:styleId="NumberLevel5">
    <w:name w:val="Number Level 5"/>
    <w:basedOn w:val="Normal"/>
    <w:rsid w:val="009077DC"/>
    <w:pPr>
      <w:widowControl/>
      <w:numPr>
        <w:ilvl w:val="4"/>
        <w:numId w:val="3"/>
      </w:numPr>
      <w:autoSpaceDE/>
      <w:autoSpaceDN/>
      <w:adjustRightInd/>
      <w:spacing w:before="0" w:after="140" w:line="280" w:lineRule="atLeast"/>
    </w:pPr>
    <w:rPr>
      <w:rFonts w:ascii="Arial" w:hAnsi="Arial" w:cs="Arial"/>
      <w:sz w:val="22"/>
      <w:szCs w:val="22"/>
    </w:rPr>
  </w:style>
  <w:style w:type="paragraph" w:customStyle="1" w:styleId="NumberLevel6">
    <w:name w:val="Number Level 6"/>
    <w:basedOn w:val="NumberLevel5"/>
    <w:rsid w:val="009077DC"/>
    <w:pPr>
      <w:numPr>
        <w:ilvl w:val="5"/>
      </w:numPr>
    </w:pPr>
  </w:style>
  <w:style w:type="paragraph" w:customStyle="1" w:styleId="NumberLevel7">
    <w:name w:val="Number Level 7"/>
    <w:basedOn w:val="NumberLevel6"/>
    <w:rsid w:val="009077DC"/>
    <w:pPr>
      <w:numPr>
        <w:ilvl w:val="6"/>
      </w:numPr>
    </w:pPr>
  </w:style>
  <w:style w:type="paragraph" w:customStyle="1" w:styleId="NumberLevel8">
    <w:name w:val="Number Level 8"/>
    <w:basedOn w:val="NumberLevel7"/>
    <w:rsid w:val="009077DC"/>
    <w:pPr>
      <w:numPr>
        <w:ilvl w:val="7"/>
      </w:numPr>
    </w:pPr>
  </w:style>
  <w:style w:type="paragraph" w:customStyle="1" w:styleId="NumberLevel9">
    <w:name w:val="Number Level 9"/>
    <w:basedOn w:val="NumberLevel8"/>
    <w:rsid w:val="009077DC"/>
    <w:pPr>
      <w:numPr>
        <w:ilvl w:val="8"/>
      </w:numPr>
    </w:pPr>
  </w:style>
  <w:style w:type="paragraph" w:customStyle="1" w:styleId="paragraph">
    <w:name w:val="paragraph"/>
    <w:aliases w:val="a"/>
    <w:basedOn w:val="Normal"/>
    <w:link w:val="paragraphChar"/>
    <w:rsid w:val="009077DC"/>
    <w:pPr>
      <w:widowControl/>
      <w:tabs>
        <w:tab w:val="right" w:pos="1531"/>
      </w:tabs>
      <w:autoSpaceDE/>
      <w:autoSpaceDN/>
      <w:adjustRightInd/>
      <w:spacing w:before="40" w:after="0"/>
      <w:ind w:left="1644" w:hanging="1644"/>
    </w:pPr>
    <w:rPr>
      <w:rFonts w:eastAsia="Calibri"/>
      <w:sz w:val="22"/>
      <w:szCs w:val="20"/>
    </w:rPr>
  </w:style>
  <w:style w:type="paragraph" w:customStyle="1" w:styleId="ActHead5">
    <w:name w:val="ActHead 5"/>
    <w:aliases w:val="s"/>
    <w:basedOn w:val="Normal"/>
    <w:next w:val="subsection"/>
    <w:rsid w:val="009077DC"/>
    <w:pPr>
      <w:keepNext/>
      <w:keepLines/>
      <w:widowControl/>
      <w:autoSpaceDE/>
      <w:autoSpaceDN/>
      <w:adjustRightInd/>
      <w:spacing w:before="280" w:after="0"/>
      <w:ind w:left="1134" w:hanging="1134"/>
      <w:outlineLvl w:val="4"/>
    </w:pPr>
    <w:rPr>
      <w:rFonts w:eastAsia="Calibri"/>
      <w:b/>
      <w:kern w:val="28"/>
      <w:szCs w:val="20"/>
    </w:rPr>
  </w:style>
  <w:style w:type="character" w:customStyle="1" w:styleId="CharSectno">
    <w:name w:val="CharSectno"/>
    <w:basedOn w:val="DefaultParagraphFont"/>
    <w:rsid w:val="009077DC"/>
    <w:rPr>
      <w:rFonts w:cs="Times New Roman"/>
    </w:rPr>
  </w:style>
  <w:style w:type="paragraph" w:customStyle="1" w:styleId="subsection">
    <w:name w:val="subsection"/>
    <w:aliases w:val="ss"/>
    <w:basedOn w:val="Normal"/>
    <w:link w:val="subsectionChar"/>
    <w:rsid w:val="009077DC"/>
    <w:pPr>
      <w:widowControl/>
      <w:tabs>
        <w:tab w:val="right" w:pos="1021"/>
      </w:tabs>
      <w:autoSpaceDE/>
      <w:autoSpaceDN/>
      <w:adjustRightInd/>
      <w:spacing w:before="180" w:after="0"/>
      <w:ind w:left="1134" w:hanging="1134"/>
    </w:pPr>
    <w:rPr>
      <w:rFonts w:eastAsia="Calibri"/>
      <w:sz w:val="22"/>
      <w:szCs w:val="20"/>
    </w:rPr>
  </w:style>
  <w:style w:type="paragraph" w:customStyle="1" w:styleId="paragraphsub">
    <w:name w:val="paragraph(sub)"/>
    <w:aliases w:val="aa"/>
    <w:basedOn w:val="Normal"/>
    <w:rsid w:val="009077DC"/>
    <w:pPr>
      <w:widowControl/>
      <w:tabs>
        <w:tab w:val="right" w:pos="1985"/>
      </w:tabs>
      <w:autoSpaceDE/>
      <w:autoSpaceDN/>
      <w:adjustRightInd/>
      <w:spacing w:before="40" w:after="0"/>
      <w:ind w:left="2098" w:hanging="2098"/>
    </w:pPr>
    <w:rPr>
      <w:rFonts w:eastAsia="Calibri"/>
      <w:sz w:val="22"/>
      <w:szCs w:val="20"/>
    </w:rPr>
  </w:style>
  <w:style w:type="paragraph" w:customStyle="1" w:styleId="SubsectionHead">
    <w:name w:val="SubsectionHead"/>
    <w:aliases w:val="ssh"/>
    <w:basedOn w:val="Normal"/>
    <w:next w:val="subsection"/>
    <w:rsid w:val="009077DC"/>
    <w:pPr>
      <w:keepNext/>
      <w:keepLines/>
      <w:widowControl/>
      <w:autoSpaceDE/>
      <w:autoSpaceDN/>
      <w:adjustRightInd/>
      <w:spacing w:after="0"/>
      <w:ind w:left="1134"/>
    </w:pPr>
    <w:rPr>
      <w:rFonts w:eastAsia="Calibri"/>
      <w:i/>
      <w:sz w:val="22"/>
      <w:szCs w:val="20"/>
    </w:rPr>
  </w:style>
  <w:style w:type="paragraph" w:customStyle="1" w:styleId="OutlineNumbered1">
    <w:name w:val="Outline Numbered 1"/>
    <w:basedOn w:val="Normal"/>
    <w:link w:val="OutlineNumbered1Char"/>
    <w:rsid w:val="009077DC"/>
    <w:pPr>
      <w:numPr>
        <w:numId w:val="4"/>
      </w:numPr>
    </w:pPr>
  </w:style>
  <w:style w:type="character" w:customStyle="1" w:styleId="NumberLevel1Char">
    <w:name w:val="Number Level 1 Char"/>
    <w:basedOn w:val="DefaultParagraphFont"/>
    <w:link w:val="NumberLevel1"/>
    <w:rsid w:val="009077DC"/>
    <w:rPr>
      <w:rFonts w:ascii="Arial" w:eastAsia="Times New Roman" w:hAnsi="Arial" w:cs="Arial"/>
      <w:lang w:eastAsia="en-AU"/>
    </w:rPr>
  </w:style>
  <w:style w:type="character" w:customStyle="1" w:styleId="OutlineNumbered1Char">
    <w:name w:val="Outline Numbered 1 Char"/>
    <w:basedOn w:val="NumberLevel1Char"/>
    <w:link w:val="OutlineNumbered1"/>
    <w:rsid w:val="009077DC"/>
    <w:rPr>
      <w:rFonts w:ascii="Times New Roman" w:eastAsia="Times New Roman" w:hAnsi="Times New Roman" w:cs="Times New Roman"/>
      <w:sz w:val="24"/>
      <w:szCs w:val="24"/>
      <w:lang w:eastAsia="en-AU"/>
    </w:rPr>
  </w:style>
  <w:style w:type="paragraph" w:customStyle="1" w:styleId="OutlineNumbered2">
    <w:name w:val="Outline Numbered 2"/>
    <w:basedOn w:val="Normal"/>
    <w:link w:val="OutlineNumbered2Char"/>
    <w:rsid w:val="009077DC"/>
    <w:pPr>
      <w:numPr>
        <w:ilvl w:val="1"/>
        <w:numId w:val="4"/>
      </w:numPr>
    </w:pPr>
  </w:style>
  <w:style w:type="character" w:customStyle="1" w:styleId="OutlineNumbered2Char">
    <w:name w:val="Outline Numbered 2 Char"/>
    <w:basedOn w:val="NumberLevel1Char"/>
    <w:link w:val="OutlineNumbered2"/>
    <w:rsid w:val="009077DC"/>
    <w:rPr>
      <w:rFonts w:ascii="Times New Roman" w:eastAsia="Times New Roman" w:hAnsi="Times New Roman" w:cs="Times New Roman"/>
      <w:sz w:val="24"/>
      <w:szCs w:val="24"/>
      <w:lang w:eastAsia="en-AU"/>
    </w:rPr>
  </w:style>
  <w:style w:type="paragraph" w:customStyle="1" w:styleId="OutlineNumbered3">
    <w:name w:val="Outline Numbered 3"/>
    <w:basedOn w:val="Normal"/>
    <w:link w:val="OutlineNumbered3Char"/>
    <w:rsid w:val="009077DC"/>
    <w:pPr>
      <w:numPr>
        <w:ilvl w:val="2"/>
        <w:numId w:val="4"/>
      </w:numPr>
    </w:pPr>
  </w:style>
  <w:style w:type="character" w:customStyle="1" w:styleId="OutlineNumbered3Char">
    <w:name w:val="Outline Numbered 3 Char"/>
    <w:basedOn w:val="NumberLevel1Char"/>
    <w:link w:val="OutlineNumbered3"/>
    <w:rsid w:val="009077DC"/>
    <w:rPr>
      <w:rFonts w:ascii="Times New Roman" w:eastAsia="Times New Roman" w:hAnsi="Times New Roman" w:cs="Times New Roman"/>
      <w:sz w:val="24"/>
      <w:szCs w:val="24"/>
      <w:lang w:eastAsia="en-AU"/>
    </w:rPr>
  </w:style>
  <w:style w:type="character" w:styleId="HTMLAcronym">
    <w:name w:val="HTML Acronym"/>
    <w:basedOn w:val="DefaultParagraphFont"/>
    <w:uiPriority w:val="99"/>
    <w:semiHidden/>
    <w:unhideWhenUsed/>
    <w:rsid w:val="009077DC"/>
  </w:style>
  <w:style w:type="character" w:styleId="CommentReference">
    <w:name w:val="annotation reference"/>
    <w:basedOn w:val="DefaultParagraphFont"/>
    <w:uiPriority w:val="99"/>
    <w:unhideWhenUsed/>
    <w:rsid w:val="009077DC"/>
    <w:rPr>
      <w:sz w:val="16"/>
      <w:szCs w:val="16"/>
    </w:rPr>
  </w:style>
  <w:style w:type="paragraph" w:styleId="CommentText">
    <w:name w:val="annotation text"/>
    <w:basedOn w:val="Normal"/>
    <w:link w:val="CommentTextChar"/>
    <w:uiPriority w:val="99"/>
    <w:unhideWhenUsed/>
    <w:rsid w:val="009077DC"/>
    <w:rPr>
      <w:sz w:val="20"/>
      <w:szCs w:val="20"/>
    </w:rPr>
  </w:style>
  <w:style w:type="character" w:customStyle="1" w:styleId="CommentTextChar">
    <w:name w:val="Comment Text Char"/>
    <w:basedOn w:val="DefaultParagraphFont"/>
    <w:link w:val="CommentText"/>
    <w:uiPriority w:val="99"/>
    <w:rsid w:val="009077D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077DC"/>
    <w:rPr>
      <w:b/>
      <w:bCs/>
    </w:rPr>
  </w:style>
  <w:style w:type="character" w:customStyle="1" w:styleId="CommentSubjectChar">
    <w:name w:val="Comment Subject Char"/>
    <w:basedOn w:val="CommentTextChar"/>
    <w:link w:val="CommentSubject"/>
    <w:uiPriority w:val="99"/>
    <w:semiHidden/>
    <w:rsid w:val="009077DC"/>
    <w:rPr>
      <w:rFonts w:ascii="Times New Roman" w:eastAsia="Times New Roman" w:hAnsi="Times New Roman" w:cs="Times New Roman"/>
      <w:b/>
      <w:bCs/>
      <w:sz w:val="20"/>
      <w:szCs w:val="20"/>
      <w:lang w:eastAsia="en-AU"/>
    </w:rPr>
  </w:style>
  <w:style w:type="paragraph" w:styleId="FootnoteText">
    <w:name w:val="footnote text"/>
    <w:basedOn w:val="Normal"/>
    <w:link w:val="FootnoteTextChar"/>
    <w:unhideWhenUsed/>
    <w:rsid w:val="009077DC"/>
    <w:pPr>
      <w:widowControl/>
      <w:autoSpaceDE/>
      <w:autoSpaceDN/>
      <w:adjustRightInd/>
      <w:spacing w:after="0"/>
    </w:pPr>
    <w:rPr>
      <w:sz w:val="20"/>
      <w:szCs w:val="20"/>
    </w:rPr>
  </w:style>
  <w:style w:type="character" w:customStyle="1" w:styleId="FootnoteTextChar">
    <w:name w:val="Footnote Text Char"/>
    <w:basedOn w:val="DefaultParagraphFont"/>
    <w:link w:val="FootnoteText"/>
    <w:rsid w:val="009077DC"/>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9077DC"/>
    <w:rPr>
      <w:rFonts w:ascii="Arial" w:hAnsi="Arial" w:cs="Arial"/>
      <w:sz w:val="22"/>
      <w:vertAlign w:val="superscript"/>
    </w:rPr>
  </w:style>
  <w:style w:type="character" w:styleId="Hyperlink">
    <w:name w:val="Hyperlink"/>
    <w:basedOn w:val="DefaultParagraphFont"/>
    <w:uiPriority w:val="99"/>
    <w:unhideWhenUsed/>
    <w:rsid w:val="009077DC"/>
    <w:rPr>
      <w:color w:val="0000FF" w:themeColor="hyperlink"/>
      <w:u w:val="single"/>
    </w:rPr>
  </w:style>
  <w:style w:type="paragraph" w:customStyle="1" w:styleId="PlainParagraph">
    <w:name w:val="Plain Paragraph"/>
    <w:basedOn w:val="Normal"/>
    <w:link w:val="PlainParagraphChar"/>
    <w:rsid w:val="009077DC"/>
    <w:pPr>
      <w:widowControl/>
      <w:autoSpaceDE/>
      <w:autoSpaceDN/>
      <w:adjustRightInd/>
      <w:spacing w:before="140" w:after="140" w:line="280" w:lineRule="atLeast"/>
    </w:pPr>
    <w:rPr>
      <w:rFonts w:ascii="Arial" w:hAnsi="Arial" w:cs="Arial"/>
      <w:sz w:val="22"/>
      <w:szCs w:val="22"/>
    </w:rPr>
  </w:style>
  <w:style w:type="character" w:customStyle="1" w:styleId="PlainParagraphChar">
    <w:name w:val="Plain Paragraph Char"/>
    <w:basedOn w:val="DefaultParagraphFont"/>
    <w:link w:val="PlainParagraph"/>
    <w:locked/>
    <w:rsid w:val="009077DC"/>
    <w:rPr>
      <w:rFonts w:ascii="Arial" w:eastAsia="Times New Roman" w:hAnsi="Arial" w:cs="Arial"/>
      <w:lang w:eastAsia="en-AU"/>
    </w:rPr>
  </w:style>
  <w:style w:type="paragraph" w:customStyle="1" w:styleId="base-text-paragraphnonumbers">
    <w:name w:val="base-text-paragraph no numbers"/>
    <w:basedOn w:val="Normal"/>
    <w:link w:val="base-text-paragraphnonumbersChar"/>
    <w:rsid w:val="009077DC"/>
    <w:pPr>
      <w:widowControl/>
      <w:autoSpaceDE/>
      <w:autoSpaceDN/>
      <w:adjustRightInd/>
      <w:spacing w:before="120" w:after="120"/>
      <w:ind w:left="1134"/>
    </w:pPr>
    <w:rPr>
      <w:sz w:val="22"/>
      <w:szCs w:val="20"/>
    </w:rPr>
  </w:style>
  <w:style w:type="character" w:customStyle="1" w:styleId="paragraphChar">
    <w:name w:val="paragraph Char"/>
    <w:aliases w:val="a Char"/>
    <w:basedOn w:val="DefaultParagraphFont"/>
    <w:link w:val="paragraph"/>
    <w:rsid w:val="009077DC"/>
    <w:rPr>
      <w:rFonts w:ascii="Times New Roman" w:eastAsia="Calibri" w:hAnsi="Times New Roman" w:cs="Times New Roman"/>
      <w:szCs w:val="20"/>
      <w:lang w:eastAsia="en-AU"/>
    </w:rPr>
  </w:style>
  <w:style w:type="character" w:customStyle="1" w:styleId="subsectionChar">
    <w:name w:val="subsection Char"/>
    <w:aliases w:val="ss Char"/>
    <w:basedOn w:val="DefaultParagraphFont"/>
    <w:link w:val="subsection"/>
    <w:rsid w:val="009077DC"/>
    <w:rPr>
      <w:rFonts w:ascii="Times New Roman" w:eastAsia="Calibri" w:hAnsi="Times New Roman" w:cs="Times New Roman"/>
      <w:szCs w:val="20"/>
      <w:lang w:eastAsia="en-AU"/>
    </w:rPr>
  </w:style>
  <w:style w:type="paragraph" w:customStyle="1" w:styleId="subsection2">
    <w:name w:val="subsection2"/>
    <w:aliases w:val="ss2"/>
    <w:basedOn w:val="Normal"/>
    <w:rsid w:val="009077DC"/>
    <w:pPr>
      <w:widowControl/>
      <w:autoSpaceDE/>
      <w:autoSpaceDN/>
      <w:adjustRightInd/>
      <w:spacing w:before="40" w:after="0"/>
      <w:ind w:left="1134"/>
    </w:pPr>
    <w:rPr>
      <w:rFonts w:eastAsiaTheme="minorHAnsi"/>
      <w:sz w:val="22"/>
      <w:szCs w:val="22"/>
    </w:rPr>
  </w:style>
  <w:style w:type="paragraph" w:styleId="Revision">
    <w:name w:val="Revision"/>
    <w:hidden/>
    <w:uiPriority w:val="99"/>
    <w:semiHidden/>
    <w:rsid w:val="009077DC"/>
    <w:pPr>
      <w:spacing w:after="0" w:line="240" w:lineRule="auto"/>
    </w:pPr>
    <w:rPr>
      <w:rFonts w:ascii="Times New Roman" w:eastAsia="Times New Roman" w:hAnsi="Times New Roman" w:cs="Times New Roman"/>
      <w:sz w:val="24"/>
      <w:szCs w:val="24"/>
      <w:lang w:eastAsia="en-AU"/>
    </w:rPr>
  </w:style>
  <w:style w:type="character" w:customStyle="1" w:styleId="msochangeprop0">
    <w:name w:val="msochangeprop"/>
    <w:basedOn w:val="DefaultParagraphFont"/>
    <w:rsid w:val="009077DC"/>
  </w:style>
  <w:style w:type="character" w:styleId="Strong">
    <w:name w:val="Strong"/>
    <w:basedOn w:val="DefaultParagraphFont"/>
    <w:uiPriority w:val="22"/>
    <w:qFormat/>
    <w:rsid w:val="009077DC"/>
    <w:rPr>
      <w:b/>
      <w:bCs/>
    </w:rPr>
  </w:style>
  <w:style w:type="paragraph" w:customStyle="1" w:styleId="dotpoint">
    <w:name w:val="dot point"/>
    <w:basedOn w:val="Normal"/>
    <w:link w:val="dotpointChar"/>
    <w:autoRedefine/>
    <w:rsid w:val="009C1B33"/>
    <w:pPr>
      <w:widowControl/>
      <w:numPr>
        <w:numId w:val="14"/>
      </w:numPr>
      <w:autoSpaceDE/>
      <w:autoSpaceDN/>
      <w:adjustRightInd/>
      <w:spacing w:before="120" w:after="120"/>
    </w:pPr>
    <w:rPr>
      <w:sz w:val="22"/>
      <w:szCs w:val="20"/>
    </w:rPr>
  </w:style>
  <w:style w:type="paragraph" w:customStyle="1" w:styleId="dotpoint2">
    <w:name w:val="dot point 2"/>
    <w:basedOn w:val="Normal"/>
    <w:rsid w:val="009C1B33"/>
    <w:pPr>
      <w:widowControl/>
      <w:numPr>
        <w:ilvl w:val="1"/>
        <w:numId w:val="14"/>
      </w:numPr>
      <w:autoSpaceDE/>
      <w:autoSpaceDN/>
      <w:adjustRightInd/>
      <w:spacing w:before="120" w:after="120"/>
    </w:pPr>
    <w:rPr>
      <w:sz w:val="22"/>
      <w:szCs w:val="20"/>
    </w:rPr>
  </w:style>
  <w:style w:type="numbering" w:customStyle="1" w:styleId="DotPointList">
    <w:name w:val="Dot Point List"/>
    <w:uiPriority w:val="99"/>
    <w:rsid w:val="009C1B33"/>
    <w:pPr>
      <w:numPr>
        <w:numId w:val="14"/>
      </w:numPr>
    </w:pPr>
  </w:style>
  <w:style w:type="character" w:customStyle="1" w:styleId="base-text-paragraphnonumbersChar">
    <w:name w:val="base-text-paragraph no numbers Char"/>
    <w:basedOn w:val="DefaultParagraphFont"/>
    <w:link w:val="base-text-paragraphnonumbers"/>
    <w:rsid w:val="009C1B33"/>
    <w:rPr>
      <w:rFonts w:ascii="Times New Roman" w:eastAsia="Times New Roman" w:hAnsi="Times New Roman" w:cs="Times New Roman"/>
      <w:szCs w:val="20"/>
      <w:lang w:eastAsia="en-AU"/>
    </w:rPr>
  </w:style>
  <w:style w:type="character" w:customStyle="1" w:styleId="dotpointChar">
    <w:name w:val="dot point Char"/>
    <w:basedOn w:val="DefaultParagraphFont"/>
    <w:link w:val="dotpoint"/>
    <w:rsid w:val="009C1B33"/>
    <w:rPr>
      <w:rFonts w:ascii="Times New Roman" w:eastAsia="Times New Roman" w:hAnsi="Times New Roman" w:cs="Times New Roman"/>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FC4"/>
    <w:pPr>
      <w:widowControl w:val="0"/>
      <w:autoSpaceDE w:val="0"/>
      <w:autoSpaceDN w:val="0"/>
      <w:adjustRightInd w:val="0"/>
      <w:spacing w:before="240" w:after="24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9"/>
    <w:qFormat/>
    <w:rsid w:val="009077DC"/>
    <w:pPr>
      <w:outlineLvl w:val="0"/>
    </w:pPr>
    <w:rPr>
      <w:b/>
      <w:sz w:val="28"/>
    </w:rPr>
  </w:style>
  <w:style w:type="paragraph" w:styleId="Heading2">
    <w:name w:val="heading 2"/>
    <w:basedOn w:val="Normal"/>
    <w:next w:val="Normal"/>
    <w:link w:val="Heading2Char"/>
    <w:uiPriority w:val="99"/>
    <w:qFormat/>
    <w:rsid w:val="009077DC"/>
    <w:pPr>
      <w:outlineLvl w:val="1"/>
    </w:pPr>
  </w:style>
  <w:style w:type="paragraph" w:styleId="Heading3">
    <w:name w:val="heading 3"/>
    <w:basedOn w:val="Normal"/>
    <w:next w:val="Normal"/>
    <w:link w:val="Heading3Char"/>
    <w:uiPriority w:val="99"/>
    <w:qFormat/>
    <w:rsid w:val="009077DC"/>
    <w:pPr>
      <w:outlineLvl w:val="2"/>
    </w:pPr>
  </w:style>
  <w:style w:type="paragraph" w:styleId="Heading4">
    <w:name w:val="heading 4"/>
    <w:basedOn w:val="Normal"/>
    <w:next w:val="Normal"/>
    <w:link w:val="Heading4Char"/>
    <w:uiPriority w:val="99"/>
    <w:qFormat/>
    <w:rsid w:val="009077DC"/>
    <w:pPr>
      <w:outlineLvl w:val="3"/>
    </w:pPr>
  </w:style>
  <w:style w:type="paragraph" w:styleId="Heading5">
    <w:name w:val="heading 5"/>
    <w:basedOn w:val="Normal"/>
    <w:next w:val="Normal"/>
    <w:link w:val="Heading5Char"/>
    <w:uiPriority w:val="99"/>
    <w:qFormat/>
    <w:rsid w:val="009077DC"/>
    <w:pPr>
      <w:outlineLvl w:val="4"/>
    </w:pPr>
  </w:style>
  <w:style w:type="paragraph" w:styleId="Heading6">
    <w:name w:val="heading 6"/>
    <w:basedOn w:val="Normal"/>
    <w:next w:val="Normal"/>
    <w:link w:val="Heading6Char"/>
    <w:uiPriority w:val="99"/>
    <w:qFormat/>
    <w:rsid w:val="009077DC"/>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077DC"/>
    <w:rPr>
      <w:rFonts w:ascii="Times New Roman" w:eastAsia="Times New Roman" w:hAnsi="Times New Roman" w:cs="Times New Roman"/>
      <w:b/>
      <w:sz w:val="28"/>
      <w:szCs w:val="24"/>
      <w:lang w:eastAsia="en-AU"/>
    </w:rPr>
  </w:style>
  <w:style w:type="character" w:customStyle="1" w:styleId="Heading2Char">
    <w:name w:val="Heading 2 Char"/>
    <w:basedOn w:val="DefaultParagraphFont"/>
    <w:link w:val="Heading2"/>
    <w:uiPriority w:val="99"/>
    <w:rsid w:val="009077DC"/>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9"/>
    <w:rsid w:val="009077DC"/>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9"/>
    <w:rsid w:val="009077DC"/>
    <w:rPr>
      <w:rFonts w:ascii="Times New Roman" w:eastAsia="Times New Roman" w:hAnsi="Times New Roman" w:cs="Times New Roman"/>
      <w:sz w:val="24"/>
      <w:szCs w:val="24"/>
      <w:lang w:eastAsia="en-AU"/>
    </w:rPr>
  </w:style>
  <w:style w:type="character" w:customStyle="1" w:styleId="Heading5Char">
    <w:name w:val="Heading 5 Char"/>
    <w:basedOn w:val="DefaultParagraphFont"/>
    <w:link w:val="Heading5"/>
    <w:uiPriority w:val="99"/>
    <w:rsid w:val="009077DC"/>
    <w:rPr>
      <w:rFonts w:ascii="Times New Roman" w:eastAsia="Times New Roman" w:hAnsi="Times New Roman" w:cs="Times New Roman"/>
      <w:sz w:val="24"/>
      <w:szCs w:val="24"/>
      <w:lang w:eastAsia="en-AU"/>
    </w:rPr>
  </w:style>
  <w:style w:type="character" w:customStyle="1" w:styleId="Heading6Char">
    <w:name w:val="Heading 6 Char"/>
    <w:basedOn w:val="DefaultParagraphFont"/>
    <w:link w:val="Heading6"/>
    <w:uiPriority w:val="99"/>
    <w:rsid w:val="009077DC"/>
    <w:rPr>
      <w:rFonts w:ascii="Times New Roman" w:eastAsia="Times New Roman" w:hAnsi="Times New Roman" w:cs="Times New Roman"/>
      <w:sz w:val="24"/>
      <w:szCs w:val="24"/>
      <w:lang w:eastAsia="en-AU"/>
    </w:rPr>
  </w:style>
  <w:style w:type="paragraph" w:customStyle="1" w:styleId="Style1">
    <w:name w:val="Style1"/>
    <w:basedOn w:val="Normal"/>
    <w:link w:val="Style1Char"/>
    <w:qFormat/>
    <w:rsid w:val="009077DC"/>
    <w:pPr>
      <w:keepNext/>
      <w:keepLines/>
    </w:pPr>
    <w:rPr>
      <w:b/>
      <w:bCs/>
    </w:rPr>
  </w:style>
  <w:style w:type="paragraph" w:styleId="Header">
    <w:name w:val="header"/>
    <w:basedOn w:val="Normal"/>
    <w:link w:val="HeaderChar"/>
    <w:uiPriority w:val="99"/>
    <w:unhideWhenUsed/>
    <w:rsid w:val="009077DC"/>
    <w:pPr>
      <w:tabs>
        <w:tab w:val="center" w:pos="4513"/>
        <w:tab w:val="right" w:pos="9026"/>
      </w:tabs>
      <w:spacing w:before="0" w:after="0"/>
    </w:pPr>
  </w:style>
  <w:style w:type="character" w:customStyle="1" w:styleId="HeaderChar">
    <w:name w:val="Header Char"/>
    <w:basedOn w:val="DefaultParagraphFont"/>
    <w:link w:val="Header"/>
    <w:uiPriority w:val="99"/>
    <w:rsid w:val="009077DC"/>
    <w:rPr>
      <w:rFonts w:ascii="Times New Roman" w:eastAsia="Times New Roman" w:hAnsi="Times New Roman" w:cs="Times New Roman"/>
      <w:sz w:val="24"/>
      <w:szCs w:val="24"/>
      <w:lang w:eastAsia="en-AU"/>
    </w:rPr>
  </w:style>
  <w:style w:type="character" w:customStyle="1" w:styleId="Style1Char">
    <w:name w:val="Style1 Char"/>
    <w:basedOn w:val="DefaultParagraphFont"/>
    <w:link w:val="Style1"/>
    <w:rsid w:val="009077DC"/>
    <w:rPr>
      <w:rFonts w:ascii="Times New Roman" w:eastAsia="Times New Roman" w:hAnsi="Times New Roman" w:cs="Times New Roman"/>
      <w:b/>
      <w:bCs/>
      <w:sz w:val="24"/>
      <w:szCs w:val="24"/>
      <w:lang w:eastAsia="en-AU"/>
    </w:rPr>
  </w:style>
  <w:style w:type="paragraph" w:styleId="Footer">
    <w:name w:val="footer"/>
    <w:basedOn w:val="Normal"/>
    <w:link w:val="FooterChar"/>
    <w:uiPriority w:val="99"/>
    <w:unhideWhenUsed/>
    <w:rsid w:val="009077DC"/>
    <w:pPr>
      <w:tabs>
        <w:tab w:val="center" w:pos="4513"/>
        <w:tab w:val="right" w:pos="9026"/>
      </w:tabs>
      <w:spacing w:before="0" w:after="0"/>
    </w:pPr>
  </w:style>
  <w:style w:type="character" w:customStyle="1" w:styleId="FooterChar">
    <w:name w:val="Footer Char"/>
    <w:basedOn w:val="DefaultParagraphFont"/>
    <w:link w:val="Footer"/>
    <w:uiPriority w:val="99"/>
    <w:rsid w:val="009077DC"/>
    <w:rPr>
      <w:rFonts w:ascii="Times New Roman" w:eastAsia="Times New Roman" w:hAnsi="Times New Roman" w:cs="Times New Roman"/>
      <w:sz w:val="24"/>
      <w:szCs w:val="24"/>
      <w:lang w:eastAsia="en-AU"/>
    </w:rPr>
  </w:style>
  <w:style w:type="paragraph" w:customStyle="1" w:styleId="Style2">
    <w:name w:val="Style2"/>
    <w:basedOn w:val="Normal"/>
    <w:link w:val="Style2Char"/>
    <w:qFormat/>
    <w:rsid w:val="009077DC"/>
    <w:pPr>
      <w:keepNext/>
    </w:pPr>
    <w:rPr>
      <w:u w:val="single"/>
    </w:rPr>
  </w:style>
  <w:style w:type="paragraph" w:customStyle="1" w:styleId="Style3">
    <w:name w:val="Style3"/>
    <w:basedOn w:val="Normal"/>
    <w:link w:val="Style3Char"/>
    <w:qFormat/>
    <w:rsid w:val="009077DC"/>
    <w:pPr>
      <w:spacing w:before="0"/>
      <w:ind w:right="91"/>
      <w:jc w:val="center"/>
    </w:pPr>
    <w:rPr>
      <w:b/>
      <w:bCs/>
      <w:sz w:val="28"/>
      <w:u w:val="single"/>
    </w:rPr>
  </w:style>
  <w:style w:type="character" w:customStyle="1" w:styleId="Style2Char">
    <w:name w:val="Style2 Char"/>
    <w:basedOn w:val="DefaultParagraphFont"/>
    <w:link w:val="Style2"/>
    <w:rsid w:val="009077DC"/>
    <w:rPr>
      <w:rFonts w:ascii="Times New Roman" w:eastAsia="Times New Roman" w:hAnsi="Times New Roman" w:cs="Times New Roman"/>
      <w:sz w:val="24"/>
      <w:szCs w:val="24"/>
      <w:u w:val="single"/>
      <w:lang w:eastAsia="en-AU"/>
    </w:rPr>
  </w:style>
  <w:style w:type="paragraph" w:styleId="BalloonText">
    <w:name w:val="Balloon Text"/>
    <w:basedOn w:val="Normal"/>
    <w:link w:val="BalloonTextChar"/>
    <w:uiPriority w:val="99"/>
    <w:semiHidden/>
    <w:unhideWhenUsed/>
    <w:rsid w:val="009077D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7DC"/>
    <w:rPr>
      <w:rFonts w:ascii="Tahoma" w:eastAsia="Times New Roman" w:hAnsi="Tahoma" w:cs="Tahoma"/>
      <w:sz w:val="16"/>
      <w:szCs w:val="16"/>
      <w:lang w:eastAsia="en-AU"/>
    </w:rPr>
  </w:style>
  <w:style w:type="character" w:customStyle="1" w:styleId="Style3Char">
    <w:name w:val="Style3 Char"/>
    <w:basedOn w:val="DefaultParagraphFont"/>
    <w:link w:val="Style3"/>
    <w:rsid w:val="009077DC"/>
    <w:rPr>
      <w:rFonts w:ascii="Times New Roman" w:eastAsia="Times New Roman" w:hAnsi="Times New Roman" w:cs="Times New Roman"/>
      <w:b/>
      <w:bCs/>
      <w:sz w:val="28"/>
      <w:szCs w:val="24"/>
      <w:u w:val="single"/>
      <w:lang w:eastAsia="en-AU"/>
    </w:rPr>
  </w:style>
  <w:style w:type="paragraph" w:customStyle="1" w:styleId="Bullet">
    <w:name w:val="Bullet"/>
    <w:aliases w:val="b"/>
    <w:basedOn w:val="Normal"/>
    <w:link w:val="BulletChar"/>
    <w:qFormat/>
    <w:rsid w:val="009077DC"/>
    <w:pPr>
      <w:numPr>
        <w:numId w:val="1"/>
      </w:numPr>
      <w:ind w:right="91"/>
    </w:pPr>
  </w:style>
  <w:style w:type="character" w:customStyle="1" w:styleId="BulletChar">
    <w:name w:val="Bullet Char"/>
    <w:aliases w:val="b Char"/>
    <w:basedOn w:val="DefaultParagraphFont"/>
    <w:link w:val="Bullet"/>
    <w:rsid w:val="009077DC"/>
    <w:rPr>
      <w:rFonts w:ascii="Times New Roman" w:eastAsia="Times New Roman" w:hAnsi="Times New Roman" w:cs="Times New Roman"/>
      <w:sz w:val="24"/>
      <w:szCs w:val="24"/>
      <w:lang w:eastAsia="en-AU"/>
    </w:rPr>
  </w:style>
  <w:style w:type="paragraph" w:customStyle="1" w:styleId="Dash">
    <w:name w:val="Dash"/>
    <w:basedOn w:val="Normal"/>
    <w:link w:val="DashChar"/>
    <w:qFormat/>
    <w:rsid w:val="009077DC"/>
    <w:pPr>
      <w:numPr>
        <w:ilvl w:val="1"/>
        <w:numId w:val="1"/>
      </w:numPr>
      <w:ind w:right="91"/>
    </w:pPr>
  </w:style>
  <w:style w:type="character" w:customStyle="1" w:styleId="DashChar">
    <w:name w:val="Dash Char"/>
    <w:basedOn w:val="DefaultParagraphFont"/>
    <w:link w:val="Dash"/>
    <w:rsid w:val="009077DC"/>
    <w:rPr>
      <w:rFonts w:ascii="Times New Roman" w:eastAsia="Times New Roman" w:hAnsi="Times New Roman" w:cs="Times New Roman"/>
      <w:sz w:val="24"/>
      <w:szCs w:val="24"/>
      <w:lang w:eastAsia="en-AU"/>
    </w:rPr>
  </w:style>
  <w:style w:type="paragraph" w:customStyle="1" w:styleId="DoubleDot">
    <w:name w:val="Double Dot"/>
    <w:basedOn w:val="Normal"/>
    <w:link w:val="DoubleDotChar"/>
    <w:rsid w:val="009077DC"/>
    <w:pPr>
      <w:numPr>
        <w:ilvl w:val="2"/>
        <w:numId w:val="1"/>
      </w:numPr>
      <w:ind w:right="91"/>
    </w:pPr>
  </w:style>
  <w:style w:type="character" w:customStyle="1" w:styleId="DoubleDotChar">
    <w:name w:val="Double Dot Char"/>
    <w:basedOn w:val="DefaultParagraphFont"/>
    <w:link w:val="DoubleDot"/>
    <w:rsid w:val="009077DC"/>
    <w:rPr>
      <w:rFonts w:ascii="Times New Roman" w:eastAsia="Times New Roman" w:hAnsi="Times New Roman" w:cs="Times New Roman"/>
      <w:sz w:val="24"/>
      <w:szCs w:val="24"/>
      <w:lang w:eastAsia="en-AU"/>
    </w:rPr>
  </w:style>
  <w:style w:type="paragraph" w:customStyle="1" w:styleId="Style4">
    <w:name w:val="Style4"/>
    <w:basedOn w:val="Normal"/>
    <w:link w:val="Style4Char"/>
    <w:qFormat/>
    <w:rsid w:val="009077DC"/>
    <w:pPr>
      <w:numPr>
        <w:numId w:val="2"/>
      </w:numPr>
      <w:tabs>
        <w:tab w:val="left" w:pos="567"/>
      </w:tabs>
      <w:ind w:left="567" w:hanging="567"/>
    </w:pPr>
  </w:style>
  <w:style w:type="character" w:customStyle="1" w:styleId="Style4Char">
    <w:name w:val="Style4 Char"/>
    <w:basedOn w:val="DefaultParagraphFont"/>
    <w:link w:val="Style4"/>
    <w:rsid w:val="009077DC"/>
    <w:rPr>
      <w:rFonts w:ascii="Times New Roman" w:eastAsia="Times New Roman" w:hAnsi="Times New Roman" w:cs="Times New Roman"/>
      <w:sz w:val="24"/>
      <w:szCs w:val="24"/>
      <w:lang w:eastAsia="en-AU"/>
    </w:rPr>
  </w:style>
  <w:style w:type="table" w:styleId="TableGrid">
    <w:name w:val="Table Grid"/>
    <w:basedOn w:val="TableNormal"/>
    <w:uiPriority w:val="59"/>
    <w:rsid w:val="009077DC"/>
    <w:pPr>
      <w:spacing w:after="0" w:line="240" w:lineRule="auto"/>
    </w:pPr>
    <w:rPr>
      <w:rFonts w:ascii="Calibri" w:eastAsia="Times New Roman" w:hAnsi="Calibri" w:cs="Times New Roman"/>
      <w:sz w:val="20"/>
      <w:szCs w:val="20"/>
      <w:lang w:eastAsia="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5">
    <w:name w:val="Style5"/>
    <w:basedOn w:val="Normal"/>
    <w:link w:val="Style5Char"/>
    <w:qFormat/>
    <w:rsid w:val="009077DC"/>
    <w:pPr>
      <w:keepNext/>
    </w:pPr>
    <w:rPr>
      <w:i/>
      <w:iCs/>
      <w:sz w:val="23"/>
      <w:szCs w:val="23"/>
    </w:rPr>
  </w:style>
  <w:style w:type="character" w:customStyle="1" w:styleId="Style5Char">
    <w:name w:val="Style5 Char"/>
    <w:basedOn w:val="DefaultParagraphFont"/>
    <w:link w:val="Style5"/>
    <w:rsid w:val="009077DC"/>
    <w:rPr>
      <w:rFonts w:ascii="Times New Roman" w:eastAsia="Times New Roman" w:hAnsi="Times New Roman" w:cs="Times New Roman"/>
      <w:i/>
      <w:iCs/>
      <w:sz w:val="23"/>
      <w:szCs w:val="23"/>
      <w:lang w:eastAsia="en-AU"/>
    </w:rPr>
  </w:style>
  <w:style w:type="paragraph" w:styleId="BodyText3">
    <w:name w:val="Body Text 3"/>
    <w:basedOn w:val="Normal"/>
    <w:link w:val="BodyText3Char"/>
    <w:rsid w:val="009077DC"/>
    <w:pPr>
      <w:widowControl/>
      <w:autoSpaceDE/>
      <w:autoSpaceDN/>
      <w:adjustRightInd/>
      <w:spacing w:before="0" w:after="0"/>
    </w:pPr>
    <w:rPr>
      <w:b/>
      <w:szCs w:val="20"/>
      <w:lang w:eastAsia="en-US"/>
    </w:rPr>
  </w:style>
  <w:style w:type="character" w:customStyle="1" w:styleId="BodyText3Char">
    <w:name w:val="Body Text 3 Char"/>
    <w:basedOn w:val="DefaultParagraphFont"/>
    <w:link w:val="BodyText3"/>
    <w:rsid w:val="009077DC"/>
    <w:rPr>
      <w:rFonts w:ascii="Times New Roman" w:eastAsia="Times New Roman" w:hAnsi="Times New Roman" w:cs="Times New Roman"/>
      <w:b/>
      <w:sz w:val="24"/>
      <w:szCs w:val="20"/>
    </w:rPr>
  </w:style>
  <w:style w:type="paragraph" w:styleId="NormalWeb">
    <w:name w:val="Normal (Web)"/>
    <w:basedOn w:val="Normal"/>
    <w:uiPriority w:val="99"/>
    <w:rsid w:val="009077DC"/>
    <w:pPr>
      <w:widowControl/>
      <w:autoSpaceDE/>
      <w:autoSpaceDN/>
      <w:adjustRightInd/>
      <w:spacing w:before="100" w:after="100"/>
    </w:pPr>
    <w:rPr>
      <w:rFonts w:ascii="Arial Unicode MS" w:eastAsia="Arial Unicode MS" w:hAnsi="Arial Unicode MS"/>
      <w:szCs w:val="20"/>
      <w:lang w:val="en-US" w:eastAsia="en-US"/>
    </w:rPr>
  </w:style>
  <w:style w:type="paragraph" w:customStyle="1" w:styleId="StyleHeading2TimesNewRoman">
    <w:name w:val="Style Heading 2 + Times New Roman"/>
    <w:basedOn w:val="Heading2"/>
    <w:rsid w:val="009077DC"/>
    <w:pPr>
      <w:keepNext/>
      <w:widowControl/>
      <w:autoSpaceDE/>
      <w:autoSpaceDN/>
      <w:adjustRightInd/>
      <w:spacing w:after="60"/>
    </w:pPr>
    <w:rPr>
      <w:rFonts w:cs="Arial"/>
      <w:b/>
      <w:bCs/>
      <w:iCs/>
      <w:szCs w:val="28"/>
    </w:rPr>
  </w:style>
  <w:style w:type="paragraph" w:styleId="ListParagraph">
    <w:name w:val="List Paragraph"/>
    <w:basedOn w:val="Normal"/>
    <w:uiPriority w:val="34"/>
    <w:qFormat/>
    <w:rsid w:val="009077DC"/>
    <w:pPr>
      <w:ind w:left="720"/>
      <w:contextualSpacing/>
    </w:pPr>
  </w:style>
  <w:style w:type="paragraph" w:customStyle="1" w:styleId="Default">
    <w:name w:val="Default"/>
    <w:rsid w:val="009077DC"/>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NumberLevel1">
    <w:name w:val="Number Level 1"/>
    <w:basedOn w:val="Normal"/>
    <w:link w:val="NumberLevel1Char"/>
    <w:rsid w:val="009077DC"/>
    <w:pPr>
      <w:widowControl/>
      <w:numPr>
        <w:numId w:val="3"/>
      </w:numPr>
      <w:autoSpaceDE/>
      <w:autoSpaceDN/>
      <w:adjustRightInd/>
      <w:spacing w:before="140" w:after="140" w:line="280" w:lineRule="atLeast"/>
    </w:pPr>
    <w:rPr>
      <w:rFonts w:ascii="Arial" w:hAnsi="Arial" w:cs="Arial"/>
      <w:sz w:val="22"/>
      <w:szCs w:val="22"/>
    </w:rPr>
  </w:style>
  <w:style w:type="paragraph" w:customStyle="1" w:styleId="NumberLevel2">
    <w:name w:val="Number Level 2"/>
    <w:basedOn w:val="Normal"/>
    <w:rsid w:val="009077DC"/>
    <w:pPr>
      <w:widowControl/>
      <w:numPr>
        <w:ilvl w:val="1"/>
        <w:numId w:val="3"/>
      </w:numPr>
      <w:autoSpaceDE/>
      <w:autoSpaceDN/>
      <w:adjustRightInd/>
      <w:spacing w:before="140" w:after="140" w:line="280" w:lineRule="atLeast"/>
    </w:pPr>
    <w:rPr>
      <w:rFonts w:ascii="Arial" w:hAnsi="Arial" w:cs="Arial"/>
      <w:sz w:val="22"/>
      <w:szCs w:val="22"/>
    </w:rPr>
  </w:style>
  <w:style w:type="paragraph" w:customStyle="1" w:styleId="NumberLevel3">
    <w:name w:val="Number Level 3"/>
    <w:basedOn w:val="Normal"/>
    <w:rsid w:val="009077DC"/>
    <w:pPr>
      <w:widowControl/>
      <w:numPr>
        <w:ilvl w:val="2"/>
        <w:numId w:val="3"/>
      </w:numPr>
      <w:autoSpaceDE/>
      <w:autoSpaceDN/>
      <w:adjustRightInd/>
      <w:spacing w:before="140" w:after="140" w:line="280" w:lineRule="atLeast"/>
    </w:pPr>
    <w:rPr>
      <w:rFonts w:ascii="Arial" w:hAnsi="Arial" w:cs="Arial"/>
      <w:sz w:val="22"/>
      <w:szCs w:val="22"/>
    </w:rPr>
  </w:style>
  <w:style w:type="paragraph" w:customStyle="1" w:styleId="NumberLevel4">
    <w:name w:val="Number Level 4"/>
    <w:basedOn w:val="Normal"/>
    <w:rsid w:val="009077DC"/>
    <w:pPr>
      <w:widowControl/>
      <w:numPr>
        <w:ilvl w:val="3"/>
        <w:numId w:val="3"/>
      </w:numPr>
      <w:autoSpaceDE/>
      <w:autoSpaceDN/>
      <w:adjustRightInd/>
      <w:spacing w:before="0" w:after="140" w:line="280" w:lineRule="atLeast"/>
    </w:pPr>
    <w:rPr>
      <w:rFonts w:ascii="Arial" w:hAnsi="Arial" w:cs="Arial"/>
      <w:sz w:val="22"/>
      <w:szCs w:val="22"/>
    </w:rPr>
  </w:style>
  <w:style w:type="paragraph" w:customStyle="1" w:styleId="NumberLevel5">
    <w:name w:val="Number Level 5"/>
    <w:basedOn w:val="Normal"/>
    <w:rsid w:val="009077DC"/>
    <w:pPr>
      <w:widowControl/>
      <w:numPr>
        <w:ilvl w:val="4"/>
        <w:numId w:val="3"/>
      </w:numPr>
      <w:autoSpaceDE/>
      <w:autoSpaceDN/>
      <w:adjustRightInd/>
      <w:spacing w:before="0" w:after="140" w:line="280" w:lineRule="atLeast"/>
    </w:pPr>
    <w:rPr>
      <w:rFonts w:ascii="Arial" w:hAnsi="Arial" w:cs="Arial"/>
      <w:sz w:val="22"/>
      <w:szCs w:val="22"/>
    </w:rPr>
  </w:style>
  <w:style w:type="paragraph" w:customStyle="1" w:styleId="NumberLevel6">
    <w:name w:val="Number Level 6"/>
    <w:basedOn w:val="NumberLevel5"/>
    <w:rsid w:val="009077DC"/>
    <w:pPr>
      <w:numPr>
        <w:ilvl w:val="5"/>
      </w:numPr>
    </w:pPr>
  </w:style>
  <w:style w:type="paragraph" w:customStyle="1" w:styleId="NumberLevel7">
    <w:name w:val="Number Level 7"/>
    <w:basedOn w:val="NumberLevel6"/>
    <w:rsid w:val="009077DC"/>
    <w:pPr>
      <w:numPr>
        <w:ilvl w:val="6"/>
      </w:numPr>
    </w:pPr>
  </w:style>
  <w:style w:type="paragraph" w:customStyle="1" w:styleId="NumberLevel8">
    <w:name w:val="Number Level 8"/>
    <w:basedOn w:val="NumberLevel7"/>
    <w:rsid w:val="009077DC"/>
    <w:pPr>
      <w:numPr>
        <w:ilvl w:val="7"/>
      </w:numPr>
    </w:pPr>
  </w:style>
  <w:style w:type="paragraph" w:customStyle="1" w:styleId="NumberLevel9">
    <w:name w:val="Number Level 9"/>
    <w:basedOn w:val="NumberLevel8"/>
    <w:rsid w:val="009077DC"/>
    <w:pPr>
      <w:numPr>
        <w:ilvl w:val="8"/>
      </w:numPr>
    </w:pPr>
  </w:style>
  <w:style w:type="paragraph" w:customStyle="1" w:styleId="paragraph">
    <w:name w:val="paragraph"/>
    <w:aliases w:val="a"/>
    <w:basedOn w:val="Normal"/>
    <w:link w:val="paragraphChar"/>
    <w:rsid w:val="009077DC"/>
    <w:pPr>
      <w:widowControl/>
      <w:tabs>
        <w:tab w:val="right" w:pos="1531"/>
      </w:tabs>
      <w:autoSpaceDE/>
      <w:autoSpaceDN/>
      <w:adjustRightInd/>
      <w:spacing w:before="40" w:after="0"/>
      <w:ind w:left="1644" w:hanging="1644"/>
    </w:pPr>
    <w:rPr>
      <w:rFonts w:eastAsia="Calibri"/>
      <w:sz w:val="22"/>
      <w:szCs w:val="20"/>
    </w:rPr>
  </w:style>
  <w:style w:type="paragraph" w:customStyle="1" w:styleId="ActHead5">
    <w:name w:val="ActHead 5"/>
    <w:aliases w:val="s"/>
    <w:basedOn w:val="Normal"/>
    <w:next w:val="subsection"/>
    <w:rsid w:val="009077DC"/>
    <w:pPr>
      <w:keepNext/>
      <w:keepLines/>
      <w:widowControl/>
      <w:autoSpaceDE/>
      <w:autoSpaceDN/>
      <w:adjustRightInd/>
      <w:spacing w:before="280" w:after="0"/>
      <w:ind w:left="1134" w:hanging="1134"/>
      <w:outlineLvl w:val="4"/>
    </w:pPr>
    <w:rPr>
      <w:rFonts w:eastAsia="Calibri"/>
      <w:b/>
      <w:kern w:val="28"/>
      <w:szCs w:val="20"/>
    </w:rPr>
  </w:style>
  <w:style w:type="character" w:customStyle="1" w:styleId="CharSectno">
    <w:name w:val="CharSectno"/>
    <w:basedOn w:val="DefaultParagraphFont"/>
    <w:rsid w:val="009077DC"/>
    <w:rPr>
      <w:rFonts w:cs="Times New Roman"/>
    </w:rPr>
  </w:style>
  <w:style w:type="paragraph" w:customStyle="1" w:styleId="subsection">
    <w:name w:val="subsection"/>
    <w:aliases w:val="ss"/>
    <w:basedOn w:val="Normal"/>
    <w:link w:val="subsectionChar"/>
    <w:rsid w:val="009077DC"/>
    <w:pPr>
      <w:widowControl/>
      <w:tabs>
        <w:tab w:val="right" w:pos="1021"/>
      </w:tabs>
      <w:autoSpaceDE/>
      <w:autoSpaceDN/>
      <w:adjustRightInd/>
      <w:spacing w:before="180" w:after="0"/>
      <w:ind w:left="1134" w:hanging="1134"/>
    </w:pPr>
    <w:rPr>
      <w:rFonts w:eastAsia="Calibri"/>
      <w:sz w:val="22"/>
      <w:szCs w:val="20"/>
    </w:rPr>
  </w:style>
  <w:style w:type="paragraph" w:customStyle="1" w:styleId="paragraphsub">
    <w:name w:val="paragraph(sub)"/>
    <w:aliases w:val="aa"/>
    <w:basedOn w:val="Normal"/>
    <w:rsid w:val="009077DC"/>
    <w:pPr>
      <w:widowControl/>
      <w:tabs>
        <w:tab w:val="right" w:pos="1985"/>
      </w:tabs>
      <w:autoSpaceDE/>
      <w:autoSpaceDN/>
      <w:adjustRightInd/>
      <w:spacing w:before="40" w:after="0"/>
      <w:ind w:left="2098" w:hanging="2098"/>
    </w:pPr>
    <w:rPr>
      <w:rFonts w:eastAsia="Calibri"/>
      <w:sz w:val="22"/>
      <w:szCs w:val="20"/>
    </w:rPr>
  </w:style>
  <w:style w:type="paragraph" w:customStyle="1" w:styleId="SubsectionHead">
    <w:name w:val="SubsectionHead"/>
    <w:aliases w:val="ssh"/>
    <w:basedOn w:val="Normal"/>
    <w:next w:val="subsection"/>
    <w:rsid w:val="009077DC"/>
    <w:pPr>
      <w:keepNext/>
      <w:keepLines/>
      <w:widowControl/>
      <w:autoSpaceDE/>
      <w:autoSpaceDN/>
      <w:adjustRightInd/>
      <w:spacing w:after="0"/>
      <w:ind w:left="1134"/>
    </w:pPr>
    <w:rPr>
      <w:rFonts w:eastAsia="Calibri"/>
      <w:i/>
      <w:sz w:val="22"/>
      <w:szCs w:val="20"/>
    </w:rPr>
  </w:style>
  <w:style w:type="paragraph" w:customStyle="1" w:styleId="OutlineNumbered1">
    <w:name w:val="Outline Numbered 1"/>
    <w:basedOn w:val="Normal"/>
    <w:link w:val="OutlineNumbered1Char"/>
    <w:rsid w:val="009077DC"/>
    <w:pPr>
      <w:numPr>
        <w:numId w:val="4"/>
      </w:numPr>
    </w:pPr>
  </w:style>
  <w:style w:type="character" w:customStyle="1" w:styleId="NumberLevel1Char">
    <w:name w:val="Number Level 1 Char"/>
    <w:basedOn w:val="DefaultParagraphFont"/>
    <w:link w:val="NumberLevel1"/>
    <w:rsid w:val="009077DC"/>
    <w:rPr>
      <w:rFonts w:ascii="Arial" w:eastAsia="Times New Roman" w:hAnsi="Arial" w:cs="Arial"/>
      <w:lang w:eastAsia="en-AU"/>
    </w:rPr>
  </w:style>
  <w:style w:type="character" w:customStyle="1" w:styleId="OutlineNumbered1Char">
    <w:name w:val="Outline Numbered 1 Char"/>
    <w:basedOn w:val="NumberLevel1Char"/>
    <w:link w:val="OutlineNumbered1"/>
    <w:rsid w:val="009077DC"/>
    <w:rPr>
      <w:rFonts w:ascii="Times New Roman" w:eastAsia="Times New Roman" w:hAnsi="Times New Roman" w:cs="Times New Roman"/>
      <w:sz w:val="24"/>
      <w:szCs w:val="24"/>
      <w:lang w:eastAsia="en-AU"/>
    </w:rPr>
  </w:style>
  <w:style w:type="paragraph" w:customStyle="1" w:styleId="OutlineNumbered2">
    <w:name w:val="Outline Numbered 2"/>
    <w:basedOn w:val="Normal"/>
    <w:link w:val="OutlineNumbered2Char"/>
    <w:rsid w:val="009077DC"/>
    <w:pPr>
      <w:numPr>
        <w:ilvl w:val="1"/>
        <w:numId w:val="4"/>
      </w:numPr>
    </w:pPr>
  </w:style>
  <w:style w:type="character" w:customStyle="1" w:styleId="OutlineNumbered2Char">
    <w:name w:val="Outline Numbered 2 Char"/>
    <w:basedOn w:val="NumberLevel1Char"/>
    <w:link w:val="OutlineNumbered2"/>
    <w:rsid w:val="009077DC"/>
    <w:rPr>
      <w:rFonts w:ascii="Times New Roman" w:eastAsia="Times New Roman" w:hAnsi="Times New Roman" w:cs="Times New Roman"/>
      <w:sz w:val="24"/>
      <w:szCs w:val="24"/>
      <w:lang w:eastAsia="en-AU"/>
    </w:rPr>
  </w:style>
  <w:style w:type="paragraph" w:customStyle="1" w:styleId="OutlineNumbered3">
    <w:name w:val="Outline Numbered 3"/>
    <w:basedOn w:val="Normal"/>
    <w:link w:val="OutlineNumbered3Char"/>
    <w:rsid w:val="009077DC"/>
    <w:pPr>
      <w:numPr>
        <w:ilvl w:val="2"/>
        <w:numId w:val="4"/>
      </w:numPr>
    </w:pPr>
  </w:style>
  <w:style w:type="character" w:customStyle="1" w:styleId="OutlineNumbered3Char">
    <w:name w:val="Outline Numbered 3 Char"/>
    <w:basedOn w:val="NumberLevel1Char"/>
    <w:link w:val="OutlineNumbered3"/>
    <w:rsid w:val="009077DC"/>
    <w:rPr>
      <w:rFonts w:ascii="Times New Roman" w:eastAsia="Times New Roman" w:hAnsi="Times New Roman" w:cs="Times New Roman"/>
      <w:sz w:val="24"/>
      <w:szCs w:val="24"/>
      <w:lang w:eastAsia="en-AU"/>
    </w:rPr>
  </w:style>
  <w:style w:type="character" w:styleId="HTMLAcronym">
    <w:name w:val="HTML Acronym"/>
    <w:basedOn w:val="DefaultParagraphFont"/>
    <w:uiPriority w:val="99"/>
    <w:semiHidden/>
    <w:unhideWhenUsed/>
    <w:rsid w:val="009077DC"/>
  </w:style>
  <w:style w:type="character" w:styleId="CommentReference">
    <w:name w:val="annotation reference"/>
    <w:basedOn w:val="DefaultParagraphFont"/>
    <w:uiPriority w:val="99"/>
    <w:unhideWhenUsed/>
    <w:rsid w:val="009077DC"/>
    <w:rPr>
      <w:sz w:val="16"/>
      <w:szCs w:val="16"/>
    </w:rPr>
  </w:style>
  <w:style w:type="paragraph" w:styleId="CommentText">
    <w:name w:val="annotation text"/>
    <w:basedOn w:val="Normal"/>
    <w:link w:val="CommentTextChar"/>
    <w:uiPriority w:val="99"/>
    <w:unhideWhenUsed/>
    <w:rsid w:val="009077DC"/>
    <w:rPr>
      <w:sz w:val="20"/>
      <w:szCs w:val="20"/>
    </w:rPr>
  </w:style>
  <w:style w:type="character" w:customStyle="1" w:styleId="CommentTextChar">
    <w:name w:val="Comment Text Char"/>
    <w:basedOn w:val="DefaultParagraphFont"/>
    <w:link w:val="CommentText"/>
    <w:uiPriority w:val="99"/>
    <w:rsid w:val="009077D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077DC"/>
    <w:rPr>
      <w:b/>
      <w:bCs/>
    </w:rPr>
  </w:style>
  <w:style w:type="character" w:customStyle="1" w:styleId="CommentSubjectChar">
    <w:name w:val="Comment Subject Char"/>
    <w:basedOn w:val="CommentTextChar"/>
    <w:link w:val="CommentSubject"/>
    <w:uiPriority w:val="99"/>
    <w:semiHidden/>
    <w:rsid w:val="009077DC"/>
    <w:rPr>
      <w:rFonts w:ascii="Times New Roman" w:eastAsia="Times New Roman" w:hAnsi="Times New Roman" w:cs="Times New Roman"/>
      <w:b/>
      <w:bCs/>
      <w:sz w:val="20"/>
      <w:szCs w:val="20"/>
      <w:lang w:eastAsia="en-AU"/>
    </w:rPr>
  </w:style>
  <w:style w:type="paragraph" w:styleId="FootnoteText">
    <w:name w:val="footnote text"/>
    <w:basedOn w:val="Normal"/>
    <w:link w:val="FootnoteTextChar"/>
    <w:unhideWhenUsed/>
    <w:rsid w:val="009077DC"/>
    <w:pPr>
      <w:widowControl/>
      <w:autoSpaceDE/>
      <w:autoSpaceDN/>
      <w:adjustRightInd/>
      <w:spacing w:after="0"/>
    </w:pPr>
    <w:rPr>
      <w:sz w:val="20"/>
      <w:szCs w:val="20"/>
    </w:rPr>
  </w:style>
  <w:style w:type="character" w:customStyle="1" w:styleId="FootnoteTextChar">
    <w:name w:val="Footnote Text Char"/>
    <w:basedOn w:val="DefaultParagraphFont"/>
    <w:link w:val="FootnoteText"/>
    <w:rsid w:val="009077DC"/>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9077DC"/>
    <w:rPr>
      <w:rFonts w:ascii="Arial" w:hAnsi="Arial" w:cs="Arial"/>
      <w:sz w:val="22"/>
      <w:vertAlign w:val="superscript"/>
    </w:rPr>
  </w:style>
  <w:style w:type="character" w:styleId="Hyperlink">
    <w:name w:val="Hyperlink"/>
    <w:basedOn w:val="DefaultParagraphFont"/>
    <w:uiPriority w:val="99"/>
    <w:unhideWhenUsed/>
    <w:rsid w:val="009077DC"/>
    <w:rPr>
      <w:color w:val="0000FF" w:themeColor="hyperlink"/>
      <w:u w:val="single"/>
    </w:rPr>
  </w:style>
  <w:style w:type="paragraph" w:customStyle="1" w:styleId="PlainParagraph">
    <w:name w:val="Plain Paragraph"/>
    <w:basedOn w:val="Normal"/>
    <w:link w:val="PlainParagraphChar"/>
    <w:rsid w:val="009077DC"/>
    <w:pPr>
      <w:widowControl/>
      <w:autoSpaceDE/>
      <w:autoSpaceDN/>
      <w:adjustRightInd/>
      <w:spacing w:before="140" w:after="140" w:line="280" w:lineRule="atLeast"/>
    </w:pPr>
    <w:rPr>
      <w:rFonts w:ascii="Arial" w:hAnsi="Arial" w:cs="Arial"/>
      <w:sz w:val="22"/>
      <w:szCs w:val="22"/>
    </w:rPr>
  </w:style>
  <w:style w:type="character" w:customStyle="1" w:styleId="PlainParagraphChar">
    <w:name w:val="Plain Paragraph Char"/>
    <w:basedOn w:val="DefaultParagraphFont"/>
    <w:link w:val="PlainParagraph"/>
    <w:locked/>
    <w:rsid w:val="009077DC"/>
    <w:rPr>
      <w:rFonts w:ascii="Arial" w:eastAsia="Times New Roman" w:hAnsi="Arial" w:cs="Arial"/>
      <w:lang w:eastAsia="en-AU"/>
    </w:rPr>
  </w:style>
  <w:style w:type="paragraph" w:customStyle="1" w:styleId="base-text-paragraphnonumbers">
    <w:name w:val="base-text-paragraph no numbers"/>
    <w:basedOn w:val="Normal"/>
    <w:link w:val="base-text-paragraphnonumbersChar"/>
    <w:rsid w:val="009077DC"/>
    <w:pPr>
      <w:widowControl/>
      <w:autoSpaceDE/>
      <w:autoSpaceDN/>
      <w:adjustRightInd/>
      <w:spacing w:before="120" w:after="120"/>
      <w:ind w:left="1134"/>
    </w:pPr>
    <w:rPr>
      <w:sz w:val="22"/>
      <w:szCs w:val="20"/>
    </w:rPr>
  </w:style>
  <w:style w:type="character" w:customStyle="1" w:styleId="paragraphChar">
    <w:name w:val="paragraph Char"/>
    <w:aliases w:val="a Char"/>
    <w:basedOn w:val="DefaultParagraphFont"/>
    <w:link w:val="paragraph"/>
    <w:rsid w:val="009077DC"/>
    <w:rPr>
      <w:rFonts w:ascii="Times New Roman" w:eastAsia="Calibri" w:hAnsi="Times New Roman" w:cs="Times New Roman"/>
      <w:szCs w:val="20"/>
      <w:lang w:eastAsia="en-AU"/>
    </w:rPr>
  </w:style>
  <w:style w:type="character" w:customStyle="1" w:styleId="subsectionChar">
    <w:name w:val="subsection Char"/>
    <w:aliases w:val="ss Char"/>
    <w:basedOn w:val="DefaultParagraphFont"/>
    <w:link w:val="subsection"/>
    <w:rsid w:val="009077DC"/>
    <w:rPr>
      <w:rFonts w:ascii="Times New Roman" w:eastAsia="Calibri" w:hAnsi="Times New Roman" w:cs="Times New Roman"/>
      <w:szCs w:val="20"/>
      <w:lang w:eastAsia="en-AU"/>
    </w:rPr>
  </w:style>
  <w:style w:type="paragraph" w:customStyle="1" w:styleId="subsection2">
    <w:name w:val="subsection2"/>
    <w:aliases w:val="ss2"/>
    <w:basedOn w:val="Normal"/>
    <w:rsid w:val="009077DC"/>
    <w:pPr>
      <w:widowControl/>
      <w:autoSpaceDE/>
      <w:autoSpaceDN/>
      <w:adjustRightInd/>
      <w:spacing w:before="40" w:after="0"/>
      <w:ind w:left="1134"/>
    </w:pPr>
    <w:rPr>
      <w:rFonts w:eastAsiaTheme="minorHAnsi"/>
      <w:sz w:val="22"/>
      <w:szCs w:val="22"/>
    </w:rPr>
  </w:style>
  <w:style w:type="paragraph" w:styleId="Revision">
    <w:name w:val="Revision"/>
    <w:hidden/>
    <w:uiPriority w:val="99"/>
    <w:semiHidden/>
    <w:rsid w:val="009077DC"/>
    <w:pPr>
      <w:spacing w:after="0" w:line="240" w:lineRule="auto"/>
    </w:pPr>
    <w:rPr>
      <w:rFonts w:ascii="Times New Roman" w:eastAsia="Times New Roman" w:hAnsi="Times New Roman" w:cs="Times New Roman"/>
      <w:sz w:val="24"/>
      <w:szCs w:val="24"/>
      <w:lang w:eastAsia="en-AU"/>
    </w:rPr>
  </w:style>
  <w:style w:type="character" w:customStyle="1" w:styleId="msochangeprop0">
    <w:name w:val="msochangeprop"/>
    <w:basedOn w:val="DefaultParagraphFont"/>
    <w:rsid w:val="009077DC"/>
  </w:style>
  <w:style w:type="character" w:styleId="Strong">
    <w:name w:val="Strong"/>
    <w:basedOn w:val="DefaultParagraphFont"/>
    <w:uiPriority w:val="22"/>
    <w:qFormat/>
    <w:rsid w:val="009077DC"/>
    <w:rPr>
      <w:b/>
      <w:bCs/>
    </w:rPr>
  </w:style>
  <w:style w:type="paragraph" w:customStyle="1" w:styleId="dotpoint">
    <w:name w:val="dot point"/>
    <w:basedOn w:val="Normal"/>
    <w:link w:val="dotpointChar"/>
    <w:autoRedefine/>
    <w:rsid w:val="009C1B33"/>
    <w:pPr>
      <w:widowControl/>
      <w:numPr>
        <w:numId w:val="14"/>
      </w:numPr>
      <w:autoSpaceDE/>
      <w:autoSpaceDN/>
      <w:adjustRightInd/>
      <w:spacing w:before="120" w:after="120"/>
    </w:pPr>
    <w:rPr>
      <w:sz w:val="22"/>
      <w:szCs w:val="20"/>
    </w:rPr>
  </w:style>
  <w:style w:type="paragraph" w:customStyle="1" w:styleId="dotpoint2">
    <w:name w:val="dot point 2"/>
    <w:basedOn w:val="Normal"/>
    <w:rsid w:val="009C1B33"/>
    <w:pPr>
      <w:widowControl/>
      <w:numPr>
        <w:ilvl w:val="1"/>
        <w:numId w:val="14"/>
      </w:numPr>
      <w:autoSpaceDE/>
      <w:autoSpaceDN/>
      <w:adjustRightInd/>
      <w:spacing w:before="120" w:after="120"/>
    </w:pPr>
    <w:rPr>
      <w:sz w:val="22"/>
      <w:szCs w:val="20"/>
    </w:rPr>
  </w:style>
  <w:style w:type="numbering" w:customStyle="1" w:styleId="DotPointList">
    <w:name w:val="Dot Point List"/>
    <w:uiPriority w:val="99"/>
    <w:rsid w:val="009C1B33"/>
    <w:pPr>
      <w:numPr>
        <w:numId w:val="14"/>
      </w:numPr>
    </w:pPr>
  </w:style>
  <w:style w:type="character" w:customStyle="1" w:styleId="base-text-paragraphnonumbersChar">
    <w:name w:val="base-text-paragraph no numbers Char"/>
    <w:basedOn w:val="DefaultParagraphFont"/>
    <w:link w:val="base-text-paragraphnonumbers"/>
    <w:rsid w:val="009C1B33"/>
    <w:rPr>
      <w:rFonts w:ascii="Times New Roman" w:eastAsia="Times New Roman" w:hAnsi="Times New Roman" w:cs="Times New Roman"/>
      <w:szCs w:val="20"/>
      <w:lang w:eastAsia="en-AU"/>
    </w:rPr>
  </w:style>
  <w:style w:type="character" w:customStyle="1" w:styleId="dotpointChar">
    <w:name w:val="dot point Char"/>
    <w:basedOn w:val="DefaultParagraphFont"/>
    <w:link w:val="dotpoint"/>
    <w:rsid w:val="009C1B33"/>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14492">
      <w:bodyDiv w:val="1"/>
      <w:marLeft w:val="0"/>
      <w:marRight w:val="0"/>
      <w:marTop w:val="0"/>
      <w:marBottom w:val="0"/>
      <w:divBdr>
        <w:top w:val="none" w:sz="0" w:space="0" w:color="auto"/>
        <w:left w:val="none" w:sz="0" w:space="0" w:color="auto"/>
        <w:bottom w:val="none" w:sz="0" w:space="0" w:color="auto"/>
        <w:right w:val="none" w:sz="0" w:space="0" w:color="auto"/>
      </w:divBdr>
    </w:div>
    <w:div w:id="84332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76F08-D936-4CA1-B7A5-6CDAA1BB9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2935</Words>
  <Characters>16732</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19628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Lukeman</dc:creator>
  <cp:lastModifiedBy>Hilhorst, Matt</cp:lastModifiedBy>
  <cp:revision>2</cp:revision>
  <cp:lastPrinted>2013-05-10T08:37:00Z</cp:lastPrinted>
  <dcterms:created xsi:type="dcterms:W3CDTF">2013-05-16T04:24:00Z</dcterms:created>
  <dcterms:modified xsi:type="dcterms:W3CDTF">2013-05-16T04:24:00Z</dcterms:modified>
</cp:coreProperties>
</file>