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40B32" w:rsidRDefault="00193461" w:rsidP="00E17DE0">
      <w:pPr>
        <w:rPr>
          <w:sz w:val="28"/>
        </w:rPr>
      </w:pPr>
      <w:r w:rsidRPr="00540B32">
        <w:rPr>
          <w:noProof/>
          <w:lang w:eastAsia="en-AU"/>
        </w:rPr>
        <w:drawing>
          <wp:inline distT="0" distB="0" distL="0" distR="0" wp14:anchorId="36360638" wp14:editId="51996FE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540B32" w:rsidRDefault="0048364F" w:rsidP="00E17DE0">
      <w:pPr>
        <w:rPr>
          <w:sz w:val="19"/>
        </w:rPr>
      </w:pPr>
    </w:p>
    <w:p w:rsidR="0048364F" w:rsidRPr="00540B32" w:rsidRDefault="0048364F" w:rsidP="00E17DE0">
      <w:pPr>
        <w:rPr>
          <w:sz w:val="19"/>
        </w:rPr>
      </w:pPr>
      <w:bookmarkStart w:id="0" w:name="ConfidenceBlock"/>
      <w:bookmarkEnd w:id="0"/>
    </w:p>
    <w:p w:rsidR="0048364F" w:rsidRPr="00540B32" w:rsidRDefault="008B633D" w:rsidP="00E17DE0">
      <w:pPr>
        <w:pStyle w:val="ShortT"/>
      </w:pPr>
      <w:r w:rsidRPr="00540B32">
        <w:t xml:space="preserve">Clean Energy </w:t>
      </w:r>
      <w:r w:rsidR="00E302B4" w:rsidRPr="00540B32">
        <w:rPr>
          <w:noProof/>
        </w:rPr>
        <w:t>Legislation Amendment (Various Measures)</w:t>
      </w:r>
      <w:r w:rsidRPr="00540B32">
        <w:t xml:space="preserve"> Regulation</w:t>
      </w:r>
      <w:r w:rsidR="00540B32" w:rsidRPr="00540B32">
        <w:t> </w:t>
      </w:r>
      <w:r w:rsidRPr="00540B32">
        <w:t>2013</w:t>
      </w:r>
    </w:p>
    <w:p w:rsidR="0048364F" w:rsidRPr="00540B32" w:rsidRDefault="0048364F" w:rsidP="00E17DE0"/>
    <w:p w:rsidR="0048364F" w:rsidRPr="00540B32" w:rsidRDefault="00224DDD" w:rsidP="00E17DE0">
      <w:pPr>
        <w:pStyle w:val="InstNo"/>
      </w:pPr>
      <w:r>
        <w:t>Select Legislative Instrument No. 79,</w:t>
      </w:r>
      <w:r w:rsidR="0076460C">
        <w:t xml:space="preserve"> </w:t>
      </w:r>
      <w:r>
        <w:t>2013</w:t>
      </w:r>
    </w:p>
    <w:p w:rsidR="00D6045D" w:rsidRPr="00540B32" w:rsidRDefault="00D6045D" w:rsidP="00E17DE0">
      <w:pPr>
        <w:pStyle w:val="SignCoverPageStart"/>
        <w:spacing w:before="240"/>
      </w:pPr>
      <w:r w:rsidRPr="00540B32">
        <w:t>I, Quentin Bryce AC CVO, Governor</w:t>
      </w:r>
      <w:r w:rsidR="00540B32">
        <w:noBreakHyphen/>
      </w:r>
      <w:r w:rsidRPr="00540B32">
        <w:t xml:space="preserve">General of the Commonwealth of Australia, acting with the advice of the Federal Executive Council, make the following regulation under the </w:t>
      </w:r>
      <w:r w:rsidRPr="00540B32">
        <w:rPr>
          <w:i/>
        </w:rPr>
        <w:t>Clean Energy Act 2011</w:t>
      </w:r>
      <w:r w:rsidRPr="00540B32">
        <w:t xml:space="preserve"> and the </w:t>
      </w:r>
      <w:r w:rsidRPr="00540B32">
        <w:rPr>
          <w:i/>
        </w:rPr>
        <w:t>Renewable Energy (Electricity) Act 2000</w:t>
      </w:r>
      <w:r w:rsidRPr="00540B32">
        <w:t>.</w:t>
      </w:r>
    </w:p>
    <w:p w:rsidR="00D6045D" w:rsidRPr="00540B32" w:rsidRDefault="00D6045D" w:rsidP="00E17DE0">
      <w:pPr>
        <w:keepNext/>
        <w:spacing w:before="720" w:line="240" w:lineRule="atLeast"/>
        <w:ind w:right="397"/>
        <w:jc w:val="both"/>
        <w:rPr>
          <w:sz w:val="24"/>
          <w:szCs w:val="24"/>
        </w:rPr>
      </w:pPr>
      <w:r w:rsidRPr="00540B32">
        <w:rPr>
          <w:sz w:val="24"/>
          <w:szCs w:val="24"/>
        </w:rPr>
        <w:t xml:space="preserve">Dated </w:t>
      </w:r>
      <w:r w:rsidRPr="00540B32">
        <w:rPr>
          <w:sz w:val="24"/>
          <w:szCs w:val="24"/>
        </w:rPr>
        <w:tab/>
      </w:r>
      <w:r w:rsidRPr="00540B32">
        <w:rPr>
          <w:sz w:val="24"/>
          <w:szCs w:val="24"/>
        </w:rPr>
        <w:tab/>
      </w:r>
      <w:bookmarkStart w:id="1" w:name="BKCheck15B_2"/>
      <w:bookmarkEnd w:id="1"/>
      <w:r w:rsidR="0076460C">
        <w:rPr>
          <w:sz w:val="24"/>
          <w:szCs w:val="24"/>
        </w:rPr>
        <w:t>16 May 2013</w:t>
      </w:r>
      <w:r w:rsidRPr="00540B32">
        <w:rPr>
          <w:sz w:val="24"/>
          <w:szCs w:val="24"/>
        </w:rPr>
        <w:fldChar w:fldCharType="begin"/>
      </w:r>
      <w:r w:rsidRPr="00540B32">
        <w:rPr>
          <w:sz w:val="24"/>
          <w:szCs w:val="24"/>
        </w:rPr>
        <w:instrText xml:space="preserve"> DOCPROPERTY  DateMade </w:instrText>
      </w:r>
      <w:r w:rsidRPr="00540B32">
        <w:rPr>
          <w:sz w:val="24"/>
          <w:szCs w:val="24"/>
        </w:rPr>
        <w:fldChar w:fldCharType="end"/>
      </w:r>
    </w:p>
    <w:p w:rsidR="00D6045D" w:rsidRPr="00540B32" w:rsidRDefault="00D6045D" w:rsidP="00E17DE0">
      <w:pPr>
        <w:keepNext/>
        <w:tabs>
          <w:tab w:val="left" w:pos="3402"/>
        </w:tabs>
        <w:spacing w:before="960" w:line="300" w:lineRule="atLeast"/>
        <w:ind w:left="397" w:right="397"/>
        <w:jc w:val="right"/>
        <w:rPr>
          <w:sz w:val="24"/>
          <w:szCs w:val="24"/>
        </w:rPr>
      </w:pPr>
      <w:r w:rsidRPr="00540B32">
        <w:t>Quentin Bryce</w:t>
      </w:r>
    </w:p>
    <w:p w:rsidR="00D6045D" w:rsidRPr="00540B32" w:rsidRDefault="00D6045D" w:rsidP="00E17DE0">
      <w:pPr>
        <w:keepNext/>
        <w:tabs>
          <w:tab w:val="left" w:pos="3402"/>
        </w:tabs>
        <w:spacing w:line="300" w:lineRule="atLeast"/>
        <w:ind w:left="397" w:right="397"/>
        <w:jc w:val="right"/>
        <w:rPr>
          <w:sz w:val="24"/>
          <w:szCs w:val="24"/>
        </w:rPr>
      </w:pPr>
      <w:r w:rsidRPr="00540B32">
        <w:rPr>
          <w:sz w:val="24"/>
          <w:szCs w:val="24"/>
        </w:rPr>
        <w:t>Governor</w:t>
      </w:r>
      <w:r w:rsidR="00540B32">
        <w:rPr>
          <w:sz w:val="24"/>
          <w:szCs w:val="24"/>
        </w:rPr>
        <w:noBreakHyphen/>
      </w:r>
      <w:r w:rsidRPr="00540B32">
        <w:rPr>
          <w:sz w:val="24"/>
          <w:szCs w:val="24"/>
        </w:rPr>
        <w:t>General</w:t>
      </w:r>
    </w:p>
    <w:p w:rsidR="00D6045D" w:rsidRPr="00540B32" w:rsidRDefault="00D6045D" w:rsidP="00E17DE0">
      <w:pPr>
        <w:keepNext/>
        <w:tabs>
          <w:tab w:val="left" w:pos="3402"/>
        </w:tabs>
        <w:spacing w:after="800" w:line="300" w:lineRule="atLeast"/>
        <w:ind w:right="397"/>
        <w:rPr>
          <w:sz w:val="24"/>
          <w:szCs w:val="24"/>
        </w:rPr>
      </w:pPr>
      <w:r w:rsidRPr="00540B32">
        <w:rPr>
          <w:sz w:val="24"/>
          <w:szCs w:val="24"/>
        </w:rPr>
        <w:t>By Her Excellency’s Command</w:t>
      </w:r>
    </w:p>
    <w:p w:rsidR="00D6045D" w:rsidRPr="00540B32" w:rsidRDefault="00D6045D" w:rsidP="00E17DE0">
      <w:pPr>
        <w:keepNext/>
        <w:tabs>
          <w:tab w:val="left" w:pos="3402"/>
        </w:tabs>
        <w:spacing w:before="480" w:line="300" w:lineRule="atLeast"/>
        <w:ind w:right="397"/>
        <w:rPr>
          <w:szCs w:val="22"/>
        </w:rPr>
      </w:pPr>
      <w:r w:rsidRPr="00540B32">
        <w:rPr>
          <w:szCs w:val="22"/>
        </w:rPr>
        <w:t xml:space="preserve">Greg </w:t>
      </w:r>
      <w:proofErr w:type="spellStart"/>
      <w:r w:rsidRPr="00540B32">
        <w:rPr>
          <w:szCs w:val="22"/>
        </w:rPr>
        <w:t>Combet</w:t>
      </w:r>
      <w:proofErr w:type="spellEnd"/>
      <w:r w:rsidRPr="00540B32">
        <w:rPr>
          <w:szCs w:val="22"/>
        </w:rPr>
        <w:t xml:space="preserve"> AM</w:t>
      </w:r>
    </w:p>
    <w:p w:rsidR="00D6045D" w:rsidRPr="00540B32" w:rsidRDefault="00D6045D" w:rsidP="00E17DE0">
      <w:pPr>
        <w:pStyle w:val="SignCoverPageEnd"/>
      </w:pPr>
      <w:r w:rsidRPr="00540B32">
        <w:t>Minister for Climate Change, Industry and Innovation</w:t>
      </w:r>
    </w:p>
    <w:p w:rsidR="00D6045D" w:rsidRPr="00540B32" w:rsidRDefault="00D6045D" w:rsidP="00E17DE0">
      <w:pPr>
        <w:pStyle w:val="Tabletext"/>
      </w:pPr>
    </w:p>
    <w:p w:rsidR="0048364F" w:rsidRPr="00540B32" w:rsidRDefault="0048364F" w:rsidP="00E17DE0">
      <w:pPr>
        <w:pStyle w:val="Header"/>
        <w:tabs>
          <w:tab w:val="clear" w:pos="4150"/>
          <w:tab w:val="clear" w:pos="8307"/>
        </w:tabs>
      </w:pPr>
      <w:r w:rsidRPr="00540B32">
        <w:rPr>
          <w:rStyle w:val="CharAmSchNo"/>
        </w:rPr>
        <w:t xml:space="preserve"> </w:t>
      </w:r>
      <w:r w:rsidRPr="00540B32">
        <w:rPr>
          <w:rStyle w:val="CharAmSchText"/>
        </w:rPr>
        <w:t xml:space="preserve"> </w:t>
      </w:r>
    </w:p>
    <w:p w:rsidR="0048364F" w:rsidRPr="00540B32" w:rsidRDefault="0048364F" w:rsidP="00E17DE0">
      <w:pPr>
        <w:pStyle w:val="Header"/>
        <w:tabs>
          <w:tab w:val="clear" w:pos="4150"/>
          <w:tab w:val="clear" w:pos="8307"/>
        </w:tabs>
      </w:pPr>
      <w:r w:rsidRPr="00540B32">
        <w:rPr>
          <w:rStyle w:val="CharAmPartNo"/>
        </w:rPr>
        <w:t xml:space="preserve"> </w:t>
      </w:r>
      <w:r w:rsidRPr="00540B32">
        <w:rPr>
          <w:rStyle w:val="CharAmPartText"/>
        </w:rPr>
        <w:t xml:space="preserve"> </w:t>
      </w:r>
    </w:p>
    <w:p w:rsidR="0048364F" w:rsidRPr="00540B32" w:rsidRDefault="0048364F" w:rsidP="00E17DE0">
      <w:pPr>
        <w:sectPr w:rsidR="0048364F" w:rsidRPr="00540B32" w:rsidSect="001F2B8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540B32" w:rsidRDefault="0048364F" w:rsidP="00E17DE0">
      <w:pPr>
        <w:rPr>
          <w:sz w:val="36"/>
        </w:rPr>
      </w:pPr>
      <w:r w:rsidRPr="00540B32">
        <w:rPr>
          <w:sz w:val="36"/>
        </w:rPr>
        <w:lastRenderedPageBreak/>
        <w:t>Contents</w:t>
      </w:r>
    </w:p>
    <w:bookmarkStart w:id="2" w:name="BKCheck15B_3"/>
    <w:bookmarkEnd w:id="2"/>
    <w:p w:rsidR="0076460C" w:rsidRDefault="0076460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 of regulation</w:t>
      </w:r>
      <w:r w:rsidRPr="0076460C">
        <w:rPr>
          <w:noProof/>
        </w:rPr>
        <w:tab/>
      </w:r>
      <w:r w:rsidRPr="0076460C">
        <w:rPr>
          <w:noProof/>
        </w:rPr>
        <w:fldChar w:fldCharType="begin"/>
      </w:r>
      <w:r w:rsidRPr="0076460C">
        <w:rPr>
          <w:noProof/>
        </w:rPr>
        <w:instrText xml:space="preserve"> PAGEREF _Toc356309208 \h </w:instrText>
      </w:r>
      <w:r w:rsidRPr="0076460C">
        <w:rPr>
          <w:noProof/>
        </w:rPr>
      </w:r>
      <w:r w:rsidRPr="0076460C">
        <w:rPr>
          <w:noProof/>
        </w:rPr>
        <w:fldChar w:fldCharType="separate"/>
      </w:r>
      <w:r w:rsidRPr="0076460C">
        <w:rPr>
          <w:noProof/>
        </w:rPr>
        <w:t>1</w:t>
      </w:r>
      <w:r w:rsidRPr="0076460C">
        <w:rPr>
          <w:noProof/>
        </w:rPr>
        <w:fldChar w:fldCharType="end"/>
      </w:r>
    </w:p>
    <w:p w:rsidR="0076460C" w:rsidRDefault="0076460C">
      <w:pPr>
        <w:pStyle w:val="TOC5"/>
        <w:rPr>
          <w:rFonts w:asciiTheme="minorHAnsi" w:eastAsiaTheme="minorEastAsia" w:hAnsiTheme="minorHAnsi" w:cstheme="minorBidi"/>
          <w:noProof/>
          <w:kern w:val="0"/>
          <w:sz w:val="22"/>
          <w:szCs w:val="22"/>
        </w:rPr>
      </w:pPr>
      <w:r>
        <w:rPr>
          <w:noProof/>
        </w:rPr>
        <w:t>2</w:t>
      </w:r>
      <w:r>
        <w:rPr>
          <w:noProof/>
        </w:rPr>
        <w:tab/>
        <w:t>Commencement</w:t>
      </w:r>
      <w:r w:rsidRPr="0076460C">
        <w:rPr>
          <w:noProof/>
        </w:rPr>
        <w:tab/>
      </w:r>
      <w:r w:rsidRPr="0076460C">
        <w:rPr>
          <w:noProof/>
        </w:rPr>
        <w:fldChar w:fldCharType="begin"/>
      </w:r>
      <w:r w:rsidRPr="0076460C">
        <w:rPr>
          <w:noProof/>
        </w:rPr>
        <w:instrText xml:space="preserve"> PAGEREF _Toc356309209 \h </w:instrText>
      </w:r>
      <w:r w:rsidRPr="0076460C">
        <w:rPr>
          <w:noProof/>
        </w:rPr>
      </w:r>
      <w:r w:rsidRPr="0076460C">
        <w:rPr>
          <w:noProof/>
        </w:rPr>
        <w:fldChar w:fldCharType="separate"/>
      </w:r>
      <w:r w:rsidRPr="0076460C">
        <w:rPr>
          <w:noProof/>
        </w:rPr>
        <w:t>1</w:t>
      </w:r>
      <w:r w:rsidRPr="0076460C">
        <w:rPr>
          <w:noProof/>
        </w:rPr>
        <w:fldChar w:fldCharType="end"/>
      </w:r>
    </w:p>
    <w:p w:rsidR="0076460C" w:rsidRDefault="0076460C">
      <w:pPr>
        <w:pStyle w:val="TOC5"/>
        <w:rPr>
          <w:rFonts w:asciiTheme="minorHAnsi" w:eastAsiaTheme="minorEastAsia" w:hAnsiTheme="minorHAnsi" w:cstheme="minorBidi"/>
          <w:noProof/>
          <w:kern w:val="0"/>
          <w:sz w:val="22"/>
          <w:szCs w:val="22"/>
        </w:rPr>
      </w:pPr>
      <w:r>
        <w:rPr>
          <w:noProof/>
        </w:rPr>
        <w:t>3</w:t>
      </w:r>
      <w:r>
        <w:rPr>
          <w:noProof/>
        </w:rPr>
        <w:tab/>
        <w:t>Authority</w:t>
      </w:r>
      <w:r w:rsidRPr="0076460C">
        <w:rPr>
          <w:noProof/>
        </w:rPr>
        <w:tab/>
      </w:r>
      <w:r w:rsidRPr="0076460C">
        <w:rPr>
          <w:noProof/>
        </w:rPr>
        <w:fldChar w:fldCharType="begin"/>
      </w:r>
      <w:r w:rsidRPr="0076460C">
        <w:rPr>
          <w:noProof/>
        </w:rPr>
        <w:instrText xml:space="preserve"> PAGEREF _Toc356309210 \h </w:instrText>
      </w:r>
      <w:r w:rsidRPr="0076460C">
        <w:rPr>
          <w:noProof/>
        </w:rPr>
      </w:r>
      <w:r w:rsidRPr="0076460C">
        <w:rPr>
          <w:noProof/>
        </w:rPr>
        <w:fldChar w:fldCharType="separate"/>
      </w:r>
      <w:r w:rsidRPr="0076460C">
        <w:rPr>
          <w:noProof/>
        </w:rPr>
        <w:t>1</w:t>
      </w:r>
      <w:r w:rsidRPr="0076460C">
        <w:rPr>
          <w:noProof/>
        </w:rPr>
        <w:fldChar w:fldCharType="end"/>
      </w:r>
    </w:p>
    <w:p w:rsidR="0076460C" w:rsidRDefault="0076460C">
      <w:pPr>
        <w:pStyle w:val="TOC5"/>
        <w:rPr>
          <w:rFonts w:asciiTheme="minorHAnsi" w:eastAsiaTheme="minorEastAsia" w:hAnsiTheme="minorHAnsi" w:cstheme="minorBidi"/>
          <w:noProof/>
          <w:kern w:val="0"/>
          <w:sz w:val="22"/>
          <w:szCs w:val="22"/>
        </w:rPr>
      </w:pPr>
      <w:r>
        <w:rPr>
          <w:noProof/>
        </w:rPr>
        <w:t>4</w:t>
      </w:r>
      <w:r>
        <w:rPr>
          <w:noProof/>
        </w:rPr>
        <w:tab/>
        <w:t>Schedule(s)</w:t>
      </w:r>
      <w:r w:rsidRPr="0076460C">
        <w:rPr>
          <w:noProof/>
        </w:rPr>
        <w:tab/>
      </w:r>
      <w:r w:rsidRPr="0076460C">
        <w:rPr>
          <w:noProof/>
        </w:rPr>
        <w:fldChar w:fldCharType="begin"/>
      </w:r>
      <w:r w:rsidRPr="0076460C">
        <w:rPr>
          <w:noProof/>
        </w:rPr>
        <w:instrText xml:space="preserve"> PAGEREF _Toc356309211 \h </w:instrText>
      </w:r>
      <w:r w:rsidRPr="0076460C">
        <w:rPr>
          <w:noProof/>
        </w:rPr>
      </w:r>
      <w:r w:rsidRPr="0076460C">
        <w:rPr>
          <w:noProof/>
        </w:rPr>
        <w:fldChar w:fldCharType="separate"/>
      </w:r>
      <w:r w:rsidRPr="0076460C">
        <w:rPr>
          <w:noProof/>
        </w:rPr>
        <w:t>1</w:t>
      </w:r>
      <w:r w:rsidRPr="0076460C">
        <w:rPr>
          <w:noProof/>
        </w:rPr>
        <w:fldChar w:fldCharType="end"/>
      </w:r>
    </w:p>
    <w:p w:rsidR="0076460C" w:rsidRDefault="0076460C">
      <w:pPr>
        <w:pStyle w:val="TOC6"/>
        <w:rPr>
          <w:rFonts w:asciiTheme="minorHAnsi" w:eastAsiaTheme="minorEastAsia" w:hAnsiTheme="minorHAnsi" w:cstheme="minorBidi"/>
          <w:b w:val="0"/>
          <w:noProof/>
          <w:kern w:val="0"/>
          <w:sz w:val="22"/>
          <w:szCs w:val="22"/>
        </w:rPr>
      </w:pPr>
      <w:r>
        <w:rPr>
          <w:noProof/>
        </w:rPr>
        <w:t>Schedule 1—Amendments</w:t>
      </w:r>
      <w:r w:rsidRPr="0076460C">
        <w:rPr>
          <w:b w:val="0"/>
          <w:noProof/>
          <w:sz w:val="18"/>
        </w:rPr>
        <w:tab/>
      </w:r>
      <w:r w:rsidRPr="0076460C">
        <w:rPr>
          <w:b w:val="0"/>
          <w:noProof/>
          <w:sz w:val="18"/>
        </w:rPr>
        <w:fldChar w:fldCharType="begin"/>
      </w:r>
      <w:r w:rsidRPr="0076460C">
        <w:rPr>
          <w:b w:val="0"/>
          <w:noProof/>
          <w:sz w:val="18"/>
        </w:rPr>
        <w:instrText xml:space="preserve"> PAGEREF _Toc356309212 \h </w:instrText>
      </w:r>
      <w:r w:rsidRPr="0076460C">
        <w:rPr>
          <w:b w:val="0"/>
          <w:noProof/>
          <w:sz w:val="18"/>
        </w:rPr>
      </w:r>
      <w:r w:rsidRPr="0076460C">
        <w:rPr>
          <w:b w:val="0"/>
          <w:noProof/>
          <w:sz w:val="18"/>
        </w:rPr>
        <w:fldChar w:fldCharType="separate"/>
      </w:r>
      <w:r w:rsidRPr="0076460C">
        <w:rPr>
          <w:b w:val="0"/>
          <w:noProof/>
          <w:sz w:val="18"/>
        </w:rPr>
        <w:t>2</w:t>
      </w:r>
      <w:r w:rsidRPr="0076460C">
        <w:rPr>
          <w:b w:val="0"/>
          <w:noProof/>
          <w:sz w:val="18"/>
        </w:rPr>
        <w:fldChar w:fldCharType="end"/>
      </w:r>
    </w:p>
    <w:p w:rsidR="0076460C" w:rsidRDefault="0076460C">
      <w:pPr>
        <w:pStyle w:val="TOC9"/>
        <w:rPr>
          <w:rFonts w:asciiTheme="minorHAnsi" w:eastAsiaTheme="minorEastAsia" w:hAnsiTheme="minorHAnsi" w:cstheme="minorBidi"/>
          <w:i w:val="0"/>
          <w:noProof/>
          <w:kern w:val="0"/>
          <w:sz w:val="22"/>
          <w:szCs w:val="22"/>
        </w:rPr>
      </w:pPr>
      <w:r>
        <w:rPr>
          <w:noProof/>
        </w:rPr>
        <w:t>Clean Energy Regulations 2011</w:t>
      </w:r>
      <w:r w:rsidRPr="0076460C">
        <w:rPr>
          <w:i w:val="0"/>
          <w:noProof/>
          <w:sz w:val="18"/>
        </w:rPr>
        <w:tab/>
      </w:r>
      <w:r w:rsidRPr="0076460C">
        <w:rPr>
          <w:i w:val="0"/>
          <w:noProof/>
          <w:sz w:val="18"/>
        </w:rPr>
        <w:fldChar w:fldCharType="begin"/>
      </w:r>
      <w:r w:rsidRPr="0076460C">
        <w:rPr>
          <w:i w:val="0"/>
          <w:noProof/>
          <w:sz w:val="18"/>
        </w:rPr>
        <w:instrText xml:space="preserve"> PAGEREF _Toc356309213 \h </w:instrText>
      </w:r>
      <w:r w:rsidRPr="0076460C">
        <w:rPr>
          <w:i w:val="0"/>
          <w:noProof/>
          <w:sz w:val="18"/>
        </w:rPr>
      </w:r>
      <w:r w:rsidRPr="0076460C">
        <w:rPr>
          <w:i w:val="0"/>
          <w:noProof/>
          <w:sz w:val="18"/>
        </w:rPr>
        <w:fldChar w:fldCharType="separate"/>
      </w:r>
      <w:r w:rsidRPr="0076460C">
        <w:rPr>
          <w:i w:val="0"/>
          <w:noProof/>
          <w:sz w:val="18"/>
        </w:rPr>
        <w:t>2</w:t>
      </w:r>
      <w:r w:rsidRPr="0076460C">
        <w:rPr>
          <w:i w:val="0"/>
          <w:noProof/>
          <w:sz w:val="18"/>
        </w:rPr>
        <w:fldChar w:fldCharType="end"/>
      </w:r>
    </w:p>
    <w:p w:rsidR="0076460C" w:rsidRDefault="0076460C">
      <w:pPr>
        <w:pStyle w:val="TOC9"/>
        <w:rPr>
          <w:rFonts w:asciiTheme="minorHAnsi" w:eastAsiaTheme="minorEastAsia" w:hAnsiTheme="minorHAnsi" w:cstheme="minorBidi"/>
          <w:i w:val="0"/>
          <w:noProof/>
          <w:kern w:val="0"/>
          <w:sz w:val="22"/>
          <w:szCs w:val="22"/>
        </w:rPr>
      </w:pPr>
      <w:r>
        <w:rPr>
          <w:noProof/>
        </w:rPr>
        <w:t>Renewable Energy (Electricity) Regulations 2001</w:t>
      </w:r>
      <w:r w:rsidRPr="0076460C">
        <w:rPr>
          <w:i w:val="0"/>
          <w:noProof/>
          <w:sz w:val="18"/>
        </w:rPr>
        <w:tab/>
      </w:r>
      <w:r w:rsidRPr="0076460C">
        <w:rPr>
          <w:i w:val="0"/>
          <w:noProof/>
          <w:sz w:val="18"/>
        </w:rPr>
        <w:fldChar w:fldCharType="begin"/>
      </w:r>
      <w:r w:rsidRPr="0076460C">
        <w:rPr>
          <w:i w:val="0"/>
          <w:noProof/>
          <w:sz w:val="18"/>
        </w:rPr>
        <w:instrText xml:space="preserve"> PAGEREF _Toc356309217 \h </w:instrText>
      </w:r>
      <w:r w:rsidRPr="0076460C">
        <w:rPr>
          <w:i w:val="0"/>
          <w:noProof/>
          <w:sz w:val="18"/>
        </w:rPr>
      </w:r>
      <w:r w:rsidRPr="0076460C">
        <w:rPr>
          <w:i w:val="0"/>
          <w:noProof/>
          <w:sz w:val="18"/>
        </w:rPr>
        <w:fldChar w:fldCharType="separate"/>
      </w:r>
      <w:r w:rsidRPr="0076460C">
        <w:rPr>
          <w:i w:val="0"/>
          <w:noProof/>
          <w:sz w:val="18"/>
        </w:rPr>
        <w:t>12</w:t>
      </w:r>
      <w:r w:rsidRPr="0076460C">
        <w:rPr>
          <w:i w:val="0"/>
          <w:noProof/>
          <w:sz w:val="18"/>
        </w:rPr>
        <w:fldChar w:fldCharType="end"/>
      </w:r>
    </w:p>
    <w:p w:rsidR="00A87AB9" w:rsidRPr="00540B32" w:rsidRDefault="0076460C" w:rsidP="00E17DE0">
      <w:r>
        <w:fldChar w:fldCharType="end"/>
      </w:r>
    </w:p>
    <w:p w:rsidR="00722023" w:rsidRPr="00540B32" w:rsidRDefault="00722023" w:rsidP="00E17DE0">
      <w:pPr>
        <w:sectPr w:rsidR="00722023" w:rsidRPr="00540B32" w:rsidSect="001F2B88">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bookmarkStart w:id="3" w:name="_GoBack"/>
      <w:bookmarkEnd w:id="3"/>
    </w:p>
    <w:p w:rsidR="0048364F" w:rsidRPr="00540B32" w:rsidRDefault="0048364F" w:rsidP="00E17DE0">
      <w:pPr>
        <w:pStyle w:val="ActHead5"/>
      </w:pPr>
      <w:bookmarkStart w:id="4" w:name="_Toc356309208"/>
      <w:r w:rsidRPr="00540B32">
        <w:rPr>
          <w:rStyle w:val="CharSectno"/>
        </w:rPr>
        <w:lastRenderedPageBreak/>
        <w:t>1</w:t>
      </w:r>
      <w:r w:rsidRPr="00540B32">
        <w:t xml:space="preserve">  </w:t>
      </w:r>
      <w:r w:rsidR="004F676E" w:rsidRPr="00540B32">
        <w:t xml:space="preserve">Name of </w:t>
      </w:r>
      <w:r w:rsidR="005C152D" w:rsidRPr="00540B32">
        <w:t>regulation</w:t>
      </w:r>
      <w:bookmarkEnd w:id="4"/>
    </w:p>
    <w:p w:rsidR="0048364F" w:rsidRPr="00540B32" w:rsidRDefault="0048364F" w:rsidP="00E17DE0">
      <w:pPr>
        <w:pStyle w:val="subsection"/>
      </w:pPr>
      <w:r w:rsidRPr="00540B32">
        <w:tab/>
      </w:r>
      <w:r w:rsidRPr="00540B32">
        <w:tab/>
        <w:t>Th</w:t>
      </w:r>
      <w:r w:rsidR="00F24C35" w:rsidRPr="00540B32">
        <w:t>is</w:t>
      </w:r>
      <w:r w:rsidRPr="00540B32">
        <w:t xml:space="preserve"> </w:t>
      </w:r>
      <w:r w:rsidR="005C152D" w:rsidRPr="00540B32">
        <w:t>regulation</w:t>
      </w:r>
      <w:r w:rsidRPr="00540B32">
        <w:t xml:space="preserve"> </w:t>
      </w:r>
      <w:r w:rsidR="00F24C35" w:rsidRPr="00540B32">
        <w:t>is</w:t>
      </w:r>
      <w:r w:rsidR="003801D0" w:rsidRPr="00540B32">
        <w:t xml:space="preserve"> the</w:t>
      </w:r>
      <w:r w:rsidRPr="00540B32">
        <w:t xml:space="preserve"> </w:t>
      </w:r>
      <w:bookmarkStart w:id="5" w:name="BKCheck15B_4"/>
      <w:bookmarkEnd w:id="5"/>
      <w:r w:rsidR="00CB0180" w:rsidRPr="00540B32">
        <w:rPr>
          <w:i/>
        </w:rPr>
        <w:fldChar w:fldCharType="begin"/>
      </w:r>
      <w:r w:rsidR="00CB0180" w:rsidRPr="00540B32">
        <w:rPr>
          <w:i/>
        </w:rPr>
        <w:instrText xml:space="preserve"> STYLEREF  ShortT </w:instrText>
      </w:r>
      <w:r w:rsidR="00CB0180" w:rsidRPr="00540B32">
        <w:rPr>
          <w:i/>
        </w:rPr>
        <w:fldChar w:fldCharType="separate"/>
      </w:r>
      <w:r w:rsidR="0076460C">
        <w:rPr>
          <w:i/>
          <w:noProof/>
        </w:rPr>
        <w:t>Clean Energy Legislation Amendment (Various Measures) Regulation 2013</w:t>
      </w:r>
      <w:r w:rsidR="00CB0180" w:rsidRPr="00540B32">
        <w:rPr>
          <w:i/>
        </w:rPr>
        <w:fldChar w:fldCharType="end"/>
      </w:r>
      <w:r w:rsidRPr="00540B32">
        <w:t>.</w:t>
      </w:r>
    </w:p>
    <w:p w:rsidR="0048364F" w:rsidRPr="00540B32" w:rsidRDefault="0048364F" w:rsidP="00E17DE0">
      <w:pPr>
        <w:pStyle w:val="ActHead5"/>
      </w:pPr>
      <w:bookmarkStart w:id="6" w:name="_Toc356309209"/>
      <w:r w:rsidRPr="00540B32">
        <w:rPr>
          <w:rStyle w:val="CharSectno"/>
        </w:rPr>
        <w:t>2</w:t>
      </w:r>
      <w:r w:rsidRPr="00540B32">
        <w:t xml:space="preserve">  Commencement</w:t>
      </w:r>
      <w:bookmarkEnd w:id="6"/>
    </w:p>
    <w:p w:rsidR="00C742BE" w:rsidRPr="00540B32" w:rsidRDefault="004F676E" w:rsidP="00E17DE0">
      <w:pPr>
        <w:pStyle w:val="subsection"/>
      </w:pPr>
      <w:r w:rsidRPr="00540B32">
        <w:tab/>
      </w:r>
      <w:r w:rsidRPr="00540B32">
        <w:tab/>
      </w:r>
      <w:r w:rsidR="00C742BE" w:rsidRPr="00540B32">
        <w:t>Each provision of this regulation specified in column 1 of the table commences, or is taken to have commenced, in accordance with column 2 of the table. Any other statement in column 2 has effect according to its terms.</w:t>
      </w:r>
    </w:p>
    <w:p w:rsidR="00C742BE" w:rsidRPr="00540B32" w:rsidRDefault="00C742BE" w:rsidP="00E17DE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17DE0" w:rsidRPr="00540B32" w:rsidTr="00666FE9">
        <w:trPr>
          <w:tblHeader/>
        </w:trPr>
        <w:tc>
          <w:tcPr>
            <w:tcW w:w="7111" w:type="dxa"/>
            <w:gridSpan w:val="3"/>
            <w:tcBorders>
              <w:top w:val="single" w:sz="12" w:space="0" w:color="auto"/>
              <w:bottom w:val="single" w:sz="6" w:space="0" w:color="auto"/>
            </w:tcBorders>
            <w:shd w:val="clear" w:color="auto" w:fill="auto"/>
            <w:hideMark/>
          </w:tcPr>
          <w:p w:rsidR="00C742BE" w:rsidRPr="00540B32" w:rsidRDefault="00C742BE" w:rsidP="00E17DE0">
            <w:pPr>
              <w:pStyle w:val="Tabletext"/>
              <w:keepNext/>
              <w:rPr>
                <w:b/>
              </w:rPr>
            </w:pPr>
            <w:r w:rsidRPr="00540B32">
              <w:rPr>
                <w:b/>
              </w:rPr>
              <w:t>Commencement information</w:t>
            </w:r>
          </w:p>
        </w:tc>
      </w:tr>
      <w:tr w:rsidR="00E17DE0" w:rsidRPr="00540B32" w:rsidTr="00666FE9">
        <w:trPr>
          <w:tblHeader/>
        </w:trPr>
        <w:tc>
          <w:tcPr>
            <w:tcW w:w="1701" w:type="dxa"/>
            <w:tcBorders>
              <w:top w:val="single" w:sz="6" w:space="0" w:color="auto"/>
              <w:bottom w:val="single" w:sz="6" w:space="0" w:color="auto"/>
            </w:tcBorders>
            <w:shd w:val="clear" w:color="auto" w:fill="auto"/>
            <w:hideMark/>
          </w:tcPr>
          <w:p w:rsidR="00C742BE" w:rsidRPr="00540B32" w:rsidRDefault="00C742BE" w:rsidP="00E17DE0">
            <w:pPr>
              <w:pStyle w:val="Tabletext"/>
              <w:keepNext/>
              <w:rPr>
                <w:b/>
              </w:rPr>
            </w:pPr>
            <w:r w:rsidRPr="00540B32">
              <w:rPr>
                <w:b/>
              </w:rPr>
              <w:t>Column 1</w:t>
            </w:r>
          </w:p>
        </w:tc>
        <w:tc>
          <w:tcPr>
            <w:tcW w:w="3828" w:type="dxa"/>
            <w:tcBorders>
              <w:top w:val="single" w:sz="6" w:space="0" w:color="auto"/>
              <w:bottom w:val="single" w:sz="6" w:space="0" w:color="auto"/>
            </w:tcBorders>
            <w:shd w:val="clear" w:color="auto" w:fill="auto"/>
            <w:hideMark/>
          </w:tcPr>
          <w:p w:rsidR="00C742BE" w:rsidRPr="00540B32" w:rsidRDefault="00C742BE" w:rsidP="00E17DE0">
            <w:pPr>
              <w:pStyle w:val="Tabletext"/>
              <w:keepNext/>
              <w:rPr>
                <w:b/>
              </w:rPr>
            </w:pPr>
            <w:r w:rsidRPr="00540B32">
              <w:rPr>
                <w:b/>
              </w:rPr>
              <w:t>Column 2</w:t>
            </w:r>
          </w:p>
        </w:tc>
        <w:tc>
          <w:tcPr>
            <w:tcW w:w="1582" w:type="dxa"/>
            <w:tcBorders>
              <w:top w:val="single" w:sz="6" w:space="0" w:color="auto"/>
              <w:bottom w:val="single" w:sz="6" w:space="0" w:color="auto"/>
            </w:tcBorders>
            <w:shd w:val="clear" w:color="auto" w:fill="auto"/>
            <w:hideMark/>
          </w:tcPr>
          <w:p w:rsidR="00C742BE" w:rsidRPr="00540B32" w:rsidRDefault="00C742BE" w:rsidP="00E17DE0">
            <w:pPr>
              <w:pStyle w:val="Tabletext"/>
              <w:keepNext/>
              <w:rPr>
                <w:b/>
              </w:rPr>
            </w:pPr>
            <w:r w:rsidRPr="00540B32">
              <w:rPr>
                <w:b/>
              </w:rPr>
              <w:t>Column 3</w:t>
            </w:r>
          </w:p>
        </w:tc>
      </w:tr>
      <w:tr w:rsidR="00E17DE0" w:rsidRPr="00540B32" w:rsidTr="00666FE9">
        <w:trPr>
          <w:tblHeader/>
        </w:trPr>
        <w:tc>
          <w:tcPr>
            <w:tcW w:w="1701" w:type="dxa"/>
            <w:tcBorders>
              <w:top w:val="single" w:sz="6" w:space="0" w:color="auto"/>
              <w:bottom w:val="single" w:sz="12" w:space="0" w:color="auto"/>
            </w:tcBorders>
            <w:shd w:val="clear" w:color="auto" w:fill="auto"/>
            <w:hideMark/>
          </w:tcPr>
          <w:p w:rsidR="00C742BE" w:rsidRPr="00540B32" w:rsidRDefault="00C742BE" w:rsidP="00E17DE0">
            <w:pPr>
              <w:pStyle w:val="Tabletext"/>
              <w:keepNext/>
              <w:rPr>
                <w:b/>
              </w:rPr>
            </w:pPr>
            <w:r w:rsidRPr="00540B32">
              <w:rPr>
                <w:b/>
              </w:rPr>
              <w:t>Provision(s)</w:t>
            </w:r>
          </w:p>
        </w:tc>
        <w:tc>
          <w:tcPr>
            <w:tcW w:w="3828" w:type="dxa"/>
            <w:tcBorders>
              <w:top w:val="single" w:sz="6" w:space="0" w:color="auto"/>
              <w:bottom w:val="single" w:sz="12" w:space="0" w:color="auto"/>
            </w:tcBorders>
            <w:shd w:val="clear" w:color="auto" w:fill="auto"/>
            <w:hideMark/>
          </w:tcPr>
          <w:p w:rsidR="00C742BE" w:rsidRPr="00540B32" w:rsidRDefault="00C742BE" w:rsidP="00E17DE0">
            <w:pPr>
              <w:pStyle w:val="Tabletext"/>
              <w:keepNext/>
              <w:rPr>
                <w:b/>
              </w:rPr>
            </w:pPr>
            <w:r w:rsidRPr="00540B32">
              <w:rPr>
                <w:b/>
              </w:rPr>
              <w:t>Commencement</w:t>
            </w:r>
          </w:p>
        </w:tc>
        <w:tc>
          <w:tcPr>
            <w:tcW w:w="1582" w:type="dxa"/>
            <w:tcBorders>
              <w:top w:val="single" w:sz="6" w:space="0" w:color="auto"/>
              <w:bottom w:val="single" w:sz="12" w:space="0" w:color="auto"/>
            </w:tcBorders>
            <w:shd w:val="clear" w:color="auto" w:fill="auto"/>
            <w:hideMark/>
          </w:tcPr>
          <w:p w:rsidR="00C742BE" w:rsidRPr="00540B32" w:rsidRDefault="00C742BE" w:rsidP="00E17DE0">
            <w:pPr>
              <w:pStyle w:val="Tabletext"/>
              <w:keepNext/>
              <w:rPr>
                <w:b/>
              </w:rPr>
            </w:pPr>
            <w:r w:rsidRPr="00540B32">
              <w:rPr>
                <w:b/>
              </w:rPr>
              <w:t>Date/Details</w:t>
            </w:r>
          </w:p>
        </w:tc>
      </w:tr>
      <w:tr w:rsidR="00E17DE0" w:rsidRPr="00540B32" w:rsidTr="00666FE9">
        <w:tc>
          <w:tcPr>
            <w:tcW w:w="1701" w:type="dxa"/>
            <w:tcBorders>
              <w:top w:val="single" w:sz="12" w:space="0" w:color="auto"/>
            </w:tcBorders>
            <w:shd w:val="clear" w:color="auto" w:fill="auto"/>
            <w:hideMark/>
          </w:tcPr>
          <w:p w:rsidR="00C742BE" w:rsidRPr="00540B32" w:rsidRDefault="00C742BE" w:rsidP="00E17DE0">
            <w:pPr>
              <w:pStyle w:val="Tabletext"/>
            </w:pPr>
            <w:r w:rsidRPr="00540B32">
              <w:t>1.  Sections</w:t>
            </w:r>
            <w:r w:rsidR="00540B32" w:rsidRPr="00540B32">
              <w:t> </w:t>
            </w:r>
            <w:r w:rsidR="00521FC1" w:rsidRPr="00540B32">
              <w:t>1 to 4</w:t>
            </w:r>
            <w:r w:rsidRPr="00540B32">
              <w:t xml:space="preserve"> and anything in this regulation not elsewhere covered by this table</w:t>
            </w:r>
          </w:p>
        </w:tc>
        <w:tc>
          <w:tcPr>
            <w:tcW w:w="3828" w:type="dxa"/>
            <w:tcBorders>
              <w:top w:val="single" w:sz="12" w:space="0" w:color="auto"/>
            </w:tcBorders>
            <w:shd w:val="clear" w:color="auto" w:fill="auto"/>
            <w:hideMark/>
          </w:tcPr>
          <w:p w:rsidR="00C742BE" w:rsidRPr="00540B32" w:rsidRDefault="00C742BE" w:rsidP="00E17DE0">
            <w:pPr>
              <w:pStyle w:val="Tabletext"/>
            </w:pPr>
            <w:r w:rsidRPr="00540B32">
              <w:t>The day after this regulation is registered.</w:t>
            </w:r>
          </w:p>
        </w:tc>
        <w:tc>
          <w:tcPr>
            <w:tcW w:w="1582" w:type="dxa"/>
            <w:tcBorders>
              <w:top w:val="single" w:sz="12" w:space="0" w:color="auto"/>
            </w:tcBorders>
            <w:shd w:val="clear" w:color="auto" w:fill="auto"/>
          </w:tcPr>
          <w:p w:rsidR="00C742BE" w:rsidRPr="00540B32" w:rsidRDefault="00C742BE" w:rsidP="00E17DE0">
            <w:pPr>
              <w:pStyle w:val="Tabletext"/>
            </w:pPr>
          </w:p>
        </w:tc>
      </w:tr>
      <w:tr w:rsidR="00E17DE0" w:rsidRPr="00540B32" w:rsidTr="00666FE9">
        <w:tc>
          <w:tcPr>
            <w:tcW w:w="1701" w:type="dxa"/>
            <w:shd w:val="clear" w:color="auto" w:fill="auto"/>
            <w:hideMark/>
          </w:tcPr>
          <w:p w:rsidR="00C742BE" w:rsidRPr="00540B32" w:rsidRDefault="00C742BE" w:rsidP="00E17DE0">
            <w:pPr>
              <w:pStyle w:val="Tabletext"/>
            </w:pPr>
            <w:r w:rsidRPr="00540B32">
              <w:t xml:space="preserve">2.  </w:t>
            </w:r>
            <w:r w:rsidR="00804CBC" w:rsidRPr="00540B32">
              <w:t>Schedule</w:t>
            </w:r>
            <w:r w:rsidR="00540B32" w:rsidRPr="00540B32">
              <w:t> </w:t>
            </w:r>
            <w:r w:rsidR="00804CBC" w:rsidRPr="00540B32">
              <w:t>1, items</w:t>
            </w:r>
            <w:r w:rsidR="00540B32" w:rsidRPr="00540B32">
              <w:t> </w:t>
            </w:r>
            <w:r w:rsidR="00882BC6" w:rsidRPr="00540B32">
              <w:t>1</w:t>
            </w:r>
            <w:r w:rsidR="00804CBC" w:rsidRPr="00540B32">
              <w:t xml:space="preserve"> to </w:t>
            </w:r>
            <w:r w:rsidR="00882BC6" w:rsidRPr="00540B32">
              <w:t>10</w:t>
            </w:r>
          </w:p>
        </w:tc>
        <w:tc>
          <w:tcPr>
            <w:tcW w:w="3828" w:type="dxa"/>
            <w:shd w:val="clear" w:color="auto" w:fill="auto"/>
          </w:tcPr>
          <w:p w:rsidR="00C742BE" w:rsidRPr="00540B32" w:rsidRDefault="00804CBC" w:rsidP="00E17DE0">
            <w:pPr>
              <w:pStyle w:val="Tabletext"/>
            </w:pPr>
            <w:r w:rsidRPr="00540B32">
              <w:t>The day after this regulation is registered.</w:t>
            </w:r>
          </w:p>
        </w:tc>
        <w:tc>
          <w:tcPr>
            <w:tcW w:w="1582" w:type="dxa"/>
            <w:shd w:val="clear" w:color="auto" w:fill="auto"/>
          </w:tcPr>
          <w:p w:rsidR="00C742BE" w:rsidRPr="00540B32" w:rsidRDefault="00C742BE" w:rsidP="00E17DE0">
            <w:pPr>
              <w:pStyle w:val="Tabletext"/>
            </w:pPr>
          </w:p>
        </w:tc>
      </w:tr>
      <w:tr w:rsidR="00E17DE0" w:rsidRPr="00540B32" w:rsidTr="00666FE9">
        <w:tc>
          <w:tcPr>
            <w:tcW w:w="1701" w:type="dxa"/>
            <w:tcBorders>
              <w:bottom w:val="single" w:sz="4" w:space="0" w:color="auto"/>
            </w:tcBorders>
            <w:shd w:val="clear" w:color="auto" w:fill="auto"/>
            <w:hideMark/>
          </w:tcPr>
          <w:p w:rsidR="00C742BE" w:rsidRPr="00540B32" w:rsidRDefault="00C742BE" w:rsidP="00E17DE0">
            <w:pPr>
              <w:pStyle w:val="Tabletext"/>
            </w:pPr>
            <w:r w:rsidRPr="00540B32">
              <w:t xml:space="preserve">3.  </w:t>
            </w:r>
            <w:r w:rsidR="00804CBC" w:rsidRPr="00540B32">
              <w:t>Schedule</w:t>
            </w:r>
            <w:r w:rsidR="00540B32" w:rsidRPr="00540B32">
              <w:t> </w:t>
            </w:r>
            <w:r w:rsidR="00804CBC" w:rsidRPr="00540B32">
              <w:t>1, items</w:t>
            </w:r>
            <w:r w:rsidR="00540B32" w:rsidRPr="00540B32">
              <w:t> </w:t>
            </w:r>
            <w:r w:rsidR="00882BC6" w:rsidRPr="00540B32">
              <w:t>11</w:t>
            </w:r>
            <w:r w:rsidR="00804CBC" w:rsidRPr="00540B32">
              <w:t xml:space="preserve"> to </w:t>
            </w:r>
            <w:r w:rsidR="00882BC6" w:rsidRPr="00540B32">
              <w:t>16</w:t>
            </w:r>
          </w:p>
        </w:tc>
        <w:tc>
          <w:tcPr>
            <w:tcW w:w="3828" w:type="dxa"/>
            <w:tcBorders>
              <w:bottom w:val="single" w:sz="4" w:space="0" w:color="auto"/>
            </w:tcBorders>
            <w:shd w:val="clear" w:color="auto" w:fill="auto"/>
          </w:tcPr>
          <w:p w:rsidR="00C742BE" w:rsidRPr="00540B32" w:rsidRDefault="00804CBC" w:rsidP="00E17DE0">
            <w:pPr>
              <w:pStyle w:val="Tabletext"/>
            </w:pPr>
            <w:r w:rsidRPr="00540B32">
              <w:t>1</w:t>
            </w:r>
            <w:r w:rsidR="00540B32" w:rsidRPr="00540B32">
              <w:t> </w:t>
            </w:r>
            <w:r w:rsidRPr="00540B32">
              <w:t>July 2013</w:t>
            </w:r>
          </w:p>
        </w:tc>
        <w:tc>
          <w:tcPr>
            <w:tcW w:w="1582" w:type="dxa"/>
            <w:tcBorders>
              <w:bottom w:val="single" w:sz="4" w:space="0" w:color="auto"/>
            </w:tcBorders>
            <w:shd w:val="clear" w:color="auto" w:fill="auto"/>
          </w:tcPr>
          <w:p w:rsidR="00C742BE" w:rsidRPr="00540B32" w:rsidRDefault="00804CBC" w:rsidP="00E17DE0">
            <w:pPr>
              <w:pStyle w:val="Tabletext"/>
            </w:pPr>
            <w:r w:rsidRPr="00540B32">
              <w:t>1</w:t>
            </w:r>
            <w:r w:rsidR="00540B32" w:rsidRPr="00540B32">
              <w:t> </w:t>
            </w:r>
            <w:r w:rsidRPr="00540B32">
              <w:t>July 2013</w:t>
            </w:r>
          </w:p>
        </w:tc>
      </w:tr>
      <w:tr w:rsidR="00E17DE0" w:rsidRPr="00540B32" w:rsidTr="00666FE9">
        <w:tc>
          <w:tcPr>
            <w:tcW w:w="1701" w:type="dxa"/>
            <w:tcBorders>
              <w:bottom w:val="single" w:sz="12" w:space="0" w:color="auto"/>
            </w:tcBorders>
            <w:shd w:val="clear" w:color="auto" w:fill="auto"/>
          </w:tcPr>
          <w:p w:rsidR="00C63C37" w:rsidRPr="00540B32" w:rsidRDefault="00C63C37" w:rsidP="00E17DE0">
            <w:pPr>
              <w:pStyle w:val="Tabletext"/>
            </w:pPr>
            <w:r w:rsidRPr="00540B32">
              <w:t xml:space="preserve">4. </w:t>
            </w:r>
            <w:r w:rsidR="00E12765" w:rsidRPr="00540B32">
              <w:t xml:space="preserve"> </w:t>
            </w:r>
            <w:r w:rsidRPr="00540B32">
              <w:t>Schedule</w:t>
            </w:r>
            <w:r w:rsidR="00540B32" w:rsidRPr="00540B32">
              <w:t> </w:t>
            </w:r>
            <w:r w:rsidRPr="00540B32">
              <w:t>1, items</w:t>
            </w:r>
            <w:r w:rsidR="00540B32" w:rsidRPr="00540B32">
              <w:t> </w:t>
            </w:r>
            <w:r w:rsidRPr="00540B32">
              <w:t xml:space="preserve">17 </w:t>
            </w:r>
            <w:r w:rsidR="001B7065" w:rsidRPr="00540B32">
              <w:t>to 19</w:t>
            </w:r>
          </w:p>
        </w:tc>
        <w:tc>
          <w:tcPr>
            <w:tcW w:w="3828" w:type="dxa"/>
            <w:tcBorders>
              <w:bottom w:val="single" w:sz="12" w:space="0" w:color="auto"/>
            </w:tcBorders>
            <w:shd w:val="clear" w:color="auto" w:fill="auto"/>
          </w:tcPr>
          <w:p w:rsidR="00C63C37" w:rsidRPr="00540B32" w:rsidRDefault="00C63C37" w:rsidP="00E17DE0">
            <w:pPr>
              <w:pStyle w:val="Tabletext"/>
            </w:pPr>
            <w:r w:rsidRPr="00540B32">
              <w:t>The day after this regulation is registered.</w:t>
            </w:r>
          </w:p>
        </w:tc>
        <w:tc>
          <w:tcPr>
            <w:tcW w:w="1582" w:type="dxa"/>
            <w:tcBorders>
              <w:bottom w:val="single" w:sz="12" w:space="0" w:color="auto"/>
            </w:tcBorders>
            <w:shd w:val="clear" w:color="auto" w:fill="auto"/>
          </w:tcPr>
          <w:p w:rsidR="00C63C37" w:rsidRPr="00540B32" w:rsidRDefault="00C63C37" w:rsidP="00E17DE0">
            <w:pPr>
              <w:pStyle w:val="Tabletext"/>
            </w:pPr>
          </w:p>
        </w:tc>
      </w:tr>
    </w:tbl>
    <w:p w:rsidR="007769D4" w:rsidRPr="00540B32" w:rsidRDefault="007769D4" w:rsidP="00E17DE0">
      <w:pPr>
        <w:pStyle w:val="ActHead5"/>
      </w:pPr>
      <w:bookmarkStart w:id="7" w:name="_Toc356309210"/>
      <w:r w:rsidRPr="00540B32">
        <w:rPr>
          <w:rStyle w:val="CharSectno"/>
        </w:rPr>
        <w:t>3</w:t>
      </w:r>
      <w:r w:rsidRPr="00540B32">
        <w:t xml:space="preserve">  Authority</w:t>
      </w:r>
      <w:bookmarkEnd w:id="7"/>
    </w:p>
    <w:p w:rsidR="007769D4" w:rsidRPr="00540B32" w:rsidRDefault="007769D4" w:rsidP="00E17DE0">
      <w:pPr>
        <w:pStyle w:val="subsection"/>
      </w:pPr>
      <w:r w:rsidRPr="00540B32">
        <w:tab/>
      </w:r>
      <w:r w:rsidRPr="00540B32">
        <w:tab/>
      </w:r>
      <w:r w:rsidR="00AF0336" w:rsidRPr="00540B32">
        <w:t xml:space="preserve">This </w:t>
      </w:r>
      <w:r w:rsidR="005C152D" w:rsidRPr="00540B32">
        <w:t>regulation</w:t>
      </w:r>
      <w:r w:rsidR="00AF0336" w:rsidRPr="00540B32">
        <w:t xml:space="preserve"> is made under the </w:t>
      </w:r>
      <w:r w:rsidR="005C152D" w:rsidRPr="00540B32">
        <w:rPr>
          <w:i/>
        </w:rPr>
        <w:t>Clean Energy Act 2011</w:t>
      </w:r>
      <w:r w:rsidR="00522474" w:rsidRPr="00540B32">
        <w:rPr>
          <w:i/>
        </w:rPr>
        <w:t xml:space="preserve"> </w:t>
      </w:r>
      <w:r w:rsidR="00522474" w:rsidRPr="00540B32">
        <w:t>and the</w:t>
      </w:r>
      <w:r w:rsidR="00522474" w:rsidRPr="00540B32">
        <w:rPr>
          <w:i/>
        </w:rPr>
        <w:t xml:space="preserve"> Renewable Energy (Electricity) Act 2000</w:t>
      </w:r>
      <w:r w:rsidR="005C152D" w:rsidRPr="00540B32">
        <w:rPr>
          <w:i/>
        </w:rPr>
        <w:t>.</w:t>
      </w:r>
    </w:p>
    <w:p w:rsidR="00557C7A" w:rsidRPr="00540B32" w:rsidRDefault="007769D4" w:rsidP="00E17DE0">
      <w:pPr>
        <w:pStyle w:val="ActHead5"/>
      </w:pPr>
      <w:bookmarkStart w:id="8" w:name="_Toc356309211"/>
      <w:r w:rsidRPr="00540B32">
        <w:rPr>
          <w:rStyle w:val="CharSectno"/>
        </w:rPr>
        <w:t>4</w:t>
      </w:r>
      <w:r w:rsidR="00557C7A" w:rsidRPr="00540B32">
        <w:t xml:space="preserve">  </w:t>
      </w:r>
      <w:r w:rsidR="00B332B8" w:rsidRPr="00540B32">
        <w:t>Schedule(s)</w:t>
      </w:r>
      <w:bookmarkEnd w:id="8"/>
    </w:p>
    <w:p w:rsidR="00557C7A" w:rsidRPr="00540B32" w:rsidRDefault="00557C7A" w:rsidP="00E17DE0">
      <w:pPr>
        <w:pStyle w:val="subsection"/>
      </w:pPr>
      <w:r w:rsidRPr="00540B32">
        <w:tab/>
      </w:r>
      <w:r w:rsidRPr="00540B32">
        <w:tab/>
      </w:r>
      <w:r w:rsidR="00CD7ECB" w:rsidRPr="00540B32">
        <w:t>Each instrument that is specified in a Schedule to this instrument is amended or repealed as set out in the applicable items in the Schedule concerned, and any other item in a Schedule to this instrument has effect according to its terms.</w:t>
      </w:r>
    </w:p>
    <w:p w:rsidR="0048364F" w:rsidRPr="00540B32" w:rsidRDefault="0048364F" w:rsidP="00E17DE0">
      <w:pPr>
        <w:pStyle w:val="ActHead6"/>
        <w:pageBreakBefore/>
      </w:pPr>
      <w:bookmarkStart w:id="9" w:name="opcAmSched"/>
      <w:bookmarkStart w:id="10" w:name="opcCurrentFind"/>
      <w:bookmarkStart w:id="11" w:name="_Toc356309212"/>
      <w:r w:rsidRPr="00540B32">
        <w:rPr>
          <w:rStyle w:val="CharAmSchNo"/>
        </w:rPr>
        <w:lastRenderedPageBreak/>
        <w:t>Schedule</w:t>
      </w:r>
      <w:r w:rsidR="00540B32" w:rsidRPr="00540B32">
        <w:rPr>
          <w:rStyle w:val="CharAmSchNo"/>
        </w:rPr>
        <w:t> </w:t>
      </w:r>
      <w:r w:rsidRPr="00540B32">
        <w:rPr>
          <w:rStyle w:val="CharAmSchNo"/>
        </w:rPr>
        <w:t>1</w:t>
      </w:r>
      <w:r w:rsidRPr="00540B32">
        <w:t>—</w:t>
      </w:r>
      <w:r w:rsidR="00460499" w:rsidRPr="00540B32">
        <w:rPr>
          <w:rStyle w:val="CharAmSchText"/>
        </w:rPr>
        <w:t>Amendments</w:t>
      </w:r>
      <w:bookmarkEnd w:id="11"/>
    </w:p>
    <w:bookmarkEnd w:id="9"/>
    <w:bookmarkEnd w:id="10"/>
    <w:p w:rsidR="00525AA9" w:rsidRPr="00540B32" w:rsidRDefault="00525AA9" w:rsidP="00E17DE0">
      <w:pPr>
        <w:pStyle w:val="Header"/>
      </w:pPr>
      <w:r w:rsidRPr="00540B32">
        <w:rPr>
          <w:rStyle w:val="CharAmPartNo"/>
        </w:rPr>
        <w:t xml:space="preserve"> </w:t>
      </w:r>
      <w:r w:rsidRPr="00540B32">
        <w:rPr>
          <w:rStyle w:val="CharAmPartText"/>
        </w:rPr>
        <w:t xml:space="preserve"> </w:t>
      </w:r>
    </w:p>
    <w:p w:rsidR="0004044E" w:rsidRPr="00540B32" w:rsidRDefault="005C152D" w:rsidP="00E17DE0">
      <w:pPr>
        <w:pStyle w:val="ActHead9"/>
      </w:pPr>
      <w:bookmarkStart w:id="12" w:name="_Toc356309213"/>
      <w:r w:rsidRPr="00540B32">
        <w:t>Clean Energy Regulations</w:t>
      </w:r>
      <w:r w:rsidR="00540B32" w:rsidRPr="00540B32">
        <w:t> </w:t>
      </w:r>
      <w:r w:rsidRPr="00540B32">
        <w:t>2011</w:t>
      </w:r>
      <w:bookmarkEnd w:id="12"/>
    </w:p>
    <w:p w:rsidR="00C63C37" w:rsidRPr="00540B32" w:rsidRDefault="00C63C37" w:rsidP="00E17DE0">
      <w:pPr>
        <w:pStyle w:val="ItemHead"/>
        <w:rPr>
          <w:rFonts w:cs="Arial"/>
          <w:noProof/>
        </w:rPr>
      </w:pPr>
      <w:r w:rsidRPr="00540B32">
        <w:rPr>
          <w:rFonts w:cs="Arial"/>
          <w:noProof/>
        </w:rPr>
        <w:t>1  Regulation</w:t>
      </w:r>
      <w:r w:rsidR="00540B32" w:rsidRPr="00540B32">
        <w:rPr>
          <w:rFonts w:cs="Arial"/>
          <w:noProof/>
        </w:rPr>
        <w:t> </w:t>
      </w:r>
      <w:r w:rsidRPr="00540B32">
        <w:rPr>
          <w:rFonts w:cs="Arial"/>
          <w:noProof/>
        </w:rPr>
        <w:t>3.5G</w:t>
      </w:r>
    </w:p>
    <w:p w:rsidR="00C63C37" w:rsidRPr="00540B32" w:rsidRDefault="00C63C37" w:rsidP="00E17DE0">
      <w:pPr>
        <w:pStyle w:val="Item"/>
      </w:pPr>
      <w:r w:rsidRPr="00540B32">
        <w:t>Repeal the regulation, substitute:</w:t>
      </w:r>
    </w:p>
    <w:p w:rsidR="00C63C37" w:rsidRPr="00540B32" w:rsidRDefault="00C63C37" w:rsidP="00E17DE0">
      <w:pPr>
        <w:pStyle w:val="ActHead5"/>
      </w:pPr>
      <w:bookmarkStart w:id="13" w:name="_Toc356309214"/>
      <w:r w:rsidRPr="00540B32">
        <w:rPr>
          <w:rStyle w:val="CharSectno"/>
        </w:rPr>
        <w:t>3.5G</w:t>
      </w:r>
      <w:r w:rsidRPr="00540B32">
        <w:t xml:space="preserve">  Netted</w:t>
      </w:r>
      <w:r w:rsidR="00540B32">
        <w:noBreakHyphen/>
      </w:r>
      <w:r w:rsidRPr="00540B32">
        <w:t>out numbers—import of LPG or LNG for non</w:t>
      </w:r>
      <w:r w:rsidR="00540B32">
        <w:noBreakHyphen/>
      </w:r>
      <w:r w:rsidRPr="00540B32">
        <w:t>transport use</w:t>
      </w:r>
      <w:bookmarkEnd w:id="13"/>
    </w:p>
    <w:p w:rsidR="00C63C37" w:rsidRPr="00540B32" w:rsidRDefault="00C63C37" w:rsidP="00E17DE0">
      <w:pPr>
        <w:pStyle w:val="subsection"/>
      </w:pPr>
      <w:r w:rsidRPr="00540B32">
        <w:tab/>
        <w:t>(1)</w:t>
      </w:r>
      <w:r w:rsidRPr="00540B32">
        <w:tab/>
        <w:t>For subsection</w:t>
      </w:r>
      <w:r w:rsidR="00540B32" w:rsidRPr="00540B32">
        <w:t> </w:t>
      </w:r>
      <w:r w:rsidRPr="00540B32">
        <w:t xml:space="preserve">36B(4) of the Act, a number ascertained in accordance with </w:t>
      </w:r>
      <w:proofErr w:type="spellStart"/>
      <w:r w:rsidRPr="00540B32">
        <w:t>subregulation</w:t>
      </w:r>
      <w:proofErr w:type="spellEnd"/>
      <w:r w:rsidRPr="00540B32">
        <w:t xml:space="preserve"> (2) or (3) is a </w:t>
      </w:r>
      <w:r w:rsidRPr="00540B32">
        <w:rPr>
          <w:b/>
          <w:i/>
        </w:rPr>
        <w:t>netted</w:t>
      </w:r>
      <w:r w:rsidR="00540B32">
        <w:rPr>
          <w:b/>
          <w:i/>
        </w:rPr>
        <w:noBreakHyphen/>
      </w:r>
      <w:r w:rsidRPr="00540B32">
        <w:rPr>
          <w:b/>
          <w:i/>
        </w:rPr>
        <w:t>out number</w:t>
      </w:r>
      <w:r w:rsidRPr="00540B32">
        <w:t xml:space="preserve"> of a person for an eligible financial year.</w:t>
      </w:r>
    </w:p>
    <w:p w:rsidR="00C63C37" w:rsidRPr="00540B32" w:rsidRDefault="00C63C37" w:rsidP="00E17DE0">
      <w:pPr>
        <w:pStyle w:val="SubsectionHead"/>
      </w:pPr>
      <w:r w:rsidRPr="00540B32">
        <w:t>LPG or LNG used as feedstock or without greenhouse gas emissions</w:t>
      </w:r>
    </w:p>
    <w:p w:rsidR="00C63C37" w:rsidRPr="00540B32" w:rsidRDefault="00C63C37" w:rsidP="00E17DE0">
      <w:pPr>
        <w:pStyle w:val="subsection"/>
      </w:pPr>
      <w:r w:rsidRPr="00540B32">
        <w:tab/>
        <w:t>(2)</w:t>
      </w:r>
      <w:r w:rsidRPr="00540B32">
        <w:tab/>
        <w:t>If:</w:t>
      </w:r>
    </w:p>
    <w:p w:rsidR="00C63C37" w:rsidRPr="00540B32" w:rsidRDefault="00C63C37" w:rsidP="00E17DE0">
      <w:pPr>
        <w:pStyle w:val="paragraph"/>
      </w:pPr>
      <w:r w:rsidRPr="00540B32">
        <w:tab/>
        <w:t>(a)</w:t>
      </w:r>
      <w:r w:rsidRPr="00540B32">
        <w:tab/>
        <w:t>a person has, under subsection</w:t>
      </w:r>
      <w:r w:rsidR="00540B32" w:rsidRPr="00540B32">
        <w:t> </w:t>
      </w:r>
      <w:r w:rsidRPr="00540B32">
        <w:t>36B(1) of the Act, a preliminary emissions number for an eligible financial year; and</w:t>
      </w:r>
    </w:p>
    <w:p w:rsidR="00C63C37" w:rsidRPr="00540B32" w:rsidRDefault="00C63C37" w:rsidP="00E17DE0">
      <w:pPr>
        <w:pStyle w:val="paragraph"/>
      </w:pPr>
      <w:r w:rsidRPr="00540B32">
        <w:tab/>
        <w:t>(b)</w:t>
      </w:r>
      <w:r w:rsidRPr="00540B32">
        <w:tab/>
        <w:t>the preliminary emissions number is attributable to the import of an amount of LPG or LNG; and</w:t>
      </w:r>
    </w:p>
    <w:p w:rsidR="00C63C37" w:rsidRPr="00540B32" w:rsidRDefault="00C63C37" w:rsidP="00E17DE0">
      <w:pPr>
        <w:pStyle w:val="paragraph"/>
      </w:pPr>
      <w:r w:rsidRPr="00540B32">
        <w:tab/>
        <w:t>(c)</w:t>
      </w:r>
      <w:r w:rsidRPr="00540B32">
        <w:tab/>
        <w:t xml:space="preserve">during an eligible financial year, the person uses the whole or part of the amount mentioned in </w:t>
      </w:r>
      <w:r w:rsidR="00540B32" w:rsidRPr="00540B32">
        <w:t>paragraph (</w:t>
      </w:r>
      <w:r w:rsidRPr="00540B32">
        <w:t xml:space="preserve">b) (the </w:t>
      </w:r>
      <w:r w:rsidRPr="00540B32">
        <w:rPr>
          <w:b/>
          <w:i/>
        </w:rPr>
        <w:t>relevant portion</w:t>
      </w:r>
      <w:r w:rsidRPr="00540B32">
        <w:t>):</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as feedstock; or</w:t>
      </w:r>
    </w:p>
    <w:p w:rsidR="00C63C37" w:rsidRPr="00540B32" w:rsidRDefault="00C63C37" w:rsidP="00E17DE0">
      <w:pPr>
        <w:pStyle w:val="paragraphsub"/>
      </w:pPr>
      <w:r w:rsidRPr="00540B32">
        <w:tab/>
        <w:t>(ii)</w:t>
      </w:r>
      <w:r w:rsidRPr="00540B32">
        <w:tab/>
        <w:t>in such a way as to not emit any greenhouse gases; and</w:t>
      </w:r>
    </w:p>
    <w:p w:rsidR="00C63C37" w:rsidRPr="00540B32" w:rsidRDefault="00C63C37" w:rsidP="00E17DE0">
      <w:pPr>
        <w:pStyle w:val="paragraph"/>
      </w:pPr>
      <w:r w:rsidRPr="00540B32">
        <w:tab/>
        <w:t>(d)</w:t>
      </w:r>
      <w:r w:rsidRPr="00540B32">
        <w:tab/>
        <w:t>the potential greenhouse gas emissions embodied in the relevant portion have a CO</w:t>
      </w:r>
      <w:r w:rsidRPr="00540B32">
        <w:rPr>
          <w:vertAlign w:val="subscript"/>
        </w:rPr>
        <w:t>2</w:t>
      </w:r>
      <w:r w:rsidR="00540B32">
        <w:noBreakHyphen/>
      </w:r>
      <w:r w:rsidRPr="00540B32">
        <w:t>e of a particular number of tonnes;</w:t>
      </w:r>
    </w:p>
    <w:p w:rsidR="00C63C37" w:rsidRPr="00540B32" w:rsidRDefault="00C63C37" w:rsidP="00E17DE0">
      <w:pPr>
        <w:pStyle w:val="subsection2"/>
      </w:pPr>
      <w:r w:rsidRPr="00540B32">
        <w:t xml:space="preserve">the number mentioned in </w:t>
      </w:r>
      <w:r w:rsidR="00540B32" w:rsidRPr="00540B32">
        <w:t>paragraph (</w:t>
      </w:r>
      <w:r w:rsidRPr="00540B32">
        <w:t xml:space="preserve">d) is </w:t>
      </w:r>
      <w:r w:rsidR="0042782F" w:rsidRPr="00540B32">
        <w:t>the</w:t>
      </w:r>
      <w:r w:rsidRPr="00540B32">
        <w:t xml:space="preserve"> </w:t>
      </w:r>
      <w:r w:rsidRPr="00540B32">
        <w:rPr>
          <w:b/>
          <w:i/>
        </w:rPr>
        <w:t>netted</w:t>
      </w:r>
      <w:r w:rsidR="00540B32">
        <w:rPr>
          <w:b/>
          <w:i/>
        </w:rPr>
        <w:noBreakHyphen/>
      </w:r>
      <w:r w:rsidRPr="00540B32">
        <w:rPr>
          <w:b/>
          <w:i/>
        </w:rPr>
        <w:t>out number</w:t>
      </w:r>
      <w:r w:rsidRPr="00540B32">
        <w:rPr>
          <w:b/>
        </w:rPr>
        <w:t xml:space="preserve"> </w:t>
      </w:r>
      <w:r w:rsidRPr="00540B32">
        <w:t>of the person for the eligible financial year.</w:t>
      </w:r>
    </w:p>
    <w:p w:rsidR="00C63C37" w:rsidRPr="00540B32" w:rsidRDefault="00C63C37" w:rsidP="00E17DE0">
      <w:pPr>
        <w:pStyle w:val="SubsectionHead"/>
      </w:pPr>
      <w:r w:rsidRPr="00540B32">
        <w:t>LPG or LNG counted under Division</w:t>
      </w:r>
      <w:r w:rsidR="00540B32" w:rsidRPr="00540B32">
        <w:t> </w:t>
      </w:r>
      <w:r w:rsidRPr="00540B32">
        <w:t>2 of Part</w:t>
      </w:r>
      <w:r w:rsidR="00540B32" w:rsidRPr="00540B32">
        <w:t> </w:t>
      </w:r>
      <w:r w:rsidRPr="00540B32">
        <w:t>3 of Act</w:t>
      </w:r>
    </w:p>
    <w:p w:rsidR="00C63C37" w:rsidRPr="00540B32" w:rsidRDefault="00C63C37" w:rsidP="00E17DE0">
      <w:pPr>
        <w:pStyle w:val="subsection"/>
      </w:pPr>
      <w:r w:rsidRPr="00540B32">
        <w:tab/>
        <w:t>(3)</w:t>
      </w:r>
      <w:r w:rsidRPr="00540B32">
        <w:tab/>
        <w:t>If:</w:t>
      </w:r>
    </w:p>
    <w:p w:rsidR="00C63C37" w:rsidRPr="00540B32" w:rsidRDefault="00C63C37" w:rsidP="00E17DE0">
      <w:pPr>
        <w:pStyle w:val="paragraph"/>
      </w:pPr>
      <w:r w:rsidRPr="00540B32">
        <w:lastRenderedPageBreak/>
        <w:tab/>
        <w:t>(a)</w:t>
      </w:r>
      <w:r w:rsidRPr="00540B32">
        <w:tab/>
        <w:t>a person has, under subsection</w:t>
      </w:r>
      <w:r w:rsidR="00540B32" w:rsidRPr="00540B32">
        <w:t> </w:t>
      </w:r>
      <w:r w:rsidRPr="00540B32">
        <w:t>36B(1) of the Act, a preliminary emissions number for an eligible financial year; and</w:t>
      </w:r>
    </w:p>
    <w:p w:rsidR="00C63C37" w:rsidRPr="00540B32" w:rsidRDefault="00C63C37" w:rsidP="00E17DE0">
      <w:pPr>
        <w:pStyle w:val="paragraph"/>
      </w:pPr>
      <w:r w:rsidRPr="00540B32">
        <w:tab/>
        <w:t>(b)</w:t>
      </w:r>
      <w:r w:rsidRPr="00540B32">
        <w:tab/>
        <w:t xml:space="preserve">the preliminary emissions number is attributable to the import of an amount of LPG or LNG </w:t>
      </w:r>
      <w:r w:rsidR="00F26000" w:rsidRPr="00540B32">
        <w:t>for which</w:t>
      </w:r>
      <w:r w:rsidRPr="00540B32">
        <w:t>, apart from any remission of customs duty, customs duty is or was payable by a person; and</w:t>
      </w:r>
    </w:p>
    <w:p w:rsidR="00C63C37" w:rsidRPr="00540B32" w:rsidRDefault="00C63C37" w:rsidP="00E17DE0">
      <w:pPr>
        <w:pStyle w:val="paragraph"/>
      </w:pPr>
      <w:r w:rsidRPr="00540B32">
        <w:tab/>
        <w:t>(c)</w:t>
      </w:r>
      <w:r w:rsidRPr="00540B32">
        <w:tab/>
        <w:t>during an eligible financial year, an amount of covered emissions from the operation of a facility under the operational control of the person was attributable to the non</w:t>
      </w:r>
      <w:r w:rsidR="00540B32">
        <w:noBreakHyphen/>
      </w:r>
      <w:r w:rsidRPr="00540B32">
        <w:t xml:space="preserve">transport combustion of the whole or part of the amount mentioned in </w:t>
      </w:r>
      <w:r w:rsidR="00540B32" w:rsidRPr="00540B32">
        <w:t>paragraph (</w:t>
      </w:r>
      <w:r w:rsidRPr="00540B32">
        <w:t xml:space="preserve">b) (the </w:t>
      </w:r>
      <w:r w:rsidRPr="00540B32">
        <w:rPr>
          <w:b/>
          <w:i/>
        </w:rPr>
        <w:t>relevant portion</w:t>
      </w:r>
      <w:r w:rsidRPr="00540B32">
        <w:t>); and</w:t>
      </w:r>
    </w:p>
    <w:p w:rsidR="00C63C37" w:rsidRPr="00540B32" w:rsidRDefault="00C63C37" w:rsidP="00E17DE0">
      <w:pPr>
        <w:pStyle w:val="paragraph"/>
      </w:pPr>
      <w:r w:rsidRPr="00540B32">
        <w:tab/>
        <w:t>(d)</w:t>
      </w:r>
      <w:r w:rsidRPr="00540B32">
        <w:tab/>
        <w:t xml:space="preserve">the covered emissions mentioned in </w:t>
      </w:r>
      <w:r w:rsidR="00540B32" w:rsidRPr="00540B32">
        <w:t>paragraph (</w:t>
      </w:r>
      <w:r w:rsidRPr="00540B32">
        <w:t>c) count for the purposes of subsection</w:t>
      </w:r>
      <w:r w:rsidR="00540B32" w:rsidRPr="00540B32">
        <w:t> </w:t>
      </w:r>
      <w:r w:rsidRPr="00540B32">
        <w:t>20(1), 21(1), 22(1), 23(1), 24(1) or 25(1) of the Act; and</w:t>
      </w:r>
    </w:p>
    <w:p w:rsidR="00C63C37" w:rsidRPr="00540B32" w:rsidRDefault="00C63C37" w:rsidP="00E17DE0">
      <w:pPr>
        <w:pStyle w:val="paragraph"/>
      </w:pPr>
      <w:r w:rsidRPr="00540B32">
        <w:tab/>
        <w:t>(e)</w:t>
      </w:r>
      <w:r w:rsidRPr="00540B32">
        <w:tab/>
        <w:t>the potential greenhouse gas emissions embodied in the relevant portion have a CO</w:t>
      </w:r>
      <w:r w:rsidRPr="00540B32">
        <w:rPr>
          <w:vertAlign w:val="subscript"/>
        </w:rPr>
        <w:t>2</w:t>
      </w:r>
      <w:r w:rsidR="00540B32">
        <w:noBreakHyphen/>
      </w:r>
      <w:r w:rsidRPr="00540B32">
        <w:t>e of a particular number of tonnes;</w:t>
      </w:r>
    </w:p>
    <w:p w:rsidR="00C63C37" w:rsidRPr="00540B32" w:rsidRDefault="00C63C37" w:rsidP="00E17DE0">
      <w:pPr>
        <w:pStyle w:val="subsection2"/>
      </w:pPr>
      <w:r w:rsidRPr="00540B32">
        <w:t xml:space="preserve">the number mentioned in </w:t>
      </w:r>
      <w:r w:rsidR="00540B32" w:rsidRPr="00540B32">
        <w:t>paragraph (</w:t>
      </w:r>
      <w:r w:rsidRPr="00540B32">
        <w:t xml:space="preserve">e) is </w:t>
      </w:r>
      <w:r w:rsidR="0042782F" w:rsidRPr="00540B32">
        <w:t>the</w:t>
      </w:r>
      <w:r w:rsidRPr="00540B32">
        <w:t xml:space="preserve"> </w:t>
      </w:r>
      <w:r w:rsidRPr="00540B32">
        <w:rPr>
          <w:b/>
          <w:i/>
        </w:rPr>
        <w:t>netted</w:t>
      </w:r>
      <w:r w:rsidR="00540B32">
        <w:rPr>
          <w:b/>
          <w:i/>
        </w:rPr>
        <w:noBreakHyphen/>
      </w:r>
      <w:r w:rsidRPr="00540B32">
        <w:rPr>
          <w:b/>
          <w:i/>
        </w:rPr>
        <w:t>out number</w:t>
      </w:r>
      <w:r w:rsidRPr="00540B32">
        <w:rPr>
          <w:b/>
        </w:rPr>
        <w:t xml:space="preserve"> </w:t>
      </w:r>
      <w:r w:rsidRPr="00540B32">
        <w:t>of the person for the eligible financial year.</w:t>
      </w:r>
    </w:p>
    <w:p w:rsidR="00C63C37" w:rsidRPr="00540B32" w:rsidRDefault="00C63C37" w:rsidP="00E17DE0">
      <w:pPr>
        <w:pStyle w:val="ActHead5"/>
      </w:pPr>
      <w:bookmarkStart w:id="14" w:name="_Toc356309215"/>
      <w:r w:rsidRPr="00540B32">
        <w:rPr>
          <w:rStyle w:val="CharSectno"/>
        </w:rPr>
        <w:t>3.5H</w:t>
      </w:r>
      <w:r w:rsidRPr="00540B32">
        <w:t xml:space="preserve">  Netted</w:t>
      </w:r>
      <w:r w:rsidR="00540B32">
        <w:noBreakHyphen/>
      </w:r>
      <w:r w:rsidRPr="00540B32">
        <w:t>out numbers—manufacture or production of LPG or LNG for non</w:t>
      </w:r>
      <w:r w:rsidR="00540B32">
        <w:noBreakHyphen/>
      </w:r>
      <w:r w:rsidRPr="00540B32">
        <w:t>transport use</w:t>
      </w:r>
      <w:bookmarkEnd w:id="14"/>
    </w:p>
    <w:p w:rsidR="00C63C37" w:rsidRPr="00540B32" w:rsidRDefault="00C63C37" w:rsidP="00E17DE0">
      <w:pPr>
        <w:pStyle w:val="subsection"/>
      </w:pPr>
      <w:r w:rsidRPr="00540B32">
        <w:tab/>
        <w:t>(1)</w:t>
      </w:r>
      <w:r w:rsidRPr="00540B32">
        <w:tab/>
        <w:t>For subsection</w:t>
      </w:r>
      <w:r w:rsidR="00540B32" w:rsidRPr="00540B32">
        <w:t> </w:t>
      </w:r>
      <w:r w:rsidRPr="00540B32">
        <w:t xml:space="preserve">36C(4) of the Act, a number ascertained in accordance with </w:t>
      </w:r>
      <w:proofErr w:type="spellStart"/>
      <w:r w:rsidRPr="00540B32">
        <w:t>subregulation</w:t>
      </w:r>
      <w:proofErr w:type="spellEnd"/>
      <w:r w:rsidRPr="00540B32">
        <w:t xml:space="preserve"> (2) or (3) is a </w:t>
      </w:r>
      <w:r w:rsidRPr="00540B32">
        <w:rPr>
          <w:b/>
          <w:i/>
        </w:rPr>
        <w:t>netted</w:t>
      </w:r>
      <w:r w:rsidR="00540B32">
        <w:rPr>
          <w:b/>
          <w:i/>
        </w:rPr>
        <w:noBreakHyphen/>
      </w:r>
      <w:r w:rsidRPr="00540B32">
        <w:rPr>
          <w:b/>
          <w:i/>
        </w:rPr>
        <w:t>out number</w:t>
      </w:r>
      <w:r w:rsidRPr="00540B32">
        <w:t xml:space="preserve"> of a person for an eligible financial year.</w:t>
      </w:r>
    </w:p>
    <w:p w:rsidR="00C63C37" w:rsidRPr="00540B32" w:rsidRDefault="00C63C37" w:rsidP="00E17DE0">
      <w:pPr>
        <w:pStyle w:val="SubsectionHead"/>
      </w:pPr>
      <w:r w:rsidRPr="00540B32">
        <w:t>LPG or LNG used as feedstock or without greenhouse gas emissions</w:t>
      </w:r>
    </w:p>
    <w:p w:rsidR="00C63C37" w:rsidRPr="00540B32" w:rsidRDefault="00C63C37" w:rsidP="00E17DE0">
      <w:pPr>
        <w:pStyle w:val="subsection"/>
      </w:pPr>
      <w:r w:rsidRPr="00540B32">
        <w:tab/>
        <w:t>(2)</w:t>
      </w:r>
      <w:r w:rsidRPr="00540B32">
        <w:tab/>
        <w:t>If:</w:t>
      </w:r>
    </w:p>
    <w:p w:rsidR="00C63C37" w:rsidRPr="00540B32" w:rsidRDefault="00C63C37" w:rsidP="00E17DE0">
      <w:pPr>
        <w:pStyle w:val="paragraph"/>
      </w:pPr>
      <w:r w:rsidRPr="00540B32">
        <w:tab/>
        <w:t>(a)</w:t>
      </w:r>
      <w:r w:rsidRPr="00540B32">
        <w:tab/>
        <w:t>a person has, under subsection</w:t>
      </w:r>
      <w:r w:rsidR="00540B32" w:rsidRPr="00540B32">
        <w:t> </w:t>
      </w:r>
      <w:r w:rsidRPr="00540B32">
        <w:t>36C(1) of the Act, a preliminary emissions number for an eligible financial year; and</w:t>
      </w:r>
    </w:p>
    <w:p w:rsidR="00C63C37" w:rsidRPr="00540B32" w:rsidRDefault="00C63C37" w:rsidP="00E17DE0">
      <w:pPr>
        <w:pStyle w:val="paragraph"/>
      </w:pPr>
      <w:r w:rsidRPr="00540B32">
        <w:tab/>
        <w:t>(b)</w:t>
      </w:r>
      <w:r w:rsidRPr="00540B32">
        <w:tab/>
        <w:t>the preliminary emissions number is attributable to the manufacture or production of an amount of LPG or LNG; and</w:t>
      </w:r>
    </w:p>
    <w:p w:rsidR="00C63C37" w:rsidRPr="00540B32" w:rsidRDefault="00C63C37" w:rsidP="00E17DE0">
      <w:pPr>
        <w:pStyle w:val="paragraph"/>
      </w:pPr>
      <w:r w:rsidRPr="00540B32">
        <w:lastRenderedPageBreak/>
        <w:tab/>
        <w:t>(c)</w:t>
      </w:r>
      <w:r w:rsidRPr="00540B32">
        <w:tab/>
        <w:t xml:space="preserve">during an eligible financial year, the person uses the whole or part of the amount mentioned in </w:t>
      </w:r>
      <w:r w:rsidR="00540B32" w:rsidRPr="00540B32">
        <w:t>paragraph (</w:t>
      </w:r>
      <w:r w:rsidRPr="00540B32">
        <w:t xml:space="preserve">b) (the </w:t>
      </w:r>
      <w:r w:rsidRPr="00540B32">
        <w:rPr>
          <w:b/>
          <w:i/>
        </w:rPr>
        <w:t>relevant portion</w:t>
      </w:r>
      <w:r w:rsidRPr="00540B32">
        <w:t>):</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as feedstock; or</w:t>
      </w:r>
    </w:p>
    <w:p w:rsidR="00C63C37" w:rsidRPr="00540B32" w:rsidRDefault="00C63C37" w:rsidP="00E17DE0">
      <w:pPr>
        <w:pStyle w:val="paragraphsub"/>
      </w:pPr>
      <w:r w:rsidRPr="00540B32">
        <w:tab/>
        <w:t>(ii)</w:t>
      </w:r>
      <w:r w:rsidRPr="00540B32">
        <w:tab/>
        <w:t>in such a way as to not emit any greenhouse gases; and</w:t>
      </w:r>
    </w:p>
    <w:p w:rsidR="00C63C37" w:rsidRPr="00540B32" w:rsidRDefault="00C63C37" w:rsidP="00E17DE0">
      <w:pPr>
        <w:pStyle w:val="paragraph"/>
      </w:pPr>
      <w:r w:rsidRPr="00540B32">
        <w:tab/>
        <w:t>(d)</w:t>
      </w:r>
      <w:r w:rsidRPr="00540B32">
        <w:tab/>
        <w:t>the potential greenhouse gas emissions embodied in the relevant portion have a CO</w:t>
      </w:r>
      <w:r w:rsidRPr="00540B32">
        <w:rPr>
          <w:vertAlign w:val="subscript"/>
        </w:rPr>
        <w:t>2</w:t>
      </w:r>
      <w:r w:rsidR="00540B32">
        <w:noBreakHyphen/>
      </w:r>
      <w:r w:rsidRPr="00540B32">
        <w:t>e of a particular number of tonnes;</w:t>
      </w:r>
    </w:p>
    <w:p w:rsidR="00C63C37" w:rsidRPr="00540B32" w:rsidRDefault="00C63C37" w:rsidP="00E17DE0">
      <w:pPr>
        <w:pStyle w:val="subsection2"/>
      </w:pPr>
      <w:r w:rsidRPr="00540B32">
        <w:t xml:space="preserve">the number mentioned in </w:t>
      </w:r>
      <w:r w:rsidR="00540B32" w:rsidRPr="00540B32">
        <w:t>paragraph (</w:t>
      </w:r>
      <w:r w:rsidRPr="00540B32">
        <w:t xml:space="preserve">d) is </w:t>
      </w:r>
      <w:r w:rsidR="00666526" w:rsidRPr="00540B32">
        <w:t>the</w:t>
      </w:r>
      <w:r w:rsidRPr="00540B32">
        <w:t xml:space="preserve"> </w:t>
      </w:r>
      <w:r w:rsidRPr="00540B32">
        <w:rPr>
          <w:b/>
          <w:i/>
        </w:rPr>
        <w:t>netted</w:t>
      </w:r>
      <w:r w:rsidR="00540B32">
        <w:rPr>
          <w:b/>
          <w:i/>
        </w:rPr>
        <w:noBreakHyphen/>
      </w:r>
      <w:r w:rsidRPr="00540B32">
        <w:rPr>
          <w:b/>
          <w:i/>
        </w:rPr>
        <w:t>out number</w:t>
      </w:r>
      <w:r w:rsidRPr="00540B32">
        <w:rPr>
          <w:b/>
        </w:rPr>
        <w:t xml:space="preserve"> </w:t>
      </w:r>
      <w:r w:rsidRPr="00540B32">
        <w:t>of the person for the eligible financial year.</w:t>
      </w:r>
    </w:p>
    <w:p w:rsidR="00C63C37" w:rsidRPr="00540B32" w:rsidRDefault="00C63C37" w:rsidP="00E17DE0">
      <w:pPr>
        <w:pStyle w:val="SubsectionHead"/>
      </w:pPr>
      <w:r w:rsidRPr="00540B32">
        <w:t>LPG or LNG counted under Division</w:t>
      </w:r>
      <w:r w:rsidR="00540B32" w:rsidRPr="00540B32">
        <w:t> </w:t>
      </w:r>
      <w:r w:rsidRPr="00540B32">
        <w:t>2 of Part</w:t>
      </w:r>
      <w:r w:rsidR="00540B32" w:rsidRPr="00540B32">
        <w:t> </w:t>
      </w:r>
      <w:r w:rsidRPr="00540B32">
        <w:t>3 of Act</w:t>
      </w:r>
    </w:p>
    <w:p w:rsidR="00C63C37" w:rsidRPr="00540B32" w:rsidRDefault="00C63C37" w:rsidP="00E17DE0">
      <w:pPr>
        <w:pStyle w:val="subsection"/>
      </w:pPr>
      <w:r w:rsidRPr="00540B32">
        <w:tab/>
        <w:t>(3)</w:t>
      </w:r>
      <w:r w:rsidRPr="00540B32">
        <w:tab/>
        <w:t>If:</w:t>
      </w:r>
    </w:p>
    <w:p w:rsidR="00C63C37" w:rsidRPr="00540B32" w:rsidRDefault="00C63C37" w:rsidP="00E17DE0">
      <w:pPr>
        <w:pStyle w:val="paragraph"/>
      </w:pPr>
      <w:r w:rsidRPr="00540B32">
        <w:tab/>
        <w:t>(a)</w:t>
      </w:r>
      <w:r w:rsidRPr="00540B32">
        <w:tab/>
        <w:t>a person has, under subsection</w:t>
      </w:r>
      <w:r w:rsidR="00540B32" w:rsidRPr="00540B32">
        <w:t> </w:t>
      </w:r>
      <w:r w:rsidRPr="00540B32">
        <w:t>36C(1) of the Act, a preliminary emissions number for an eligible financial year; and</w:t>
      </w:r>
    </w:p>
    <w:p w:rsidR="00C63C37" w:rsidRPr="00540B32" w:rsidRDefault="00C63C37" w:rsidP="00E17DE0">
      <w:pPr>
        <w:pStyle w:val="paragraph"/>
      </w:pPr>
      <w:r w:rsidRPr="00540B32">
        <w:tab/>
        <w:t>(b)</w:t>
      </w:r>
      <w:r w:rsidRPr="00540B32">
        <w:tab/>
        <w:t xml:space="preserve">the preliminary emissions number is attributable to the manufacture or production of an amount of LPG or LNG </w:t>
      </w:r>
      <w:r w:rsidR="00F26000" w:rsidRPr="00540B32">
        <w:t>for which</w:t>
      </w:r>
      <w:r w:rsidRPr="00540B32">
        <w:t>, apart from any remission of excise duty, excise duty is or was payable by a person; and</w:t>
      </w:r>
    </w:p>
    <w:p w:rsidR="00C63C37" w:rsidRPr="00540B32" w:rsidRDefault="00C63C37" w:rsidP="00E17DE0">
      <w:pPr>
        <w:pStyle w:val="paragraph"/>
      </w:pPr>
      <w:r w:rsidRPr="00540B32">
        <w:tab/>
        <w:t>(c)</w:t>
      </w:r>
      <w:r w:rsidRPr="00540B32">
        <w:tab/>
        <w:t>during an eligible financial year, an amount of covered emissions from the operation of a facility under the operational control of the person was attributable to the non</w:t>
      </w:r>
      <w:r w:rsidR="00540B32">
        <w:noBreakHyphen/>
      </w:r>
      <w:r w:rsidRPr="00540B32">
        <w:t xml:space="preserve">transport combustion of the whole or part of the amount mentioned in </w:t>
      </w:r>
      <w:r w:rsidR="00540B32" w:rsidRPr="00540B32">
        <w:t>paragraph (</w:t>
      </w:r>
      <w:r w:rsidRPr="00540B32">
        <w:t xml:space="preserve">b) (the </w:t>
      </w:r>
      <w:r w:rsidRPr="00540B32">
        <w:rPr>
          <w:b/>
          <w:i/>
        </w:rPr>
        <w:t>relevant portion</w:t>
      </w:r>
      <w:r w:rsidRPr="00540B32">
        <w:t>); and</w:t>
      </w:r>
    </w:p>
    <w:p w:rsidR="00C63C37" w:rsidRPr="00540B32" w:rsidRDefault="00C63C37" w:rsidP="00E17DE0">
      <w:pPr>
        <w:pStyle w:val="paragraph"/>
      </w:pPr>
      <w:r w:rsidRPr="00540B32">
        <w:tab/>
        <w:t>(d)</w:t>
      </w:r>
      <w:r w:rsidRPr="00540B32">
        <w:tab/>
        <w:t xml:space="preserve">the covered emissions mentioned in </w:t>
      </w:r>
      <w:r w:rsidR="00540B32" w:rsidRPr="00540B32">
        <w:t>paragraph (</w:t>
      </w:r>
      <w:r w:rsidRPr="00540B32">
        <w:t>c) count for the purposes of subsection</w:t>
      </w:r>
      <w:r w:rsidR="00540B32" w:rsidRPr="00540B32">
        <w:t> </w:t>
      </w:r>
      <w:r w:rsidRPr="00540B32">
        <w:t>20(1), 21(1), 22(1), 23(1), 24(1) or 25(1) of the Act; and</w:t>
      </w:r>
    </w:p>
    <w:p w:rsidR="00C63C37" w:rsidRPr="00540B32" w:rsidRDefault="00C63C37" w:rsidP="00E17DE0">
      <w:pPr>
        <w:pStyle w:val="paragraph"/>
      </w:pPr>
      <w:r w:rsidRPr="00540B32">
        <w:tab/>
        <w:t>(e)</w:t>
      </w:r>
      <w:r w:rsidRPr="00540B32">
        <w:tab/>
        <w:t>the potential greenhouse gas emissions embodied in the relevant portion have a CO</w:t>
      </w:r>
      <w:r w:rsidRPr="00540B32">
        <w:rPr>
          <w:vertAlign w:val="subscript"/>
        </w:rPr>
        <w:t>2</w:t>
      </w:r>
      <w:r w:rsidR="00540B32">
        <w:noBreakHyphen/>
      </w:r>
      <w:r w:rsidRPr="00540B32">
        <w:t>e of a particular number of tonnes;</w:t>
      </w:r>
    </w:p>
    <w:p w:rsidR="00C63C37" w:rsidRPr="00540B32" w:rsidRDefault="00C63C37" w:rsidP="00E17DE0">
      <w:pPr>
        <w:pStyle w:val="subsection2"/>
      </w:pPr>
      <w:r w:rsidRPr="00540B32">
        <w:t xml:space="preserve">the number mentioned in </w:t>
      </w:r>
      <w:r w:rsidR="00540B32" w:rsidRPr="00540B32">
        <w:t>paragraph (</w:t>
      </w:r>
      <w:r w:rsidRPr="00540B32">
        <w:t xml:space="preserve">e) is </w:t>
      </w:r>
      <w:r w:rsidR="00666526" w:rsidRPr="00540B32">
        <w:t>the</w:t>
      </w:r>
      <w:r w:rsidRPr="00540B32">
        <w:t xml:space="preserve"> </w:t>
      </w:r>
      <w:r w:rsidRPr="00540B32">
        <w:rPr>
          <w:b/>
          <w:i/>
        </w:rPr>
        <w:t>netted</w:t>
      </w:r>
      <w:r w:rsidR="00540B32">
        <w:rPr>
          <w:b/>
          <w:i/>
        </w:rPr>
        <w:noBreakHyphen/>
      </w:r>
      <w:r w:rsidRPr="00540B32">
        <w:rPr>
          <w:b/>
          <w:i/>
        </w:rPr>
        <w:t>out number</w:t>
      </w:r>
      <w:r w:rsidRPr="00540B32">
        <w:rPr>
          <w:b/>
        </w:rPr>
        <w:t xml:space="preserve"> </w:t>
      </w:r>
      <w:r w:rsidRPr="00540B32">
        <w:t>of the person for the eligible financial year.</w:t>
      </w:r>
    </w:p>
    <w:p w:rsidR="00C63C37" w:rsidRPr="00540B32" w:rsidRDefault="00C63C37" w:rsidP="00E17DE0">
      <w:pPr>
        <w:pStyle w:val="ActHead5"/>
      </w:pPr>
      <w:bookmarkStart w:id="15" w:name="_Toc356309216"/>
      <w:r w:rsidRPr="00540B32">
        <w:rPr>
          <w:rStyle w:val="CharSectno"/>
        </w:rPr>
        <w:lastRenderedPageBreak/>
        <w:t>3.5J</w:t>
      </w:r>
      <w:r w:rsidRPr="00540B32">
        <w:t xml:space="preserve">  Netted</w:t>
      </w:r>
      <w:r w:rsidR="00540B32">
        <w:noBreakHyphen/>
      </w:r>
      <w:r w:rsidRPr="00540B32">
        <w:t xml:space="preserve">out numbers—supply of LPG or LNG to a person who quotes the person’s </w:t>
      </w:r>
      <w:proofErr w:type="spellStart"/>
      <w:r w:rsidRPr="00540B32">
        <w:t>OTN</w:t>
      </w:r>
      <w:bookmarkEnd w:id="15"/>
      <w:proofErr w:type="spellEnd"/>
    </w:p>
    <w:p w:rsidR="00C63C37" w:rsidRPr="00540B32" w:rsidRDefault="00C63C37" w:rsidP="00E17DE0">
      <w:pPr>
        <w:pStyle w:val="subsection"/>
      </w:pPr>
      <w:r w:rsidRPr="00540B32">
        <w:tab/>
        <w:t>(1)</w:t>
      </w:r>
      <w:r w:rsidRPr="00540B32">
        <w:tab/>
        <w:t>For subsection</w:t>
      </w:r>
      <w:r w:rsidR="00540B32" w:rsidRPr="00540B32">
        <w:t> </w:t>
      </w:r>
      <w:r w:rsidRPr="00540B32">
        <w:t xml:space="preserve">36D(5) of the Act, a number ascertained in accordance with this regulation is a </w:t>
      </w:r>
      <w:r w:rsidRPr="00540B32">
        <w:rPr>
          <w:b/>
          <w:i/>
        </w:rPr>
        <w:t>netted</w:t>
      </w:r>
      <w:r w:rsidR="00540B32">
        <w:rPr>
          <w:b/>
          <w:i/>
        </w:rPr>
        <w:noBreakHyphen/>
      </w:r>
      <w:r w:rsidRPr="00540B32">
        <w:rPr>
          <w:b/>
          <w:i/>
        </w:rPr>
        <w:t>out number</w:t>
      </w:r>
      <w:r w:rsidRPr="00540B32">
        <w:t xml:space="preserve"> of a person for an eligible financial year.</w:t>
      </w:r>
    </w:p>
    <w:p w:rsidR="00C63C37" w:rsidRPr="00540B32" w:rsidRDefault="00C63C37" w:rsidP="00E17DE0">
      <w:pPr>
        <w:pStyle w:val="SubsectionHead"/>
      </w:pPr>
      <w:r w:rsidRPr="00540B32">
        <w:t>LPG or LNG used as feedstock or without greenhouse gas emissions</w:t>
      </w:r>
    </w:p>
    <w:p w:rsidR="00C63C37" w:rsidRPr="00540B32" w:rsidRDefault="00C63C37" w:rsidP="00E17DE0">
      <w:pPr>
        <w:pStyle w:val="subsection"/>
      </w:pPr>
      <w:r w:rsidRPr="00540B32">
        <w:tab/>
        <w:t>(2)</w:t>
      </w:r>
      <w:r w:rsidRPr="00540B32">
        <w:tab/>
        <w:t>If:</w:t>
      </w:r>
    </w:p>
    <w:p w:rsidR="00C63C37" w:rsidRPr="00540B32" w:rsidRDefault="00C63C37" w:rsidP="00E17DE0">
      <w:pPr>
        <w:pStyle w:val="paragraph"/>
      </w:pPr>
      <w:r w:rsidRPr="00540B32">
        <w:tab/>
        <w:t>(a)</w:t>
      </w:r>
      <w:r w:rsidRPr="00540B32">
        <w:tab/>
        <w:t xml:space="preserve">the </w:t>
      </w:r>
      <w:proofErr w:type="spellStart"/>
      <w:r w:rsidRPr="00540B32">
        <w:t>OTN</w:t>
      </w:r>
      <w:proofErr w:type="spellEnd"/>
      <w:r w:rsidRPr="00540B32">
        <w:t xml:space="preserve"> holder quotes the </w:t>
      </w:r>
      <w:proofErr w:type="spellStart"/>
      <w:r w:rsidRPr="00540B32">
        <w:t>OTN</w:t>
      </w:r>
      <w:proofErr w:type="spellEnd"/>
      <w:r w:rsidRPr="00540B32">
        <w:t xml:space="preserve"> holder’s </w:t>
      </w:r>
      <w:proofErr w:type="spellStart"/>
      <w:r w:rsidRPr="00540B32">
        <w:t>OTN</w:t>
      </w:r>
      <w:proofErr w:type="spellEnd"/>
      <w:r w:rsidRPr="00540B32">
        <w:t xml:space="preserve"> in relation to the supply to the </w:t>
      </w:r>
      <w:proofErr w:type="spellStart"/>
      <w:r w:rsidRPr="00540B32">
        <w:t>OTN</w:t>
      </w:r>
      <w:proofErr w:type="spellEnd"/>
      <w:r w:rsidRPr="00540B32">
        <w:t xml:space="preserve"> holder of an amount of LPG or LNG; and</w:t>
      </w:r>
    </w:p>
    <w:p w:rsidR="00C63C37" w:rsidRPr="00540B32" w:rsidRDefault="00C63C37" w:rsidP="00E17DE0">
      <w:pPr>
        <w:pStyle w:val="paragraph"/>
      </w:pPr>
      <w:r w:rsidRPr="00540B32">
        <w:tab/>
        <w:t>(b)</w:t>
      </w:r>
      <w:r w:rsidRPr="00540B32">
        <w:tab/>
        <w:t xml:space="preserve">during an eligible financial year, the whole or part of the amount mentioned in </w:t>
      </w:r>
      <w:r w:rsidR="00540B32" w:rsidRPr="00540B32">
        <w:t>paragraph (</w:t>
      </w:r>
      <w:r w:rsidRPr="00540B32">
        <w:t xml:space="preserve">a) (the </w:t>
      </w:r>
      <w:r w:rsidRPr="00540B32">
        <w:rPr>
          <w:b/>
          <w:i/>
        </w:rPr>
        <w:t>relevant portion</w:t>
      </w:r>
      <w:r w:rsidRPr="00540B32">
        <w:t>) is used:</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as feedstock; or</w:t>
      </w:r>
    </w:p>
    <w:p w:rsidR="00C63C37" w:rsidRPr="00540B32" w:rsidRDefault="00C63C37" w:rsidP="00E17DE0">
      <w:pPr>
        <w:pStyle w:val="paragraphsub"/>
      </w:pPr>
      <w:r w:rsidRPr="00540B32">
        <w:tab/>
        <w:t>(ii)</w:t>
      </w:r>
      <w:r w:rsidRPr="00540B32">
        <w:tab/>
        <w:t>in such a way as to not emit any greenhouse gases; and</w:t>
      </w:r>
    </w:p>
    <w:p w:rsidR="00C63C37" w:rsidRPr="00540B32" w:rsidRDefault="00C63C37" w:rsidP="00E17DE0">
      <w:pPr>
        <w:pStyle w:val="paragraph"/>
      </w:pPr>
      <w:r w:rsidRPr="00540B32">
        <w:tab/>
        <w:t>(c)</w:t>
      </w:r>
      <w:r w:rsidRPr="00540B32">
        <w:tab/>
        <w:t>the potential greenhouse gas emissions embodied in the relevant portion have a CO</w:t>
      </w:r>
      <w:r w:rsidRPr="00540B32">
        <w:rPr>
          <w:vertAlign w:val="subscript"/>
        </w:rPr>
        <w:t>2</w:t>
      </w:r>
      <w:r w:rsidR="00540B32">
        <w:noBreakHyphen/>
      </w:r>
      <w:r w:rsidRPr="00540B32">
        <w:t>e of a particular number of tonnes;</w:t>
      </w:r>
    </w:p>
    <w:p w:rsidR="00C63C37" w:rsidRPr="00540B32" w:rsidRDefault="00C63C37" w:rsidP="00E17DE0">
      <w:pPr>
        <w:pStyle w:val="subsection2"/>
      </w:pPr>
      <w:r w:rsidRPr="00540B32">
        <w:t xml:space="preserve">the number mentioned in </w:t>
      </w:r>
      <w:r w:rsidR="00540B32" w:rsidRPr="00540B32">
        <w:t>paragraph (</w:t>
      </w:r>
      <w:r w:rsidRPr="00540B32">
        <w:t xml:space="preserve">c) is </w:t>
      </w:r>
      <w:r w:rsidR="00666526" w:rsidRPr="00540B32">
        <w:t>the</w:t>
      </w:r>
      <w:r w:rsidRPr="00540B32">
        <w:t xml:space="preserve"> </w:t>
      </w:r>
      <w:r w:rsidRPr="00540B32">
        <w:rPr>
          <w:b/>
          <w:i/>
        </w:rPr>
        <w:t>netted</w:t>
      </w:r>
      <w:r w:rsidR="00540B32">
        <w:rPr>
          <w:b/>
          <w:i/>
        </w:rPr>
        <w:noBreakHyphen/>
      </w:r>
      <w:r w:rsidRPr="00540B32">
        <w:rPr>
          <w:b/>
          <w:i/>
        </w:rPr>
        <w:t>out number</w:t>
      </w:r>
      <w:r w:rsidRPr="00540B32">
        <w:rPr>
          <w:b/>
        </w:rPr>
        <w:t xml:space="preserve"> </w:t>
      </w:r>
      <w:r w:rsidRPr="00540B32">
        <w:t xml:space="preserve">of the </w:t>
      </w:r>
      <w:proofErr w:type="spellStart"/>
      <w:r w:rsidRPr="00540B32">
        <w:t>OTN</w:t>
      </w:r>
      <w:proofErr w:type="spellEnd"/>
      <w:r w:rsidRPr="00540B32">
        <w:t xml:space="preserve"> holder for the eligible financial year.</w:t>
      </w:r>
    </w:p>
    <w:p w:rsidR="00C63C37" w:rsidRPr="00540B32" w:rsidRDefault="00C63C37" w:rsidP="00E17DE0">
      <w:pPr>
        <w:pStyle w:val="ItemHead"/>
      </w:pPr>
      <w:r w:rsidRPr="00540B32">
        <w:t xml:space="preserve">2  </w:t>
      </w:r>
      <w:proofErr w:type="spellStart"/>
      <w:r w:rsidRPr="00540B32">
        <w:t>Subregulations</w:t>
      </w:r>
      <w:proofErr w:type="spellEnd"/>
      <w:r w:rsidR="00540B32" w:rsidRPr="00540B32">
        <w:t> </w:t>
      </w:r>
      <w:r w:rsidRPr="00540B32">
        <w:t>3.10B(2) and (3)</w:t>
      </w:r>
    </w:p>
    <w:p w:rsidR="00C63C37" w:rsidRPr="00540B32" w:rsidRDefault="00C63C37" w:rsidP="00E17DE0">
      <w:pPr>
        <w:pStyle w:val="Item"/>
      </w:pPr>
      <w:r w:rsidRPr="00540B32">
        <w:t xml:space="preserve">Repeal the </w:t>
      </w:r>
      <w:proofErr w:type="spellStart"/>
      <w:r w:rsidRPr="00540B32">
        <w:t>subregulations</w:t>
      </w:r>
      <w:proofErr w:type="spellEnd"/>
      <w:r w:rsidRPr="00540B32">
        <w:t>, substitute:</w:t>
      </w:r>
    </w:p>
    <w:p w:rsidR="00C63C37" w:rsidRPr="00540B32" w:rsidRDefault="00C63C37" w:rsidP="00E17DE0">
      <w:pPr>
        <w:pStyle w:val="subsection"/>
      </w:pPr>
      <w:r w:rsidRPr="00540B32">
        <w:tab/>
        <w:t>(2)</w:t>
      </w:r>
      <w:r w:rsidRPr="00540B32">
        <w:tab/>
        <w:t>The application must be accompanied by the following information and documents:</w:t>
      </w:r>
    </w:p>
    <w:p w:rsidR="00C63C37" w:rsidRPr="00540B32" w:rsidRDefault="00C63C37" w:rsidP="00E17DE0">
      <w:pPr>
        <w:pStyle w:val="paragraph"/>
      </w:pPr>
      <w:r w:rsidRPr="00540B32">
        <w:tab/>
        <w:t>(a)</w:t>
      </w:r>
      <w:r w:rsidRPr="00540B32">
        <w:tab/>
        <w:t xml:space="preserve">if the applicant is likely to be permitted to quote an </w:t>
      </w:r>
      <w:proofErr w:type="spellStart"/>
      <w:r w:rsidRPr="00540B32">
        <w:t>OTN</w:t>
      </w:r>
      <w:proofErr w:type="spellEnd"/>
      <w:r w:rsidRPr="00540B32">
        <w:t xml:space="preserve"> because the applicant is likely to use some or all of the amount of LPG as feedstock—the information and documents mentioned in </w:t>
      </w:r>
      <w:proofErr w:type="spellStart"/>
      <w:r w:rsidRPr="00540B32">
        <w:t>subregulations</w:t>
      </w:r>
      <w:proofErr w:type="spellEnd"/>
      <w:r w:rsidRPr="00540B32">
        <w:t xml:space="preserve"> (3) and (5);</w:t>
      </w:r>
    </w:p>
    <w:p w:rsidR="00C63C37" w:rsidRPr="00540B32" w:rsidRDefault="00C63C37" w:rsidP="00E17DE0">
      <w:pPr>
        <w:pStyle w:val="paragraph"/>
      </w:pPr>
      <w:r w:rsidRPr="00540B32">
        <w:tab/>
        <w:t>(b)</w:t>
      </w:r>
      <w:r w:rsidRPr="00540B32">
        <w:tab/>
        <w:t xml:space="preserve">if the applicant is likely to be permitted to quote an </w:t>
      </w:r>
      <w:proofErr w:type="spellStart"/>
      <w:r w:rsidRPr="00540B32">
        <w:t>OTN</w:t>
      </w:r>
      <w:proofErr w:type="spellEnd"/>
      <w:r w:rsidRPr="00540B32">
        <w:t xml:space="preserve"> because the applicant is likely to use some or all of the amount of LPG in such a way as to not emit any greenhouse gases—the information and documents mentioned in </w:t>
      </w:r>
      <w:proofErr w:type="spellStart"/>
      <w:r w:rsidRPr="00540B32">
        <w:t>subregulations</w:t>
      </w:r>
      <w:proofErr w:type="spellEnd"/>
      <w:r w:rsidRPr="00540B32">
        <w:t xml:space="preserve"> (4) and (5);</w:t>
      </w:r>
    </w:p>
    <w:p w:rsidR="00C63C37" w:rsidRPr="00540B32" w:rsidRDefault="00C63C37" w:rsidP="00E17DE0">
      <w:pPr>
        <w:pStyle w:val="paragraph"/>
      </w:pPr>
      <w:r w:rsidRPr="00540B32">
        <w:lastRenderedPageBreak/>
        <w:tab/>
        <w:t>(c)</w:t>
      </w:r>
      <w:r w:rsidRPr="00540B32">
        <w:tab/>
        <w:t xml:space="preserve">in any other case—information and documents mentioned in </w:t>
      </w:r>
      <w:proofErr w:type="spellStart"/>
      <w:r w:rsidRPr="00540B32">
        <w:t>subregulation</w:t>
      </w:r>
      <w:proofErr w:type="spellEnd"/>
      <w:r w:rsidR="00540B32" w:rsidRPr="00540B32">
        <w:t> </w:t>
      </w:r>
      <w:r w:rsidRPr="00540B32">
        <w:t>3.19G(2).</w:t>
      </w:r>
    </w:p>
    <w:p w:rsidR="00C63C37" w:rsidRPr="00540B32" w:rsidRDefault="00C63C37" w:rsidP="00E17DE0">
      <w:pPr>
        <w:pStyle w:val="subsection"/>
      </w:pPr>
      <w:r w:rsidRPr="00540B32">
        <w:tab/>
        <w:t>(3)</w:t>
      </w:r>
      <w:r w:rsidRPr="00540B32">
        <w:tab/>
        <w:t xml:space="preserve">For an applicant mentioned in </w:t>
      </w:r>
      <w:r w:rsidR="00540B32" w:rsidRPr="00540B32">
        <w:t>paragraph (</w:t>
      </w:r>
      <w:r w:rsidRPr="00540B32">
        <w:t>2)(a), the application must be accompanied by a description of the chemical process in which LPG or LNG will be used as feedstock, including:</w:t>
      </w:r>
    </w:p>
    <w:p w:rsidR="00C63C37" w:rsidRPr="00540B32" w:rsidRDefault="00C63C37" w:rsidP="00E17DE0">
      <w:pPr>
        <w:pStyle w:val="paragraph"/>
      </w:pPr>
      <w:r w:rsidRPr="00540B32">
        <w:tab/>
        <w:t>(a)</w:t>
      </w:r>
      <w:r w:rsidRPr="00540B32">
        <w:tab/>
        <w:t>the inputs to the process and the relative amount of each input; and</w:t>
      </w:r>
    </w:p>
    <w:p w:rsidR="00C63C37" w:rsidRPr="00540B32" w:rsidRDefault="00C63C37" w:rsidP="00E17DE0">
      <w:pPr>
        <w:pStyle w:val="paragraph"/>
      </w:pPr>
      <w:r w:rsidRPr="00540B32">
        <w:tab/>
        <w:t>(b)</w:t>
      </w:r>
      <w:r w:rsidRPr="00540B32">
        <w:tab/>
        <w:t>the outputs of the process and the relative amount of each output.</w:t>
      </w:r>
    </w:p>
    <w:p w:rsidR="00C63C37" w:rsidRPr="00540B32" w:rsidRDefault="00C63C37" w:rsidP="00E17DE0">
      <w:pPr>
        <w:pStyle w:val="subsection"/>
      </w:pPr>
      <w:r w:rsidRPr="00540B32">
        <w:tab/>
        <w:t>(4)</w:t>
      </w:r>
      <w:r w:rsidRPr="00540B32">
        <w:tab/>
        <w:t xml:space="preserve">For an applicant mentioned in </w:t>
      </w:r>
      <w:r w:rsidR="00540B32" w:rsidRPr="00540B32">
        <w:t>paragraph (</w:t>
      </w:r>
      <w:r w:rsidRPr="00540B32">
        <w:t>2)(b), the application must be accompanied by a description of the process by which the LPG or LNG will be used without combustion of the LPG or LNG.</w:t>
      </w:r>
    </w:p>
    <w:p w:rsidR="00C63C37" w:rsidRPr="00540B32" w:rsidRDefault="00C63C37" w:rsidP="00E17DE0">
      <w:pPr>
        <w:pStyle w:val="subsection"/>
      </w:pPr>
      <w:r w:rsidRPr="00540B32">
        <w:tab/>
        <w:t>(5)</w:t>
      </w:r>
      <w:r w:rsidRPr="00540B32">
        <w:tab/>
        <w:t xml:space="preserve">For an applicant mentioned in </w:t>
      </w:r>
      <w:r w:rsidR="00540B32" w:rsidRPr="00540B32">
        <w:t>paragraph (</w:t>
      </w:r>
      <w:r w:rsidRPr="00540B32">
        <w:t>2)(a) or (b), the application must also be accompanied by the following information and documents:</w:t>
      </w:r>
    </w:p>
    <w:p w:rsidR="00C63C37" w:rsidRPr="00540B32" w:rsidRDefault="00C63C37" w:rsidP="00E17DE0">
      <w:pPr>
        <w:pStyle w:val="paragraph"/>
      </w:pPr>
      <w:r w:rsidRPr="00540B32">
        <w:tab/>
        <w:t>(a)</w:t>
      </w:r>
      <w:r w:rsidRPr="00540B32">
        <w:tab/>
        <w:t xml:space="preserve">the day from which the person expects to be permitted to quote an </w:t>
      </w:r>
      <w:proofErr w:type="spellStart"/>
      <w:r w:rsidRPr="00540B32">
        <w:t>OTN</w:t>
      </w:r>
      <w:proofErr w:type="spellEnd"/>
      <w:r w:rsidRPr="00540B32">
        <w:t xml:space="preserve"> in relation to the LPG or LNG that will be used at the facility, business premises or other location:</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as feedstock; or</w:t>
      </w:r>
    </w:p>
    <w:p w:rsidR="00C63C37" w:rsidRPr="00540B32" w:rsidRDefault="00C63C37" w:rsidP="00E17DE0">
      <w:pPr>
        <w:pStyle w:val="paragraphsub"/>
      </w:pPr>
      <w:r w:rsidRPr="00540B32">
        <w:tab/>
        <w:t>(ii)</w:t>
      </w:r>
      <w:r w:rsidRPr="00540B32">
        <w:tab/>
        <w:t>in such a way as to not emit any greenhouse gases;</w:t>
      </w:r>
    </w:p>
    <w:p w:rsidR="00C63C37" w:rsidRPr="00540B32" w:rsidRDefault="00C63C37" w:rsidP="00E17DE0">
      <w:pPr>
        <w:pStyle w:val="paragraph"/>
      </w:pPr>
      <w:r w:rsidRPr="00540B32">
        <w:tab/>
        <w:t>(b)</w:t>
      </w:r>
      <w:r w:rsidRPr="00540B32">
        <w:tab/>
        <w:t>a statement that it is likely that the applicant will be supplied LPG or LNG in the 12 month period commencing on the later of the following days:</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1</w:t>
      </w:r>
      <w:r w:rsidR="00540B32" w:rsidRPr="00540B32">
        <w:t> </w:t>
      </w:r>
      <w:r w:rsidRPr="00540B32">
        <w:t>July 2013;</w:t>
      </w:r>
    </w:p>
    <w:p w:rsidR="00C63C37" w:rsidRPr="00540B32" w:rsidRDefault="00C63C37" w:rsidP="00E17DE0">
      <w:pPr>
        <w:pStyle w:val="paragraphsub"/>
      </w:pPr>
      <w:r w:rsidRPr="00540B32">
        <w:tab/>
        <w:t>(ii)</w:t>
      </w:r>
      <w:r w:rsidRPr="00540B32">
        <w:tab/>
        <w:t>the day on which the application is made;</w:t>
      </w:r>
    </w:p>
    <w:p w:rsidR="00C63C37" w:rsidRPr="00540B32" w:rsidRDefault="00C63C37" w:rsidP="00E17DE0">
      <w:pPr>
        <w:pStyle w:val="paragraph"/>
      </w:pPr>
      <w:r w:rsidRPr="00540B32">
        <w:tab/>
        <w:t>(c)</w:t>
      </w:r>
      <w:r w:rsidRPr="00540B32">
        <w:tab/>
        <w:t xml:space="preserve">a statement that it is likely that all or part of the LPG or LNG mentioned in </w:t>
      </w:r>
      <w:r w:rsidR="00540B32" w:rsidRPr="00540B32">
        <w:t>paragraph (</w:t>
      </w:r>
      <w:r w:rsidRPr="00540B32">
        <w:t xml:space="preserve">b) will be for </w:t>
      </w:r>
      <w:r w:rsidR="00A70C96" w:rsidRPr="00540B32">
        <w:t>a</w:t>
      </w:r>
      <w:r w:rsidRPr="00540B32">
        <w:t xml:space="preserve"> use mentioned in </w:t>
      </w:r>
      <w:r w:rsidR="00540B32" w:rsidRPr="00540B32">
        <w:t>subparagraph (</w:t>
      </w:r>
      <w:r w:rsidRPr="00540B32">
        <w:t>a)(</w:t>
      </w:r>
      <w:proofErr w:type="spellStart"/>
      <w:r w:rsidRPr="00540B32">
        <w:t>i</w:t>
      </w:r>
      <w:proofErr w:type="spellEnd"/>
      <w:r w:rsidRPr="00540B32">
        <w:t>) or (ii) at the facility, business premises or other location;</w:t>
      </w:r>
    </w:p>
    <w:p w:rsidR="00C63C37" w:rsidRPr="00540B32" w:rsidRDefault="00C63C37" w:rsidP="00E17DE0">
      <w:pPr>
        <w:pStyle w:val="paragraph"/>
      </w:pPr>
      <w:r w:rsidRPr="00540B32">
        <w:tab/>
        <w:t>(d)</w:t>
      </w:r>
      <w:r w:rsidRPr="00540B32">
        <w:tab/>
        <w:t>if the applicant is currently supplied LPG or LNG at the facility, business premise</w:t>
      </w:r>
      <w:r w:rsidR="00F26000" w:rsidRPr="00540B32">
        <w:t xml:space="preserve">s or other location for </w:t>
      </w:r>
      <w:r w:rsidR="00A70C96" w:rsidRPr="00540B32">
        <w:t>a</w:t>
      </w:r>
      <w:r w:rsidR="00F26000" w:rsidRPr="00540B32">
        <w:t xml:space="preserve"> use</w:t>
      </w:r>
      <w:r w:rsidRPr="00540B32">
        <w:t xml:space="preserve"> mentioned in </w:t>
      </w:r>
      <w:r w:rsidR="00540B32" w:rsidRPr="00540B32">
        <w:t>subparagraph (</w:t>
      </w:r>
      <w:r w:rsidRPr="00540B32">
        <w:t>a)(</w:t>
      </w:r>
      <w:proofErr w:type="spellStart"/>
      <w:r w:rsidRPr="00540B32">
        <w:t>i</w:t>
      </w:r>
      <w:proofErr w:type="spellEnd"/>
      <w:r w:rsidRPr="00540B32">
        <w:t>) or (ii)—a statement to this effect;</w:t>
      </w:r>
    </w:p>
    <w:p w:rsidR="00C63C37" w:rsidRPr="00540B32" w:rsidRDefault="00C63C37" w:rsidP="00E17DE0">
      <w:pPr>
        <w:pStyle w:val="paragraph"/>
      </w:pPr>
      <w:r w:rsidRPr="00540B32">
        <w:tab/>
        <w:t>(e)</w:t>
      </w:r>
      <w:r w:rsidRPr="00540B32">
        <w:tab/>
        <w:t xml:space="preserve">if the applicant is not currently supplied LPG or LNG at the facility, business premises or other location—the reason why the applicant expects to start being supplied LPG or LNG for </w:t>
      </w:r>
      <w:r w:rsidR="00A70C96" w:rsidRPr="00540B32">
        <w:lastRenderedPageBreak/>
        <w:t>a</w:t>
      </w:r>
      <w:r w:rsidRPr="00540B32">
        <w:t xml:space="preserve"> use mentioned in </w:t>
      </w:r>
      <w:r w:rsidR="00540B32" w:rsidRPr="00540B32">
        <w:t>subparagraph (</w:t>
      </w:r>
      <w:r w:rsidRPr="00540B32">
        <w:t>a)(</w:t>
      </w:r>
      <w:proofErr w:type="spellStart"/>
      <w:r w:rsidRPr="00540B32">
        <w:t>i</w:t>
      </w:r>
      <w:proofErr w:type="spellEnd"/>
      <w:r w:rsidRPr="00540B32">
        <w:t xml:space="preserve">) or (ii) at the facility, business premises or other location in the period mentioned in </w:t>
      </w:r>
      <w:r w:rsidR="00540B32" w:rsidRPr="00540B32">
        <w:t>subparagraph (</w:t>
      </w:r>
      <w:r w:rsidRPr="00540B32">
        <w:t>b)(</w:t>
      </w:r>
      <w:proofErr w:type="spellStart"/>
      <w:r w:rsidRPr="00540B32">
        <w:t>i</w:t>
      </w:r>
      <w:proofErr w:type="spellEnd"/>
      <w:r w:rsidRPr="00540B32">
        <w:t>) or (ii);</w:t>
      </w:r>
    </w:p>
    <w:p w:rsidR="00C63C37" w:rsidRPr="00540B32" w:rsidRDefault="00C63C37" w:rsidP="00E17DE0">
      <w:pPr>
        <w:pStyle w:val="paragraph"/>
      </w:pPr>
      <w:r w:rsidRPr="00540B32">
        <w:tab/>
        <w:t>(f)</w:t>
      </w:r>
      <w:r w:rsidRPr="00540B32">
        <w:tab/>
        <w:t xml:space="preserve">documents that verify the information given to the Regulator under </w:t>
      </w:r>
      <w:r w:rsidR="00540B32" w:rsidRPr="00540B32">
        <w:t>paragraph (</w:t>
      </w:r>
      <w:r w:rsidRPr="00540B32">
        <w:t>d) or (e);</w:t>
      </w:r>
    </w:p>
    <w:p w:rsidR="00C63C37" w:rsidRPr="00540B32" w:rsidRDefault="00C63C37" w:rsidP="00E17DE0">
      <w:pPr>
        <w:pStyle w:val="paragraph"/>
      </w:pPr>
      <w:r w:rsidRPr="00540B32">
        <w:tab/>
        <w:t>(g)</w:t>
      </w:r>
      <w:r w:rsidRPr="00540B32">
        <w:tab/>
        <w:t>if the LPG or LNG will be used at a facility (whether or not the facility is in existence at the time of application):</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the identifying information for the facility; and</w:t>
      </w:r>
    </w:p>
    <w:p w:rsidR="00C63C37" w:rsidRPr="00540B32" w:rsidRDefault="00C63C37" w:rsidP="00E17DE0">
      <w:pPr>
        <w:pStyle w:val="paragraphsub"/>
      </w:pPr>
      <w:r w:rsidRPr="00540B32">
        <w:tab/>
        <w:t>(ii)</w:t>
      </w:r>
      <w:r w:rsidRPr="00540B32">
        <w:tab/>
        <w:t>if the facility belongs to a mandatory designated joint venture—the name of the person taken to have operational control of the facility throughout the period under subsection</w:t>
      </w:r>
      <w:r w:rsidR="00540B32" w:rsidRPr="00540B32">
        <w:t> </w:t>
      </w:r>
      <w:r w:rsidRPr="00540B32">
        <w:t xml:space="preserve">11B(15) of the </w:t>
      </w:r>
      <w:proofErr w:type="spellStart"/>
      <w:r w:rsidRPr="00540B32">
        <w:t>NGER</w:t>
      </w:r>
      <w:proofErr w:type="spellEnd"/>
      <w:r w:rsidRPr="00540B32">
        <w:t xml:space="preserve"> Act; and</w:t>
      </w:r>
    </w:p>
    <w:p w:rsidR="00C63C37" w:rsidRPr="00540B32" w:rsidRDefault="00C63C37" w:rsidP="00E17DE0">
      <w:pPr>
        <w:pStyle w:val="paragraphsub"/>
      </w:pPr>
      <w:r w:rsidRPr="00540B32">
        <w:tab/>
        <w:t>(iii)</w:t>
      </w:r>
      <w:r w:rsidRPr="00540B32">
        <w:tab/>
        <w:t>if the facility does not belong to a mandatory designated joint venture—the name of the person who has operational control of the facility; and</w:t>
      </w:r>
    </w:p>
    <w:p w:rsidR="00C63C37" w:rsidRPr="00540B32" w:rsidRDefault="00C63C37" w:rsidP="00E17DE0">
      <w:pPr>
        <w:pStyle w:val="paragraphsub"/>
      </w:pPr>
      <w:r w:rsidRPr="00540B32">
        <w:tab/>
        <w:t>(iv)</w:t>
      </w:r>
      <w:r w:rsidRPr="00540B32">
        <w:tab/>
        <w:t xml:space="preserve">if the applicant is not the person with operational control of the facility—the contact details of the person mentioned in </w:t>
      </w:r>
      <w:r w:rsidR="00540B32" w:rsidRPr="00540B32">
        <w:t>subparagraph (</w:t>
      </w:r>
      <w:r w:rsidRPr="00540B32">
        <w:t>ii) or (iii) and a description of the applicant’s relationship to that person and to the facility;</w:t>
      </w:r>
    </w:p>
    <w:p w:rsidR="00C63C37" w:rsidRPr="00540B32" w:rsidRDefault="00C63C37" w:rsidP="00E17DE0">
      <w:pPr>
        <w:pStyle w:val="paragraph"/>
      </w:pPr>
      <w:r w:rsidRPr="00540B32">
        <w:tab/>
        <w:t>(h)</w:t>
      </w:r>
      <w:r w:rsidRPr="00540B32">
        <w:tab/>
        <w:t xml:space="preserve">if the LPG or LNG will be used at a business premises or other location that is not a facility or proposed facility mentioned in </w:t>
      </w:r>
      <w:r w:rsidR="00540B32" w:rsidRPr="00540B32">
        <w:t>paragraph (</w:t>
      </w:r>
      <w:r w:rsidRPr="00540B32">
        <w:t>g):</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the name of the business premises or location, or a description of the premises or location if there is no name for the business premises; and</w:t>
      </w:r>
    </w:p>
    <w:p w:rsidR="00C63C37" w:rsidRPr="00540B32" w:rsidRDefault="00C63C37" w:rsidP="00E17DE0">
      <w:pPr>
        <w:pStyle w:val="paragraphsub"/>
      </w:pPr>
      <w:r w:rsidRPr="00540B32">
        <w:tab/>
        <w:t>(ii)</w:t>
      </w:r>
      <w:r w:rsidRPr="00540B32">
        <w:tab/>
        <w:t>the street address of the business premises or location, if any; and</w:t>
      </w:r>
    </w:p>
    <w:p w:rsidR="00C63C37" w:rsidRPr="00540B32" w:rsidRDefault="00C63C37" w:rsidP="00E17DE0">
      <w:pPr>
        <w:pStyle w:val="paragraphsub"/>
      </w:pPr>
      <w:r w:rsidRPr="00540B32">
        <w:tab/>
        <w:t>(iii)</w:t>
      </w:r>
      <w:r w:rsidRPr="00540B32">
        <w:tab/>
        <w:t>the latitude and longitude of the business premises or location.</w:t>
      </w:r>
    </w:p>
    <w:p w:rsidR="00C63C37" w:rsidRPr="00540B32" w:rsidRDefault="00C63C37" w:rsidP="00E17DE0">
      <w:pPr>
        <w:pStyle w:val="ItemHead"/>
      </w:pPr>
      <w:r w:rsidRPr="00540B32">
        <w:t xml:space="preserve">3  </w:t>
      </w:r>
      <w:proofErr w:type="spellStart"/>
      <w:r w:rsidRPr="00540B32">
        <w:t>Sub</w:t>
      </w:r>
      <w:r w:rsidR="00F26000" w:rsidRPr="00540B32">
        <w:t>regulation</w:t>
      </w:r>
      <w:proofErr w:type="spellEnd"/>
      <w:r w:rsidR="00540B32" w:rsidRPr="00540B32">
        <w:t> </w:t>
      </w:r>
      <w:r w:rsidRPr="00540B32">
        <w:t>3.12(3)</w:t>
      </w:r>
    </w:p>
    <w:p w:rsidR="00C63C37" w:rsidRPr="00540B32" w:rsidRDefault="00C63C37" w:rsidP="00E17DE0">
      <w:pPr>
        <w:pStyle w:val="Item"/>
      </w:pPr>
      <w:r w:rsidRPr="00540B32">
        <w:t xml:space="preserve">Repeal the </w:t>
      </w:r>
      <w:proofErr w:type="spellStart"/>
      <w:r w:rsidRPr="00540B32">
        <w:t>subregulation</w:t>
      </w:r>
      <w:proofErr w:type="spellEnd"/>
      <w:r w:rsidRPr="00540B32">
        <w:t>, substitute:</w:t>
      </w:r>
    </w:p>
    <w:p w:rsidR="00C63C37" w:rsidRPr="00540B32" w:rsidRDefault="00C63C37" w:rsidP="00E17DE0">
      <w:pPr>
        <w:pStyle w:val="subsection"/>
      </w:pPr>
      <w:r w:rsidRPr="00540B32">
        <w:tab/>
        <w:t>(3)</w:t>
      </w:r>
      <w:r w:rsidRPr="00540B32">
        <w:tab/>
        <w:t>The application must be made by:</w:t>
      </w:r>
    </w:p>
    <w:p w:rsidR="00C63C37" w:rsidRPr="00540B32" w:rsidRDefault="00C63C37" w:rsidP="00E17DE0">
      <w:pPr>
        <w:pStyle w:val="paragraph"/>
      </w:pPr>
      <w:r w:rsidRPr="00540B32">
        <w:tab/>
        <w:t>(a)</w:t>
      </w:r>
      <w:r w:rsidRPr="00540B32">
        <w:tab/>
        <w:t>at least 90 days before the day on which the facility will become a large gas consuming facility; or</w:t>
      </w:r>
    </w:p>
    <w:p w:rsidR="00C63C37" w:rsidRPr="00540B32" w:rsidRDefault="00C63C37" w:rsidP="00E17DE0">
      <w:pPr>
        <w:pStyle w:val="paragraph"/>
      </w:pPr>
      <w:r w:rsidRPr="00540B32">
        <w:lastRenderedPageBreak/>
        <w:tab/>
        <w:t>(b)</w:t>
      </w:r>
      <w:r w:rsidRPr="00540B32">
        <w:tab/>
        <w:t>if the Regulator is satisfied that it is justified in the circumstances—a day decided by the Regulator that is less than 90 days before the day on which the facility will become a large gas consuming facility.</w:t>
      </w:r>
    </w:p>
    <w:p w:rsidR="00C63C37" w:rsidRPr="00540B32" w:rsidRDefault="00C63C37" w:rsidP="00E17DE0">
      <w:pPr>
        <w:pStyle w:val="ItemHead"/>
      </w:pPr>
      <w:r w:rsidRPr="00540B32">
        <w:t xml:space="preserve">4  </w:t>
      </w:r>
      <w:proofErr w:type="spellStart"/>
      <w:r w:rsidRPr="00540B32">
        <w:t>Subregulation</w:t>
      </w:r>
      <w:proofErr w:type="spellEnd"/>
      <w:r w:rsidR="00540B32" w:rsidRPr="00540B32">
        <w:t> </w:t>
      </w:r>
      <w:r w:rsidRPr="00540B32">
        <w:t>3.19B(3)</w:t>
      </w:r>
    </w:p>
    <w:p w:rsidR="00C63C37" w:rsidRPr="00540B32" w:rsidRDefault="00C63C37" w:rsidP="00E17DE0">
      <w:pPr>
        <w:pStyle w:val="Item"/>
      </w:pPr>
      <w:r w:rsidRPr="00540B32">
        <w:t xml:space="preserve">Repeal the </w:t>
      </w:r>
      <w:proofErr w:type="spellStart"/>
      <w:r w:rsidRPr="00540B32">
        <w:t>subregulation</w:t>
      </w:r>
      <w:proofErr w:type="spellEnd"/>
      <w:r w:rsidRPr="00540B32">
        <w:t>, substitute:</w:t>
      </w:r>
    </w:p>
    <w:p w:rsidR="00C63C37" w:rsidRPr="00540B32" w:rsidRDefault="00C63C37" w:rsidP="00E17DE0">
      <w:pPr>
        <w:pStyle w:val="subsection"/>
      </w:pPr>
      <w:r w:rsidRPr="00540B32">
        <w:tab/>
        <w:t>(3)</w:t>
      </w:r>
      <w:r w:rsidRPr="00540B32">
        <w:tab/>
        <w:t>The application must be made by:</w:t>
      </w:r>
    </w:p>
    <w:p w:rsidR="00C63C37" w:rsidRPr="00540B32" w:rsidRDefault="00C63C37" w:rsidP="00E17DE0">
      <w:pPr>
        <w:pStyle w:val="paragraph"/>
      </w:pPr>
      <w:r w:rsidRPr="00540B32">
        <w:tab/>
        <w:t>(a)</w:t>
      </w:r>
      <w:r w:rsidRPr="00540B32">
        <w:tab/>
        <w:t>at least 90 days before the day on which the facility will become a large LPG or LNG consuming facility; or</w:t>
      </w:r>
    </w:p>
    <w:p w:rsidR="00C63C37" w:rsidRPr="00540B32" w:rsidRDefault="00C63C37" w:rsidP="00E17DE0">
      <w:pPr>
        <w:pStyle w:val="paragraph"/>
      </w:pPr>
      <w:r w:rsidRPr="00540B32">
        <w:tab/>
        <w:t>(b)</w:t>
      </w:r>
      <w:r w:rsidRPr="00540B32">
        <w:tab/>
        <w:t>if the Regulator is satisfied that it is justified in the circumstances—a day decided by the Regulator that is less than 90 days before the day on which the facility will become a large LPG or LNG consuming facility.</w:t>
      </w:r>
    </w:p>
    <w:p w:rsidR="00C63C37" w:rsidRPr="00540B32" w:rsidRDefault="00C63C37" w:rsidP="00E17DE0">
      <w:pPr>
        <w:pStyle w:val="ItemHead"/>
      </w:pPr>
      <w:r w:rsidRPr="00540B32">
        <w:t>5  Paragraph 3.19C(1)(c)</w:t>
      </w:r>
    </w:p>
    <w:p w:rsidR="00C63C37" w:rsidRPr="00540B32" w:rsidRDefault="00C63C37" w:rsidP="00E17DE0">
      <w:pPr>
        <w:pStyle w:val="Item"/>
      </w:pPr>
      <w:r w:rsidRPr="00540B32">
        <w:t>Omit “natural gas”, substitute “LPG or LNG”.</w:t>
      </w:r>
    </w:p>
    <w:p w:rsidR="00C63C37" w:rsidRPr="00540B32" w:rsidRDefault="00C63C37" w:rsidP="00E17DE0">
      <w:pPr>
        <w:pStyle w:val="ItemHead"/>
      </w:pPr>
      <w:r w:rsidRPr="00540B32">
        <w:t>6  Paragraph 3.19F(a)</w:t>
      </w:r>
    </w:p>
    <w:p w:rsidR="00C63C37" w:rsidRPr="00540B32" w:rsidRDefault="00C63C37" w:rsidP="00E17DE0">
      <w:pPr>
        <w:pStyle w:val="Item"/>
      </w:pPr>
      <w:r w:rsidRPr="00540B32">
        <w:t>Repeal the paragraph, substitute:</w:t>
      </w:r>
    </w:p>
    <w:p w:rsidR="00C63C37" w:rsidRPr="00540B32" w:rsidRDefault="00C63C37" w:rsidP="00E17DE0">
      <w:pPr>
        <w:pStyle w:val="paragraph"/>
      </w:pPr>
      <w:r w:rsidRPr="00540B32">
        <w:tab/>
        <w:t>(a)</w:t>
      </w:r>
      <w:r w:rsidRPr="00540B32">
        <w:tab/>
        <w:t>the recipient is likely to use some or all of the amount of LPG or LNG:</w:t>
      </w:r>
    </w:p>
    <w:p w:rsidR="00C63C37" w:rsidRPr="00540B32" w:rsidRDefault="00C63C37" w:rsidP="00E17DE0">
      <w:pPr>
        <w:pStyle w:val="paragraphsub"/>
      </w:pPr>
      <w:r w:rsidRPr="00540B32">
        <w:tab/>
        <w:t>(</w:t>
      </w:r>
      <w:proofErr w:type="spellStart"/>
      <w:r w:rsidRPr="00540B32">
        <w:t>i</w:t>
      </w:r>
      <w:proofErr w:type="spellEnd"/>
      <w:r w:rsidRPr="00540B32">
        <w:t>)</w:t>
      </w:r>
      <w:r w:rsidRPr="00540B32">
        <w:tab/>
        <w:t>as feedstock; or</w:t>
      </w:r>
    </w:p>
    <w:p w:rsidR="00C63C37" w:rsidRPr="00540B32" w:rsidRDefault="00C63C37" w:rsidP="00E17DE0">
      <w:pPr>
        <w:pStyle w:val="paragraphsub"/>
      </w:pPr>
      <w:r w:rsidRPr="00540B32">
        <w:tab/>
        <w:t>(ii)</w:t>
      </w:r>
      <w:r w:rsidRPr="00540B32">
        <w:tab/>
        <w:t>in such a way as to not emit any greenhouse gases; or</w:t>
      </w:r>
    </w:p>
    <w:p w:rsidR="00C63C37" w:rsidRPr="00540B32" w:rsidRDefault="00C63C37" w:rsidP="00E17DE0">
      <w:pPr>
        <w:pStyle w:val="ItemHead"/>
      </w:pPr>
      <w:r w:rsidRPr="00540B32">
        <w:t>7  Regulation</w:t>
      </w:r>
      <w:r w:rsidR="00540B32" w:rsidRPr="00540B32">
        <w:t> </w:t>
      </w:r>
      <w:r w:rsidRPr="00540B32">
        <w:t>3.19J</w:t>
      </w:r>
    </w:p>
    <w:p w:rsidR="00C63C37" w:rsidRPr="00540B32" w:rsidRDefault="00C63C37" w:rsidP="00E17DE0">
      <w:pPr>
        <w:pStyle w:val="Item"/>
      </w:pPr>
      <w:r w:rsidRPr="00540B32">
        <w:t>Omit “as feedstock.”, substitute:</w:t>
      </w:r>
    </w:p>
    <w:p w:rsidR="00C63C37" w:rsidRPr="00540B32" w:rsidRDefault="00C63C37" w:rsidP="00E17DE0">
      <w:pPr>
        <w:pStyle w:val="paragraph"/>
      </w:pPr>
      <w:r w:rsidRPr="00540B32">
        <w:tab/>
        <w:t>: (a)</w:t>
      </w:r>
      <w:r w:rsidRPr="00540B32">
        <w:tab/>
        <w:t>as feedstock; or</w:t>
      </w:r>
    </w:p>
    <w:p w:rsidR="00C63C37" w:rsidRPr="00540B32" w:rsidRDefault="00C63C37" w:rsidP="00E17DE0">
      <w:pPr>
        <w:pStyle w:val="paragraph"/>
      </w:pPr>
      <w:r w:rsidRPr="00540B32">
        <w:tab/>
        <w:t>(b)</w:t>
      </w:r>
      <w:r w:rsidRPr="00540B32">
        <w:tab/>
        <w:t>in such a way as to not emit any greenhouse gases.</w:t>
      </w:r>
    </w:p>
    <w:p w:rsidR="00C742BE" w:rsidRPr="00540B32" w:rsidRDefault="00882BC6" w:rsidP="00E17DE0">
      <w:pPr>
        <w:pStyle w:val="ItemHead"/>
        <w:tabs>
          <w:tab w:val="left" w:pos="6663"/>
        </w:tabs>
      </w:pPr>
      <w:r w:rsidRPr="00540B32">
        <w:t>8</w:t>
      </w:r>
      <w:r w:rsidR="00BB6E79" w:rsidRPr="00540B32">
        <w:t xml:space="preserve">  </w:t>
      </w:r>
      <w:r w:rsidR="00C742BE" w:rsidRPr="00540B32">
        <w:t>Subclause</w:t>
      </w:r>
      <w:r w:rsidR="00540B32" w:rsidRPr="00540B32">
        <w:t> </w:t>
      </w:r>
      <w:r w:rsidR="00C742BE" w:rsidRPr="00540B32">
        <w:t>348(5) of Schedule</w:t>
      </w:r>
      <w:r w:rsidR="00540B32" w:rsidRPr="00540B32">
        <w:t> </w:t>
      </w:r>
      <w:r w:rsidR="00C742BE" w:rsidRPr="00540B32">
        <w:t xml:space="preserve">1 (definition of </w:t>
      </w:r>
      <w:r w:rsidR="00C742BE" w:rsidRPr="00540B32">
        <w:rPr>
          <w:i/>
        </w:rPr>
        <w:t>intermediate nickel products</w:t>
      </w:r>
      <w:r w:rsidR="00C742BE" w:rsidRPr="00540B32">
        <w:t>)</w:t>
      </w:r>
    </w:p>
    <w:p w:rsidR="00C742BE" w:rsidRPr="00540B32" w:rsidRDefault="00C742BE" w:rsidP="00E17DE0">
      <w:pPr>
        <w:pStyle w:val="Item"/>
      </w:pPr>
      <w:r w:rsidRPr="00540B32">
        <w:t xml:space="preserve">Omit “11%”, </w:t>
      </w:r>
      <w:r w:rsidR="00F26000" w:rsidRPr="00540B32">
        <w:t>substitute</w:t>
      </w:r>
      <w:r w:rsidRPr="00540B32">
        <w:t xml:space="preserve"> “6.5%”.</w:t>
      </w:r>
    </w:p>
    <w:p w:rsidR="008D31B9" w:rsidRPr="00540B32" w:rsidRDefault="00882BC6" w:rsidP="00E17DE0">
      <w:pPr>
        <w:pStyle w:val="ItemHead"/>
      </w:pPr>
      <w:r w:rsidRPr="00540B32">
        <w:t>9</w:t>
      </w:r>
      <w:r w:rsidR="008D31B9" w:rsidRPr="00540B32">
        <w:t xml:space="preserve">  Subclause</w:t>
      </w:r>
      <w:r w:rsidR="00540B32" w:rsidRPr="00540B32">
        <w:t> </w:t>
      </w:r>
      <w:r w:rsidR="008D31B9" w:rsidRPr="00540B32">
        <w:t>702(1A)</w:t>
      </w:r>
      <w:r w:rsidR="0021478B" w:rsidRPr="00540B32">
        <w:t xml:space="preserve"> of Schedule</w:t>
      </w:r>
      <w:r w:rsidR="00540B32" w:rsidRPr="00540B32">
        <w:t> </w:t>
      </w:r>
      <w:r w:rsidR="0021478B" w:rsidRPr="00540B32">
        <w:t>1</w:t>
      </w:r>
    </w:p>
    <w:p w:rsidR="008D31B9" w:rsidRPr="00540B32" w:rsidRDefault="008D31B9" w:rsidP="00E17DE0">
      <w:pPr>
        <w:pStyle w:val="Item"/>
      </w:pPr>
      <w:r w:rsidRPr="00540B32">
        <w:t>Omit “, 48”.</w:t>
      </w:r>
    </w:p>
    <w:p w:rsidR="00BF7335" w:rsidRPr="00540B32" w:rsidRDefault="00882BC6" w:rsidP="00E17DE0">
      <w:pPr>
        <w:pStyle w:val="ItemHead"/>
      </w:pPr>
      <w:r w:rsidRPr="00540B32">
        <w:lastRenderedPageBreak/>
        <w:t>10</w:t>
      </w:r>
      <w:r w:rsidR="008D31B9" w:rsidRPr="00540B32">
        <w:t xml:space="preserve">  </w:t>
      </w:r>
      <w:r w:rsidR="00BF7335" w:rsidRPr="00540B32">
        <w:t>After subclause</w:t>
      </w:r>
      <w:r w:rsidR="00540B32" w:rsidRPr="00540B32">
        <w:t> </w:t>
      </w:r>
      <w:r w:rsidR="00BF7335" w:rsidRPr="00540B32">
        <w:t>702(1D) of Schedule</w:t>
      </w:r>
      <w:r w:rsidR="00540B32" w:rsidRPr="00540B32">
        <w:t> </w:t>
      </w:r>
      <w:r w:rsidR="00BF7335" w:rsidRPr="00540B32">
        <w:t>1</w:t>
      </w:r>
    </w:p>
    <w:p w:rsidR="00BF7335" w:rsidRPr="00540B32" w:rsidRDefault="00BF7335" w:rsidP="00E17DE0">
      <w:pPr>
        <w:pStyle w:val="Item"/>
      </w:pPr>
      <w:r w:rsidRPr="00540B32">
        <w:t>Insert:</w:t>
      </w:r>
    </w:p>
    <w:p w:rsidR="00BF7335" w:rsidRPr="00540B32" w:rsidRDefault="00BF7335" w:rsidP="00E17DE0">
      <w:pPr>
        <w:pStyle w:val="subsection"/>
      </w:pPr>
      <w:r w:rsidRPr="00540B32">
        <w:tab/>
        <w:t>(1E)</w:t>
      </w:r>
      <w:r w:rsidRPr="00540B32">
        <w:tab/>
        <w:t xml:space="preserve">Despite </w:t>
      </w:r>
      <w:r w:rsidR="00540B32" w:rsidRPr="00540B32">
        <w:t>paragraph (</w:t>
      </w:r>
      <w:r w:rsidRPr="00540B32">
        <w:t>1)(c), an application for the year ending 30</w:t>
      </w:r>
      <w:r w:rsidR="00540B32" w:rsidRPr="00540B32">
        <w:t> </w:t>
      </w:r>
      <w:r w:rsidRPr="00540B32">
        <w:t>June 2013 relating to an activity mentioned in Division</w:t>
      </w:r>
      <w:r w:rsidR="00540B32" w:rsidRPr="00540B32">
        <w:t> </w:t>
      </w:r>
      <w:r w:rsidRPr="00540B32">
        <w:t>48 of Part</w:t>
      </w:r>
      <w:r w:rsidR="00540B32" w:rsidRPr="00540B32">
        <w:t> </w:t>
      </w:r>
      <w:r w:rsidRPr="00540B32">
        <w:t>3 may be given to the Regulator not later than 31</w:t>
      </w:r>
      <w:r w:rsidR="00540B32" w:rsidRPr="00540B32">
        <w:t> </w:t>
      </w:r>
      <w:r w:rsidRPr="00540B32">
        <w:t>July 2013.</w:t>
      </w:r>
    </w:p>
    <w:p w:rsidR="00BF7335" w:rsidRPr="00540B32" w:rsidRDefault="00BF7335" w:rsidP="00E17DE0">
      <w:pPr>
        <w:pStyle w:val="subsection"/>
      </w:pPr>
      <w:r w:rsidRPr="00540B32">
        <w:tab/>
        <w:t>(1F)</w:t>
      </w:r>
      <w:r w:rsidRPr="00540B32">
        <w:tab/>
      </w:r>
      <w:r w:rsidR="00540B32" w:rsidRPr="00540B32">
        <w:t>Subclause (</w:t>
      </w:r>
      <w:r w:rsidRPr="00540B32">
        <w:t>1</w:t>
      </w:r>
      <w:r w:rsidR="003166E6" w:rsidRPr="00540B32">
        <w:t>E</w:t>
      </w:r>
      <w:r w:rsidRPr="00540B32">
        <w:t>) expires on 1</w:t>
      </w:r>
      <w:r w:rsidR="00540B32" w:rsidRPr="00540B32">
        <w:t> </w:t>
      </w:r>
      <w:r w:rsidRPr="00540B32">
        <w:t>August 2013 as if it had been repealed by another legislative instrument.</w:t>
      </w:r>
    </w:p>
    <w:p w:rsidR="00650535" w:rsidRPr="00540B32" w:rsidRDefault="00882BC6" w:rsidP="00E17DE0">
      <w:pPr>
        <w:pStyle w:val="ItemHead"/>
      </w:pPr>
      <w:r w:rsidRPr="00540B32">
        <w:t>11</w:t>
      </w:r>
      <w:r w:rsidR="00F613F1" w:rsidRPr="00540B32">
        <w:t xml:space="preserve">  Schedule</w:t>
      </w:r>
      <w:r w:rsidR="00540B32" w:rsidRPr="00540B32">
        <w:t> </w:t>
      </w:r>
      <w:r w:rsidR="00F613F1" w:rsidRPr="00540B32">
        <w:t>2 (note to Schedule heading)</w:t>
      </w:r>
    </w:p>
    <w:p w:rsidR="00F613F1" w:rsidRPr="00540B32" w:rsidRDefault="009E6B02" w:rsidP="00E17DE0">
      <w:pPr>
        <w:pStyle w:val="Item"/>
      </w:pPr>
      <w:r w:rsidRPr="00540B32">
        <w:t>Repeal the note, s</w:t>
      </w:r>
      <w:r w:rsidR="00F613F1" w:rsidRPr="00540B32">
        <w:t>ubstitute:</w:t>
      </w:r>
    </w:p>
    <w:p w:rsidR="00F613F1" w:rsidRPr="00540B32" w:rsidRDefault="00F613F1" w:rsidP="00E17DE0">
      <w:pPr>
        <w:pStyle w:val="notemargin"/>
      </w:pPr>
      <w:r w:rsidRPr="00540B32">
        <w:t>Note:</w:t>
      </w:r>
      <w:r w:rsidR="006D3362" w:rsidRPr="00540B32">
        <w:tab/>
      </w:r>
      <w:r w:rsidRPr="00540B32">
        <w:t>See regulation</w:t>
      </w:r>
      <w:r w:rsidR="00540B32" w:rsidRPr="00540B32">
        <w:t> </w:t>
      </w:r>
      <w:r w:rsidR="00105AF8" w:rsidRPr="00540B32">
        <w:t>1.8.</w:t>
      </w:r>
    </w:p>
    <w:p w:rsidR="00AF5F72" w:rsidRPr="00540B32" w:rsidRDefault="00882BC6" w:rsidP="00E17DE0">
      <w:pPr>
        <w:pStyle w:val="ItemHead"/>
      </w:pPr>
      <w:r w:rsidRPr="00540B32">
        <w:t>12</w:t>
      </w:r>
      <w:r w:rsidR="00F44636" w:rsidRPr="00540B32">
        <w:t xml:space="preserve">  </w:t>
      </w:r>
      <w:r w:rsidR="00AF5F72" w:rsidRPr="00540B32">
        <w:t>Schedule</w:t>
      </w:r>
      <w:r w:rsidR="00540B32" w:rsidRPr="00540B32">
        <w:t> </w:t>
      </w:r>
      <w:r w:rsidR="00AF5F72" w:rsidRPr="00540B32">
        <w:t>2 (table item dealing with North Paaratte gas processing plant)</w:t>
      </w:r>
    </w:p>
    <w:p w:rsidR="00AF5F72" w:rsidRPr="00540B32" w:rsidRDefault="009E6B02" w:rsidP="00E17DE0">
      <w:pPr>
        <w:pStyle w:val="Item"/>
      </w:pPr>
      <w:r w:rsidRPr="00540B32">
        <w:t>Repeal the item.</w:t>
      </w:r>
    </w:p>
    <w:p w:rsidR="00F44636" w:rsidRPr="00540B32" w:rsidRDefault="00882BC6" w:rsidP="00E17DE0">
      <w:pPr>
        <w:pStyle w:val="ItemHead"/>
      </w:pPr>
      <w:r w:rsidRPr="00540B32">
        <w:t>13</w:t>
      </w:r>
      <w:r w:rsidR="00AF5F72" w:rsidRPr="00540B32">
        <w:t xml:space="preserve">  </w:t>
      </w:r>
      <w:r w:rsidR="00F44636" w:rsidRPr="00540B32">
        <w:t>Schedule</w:t>
      </w:r>
      <w:r w:rsidR="00540B32" w:rsidRPr="00540B32">
        <w:t> </w:t>
      </w:r>
      <w:r w:rsidR="00F44636" w:rsidRPr="00540B32">
        <w:t>2 (</w:t>
      </w:r>
      <w:r w:rsidR="00F26000" w:rsidRPr="00540B32">
        <w:t>a</w:t>
      </w:r>
      <w:r w:rsidR="00F44636" w:rsidRPr="00540B32">
        <w:t xml:space="preserve">t the end of the table items </w:t>
      </w:r>
      <w:r w:rsidR="00105AF8" w:rsidRPr="00540B32">
        <w:t>headed</w:t>
      </w:r>
      <w:r w:rsidR="00F44636" w:rsidRPr="00540B32">
        <w:t xml:space="preserve"> </w:t>
      </w:r>
      <w:r w:rsidR="00105AF8" w:rsidRPr="00540B32">
        <w:t>“</w:t>
      </w:r>
      <w:r w:rsidR="00F44636" w:rsidRPr="00540B32">
        <w:t>Victoria</w:t>
      </w:r>
      <w:r w:rsidR="00105AF8" w:rsidRPr="00540B32">
        <w:t>”</w:t>
      </w:r>
      <w:r w:rsidR="00F44636" w:rsidRPr="00540B32">
        <w:t>)</w:t>
      </w:r>
    </w:p>
    <w:p w:rsidR="00F44636" w:rsidRPr="00540B32" w:rsidRDefault="00105AF8" w:rsidP="00E17DE0">
      <w:pPr>
        <w:pStyle w:val="Item"/>
      </w:pPr>
      <w:r w:rsidRPr="00540B32">
        <w:t>Add</w:t>
      </w:r>
      <w:r w:rsidR="00F44636" w:rsidRPr="00540B32">
        <w:t>:</w:t>
      </w:r>
    </w:p>
    <w:tbl>
      <w:tblPr>
        <w:tblW w:w="7393" w:type="dxa"/>
        <w:tblInd w:w="-82" w:type="dxa"/>
        <w:tblBorders>
          <w:top w:val="single" w:sz="4" w:space="0" w:color="auto"/>
          <w:bottom w:val="single" w:sz="2" w:space="0" w:color="auto"/>
          <w:insideH w:val="single" w:sz="4" w:space="0" w:color="auto"/>
        </w:tblBorders>
        <w:tblLayout w:type="fixed"/>
        <w:tblCellMar>
          <w:left w:w="60" w:type="dxa"/>
          <w:right w:w="60" w:type="dxa"/>
        </w:tblCellMar>
        <w:tblLook w:val="0000" w:firstRow="0" w:lastRow="0" w:firstColumn="0" w:lastColumn="0" w:noHBand="0" w:noVBand="0"/>
      </w:tblPr>
      <w:tblGrid>
        <w:gridCol w:w="2046"/>
        <w:gridCol w:w="5347"/>
      </w:tblGrid>
      <w:tr w:rsidR="00E17DE0" w:rsidRPr="00540B32" w:rsidTr="00666FE9">
        <w:tc>
          <w:tcPr>
            <w:tcW w:w="2046" w:type="dxa"/>
            <w:tcBorders>
              <w:top w:val="nil"/>
              <w:bottom w:val="single" w:sz="4" w:space="0" w:color="auto"/>
            </w:tcBorders>
            <w:shd w:val="clear" w:color="auto" w:fill="auto"/>
          </w:tcPr>
          <w:p w:rsidR="0065401A" w:rsidRPr="00540B32" w:rsidRDefault="0065401A" w:rsidP="00E17DE0">
            <w:pPr>
              <w:pStyle w:val="Tabletext"/>
            </w:pPr>
            <w:r w:rsidRPr="00540B32">
              <w:t xml:space="preserve">Lang </w:t>
            </w:r>
            <w:proofErr w:type="spellStart"/>
            <w:r w:rsidRPr="00540B32">
              <w:t>Lang</w:t>
            </w:r>
            <w:proofErr w:type="spellEnd"/>
          </w:p>
        </w:tc>
        <w:tc>
          <w:tcPr>
            <w:tcW w:w="5347" w:type="dxa"/>
            <w:tcBorders>
              <w:top w:val="nil"/>
              <w:bottom w:val="single" w:sz="4" w:space="0" w:color="auto"/>
            </w:tcBorders>
            <w:shd w:val="clear" w:color="auto" w:fill="auto"/>
          </w:tcPr>
          <w:p w:rsidR="0065401A" w:rsidRPr="00540B32" w:rsidRDefault="0065401A" w:rsidP="00E17DE0">
            <w:pPr>
              <w:pStyle w:val="Tabletext"/>
            </w:pPr>
            <w:r w:rsidRPr="00540B32">
              <w:t xml:space="preserve">In respect of the pipeline conveying natural gas from the Lang </w:t>
            </w:r>
            <w:proofErr w:type="spellStart"/>
            <w:r w:rsidRPr="00540B32">
              <w:t>Lang</w:t>
            </w:r>
            <w:proofErr w:type="spellEnd"/>
            <w:r w:rsidRPr="00540B32">
              <w:t xml:space="preserve"> gas plant to the South Gippsland </w:t>
            </w:r>
            <w:r w:rsidR="009E6B02" w:rsidRPr="00540B32">
              <w:t>p</w:t>
            </w:r>
            <w:r w:rsidRPr="00540B32">
              <w:t>ipeline (</w:t>
            </w:r>
            <w:r w:rsidR="00F94A08" w:rsidRPr="00540B32">
              <w:t xml:space="preserve">pipeline licence number </w:t>
            </w:r>
            <w:r w:rsidRPr="00540B32">
              <w:t xml:space="preserve">VIC/PL261), the 4” </w:t>
            </w:r>
            <w:r w:rsidR="009E6B02" w:rsidRPr="00540B32">
              <w:t>f</w:t>
            </w:r>
            <w:r w:rsidRPr="00540B32">
              <w:t>lange immediately outside t</w:t>
            </w:r>
            <w:r w:rsidR="006B638E" w:rsidRPr="00540B32">
              <w:t xml:space="preserve">he fence of </w:t>
            </w:r>
            <w:r w:rsidR="00636CB6" w:rsidRPr="00540B32">
              <w:t>the plant</w:t>
            </w:r>
          </w:p>
          <w:p w:rsidR="0065401A" w:rsidRPr="00540B32" w:rsidRDefault="0065401A" w:rsidP="00E17DE0">
            <w:pPr>
              <w:pStyle w:val="Tabletext"/>
            </w:pPr>
            <w:r w:rsidRPr="00540B32">
              <w:t xml:space="preserve">In respect of the pipeline conveying natural gas from the Lang </w:t>
            </w:r>
            <w:proofErr w:type="spellStart"/>
            <w:r w:rsidRPr="00540B32">
              <w:t>Lang</w:t>
            </w:r>
            <w:proofErr w:type="spellEnd"/>
            <w:r w:rsidRPr="00540B32">
              <w:t xml:space="preserve"> gas plant to the Lang </w:t>
            </w:r>
            <w:proofErr w:type="spellStart"/>
            <w:r w:rsidRPr="00540B32">
              <w:t>Lang</w:t>
            </w:r>
            <w:proofErr w:type="spellEnd"/>
            <w:r w:rsidRPr="00540B32">
              <w:t xml:space="preserve"> pipeline (</w:t>
            </w:r>
            <w:r w:rsidR="00F94A08" w:rsidRPr="00540B32">
              <w:t xml:space="preserve">pipeline licence number </w:t>
            </w:r>
            <w:r w:rsidRPr="00540B32">
              <w:t>VIC/PL265), the 6</w:t>
            </w:r>
            <w:r w:rsidR="008609E3" w:rsidRPr="00540B32">
              <w:t xml:space="preserve">” </w:t>
            </w:r>
            <w:r w:rsidRPr="00540B32">
              <w:t>underground flange inside the fence</w:t>
            </w:r>
            <w:r w:rsidR="00636CB6" w:rsidRPr="00540B32">
              <w:t xml:space="preserve"> </w:t>
            </w:r>
            <w:r w:rsidRPr="00540B32">
              <w:t>of the pipeline</w:t>
            </w:r>
            <w:r w:rsidR="006B638E" w:rsidRPr="00540B32">
              <w:t xml:space="preserve"> station at </w:t>
            </w:r>
            <w:r w:rsidR="00636CB6" w:rsidRPr="00540B32">
              <w:t>the plant</w:t>
            </w:r>
          </w:p>
          <w:p w:rsidR="0065401A" w:rsidRPr="00540B32" w:rsidRDefault="0065401A" w:rsidP="00E17DE0">
            <w:pPr>
              <w:pStyle w:val="Tabletext"/>
            </w:pPr>
            <w:r w:rsidRPr="00540B32">
              <w:t xml:space="preserve">In respect of the pipeline conveying natural gas from the Lang </w:t>
            </w:r>
            <w:proofErr w:type="spellStart"/>
            <w:r w:rsidRPr="00540B32">
              <w:t>Lang</w:t>
            </w:r>
            <w:proofErr w:type="spellEnd"/>
            <w:r w:rsidRPr="00540B32">
              <w:t xml:space="preserve"> gas plant to the Pakenham Station, the last </w:t>
            </w:r>
            <w:r w:rsidR="009E6B02" w:rsidRPr="00540B32">
              <w:t>f</w:t>
            </w:r>
            <w:r w:rsidRPr="00540B32">
              <w:t xml:space="preserve">lange </w:t>
            </w:r>
            <w:r w:rsidR="009E6B02" w:rsidRPr="00540B32">
              <w:t>u</w:t>
            </w:r>
            <w:r w:rsidRPr="00540B32">
              <w:t xml:space="preserve">pstream of </w:t>
            </w:r>
            <w:r w:rsidR="003642CF" w:rsidRPr="00540B32">
              <w:t xml:space="preserve">the </w:t>
            </w:r>
            <w:r w:rsidRPr="00540B32">
              <w:t xml:space="preserve">flow metering skid at </w:t>
            </w:r>
            <w:r w:rsidR="00636CB6" w:rsidRPr="00540B32">
              <w:t xml:space="preserve">the </w:t>
            </w:r>
            <w:r w:rsidR="00266420" w:rsidRPr="00540B32">
              <w:t>s</w:t>
            </w:r>
            <w:r w:rsidR="006B638E" w:rsidRPr="00540B32">
              <w:t>tation</w:t>
            </w:r>
          </w:p>
        </w:tc>
      </w:tr>
      <w:tr w:rsidR="00E17DE0" w:rsidRPr="00540B32" w:rsidTr="00666FE9">
        <w:tc>
          <w:tcPr>
            <w:tcW w:w="2046" w:type="dxa"/>
            <w:tcBorders>
              <w:top w:val="single" w:sz="4" w:space="0" w:color="auto"/>
              <w:bottom w:val="single" w:sz="4" w:space="0" w:color="auto"/>
            </w:tcBorders>
            <w:shd w:val="clear" w:color="auto" w:fill="auto"/>
          </w:tcPr>
          <w:p w:rsidR="0065401A" w:rsidRPr="00540B32" w:rsidRDefault="007729D7" w:rsidP="00E17DE0">
            <w:pPr>
              <w:pStyle w:val="Tabletext"/>
            </w:pPr>
            <w:r w:rsidRPr="00540B32">
              <w:t>Iona</w:t>
            </w:r>
          </w:p>
        </w:tc>
        <w:tc>
          <w:tcPr>
            <w:tcW w:w="5347" w:type="dxa"/>
            <w:tcBorders>
              <w:top w:val="single" w:sz="4" w:space="0" w:color="auto"/>
              <w:bottom w:val="single" w:sz="4" w:space="0" w:color="auto"/>
            </w:tcBorders>
            <w:shd w:val="clear" w:color="auto" w:fill="auto"/>
          </w:tcPr>
          <w:p w:rsidR="00AF5F72" w:rsidRPr="00540B32" w:rsidRDefault="00AF5F72" w:rsidP="00E17DE0">
            <w:pPr>
              <w:pStyle w:val="Tabletext"/>
            </w:pPr>
            <w:r w:rsidRPr="00540B32">
              <w:t xml:space="preserve">In respect of the pipeline conveying natural gas from the Iona gas plant to the Victorian gas transmission grid, the exit flange downstream </w:t>
            </w:r>
            <w:r w:rsidR="009E6B02" w:rsidRPr="00540B32">
              <w:t>of meter FT463081, which has a m</w:t>
            </w:r>
            <w:r w:rsidRPr="00540B32">
              <w:t xml:space="preserve">etering </w:t>
            </w:r>
            <w:r w:rsidR="009E6B02" w:rsidRPr="00540B32">
              <w:t>i</w:t>
            </w:r>
            <w:r w:rsidRPr="00540B32">
              <w:t xml:space="preserve">nstallation </w:t>
            </w:r>
            <w:r w:rsidR="009E6B02" w:rsidRPr="00540B32">
              <w:t>r</w:t>
            </w:r>
            <w:r w:rsidRPr="00540B32">
              <w:t>egistrat</w:t>
            </w:r>
            <w:r w:rsidR="006B638E" w:rsidRPr="00540B32">
              <w:t xml:space="preserve">ion </w:t>
            </w:r>
            <w:r w:rsidR="009E6B02" w:rsidRPr="00540B32">
              <w:t>n</w:t>
            </w:r>
            <w:r w:rsidR="006B638E" w:rsidRPr="00540B32">
              <w:t>umber 30000154PC</w:t>
            </w:r>
          </w:p>
          <w:p w:rsidR="0065401A" w:rsidRPr="00540B32" w:rsidRDefault="00AF5F72" w:rsidP="00E17DE0">
            <w:pPr>
              <w:pStyle w:val="Tabletext"/>
            </w:pPr>
            <w:r w:rsidRPr="00540B32">
              <w:t xml:space="preserve">In respect of the pipeline conveying natural gas from the Iona gas plant to </w:t>
            </w:r>
            <w:r w:rsidR="000A017B" w:rsidRPr="00540B32">
              <w:t xml:space="preserve">the </w:t>
            </w:r>
            <w:r w:rsidRPr="00540B32">
              <w:t>South Australia</w:t>
            </w:r>
            <w:r w:rsidR="000A017B" w:rsidRPr="00540B32">
              <w:t>n gas transmission grid</w:t>
            </w:r>
            <w:r w:rsidRPr="00540B32">
              <w:t>, the connection upstream of S</w:t>
            </w:r>
            <w:r w:rsidR="000A017B" w:rsidRPr="00540B32">
              <w:t xml:space="preserve">outh </w:t>
            </w:r>
            <w:r w:rsidRPr="00540B32">
              <w:t>E</w:t>
            </w:r>
            <w:r w:rsidR="000A017B" w:rsidRPr="00540B32">
              <w:t xml:space="preserve">ast </w:t>
            </w:r>
            <w:r w:rsidRPr="00540B32">
              <w:t>A</w:t>
            </w:r>
            <w:r w:rsidR="000A017B" w:rsidRPr="00540B32">
              <w:t xml:space="preserve">ustralia Gas (SEA Gas) </w:t>
            </w:r>
            <w:r w:rsidR="000A017B" w:rsidRPr="00540B32">
              <w:lastRenderedPageBreak/>
              <w:t>pipeline</w:t>
            </w:r>
            <w:r w:rsidRPr="00540B32">
              <w:t xml:space="preserve"> meter FT9207 in the secure fenced SEA </w:t>
            </w:r>
            <w:r w:rsidR="000A017B" w:rsidRPr="00540B32">
              <w:t>G</w:t>
            </w:r>
            <w:r w:rsidRPr="00540B32">
              <w:t>as yar</w:t>
            </w:r>
            <w:r w:rsidR="006B638E" w:rsidRPr="00540B32">
              <w:t>d located at the plant</w:t>
            </w:r>
          </w:p>
        </w:tc>
      </w:tr>
      <w:tr w:rsidR="00E17DE0" w:rsidRPr="00540B32" w:rsidTr="00666FE9">
        <w:tc>
          <w:tcPr>
            <w:tcW w:w="2046" w:type="dxa"/>
            <w:tcBorders>
              <w:bottom w:val="nil"/>
            </w:tcBorders>
            <w:shd w:val="clear" w:color="auto" w:fill="auto"/>
          </w:tcPr>
          <w:p w:rsidR="0065401A" w:rsidRPr="00540B32" w:rsidRDefault="00AF5F72" w:rsidP="00E17DE0">
            <w:pPr>
              <w:pStyle w:val="Tabletext"/>
            </w:pPr>
            <w:r w:rsidRPr="00540B32">
              <w:lastRenderedPageBreak/>
              <w:t>Otway</w:t>
            </w:r>
          </w:p>
        </w:tc>
        <w:tc>
          <w:tcPr>
            <w:tcW w:w="5347" w:type="dxa"/>
            <w:tcBorders>
              <w:bottom w:val="nil"/>
            </w:tcBorders>
            <w:shd w:val="clear" w:color="auto" w:fill="auto"/>
          </w:tcPr>
          <w:p w:rsidR="00AF5F72" w:rsidRPr="00540B32" w:rsidRDefault="00AF5F72" w:rsidP="00E17DE0">
            <w:pPr>
              <w:pStyle w:val="Tabletext"/>
            </w:pPr>
            <w:r w:rsidRPr="00540B32">
              <w:t xml:space="preserve">In respect of the pipeline conveying natural gas from the Otway gas plant to the Iona </w:t>
            </w:r>
            <w:r w:rsidR="009E6B02" w:rsidRPr="00540B32">
              <w:t>g</w:t>
            </w:r>
            <w:r w:rsidRPr="00540B32">
              <w:t xml:space="preserve">as </w:t>
            </w:r>
            <w:r w:rsidR="009E6B02" w:rsidRPr="00540B32">
              <w:t>p</w:t>
            </w:r>
            <w:r w:rsidRPr="00540B32">
              <w:t>lant, the last flange or j</w:t>
            </w:r>
            <w:r w:rsidR="006B638E" w:rsidRPr="00540B32">
              <w:t xml:space="preserve">oint inside the Otway </w:t>
            </w:r>
            <w:r w:rsidR="009E6B02" w:rsidRPr="00540B32">
              <w:t>g</w:t>
            </w:r>
            <w:r w:rsidR="006B638E" w:rsidRPr="00540B32">
              <w:t xml:space="preserve">as </w:t>
            </w:r>
            <w:r w:rsidR="009E6B02" w:rsidRPr="00540B32">
              <w:t>p</w:t>
            </w:r>
            <w:r w:rsidR="006B638E" w:rsidRPr="00540B32">
              <w:t>lant</w:t>
            </w:r>
          </w:p>
          <w:p w:rsidR="00AF5F72" w:rsidRPr="00540B32" w:rsidRDefault="00AF5F72" w:rsidP="00E17DE0">
            <w:pPr>
              <w:pStyle w:val="Tabletext"/>
            </w:pPr>
            <w:r w:rsidRPr="00540B32">
              <w:t xml:space="preserve">In respect of the pipeline conveying natural gas from the Otway gas plant to the SEA </w:t>
            </w:r>
            <w:r w:rsidR="009E6B02" w:rsidRPr="00540B32">
              <w:t>g</w:t>
            </w:r>
            <w:r w:rsidRPr="00540B32">
              <w:t xml:space="preserve">as </w:t>
            </w:r>
            <w:r w:rsidR="009E6B02" w:rsidRPr="00540B32">
              <w:t>p</w:t>
            </w:r>
            <w:r w:rsidRPr="00540B32">
              <w:t>ipeline (</w:t>
            </w:r>
            <w:r w:rsidR="00F94A08" w:rsidRPr="00540B32">
              <w:t xml:space="preserve">pipeline licence number </w:t>
            </w:r>
            <w:r w:rsidRPr="00540B32">
              <w:t>VIC/PL239), the last flange or j</w:t>
            </w:r>
            <w:r w:rsidR="006B638E" w:rsidRPr="00540B32">
              <w:t xml:space="preserve">oint inside the </w:t>
            </w:r>
            <w:r w:rsidR="00636CB6" w:rsidRPr="00540B32">
              <w:t>p</w:t>
            </w:r>
            <w:r w:rsidR="006B638E" w:rsidRPr="00540B32">
              <w:t>lant</w:t>
            </w:r>
          </w:p>
          <w:p w:rsidR="0065401A" w:rsidRPr="00540B32" w:rsidRDefault="00AF5F72" w:rsidP="00E17DE0">
            <w:pPr>
              <w:pStyle w:val="Tabletext"/>
            </w:pPr>
            <w:r w:rsidRPr="00540B32">
              <w:t xml:space="preserve">In respect of the pipeline conveying natural gas from the Otway gas plant to the South West </w:t>
            </w:r>
            <w:r w:rsidR="009E6B02" w:rsidRPr="00540B32">
              <w:t>p</w:t>
            </w:r>
            <w:r w:rsidRPr="00540B32">
              <w:t>ipeline (</w:t>
            </w:r>
            <w:r w:rsidR="00F94A08" w:rsidRPr="00540B32">
              <w:t xml:space="preserve">pipeline licence number </w:t>
            </w:r>
            <w:r w:rsidRPr="00540B32">
              <w:t xml:space="preserve">VIC/PL231), the last flange or joint inside the </w:t>
            </w:r>
            <w:r w:rsidR="00636CB6" w:rsidRPr="00540B32">
              <w:t>plant</w:t>
            </w:r>
          </w:p>
        </w:tc>
      </w:tr>
    </w:tbl>
    <w:p w:rsidR="00AF5F72" w:rsidRPr="00540B32" w:rsidRDefault="00882BC6" w:rsidP="00E17DE0">
      <w:pPr>
        <w:pStyle w:val="ItemHead"/>
      </w:pPr>
      <w:r w:rsidRPr="00540B32">
        <w:t>14</w:t>
      </w:r>
      <w:r w:rsidR="00AF5F72" w:rsidRPr="00540B32">
        <w:t xml:space="preserve">  Schedule</w:t>
      </w:r>
      <w:r w:rsidR="00540B32" w:rsidRPr="00540B32">
        <w:t> </w:t>
      </w:r>
      <w:r w:rsidR="00AF5F72" w:rsidRPr="00540B32">
        <w:t>2 (</w:t>
      </w:r>
      <w:r w:rsidR="00F26000" w:rsidRPr="00540B32">
        <w:t>a</w:t>
      </w:r>
      <w:r w:rsidR="00AF5F72" w:rsidRPr="00540B32">
        <w:t xml:space="preserve">t the end of the table items </w:t>
      </w:r>
      <w:r w:rsidR="00105AF8" w:rsidRPr="00540B32">
        <w:t>headed</w:t>
      </w:r>
      <w:r w:rsidR="00AF5F72" w:rsidRPr="00540B32">
        <w:t xml:space="preserve"> </w:t>
      </w:r>
      <w:r w:rsidR="00105AF8" w:rsidRPr="00540B32">
        <w:t>“</w:t>
      </w:r>
      <w:r w:rsidR="00AF5F72" w:rsidRPr="00540B32">
        <w:t>Queensland</w:t>
      </w:r>
      <w:r w:rsidR="00105AF8" w:rsidRPr="00540B32">
        <w:t>”</w:t>
      </w:r>
      <w:r w:rsidR="00AF5F72" w:rsidRPr="00540B32">
        <w:t>)</w:t>
      </w:r>
    </w:p>
    <w:p w:rsidR="00AF5F72" w:rsidRPr="00540B32" w:rsidRDefault="00105AF8" w:rsidP="00E17DE0">
      <w:pPr>
        <w:pStyle w:val="Item"/>
      </w:pPr>
      <w:r w:rsidRPr="00540B32">
        <w:t>Add</w:t>
      </w:r>
      <w:r w:rsidR="00AF5F72" w:rsidRPr="00540B32">
        <w:t>:</w:t>
      </w:r>
    </w:p>
    <w:tbl>
      <w:tblPr>
        <w:tblW w:w="7393" w:type="dxa"/>
        <w:tblInd w:w="-82" w:type="dxa"/>
        <w:tblBorders>
          <w:top w:val="single" w:sz="4" w:space="0" w:color="auto"/>
          <w:bottom w:val="single" w:sz="2" w:space="0" w:color="auto"/>
          <w:insideH w:val="single" w:sz="4" w:space="0" w:color="auto"/>
        </w:tblBorders>
        <w:tblLayout w:type="fixed"/>
        <w:tblCellMar>
          <w:left w:w="60" w:type="dxa"/>
          <w:right w:w="60" w:type="dxa"/>
        </w:tblCellMar>
        <w:tblLook w:val="0000" w:firstRow="0" w:lastRow="0" w:firstColumn="0" w:lastColumn="0" w:noHBand="0" w:noVBand="0"/>
      </w:tblPr>
      <w:tblGrid>
        <w:gridCol w:w="2046"/>
        <w:gridCol w:w="5347"/>
      </w:tblGrid>
      <w:tr w:rsidR="00E17DE0" w:rsidRPr="00540B32" w:rsidTr="00666FE9">
        <w:tc>
          <w:tcPr>
            <w:tcW w:w="2046" w:type="dxa"/>
            <w:tcBorders>
              <w:top w:val="nil"/>
              <w:bottom w:val="single" w:sz="4" w:space="0" w:color="auto"/>
            </w:tcBorders>
            <w:shd w:val="clear" w:color="auto" w:fill="auto"/>
          </w:tcPr>
          <w:p w:rsidR="00AF5F72" w:rsidRPr="00540B32" w:rsidRDefault="00AF5F72" w:rsidP="00E17DE0">
            <w:pPr>
              <w:pStyle w:val="Tabletext"/>
            </w:pPr>
            <w:r w:rsidRPr="00540B32">
              <w:t>Moranbah</w:t>
            </w:r>
          </w:p>
        </w:tc>
        <w:tc>
          <w:tcPr>
            <w:tcW w:w="5347" w:type="dxa"/>
            <w:tcBorders>
              <w:top w:val="nil"/>
              <w:bottom w:val="single" w:sz="4" w:space="0" w:color="auto"/>
            </w:tcBorders>
            <w:shd w:val="clear" w:color="auto" w:fill="auto"/>
          </w:tcPr>
          <w:p w:rsidR="00AF5F72" w:rsidRPr="00540B32" w:rsidRDefault="00AF5F72" w:rsidP="00E17DE0">
            <w:pPr>
              <w:pStyle w:val="Tabletext"/>
            </w:pPr>
            <w:r w:rsidRPr="00540B32">
              <w:t>The exit flange or connection point associated with the Moranbah upstream producing operation a</w:t>
            </w:r>
            <w:r w:rsidR="00266420" w:rsidRPr="00540B32">
              <w:t>t</w:t>
            </w:r>
            <w:r w:rsidRPr="00540B32">
              <w:t xml:space="preserve"> the point where the North Queensland </w:t>
            </w:r>
            <w:r w:rsidR="009E6B02" w:rsidRPr="00540B32">
              <w:t>g</w:t>
            </w:r>
            <w:r w:rsidRPr="00540B32">
              <w:t xml:space="preserve">as </w:t>
            </w:r>
            <w:r w:rsidR="009E6B02" w:rsidRPr="00540B32">
              <w:t>p</w:t>
            </w:r>
            <w:r w:rsidRPr="00540B32">
              <w:t>ipeline connects to the outlet of the</w:t>
            </w:r>
            <w:r w:rsidR="00266420" w:rsidRPr="00540B32">
              <w:t xml:space="preserve"> </w:t>
            </w:r>
            <w:r w:rsidRPr="00540B32">
              <w:t xml:space="preserve">gas meter at the Moranbah gas processing facility </w:t>
            </w:r>
            <w:r w:rsidR="00266420" w:rsidRPr="00540B32">
              <w:t>(</w:t>
            </w:r>
            <w:r w:rsidRPr="00540B32">
              <w:t xml:space="preserve">also known as the Moranbah </w:t>
            </w:r>
            <w:r w:rsidR="00266420" w:rsidRPr="00540B32">
              <w:t>c</w:t>
            </w:r>
            <w:r w:rsidR="006B638E" w:rsidRPr="00540B32">
              <w:t xml:space="preserve">entral </w:t>
            </w:r>
            <w:r w:rsidR="00266420" w:rsidRPr="00540B32">
              <w:t>g</w:t>
            </w:r>
            <w:r w:rsidR="006B638E" w:rsidRPr="00540B32">
              <w:t xml:space="preserve">as </w:t>
            </w:r>
            <w:r w:rsidR="00266420" w:rsidRPr="00540B32">
              <w:t>p</w:t>
            </w:r>
            <w:r w:rsidR="006B638E" w:rsidRPr="00540B32">
              <w:t xml:space="preserve">rocessing </w:t>
            </w:r>
            <w:r w:rsidR="00266420" w:rsidRPr="00540B32">
              <w:t>f</w:t>
            </w:r>
            <w:r w:rsidR="006B638E" w:rsidRPr="00540B32">
              <w:t>acility</w:t>
            </w:r>
            <w:r w:rsidR="00266420" w:rsidRPr="00540B32">
              <w:t>)</w:t>
            </w:r>
          </w:p>
        </w:tc>
      </w:tr>
      <w:tr w:rsidR="00E17DE0" w:rsidRPr="00540B32" w:rsidTr="00666FE9">
        <w:tc>
          <w:tcPr>
            <w:tcW w:w="2046" w:type="dxa"/>
            <w:tcBorders>
              <w:top w:val="single" w:sz="4" w:space="0" w:color="auto"/>
            </w:tcBorders>
            <w:shd w:val="clear" w:color="auto" w:fill="auto"/>
          </w:tcPr>
          <w:p w:rsidR="00AF5F72" w:rsidRPr="00540B32" w:rsidRDefault="00AF5F72" w:rsidP="00E17DE0">
            <w:pPr>
              <w:pStyle w:val="Tabletext"/>
            </w:pPr>
            <w:proofErr w:type="spellStart"/>
            <w:r w:rsidRPr="00540B32">
              <w:t>Kogan</w:t>
            </w:r>
            <w:proofErr w:type="spellEnd"/>
            <w:r w:rsidRPr="00540B32">
              <w:t xml:space="preserve"> North</w:t>
            </w:r>
          </w:p>
        </w:tc>
        <w:tc>
          <w:tcPr>
            <w:tcW w:w="5347" w:type="dxa"/>
            <w:tcBorders>
              <w:top w:val="single" w:sz="4" w:space="0" w:color="auto"/>
            </w:tcBorders>
            <w:shd w:val="clear" w:color="auto" w:fill="auto"/>
          </w:tcPr>
          <w:p w:rsidR="00AF5F72" w:rsidRPr="00540B32" w:rsidRDefault="00AF5F72" w:rsidP="00E17DE0">
            <w:pPr>
              <w:pStyle w:val="Tabletext"/>
            </w:pPr>
            <w:r w:rsidRPr="00540B32">
              <w:t xml:space="preserve">The exit flange or connection point associated with the </w:t>
            </w:r>
            <w:proofErr w:type="spellStart"/>
            <w:r w:rsidRPr="00540B32">
              <w:t>Kogan</w:t>
            </w:r>
            <w:proofErr w:type="spellEnd"/>
            <w:r w:rsidRPr="00540B32">
              <w:t xml:space="preserve"> </w:t>
            </w:r>
            <w:r w:rsidR="00F94A08" w:rsidRPr="00540B32">
              <w:t>North central gas processing plant</w:t>
            </w:r>
            <w:r w:rsidRPr="00540B32">
              <w:t xml:space="preserve"> where the exit lateral connects to the outlet of the gas meter at the </w:t>
            </w:r>
            <w:r w:rsidR="00F94A08" w:rsidRPr="00540B32">
              <w:t>plant</w:t>
            </w:r>
          </w:p>
        </w:tc>
      </w:tr>
      <w:tr w:rsidR="00E17DE0" w:rsidRPr="00540B32" w:rsidTr="00666FE9">
        <w:tc>
          <w:tcPr>
            <w:tcW w:w="2046" w:type="dxa"/>
            <w:shd w:val="clear" w:color="auto" w:fill="auto"/>
          </w:tcPr>
          <w:p w:rsidR="00AF5F72" w:rsidRPr="00540B32" w:rsidRDefault="00AF5F72" w:rsidP="00E17DE0">
            <w:pPr>
              <w:pStyle w:val="Tabletext"/>
            </w:pPr>
            <w:proofErr w:type="spellStart"/>
            <w:r w:rsidRPr="00540B32">
              <w:t>Daandine</w:t>
            </w:r>
            <w:proofErr w:type="spellEnd"/>
          </w:p>
        </w:tc>
        <w:tc>
          <w:tcPr>
            <w:tcW w:w="5347" w:type="dxa"/>
            <w:shd w:val="clear" w:color="auto" w:fill="auto"/>
          </w:tcPr>
          <w:p w:rsidR="00AF5F72" w:rsidRPr="00540B32" w:rsidRDefault="00AF5F72" w:rsidP="00E17DE0">
            <w:pPr>
              <w:pStyle w:val="Tabletext"/>
            </w:pPr>
            <w:r w:rsidRPr="00540B32">
              <w:t xml:space="preserve">The exit flange or connection point associated with the </w:t>
            </w:r>
            <w:proofErr w:type="spellStart"/>
            <w:r w:rsidRPr="00540B32">
              <w:t>Daandine</w:t>
            </w:r>
            <w:proofErr w:type="spellEnd"/>
            <w:r w:rsidRPr="00540B32">
              <w:t xml:space="preserve"> </w:t>
            </w:r>
            <w:r w:rsidR="00F94A08" w:rsidRPr="00540B32">
              <w:t>central gas processing plant</w:t>
            </w:r>
            <w:r w:rsidRPr="00540B32">
              <w:t xml:space="preserve"> where the exit lateral connects to the outlet of the</w:t>
            </w:r>
            <w:r w:rsidR="00F94A08" w:rsidRPr="00540B32">
              <w:t xml:space="preserve"> plant</w:t>
            </w:r>
          </w:p>
        </w:tc>
      </w:tr>
      <w:tr w:rsidR="00E17DE0" w:rsidRPr="00540B32" w:rsidTr="00666FE9">
        <w:tc>
          <w:tcPr>
            <w:tcW w:w="2046" w:type="dxa"/>
            <w:shd w:val="clear" w:color="auto" w:fill="auto"/>
          </w:tcPr>
          <w:p w:rsidR="00AF5F72" w:rsidRPr="00540B32" w:rsidRDefault="00AF5F72" w:rsidP="00E17DE0">
            <w:pPr>
              <w:pStyle w:val="Tabletext"/>
            </w:pPr>
            <w:r w:rsidRPr="00540B32">
              <w:t>Tipton West</w:t>
            </w:r>
          </w:p>
        </w:tc>
        <w:tc>
          <w:tcPr>
            <w:tcW w:w="5347" w:type="dxa"/>
            <w:shd w:val="clear" w:color="auto" w:fill="auto"/>
          </w:tcPr>
          <w:p w:rsidR="00AF5F72" w:rsidRPr="00540B32" w:rsidRDefault="00AF5F72" w:rsidP="00E17DE0">
            <w:pPr>
              <w:pStyle w:val="Tabletext"/>
            </w:pPr>
            <w:r w:rsidRPr="00540B32">
              <w:t xml:space="preserve">The exit flange or connection point associated with the Tipton </w:t>
            </w:r>
            <w:r w:rsidR="002144D7" w:rsidRPr="00540B32">
              <w:t>West central gas processing plant</w:t>
            </w:r>
            <w:r w:rsidRPr="00540B32">
              <w:t xml:space="preserve"> where the exit lateral connects to the outlet of the gas meter at the </w:t>
            </w:r>
            <w:r w:rsidR="002144D7" w:rsidRPr="00540B32">
              <w:t>plant</w:t>
            </w:r>
          </w:p>
        </w:tc>
      </w:tr>
      <w:tr w:rsidR="00E17DE0" w:rsidRPr="00540B32" w:rsidTr="00666FE9">
        <w:tc>
          <w:tcPr>
            <w:tcW w:w="2046" w:type="dxa"/>
            <w:shd w:val="clear" w:color="auto" w:fill="auto"/>
          </w:tcPr>
          <w:p w:rsidR="00AF5F72" w:rsidRPr="00540B32" w:rsidRDefault="00AF5F72" w:rsidP="00E17DE0">
            <w:pPr>
              <w:pStyle w:val="Tabletext"/>
            </w:pPr>
            <w:proofErr w:type="spellStart"/>
            <w:r w:rsidRPr="00540B32">
              <w:t>Talinga</w:t>
            </w:r>
            <w:proofErr w:type="spellEnd"/>
          </w:p>
        </w:tc>
        <w:tc>
          <w:tcPr>
            <w:tcW w:w="5347" w:type="dxa"/>
            <w:shd w:val="clear" w:color="auto" w:fill="auto"/>
          </w:tcPr>
          <w:p w:rsidR="00AF5F72" w:rsidRPr="00540B32" w:rsidRDefault="00AF5F72" w:rsidP="00E17DE0">
            <w:pPr>
              <w:pStyle w:val="Tabletext"/>
            </w:pPr>
            <w:r w:rsidRPr="00540B32">
              <w:t>The 250NB class 900 flange located immediately upstream of the</w:t>
            </w:r>
            <w:r w:rsidR="006B638E" w:rsidRPr="00540B32">
              <w:t xml:space="preserve"> </w:t>
            </w:r>
            <w:r w:rsidRPr="00540B32">
              <w:t xml:space="preserve">spectacle blind that is immediately upstream of the DN250 class 900 </w:t>
            </w:r>
            <w:proofErr w:type="spellStart"/>
            <w:r w:rsidRPr="00540B32">
              <w:t>Talinga</w:t>
            </w:r>
            <w:proofErr w:type="spellEnd"/>
            <w:r w:rsidRPr="00540B32">
              <w:t xml:space="preserve"> Meter Sta</w:t>
            </w:r>
            <w:r w:rsidR="006B638E" w:rsidRPr="00540B32">
              <w:t xml:space="preserve">tion shutdown valve </w:t>
            </w:r>
            <w:proofErr w:type="spellStart"/>
            <w:r w:rsidR="006B638E" w:rsidRPr="00540B32">
              <w:t>SDV</w:t>
            </w:r>
            <w:proofErr w:type="spellEnd"/>
            <w:r w:rsidR="006B638E" w:rsidRPr="00540B32">
              <w:t xml:space="preserve"> 030</w:t>
            </w:r>
            <w:r w:rsidR="00540B32">
              <w:noBreakHyphen/>
            </w:r>
            <w:r w:rsidR="006B638E" w:rsidRPr="00540B32">
              <w:t>002</w:t>
            </w:r>
          </w:p>
        </w:tc>
      </w:tr>
      <w:tr w:rsidR="00E17DE0" w:rsidRPr="00540B32" w:rsidTr="00666FE9">
        <w:tc>
          <w:tcPr>
            <w:tcW w:w="2046" w:type="dxa"/>
            <w:shd w:val="clear" w:color="auto" w:fill="auto"/>
          </w:tcPr>
          <w:p w:rsidR="00AF5F72" w:rsidRPr="00540B32" w:rsidRDefault="00AF5F72" w:rsidP="00E17DE0">
            <w:pPr>
              <w:pStyle w:val="Tabletext"/>
            </w:pPr>
            <w:r w:rsidRPr="00540B32">
              <w:t>Peat</w:t>
            </w:r>
          </w:p>
        </w:tc>
        <w:tc>
          <w:tcPr>
            <w:tcW w:w="5347" w:type="dxa"/>
            <w:shd w:val="clear" w:color="auto" w:fill="auto"/>
          </w:tcPr>
          <w:p w:rsidR="00AF5F72" w:rsidRPr="00540B32" w:rsidRDefault="00AF5F72" w:rsidP="00E17DE0">
            <w:pPr>
              <w:pStyle w:val="Tabletext"/>
            </w:pPr>
            <w:r w:rsidRPr="00540B32">
              <w:t xml:space="preserve">The 100NB class 900 flange located immediately downstream of the </w:t>
            </w:r>
            <w:r w:rsidR="00266420" w:rsidRPr="00540B32">
              <w:t xml:space="preserve">Peat gas processing </w:t>
            </w:r>
            <w:r w:rsidRPr="00540B32">
              <w:t xml:space="preserve">plant shut down valve </w:t>
            </w:r>
            <w:r w:rsidR="00266420" w:rsidRPr="00540B32">
              <w:t xml:space="preserve">that is </w:t>
            </w:r>
            <w:r w:rsidRPr="00540B32">
              <w:t>immediately downstream of the moisture a</w:t>
            </w:r>
            <w:r w:rsidR="006B638E" w:rsidRPr="00540B32">
              <w:t>nalyser</w:t>
            </w:r>
          </w:p>
        </w:tc>
      </w:tr>
      <w:tr w:rsidR="00E17DE0" w:rsidRPr="00540B32" w:rsidTr="00666FE9">
        <w:tc>
          <w:tcPr>
            <w:tcW w:w="2046" w:type="dxa"/>
            <w:shd w:val="clear" w:color="auto" w:fill="auto"/>
          </w:tcPr>
          <w:p w:rsidR="00AF5F72" w:rsidRPr="00540B32" w:rsidRDefault="00AF5F72" w:rsidP="00E17DE0">
            <w:pPr>
              <w:pStyle w:val="Tabletext"/>
            </w:pPr>
            <w:r w:rsidRPr="00540B32">
              <w:t>Strathblane</w:t>
            </w:r>
          </w:p>
        </w:tc>
        <w:tc>
          <w:tcPr>
            <w:tcW w:w="5347" w:type="dxa"/>
            <w:shd w:val="clear" w:color="auto" w:fill="auto"/>
          </w:tcPr>
          <w:p w:rsidR="00AF5F72" w:rsidRPr="00540B32" w:rsidRDefault="00AF5F72" w:rsidP="00E17DE0">
            <w:pPr>
              <w:pStyle w:val="Tabletext"/>
            </w:pPr>
            <w:r w:rsidRPr="00540B32">
              <w:t xml:space="preserve">In respect of the pipeline </w:t>
            </w:r>
            <w:r w:rsidR="00266420" w:rsidRPr="00540B32">
              <w:t xml:space="preserve">linking </w:t>
            </w:r>
            <w:r w:rsidRPr="00540B32">
              <w:t xml:space="preserve">the </w:t>
            </w:r>
            <w:r w:rsidR="00A05607" w:rsidRPr="00540B32">
              <w:t>Strathblane</w:t>
            </w:r>
            <w:r w:rsidRPr="00540B32">
              <w:t xml:space="preserve"> </w:t>
            </w:r>
            <w:r w:rsidR="00266420" w:rsidRPr="00540B32">
              <w:t>g</w:t>
            </w:r>
            <w:r w:rsidRPr="00540B32">
              <w:t xml:space="preserve">as </w:t>
            </w:r>
            <w:r w:rsidR="00266420" w:rsidRPr="00540B32">
              <w:t>p</w:t>
            </w:r>
            <w:r w:rsidRPr="00540B32">
              <w:t xml:space="preserve">rocessing </w:t>
            </w:r>
            <w:r w:rsidR="00266420" w:rsidRPr="00540B32">
              <w:t>p</w:t>
            </w:r>
            <w:r w:rsidRPr="00540B32">
              <w:t xml:space="preserve">lant </w:t>
            </w:r>
            <w:r w:rsidR="00266420" w:rsidRPr="00540B32">
              <w:t>and</w:t>
            </w:r>
            <w:r w:rsidRPr="00540B32">
              <w:t xml:space="preserve"> the Spring Gully to Wallumbilla pipeline, the 250NB class 900 flange located in line 250</w:t>
            </w:r>
            <w:r w:rsidR="00540B32">
              <w:noBreakHyphen/>
            </w:r>
            <w:r w:rsidRPr="00540B32">
              <w:t>SG</w:t>
            </w:r>
            <w:r w:rsidR="00540B32">
              <w:noBreakHyphen/>
            </w:r>
            <w:r w:rsidRPr="00540B32">
              <w:t>001</w:t>
            </w:r>
            <w:r w:rsidR="00540B32">
              <w:noBreakHyphen/>
            </w:r>
            <w:r w:rsidRPr="00540B32">
              <w:t>#900</w:t>
            </w:r>
            <w:r w:rsidR="00540B32">
              <w:noBreakHyphen/>
            </w:r>
            <w:r w:rsidRPr="00540B32">
              <w:t xml:space="preserve">000 immediately upstream of the Spring Gully to Wallumbilla </w:t>
            </w:r>
            <w:r w:rsidR="006B638E" w:rsidRPr="00540B32">
              <w:lastRenderedPageBreak/>
              <w:t>pipeline Pig Launcher PL8000</w:t>
            </w:r>
            <w:r w:rsidR="00540B32">
              <w:noBreakHyphen/>
            </w:r>
            <w:r w:rsidR="006B638E" w:rsidRPr="00540B32">
              <w:t>03</w:t>
            </w:r>
          </w:p>
          <w:p w:rsidR="00260234" w:rsidRPr="00540B32" w:rsidRDefault="00AF5F72" w:rsidP="00E17DE0">
            <w:pPr>
              <w:pStyle w:val="Tabletext"/>
            </w:pPr>
            <w:r w:rsidRPr="00540B32">
              <w:t xml:space="preserve">In respect of the pipeline conveying natural gas from the </w:t>
            </w:r>
            <w:r w:rsidR="005B7656" w:rsidRPr="00540B32">
              <w:t>Strathblane</w:t>
            </w:r>
            <w:r w:rsidRPr="00540B32">
              <w:t xml:space="preserve"> </w:t>
            </w:r>
            <w:r w:rsidR="00A05607" w:rsidRPr="00540B32">
              <w:t>g</w:t>
            </w:r>
            <w:r w:rsidRPr="00540B32">
              <w:t xml:space="preserve">as </w:t>
            </w:r>
            <w:r w:rsidR="00A05607" w:rsidRPr="00540B32">
              <w:t>p</w:t>
            </w:r>
            <w:r w:rsidRPr="00540B32">
              <w:t xml:space="preserve">rocessing </w:t>
            </w:r>
            <w:r w:rsidR="00A05607" w:rsidRPr="00540B32">
              <w:t>p</w:t>
            </w:r>
            <w:r w:rsidRPr="00540B32">
              <w:t xml:space="preserve">lant to the </w:t>
            </w:r>
            <w:proofErr w:type="spellStart"/>
            <w:r w:rsidRPr="00540B32">
              <w:t>Gooimbah</w:t>
            </w:r>
            <w:proofErr w:type="spellEnd"/>
            <w:r w:rsidRPr="00540B32">
              <w:t xml:space="preserve"> </w:t>
            </w:r>
            <w:r w:rsidR="009E6B02" w:rsidRPr="00540B32">
              <w:t>l</w:t>
            </w:r>
            <w:r w:rsidRPr="00540B32">
              <w:t xml:space="preserve">ateral </w:t>
            </w:r>
            <w:r w:rsidR="009E6B02" w:rsidRPr="00540B32">
              <w:t>p</w:t>
            </w:r>
            <w:r w:rsidRPr="00540B32">
              <w:t>ipeline, the 200NB class 900 flange located in line 200</w:t>
            </w:r>
            <w:r w:rsidR="00540B32">
              <w:noBreakHyphen/>
            </w:r>
            <w:r w:rsidRPr="00540B32">
              <w:t>SG</w:t>
            </w:r>
            <w:r w:rsidR="00540B32">
              <w:noBreakHyphen/>
            </w:r>
            <w:r w:rsidRPr="00540B32">
              <w:t>001</w:t>
            </w:r>
            <w:r w:rsidR="00540B32">
              <w:noBreakHyphen/>
            </w:r>
            <w:r w:rsidRPr="00540B32">
              <w:t>C905</w:t>
            </w:r>
            <w:r w:rsidR="00540B32">
              <w:noBreakHyphen/>
            </w:r>
            <w:r w:rsidRPr="00540B32">
              <w:t>011 immediately upstream of the take</w:t>
            </w:r>
            <w:r w:rsidR="00540B32">
              <w:noBreakHyphen/>
            </w:r>
            <w:r w:rsidRPr="00540B32">
              <w:t>off for pressure transmitter</w:t>
            </w:r>
            <w:r w:rsidR="00A05607" w:rsidRPr="00540B32">
              <w:t xml:space="preserve"> number</w:t>
            </w:r>
            <w:r w:rsidRPr="00540B32">
              <w:t xml:space="preserve"> PIT 0</w:t>
            </w:r>
            <w:r w:rsidR="006B638E" w:rsidRPr="00540B32">
              <w:t>11</w:t>
            </w:r>
            <w:r w:rsidR="00540B32">
              <w:noBreakHyphen/>
            </w:r>
            <w:r w:rsidR="006B638E" w:rsidRPr="00540B32">
              <w:t>001</w:t>
            </w:r>
          </w:p>
        </w:tc>
      </w:tr>
      <w:tr w:rsidR="00E17DE0" w:rsidRPr="00540B32" w:rsidTr="00666FE9">
        <w:tc>
          <w:tcPr>
            <w:tcW w:w="2046" w:type="dxa"/>
            <w:tcBorders>
              <w:bottom w:val="single" w:sz="4" w:space="0" w:color="auto"/>
            </w:tcBorders>
            <w:shd w:val="clear" w:color="auto" w:fill="auto"/>
          </w:tcPr>
          <w:p w:rsidR="00AF5F72" w:rsidRPr="00540B32" w:rsidRDefault="00AF5F72" w:rsidP="00E17DE0">
            <w:pPr>
              <w:pStyle w:val="Tabletext"/>
            </w:pPr>
            <w:proofErr w:type="spellStart"/>
            <w:r w:rsidRPr="00540B32">
              <w:lastRenderedPageBreak/>
              <w:t>Taloona</w:t>
            </w:r>
            <w:proofErr w:type="spellEnd"/>
          </w:p>
        </w:tc>
        <w:tc>
          <w:tcPr>
            <w:tcW w:w="5347" w:type="dxa"/>
            <w:tcBorders>
              <w:bottom w:val="single" w:sz="4" w:space="0" w:color="auto"/>
            </w:tcBorders>
            <w:shd w:val="clear" w:color="auto" w:fill="auto"/>
          </w:tcPr>
          <w:p w:rsidR="00AF5F72" w:rsidRPr="00540B32" w:rsidRDefault="00AF5F72" w:rsidP="00E17DE0">
            <w:pPr>
              <w:pStyle w:val="Tabletext"/>
            </w:pPr>
            <w:r w:rsidRPr="00540B32">
              <w:t>The 200NB class 900 flange located in line 200</w:t>
            </w:r>
            <w:r w:rsidR="00540B32">
              <w:noBreakHyphen/>
            </w:r>
            <w:r w:rsidRPr="00540B32">
              <w:t>SG</w:t>
            </w:r>
            <w:r w:rsidR="00540B32">
              <w:noBreakHyphen/>
            </w:r>
            <w:r w:rsidRPr="00540B32">
              <w:t>408</w:t>
            </w:r>
            <w:r w:rsidR="00540B32">
              <w:noBreakHyphen/>
            </w:r>
            <w:r w:rsidRPr="00540B32">
              <w:t>C900</w:t>
            </w:r>
            <w:r w:rsidR="00540B32">
              <w:noBreakHyphen/>
            </w:r>
            <w:r w:rsidRPr="00540B32">
              <w:t>500 immediately upstream of the pipeline tie</w:t>
            </w:r>
            <w:r w:rsidR="00540B32">
              <w:noBreakHyphen/>
            </w:r>
            <w:r w:rsidRPr="00540B32">
              <w:t xml:space="preserve">in valve </w:t>
            </w:r>
            <w:r w:rsidR="006D3362" w:rsidRPr="00540B32">
              <w:t>and</w:t>
            </w:r>
            <w:r w:rsidRPr="00540B32">
              <w:t xml:space="preserve"> split tee located at approx</w:t>
            </w:r>
            <w:r w:rsidR="00A05607" w:rsidRPr="00540B32">
              <w:t>imately</w:t>
            </w:r>
            <w:r w:rsidRPr="00540B32">
              <w:t xml:space="preserve"> </w:t>
            </w:r>
            <w:proofErr w:type="spellStart"/>
            <w:r w:rsidRPr="00540B32">
              <w:t>KP</w:t>
            </w:r>
            <w:proofErr w:type="spellEnd"/>
            <w:r w:rsidRPr="00540B32">
              <w:t xml:space="preserve"> 11.37 on the Sprin</w:t>
            </w:r>
            <w:r w:rsidR="006B638E" w:rsidRPr="00540B32">
              <w:t>g Gully to Wallumbilla pipeline</w:t>
            </w:r>
          </w:p>
        </w:tc>
      </w:tr>
      <w:tr w:rsidR="00E17DE0" w:rsidRPr="00540B32" w:rsidTr="00666FE9">
        <w:tc>
          <w:tcPr>
            <w:tcW w:w="2046" w:type="dxa"/>
            <w:tcBorders>
              <w:bottom w:val="nil"/>
            </w:tcBorders>
            <w:shd w:val="clear" w:color="auto" w:fill="auto"/>
          </w:tcPr>
          <w:p w:rsidR="00AF5F72" w:rsidRPr="00540B32" w:rsidRDefault="00AF5F72" w:rsidP="00E17DE0">
            <w:pPr>
              <w:pStyle w:val="Tabletext"/>
            </w:pPr>
            <w:r w:rsidRPr="00540B32">
              <w:t>Spring Gully</w:t>
            </w:r>
          </w:p>
        </w:tc>
        <w:tc>
          <w:tcPr>
            <w:tcW w:w="5347" w:type="dxa"/>
            <w:tcBorders>
              <w:bottom w:val="nil"/>
            </w:tcBorders>
            <w:shd w:val="clear" w:color="auto" w:fill="auto"/>
          </w:tcPr>
          <w:p w:rsidR="00AF5F72" w:rsidRPr="00540B32" w:rsidRDefault="00AF5F72" w:rsidP="00E17DE0">
            <w:pPr>
              <w:pStyle w:val="Tabletext"/>
            </w:pPr>
            <w:r w:rsidRPr="00540B32">
              <w:t xml:space="preserve">In respect of the pipeline </w:t>
            </w:r>
            <w:r w:rsidR="00A05607" w:rsidRPr="00540B32">
              <w:t xml:space="preserve">linking </w:t>
            </w:r>
            <w:r w:rsidRPr="00540B32">
              <w:t xml:space="preserve">the Spring Gully </w:t>
            </w:r>
            <w:r w:rsidR="00A05607" w:rsidRPr="00540B32">
              <w:t>g</w:t>
            </w:r>
            <w:r w:rsidRPr="00540B32">
              <w:t xml:space="preserve">as </w:t>
            </w:r>
            <w:r w:rsidR="00A05607" w:rsidRPr="00540B32">
              <w:t>p</w:t>
            </w:r>
            <w:r w:rsidRPr="00540B32">
              <w:t xml:space="preserve">rocessing </w:t>
            </w:r>
            <w:r w:rsidR="00A05607" w:rsidRPr="00540B32">
              <w:t>p</w:t>
            </w:r>
            <w:r w:rsidRPr="00540B32">
              <w:t xml:space="preserve">lant </w:t>
            </w:r>
            <w:r w:rsidR="00A05607" w:rsidRPr="00540B32">
              <w:t>and</w:t>
            </w:r>
            <w:r w:rsidRPr="00540B32">
              <w:t xml:space="preserve"> the Spring Gully to Wallumbilla pipeline, the 250NB class 900 flange located in line 250</w:t>
            </w:r>
            <w:r w:rsidR="00540B32">
              <w:noBreakHyphen/>
            </w:r>
            <w:r w:rsidRPr="00540B32">
              <w:t>SG</w:t>
            </w:r>
            <w:r w:rsidR="00540B32">
              <w:noBreakHyphen/>
            </w:r>
            <w:r w:rsidRPr="00540B32">
              <w:t>001</w:t>
            </w:r>
            <w:r w:rsidR="00540B32">
              <w:noBreakHyphen/>
            </w:r>
            <w:r w:rsidRPr="00540B32">
              <w:t>#900</w:t>
            </w:r>
            <w:r w:rsidR="00540B32">
              <w:noBreakHyphen/>
            </w:r>
            <w:r w:rsidRPr="00540B32">
              <w:t xml:space="preserve">000 immediately upstream of the Spring Gully to Wallumbilla </w:t>
            </w:r>
            <w:r w:rsidR="006B638E" w:rsidRPr="00540B32">
              <w:t>pipeline Pig Launcher PL8000</w:t>
            </w:r>
            <w:r w:rsidR="00540B32">
              <w:noBreakHyphen/>
            </w:r>
            <w:r w:rsidR="006B638E" w:rsidRPr="00540B32">
              <w:t>03</w:t>
            </w:r>
          </w:p>
          <w:p w:rsidR="00AF5F72" w:rsidRPr="00540B32" w:rsidRDefault="00AF5F72" w:rsidP="00E17DE0">
            <w:pPr>
              <w:pStyle w:val="Tabletext"/>
            </w:pPr>
            <w:r w:rsidRPr="00540B32">
              <w:t xml:space="preserve">In respect of the pipeline conveying natural gas from the Spring Gully Gas Processing Plant to the </w:t>
            </w:r>
            <w:proofErr w:type="spellStart"/>
            <w:r w:rsidRPr="00540B32">
              <w:t>Gooimbah</w:t>
            </w:r>
            <w:proofErr w:type="spellEnd"/>
            <w:r w:rsidRPr="00540B32">
              <w:t xml:space="preserve"> </w:t>
            </w:r>
            <w:r w:rsidR="009E6B02" w:rsidRPr="00540B32">
              <w:t>l</w:t>
            </w:r>
            <w:r w:rsidRPr="00540B32">
              <w:t xml:space="preserve">ateral </w:t>
            </w:r>
            <w:r w:rsidR="009E6B02" w:rsidRPr="00540B32">
              <w:t>p</w:t>
            </w:r>
            <w:r w:rsidRPr="00540B32">
              <w:t>ipeline, the 200NB class 900 flange located in line 200</w:t>
            </w:r>
            <w:r w:rsidR="00540B32">
              <w:noBreakHyphen/>
            </w:r>
            <w:r w:rsidRPr="00540B32">
              <w:t>SG</w:t>
            </w:r>
            <w:r w:rsidR="00540B32">
              <w:noBreakHyphen/>
            </w:r>
            <w:r w:rsidRPr="00540B32">
              <w:t>001</w:t>
            </w:r>
            <w:r w:rsidR="00540B32">
              <w:noBreakHyphen/>
            </w:r>
            <w:r w:rsidRPr="00540B32">
              <w:t>C905</w:t>
            </w:r>
            <w:r w:rsidR="00540B32">
              <w:noBreakHyphen/>
            </w:r>
            <w:r w:rsidRPr="00540B32">
              <w:t>011 immediately upstream of the take</w:t>
            </w:r>
            <w:r w:rsidR="00540B32">
              <w:noBreakHyphen/>
            </w:r>
            <w:r w:rsidRPr="00540B32">
              <w:t>off for p</w:t>
            </w:r>
            <w:r w:rsidR="006B638E" w:rsidRPr="00540B32">
              <w:t xml:space="preserve">ressure transmitter </w:t>
            </w:r>
            <w:r w:rsidR="00A05607" w:rsidRPr="00540B32">
              <w:t xml:space="preserve">number </w:t>
            </w:r>
            <w:r w:rsidR="006B638E" w:rsidRPr="00540B32">
              <w:t>PIT 011</w:t>
            </w:r>
            <w:r w:rsidR="00540B32">
              <w:noBreakHyphen/>
            </w:r>
            <w:r w:rsidR="006B638E" w:rsidRPr="00540B32">
              <w:t>001</w:t>
            </w:r>
          </w:p>
        </w:tc>
      </w:tr>
    </w:tbl>
    <w:p w:rsidR="002B0A46" w:rsidRPr="00540B32" w:rsidRDefault="00882BC6" w:rsidP="00E17DE0">
      <w:pPr>
        <w:pStyle w:val="ItemHead"/>
      </w:pPr>
      <w:r w:rsidRPr="00540B32">
        <w:t>15</w:t>
      </w:r>
      <w:r w:rsidR="002B0A46" w:rsidRPr="00540B32">
        <w:t xml:space="preserve">  Schedule</w:t>
      </w:r>
      <w:r w:rsidR="00540B32" w:rsidRPr="00540B32">
        <w:t> </w:t>
      </w:r>
      <w:r w:rsidR="002B0A46" w:rsidRPr="00540B32">
        <w:t>2 (</w:t>
      </w:r>
      <w:r w:rsidR="00F26000" w:rsidRPr="00540B32">
        <w:t>a</w:t>
      </w:r>
      <w:r w:rsidR="002B0A46" w:rsidRPr="00540B32">
        <w:t xml:space="preserve">t the end of the table items </w:t>
      </w:r>
      <w:r w:rsidR="00105AF8" w:rsidRPr="00540B32">
        <w:t>headed</w:t>
      </w:r>
      <w:r w:rsidR="002B0A46" w:rsidRPr="00540B32">
        <w:t xml:space="preserve"> </w:t>
      </w:r>
      <w:r w:rsidR="00105AF8" w:rsidRPr="00540B32">
        <w:t>“</w:t>
      </w:r>
      <w:r w:rsidR="002B0A46" w:rsidRPr="00540B32">
        <w:t>Western Australia</w:t>
      </w:r>
      <w:r w:rsidR="00105AF8" w:rsidRPr="00540B32">
        <w:t>”</w:t>
      </w:r>
      <w:r w:rsidR="002B0A46" w:rsidRPr="00540B32">
        <w:t>)</w:t>
      </w:r>
    </w:p>
    <w:p w:rsidR="002B0A46" w:rsidRPr="00540B32" w:rsidRDefault="00105AF8" w:rsidP="00E17DE0">
      <w:pPr>
        <w:pStyle w:val="Item"/>
      </w:pPr>
      <w:r w:rsidRPr="00540B32">
        <w:t>Add</w:t>
      </w:r>
      <w:r w:rsidR="002B0A46" w:rsidRPr="00540B32">
        <w:t>:</w:t>
      </w:r>
    </w:p>
    <w:tbl>
      <w:tblPr>
        <w:tblW w:w="7393" w:type="dxa"/>
        <w:tblInd w:w="-82" w:type="dxa"/>
        <w:tblBorders>
          <w:top w:val="single" w:sz="4" w:space="0" w:color="auto"/>
          <w:bottom w:val="single" w:sz="2" w:space="0" w:color="auto"/>
          <w:insideH w:val="single" w:sz="4" w:space="0" w:color="auto"/>
        </w:tblBorders>
        <w:tblLayout w:type="fixed"/>
        <w:tblCellMar>
          <w:left w:w="60" w:type="dxa"/>
          <w:right w:w="60" w:type="dxa"/>
        </w:tblCellMar>
        <w:tblLook w:val="0000" w:firstRow="0" w:lastRow="0" w:firstColumn="0" w:lastColumn="0" w:noHBand="0" w:noVBand="0"/>
      </w:tblPr>
      <w:tblGrid>
        <w:gridCol w:w="2046"/>
        <w:gridCol w:w="5347"/>
      </w:tblGrid>
      <w:tr w:rsidR="00E17DE0" w:rsidRPr="00540B32" w:rsidTr="00666FE9">
        <w:tc>
          <w:tcPr>
            <w:tcW w:w="2046" w:type="dxa"/>
            <w:tcBorders>
              <w:top w:val="nil"/>
              <w:bottom w:val="single" w:sz="4" w:space="0" w:color="auto"/>
            </w:tcBorders>
            <w:shd w:val="clear" w:color="auto" w:fill="auto"/>
          </w:tcPr>
          <w:p w:rsidR="002B0A46" w:rsidRPr="00540B32" w:rsidRDefault="002B0A46" w:rsidP="00E17DE0">
            <w:pPr>
              <w:pStyle w:val="Tabletext"/>
            </w:pPr>
            <w:proofErr w:type="spellStart"/>
            <w:r w:rsidRPr="00540B32">
              <w:t>Varanus</w:t>
            </w:r>
            <w:proofErr w:type="spellEnd"/>
            <w:r w:rsidRPr="00540B32">
              <w:t xml:space="preserve"> Island Hub</w:t>
            </w:r>
          </w:p>
        </w:tc>
        <w:tc>
          <w:tcPr>
            <w:tcW w:w="5347" w:type="dxa"/>
            <w:tcBorders>
              <w:top w:val="nil"/>
              <w:bottom w:val="single" w:sz="4" w:space="0" w:color="auto"/>
            </w:tcBorders>
            <w:shd w:val="clear" w:color="auto" w:fill="auto"/>
          </w:tcPr>
          <w:p w:rsidR="002B0A46" w:rsidRPr="00540B32" w:rsidRDefault="002B0A46" w:rsidP="00E17DE0">
            <w:pPr>
              <w:pStyle w:val="Tabletext"/>
            </w:pPr>
            <w:r w:rsidRPr="00540B32">
              <w:t xml:space="preserve">In respect of the pipeline </w:t>
            </w:r>
            <w:r w:rsidR="00592BBF" w:rsidRPr="00540B32">
              <w:t>linking</w:t>
            </w:r>
            <w:r w:rsidRPr="00540B32">
              <w:t xml:space="preserve"> the </w:t>
            </w:r>
            <w:proofErr w:type="spellStart"/>
            <w:r w:rsidRPr="00540B32">
              <w:t>Varanus</w:t>
            </w:r>
            <w:proofErr w:type="spellEnd"/>
            <w:r w:rsidRPr="00540B32">
              <w:t xml:space="preserve"> Island Hub natural gas processing plant </w:t>
            </w:r>
            <w:r w:rsidR="00592BBF" w:rsidRPr="00540B32">
              <w:t>and</w:t>
            </w:r>
            <w:r w:rsidRPr="00540B32">
              <w:t xml:space="preserve"> the Dampier to Bunbury </w:t>
            </w:r>
            <w:r w:rsidR="009E6B02" w:rsidRPr="00540B32">
              <w:t>n</w:t>
            </w:r>
            <w:r w:rsidRPr="00540B32">
              <w:t xml:space="preserve">atural </w:t>
            </w:r>
            <w:r w:rsidR="009E6B02" w:rsidRPr="00540B32">
              <w:t>g</w:t>
            </w:r>
            <w:r w:rsidRPr="00540B32">
              <w:t xml:space="preserve">as </w:t>
            </w:r>
            <w:r w:rsidR="009E6B02" w:rsidRPr="00540B32">
              <w:t>p</w:t>
            </w:r>
            <w:r w:rsidRPr="00540B32">
              <w:t xml:space="preserve">ipeline, the insulation gasket </w:t>
            </w:r>
            <w:r w:rsidR="003832E7" w:rsidRPr="00540B32">
              <w:t xml:space="preserve">located inside the Harriet CS1 meter compound </w:t>
            </w:r>
            <w:r w:rsidRPr="00540B32">
              <w:t xml:space="preserve">upstream of </w:t>
            </w:r>
            <w:proofErr w:type="spellStart"/>
            <w:r w:rsidRPr="00540B32">
              <w:t>DBNGP</w:t>
            </w:r>
            <w:proofErr w:type="spellEnd"/>
            <w:r w:rsidRPr="00540B32">
              <w:t xml:space="preserve"> valve ZV1 between the Harriet CS1 meter station and the mainline interconnecting pipe</w:t>
            </w:r>
          </w:p>
          <w:p w:rsidR="002B0A46" w:rsidRPr="00540B32" w:rsidRDefault="002B0A46" w:rsidP="00E17DE0">
            <w:pPr>
              <w:pStyle w:val="Tabletext"/>
            </w:pPr>
            <w:r w:rsidRPr="00540B32">
              <w:t xml:space="preserve">In respect of the pipeline conveying natural gas from the </w:t>
            </w:r>
            <w:proofErr w:type="spellStart"/>
            <w:r w:rsidRPr="00540B32">
              <w:t>Varanus</w:t>
            </w:r>
            <w:proofErr w:type="spellEnd"/>
            <w:r w:rsidRPr="00540B32">
              <w:t xml:space="preserve"> Island Hub natural gas processing plant to the Goldfields </w:t>
            </w:r>
            <w:r w:rsidR="009E6B02" w:rsidRPr="00540B32">
              <w:t>g</w:t>
            </w:r>
            <w:r w:rsidRPr="00540B32">
              <w:t xml:space="preserve">as </w:t>
            </w:r>
            <w:r w:rsidR="009E6B02" w:rsidRPr="00540B32">
              <w:t>t</w:t>
            </w:r>
            <w:r w:rsidRPr="00540B32">
              <w:t xml:space="preserve">ransmission </w:t>
            </w:r>
            <w:r w:rsidR="009E6B02" w:rsidRPr="00540B32">
              <w:t>p</w:t>
            </w:r>
            <w:r w:rsidRPr="00540B32">
              <w:t xml:space="preserve">ipeline, the flange connection </w:t>
            </w:r>
            <w:r w:rsidR="003832E7" w:rsidRPr="00540B32">
              <w:t>located inside the Harriet CS1 meter compound approximately 4</w:t>
            </w:r>
            <w:r w:rsidR="003B3ED7" w:rsidRPr="00540B32">
              <w:t xml:space="preserve"> </w:t>
            </w:r>
            <w:r w:rsidR="003832E7" w:rsidRPr="00540B32">
              <w:t>m</w:t>
            </w:r>
            <w:r w:rsidR="003B3ED7" w:rsidRPr="00540B32">
              <w:t>etres</w:t>
            </w:r>
            <w:r w:rsidR="008D78E8" w:rsidRPr="00540B32">
              <w:t xml:space="preserve"> downstream of valve HV5134</w:t>
            </w:r>
          </w:p>
        </w:tc>
      </w:tr>
      <w:tr w:rsidR="00E17DE0" w:rsidRPr="00540B32" w:rsidTr="00666FE9">
        <w:tc>
          <w:tcPr>
            <w:tcW w:w="2046" w:type="dxa"/>
            <w:tcBorders>
              <w:top w:val="single" w:sz="4" w:space="0" w:color="auto"/>
              <w:bottom w:val="single" w:sz="4" w:space="0" w:color="auto"/>
            </w:tcBorders>
            <w:shd w:val="clear" w:color="auto" w:fill="auto"/>
          </w:tcPr>
          <w:p w:rsidR="002B0A46" w:rsidRPr="00540B32" w:rsidRDefault="002B0A46" w:rsidP="00E17DE0">
            <w:pPr>
              <w:pStyle w:val="Tabletext"/>
            </w:pPr>
            <w:r w:rsidRPr="00540B32">
              <w:t>Devil Creek</w:t>
            </w:r>
          </w:p>
        </w:tc>
        <w:tc>
          <w:tcPr>
            <w:tcW w:w="5347" w:type="dxa"/>
            <w:tcBorders>
              <w:top w:val="single" w:sz="4" w:space="0" w:color="auto"/>
              <w:bottom w:val="single" w:sz="4" w:space="0" w:color="auto"/>
            </w:tcBorders>
            <w:shd w:val="clear" w:color="auto" w:fill="auto"/>
          </w:tcPr>
          <w:p w:rsidR="003832E7" w:rsidRPr="00540B32" w:rsidRDefault="002B0A46" w:rsidP="00E17DE0">
            <w:pPr>
              <w:pStyle w:val="Tabletext"/>
            </w:pPr>
            <w:r w:rsidRPr="00540B32">
              <w:t xml:space="preserve">In respect of the pipeline that is </w:t>
            </w:r>
            <w:r w:rsidR="003832E7" w:rsidRPr="00540B32">
              <w:t>mentioned in</w:t>
            </w:r>
            <w:r w:rsidRPr="00540B32">
              <w:t xml:space="preserve"> pipeline licen</w:t>
            </w:r>
            <w:r w:rsidR="003832E7" w:rsidRPr="00540B32">
              <w:t>c</w:t>
            </w:r>
            <w:r w:rsidRPr="00540B32">
              <w:t xml:space="preserve">e PL86 under the </w:t>
            </w:r>
            <w:r w:rsidRPr="00540B32">
              <w:rPr>
                <w:i/>
              </w:rPr>
              <w:t>Petroleum Pipelines Act 1969</w:t>
            </w:r>
            <w:r w:rsidRPr="00540B32">
              <w:t xml:space="preserve"> </w:t>
            </w:r>
            <w:r w:rsidR="006D3362" w:rsidRPr="00540B32">
              <w:t>(WA)</w:t>
            </w:r>
            <w:r w:rsidRPr="00540B32">
              <w:t xml:space="preserve">, exit point </w:t>
            </w:r>
            <w:r w:rsidR="003832E7" w:rsidRPr="00540B32">
              <w:t xml:space="preserve">number </w:t>
            </w:r>
            <w:r w:rsidRPr="00540B32">
              <w:t>I1</w:t>
            </w:r>
            <w:r w:rsidR="00540B32">
              <w:noBreakHyphen/>
            </w:r>
            <w:r w:rsidRPr="00540B32">
              <w:t>04</w:t>
            </w:r>
            <w:r w:rsidR="003832E7" w:rsidRPr="00540B32">
              <w:t xml:space="preserve"> that is located:</w:t>
            </w:r>
          </w:p>
          <w:p w:rsidR="003832E7" w:rsidRPr="00540B32" w:rsidRDefault="003832E7" w:rsidP="00E17DE0">
            <w:pPr>
              <w:pStyle w:val="Tablea"/>
            </w:pPr>
            <w:r w:rsidRPr="00540B32">
              <w:t>(a)</w:t>
            </w:r>
            <w:r w:rsidR="002B0A46" w:rsidRPr="00540B32">
              <w:t xml:space="preserve"> at the custody transfer welded tie</w:t>
            </w:r>
            <w:r w:rsidR="00540B32">
              <w:noBreakHyphen/>
            </w:r>
            <w:r w:rsidR="002B0A46" w:rsidRPr="00540B32">
              <w:t>in point (TIP</w:t>
            </w:r>
            <w:r w:rsidR="00540B32">
              <w:noBreakHyphen/>
            </w:r>
            <w:r w:rsidR="002B0A46" w:rsidRPr="00540B32">
              <w:t>002) downstream of valve SDV3Z6000</w:t>
            </w:r>
            <w:r w:rsidR="009E6B02" w:rsidRPr="00540B32">
              <w:t>,</w:t>
            </w:r>
            <w:r w:rsidR="002B0A46" w:rsidRPr="00540B32">
              <w:t xml:space="preserve"> </w:t>
            </w:r>
            <w:r w:rsidR="00FF0419" w:rsidRPr="00540B32">
              <w:t>approximately 95 metres downstream of the Devil Creek compound meter station</w:t>
            </w:r>
            <w:r w:rsidRPr="00540B32">
              <w:t>; and</w:t>
            </w:r>
          </w:p>
          <w:p w:rsidR="002B0A46" w:rsidRPr="00540B32" w:rsidRDefault="003832E7" w:rsidP="00E17DE0">
            <w:pPr>
              <w:pStyle w:val="Tablea"/>
            </w:pPr>
            <w:r w:rsidRPr="00540B32">
              <w:lastRenderedPageBreak/>
              <w:t xml:space="preserve">(b) </w:t>
            </w:r>
            <w:r w:rsidR="002B0A46" w:rsidRPr="00540B32">
              <w:t>below the ground at the northern boundary of the 30</w:t>
            </w:r>
            <w:r w:rsidR="00FF0419" w:rsidRPr="00540B32">
              <w:t xml:space="preserve"> </w:t>
            </w:r>
            <w:r w:rsidR="002B0A46" w:rsidRPr="00540B32">
              <w:t>m</w:t>
            </w:r>
            <w:r w:rsidR="00FF0419" w:rsidRPr="00540B32">
              <w:t>etre</w:t>
            </w:r>
            <w:r w:rsidR="002B0A46" w:rsidRPr="00540B32">
              <w:t xml:space="preserve"> wide Dampier to Bunbury</w:t>
            </w:r>
            <w:r w:rsidR="00FF0419" w:rsidRPr="00540B32">
              <w:t xml:space="preserve"> </w:t>
            </w:r>
            <w:r w:rsidR="009E6B02" w:rsidRPr="00540B32">
              <w:t>n</w:t>
            </w:r>
            <w:r w:rsidR="00FF0419" w:rsidRPr="00540B32">
              <w:t xml:space="preserve">atural </w:t>
            </w:r>
            <w:r w:rsidR="009E6B02" w:rsidRPr="00540B32">
              <w:t>g</w:t>
            </w:r>
            <w:r w:rsidR="00FF0419" w:rsidRPr="00540B32">
              <w:t xml:space="preserve">as </w:t>
            </w:r>
            <w:r w:rsidR="009E6B02" w:rsidRPr="00540B32">
              <w:t>p</w:t>
            </w:r>
            <w:r w:rsidR="00FF0419" w:rsidRPr="00540B32">
              <w:t>ipeline easement</w:t>
            </w:r>
          </w:p>
        </w:tc>
      </w:tr>
      <w:tr w:rsidR="00E17DE0" w:rsidRPr="00540B32" w:rsidTr="00666FE9">
        <w:tc>
          <w:tcPr>
            <w:tcW w:w="2046" w:type="dxa"/>
            <w:tcBorders>
              <w:bottom w:val="nil"/>
            </w:tcBorders>
            <w:shd w:val="clear" w:color="auto" w:fill="auto"/>
          </w:tcPr>
          <w:p w:rsidR="002B0A46" w:rsidRPr="00540B32" w:rsidRDefault="002B0A46" w:rsidP="00E17DE0">
            <w:pPr>
              <w:pStyle w:val="Tabletext"/>
            </w:pPr>
            <w:r w:rsidRPr="00540B32">
              <w:lastRenderedPageBreak/>
              <w:t>Gorgon Project</w:t>
            </w:r>
          </w:p>
        </w:tc>
        <w:tc>
          <w:tcPr>
            <w:tcW w:w="5347" w:type="dxa"/>
            <w:tcBorders>
              <w:bottom w:val="nil"/>
            </w:tcBorders>
            <w:shd w:val="clear" w:color="auto" w:fill="auto"/>
          </w:tcPr>
          <w:p w:rsidR="002B0A46" w:rsidRPr="00540B32" w:rsidRDefault="002B0A46" w:rsidP="00E17DE0">
            <w:pPr>
              <w:pStyle w:val="Tabletext"/>
            </w:pPr>
            <w:r w:rsidRPr="00540B32">
              <w:t xml:space="preserve">In respect of the pipeline linking the Gorgon Project gas processing facility on Barrow Island and the Dampier to Bunbury </w:t>
            </w:r>
            <w:r w:rsidR="009E6B02" w:rsidRPr="00540B32">
              <w:t>n</w:t>
            </w:r>
            <w:r w:rsidR="0076326D" w:rsidRPr="00540B32">
              <w:t xml:space="preserve">atural </w:t>
            </w:r>
            <w:r w:rsidR="009E6B02" w:rsidRPr="00540B32">
              <w:t>g</w:t>
            </w:r>
            <w:r w:rsidR="0076326D" w:rsidRPr="00540B32">
              <w:t xml:space="preserve">as </w:t>
            </w:r>
            <w:r w:rsidR="009E6B02" w:rsidRPr="00540B32">
              <w:t>p</w:t>
            </w:r>
            <w:r w:rsidRPr="00540B32">
              <w:t>ipeline, the outlet face of the flange forming part of the Gorgon Project</w:t>
            </w:r>
            <w:r w:rsidR="0076326D" w:rsidRPr="00540B32">
              <w:t xml:space="preserve"> facility</w:t>
            </w:r>
            <w:r w:rsidRPr="00540B32">
              <w:t xml:space="preserve"> which meets the Dampier </w:t>
            </w:r>
            <w:r w:rsidR="006B638E" w:rsidRPr="00540B32">
              <w:t xml:space="preserve">to Bunbury </w:t>
            </w:r>
            <w:r w:rsidR="009E6B02" w:rsidRPr="00540B32">
              <w:t>n</w:t>
            </w:r>
            <w:r w:rsidR="006B638E" w:rsidRPr="00540B32">
              <w:t xml:space="preserve">atural </w:t>
            </w:r>
            <w:r w:rsidR="009E6B02" w:rsidRPr="00540B32">
              <w:t>g</w:t>
            </w:r>
            <w:r w:rsidR="006B638E" w:rsidRPr="00540B32">
              <w:t xml:space="preserve">as </w:t>
            </w:r>
            <w:r w:rsidR="009E6B02" w:rsidRPr="00540B32">
              <w:t>p</w:t>
            </w:r>
            <w:r w:rsidR="006B638E" w:rsidRPr="00540B32">
              <w:t>ipeline</w:t>
            </w:r>
          </w:p>
        </w:tc>
      </w:tr>
    </w:tbl>
    <w:p w:rsidR="002B0A46" w:rsidRPr="00540B32" w:rsidRDefault="00882BC6" w:rsidP="00E17DE0">
      <w:pPr>
        <w:pStyle w:val="ItemHead"/>
      </w:pPr>
      <w:r w:rsidRPr="00540B32">
        <w:t>16</w:t>
      </w:r>
      <w:r w:rsidR="002B0A46" w:rsidRPr="00540B32">
        <w:t xml:space="preserve">  Schedule</w:t>
      </w:r>
      <w:r w:rsidR="00540B32" w:rsidRPr="00540B32">
        <w:t> </w:t>
      </w:r>
      <w:r w:rsidR="002B0A46" w:rsidRPr="00540B32">
        <w:t xml:space="preserve">2 </w:t>
      </w:r>
      <w:r w:rsidR="00CB4341" w:rsidRPr="00540B32">
        <w:t>(</w:t>
      </w:r>
      <w:r w:rsidR="00F26000" w:rsidRPr="00540B32">
        <w:t>a</w:t>
      </w:r>
      <w:r w:rsidR="00CB4341" w:rsidRPr="00540B32">
        <w:t>t the end of the table items headed</w:t>
      </w:r>
      <w:r w:rsidR="009E6B02" w:rsidRPr="00540B32">
        <w:t xml:space="preserve"> </w:t>
      </w:r>
      <w:r w:rsidR="00CB4341" w:rsidRPr="00540B32">
        <w:t>“</w:t>
      </w:r>
      <w:r w:rsidR="002B0A46" w:rsidRPr="00540B32">
        <w:t xml:space="preserve">Northern </w:t>
      </w:r>
      <w:r w:rsidR="009E6B02" w:rsidRPr="00540B32">
        <w:t>Territory</w:t>
      </w:r>
      <w:r w:rsidR="00CB4341" w:rsidRPr="00540B32">
        <w:t>”</w:t>
      </w:r>
      <w:r w:rsidR="002B0A46" w:rsidRPr="00540B32">
        <w:t>)</w:t>
      </w:r>
    </w:p>
    <w:p w:rsidR="002B0A46" w:rsidRPr="00540B32" w:rsidRDefault="00CB4341" w:rsidP="00E17DE0">
      <w:pPr>
        <w:pStyle w:val="Item"/>
      </w:pPr>
      <w:r w:rsidRPr="00540B32">
        <w:t>Add</w:t>
      </w:r>
      <w:r w:rsidR="002B0A46" w:rsidRPr="00540B32">
        <w:t>:</w:t>
      </w:r>
    </w:p>
    <w:tbl>
      <w:tblPr>
        <w:tblW w:w="7393" w:type="dxa"/>
        <w:tblInd w:w="-82" w:type="dxa"/>
        <w:tblLayout w:type="fixed"/>
        <w:tblCellMar>
          <w:left w:w="60" w:type="dxa"/>
          <w:right w:w="60" w:type="dxa"/>
        </w:tblCellMar>
        <w:tblLook w:val="0000" w:firstRow="0" w:lastRow="0" w:firstColumn="0" w:lastColumn="0" w:noHBand="0" w:noVBand="0"/>
      </w:tblPr>
      <w:tblGrid>
        <w:gridCol w:w="2046"/>
        <w:gridCol w:w="5347"/>
      </w:tblGrid>
      <w:tr w:rsidR="00E17DE0" w:rsidRPr="00540B32" w:rsidTr="00521FC1">
        <w:tc>
          <w:tcPr>
            <w:tcW w:w="2046" w:type="dxa"/>
            <w:shd w:val="clear" w:color="auto" w:fill="auto"/>
          </w:tcPr>
          <w:p w:rsidR="002B0A46" w:rsidRPr="00540B32" w:rsidRDefault="002B0A46" w:rsidP="00E17DE0">
            <w:pPr>
              <w:pStyle w:val="Tabletext"/>
            </w:pPr>
            <w:r w:rsidRPr="00540B32">
              <w:t>Darwin LNG</w:t>
            </w:r>
          </w:p>
        </w:tc>
        <w:tc>
          <w:tcPr>
            <w:tcW w:w="5347" w:type="dxa"/>
            <w:shd w:val="clear" w:color="auto" w:fill="auto"/>
          </w:tcPr>
          <w:p w:rsidR="002B0A46" w:rsidRPr="00540B32" w:rsidRDefault="002B0A46" w:rsidP="00E17DE0">
            <w:pPr>
              <w:pStyle w:val="Tabletext"/>
            </w:pPr>
            <w:r w:rsidRPr="00540B32">
              <w:t xml:space="preserve">In respect of the Darwin LNG </w:t>
            </w:r>
            <w:r w:rsidR="000C2CEE" w:rsidRPr="00540B32">
              <w:t>gas processing p</w:t>
            </w:r>
            <w:r w:rsidRPr="00540B32">
              <w:t>lant</w:t>
            </w:r>
            <w:r w:rsidR="009E6B02" w:rsidRPr="00540B32">
              <w:t>,</w:t>
            </w:r>
            <w:r w:rsidRPr="00540B32">
              <w:t xml:space="preserve"> the exit point N2 (Nozzle 2) a</w:t>
            </w:r>
            <w:r w:rsidR="006B638E" w:rsidRPr="00540B32">
              <w:t>t the loading arms on the jetty</w:t>
            </w:r>
          </w:p>
        </w:tc>
      </w:tr>
    </w:tbl>
    <w:p w:rsidR="00F44636" w:rsidRPr="00540B32" w:rsidRDefault="00804CBC" w:rsidP="00E17DE0">
      <w:pPr>
        <w:pStyle w:val="ActHead9"/>
      </w:pPr>
      <w:bookmarkStart w:id="16" w:name="_Toc356309217"/>
      <w:r w:rsidRPr="00540B32">
        <w:t>Renewable Energy (Electricity) Regulations</w:t>
      </w:r>
      <w:r w:rsidR="00540B32" w:rsidRPr="00540B32">
        <w:t> </w:t>
      </w:r>
      <w:r w:rsidRPr="00540B32">
        <w:t>2001</w:t>
      </w:r>
      <w:bookmarkEnd w:id="16"/>
    </w:p>
    <w:p w:rsidR="001B7065" w:rsidRPr="00540B32" w:rsidRDefault="00546224" w:rsidP="00E17DE0">
      <w:pPr>
        <w:pStyle w:val="ItemHead"/>
      </w:pPr>
      <w:r w:rsidRPr="00540B32">
        <w:t>1</w:t>
      </w:r>
      <w:r w:rsidR="00882BC6" w:rsidRPr="00540B32">
        <w:t>7</w:t>
      </w:r>
      <w:r w:rsidRPr="00540B32">
        <w:t xml:space="preserve">  </w:t>
      </w:r>
      <w:proofErr w:type="spellStart"/>
      <w:r w:rsidR="001B7065" w:rsidRPr="00540B32">
        <w:t>Subregulation</w:t>
      </w:r>
      <w:proofErr w:type="spellEnd"/>
      <w:r w:rsidR="00540B32" w:rsidRPr="00540B32">
        <w:t> </w:t>
      </w:r>
      <w:r w:rsidR="001B7065" w:rsidRPr="00540B32">
        <w:t>22X(1A)</w:t>
      </w:r>
    </w:p>
    <w:p w:rsidR="001B7065" w:rsidRPr="00540B32" w:rsidRDefault="001B7065" w:rsidP="00E17DE0">
      <w:pPr>
        <w:pStyle w:val="Item"/>
      </w:pPr>
      <w:r w:rsidRPr="00540B32">
        <w:t>Omit “Parts</w:t>
      </w:r>
      <w:r w:rsidR="00540B32" w:rsidRPr="00540B32">
        <w:t> </w:t>
      </w:r>
      <w:r w:rsidRPr="00540B32">
        <w:t xml:space="preserve">48 and”, </w:t>
      </w:r>
      <w:r w:rsidR="00F26000" w:rsidRPr="00540B32">
        <w:t>substitute</w:t>
      </w:r>
      <w:r w:rsidRPr="00540B32">
        <w:t xml:space="preserve"> “Part”.</w:t>
      </w:r>
    </w:p>
    <w:p w:rsidR="00546224" w:rsidRPr="00540B32" w:rsidRDefault="001B7065" w:rsidP="00E17DE0">
      <w:pPr>
        <w:pStyle w:val="ItemHead"/>
      </w:pPr>
      <w:r w:rsidRPr="00540B32">
        <w:t xml:space="preserve">18  </w:t>
      </w:r>
      <w:r w:rsidR="00546224" w:rsidRPr="00540B32">
        <w:t xml:space="preserve">After </w:t>
      </w:r>
      <w:proofErr w:type="spellStart"/>
      <w:r w:rsidR="00546224" w:rsidRPr="00540B32">
        <w:t>subregulation</w:t>
      </w:r>
      <w:proofErr w:type="spellEnd"/>
      <w:r w:rsidR="00540B32" w:rsidRPr="00540B32">
        <w:t> </w:t>
      </w:r>
      <w:r w:rsidR="00546224" w:rsidRPr="00540B32">
        <w:t>22X(1B)</w:t>
      </w:r>
    </w:p>
    <w:p w:rsidR="00546224" w:rsidRPr="00540B32" w:rsidRDefault="00546224" w:rsidP="00E17DE0">
      <w:pPr>
        <w:pStyle w:val="Item"/>
      </w:pPr>
      <w:r w:rsidRPr="00540B32">
        <w:t>Insert:</w:t>
      </w:r>
    </w:p>
    <w:p w:rsidR="00546224" w:rsidRPr="00540B32" w:rsidRDefault="00546224" w:rsidP="00E17DE0">
      <w:pPr>
        <w:pStyle w:val="subsection"/>
      </w:pPr>
      <w:r w:rsidRPr="00540B32">
        <w:tab/>
        <w:t>(1C)</w:t>
      </w:r>
      <w:r w:rsidRPr="00540B32">
        <w:tab/>
        <w:t>However, if an application under subsection</w:t>
      </w:r>
      <w:r w:rsidR="00540B32" w:rsidRPr="00540B32">
        <w:t> </w:t>
      </w:r>
      <w:r w:rsidRPr="00540B32">
        <w:t>46A(1) of the Act for a partial exemption certificate is:</w:t>
      </w:r>
    </w:p>
    <w:p w:rsidR="00546224" w:rsidRPr="00540B32" w:rsidRDefault="00546224" w:rsidP="00E17DE0">
      <w:pPr>
        <w:pStyle w:val="paragraph"/>
      </w:pPr>
      <w:r w:rsidRPr="00540B32">
        <w:tab/>
        <w:t>(a)</w:t>
      </w:r>
      <w:r w:rsidRPr="00540B32">
        <w:tab/>
        <w:t>for 2013; and</w:t>
      </w:r>
    </w:p>
    <w:p w:rsidR="00546224" w:rsidRPr="00540B32" w:rsidRDefault="00546224" w:rsidP="00E17DE0">
      <w:pPr>
        <w:pStyle w:val="paragraph"/>
      </w:pPr>
      <w:r w:rsidRPr="00540B32">
        <w:tab/>
        <w:t>(b)</w:t>
      </w:r>
      <w:r w:rsidRPr="00540B32">
        <w:tab/>
        <w:t>made by a prescribed person mentioned in regulation</w:t>
      </w:r>
      <w:r w:rsidR="00540B32" w:rsidRPr="00540B32">
        <w:t> </w:t>
      </w:r>
      <w:r w:rsidRPr="00540B32">
        <w:t>22G, 22H, 22I, 22J or 22K; and</w:t>
      </w:r>
    </w:p>
    <w:p w:rsidR="00546224" w:rsidRPr="00540B32" w:rsidRDefault="00546224" w:rsidP="00E17DE0">
      <w:pPr>
        <w:pStyle w:val="paragraph"/>
      </w:pPr>
      <w:r w:rsidRPr="00540B32">
        <w:tab/>
        <w:t>(c)</w:t>
      </w:r>
      <w:r w:rsidRPr="00540B32">
        <w:tab/>
        <w:t>for an emissions</w:t>
      </w:r>
      <w:r w:rsidR="00540B32">
        <w:noBreakHyphen/>
      </w:r>
      <w:r w:rsidRPr="00540B32">
        <w:t>intensive trade</w:t>
      </w:r>
      <w:r w:rsidR="00540B32">
        <w:noBreakHyphen/>
      </w:r>
      <w:r w:rsidRPr="00540B32">
        <w:t>exposed activity mentioned in Part</w:t>
      </w:r>
      <w:r w:rsidR="00540B32" w:rsidRPr="00540B32">
        <w:t> </w:t>
      </w:r>
      <w:r w:rsidR="005A3CAA" w:rsidRPr="00540B32">
        <w:t>48</w:t>
      </w:r>
      <w:r w:rsidRPr="00540B32">
        <w:t xml:space="preserve"> of Schedule</w:t>
      </w:r>
      <w:r w:rsidR="00540B32" w:rsidRPr="00540B32">
        <w:t> </w:t>
      </w:r>
      <w:r w:rsidRPr="00540B32">
        <w:t>6;</w:t>
      </w:r>
    </w:p>
    <w:p w:rsidR="00522474" w:rsidRPr="00540B32" w:rsidRDefault="00546224" w:rsidP="00E17DE0">
      <w:pPr>
        <w:pStyle w:val="subsection2"/>
      </w:pPr>
      <w:r w:rsidRPr="00540B32">
        <w:t xml:space="preserve">the application must be lodged with the Regulator before </w:t>
      </w:r>
      <w:r w:rsidR="001B7065" w:rsidRPr="00540B32">
        <w:t>1</w:t>
      </w:r>
      <w:r w:rsidR="00540B32" w:rsidRPr="00540B32">
        <w:t> </w:t>
      </w:r>
      <w:r w:rsidR="001B7065" w:rsidRPr="00540B32">
        <w:t>August</w:t>
      </w:r>
      <w:r w:rsidRPr="00540B32">
        <w:t xml:space="preserve"> 2013.</w:t>
      </w:r>
    </w:p>
    <w:p w:rsidR="005A3CAA" w:rsidRPr="00540B32" w:rsidRDefault="005A3CAA" w:rsidP="00E17DE0">
      <w:pPr>
        <w:pStyle w:val="ItemHead"/>
        <w:tabs>
          <w:tab w:val="left" w:pos="6663"/>
        </w:tabs>
      </w:pPr>
      <w:r w:rsidRPr="00540B32">
        <w:t>1</w:t>
      </w:r>
      <w:r w:rsidR="001B7065" w:rsidRPr="00540B32">
        <w:t>9</w:t>
      </w:r>
      <w:r w:rsidRPr="00540B32">
        <w:t xml:space="preserve">  Subclause</w:t>
      </w:r>
      <w:r w:rsidR="00540B32" w:rsidRPr="00540B32">
        <w:t> </w:t>
      </w:r>
      <w:r w:rsidRPr="00540B32">
        <w:t>740(2) of Schedule</w:t>
      </w:r>
      <w:r w:rsidR="00540B32" w:rsidRPr="00540B32">
        <w:t> </w:t>
      </w:r>
      <w:r w:rsidRPr="00540B32">
        <w:t xml:space="preserve">6 (definition of </w:t>
      </w:r>
      <w:r w:rsidRPr="00540B32">
        <w:rPr>
          <w:i/>
        </w:rPr>
        <w:t>intermediate nickel products</w:t>
      </w:r>
      <w:r w:rsidRPr="00540B32">
        <w:t>)</w:t>
      </w:r>
    </w:p>
    <w:p w:rsidR="005A3CAA" w:rsidRPr="00540B32" w:rsidRDefault="005A3CAA" w:rsidP="00E17DE0">
      <w:pPr>
        <w:pStyle w:val="Item"/>
      </w:pPr>
      <w:r w:rsidRPr="00540B32">
        <w:t xml:space="preserve">Omit “11%”, </w:t>
      </w:r>
      <w:r w:rsidR="00F26000" w:rsidRPr="00540B32">
        <w:t>substitute</w:t>
      </w:r>
      <w:r w:rsidRPr="00540B32">
        <w:t xml:space="preserve"> “6.5%”.</w:t>
      </w:r>
    </w:p>
    <w:sectPr w:rsidR="005A3CAA" w:rsidRPr="00540B32" w:rsidSect="001F2B8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10" w:rsidRDefault="00A37A10" w:rsidP="0048364F">
      <w:pPr>
        <w:spacing w:line="240" w:lineRule="auto"/>
      </w:pPr>
      <w:r>
        <w:separator/>
      </w:r>
    </w:p>
  </w:endnote>
  <w:endnote w:type="continuationSeparator" w:id="0">
    <w:p w:rsidR="00A37A10" w:rsidRDefault="00A37A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88" w:rsidRPr="001F2B88" w:rsidRDefault="001F2B88" w:rsidP="001F2B88">
    <w:pPr>
      <w:pStyle w:val="Footer"/>
      <w:rPr>
        <w:sz w:val="18"/>
      </w:rPr>
    </w:pPr>
    <w:r>
      <w:rPr>
        <w:sz w:val="18"/>
      </w:rPr>
      <w:t>OPC50420</w:t>
    </w:r>
    <w:r w:rsidRPr="001F2B88">
      <w:rPr>
        <w:sz w:val="18"/>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A37A10" w:rsidTr="00A37A10">
      <w:tc>
        <w:tcPr>
          <w:tcW w:w="7303" w:type="dxa"/>
        </w:tcPr>
        <w:p w:rsidR="00A37A10" w:rsidRDefault="00A37A10" w:rsidP="00A37A10">
          <w:pPr>
            <w:rPr>
              <w:sz w:val="18"/>
            </w:rPr>
          </w:pPr>
        </w:p>
      </w:tc>
    </w:tr>
  </w:tbl>
  <w:p w:rsidR="00A37A10" w:rsidRPr="006D3667" w:rsidRDefault="001F2B88" w:rsidP="001F2B88">
    <w:pPr>
      <w:pStyle w:val="Footer"/>
    </w:pPr>
    <w:r>
      <w:t>OPC50420</w:t>
    </w:r>
    <w:r w:rsidRPr="001F2B88">
      <w:rPr>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88" w:rsidRPr="001F2B88" w:rsidRDefault="001F2B88" w:rsidP="001F2B88">
    <w:pPr>
      <w:pStyle w:val="Footer"/>
      <w:rPr>
        <w:sz w:val="18"/>
      </w:rPr>
    </w:pPr>
    <w:r>
      <w:rPr>
        <w:sz w:val="18"/>
      </w:rPr>
      <w:t>OPC50420</w:t>
    </w:r>
    <w:r w:rsidRPr="001F2B88">
      <w:rPr>
        <w:sz w:val="18"/>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1F2B88" w:rsidRDefault="00A37A10"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A37A10" w:rsidRPr="001F2B88" w:rsidTr="00E33C1C">
      <w:tc>
        <w:tcPr>
          <w:tcW w:w="533" w:type="dxa"/>
          <w:tcBorders>
            <w:top w:val="nil"/>
            <w:left w:val="nil"/>
            <w:bottom w:val="nil"/>
            <w:right w:val="nil"/>
          </w:tcBorders>
        </w:tcPr>
        <w:p w:rsidR="00A37A10" w:rsidRPr="001F2B88" w:rsidRDefault="00A37A10" w:rsidP="00E33C1C">
          <w:pPr>
            <w:spacing w:line="0" w:lineRule="atLeast"/>
            <w:rPr>
              <w:rFonts w:cs="Times New Roman"/>
              <w:sz w:val="18"/>
            </w:rPr>
          </w:pPr>
          <w:r w:rsidRPr="001F2B88">
            <w:rPr>
              <w:rFonts w:cs="Times New Roman"/>
              <w:i/>
              <w:sz w:val="18"/>
            </w:rPr>
            <w:fldChar w:fldCharType="begin"/>
          </w:r>
          <w:r w:rsidRPr="001F2B88">
            <w:rPr>
              <w:rFonts w:cs="Times New Roman"/>
              <w:i/>
              <w:sz w:val="18"/>
            </w:rPr>
            <w:instrText xml:space="preserve"> PAGE </w:instrText>
          </w:r>
          <w:r w:rsidRPr="001F2B88">
            <w:rPr>
              <w:rFonts w:cs="Times New Roman"/>
              <w:i/>
              <w:sz w:val="18"/>
            </w:rPr>
            <w:fldChar w:fldCharType="separate"/>
          </w:r>
          <w:r w:rsidR="002A7C1E">
            <w:rPr>
              <w:rFonts w:cs="Times New Roman"/>
              <w:i/>
              <w:noProof/>
              <w:sz w:val="18"/>
            </w:rPr>
            <w:t>xii</w:t>
          </w:r>
          <w:r w:rsidRPr="001F2B88">
            <w:rPr>
              <w:rFonts w:cs="Times New Roman"/>
              <w:i/>
              <w:sz w:val="18"/>
            </w:rPr>
            <w:fldChar w:fldCharType="end"/>
          </w:r>
        </w:p>
      </w:tc>
      <w:tc>
        <w:tcPr>
          <w:tcW w:w="5387" w:type="dxa"/>
          <w:tcBorders>
            <w:top w:val="nil"/>
            <w:left w:val="nil"/>
            <w:bottom w:val="nil"/>
            <w:right w:val="nil"/>
          </w:tcBorders>
        </w:tcPr>
        <w:p w:rsidR="00A37A10" w:rsidRPr="001F2B88" w:rsidRDefault="00A37A10" w:rsidP="00E33C1C">
          <w:pPr>
            <w:spacing w:line="0" w:lineRule="atLeast"/>
            <w:jc w:val="center"/>
            <w:rPr>
              <w:rFonts w:cs="Times New Roman"/>
              <w:sz w:val="18"/>
            </w:rPr>
          </w:pPr>
          <w:r w:rsidRPr="001F2B88">
            <w:rPr>
              <w:rFonts w:cs="Times New Roman"/>
              <w:i/>
              <w:sz w:val="18"/>
            </w:rPr>
            <w:fldChar w:fldCharType="begin"/>
          </w:r>
          <w:r w:rsidRPr="001F2B88">
            <w:rPr>
              <w:rFonts w:cs="Times New Roman"/>
              <w:i/>
              <w:sz w:val="18"/>
            </w:rPr>
            <w:instrText xml:space="preserve"> DOCPROPERTY ShortT </w:instrText>
          </w:r>
          <w:r w:rsidRPr="001F2B88">
            <w:rPr>
              <w:rFonts w:cs="Times New Roman"/>
              <w:i/>
              <w:sz w:val="18"/>
            </w:rPr>
            <w:fldChar w:fldCharType="separate"/>
          </w:r>
          <w:r w:rsidR="0076460C">
            <w:rPr>
              <w:rFonts w:cs="Times New Roman"/>
              <w:i/>
              <w:sz w:val="18"/>
            </w:rPr>
            <w:t>Clean Energy Legislation Amendment (Various Measures) Regulation 2013</w:t>
          </w:r>
          <w:r w:rsidRPr="001F2B88">
            <w:rPr>
              <w:rFonts w:cs="Times New Roman"/>
              <w:i/>
              <w:sz w:val="18"/>
            </w:rPr>
            <w:fldChar w:fldCharType="end"/>
          </w:r>
        </w:p>
      </w:tc>
      <w:tc>
        <w:tcPr>
          <w:tcW w:w="1383" w:type="dxa"/>
          <w:tcBorders>
            <w:top w:val="nil"/>
            <w:left w:val="nil"/>
            <w:bottom w:val="nil"/>
            <w:right w:val="nil"/>
          </w:tcBorders>
        </w:tcPr>
        <w:p w:rsidR="00A37A10" w:rsidRPr="001F2B88" w:rsidRDefault="00A37A10" w:rsidP="00E33C1C">
          <w:pPr>
            <w:spacing w:line="0" w:lineRule="atLeast"/>
            <w:jc w:val="right"/>
            <w:rPr>
              <w:rFonts w:cs="Times New Roman"/>
              <w:sz w:val="18"/>
            </w:rPr>
          </w:pPr>
          <w:r w:rsidRPr="001F2B88">
            <w:rPr>
              <w:rFonts w:cs="Times New Roman"/>
              <w:i/>
              <w:sz w:val="18"/>
            </w:rPr>
            <w:fldChar w:fldCharType="begin"/>
          </w:r>
          <w:r w:rsidRPr="001F2B88">
            <w:rPr>
              <w:rFonts w:cs="Times New Roman"/>
              <w:i/>
              <w:sz w:val="18"/>
            </w:rPr>
            <w:instrText xml:space="preserve"> DOCPROPERTY ActNo </w:instrText>
          </w:r>
          <w:r w:rsidRPr="001F2B88">
            <w:rPr>
              <w:rFonts w:cs="Times New Roman"/>
              <w:i/>
              <w:sz w:val="18"/>
            </w:rPr>
            <w:fldChar w:fldCharType="separate"/>
          </w:r>
          <w:r w:rsidR="0076460C">
            <w:rPr>
              <w:rFonts w:cs="Times New Roman"/>
              <w:i/>
              <w:sz w:val="18"/>
            </w:rPr>
            <w:t>No. 79, 2013</w:t>
          </w:r>
          <w:r w:rsidRPr="001F2B88">
            <w:rPr>
              <w:rFonts w:cs="Times New Roman"/>
              <w:i/>
              <w:sz w:val="18"/>
            </w:rPr>
            <w:fldChar w:fldCharType="end"/>
          </w:r>
        </w:p>
      </w:tc>
    </w:tr>
    <w:tr w:rsidR="00A37A10" w:rsidRPr="001F2B88"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37A10" w:rsidRPr="001F2B88" w:rsidRDefault="00A37A10" w:rsidP="00A37A10">
          <w:pPr>
            <w:jc w:val="right"/>
            <w:rPr>
              <w:rFonts w:cs="Times New Roman"/>
              <w:sz w:val="18"/>
            </w:rPr>
          </w:pPr>
        </w:p>
      </w:tc>
    </w:tr>
  </w:tbl>
  <w:p w:rsidR="00A37A10" w:rsidRPr="001F2B88" w:rsidRDefault="001F2B88" w:rsidP="001F2B88">
    <w:pPr>
      <w:rPr>
        <w:rFonts w:cs="Times New Roman"/>
        <w:i/>
        <w:sz w:val="18"/>
      </w:rPr>
    </w:pPr>
    <w:r>
      <w:rPr>
        <w:rFonts w:cs="Times New Roman"/>
        <w:i/>
        <w:sz w:val="18"/>
      </w:rPr>
      <w:t>OPC50420</w:t>
    </w:r>
    <w:r w:rsidRPr="001F2B88">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E33C1C" w:rsidRDefault="00A37A10"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37A10" w:rsidTr="00E33C1C">
      <w:tc>
        <w:tcPr>
          <w:tcW w:w="1383" w:type="dxa"/>
          <w:tcBorders>
            <w:top w:val="nil"/>
            <w:left w:val="nil"/>
            <w:bottom w:val="nil"/>
            <w:right w:val="nil"/>
          </w:tcBorders>
        </w:tcPr>
        <w:p w:rsidR="00A37A10" w:rsidRDefault="00A37A10"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6460C">
            <w:rPr>
              <w:i/>
              <w:sz w:val="18"/>
            </w:rPr>
            <w:t>No. 79, 2013</w:t>
          </w:r>
          <w:r w:rsidRPr="007A1328">
            <w:rPr>
              <w:i/>
              <w:sz w:val="18"/>
            </w:rPr>
            <w:fldChar w:fldCharType="end"/>
          </w:r>
        </w:p>
      </w:tc>
      <w:tc>
        <w:tcPr>
          <w:tcW w:w="5387" w:type="dxa"/>
          <w:tcBorders>
            <w:top w:val="nil"/>
            <w:left w:val="nil"/>
            <w:bottom w:val="nil"/>
            <w:right w:val="nil"/>
          </w:tcBorders>
        </w:tcPr>
        <w:p w:rsidR="00A37A10" w:rsidRDefault="00A37A10" w:rsidP="00C946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0C">
            <w:rPr>
              <w:i/>
              <w:sz w:val="18"/>
            </w:rPr>
            <w:t>Clean Energy Legislation Amendment (Various Measures) Regulation 2013</w:t>
          </w:r>
          <w:r w:rsidRPr="007A1328">
            <w:rPr>
              <w:i/>
              <w:sz w:val="18"/>
            </w:rPr>
            <w:fldChar w:fldCharType="end"/>
          </w:r>
        </w:p>
      </w:tc>
      <w:tc>
        <w:tcPr>
          <w:tcW w:w="533" w:type="dxa"/>
          <w:tcBorders>
            <w:top w:val="nil"/>
            <w:left w:val="nil"/>
            <w:bottom w:val="nil"/>
            <w:right w:val="nil"/>
          </w:tcBorders>
        </w:tcPr>
        <w:p w:rsidR="00A37A10" w:rsidRDefault="00A37A1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60C">
            <w:rPr>
              <w:i/>
              <w:noProof/>
              <w:sz w:val="18"/>
            </w:rPr>
            <w:t>i</w:t>
          </w:r>
          <w:r w:rsidRPr="00ED79B6">
            <w:rPr>
              <w:i/>
              <w:sz w:val="18"/>
            </w:rPr>
            <w:fldChar w:fldCharType="end"/>
          </w:r>
        </w:p>
      </w:tc>
    </w:tr>
    <w:tr w:rsidR="00A37A10" w:rsidTr="00A37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37A10" w:rsidRDefault="00A37A10" w:rsidP="00A37A10">
          <w:pPr>
            <w:rPr>
              <w:sz w:val="18"/>
            </w:rPr>
          </w:pPr>
        </w:p>
      </w:tc>
    </w:tr>
  </w:tbl>
  <w:p w:rsidR="00A37A10" w:rsidRPr="00ED79B6" w:rsidRDefault="001F2B88" w:rsidP="001F2B88">
    <w:pPr>
      <w:rPr>
        <w:i/>
        <w:sz w:val="18"/>
      </w:rPr>
    </w:pPr>
    <w:r>
      <w:rPr>
        <w:i/>
        <w:sz w:val="18"/>
      </w:rPr>
      <w:t>OPC50420</w:t>
    </w:r>
    <w:r w:rsidRPr="001F2B88">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49" w:rsidRPr="001F2B88" w:rsidRDefault="00E43E49" w:rsidP="00E43E4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E43E49" w:rsidRPr="001F2B88" w:rsidTr="00246224">
      <w:tc>
        <w:tcPr>
          <w:tcW w:w="533" w:type="dxa"/>
          <w:tcBorders>
            <w:top w:val="nil"/>
            <w:left w:val="nil"/>
            <w:bottom w:val="nil"/>
            <w:right w:val="nil"/>
          </w:tcBorders>
        </w:tcPr>
        <w:p w:rsidR="00E43E49" w:rsidRPr="001F2B88" w:rsidRDefault="00E43E49" w:rsidP="00246224">
          <w:pPr>
            <w:spacing w:line="0" w:lineRule="atLeast"/>
            <w:rPr>
              <w:rFonts w:cs="Times New Roman"/>
              <w:sz w:val="18"/>
            </w:rPr>
          </w:pPr>
          <w:r w:rsidRPr="001F2B88">
            <w:rPr>
              <w:rFonts w:cs="Times New Roman"/>
              <w:i/>
              <w:sz w:val="18"/>
            </w:rPr>
            <w:fldChar w:fldCharType="begin"/>
          </w:r>
          <w:r w:rsidRPr="001F2B88">
            <w:rPr>
              <w:rFonts w:cs="Times New Roman"/>
              <w:i/>
              <w:sz w:val="18"/>
            </w:rPr>
            <w:instrText xml:space="preserve"> PAGE </w:instrText>
          </w:r>
          <w:r w:rsidRPr="001F2B88">
            <w:rPr>
              <w:rFonts w:cs="Times New Roman"/>
              <w:i/>
              <w:sz w:val="18"/>
            </w:rPr>
            <w:fldChar w:fldCharType="separate"/>
          </w:r>
          <w:r w:rsidR="0076460C">
            <w:rPr>
              <w:rFonts w:cs="Times New Roman"/>
              <w:i/>
              <w:noProof/>
              <w:sz w:val="18"/>
            </w:rPr>
            <w:t>12</w:t>
          </w:r>
          <w:r w:rsidRPr="001F2B88">
            <w:rPr>
              <w:rFonts w:cs="Times New Roman"/>
              <w:i/>
              <w:sz w:val="18"/>
            </w:rPr>
            <w:fldChar w:fldCharType="end"/>
          </w:r>
        </w:p>
      </w:tc>
      <w:tc>
        <w:tcPr>
          <w:tcW w:w="5387" w:type="dxa"/>
          <w:tcBorders>
            <w:top w:val="nil"/>
            <w:left w:val="nil"/>
            <w:bottom w:val="nil"/>
            <w:right w:val="nil"/>
          </w:tcBorders>
        </w:tcPr>
        <w:p w:rsidR="00E43E49" w:rsidRPr="001F2B88" w:rsidRDefault="00E43E49" w:rsidP="00246224">
          <w:pPr>
            <w:spacing w:line="0" w:lineRule="atLeast"/>
            <w:jc w:val="center"/>
            <w:rPr>
              <w:rFonts w:cs="Times New Roman"/>
              <w:sz w:val="18"/>
            </w:rPr>
          </w:pPr>
          <w:r w:rsidRPr="001F2B88">
            <w:rPr>
              <w:rFonts w:cs="Times New Roman"/>
              <w:i/>
              <w:sz w:val="18"/>
            </w:rPr>
            <w:fldChar w:fldCharType="begin"/>
          </w:r>
          <w:r w:rsidRPr="001F2B88">
            <w:rPr>
              <w:rFonts w:cs="Times New Roman"/>
              <w:i/>
              <w:sz w:val="18"/>
            </w:rPr>
            <w:instrText xml:space="preserve"> DOCPROPERTY ShortT </w:instrText>
          </w:r>
          <w:r w:rsidRPr="001F2B88">
            <w:rPr>
              <w:rFonts w:cs="Times New Roman"/>
              <w:i/>
              <w:sz w:val="18"/>
            </w:rPr>
            <w:fldChar w:fldCharType="separate"/>
          </w:r>
          <w:r w:rsidR="0076460C">
            <w:rPr>
              <w:rFonts w:cs="Times New Roman"/>
              <w:i/>
              <w:sz w:val="18"/>
            </w:rPr>
            <w:t>Clean Energy Legislation Amendment (Various Measures) Regulation 2013</w:t>
          </w:r>
          <w:r w:rsidRPr="001F2B88">
            <w:rPr>
              <w:rFonts w:cs="Times New Roman"/>
              <w:i/>
              <w:sz w:val="18"/>
            </w:rPr>
            <w:fldChar w:fldCharType="end"/>
          </w:r>
        </w:p>
      </w:tc>
      <w:tc>
        <w:tcPr>
          <w:tcW w:w="1383" w:type="dxa"/>
          <w:tcBorders>
            <w:top w:val="nil"/>
            <w:left w:val="nil"/>
            <w:bottom w:val="nil"/>
            <w:right w:val="nil"/>
          </w:tcBorders>
        </w:tcPr>
        <w:p w:rsidR="00E43E49" w:rsidRPr="001F2B88" w:rsidRDefault="00E43E49" w:rsidP="00246224">
          <w:pPr>
            <w:spacing w:line="0" w:lineRule="atLeast"/>
            <w:jc w:val="right"/>
            <w:rPr>
              <w:rFonts w:cs="Times New Roman"/>
              <w:sz w:val="18"/>
            </w:rPr>
          </w:pPr>
          <w:r w:rsidRPr="001F2B88">
            <w:rPr>
              <w:rFonts w:cs="Times New Roman"/>
              <w:i/>
              <w:sz w:val="18"/>
            </w:rPr>
            <w:fldChar w:fldCharType="begin"/>
          </w:r>
          <w:r w:rsidRPr="001F2B88">
            <w:rPr>
              <w:rFonts w:cs="Times New Roman"/>
              <w:i/>
              <w:sz w:val="18"/>
            </w:rPr>
            <w:instrText xml:space="preserve"> DOCPROPERTY ActNo </w:instrText>
          </w:r>
          <w:r w:rsidRPr="001F2B88">
            <w:rPr>
              <w:rFonts w:cs="Times New Roman"/>
              <w:i/>
              <w:sz w:val="18"/>
            </w:rPr>
            <w:fldChar w:fldCharType="separate"/>
          </w:r>
          <w:r w:rsidR="0076460C">
            <w:rPr>
              <w:rFonts w:cs="Times New Roman"/>
              <w:i/>
              <w:sz w:val="18"/>
            </w:rPr>
            <w:t>No. 79, 2013</w:t>
          </w:r>
          <w:r w:rsidRPr="001F2B88">
            <w:rPr>
              <w:rFonts w:cs="Times New Roman"/>
              <w:i/>
              <w:sz w:val="18"/>
            </w:rPr>
            <w:fldChar w:fldCharType="end"/>
          </w:r>
        </w:p>
      </w:tc>
    </w:tr>
    <w:tr w:rsidR="00E43E49" w:rsidRPr="001F2B88" w:rsidTr="00246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43E49" w:rsidRPr="001F2B88" w:rsidRDefault="00E43E49" w:rsidP="00246224">
          <w:pPr>
            <w:jc w:val="right"/>
            <w:rPr>
              <w:rFonts w:cs="Times New Roman"/>
              <w:sz w:val="18"/>
            </w:rPr>
          </w:pPr>
        </w:p>
      </w:tc>
    </w:tr>
  </w:tbl>
  <w:p w:rsidR="00E43E49" w:rsidRPr="001F2B88" w:rsidRDefault="001F2B88" w:rsidP="001F2B88">
    <w:pPr>
      <w:rPr>
        <w:rFonts w:cs="Times New Roman"/>
        <w:i/>
        <w:sz w:val="18"/>
      </w:rPr>
    </w:pPr>
    <w:r>
      <w:rPr>
        <w:rFonts w:cs="Times New Roman"/>
        <w:i/>
        <w:sz w:val="18"/>
      </w:rPr>
      <w:t>OPC50420</w:t>
    </w:r>
    <w:r w:rsidRPr="001F2B88">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49" w:rsidRPr="00E33C1C" w:rsidRDefault="00E43E49" w:rsidP="00E43E4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43E49" w:rsidTr="00246224">
      <w:tc>
        <w:tcPr>
          <w:tcW w:w="1383" w:type="dxa"/>
          <w:tcBorders>
            <w:top w:val="nil"/>
            <w:left w:val="nil"/>
            <w:bottom w:val="nil"/>
            <w:right w:val="nil"/>
          </w:tcBorders>
        </w:tcPr>
        <w:p w:rsidR="00E43E49" w:rsidRDefault="00E43E49" w:rsidP="0024622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6460C">
            <w:rPr>
              <w:i/>
              <w:sz w:val="18"/>
            </w:rPr>
            <w:t>No. 79, 2013</w:t>
          </w:r>
          <w:r w:rsidRPr="007A1328">
            <w:rPr>
              <w:i/>
              <w:sz w:val="18"/>
            </w:rPr>
            <w:fldChar w:fldCharType="end"/>
          </w:r>
        </w:p>
      </w:tc>
      <w:tc>
        <w:tcPr>
          <w:tcW w:w="5387" w:type="dxa"/>
          <w:tcBorders>
            <w:top w:val="nil"/>
            <w:left w:val="nil"/>
            <w:bottom w:val="nil"/>
            <w:right w:val="nil"/>
          </w:tcBorders>
        </w:tcPr>
        <w:p w:rsidR="00E43E49" w:rsidRDefault="00E43E49" w:rsidP="002462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0C">
            <w:rPr>
              <w:i/>
              <w:sz w:val="18"/>
            </w:rPr>
            <w:t>Clean Energy Legislation Amendment (Various Measures) Regulation 2013</w:t>
          </w:r>
          <w:r w:rsidRPr="007A1328">
            <w:rPr>
              <w:i/>
              <w:sz w:val="18"/>
            </w:rPr>
            <w:fldChar w:fldCharType="end"/>
          </w:r>
        </w:p>
      </w:tc>
      <w:tc>
        <w:tcPr>
          <w:tcW w:w="533" w:type="dxa"/>
          <w:tcBorders>
            <w:top w:val="nil"/>
            <w:left w:val="nil"/>
            <w:bottom w:val="nil"/>
            <w:right w:val="nil"/>
          </w:tcBorders>
        </w:tcPr>
        <w:p w:rsidR="00E43E49" w:rsidRDefault="00E43E49" w:rsidP="002462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460C">
            <w:rPr>
              <w:i/>
              <w:noProof/>
              <w:sz w:val="18"/>
            </w:rPr>
            <w:t>11</w:t>
          </w:r>
          <w:r w:rsidRPr="00ED79B6">
            <w:rPr>
              <w:i/>
              <w:sz w:val="18"/>
            </w:rPr>
            <w:fldChar w:fldCharType="end"/>
          </w:r>
        </w:p>
      </w:tc>
    </w:tr>
    <w:tr w:rsidR="00E43E49" w:rsidTr="00246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E43E49" w:rsidRDefault="00E43E49" w:rsidP="00246224">
          <w:pPr>
            <w:rPr>
              <w:sz w:val="18"/>
            </w:rPr>
          </w:pPr>
        </w:p>
      </w:tc>
    </w:tr>
  </w:tbl>
  <w:p w:rsidR="00E43E49" w:rsidRPr="00ED79B6" w:rsidRDefault="001F2B88" w:rsidP="001F2B88">
    <w:pPr>
      <w:rPr>
        <w:i/>
        <w:sz w:val="18"/>
      </w:rPr>
    </w:pPr>
    <w:r>
      <w:rPr>
        <w:i/>
        <w:sz w:val="18"/>
      </w:rPr>
      <w:t>OPC50420</w:t>
    </w:r>
    <w:r w:rsidRPr="001F2B88">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E33C1C" w:rsidRDefault="00A37A10"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37A10" w:rsidTr="00A37A10">
      <w:tc>
        <w:tcPr>
          <w:tcW w:w="1383" w:type="dxa"/>
          <w:tcBorders>
            <w:top w:val="nil"/>
            <w:left w:val="nil"/>
            <w:bottom w:val="nil"/>
            <w:right w:val="nil"/>
          </w:tcBorders>
        </w:tcPr>
        <w:p w:rsidR="00A37A10" w:rsidRDefault="00A37A10" w:rsidP="00A37A1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6460C">
            <w:rPr>
              <w:i/>
              <w:sz w:val="18"/>
            </w:rPr>
            <w:t>No. 79, 2013</w:t>
          </w:r>
          <w:r w:rsidRPr="007A1328">
            <w:rPr>
              <w:i/>
              <w:sz w:val="18"/>
            </w:rPr>
            <w:fldChar w:fldCharType="end"/>
          </w:r>
        </w:p>
      </w:tc>
      <w:tc>
        <w:tcPr>
          <w:tcW w:w="5387" w:type="dxa"/>
          <w:tcBorders>
            <w:top w:val="nil"/>
            <w:left w:val="nil"/>
            <w:bottom w:val="nil"/>
            <w:right w:val="nil"/>
          </w:tcBorders>
        </w:tcPr>
        <w:p w:rsidR="00A37A10" w:rsidRDefault="00A37A10" w:rsidP="00A37A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0C">
            <w:rPr>
              <w:i/>
              <w:sz w:val="18"/>
            </w:rPr>
            <w:t>Clean Energy Legislation Amendment (Various Measures) Regulation 2013</w:t>
          </w:r>
          <w:r w:rsidRPr="007A1328">
            <w:rPr>
              <w:i/>
              <w:sz w:val="18"/>
            </w:rPr>
            <w:fldChar w:fldCharType="end"/>
          </w:r>
        </w:p>
      </w:tc>
      <w:tc>
        <w:tcPr>
          <w:tcW w:w="533" w:type="dxa"/>
          <w:tcBorders>
            <w:top w:val="nil"/>
            <w:left w:val="nil"/>
            <w:bottom w:val="nil"/>
            <w:right w:val="nil"/>
          </w:tcBorders>
        </w:tcPr>
        <w:p w:rsidR="00A37A10" w:rsidRDefault="00A37A10" w:rsidP="00A37A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7C1E">
            <w:rPr>
              <w:i/>
              <w:noProof/>
              <w:sz w:val="18"/>
            </w:rPr>
            <w:t>12</w:t>
          </w:r>
          <w:r w:rsidRPr="00ED79B6">
            <w:rPr>
              <w:i/>
              <w:sz w:val="18"/>
            </w:rPr>
            <w:fldChar w:fldCharType="end"/>
          </w:r>
        </w:p>
      </w:tc>
    </w:tr>
    <w:tr w:rsidR="00A37A10" w:rsidTr="00A37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37A10" w:rsidRDefault="00A37A10" w:rsidP="00A37A10">
          <w:pPr>
            <w:rPr>
              <w:sz w:val="18"/>
            </w:rPr>
          </w:pPr>
        </w:p>
      </w:tc>
    </w:tr>
  </w:tbl>
  <w:p w:rsidR="00A37A10" w:rsidRPr="00ED79B6" w:rsidRDefault="00A37A10"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10" w:rsidRDefault="00A37A10" w:rsidP="0048364F">
      <w:pPr>
        <w:spacing w:line="240" w:lineRule="auto"/>
      </w:pPr>
      <w:r>
        <w:separator/>
      </w:r>
    </w:p>
  </w:footnote>
  <w:footnote w:type="continuationSeparator" w:id="0">
    <w:p w:rsidR="00A37A10" w:rsidRDefault="00A37A1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5F1388" w:rsidRDefault="00A37A1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5F1388" w:rsidRDefault="00A37A1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5F1388" w:rsidRDefault="00A37A1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ED79B6" w:rsidRDefault="00A37A10" w:rsidP="00722023">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ED79B6" w:rsidRDefault="00A37A10"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ED79B6" w:rsidRDefault="00A37A1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A961C4" w:rsidRDefault="00A37A10" w:rsidP="00B63BDE">
    <w:pPr>
      <w:rPr>
        <w:b/>
        <w:sz w:val="20"/>
      </w:rPr>
    </w:pPr>
    <w:r>
      <w:rPr>
        <w:b/>
        <w:sz w:val="20"/>
      </w:rPr>
      <w:fldChar w:fldCharType="begin"/>
    </w:r>
    <w:r>
      <w:rPr>
        <w:b/>
        <w:sz w:val="20"/>
      </w:rPr>
      <w:instrText xml:space="preserve"> STYLEREF CharAmSchNo </w:instrText>
    </w:r>
    <w:r w:rsidR="0076460C">
      <w:rPr>
        <w:b/>
        <w:sz w:val="20"/>
      </w:rPr>
      <w:fldChar w:fldCharType="separate"/>
    </w:r>
    <w:r w:rsidR="0076460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6460C">
      <w:rPr>
        <w:sz w:val="20"/>
      </w:rPr>
      <w:fldChar w:fldCharType="separate"/>
    </w:r>
    <w:r w:rsidR="0076460C">
      <w:rPr>
        <w:noProof/>
        <w:sz w:val="20"/>
      </w:rPr>
      <w:t>Amendments</w:t>
    </w:r>
    <w:r>
      <w:rPr>
        <w:sz w:val="20"/>
      </w:rPr>
      <w:fldChar w:fldCharType="end"/>
    </w:r>
  </w:p>
  <w:p w:rsidR="00A37A10" w:rsidRPr="00A961C4" w:rsidRDefault="00A37A10"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37A10" w:rsidRPr="00A961C4" w:rsidRDefault="00A37A10"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A961C4" w:rsidRDefault="00A37A10" w:rsidP="00E443FC">
    <w:pPr>
      <w:jc w:val="right"/>
      <w:rPr>
        <w:sz w:val="20"/>
      </w:rPr>
    </w:pPr>
    <w:r w:rsidRPr="00A961C4">
      <w:rPr>
        <w:sz w:val="20"/>
      </w:rPr>
      <w:fldChar w:fldCharType="begin"/>
    </w:r>
    <w:r w:rsidRPr="00A961C4">
      <w:rPr>
        <w:sz w:val="20"/>
      </w:rPr>
      <w:instrText xml:space="preserve"> STYLEREF CharAmSchText </w:instrText>
    </w:r>
    <w:r w:rsidR="0076460C">
      <w:rPr>
        <w:sz w:val="20"/>
      </w:rPr>
      <w:fldChar w:fldCharType="separate"/>
    </w:r>
    <w:r w:rsidR="0076460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6460C">
      <w:rPr>
        <w:b/>
        <w:sz w:val="20"/>
      </w:rPr>
      <w:fldChar w:fldCharType="separate"/>
    </w:r>
    <w:r w:rsidR="0076460C">
      <w:rPr>
        <w:b/>
        <w:noProof/>
        <w:sz w:val="20"/>
      </w:rPr>
      <w:t>Schedule 1</w:t>
    </w:r>
    <w:r>
      <w:rPr>
        <w:b/>
        <w:sz w:val="20"/>
      </w:rPr>
      <w:fldChar w:fldCharType="end"/>
    </w:r>
  </w:p>
  <w:p w:rsidR="00A37A10" w:rsidRPr="00A961C4" w:rsidRDefault="00A37A10"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37A10" w:rsidRPr="00A961C4" w:rsidRDefault="00A37A10"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0" w:rsidRPr="00A961C4" w:rsidRDefault="00A37A10"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3D"/>
    <w:rsid w:val="000041C6"/>
    <w:rsid w:val="000113BC"/>
    <w:rsid w:val="000136AF"/>
    <w:rsid w:val="000156DC"/>
    <w:rsid w:val="00021F4D"/>
    <w:rsid w:val="00025060"/>
    <w:rsid w:val="00032947"/>
    <w:rsid w:val="0004044E"/>
    <w:rsid w:val="00056850"/>
    <w:rsid w:val="000614BF"/>
    <w:rsid w:val="00087E4F"/>
    <w:rsid w:val="000A017B"/>
    <w:rsid w:val="000C2A94"/>
    <w:rsid w:val="000C2CEE"/>
    <w:rsid w:val="000D05EF"/>
    <w:rsid w:val="000F21C1"/>
    <w:rsid w:val="000F7427"/>
    <w:rsid w:val="00105AF8"/>
    <w:rsid w:val="0010745C"/>
    <w:rsid w:val="00112193"/>
    <w:rsid w:val="0013232C"/>
    <w:rsid w:val="001463EC"/>
    <w:rsid w:val="00154EAC"/>
    <w:rsid w:val="00156DAF"/>
    <w:rsid w:val="0016028F"/>
    <w:rsid w:val="001643C9"/>
    <w:rsid w:val="00165568"/>
    <w:rsid w:val="00166C2F"/>
    <w:rsid w:val="001716C9"/>
    <w:rsid w:val="00171EAE"/>
    <w:rsid w:val="0018098B"/>
    <w:rsid w:val="00193461"/>
    <w:rsid w:val="001939E1"/>
    <w:rsid w:val="00195382"/>
    <w:rsid w:val="00196AF2"/>
    <w:rsid w:val="001A22C9"/>
    <w:rsid w:val="001B3B0B"/>
    <w:rsid w:val="001B7065"/>
    <w:rsid w:val="001B7A5D"/>
    <w:rsid w:val="001C69C4"/>
    <w:rsid w:val="001D0EED"/>
    <w:rsid w:val="001E3590"/>
    <w:rsid w:val="001E562E"/>
    <w:rsid w:val="001E7154"/>
    <w:rsid w:val="001E7407"/>
    <w:rsid w:val="001F2B88"/>
    <w:rsid w:val="001F6924"/>
    <w:rsid w:val="001F708D"/>
    <w:rsid w:val="00201D27"/>
    <w:rsid w:val="002144D7"/>
    <w:rsid w:val="0021478B"/>
    <w:rsid w:val="00224DDD"/>
    <w:rsid w:val="00240749"/>
    <w:rsid w:val="00260234"/>
    <w:rsid w:val="00265FBC"/>
    <w:rsid w:val="00266420"/>
    <w:rsid w:val="00266D05"/>
    <w:rsid w:val="00274C9B"/>
    <w:rsid w:val="002779F4"/>
    <w:rsid w:val="00280EE0"/>
    <w:rsid w:val="002932B1"/>
    <w:rsid w:val="00297ECB"/>
    <w:rsid w:val="002A7C1E"/>
    <w:rsid w:val="002B0A46"/>
    <w:rsid w:val="002B5B89"/>
    <w:rsid w:val="002B7D96"/>
    <w:rsid w:val="002C307A"/>
    <w:rsid w:val="002C357E"/>
    <w:rsid w:val="002D043A"/>
    <w:rsid w:val="00303967"/>
    <w:rsid w:val="00304E75"/>
    <w:rsid w:val="003072FA"/>
    <w:rsid w:val="003166E6"/>
    <w:rsid w:val="0031713F"/>
    <w:rsid w:val="003177E7"/>
    <w:rsid w:val="003415D3"/>
    <w:rsid w:val="00343E9C"/>
    <w:rsid w:val="00352B0F"/>
    <w:rsid w:val="00361BD9"/>
    <w:rsid w:val="003642CF"/>
    <w:rsid w:val="003801D0"/>
    <w:rsid w:val="003832E7"/>
    <w:rsid w:val="0039228E"/>
    <w:rsid w:val="003926B5"/>
    <w:rsid w:val="003A645B"/>
    <w:rsid w:val="003B04EC"/>
    <w:rsid w:val="003B3ED7"/>
    <w:rsid w:val="003C5F2B"/>
    <w:rsid w:val="003D0BFE"/>
    <w:rsid w:val="003D5700"/>
    <w:rsid w:val="003F567B"/>
    <w:rsid w:val="004010E7"/>
    <w:rsid w:val="00401403"/>
    <w:rsid w:val="004022CB"/>
    <w:rsid w:val="004116CD"/>
    <w:rsid w:val="00412B83"/>
    <w:rsid w:val="00424CA9"/>
    <w:rsid w:val="0042782F"/>
    <w:rsid w:val="004317B4"/>
    <w:rsid w:val="00433AF2"/>
    <w:rsid w:val="0044291A"/>
    <w:rsid w:val="004541B9"/>
    <w:rsid w:val="00460499"/>
    <w:rsid w:val="0046306C"/>
    <w:rsid w:val="0048364F"/>
    <w:rsid w:val="0049640E"/>
    <w:rsid w:val="00496F97"/>
    <w:rsid w:val="004A2484"/>
    <w:rsid w:val="004A6B3B"/>
    <w:rsid w:val="004B2B45"/>
    <w:rsid w:val="004C3073"/>
    <w:rsid w:val="004E07C9"/>
    <w:rsid w:val="004F1FAC"/>
    <w:rsid w:val="004F3A90"/>
    <w:rsid w:val="004F676E"/>
    <w:rsid w:val="00516B8D"/>
    <w:rsid w:val="00521FC1"/>
    <w:rsid w:val="00522474"/>
    <w:rsid w:val="00525AA9"/>
    <w:rsid w:val="00537FBC"/>
    <w:rsid w:val="00540B32"/>
    <w:rsid w:val="00543469"/>
    <w:rsid w:val="00546224"/>
    <w:rsid w:val="00556B98"/>
    <w:rsid w:val="00557C7A"/>
    <w:rsid w:val="00562311"/>
    <w:rsid w:val="00584811"/>
    <w:rsid w:val="00584BB8"/>
    <w:rsid w:val="0058646E"/>
    <w:rsid w:val="00591E07"/>
    <w:rsid w:val="00592BBF"/>
    <w:rsid w:val="00593AA6"/>
    <w:rsid w:val="00594161"/>
    <w:rsid w:val="00594749"/>
    <w:rsid w:val="005A3CAA"/>
    <w:rsid w:val="005B1286"/>
    <w:rsid w:val="005B4067"/>
    <w:rsid w:val="005B7656"/>
    <w:rsid w:val="005C12DE"/>
    <w:rsid w:val="005C152D"/>
    <w:rsid w:val="005C3F41"/>
    <w:rsid w:val="005E1E99"/>
    <w:rsid w:val="00600219"/>
    <w:rsid w:val="0061681D"/>
    <w:rsid w:val="006249E6"/>
    <w:rsid w:val="00624B82"/>
    <w:rsid w:val="00630733"/>
    <w:rsid w:val="006324DF"/>
    <w:rsid w:val="00634A5B"/>
    <w:rsid w:val="00636CB6"/>
    <w:rsid w:val="0064468A"/>
    <w:rsid w:val="00645A60"/>
    <w:rsid w:val="00650535"/>
    <w:rsid w:val="0065401A"/>
    <w:rsid w:val="00654CCA"/>
    <w:rsid w:val="00656DE9"/>
    <w:rsid w:val="00666526"/>
    <w:rsid w:val="00666FE9"/>
    <w:rsid w:val="00677CC2"/>
    <w:rsid w:val="00680F17"/>
    <w:rsid w:val="00684457"/>
    <w:rsid w:val="00685F42"/>
    <w:rsid w:val="0069207B"/>
    <w:rsid w:val="006937E2"/>
    <w:rsid w:val="006977FB"/>
    <w:rsid w:val="006B638E"/>
    <w:rsid w:val="006B7619"/>
    <w:rsid w:val="006C0B87"/>
    <w:rsid w:val="006C2C12"/>
    <w:rsid w:val="006C34D3"/>
    <w:rsid w:val="006C7F8C"/>
    <w:rsid w:val="006D3362"/>
    <w:rsid w:val="006D3667"/>
    <w:rsid w:val="006E4381"/>
    <w:rsid w:val="006F261E"/>
    <w:rsid w:val="00700778"/>
    <w:rsid w:val="00700B2C"/>
    <w:rsid w:val="00701E6A"/>
    <w:rsid w:val="00713084"/>
    <w:rsid w:val="00722023"/>
    <w:rsid w:val="00731E00"/>
    <w:rsid w:val="007440B7"/>
    <w:rsid w:val="0076326D"/>
    <w:rsid w:val="007634AD"/>
    <w:rsid w:val="0076460C"/>
    <w:rsid w:val="00767554"/>
    <w:rsid w:val="007715C9"/>
    <w:rsid w:val="007729D7"/>
    <w:rsid w:val="00774EDD"/>
    <w:rsid w:val="007757EC"/>
    <w:rsid w:val="007769D4"/>
    <w:rsid w:val="00777F7C"/>
    <w:rsid w:val="00785AFA"/>
    <w:rsid w:val="0078631A"/>
    <w:rsid w:val="007903AC"/>
    <w:rsid w:val="007C6CB1"/>
    <w:rsid w:val="007E667C"/>
    <w:rsid w:val="007E7D4A"/>
    <w:rsid w:val="00804CBC"/>
    <w:rsid w:val="00826DA5"/>
    <w:rsid w:val="00856A31"/>
    <w:rsid w:val="008609E3"/>
    <w:rsid w:val="00874B69"/>
    <w:rsid w:val="008754D0"/>
    <w:rsid w:val="00877D48"/>
    <w:rsid w:val="00882BC6"/>
    <w:rsid w:val="00895B8C"/>
    <w:rsid w:val="0089783B"/>
    <w:rsid w:val="008B633D"/>
    <w:rsid w:val="008C2710"/>
    <w:rsid w:val="008C7ACB"/>
    <w:rsid w:val="008D0EE0"/>
    <w:rsid w:val="008D31B9"/>
    <w:rsid w:val="008D78E8"/>
    <w:rsid w:val="008E69DC"/>
    <w:rsid w:val="008F07E3"/>
    <w:rsid w:val="008F4F1C"/>
    <w:rsid w:val="00907271"/>
    <w:rsid w:val="00910DD2"/>
    <w:rsid w:val="00911FDE"/>
    <w:rsid w:val="00916366"/>
    <w:rsid w:val="00932377"/>
    <w:rsid w:val="00936E7D"/>
    <w:rsid w:val="00942889"/>
    <w:rsid w:val="00996183"/>
    <w:rsid w:val="009B3629"/>
    <w:rsid w:val="009C49D8"/>
    <w:rsid w:val="009D7368"/>
    <w:rsid w:val="009E18D0"/>
    <w:rsid w:val="009E3601"/>
    <w:rsid w:val="009E6B02"/>
    <w:rsid w:val="009F727E"/>
    <w:rsid w:val="00A05607"/>
    <w:rsid w:val="00A06D05"/>
    <w:rsid w:val="00A2057D"/>
    <w:rsid w:val="00A231E2"/>
    <w:rsid w:val="00A2550D"/>
    <w:rsid w:val="00A37A10"/>
    <w:rsid w:val="00A4169B"/>
    <w:rsid w:val="00A4361F"/>
    <w:rsid w:val="00A476C7"/>
    <w:rsid w:val="00A6246E"/>
    <w:rsid w:val="00A64912"/>
    <w:rsid w:val="00A70A74"/>
    <w:rsid w:val="00A70C96"/>
    <w:rsid w:val="00A85CF0"/>
    <w:rsid w:val="00A87AB9"/>
    <w:rsid w:val="00AB3315"/>
    <w:rsid w:val="00AD5641"/>
    <w:rsid w:val="00AE78D5"/>
    <w:rsid w:val="00AF0336"/>
    <w:rsid w:val="00AF5F72"/>
    <w:rsid w:val="00B03064"/>
    <w:rsid w:val="00B032D8"/>
    <w:rsid w:val="00B17047"/>
    <w:rsid w:val="00B332B8"/>
    <w:rsid w:val="00B33B3C"/>
    <w:rsid w:val="00B63BDE"/>
    <w:rsid w:val="00B75085"/>
    <w:rsid w:val="00BA5026"/>
    <w:rsid w:val="00BB6E79"/>
    <w:rsid w:val="00BD60E6"/>
    <w:rsid w:val="00BE253A"/>
    <w:rsid w:val="00BE719A"/>
    <w:rsid w:val="00BE720A"/>
    <w:rsid w:val="00BF406D"/>
    <w:rsid w:val="00BF7335"/>
    <w:rsid w:val="00C067E5"/>
    <w:rsid w:val="00C164CA"/>
    <w:rsid w:val="00C200D9"/>
    <w:rsid w:val="00C20AB0"/>
    <w:rsid w:val="00C21B63"/>
    <w:rsid w:val="00C41E79"/>
    <w:rsid w:val="00C42BF8"/>
    <w:rsid w:val="00C460AE"/>
    <w:rsid w:val="00C46402"/>
    <w:rsid w:val="00C50043"/>
    <w:rsid w:val="00C63C37"/>
    <w:rsid w:val="00C742BE"/>
    <w:rsid w:val="00C7573B"/>
    <w:rsid w:val="00C76CF3"/>
    <w:rsid w:val="00C946BB"/>
    <w:rsid w:val="00CB0180"/>
    <w:rsid w:val="00CB4341"/>
    <w:rsid w:val="00CD312E"/>
    <w:rsid w:val="00CD7ECB"/>
    <w:rsid w:val="00CE7203"/>
    <w:rsid w:val="00CF0BB2"/>
    <w:rsid w:val="00CF626C"/>
    <w:rsid w:val="00D13441"/>
    <w:rsid w:val="00D17B17"/>
    <w:rsid w:val="00D243A3"/>
    <w:rsid w:val="00D25072"/>
    <w:rsid w:val="00D33440"/>
    <w:rsid w:val="00D41478"/>
    <w:rsid w:val="00D52EFE"/>
    <w:rsid w:val="00D532AD"/>
    <w:rsid w:val="00D6045D"/>
    <w:rsid w:val="00D63EF6"/>
    <w:rsid w:val="00D70DFB"/>
    <w:rsid w:val="00D766DF"/>
    <w:rsid w:val="00D84B58"/>
    <w:rsid w:val="00D925D1"/>
    <w:rsid w:val="00DC6F4E"/>
    <w:rsid w:val="00DD27D0"/>
    <w:rsid w:val="00DE05C0"/>
    <w:rsid w:val="00DF04E0"/>
    <w:rsid w:val="00E05704"/>
    <w:rsid w:val="00E05C46"/>
    <w:rsid w:val="00E12765"/>
    <w:rsid w:val="00E17DE0"/>
    <w:rsid w:val="00E30206"/>
    <w:rsid w:val="00E302B4"/>
    <w:rsid w:val="00E33C1C"/>
    <w:rsid w:val="00E43E49"/>
    <w:rsid w:val="00E443FC"/>
    <w:rsid w:val="00E52CF1"/>
    <w:rsid w:val="00E54292"/>
    <w:rsid w:val="00E70FE5"/>
    <w:rsid w:val="00E74DC7"/>
    <w:rsid w:val="00E85643"/>
    <w:rsid w:val="00E87699"/>
    <w:rsid w:val="00E912F5"/>
    <w:rsid w:val="00E9176C"/>
    <w:rsid w:val="00EA4111"/>
    <w:rsid w:val="00EB1AAA"/>
    <w:rsid w:val="00EB6854"/>
    <w:rsid w:val="00ED3A7D"/>
    <w:rsid w:val="00ED5A21"/>
    <w:rsid w:val="00EF2E3A"/>
    <w:rsid w:val="00F047E2"/>
    <w:rsid w:val="00F06623"/>
    <w:rsid w:val="00F078DC"/>
    <w:rsid w:val="00F13E86"/>
    <w:rsid w:val="00F24C35"/>
    <w:rsid w:val="00F26000"/>
    <w:rsid w:val="00F44636"/>
    <w:rsid w:val="00F602F8"/>
    <w:rsid w:val="00F613F1"/>
    <w:rsid w:val="00F656B0"/>
    <w:rsid w:val="00F677A9"/>
    <w:rsid w:val="00F84CF5"/>
    <w:rsid w:val="00F94A08"/>
    <w:rsid w:val="00FA0440"/>
    <w:rsid w:val="00FA420B"/>
    <w:rsid w:val="00FD7CFE"/>
    <w:rsid w:val="00FF0419"/>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B32"/>
    <w:pPr>
      <w:spacing w:line="260" w:lineRule="atLeast"/>
    </w:pPr>
    <w:rPr>
      <w:sz w:val="22"/>
    </w:rPr>
  </w:style>
  <w:style w:type="paragraph" w:styleId="Heading1">
    <w:name w:val="heading 1"/>
    <w:basedOn w:val="Normal"/>
    <w:next w:val="Normal"/>
    <w:link w:val="Heading1Char"/>
    <w:uiPriority w:val="9"/>
    <w:qFormat/>
    <w:rsid w:val="00C742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4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42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42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42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42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42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42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42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B32"/>
  </w:style>
  <w:style w:type="paragraph" w:customStyle="1" w:styleId="OPCParaBase">
    <w:name w:val="OPCParaBase"/>
    <w:qFormat/>
    <w:rsid w:val="00540B32"/>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B32"/>
    <w:pPr>
      <w:spacing w:line="240" w:lineRule="auto"/>
    </w:pPr>
    <w:rPr>
      <w:b/>
      <w:sz w:val="40"/>
    </w:rPr>
  </w:style>
  <w:style w:type="paragraph" w:customStyle="1" w:styleId="ActHead1">
    <w:name w:val="ActHead 1"/>
    <w:aliases w:val="c"/>
    <w:basedOn w:val="OPCParaBase"/>
    <w:next w:val="Normal"/>
    <w:qFormat/>
    <w:rsid w:val="00540B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B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B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B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0B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B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B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B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B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B32"/>
  </w:style>
  <w:style w:type="paragraph" w:customStyle="1" w:styleId="Blocks">
    <w:name w:val="Blocks"/>
    <w:aliases w:val="bb"/>
    <w:basedOn w:val="OPCParaBase"/>
    <w:qFormat/>
    <w:rsid w:val="00540B32"/>
    <w:pPr>
      <w:spacing w:line="240" w:lineRule="auto"/>
    </w:pPr>
    <w:rPr>
      <w:sz w:val="24"/>
    </w:rPr>
  </w:style>
  <w:style w:type="paragraph" w:customStyle="1" w:styleId="BoxText">
    <w:name w:val="BoxText"/>
    <w:aliases w:val="bt"/>
    <w:basedOn w:val="OPCParaBase"/>
    <w:qFormat/>
    <w:rsid w:val="00540B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B32"/>
    <w:rPr>
      <w:b/>
    </w:rPr>
  </w:style>
  <w:style w:type="paragraph" w:customStyle="1" w:styleId="BoxHeadItalic">
    <w:name w:val="BoxHeadItalic"/>
    <w:aliases w:val="bhi"/>
    <w:basedOn w:val="BoxText"/>
    <w:next w:val="BoxStep"/>
    <w:qFormat/>
    <w:rsid w:val="00540B32"/>
    <w:rPr>
      <w:i/>
    </w:rPr>
  </w:style>
  <w:style w:type="paragraph" w:customStyle="1" w:styleId="BoxList">
    <w:name w:val="BoxList"/>
    <w:aliases w:val="bl"/>
    <w:basedOn w:val="BoxText"/>
    <w:qFormat/>
    <w:rsid w:val="00540B32"/>
    <w:pPr>
      <w:ind w:left="1559" w:hanging="425"/>
    </w:pPr>
  </w:style>
  <w:style w:type="paragraph" w:customStyle="1" w:styleId="BoxNote">
    <w:name w:val="BoxNote"/>
    <w:aliases w:val="bn"/>
    <w:basedOn w:val="BoxText"/>
    <w:qFormat/>
    <w:rsid w:val="00540B32"/>
    <w:pPr>
      <w:tabs>
        <w:tab w:val="left" w:pos="1985"/>
      </w:tabs>
      <w:spacing w:before="122" w:line="198" w:lineRule="exact"/>
      <w:ind w:left="2948" w:hanging="1814"/>
    </w:pPr>
    <w:rPr>
      <w:sz w:val="18"/>
    </w:rPr>
  </w:style>
  <w:style w:type="paragraph" w:customStyle="1" w:styleId="BoxPara">
    <w:name w:val="BoxPara"/>
    <w:aliases w:val="bp"/>
    <w:basedOn w:val="BoxText"/>
    <w:qFormat/>
    <w:rsid w:val="00540B32"/>
    <w:pPr>
      <w:tabs>
        <w:tab w:val="right" w:pos="2268"/>
      </w:tabs>
      <w:ind w:left="2552" w:hanging="1418"/>
    </w:pPr>
  </w:style>
  <w:style w:type="paragraph" w:customStyle="1" w:styleId="BoxStep">
    <w:name w:val="BoxStep"/>
    <w:aliases w:val="bs"/>
    <w:basedOn w:val="BoxText"/>
    <w:qFormat/>
    <w:rsid w:val="00540B32"/>
    <w:pPr>
      <w:ind w:left="1985" w:hanging="851"/>
    </w:pPr>
  </w:style>
  <w:style w:type="character" w:customStyle="1" w:styleId="CharAmPartNo">
    <w:name w:val="CharAmPartNo"/>
    <w:basedOn w:val="OPCCharBase"/>
    <w:qFormat/>
    <w:rsid w:val="00540B32"/>
  </w:style>
  <w:style w:type="character" w:customStyle="1" w:styleId="CharAmPartText">
    <w:name w:val="CharAmPartText"/>
    <w:basedOn w:val="OPCCharBase"/>
    <w:qFormat/>
    <w:rsid w:val="00540B32"/>
  </w:style>
  <w:style w:type="character" w:customStyle="1" w:styleId="CharAmSchNo">
    <w:name w:val="CharAmSchNo"/>
    <w:basedOn w:val="OPCCharBase"/>
    <w:qFormat/>
    <w:rsid w:val="00540B32"/>
  </w:style>
  <w:style w:type="character" w:customStyle="1" w:styleId="CharAmSchText">
    <w:name w:val="CharAmSchText"/>
    <w:basedOn w:val="OPCCharBase"/>
    <w:qFormat/>
    <w:rsid w:val="00540B32"/>
  </w:style>
  <w:style w:type="character" w:customStyle="1" w:styleId="CharBoldItalic">
    <w:name w:val="CharBoldItalic"/>
    <w:basedOn w:val="OPCCharBase"/>
    <w:uiPriority w:val="1"/>
    <w:qFormat/>
    <w:rsid w:val="00540B32"/>
    <w:rPr>
      <w:b/>
      <w:i/>
    </w:rPr>
  </w:style>
  <w:style w:type="character" w:customStyle="1" w:styleId="CharChapNo">
    <w:name w:val="CharChapNo"/>
    <w:basedOn w:val="OPCCharBase"/>
    <w:uiPriority w:val="1"/>
    <w:qFormat/>
    <w:rsid w:val="00540B32"/>
  </w:style>
  <w:style w:type="character" w:customStyle="1" w:styleId="CharChapText">
    <w:name w:val="CharChapText"/>
    <w:basedOn w:val="OPCCharBase"/>
    <w:uiPriority w:val="1"/>
    <w:qFormat/>
    <w:rsid w:val="00540B32"/>
  </w:style>
  <w:style w:type="character" w:customStyle="1" w:styleId="CharDivNo">
    <w:name w:val="CharDivNo"/>
    <w:basedOn w:val="OPCCharBase"/>
    <w:uiPriority w:val="1"/>
    <w:qFormat/>
    <w:rsid w:val="00540B32"/>
  </w:style>
  <w:style w:type="character" w:customStyle="1" w:styleId="CharDivText">
    <w:name w:val="CharDivText"/>
    <w:basedOn w:val="OPCCharBase"/>
    <w:uiPriority w:val="1"/>
    <w:qFormat/>
    <w:rsid w:val="00540B32"/>
  </w:style>
  <w:style w:type="character" w:customStyle="1" w:styleId="CharItalic">
    <w:name w:val="CharItalic"/>
    <w:basedOn w:val="OPCCharBase"/>
    <w:uiPriority w:val="1"/>
    <w:qFormat/>
    <w:rsid w:val="00540B32"/>
    <w:rPr>
      <w:i/>
    </w:rPr>
  </w:style>
  <w:style w:type="character" w:customStyle="1" w:styleId="CharPartNo">
    <w:name w:val="CharPartNo"/>
    <w:basedOn w:val="OPCCharBase"/>
    <w:uiPriority w:val="1"/>
    <w:qFormat/>
    <w:rsid w:val="00540B32"/>
  </w:style>
  <w:style w:type="character" w:customStyle="1" w:styleId="CharPartText">
    <w:name w:val="CharPartText"/>
    <w:basedOn w:val="OPCCharBase"/>
    <w:uiPriority w:val="1"/>
    <w:qFormat/>
    <w:rsid w:val="00540B32"/>
  </w:style>
  <w:style w:type="character" w:customStyle="1" w:styleId="CharSectno">
    <w:name w:val="CharSectno"/>
    <w:basedOn w:val="OPCCharBase"/>
    <w:qFormat/>
    <w:rsid w:val="00540B32"/>
  </w:style>
  <w:style w:type="character" w:customStyle="1" w:styleId="CharSubdNo">
    <w:name w:val="CharSubdNo"/>
    <w:basedOn w:val="OPCCharBase"/>
    <w:uiPriority w:val="1"/>
    <w:qFormat/>
    <w:rsid w:val="00540B32"/>
  </w:style>
  <w:style w:type="character" w:customStyle="1" w:styleId="CharSubdText">
    <w:name w:val="CharSubdText"/>
    <w:basedOn w:val="OPCCharBase"/>
    <w:uiPriority w:val="1"/>
    <w:qFormat/>
    <w:rsid w:val="00540B32"/>
  </w:style>
  <w:style w:type="paragraph" w:customStyle="1" w:styleId="CTA--">
    <w:name w:val="CTA --"/>
    <w:basedOn w:val="OPCParaBase"/>
    <w:next w:val="Normal"/>
    <w:rsid w:val="00540B32"/>
    <w:pPr>
      <w:spacing w:before="60" w:line="240" w:lineRule="atLeast"/>
      <w:ind w:left="142" w:hanging="142"/>
    </w:pPr>
    <w:rPr>
      <w:sz w:val="20"/>
    </w:rPr>
  </w:style>
  <w:style w:type="paragraph" w:customStyle="1" w:styleId="CTA-">
    <w:name w:val="CTA -"/>
    <w:basedOn w:val="OPCParaBase"/>
    <w:rsid w:val="00540B32"/>
    <w:pPr>
      <w:spacing w:before="60" w:line="240" w:lineRule="atLeast"/>
      <w:ind w:left="85" w:hanging="85"/>
    </w:pPr>
    <w:rPr>
      <w:sz w:val="20"/>
    </w:rPr>
  </w:style>
  <w:style w:type="paragraph" w:customStyle="1" w:styleId="CTA---">
    <w:name w:val="CTA ---"/>
    <w:basedOn w:val="OPCParaBase"/>
    <w:next w:val="Normal"/>
    <w:rsid w:val="00540B32"/>
    <w:pPr>
      <w:spacing w:before="60" w:line="240" w:lineRule="atLeast"/>
      <w:ind w:left="198" w:hanging="198"/>
    </w:pPr>
    <w:rPr>
      <w:sz w:val="20"/>
    </w:rPr>
  </w:style>
  <w:style w:type="paragraph" w:customStyle="1" w:styleId="CTA----">
    <w:name w:val="CTA ----"/>
    <w:basedOn w:val="OPCParaBase"/>
    <w:next w:val="Normal"/>
    <w:rsid w:val="00540B32"/>
    <w:pPr>
      <w:spacing w:before="60" w:line="240" w:lineRule="atLeast"/>
      <w:ind w:left="255" w:hanging="255"/>
    </w:pPr>
    <w:rPr>
      <w:sz w:val="20"/>
    </w:rPr>
  </w:style>
  <w:style w:type="paragraph" w:customStyle="1" w:styleId="CTA1a">
    <w:name w:val="CTA 1(a)"/>
    <w:basedOn w:val="OPCParaBase"/>
    <w:rsid w:val="00540B32"/>
    <w:pPr>
      <w:tabs>
        <w:tab w:val="right" w:pos="414"/>
      </w:tabs>
      <w:spacing w:before="40" w:line="240" w:lineRule="atLeast"/>
      <w:ind w:left="675" w:hanging="675"/>
    </w:pPr>
    <w:rPr>
      <w:sz w:val="20"/>
    </w:rPr>
  </w:style>
  <w:style w:type="paragraph" w:customStyle="1" w:styleId="CTA1ai">
    <w:name w:val="CTA 1(a)(i)"/>
    <w:basedOn w:val="OPCParaBase"/>
    <w:rsid w:val="00540B32"/>
    <w:pPr>
      <w:tabs>
        <w:tab w:val="right" w:pos="1004"/>
      </w:tabs>
      <w:spacing w:before="40" w:line="240" w:lineRule="atLeast"/>
      <w:ind w:left="1253" w:hanging="1253"/>
    </w:pPr>
    <w:rPr>
      <w:sz w:val="20"/>
    </w:rPr>
  </w:style>
  <w:style w:type="paragraph" w:customStyle="1" w:styleId="CTA2a">
    <w:name w:val="CTA 2(a)"/>
    <w:basedOn w:val="OPCParaBase"/>
    <w:rsid w:val="00540B32"/>
    <w:pPr>
      <w:tabs>
        <w:tab w:val="right" w:pos="482"/>
      </w:tabs>
      <w:spacing w:before="40" w:line="240" w:lineRule="atLeast"/>
      <w:ind w:left="748" w:hanging="748"/>
    </w:pPr>
    <w:rPr>
      <w:sz w:val="20"/>
    </w:rPr>
  </w:style>
  <w:style w:type="paragraph" w:customStyle="1" w:styleId="CTA2ai">
    <w:name w:val="CTA 2(a)(i)"/>
    <w:basedOn w:val="OPCParaBase"/>
    <w:rsid w:val="00540B32"/>
    <w:pPr>
      <w:tabs>
        <w:tab w:val="right" w:pos="1089"/>
      </w:tabs>
      <w:spacing w:before="40" w:line="240" w:lineRule="atLeast"/>
      <w:ind w:left="1327" w:hanging="1327"/>
    </w:pPr>
    <w:rPr>
      <w:sz w:val="20"/>
    </w:rPr>
  </w:style>
  <w:style w:type="paragraph" w:customStyle="1" w:styleId="CTA3a">
    <w:name w:val="CTA 3(a)"/>
    <w:basedOn w:val="OPCParaBase"/>
    <w:rsid w:val="00540B32"/>
    <w:pPr>
      <w:tabs>
        <w:tab w:val="right" w:pos="556"/>
      </w:tabs>
      <w:spacing w:before="40" w:line="240" w:lineRule="atLeast"/>
      <w:ind w:left="805" w:hanging="805"/>
    </w:pPr>
    <w:rPr>
      <w:sz w:val="20"/>
    </w:rPr>
  </w:style>
  <w:style w:type="paragraph" w:customStyle="1" w:styleId="CTA3ai">
    <w:name w:val="CTA 3(a)(i)"/>
    <w:basedOn w:val="OPCParaBase"/>
    <w:rsid w:val="00540B32"/>
    <w:pPr>
      <w:tabs>
        <w:tab w:val="right" w:pos="1140"/>
      </w:tabs>
      <w:spacing w:before="40" w:line="240" w:lineRule="atLeast"/>
      <w:ind w:left="1361" w:hanging="1361"/>
    </w:pPr>
    <w:rPr>
      <w:sz w:val="20"/>
    </w:rPr>
  </w:style>
  <w:style w:type="paragraph" w:customStyle="1" w:styleId="CTA4a">
    <w:name w:val="CTA 4(a)"/>
    <w:basedOn w:val="OPCParaBase"/>
    <w:rsid w:val="00540B32"/>
    <w:pPr>
      <w:tabs>
        <w:tab w:val="right" w:pos="624"/>
      </w:tabs>
      <w:spacing w:before="40" w:line="240" w:lineRule="atLeast"/>
      <w:ind w:left="873" w:hanging="873"/>
    </w:pPr>
    <w:rPr>
      <w:sz w:val="20"/>
    </w:rPr>
  </w:style>
  <w:style w:type="paragraph" w:customStyle="1" w:styleId="CTA4ai">
    <w:name w:val="CTA 4(a)(i)"/>
    <w:basedOn w:val="OPCParaBase"/>
    <w:rsid w:val="00540B32"/>
    <w:pPr>
      <w:tabs>
        <w:tab w:val="right" w:pos="1213"/>
      </w:tabs>
      <w:spacing w:before="40" w:line="240" w:lineRule="atLeast"/>
      <w:ind w:left="1452" w:hanging="1452"/>
    </w:pPr>
    <w:rPr>
      <w:sz w:val="20"/>
    </w:rPr>
  </w:style>
  <w:style w:type="paragraph" w:customStyle="1" w:styleId="CTACAPS">
    <w:name w:val="CTA CAPS"/>
    <w:basedOn w:val="OPCParaBase"/>
    <w:rsid w:val="00540B32"/>
    <w:pPr>
      <w:spacing w:before="60" w:line="240" w:lineRule="atLeast"/>
    </w:pPr>
    <w:rPr>
      <w:sz w:val="20"/>
    </w:rPr>
  </w:style>
  <w:style w:type="paragraph" w:customStyle="1" w:styleId="CTAright">
    <w:name w:val="CTA right"/>
    <w:basedOn w:val="OPCParaBase"/>
    <w:rsid w:val="00540B32"/>
    <w:pPr>
      <w:spacing w:before="60" w:line="240" w:lineRule="auto"/>
      <w:jc w:val="right"/>
    </w:pPr>
    <w:rPr>
      <w:sz w:val="20"/>
    </w:rPr>
  </w:style>
  <w:style w:type="paragraph" w:customStyle="1" w:styleId="subsection">
    <w:name w:val="subsection"/>
    <w:aliases w:val="ss"/>
    <w:basedOn w:val="OPCParaBase"/>
    <w:link w:val="subsectionChar"/>
    <w:rsid w:val="00540B32"/>
    <w:pPr>
      <w:tabs>
        <w:tab w:val="right" w:pos="1021"/>
      </w:tabs>
      <w:spacing w:before="180" w:line="240" w:lineRule="auto"/>
      <w:ind w:left="1134" w:hanging="1134"/>
    </w:pPr>
  </w:style>
  <w:style w:type="paragraph" w:customStyle="1" w:styleId="Definition">
    <w:name w:val="Definition"/>
    <w:aliases w:val="dd"/>
    <w:basedOn w:val="OPCParaBase"/>
    <w:rsid w:val="00540B32"/>
    <w:pPr>
      <w:spacing w:before="180" w:line="240" w:lineRule="auto"/>
      <w:ind w:left="1134"/>
    </w:pPr>
  </w:style>
  <w:style w:type="paragraph" w:customStyle="1" w:styleId="ETAsubitem">
    <w:name w:val="ETA(subitem)"/>
    <w:basedOn w:val="OPCParaBase"/>
    <w:rsid w:val="00540B32"/>
    <w:pPr>
      <w:tabs>
        <w:tab w:val="right" w:pos="340"/>
      </w:tabs>
      <w:spacing w:before="60" w:line="240" w:lineRule="auto"/>
      <w:ind w:left="454" w:hanging="454"/>
    </w:pPr>
    <w:rPr>
      <w:sz w:val="20"/>
    </w:rPr>
  </w:style>
  <w:style w:type="paragraph" w:customStyle="1" w:styleId="ETApara">
    <w:name w:val="ETA(para)"/>
    <w:basedOn w:val="OPCParaBase"/>
    <w:rsid w:val="00540B32"/>
    <w:pPr>
      <w:tabs>
        <w:tab w:val="right" w:pos="754"/>
      </w:tabs>
      <w:spacing w:before="60" w:line="240" w:lineRule="auto"/>
      <w:ind w:left="828" w:hanging="828"/>
    </w:pPr>
    <w:rPr>
      <w:sz w:val="20"/>
    </w:rPr>
  </w:style>
  <w:style w:type="paragraph" w:customStyle="1" w:styleId="ETAsubpara">
    <w:name w:val="ETA(subpara)"/>
    <w:basedOn w:val="OPCParaBase"/>
    <w:rsid w:val="00540B32"/>
    <w:pPr>
      <w:tabs>
        <w:tab w:val="right" w:pos="1083"/>
      </w:tabs>
      <w:spacing w:before="60" w:line="240" w:lineRule="auto"/>
      <w:ind w:left="1191" w:hanging="1191"/>
    </w:pPr>
    <w:rPr>
      <w:sz w:val="20"/>
    </w:rPr>
  </w:style>
  <w:style w:type="paragraph" w:customStyle="1" w:styleId="ETAsub-subpara">
    <w:name w:val="ETA(sub-subpara)"/>
    <w:basedOn w:val="OPCParaBase"/>
    <w:rsid w:val="00540B32"/>
    <w:pPr>
      <w:tabs>
        <w:tab w:val="right" w:pos="1412"/>
      </w:tabs>
      <w:spacing w:before="60" w:line="240" w:lineRule="auto"/>
      <w:ind w:left="1525" w:hanging="1525"/>
    </w:pPr>
    <w:rPr>
      <w:sz w:val="20"/>
    </w:rPr>
  </w:style>
  <w:style w:type="paragraph" w:customStyle="1" w:styleId="Formula">
    <w:name w:val="Formula"/>
    <w:basedOn w:val="OPCParaBase"/>
    <w:rsid w:val="00540B32"/>
    <w:pPr>
      <w:spacing w:line="240" w:lineRule="auto"/>
      <w:ind w:left="1134"/>
    </w:pPr>
    <w:rPr>
      <w:sz w:val="20"/>
    </w:rPr>
  </w:style>
  <w:style w:type="paragraph" w:styleId="Header">
    <w:name w:val="header"/>
    <w:basedOn w:val="OPCParaBase"/>
    <w:link w:val="HeaderChar"/>
    <w:unhideWhenUsed/>
    <w:rsid w:val="00540B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B32"/>
    <w:rPr>
      <w:rFonts w:eastAsia="Times New Roman" w:cs="Times New Roman"/>
      <w:sz w:val="16"/>
      <w:lang w:eastAsia="en-AU"/>
    </w:rPr>
  </w:style>
  <w:style w:type="paragraph" w:customStyle="1" w:styleId="House">
    <w:name w:val="House"/>
    <w:basedOn w:val="OPCParaBase"/>
    <w:rsid w:val="00540B32"/>
    <w:pPr>
      <w:spacing w:line="240" w:lineRule="auto"/>
    </w:pPr>
    <w:rPr>
      <w:sz w:val="28"/>
    </w:rPr>
  </w:style>
  <w:style w:type="paragraph" w:customStyle="1" w:styleId="Item">
    <w:name w:val="Item"/>
    <w:aliases w:val="i"/>
    <w:basedOn w:val="OPCParaBase"/>
    <w:next w:val="ItemHead"/>
    <w:rsid w:val="00540B32"/>
    <w:pPr>
      <w:keepLines/>
      <w:spacing w:before="80" w:line="240" w:lineRule="auto"/>
      <w:ind w:left="709"/>
    </w:pPr>
  </w:style>
  <w:style w:type="paragraph" w:customStyle="1" w:styleId="ItemHead">
    <w:name w:val="ItemHead"/>
    <w:aliases w:val="ih"/>
    <w:basedOn w:val="OPCParaBase"/>
    <w:next w:val="Item"/>
    <w:rsid w:val="00540B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B32"/>
    <w:pPr>
      <w:spacing w:line="240" w:lineRule="auto"/>
    </w:pPr>
    <w:rPr>
      <w:b/>
      <w:sz w:val="32"/>
    </w:rPr>
  </w:style>
  <w:style w:type="paragraph" w:customStyle="1" w:styleId="notedraft">
    <w:name w:val="note(draft)"/>
    <w:aliases w:val="nd"/>
    <w:basedOn w:val="OPCParaBase"/>
    <w:rsid w:val="00540B32"/>
    <w:pPr>
      <w:spacing w:before="240" w:line="240" w:lineRule="auto"/>
      <w:ind w:left="284" w:hanging="284"/>
    </w:pPr>
    <w:rPr>
      <w:i/>
      <w:sz w:val="24"/>
    </w:rPr>
  </w:style>
  <w:style w:type="paragraph" w:customStyle="1" w:styleId="notemargin">
    <w:name w:val="note(margin)"/>
    <w:aliases w:val="nm"/>
    <w:basedOn w:val="OPCParaBase"/>
    <w:rsid w:val="00540B32"/>
    <w:pPr>
      <w:tabs>
        <w:tab w:val="left" w:pos="709"/>
      </w:tabs>
      <w:spacing w:before="122" w:line="198" w:lineRule="exact"/>
      <w:ind w:left="709" w:hanging="709"/>
    </w:pPr>
    <w:rPr>
      <w:sz w:val="18"/>
    </w:rPr>
  </w:style>
  <w:style w:type="paragraph" w:customStyle="1" w:styleId="noteToPara">
    <w:name w:val="noteToPara"/>
    <w:aliases w:val="ntp"/>
    <w:basedOn w:val="OPCParaBase"/>
    <w:rsid w:val="00540B32"/>
    <w:pPr>
      <w:spacing w:before="122" w:line="198" w:lineRule="exact"/>
      <w:ind w:left="2353" w:hanging="709"/>
    </w:pPr>
    <w:rPr>
      <w:sz w:val="18"/>
    </w:rPr>
  </w:style>
  <w:style w:type="paragraph" w:customStyle="1" w:styleId="noteParlAmend">
    <w:name w:val="note(ParlAmend)"/>
    <w:aliases w:val="npp"/>
    <w:basedOn w:val="OPCParaBase"/>
    <w:next w:val="ParlAmend"/>
    <w:rsid w:val="00540B32"/>
    <w:pPr>
      <w:spacing w:line="240" w:lineRule="auto"/>
      <w:jc w:val="right"/>
    </w:pPr>
    <w:rPr>
      <w:rFonts w:ascii="Arial" w:hAnsi="Arial"/>
      <w:b/>
      <w:i/>
    </w:rPr>
  </w:style>
  <w:style w:type="paragraph" w:customStyle="1" w:styleId="notetext">
    <w:name w:val="note(text)"/>
    <w:aliases w:val="n"/>
    <w:basedOn w:val="OPCParaBase"/>
    <w:rsid w:val="00540B32"/>
    <w:pPr>
      <w:spacing w:before="122" w:line="198" w:lineRule="exact"/>
      <w:ind w:left="1985" w:hanging="851"/>
    </w:pPr>
    <w:rPr>
      <w:sz w:val="18"/>
    </w:rPr>
  </w:style>
  <w:style w:type="paragraph" w:customStyle="1" w:styleId="Page1">
    <w:name w:val="Page1"/>
    <w:basedOn w:val="OPCParaBase"/>
    <w:rsid w:val="00540B32"/>
    <w:pPr>
      <w:spacing w:before="5600" w:line="240" w:lineRule="auto"/>
    </w:pPr>
    <w:rPr>
      <w:b/>
      <w:sz w:val="32"/>
    </w:rPr>
  </w:style>
  <w:style w:type="paragraph" w:customStyle="1" w:styleId="PageBreak">
    <w:name w:val="PageBreak"/>
    <w:aliases w:val="pb"/>
    <w:basedOn w:val="OPCParaBase"/>
    <w:rsid w:val="00540B32"/>
    <w:pPr>
      <w:spacing w:line="240" w:lineRule="auto"/>
    </w:pPr>
    <w:rPr>
      <w:sz w:val="20"/>
    </w:rPr>
  </w:style>
  <w:style w:type="paragraph" w:customStyle="1" w:styleId="paragraphsub">
    <w:name w:val="paragraph(sub)"/>
    <w:aliases w:val="aa"/>
    <w:basedOn w:val="OPCParaBase"/>
    <w:rsid w:val="00540B32"/>
    <w:pPr>
      <w:tabs>
        <w:tab w:val="right" w:pos="1985"/>
      </w:tabs>
      <w:spacing w:before="40" w:line="240" w:lineRule="auto"/>
      <w:ind w:left="2098" w:hanging="2098"/>
    </w:pPr>
  </w:style>
  <w:style w:type="paragraph" w:customStyle="1" w:styleId="paragraphsub-sub">
    <w:name w:val="paragraph(sub-sub)"/>
    <w:aliases w:val="aaa"/>
    <w:basedOn w:val="OPCParaBase"/>
    <w:rsid w:val="00540B32"/>
    <w:pPr>
      <w:tabs>
        <w:tab w:val="right" w:pos="2722"/>
      </w:tabs>
      <w:spacing w:before="40" w:line="240" w:lineRule="auto"/>
      <w:ind w:left="2835" w:hanging="2835"/>
    </w:pPr>
  </w:style>
  <w:style w:type="paragraph" w:customStyle="1" w:styleId="paragraph">
    <w:name w:val="paragraph"/>
    <w:aliases w:val="a"/>
    <w:basedOn w:val="OPCParaBase"/>
    <w:link w:val="paragraphChar"/>
    <w:rsid w:val="00540B32"/>
    <w:pPr>
      <w:tabs>
        <w:tab w:val="right" w:pos="1531"/>
      </w:tabs>
      <w:spacing w:before="40" w:line="240" w:lineRule="auto"/>
      <w:ind w:left="1644" w:hanging="1644"/>
    </w:pPr>
  </w:style>
  <w:style w:type="paragraph" w:customStyle="1" w:styleId="ParlAmend">
    <w:name w:val="ParlAmend"/>
    <w:aliases w:val="pp"/>
    <w:basedOn w:val="OPCParaBase"/>
    <w:rsid w:val="00540B32"/>
    <w:pPr>
      <w:spacing w:before="240" w:line="240" w:lineRule="atLeast"/>
      <w:ind w:hanging="567"/>
    </w:pPr>
    <w:rPr>
      <w:sz w:val="24"/>
    </w:rPr>
  </w:style>
  <w:style w:type="paragraph" w:customStyle="1" w:styleId="Penalty">
    <w:name w:val="Penalty"/>
    <w:basedOn w:val="OPCParaBase"/>
    <w:rsid w:val="00540B32"/>
    <w:pPr>
      <w:tabs>
        <w:tab w:val="left" w:pos="2977"/>
      </w:tabs>
      <w:spacing w:before="180" w:line="240" w:lineRule="auto"/>
      <w:ind w:left="1985" w:hanging="851"/>
    </w:pPr>
  </w:style>
  <w:style w:type="paragraph" w:customStyle="1" w:styleId="Portfolio">
    <w:name w:val="Portfolio"/>
    <w:basedOn w:val="OPCParaBase"/>
    <w:rsid w:val="00540B32"/>
    <w:pPr>
      <w:spacing w:line="240" w:lineRule="auto"/>
    </w:pPr>
    <w:rPr>
      <w:i/>
      <w:sz w:val="20"/>
    </w:rPr>
  </w:style>
  <w:style w:type="paragraph" w:customStyle="1" w:styleId="Preamble">
    <w:name w:val="Preamble"/>
    <w:basedOn w:val="OPCParaBase"/>
    <w:next w:val="Normal"/>
    <w:rsid w:val="00540B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B32"/>
    <w:pPr>
      <w:spacing w:line="240" w:lineRule="auto"/>
    </w:pPr>
    <w:rPr>
      <w:i/>
      <w:sz w:val="20"/>
    </w:rPr>
  </w:style>
  <w:style w:type="paragraph" w:customStyle="1" w:styleId="Session">
    <w:name w:val="Session"/>
    <w:basedOn w:val="OPCParaBase"/>
    <w:rsid w:val="00540B32"/>
    <w:pPr>
      <w:spacing w:line="240" w:lineRule="auto"/>
    </w:pPr>
    <w:rPr>
      <w:sz w:val="28"/>
    </w:rPr>
  </w:style>
  <w:style w:type="paragraph" w:customStyle="1" w:styleId="Sponsor">
    <w:name w:val="Sponsor"/>
    <w:basedOn w:val="OPCParaBase"/>
    <w:rsid w:val="00540B32"/>
    <w:pPr>
      <w:spacing w:line="240" w:lineRule="auto"/>
    </w:pPr>
    <w:rPr>
      <w:i/>
    </w:rPr>
  </w:style>
  <w:style w:type="paragraph" w:customStyle="1" w:styleId="Subitem">
    <w:name w:val="Subitem"/>
    <w:aliases w:val="iss"/>
    <w:basedOn w:val="OPCParaBase"/>
    <w:rsid w:val="00540B32"/>
    <w:pPr>
      <w:spacing w:before="180" w:line="240" w:lineRule="auto"/>
      <w:ind w:left="709" w:hanging="709"/>
    </w:pPr>
  </w:style>
  <w:style w:type="paragraph" w:customStyle="1" w:styleId="SubitemHead">
    <w:name w:val="SubitemHead"/>
    <w:aliases w:val="issh"/>
    <w:basedOn w:val="OPCParaBase"/>
    <w:rsid w:val="00540B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B32"/>
    <w:pPr>
      <w:spacing w:before="40" w:line="240" w:lineRule="auto"/>
      <w:ind w:left="1134"/>
    </w:pPr>
  </w:style>
  <w:style w:type="paragraph" w:customStyle="1" w:styleId="SubsectionHead">
    <w:name w:val="SubsectionHead"/>
    <w:aliases w:val="ssh"/>
    <w:basedOn w:val="OPCParaBase"/>
    <w:next w:val="subsection"/>
    <w:rsid w:val="00540B32"/>
    <w:pPr>
      <w:keepNext/>
      <w:keepLines/>
      <w:spacing w:before="240" w:line="240" w:lineRule="auto"/>
      <w:ind w:left="1134"/>
    </w:pPr>
    <w:rPr>
      <w:i/>
    </w:rPr>
  </w:style>
  <w:style w:type="paragraph" w:customStyle="1" w:styleId="Tablea">
    <w:name w:val="Table(a)"/>
    <w:aliases w:val="ta"/>
    <w:basedOn w:val="OPCParaBase"/>
    <w:rsid w:val="00540B32"/>
    <w:pPr>
      <w:spacing w:before="60" w:line="240" w:lineRule="auto"/>
      <w:ind w:left="284" w:hanging="284"/>
    </w:pPr>
    <w:rPr>
      <w:sz w:val="20"/>
    </w:rPr>
  </w:style>
  <w:style w:type="paragraph" w:customStyle="1" w:styleId="TableAA">
    <w:name w:val="Table(AA)"/>
    <w:aliases w:val="taaa"/>
    <w:basedOn w:val="OPCParaBase"/>
    <w:rsid w:val="00540B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B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B32"/>
    <w:pPr>
      <w:spacing w:before="60" w:line="240" w:lineRule="atLeast"/>
    </w:pPr>
    <w:rPr>
      <w:sz w:val="20"/>
    </w:rPr>
  </w:style>
  <w:style w:type="paragraph" w:customStyle="1" w:styleId="TLPBoxTextnote">
    <w:name w:val="TLPBoxText(note"/>
    <w:aliases w:val="right)"/>
    <w:basedOn w:val="OPCParaBase"/>
    <w:rsid w:val="00540B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B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B32"/>
    <w:pPr>
      <w:spacing w:before="122" w:line="198" w:lineRule="exact"/>
      <w:ind w:left="1985" w:hanging="851"/>
      <w:jc w:val="right"/>
    </w:pPr>
    <w:rPr>
      <w:sz w:val="18"/>
    </w:rPr>
  </w:style>
  <w:style w:type="paragraph" w:customStyle="1" w:styleId="TLPTableBullet">
    <w:name w:val="TLPTableBullet"/>
    <w:aliases w:val="ttb"/>
    <w:basedOn w:val="OPCParaBase"/>
    <w:rsid w:val="00540B32"/>
    <w:pPr>
      <w:spacing w:line="240" w:lineRule="exact"/>
      <w:ind w:left="284" w:hanging="284"/>
    </w:pPr>
    <w:rPr>
      <w:sz w:val="20"/>
    </w:rPr>
  </w:style>
  <w:style w:type="paragraph" w:styleId="TOC1">
    <w:name w:val="toc 1"/>
    <w:basedOn w:val="OPCParaBase"/>
    <w:next w:val="Normal"/>
    <w:uiPriority w:val="39"/>
    <w:semiHidden/>
    <w:unhideWhenUsed/>
    <w:rsid w:val="00540B3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40B3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40B3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40B3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0B3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0B3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40B3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0B3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0B3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0B32"/>
    <w:pPr>
      <w:keepLines/>
      <w:spacing w:before="240" w:after="120" w:line="240" w:lineRule="auto"/>
      <w:ind w:left="794"/>
    </w:pPr>
    <w:rPr>
      <w:b/>
      <w:kern w:val="28"/>
      <w:sz w:val="20"/>
    </w:rPr>
  </w:style>
  <w:style w:type="paragraph" w:customStyle="1" w:styleId="TofSectsHeading">
    <w:name w:val="TofSects(Heading)"/>
    <w:basedOn w:val="OPCParaBase"/>
    <w:rsid w:val="00540B32"/>
    <w:pPr>
      <w:spacing w:before="240" w:after="120" w:line="240" w:lineRule="auto"/>
    </w:pPr>
    <w:rPr>
      <w:b/>
      <w:sz w:val="24"/>
    </w:rPr>
  </w:style>
  <w:style w:type="paragraph" w:customStyle="1" w:styleId="TofSectsSection">
    <w:name w:val="TofSects(Section)"/>
    <w:basedOn w:val="OPCParaBase"/>
    <w:rsid w:val="00540B32"/>
    <w:pPr>
      <w:keepLines/>
      <w:spacing w:before="40" w:line="240" w:lineRule="auto"/>
      <w:ind w:left="1588" w:hanging="794"/>
    </w:pPr>
    <w:rPr>
      <w:kern w:val="28"/>
      <w:sz w:val="18"/>
    </w:rPr>
  </w:style>
  <w:style w:type="paragraph" w:customStyle="1" w:styleId="TofSectsSubdiv">
    <w:name w:val="TofSects(Subdiv)"/>
    <w:basedOn w:val="OPCParaBase"/>
    <w:rsid w:val="00540B32"/>
    <w:pPr>
      <w:keepLines/>
      <w:spacing w:before="80" w:line="240" w:lineRule="auto"/>
      <w:ind w:left="1588" w:hanging="794"/>
    </w:pPr>
    <w:rPr>
      <w:kern w:val="28"/>
    </w:rPr>
  </w:style>
  <w:style w:type="paragraph" w:customStyle="1" w:styleId="WRStyle">
    <w:name w:val="WR Style"/>
    <w:aliases w:val="WR"/>
    <w:basedOn w:val="OPCParaBase"/>
    <w:rsid w:val="00540B32"/>
    <w:pPr>
      <w:spacing w:before="240" w:line="240" w:lineRule="auto"/>
      <w:ind w:left="284" w:hanging="284"/>
    </w:pPr>
    <w:rPr>
      <w:b/>
      <w:i/>
      <w:kern w:val="28"/>
      <w:sz w:val="24"/>
    </w:rPr>
  </w:style>
  <w:style w:type="paragraph" w:customStyle="1" w:styleId="notepara">
    <w:name w:val="note(para)"/>
    <w:aliases w:val="na"/>
    <w:basedOn w:val="OPCParaBase"/>
    <w:rsid w:val="00540B32"/>
    <w:pPr>
      <w:spacing w:before="40" w:line="198" w:lineRule="exact"/>
      <w:ind w:left="2354" w:hanging="369"/>
    </w:pPr>
    <w:rPr>
      <w:sz w:val="18"/>
    </w:rPr>
  </w:style>
  <w:style w:type="paragraph" w:styleId="Footer">
    <w:name w:val="footer"/>
    <w:link w:val="FooterChar"/>
    <w:rsid w:val="00540B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B32"/>
    <w:rPr>
      <w:rFonts w:eastAsia="Times New Roman" w:cs="Times New Roman"/>
      <w:sz w:val="22"/>
      <w:szCs w:val="24"/>
      <w:lang w:eastAsia="en-AU"/>
    </w:rPr>
  </w:style>
  <w:style w:type="character" w:styleId="LineNumber">
    <w:name w:val="line number"/>
    <w:basedOn w:val="OPCCharBase"/>
    <w:uiPriority w:val="99"/>
    <w:semiHidden/>
    <w:unhideWhenUsed/>
    <w:rsid w:val="00540B32"/>
    <w:rPr>
      <w:sz w:val="16"/>
    </w:rPr>
  </w:style>
  <w:style w:type="table" w:customStyle="1" w:styleId="CFlag">
    <w:name w:val="CFlag"/>
    <w:basedOn w:val="TableNormal"/>
    <w:uiPriority w:val="99"/>
    <w:rsid w:val="00540B3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32"/>
    <w:rPr>
      <w:rFonts w:ascii="Tahoma" w:hAnsi="Tahoma" w:cs="Tahoma"/>
      <w:sz w:val="16"/>
      <w:szCs w:val="16"/>
    </w:rPr>
  </w:style>
  <w:style w:type="character" w:styleId="Hyperlink">
    <w:name w:val="Hyperlink"/>
    <w:basedOn w:val="DefaultParagraphFont"/>
    <w:rsid w:val="00540B32"/>
    <w:rPr>
      <w:color w:val="0000FF"/>
      <w:u w:val="single"/>
    </w:rPr>
  </w:style>
  <w:style w:type="table" w:styleId="TableGrid">
    <w:name w:val="Table Grid"/>
    <w:basedOn w:val="TableNormal"/>
    <w:uiPriority w:val="59"/>
    <w:rsid w:val="00540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40B32"/>
    <w:rPr>
      <w:b/>
      <w:sz w:val="28"/>
      <w:szCs w:val="32"/>
    </w:rPr>
  </w:style>
  <w:style w:type="paragraph" w:customStyle="1" w:styleId="TerritoryT">
    <w:name w:val="TerritoryT"/>
    <w:basedOn w:val="OPCParaBase"/>
    <w:next w:val="Normal"/>
    <w:rsid w:val="00540B32"/>
    <w:rPr>
      <w:b/>
      <w:sz w:val="32"/>
    </w:rPr>
  </w:style>
  <w:style w:type="paragraph" w:customStyle="1" w:styleId="LegislationMadeUnder">
    <w:name w:val="LegislationMadeUnder"/>
    <w:basedOn w:val="OPCParaBase"/>
    <w:next w:val="Normal"/>
    <w:rsid w:val="00540B32"/>
    <w:rPr>
      <w:i/>
      <w:sz w:val="32"/>
      <w:szCs w:val="32"/>
    </w:rPr>
  </w:style>
  <w:style w:type="paragraph" w:customStyle="1" w:styleId="SignCoverPageEnd">
    <w:name w:val="SignCoverPageEnd"/>
    <w:basedOn w:val="OPCParaBase"/>
    <w:next w:val="Normal"/>
    <w:rsid w:val="00540B3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40B32"/>
    <w:pPr>
      <w:pBdr>
        <w:top w:val="single" w:sz="4" w:space="1" w:color="auto"/>
      </w:pBdr>
      <w:spacing w:before="360"/>
      <w:ind w:right="397"/>
      <w:jc w:val="both"/>
    </w:pPr>
  </w:style>
  <w:style w:type="paragraph" w:customStyle="1" w:styleId="NotesHeading1">
    <w:name w:val="NotesHeading 1"/>
    <w:basedOn w:val="OPCParaBase"/>
    <w:next w:val="Normal"/>
    <w:rsid w:val="00540B32"/>
    <w:rPr>
      <w:b/>
      <w:sz w:val="28"/>
      <w:szCs w:val="28"/>
    </w:rPr>
  </w:style>
  <w:style w:type="paragraph" w:customStyle="1" w:styleId="NotesHeading2">
    <w:name w:val="NotesHeading 2"/>
    <w:basedOn w:val="OPCParaBase"/>
    <w:next w:val="Normal"/>
    <w:rsid w:val="00540B32"/>
    <w:rPr>
      <w:b/>
      <w:sz w:val="28"/>
      <w:szCs w:val="28"/>
    </w:rPr>
  </w:style>
  <w:style w:type="paragraph" w:customStyle="1" w:styleId="ENotesHeading1">
    <w:name w:val="ENotesHeading 1"/>
    <w:aliases w:val="Enh1"/>
    <w:basedOn w:val="OPCParaBase"/>
    <w:next w:val="Normal"/>
    <w:rsid w:val="00540B32"/>
    <w:pPr>
      <w:spacing w:before="120"/>
      <w:outlineLvl w:val="1"/>
    </w:pPr>
    <w:rPr>
      <w:b/>
      <w:sz w:val="28"/>
      <w:szCs w:val="28"/>
    </w:rPr>
  </w:style>
  <w:style w:type="paragraph" w:customStyle="1" w:styleId="ENotesHeading2">
    <w:name w:val="ENotesHeading 2"/>
    <w:aliases w:val="Enh2"/>
    <w:basedOn w:val="OPCParaBase"/>
    <w:next w:val="Normal"/>
    <w:rsid w:val="00540B32"/>
    <w:pPr>
      <w:spacing w:before="120" w:after="120"/>
      <w:outlineLvl w:val="2"/>
    </w:pPr>
    <w:rPr>
      <w:b/>
      <w:sz w:val="24"/>
      <w:szCs w:val="28"/>
    </w:rPr>
  </w:style>
  <w:style w:type="paragraph" w:customStyle="1" w:styleId="ENotesHeading3">
    <w:name w:val="ENotesHeading 3"/>
    <w:aliases w:val="Enh3"/>
    <w:basedOn w:val="OPCParaBase"/>
    <w:next w:val="Normal"/>
    <w:rsid w:val="00540B32"/>
    <w:pPr>
      <w:keepNext/>
      <w:spacing w:before="120" w:line="240" w:lineRule="auto"/>
      <w:outlineLvl w:val="4"/>
    </w:pPr>
    <w:rPr>
      <w:b/>
      <w:szCs w:val="24"/>
    </w:rPr>
  </w:style>
  <w:style w:type="paragraph" w:customStyle="1" w:styleId="ENotesText">
    <w:name w:val="ENotesText"/>
    <w:basedOn w:val="OPCParaBase"/>
    <w:next w:val="Normal"/>
    <w:rsid w:val="00540B32"/>
  </w:style>
  <w:style w:type="paragraph" w:customStyle="1" w:styleId="CompiledActNo">
    <w:name w:val="CompiledActNo"/>
    <w:basedOn w:val="OPCParaBase"/>
    <w:next w:val="Normal"/>
    <w:rsid w:val="00540B32"/>
    <w:rPr>
      <w:b/>
      <w:sz w:val="24"/>
      <w:szCs w:val="24"/>
    </w:rPr>
  </w:style>
  <w:style w:type="paragraph" w:customStyle="1" w:styleId="CompiledMadeUnder">
    <w:name w:val="CompiledMadeUnder"/>
    <w:basedOn w:val="OPCParaBase"/>
    <w:next w:val="Normal"/>
    <w:rsid w:val="00540B32"/>
    <w:rPr>
      <w:i/>
      <w:sz w:val="24"/>
      <w:szCs w:val="24"/>
    </w:rPr>
  </w:style>
  <w:style w:type="paragraph" w:customStyle="1" w:styleId="Paragraphsub-sub-sub">
    <w:name w:val="Paragraph(sub-sub-sub)"/>
    <w:aliases w:val="aaaa"/>
    <w:basedOn w:val="OPCParaBase"/>
    <w:rsid w:val="00540B32"/>
    <w:pPr>
      <w:tabs>
        <w:tab w:val="right" w:pos="3402"/>
      </w:tabs>
      <w:spacing w:before="40" w:line="240" w:lineRule="auto"/>
      <w:ind w:left="3402" w:hanging="3402"/>
    </w:pPr>
  </w:style>
  <w:style w:type="paragraph" w:customStyle="1" w:styleId="SubPartCASA">
    <w:name w:val="SubPart(CASA)"/>
    <w:aliases w:val="csp"/>
    <w:basedOn w:val="OPCParaBase"/>
    <w:next w:val="ActHead3"/>
    <w:rsid w:val="00540B32"/>
    <w:pPr>
      <w:keepNext/>
      <w:keepLines/>
      <w:spacing w:before="280"/>
      <w:outlineLvl w:val="1"/>
    </w:pPr>
    <w:rPr>
      <w:b/>
      <w:kern w:val="28"/>
      <w:sz w:val="32"/>
    </w:rPr>
  </w:style>
  <w:style w:type="paragraph" w:customStyle="1" w:styleId="TableHeading">
    <w:name w:val="TableHeading"/>
    <w:aliases w:val="th"/>
    <w:basedOn w:val="OPCParaBase"/>
    <w:next w:val="Tabletext"/>
    <w:rsid w:val="00540B32"/>
    <w:pPr>
      <w:keepNext/>
      <w:spacing w:before="60" w:line="240" w:lineRule="atLeast"/>
    </w:pPr>
    <w:rPr>
      <w:b/>
      <w:sz w:val="20"/>
    </w:rPr>
  </w:style>
  <w:style w:type="paragraph" w:customStyle="1" w:styleId="NoteToSubpara">
    <w:name w:val="NoteToSubpara"/>
    <w:aliases w:val="nts"/>
    <w:basedOn w:val="OPCParaBase"/>
    <w:rsid w:val="00540B32"/>
    <w:pPr>
      <w:spacing w:before="40" w:line="198" w:lineRule="exact"/>
      <w:ind w:left="2835" w:hanging="709"/>
    </w:pPr>
    <w:rPr>
      <w:sz w:val="18"/>
    </w:rPr>
  </w:style>
  <w:style w:type="paragraph" w:customStyle="1" w:styleId="EndNotespara">
    <w:name w:val="EndNotes(para)"/>
    <w:aliases w:val="eta"/>
    <w:basedOn w:val="OPCParaBase"/>
    <w:next w:val="Normal"/>
    <w:rsid w:val="00540B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B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40B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B32"/>
    <w:pPr>
      <w:tabs>
        <w:tab w:val="right" w:pos="1412"/>
      </w:tabs>
      <w:spacing w:before="60" w:line="240" w:lineRule="auto"/>
      <w:ind w:left="1525" w:hanging="1525"/>
    </w:pPr>
    <w:rPr>
      <w:sz w:val="20"/>
    </w:rPr>
  </w:style>
  <w:style w:type="character" w:customStyle="1" w:styleId="Heading1Char">
    <w:name w:val="Heading 1 Char"/>
    <w:basedOn w:val="DefaultParagraphFont"/>
    <w:link w:val="Heading1"/>
    <w:uiPriority w:val="9"/>
    <w:rsid w:val="00C742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4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42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42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42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42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42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42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42B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F7335"/>
    <w:rPr>
      <w:rFonts w:eastAsia="Times New Roman" w:cs="Times New Roman"/>
      <w:sz w:val="22"/>
      <w:lang w:eastAsia="en-AU"/>
    </w:rPr>
  </w:style>
  <w:style w:type="character" w:customStyle="1" w:styleId="paragraphChar">
    <w:name w:val="paragraph Char"/>
    <w:aliases w:val="a Char"/>
    <w:basedOn w:val="DefaultParagraphFont"/>
    <w:link w:val="paragraph"/>
    <w:locked/>
    <w:rsid w:val="00546224"/>
    <w:rPr>
      <w:rFonts w:eastAsia="Times New Roman" w:cs="Times New Roman"/>
      <w:sz w:val="22"/>
      <w:lang w:eastAsia="en-AU"/>
    </w:rPr>
  </w:style>
  <w:style w:type="paragraph" w:customStyle="1" w:styleId="ENoteTableHeading">
    <w:name w:val="ENoteTableHeading"/>
    <w:aliases w:val="enth"/>
    <w:basedOn w:val="OPCParaBase"/>
    <w:rsid w:val="00540B32"/>
    <w:pPr>
      <w:keepNext/>
      <w:spacing w:before="60" w:line="240" w:lineRule="atLeast"/>
    </w:pPr>
    <w:rPr>
      <w:rFonts w:ascii="Arial" w:hAnsi="Arial"/>
      <w:b/>
      <w:sz w:val="16"/>
    </w:rPr>
  </w:style>
  <w:style w:type="paragraph" w:customStyle="1" w:styleId="ENoteTTi">
    <w:name w:val="ENoteTTi"/>
    <w:aliases w:val="entti"/>
    <w:basedOn w:val="OPCParaBase"/>
    <w:rsid w:val="00540B32"/>
    <w:pPr>
      <w:keepNext/>
      <w:spacing w:before="60" w:line="240" w:lineRule="atLeast"/>
      <w:ind w:left="170"/>
    </w:pPr>
    <w:rPr>
      <w:sz w:val="16"/>
    </w:rPr>
  </w:style>
  <w:style w:type="paragraph" w:customStyle="1" w:styleId="ENoteTTIndentHeading">
    <w:name w:val="ENoteTTIndentHeading"/>
    <w:aliases w:val="enTTHi"/>
    <w:basedOn w:val="OPCParaBase"/>
    <w:rsid w:val="00540B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B32"/>
    <w:pPr>
      <w:spacing w:before="60" w:line="240" w:lineRule="atLeast"/>
    </w:pPr>
    <w:rPr>
      <w:sz w:val="16"/>
    </w:rPr>
  </w:style>
  <w:style w:type="paragraph" w:customStyle="1" w:styleId="MadeunderText">
    <w:name w:val="MadeunderText"/>
    <w:basedOn w:val="OPCParaBase"/>
    <w:next w:val="CompiledMadeUnder"/>
    <w:rsid w:val="00540B32"/>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B32"/>
    <w:pPr>
      <w:spacing w:line="260" w:lineRule="atLeast"/>
    </w:pPr>
    <w:rPr>
      <w:sz w:val="22"/>
    </w:rPr>
  </w:style>
  <w:style w:type="paragraph" w:styleId="Heading1">
    <w:name w:val="heading 1"/>
    <w:basedOn w:val="Normal"/>
    <w:next w:val="Normal"/>
    <w:link w:val="Heading1Char"/>
    <w:uiPriority w:val="9"/>
    <w:qFormat/>
    <w:rsid w:val="00C742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4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42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42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42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42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42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42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42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B32"/>
  </w:style>
  <w:style w:type="paragraph" w:customStyle="1" w:styleId="OPCParaBase">
    <w:name w:val="OPCParaBase"/>
    <w:qFormat/>
    <w:rsid w:val="00540B32"/>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B32"/>
    <w:pPr>
      <w:spacing w:line="240" w:lineRule="auto"/>
    </w:pPr>
    <w:rPr>
      <w:b/>
      <w:sz w:val="40"/>
    </w:rPr>
  </w:style>
  <w:style w:type="paragraph" w:customStyle="1" w:styleId="ActHead1">
    <w:name w:val="ActHead 1"/>
    <w:aliases w:val="c"/>
    <w:basedOn w:val="OPCParaBase"/>
    <w:next w:val="Normal"/>
    <w:qFormat/>
    <w:rsid w:val="00540B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B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B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B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0B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B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B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B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B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B32"/>
  </w:style>
  <w:style w:type="paragraph" w:customStyle="1" w:styleId="Blocks">
    <w:name w:val="Blocks"/>
    <w:aliases w:val="bb"/>
    <w:basedOn w:val="OPCParaBase"/>
    <w:qFormat/>
    <w:rsid w:val="00540B32"/>
    <w:pPr>
      <w:spacing w:line="240" w:lineRule="auto"/>
    </w:pPr>
    <w:rPr>
      <w:sz w:val="24"/>
    </w:rPr>
  </w:style>
  <w:style w:type="paragraph" w:customStyle="1" w:styleId="BoxText">
    <w:name w:val="BoxText"/>
    <w:aliases w:val="bt"/>
    <w:basedOn w:val="OPCParaBase"/>
    <w:qFormat/>
    <w:rsid w:val="00540B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B32"/>
    <w:rPr>
      <w:b/>
    </w:rPr>
  </w:style>
  <w:style w:type="paragraph" w:customStyle="1" w:styleId="BoxHeadItalic">
    <w:name w:val="BoxHeadItalic"/>
    <w:aliases w:val="bhi"/>
    <w:basedOn w:val="BoxText"/>
    <w:next w:val="BoxStep"/>
    <w:qFormat/>
    <w:rsid w:val="00540B32"/>
    <w:rPr>
      <w:i/>
    </w:rPr>
  </w:style>
  <w:style w:type="paragraph" w:customStyle="1" w:styleId="BoxList">
    <w:name w:val="BoxList"/>
    <w:aliases w:val="bl"/>
    <w:basedOn w:val="BoxText"/>
    <w:qFormat/>
    <w:rsid w:val="00540B32"/>
    <w:pPr>
      <w:ind w:left="1559" w:hanging="425"/>
    </w:pPr>
  </w:style>
  <w:style w:type="paragraph" w:customStyle="1" w:styleId="BoxNote">
    <w:name w:val="BoxNote"/>
    <w:aliases w:val="bn"/>
    <w:basedOn w:val="BoxText"/>
    <w:qFormat/>
    <w:rsid w:val="00540B32"/>
    <w:pPr>
      <w:tabs>
        <w:tab w:val="left" w:pos="1985"/>
      </w:tabs>
      <w:spacing w:before="122" w:line="198" w:lineRule="exact"/>
      <w:ind w:left="2948" w:hanging="1814"/>
    </w:pPr>
    <w:rPr>
      <w:sz w:val="18"/>
    </w:rPr>
  </w:style>
  <w:style w:type="paragraph" w:customStyle="1" w:styleId="BoxPara">
    <w:name w:val="BoxPara"/>
    <w:aliases w:val="bp"/>
    <w:basedOn w:val="BoxText"/>
    <w:qFormat/>
    <w:rsid w:val="00540B32"/>
    <w:pPr>
      <w:tabs>
        <w:tab w:val="right" w:pos="2268"/>
      </w:tabs>
      <w:ind w:left="2552" w:hanging="1418"/>
    </w:pPr>
  </w:style>
  <w:style w:type="paragraph" w:customStyle="1" w:styleId="BoxStep">
    <w:name w:val="BoxStep"/>
    <w:aliases w:val="bs"/>
    <w:basedOn w:val="BoxText"/>
    <w:qFormat/>
    <w:rsid w:val="00540B32"/>
    <w:pPr>
      <w:ind w:left="1985" w:hanging="851"/>
    </w:pPr>
  </w:style>
  <w:style w:type="character" w:customStyle="1" w:styleId="CharAmPartNo">
    <w:name w:val="CharAmPartNo"/>
    <w:basedOn w:val="OPCCharBase"/>
    <w:qFormat/>
    <w:rsid w:val="00540B32"/>
  </w:style>
  <w:style w:type="character" w:customStyle="1" w:styleId="CharAmPartText">
    <w:name w:val="CharAmPartText"/>
    <w:basedOn w:val="OPCCharBase"/>
    <w:qFormat/>
    <w:rsid w:val="00540B32"/>
  </w:style>
  <w:style w:type="character" w:customStyle="1" w:styleId="CharAmSchNo">
    <w:name w:val="CharAmSchNo"/>
    <w:basedOn w:val="OPCCharBase"/>
    <w:qFormat/>
    <w:rsid w:val="00540B32"/>
  </w:style>
  <w:style w:type="character" w:customStyle="1" w:styleId="CharAmSchText">
    <w:name w:val="CharAmSchText"/>
    <w:basedOn w:val="OPCCharBase"/>
    <w:qFormat/>
    <w:rsid w:val="00540B32"/>
  </w:style>
  <w:style w:type="character" w:customStyle="1" w:styleId="CharBoldItalic">
    <w:name w:val="CharBoldItalic"/>
    <w:basedOn w:val="OPCCharBase"/>
    <w:uiPriority w:val="1"/>
    <w:qFormat/>
    <w:rsid w:val="00540B32"/>
    <w:rPr>
      <w:b/>
      <w:i/>
    </w:rPr>
  </w:style>
  <w:style w:type="character" w:customStyle="1" w:styleId="CharChapNo">
    <w:name w:val="CharChapNo"/>
    <w:basedOn w:val="OPCCharBase"/>
    <w:uiPriority w:val="1"/>
    <w:qFormat/>
    <w:rsid w:val="00540B32"/>
  </w:style>
  <w:style w:type="character" w:customStyle="1" w:styleId="CharChapText">
    <w:name w:val="CharChapText"/>
    <w:basedOn w:val="OPCCharBase"/>
    <w:uiPriority w:val="1"/>
    <w:qFormat/>
    <w:rsid w:val="00540B32"/>
  </w:style>
  <w:style w:type="character" w:customStyle="1" w:styleId="CharDivNo">
    <w:name w:val="CharDivNo"/>
    <w:basedOn w:val="OPCCharBase"/>
    <w:uiPriority w:val="1"/>
    <w:qFormat/>
    <w:rsid w:val="00540B32"/>
  </w:style>
  <w:style w:type="character" w:customStyle="1" w:styleId="CharDivText">
    <w:name w:val="CharDivText"/>
    <w:basedOn w:val="OPCCharBase"/>
    <w:uiPriority w:val="1"/>
    <w:qFormat/>
    <w:rsid w:val="00540B32"/>
  </w:style>
  <w:style w:type="character" w:customStyle="1" w:styleId="CharItalic">
    <w:name w:val="CharItalic"/>
    <w:basedOn w:val="OPCCharBase"/>
    <w:uiPriority w:val="1"/>
    <w:qFormat/>
    <w:rsid w:val="00540B32"/>
    <w:rPr>
      <w:i/>
    </w:rPr>
  </w:style>
  <w:style w:type="character" w:customStyle="1" w:styleId="CharPartNo">
    <w:name w:val="CharPartNo"/>
    <w:basedOn w:val="OPCCharBase"/>
    <w:uiPriority w:val="1"/>
    <w:qFormat/>
    <w:rsid w:val="00540B32"/>
  </w:style>
  <w:style w:type="character" w:customStyle="1" w:styleId="CharPartText">
    <w:name w:val="CharPartText"/>
    <w:basedOn w:val="OPCCharBase"/>
    <w:uiPriority w:val="1"/>
    <w:qFormat/>
    <w:rsid w:val="00540B32"/>
  </w:style>
  <w:style w:type="character" w:customStyle="1" w:styleId="CharSectno">
    <w:name w:val="CharSectno"/>
    <w:basedOn w:val="OPCCharBase"/>
    <w:qFormat/>
    <w:rsid w:val="00540B32"/>
  </w:style>
  <w:style w:type="character" w:customStyle="1" w:styleId="CharSubdNo">
    <w:name w:val="CharSubdNo"/>
    <w:basedOn w:val="OPCCharBase"/>
    <w:uiPriority w:val="1"/>
    <w:qFormat/>
    <w:rsid w:val="00540B32"/>
  </w:style>
  <w:style w:type="character" w:customStyle="1" w:styleId="CharSubdText">
    <w:name w:val="CharSubdText"/>
    <w:basedOn w:val="OPCCharBase"/>
    <w:uiPriority w:val="1"/>
    <w:qFormat/>
    <w:rsid w:val="00540B32"/>
  </w:style>
  <w:style w:type="paragraph" w:customStyle="1" w:styleId="CTA--">
    <w:name w:val="CTA --"/>
    <w:basedOn w:val="OPCParaBase"/>
    <w:next w:val="Normal"/>
    <w:rsid w:val="00540B32"/>
    <w:pPr>
      <w:spacing w:before="60" w:line="240" w:lineRule="atLeast"/>
      <w:ind w:left="142" w:hanging="142"/>
    </w:pPr>
    <w:rPr>
      <w:sz w:val="20"/>
    </w:rPr>
  </w:style>
  <w:style w:type="paragraph" w:customStyle="1" w:styleId="CTA-">
    <w:name w:val="CTA -"/>
    <w:basedOn w:val="OPCParaBase"/>
    <w:rsid w:val="00540B32"/>
    <w:pPr>
      <w:spacing w:before="60" w:line="240" w:lineRule="atLeast"/>
      <w:ind w:left="85" w:hanging="85"/>
    </w:pPr>
    <w:rPr>
      <w:sz w:val="20"/>
    </w:rPr>
  </w:style>
  <w:style w:type="paragraph" w:customStyle="1" w:styleId="CTA---">
    <w:name w:val="CTA ---"/>
    <w:basedOn w:val="OPCParaBase"/>
    <w:next w:val="Normal"/>
    <w:rsid w:val="00540B32"/>
    <w:pPr>
      <w:spacing w:before="60" w:line="240" w:lineRule="atLeast"/>
      <w:ind w:left="198" w:hanging="198"/>
    </w:pPr>
    <w:rPr>
      <w:sz w:val="20"/>
    </w:rPr>
  </w:style>
  <w:style w:type="paragraph" w:customStyle="1" w:styleId="CTA----">
    <w:name w:val="CTA ----"/>
    <w:basedOn w:val="OPCParaBase"/>
    <w:next w:val="Normal"/>
    <w:rsid w:val="00540B32"/>
    <w:pPr>
      <w:spacing w:before="60" w:line="240" w:lineRule="atLeast"/>
      <w:ind w:left="255" w:hanging="255"/>
    </w:pPr>
    <w:rPr>
      <w:sz w:val="20"/>
    </w:rPr>
  </w:style>
  <w:style w:type="paragraph" w:customStyle="1" w:styleId="CTA1a">
    <w:name w:val="CTA 1(a)"/>
    <w:basedOn w:val="OPCParaBase"/>
    <w:rsid w:val="00540B32"/>
    <w:pPr>
      <w:tabs>
        <w:tab w:val="right" w:pos="414"/>
      </w:tabs>
      <w:spacing w:before="40" w:line="240" w:lineRule="atLeast"/>
      <w:ind w:left="675" w:hanging="675"/>
    </w:pPr>
    <w:rPr>
      <w:sz w:val="20"/>
    </w:rPr>
  </w:style>
  <w:style w:type="paragraph" w:customStyle="1" w:styleId="CTA1ai">
    <w:name w:val="CTA 1(a)(i)"/>
    <w:basedOn w:val="OPCParaBase"/>
    <w:rsid w:val="00540B32"/>
    <w:pPr>
      <w:tabs>
        <w:tab w:val="right" w:pos="1004"/>
      </w:tabs>
      <w:spacing w:before="40" w:line="240" w:lineRule="atLeast"/>
      <w:ind w:left="1253" w:hanging="1253"/>
    </w:pPr>
    <w:rPr>
      <w:sz w:val="20"/>
    </w:rPr>
  </w:style>
  <w:style w:type="paragraph" w:customStyle="1" w:styleId="CTA2a">
    <w:name w:val="CTA 2(a)"/>
    <w:basedOn w:val="OPCParaBase"/>
    <w:rsid w:val="00540B32"/>
    <w:pPr>
      <w:tabs>
        <w:tab w:val="right" w:pos="482"/>
      </w:tabs>
      <w:spacing w:before="40" w:line="240" w:lineRule="atLeast"/>
      <w:ind w:left="748" w:hanging="748"/>
    </w:pPr>
    <w:rPr>
      <w:sz w:val="20"/>
    </w:rPr>
  </w:style>
  <w:style w:type="paragraph" w:customStyle="1" w:styleId="CTA2ai">
    <w:name w:val="CTA 2(a)(i)"/>
    <w:basedOn w:val="OPCParaBase"/>
    <w:rsid w:val="00540B32"/>
    <w:pPr>
      <w:tabs>
        <w:tab w:val="right" w:pos="1089"/>
      </w:tabs>
      <w:spacing w:before="40" w:line="240" w:lineRule="atLeast"/>
      <w:ind w:left="1327" w:hanging="1327"/>
    </w:pPr>
    <w:rPr>
      <w:sz w:val="20"/>
    </w:rPr>
  </w:style>
  <w:style w:type="paragraph" w:customStyle="1" w:styleId="CTA3a">
    <w:name w:val="CTA 3(a)"/>
    <w:basedOn w:val="OPCParaBase"/>
    <w:rsid w:val="00540B32"/>
    <w:pPr>
      <w:tabs>
        <w:tab w:val="right" w:pos="556"/>
      </w:tabs>
      <w:spacing w:before="40" w:line="240" w:lineRule="atLeast"/>
      <w:ind w:left="805" w:hanging="805"/>
    </w:pPr>
    <w:rPr>
      <w:sz w:val="20"/>
    </w:rPr>
  </w:style>
  <w:style w:type="paragraph" w:customStyle="1" w:styleId="CTA3ai">
    <w:name w:val="CTA 3(a)(i)"/>
    <w:basedOn w:val="OPCParaBase"/>
    <w:rsid w:val="00540B32"/>
    <w:pPr>
      <w:tabs>
        <w:tab w:val="right" w:pos="1140"/>
      </w:tabs>
      <w:spacing w:before="40" w:line="240" w:lineRule="atLeast"/>
      <w:ind w:left="1361" w:hanging="1361"/>
    </w:pPr>
    <w:rPr>
      <w:sz w:val="20"/>
    </w:rPr>
  </w:style>
  <w:style w:type="paragraph" w:customStyle="1" w:styleId="CTA4a">
    <w:name w:val="CTA 4(a)"/>
    <w:basedOn w:val="OPCParaBase"/>
    <w:rsid w:val="00540B32"/>
    <w:pPr>
      <w:tabs>
        <w:tab w:val="right" w:pos="624"/>
      </w:tabs>
      <w:spacing w:before="40" w:line="240" w:lineRule="atLeast"/>
      <w:ind w:left="873" w:hanging="873"/>
    </w:pPr>
    <w:rPr>
      <w:sz w:val="20"/>
    </w:rPr>
  </w:style>
  <w:style w:type="paragraph" w:customStyle="1" w:styleId="CTA4ai">
    <w:name w:val="CTA 4(a)(i)"/>
    <w:basedOn w:val="OPCParaBase"/>
    <w:rsid w:val="00540B32"/>
    <w:pPr>
      <w:tabs>
        <w:tab w:val="right" w:pos="1213"/>
      </w:tabs>
      <w:spacing w:before="40" w:line="240" w:lineRule="atLeast"/>
      <w:ind w:left="1452" w:hanging="1452"/>
    </w:pPr>
    <w:rPr>
      <w:sz w:val="20"/>
    </w:rPr>
  </w:style>
  <w:style w:type="paragraph" w:customStyle="1" w:styleId="CTACAPS">
    <w:name w:val="CTA CAPS"/>
    <w:basedOn w:val="OPCParaBase"/>
    <w:rsid w:val="00540B32"/>
    <w:pPr>
      <w:spacing w:before="60" w:line="240" w:lineRule="atLeast"/>
    </w:pPr>
    <w:rPr>
      <w:sz w:val="20"/>
    </w:rPr>
  </w:style>
  <w:style w:type="paragraph" w:customStyle="1" w:styleId="CTAright">
    <w:name w:val="CTA right"/>
    <w:basedOn w:val="OPCParaBase"/>
    <w:rsid w:val="00540B32"/>
    <w:pPr>
      <w:spacing w:before="60" w:line="240" w:lineRule="auto"/>
      <w:jc w:val="right"/>
    </w:pPr>
    <w:rPr>
      <w:sz w:val="20"/>
    </w:rPr>
  </w:style>
  <w:style w:type="paragraph" w:customStyle="1" w:styleId="subsection">
    <w:name w:val="subsection"/>
    <w:aliases w:val="ss"/>
    <w:basedOn w:val="OPCParaBase"/>
    <w:link w:val="subsectionChar"/>
    <w:rsid w:val="00540B32"/>
    <w:pPr>
      <w:tabs>
        <w:tab w:val="right" w:pos="1021"/>
      </w:tabs>
      <w:spacing w:before="180" w:line="240" w:lineRule="auto"/>
      <w:ind w:left="1134" w:hanging="1134"/>
    </w:pPr>
  </w:style>
  <w:style w:type="paragraph" w:customStyle="1" w:styleId="Definition">
    <w:name w:val="Definition"/>
    <w:aliases w:val="dd"/>
    <w:basedOn w:val="OPCParaBase"/>
    <w:rsid w:val="00540B32"/>
    <w:pPr>
      <w:spacing w:before="180" w:line="240" w:lineRule="auto"/>
      <w:ind w:left="1134"/>
    </w:pPr>
  </w:style>
  <w:style w:type="paragraph" w:customStyle="1" w:styleId="ETAsubitem">
    <w:name w:val="ETA(subitem)"/>
    <w:basedOn w:val="OPCParaBase"/>
    <w:rsid w:val="00540B32"/>
    <w:pPr>
      <w:tabs>
        <w:tab w:val="right" w:pos="340"/>
      </w:tabs>
      <w:spacing w:before="60" w:line="240" w:lineRule="auto"/>
      <w:ind w:left="454" w:hanging="454"/>
    </w:pPr>
    <w:rPr>
      <w:sz w:val="20"/>
    </w:rPr>
  </w:style>
  <w:style w:type="paragraph" w:customStyle="1" w:styleId="ETApara">
    <w:name w:val="ETA(para)"/>
    <w:basedOn w:val="OPCParaBase"/>
    <w:rsid w:val="00540B32"/>
    <w:pPr>
      <w:tabs>
        <w:tab w:val="right" w:pos="754"/>
      </w:tabs>
      <w:spacing w:before="60" w:line="240" w:lineRule="auto"/>
      <w:ind w:left="828" w:hanging="828"/>
    </w:pPr>
    <w:rPr>
      <w:sz w:val="20"/>
    </w:rPr>
  </w:style>
  <w:style w:type="paragraph" w:customStyle="1" w:styleId="ETAsubpara">
    <w:name w:val="ETA(subpara)"/>
    <w:basedOn w:val="OPCParaBase"/>
    <w:rsid w:val="00540B32"/>
    <w:pPr>
      <w:tabs>
        <w:tab w:val="right" w:pos="1083"/>
      </w:tabs>
      <w:spacing w:before="60" w:line="240" w:lineRule="auto"/>
      <w:ind w:left="1191" w:hanging="1191"/>
    </w:pPr>
    <w:rPr>
      <w:sz w:val="20"/>
    </w:rPr>
  </w:style>
  <w:style w:type="paragraph" w:customStyle="1" w:styleId="ETAsub-subpara">
    <w:name w:val="ETA(sub-subpara)"/>
    <w:basedOn w:val="OPCParaBase"/>
    <w:rsid w:val="00540B32"/>
    <w:pPr>
      <w:tabs>
        <w:tab w:val="right" w:pos="1412"/>
      </w:tabs>
      <w:spacing w:before="60" w:line="240" w:lineRule="auto"/>
      <w:ind w:left="1525" w:hanging="1525"/>
    </w:pPr>
    <w:rPr>
      <w:sz w:val="20"/>
    </w:rPr>
  </w:style>
  <w:style w:type="paragraph" w:customStyle="1" w:styleId="Formula">
    <w:name w:val="Formula"/>
    <w:basedOn w:val="OPCParaBase"/>
    <w:rsid w:val="00540B32"/>
    <w:pPr>
      <w:spacing w:line="240" w:lineRule="auto"/>
      <w:ind w:left="1134"/>
    </w:pPr>
    <w:rPr>
      <w:sz w:val="20"/>
    </w:rPr>
  </w:style>
  <w:style w:type="paragraph" w:styleId="Header">
    <w:name w:val="header"/>
    <w:basedOn w:val="OPCParaBase"/>
    <w:link w:val="HeaderChar"/>
    <w:unhideWhenUsed/>
    <w:rsid w:val="00540B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B32"/>
    <w:rPr>
      <w:rFonts w:eastAsia="Times New Roman" w:cs="Times New Roman"/>
      <w:sz w:val="16"/>
      <w:lang w:eastAsia="en-AU"/>
    </w:rPr>
  </w:style>
  <w:style w:type="paragraph" w:customStyle="1" w:styleId="House">
    <w:name w:val="House"/>
    <w:basedOn w:val="OPCParaBase"/>
    <w:rsid w:val="00540B32"/>
    <w:pPr>
      <w:spacing w:line="240" w:lineRule="auto"/>
    </w:pPr>
    <w:rPr>
      <w:sz w:val="28"/>
    </w:rPr>
  </w:style>
  <w:style w:type="paragraph" w:customStyle="1" w:styleId="Item">
    <w:name w:val="Item"/>
    <w:aliases w:val="i"/>
    <w:basedOn w:val="OPCParaBase"/>
    <w:next w:val="ItemHead"/>
    <w:rsid w:val="00540B32"/>
    <w:pPr>
      <w:keepLines/>
      <w:spacing w:before="80" w:line="240" w:lineRule="auto"/>
      <w:ind w:left="709"/>
    </w:pPr>
  </w:style>
  <w:style w:type="paragraph" w:customStyle="1" w:styleId="ItemHead">
    <w:name w:val="ItemHead"/>
    <w:aliases w:val="ih"/>
    <w:basedOn w:val="OPCParaBase"/>
    <w:next w:val="Item"/>
    <w:rsid w:val="00540B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B32"/>
    <w:pPr>
      <w:spacing w:line="240" w:lineRule="auto"/>
    </w:pPr>
    <w:rPr>
      <w:b/>
      <w:sz w:val="32"/>
    </w:rPr>
  </w:style>
  <w:style w:type="paragraph" w:customStyle="1" w:styleId="notedraft">
    <w:name w:val="note(draft)"/>
    <w:aliases w:val="nd"/>
    <w:basedOn w:val="OPCParaBase"/>
    <w:rsid w:val="00540B32"/>
    <w:pPr>
      <w:spacing w:before="240" w:line="240" w:lineRule="auto"/>
      <w:ind w:left="284" w:hanging="284"/>
    </w:pPr>
    <w:rPr>
      <w:i/>
      <w:sz w:val="24"/>
    </w:rPr>
  </w:style>
  <w:style w:type="paragraph" w:customStyle="1" w:styleId="notemargin">
    <w:name w:val="note(margin)"/>
    <w:aliases w:val="nm"/>
    <w:basedOn w:val="OPCParaBase"/>
    <w:rsid w:val="00540B32"/>
    <w:pPr>
      <w:tabs>
        <w:tab w:val="left" w:pos="709"/>
      </w:tabs>
      <w:spacing w:before="122" w:line="198" w:lineRule="exact"/>
      <w:ind w:left="709" w:hanging="709"/>
    </w:pPr>
    <w:rPr>
      <w:sz w:val="18"/>
    </w:rPr>
  </w:style>
  <w:style w:type="paragraph" w:customStyle="1" w:styleId="noteToPara">
    <w:name w:val="noteToPara"/>
    <w:aliases w:val="ntp"/>
    <w:basedOn w:val="OPCParaBase"/>
    <w:rsid w:val="00540B32"/>
    <w:pPr>
      <w:spacing w:before="122" w:line="198" w:lineRule="exact"/>
      <w:ind w:left="2353" w:hanging="709"/>
    </w:pPr>
    <w:rPr>
      <w:sz w:val="18"/>
    </w:rPr>
  </w:style>
  <w:style w:type="paragraph" w:customStyle="1" w:styleId="noteParlAmend">
    <w:name w:val="note(ParlAmend)"/>
    <w:aliases w:val="npp"/>
    <w:basedOn w:val="OPCParaBase"/>
    <w:next w:val="ParlAmend"/>
    <w:rsid w:val="00540B32"/>
    <w:pPr>
      <w:spacing w:line="240" w:lineRule="auto"/>
      <w:jc w:val="right"/>
    </w:pPr>
    <w:rPr>
      <w:rFonts w:ascii="Arial" w:hAnsi="Arial"/>
      <w:b/>
      <w:i/>
    </w:rPr>
  </w:style>
  <w:style w:type="paragraph" w:customStyle="1" w:styleId="notetext">
    <w:name w:val="note(text)"/>
    <w:aliases w:val="n"/>
    <w:basedOn w:val="OPCParaBase"/>
    <w:rsid w:val="00540B32"/>
    <w:pPr>
      <w:spacing w:before="122" w:line="198" w:lineRule="exact"/>
      <w:ind w:left="1985" w:hanging="851"/>
    </w:pPr>
    <w:rPr>
      <w:sz w:val="18"/>
    </w:rPr>
  </w:style>
  <w:style w:type="paragraph" w:customStyle="1" w:styleId="Page1">
    <w:name w:val="Page1"/>
    <w:basedOn w:val="OPCParaBase"/>
    <w:rsid w:val="00540B32"/>
    <w:pPr>
      <w:spacing w:before="5600" w:line="240" w:lineRule="auto"/>
    </w:pPr>
    <w:rPr>
      <w:b/>
      <w:sz w:val="32"/>
    </w:rPr>
  </w:style>
  <w:style w:type="paragraph" w:customStyle="1" w:styleId="PageBreak">
    <w:name w:val="PageBreak"/>
    <w:aliases w:val="pb"/>
    <w:basedOn w:val="OPCParaBase"/>
    <w:rsid w:val="00540B32"/>
    <w:pPr>
      <w:spacing w:line="240" w:lineRule="auto"/>
    </w:pPr>
    <w:rPr>
      <w:sz w:val="20"/>
    </w:rPr>
  </w:style>
  <w:style w:type="paragraph" w:customStyle="1" w:styleId="paragraphsub">
    <w:name w:val="paragraph(sub)"/>
    <w:aliases w:val="aa"/>
    <w:basedOn w:val="OPCParaBase"/>
    <w:rsid w:val="00540B32"/>
    <w:pPr>
      <w:tabs>
        <w:tab w:val="right" w:pos="1985"/>
      </w:tabs>
      <w:spacing w:before="40" w:line="240" w:lineRule="auto"/>
      <w:ind w:left="2098" w:hanging="2098"/>
    </w:pPr>
  </w:style>
  <w:style w:type="paragraph" w:customStyle="1" w:styleId="paragraphsub-sub">
    <w:name w:val="paragraph(sub-sub)"/>
    <w:aliases w:val="aaa"/>
    <w:basedOn w:val="OPCParaBase"/>
    <w:rsid w:val="00540B32"/>
    <w:pPr>
      <w:tabs>
        <w:tab w:val="right" w:pos="2722"/>
      </w:tabs>
      <w:spacing w:before="40" w:line="240" w:lineRule="auto"/>
      <w:ind w:left="2835" w:hanging="2835"/>
    </w:pPr>
  </w:style>
  <w:style w:type="paragraph" w:customStyle="1" w:styleId="paragraph">
    <w:name w:val="paragraph"/>
    <w:aliases w:val="a"/>
    <w:basedOn w:val="OPCParaBase"/>
    <w:link w:val="paragraphChar"/>
    <w:rsid w:val="00540B32"/>
    <w:pPr>
      <w:tabs>
        <w:tab w:val="right" w:pos="1531"/>
      </w:tabs>
      <w:spacing w:before="40" w:line="240" w:lineRule="auto"/>
      <w:ind w:left="1644" w:hanging="1644"/>
    </w:pPr>
  </w:style>
  <w:style w:type="paragraph" w:customStyle="1" w:styleId="ParlAmend">
    <w:name w:val="ParlAmend"/>
    <w:aliases w:val="pp"/>
    <w:basedOn w:val="OPCParaBase"/>
    <w:rsid w:val="00540B32"/>
    <w:pPr>
      <w:spacing w:before="240" w:line="240" w:lineRule="atLeast"/>
      <w:ind w:hanging="567"/>
    </w:pPr>
    <w:rPr>
      <w:sz w:val="24"/>
    </w:rPr>
  </w:style>
  <w:style w:type="paragraph" w:customStyle="1" w:styleId="Penalty">
    <w:name w:val="Penalty"/>
    <w:basedOn w:val="OPCParaBase"/>
    <w:rsid w:val="00540B32"/>
    <w:pPr>
      <w:tabs>
        <w:tab w:val="left" w:pos="2977"/>
      </w:tabs>
      <w:spacing w:before="180" w:line="240" w:lineRule="auto"/>
      <w:ind w:left="1985" w:hanging="851"/>
    </w:pPr>
  </w:style>
  <w:style w:type="paragraph" w:customStyle="1" w:styleId="Portfolio">
    <w:name w:val="Portfolio"/>
    <w:basedOn w:val="OPCParaBase"/>
    <w:rsid w:val="00540B32"/>
    <w:pPr>
      <w:spacing w:line="240" w:lineRule="auto"/>
    </w:pPr>
    <w:rPr>
      <w:i/>
      <w:sz w:val="20"/>
    </w:rPr>
  </w:style>
  <w:style w:type="paragraph" w:customStyle="1" w:styleId="Preamble">
    <w:name w:val="Preamble"/>
    <w:basedOn w:val="OPCParaBase"/>
    <w:next w:val="Normal"/>
    <w:rsid w:val="00540B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B32"/>
    <w:pPr>
      <w:spacing w:line="240" w:lineRule="auto"/>
    </w:pPr>
    <w:rPr>
      <w:i/>
      <w:sz w:val="20"/>
    </w:rPr>
  </w:style>
  <w:style w:type="paragraph" w:customStyle="1" w:styleId="Session">
    <w:name w:val="Session"/>
    <w:basedOn w:val="OPCParaBase"/>
    <w:rsid w:val="00540B32"/>
    <w:pPr>
      <w:spacing w:line="240" w:lineRule="auto"/>
    </w:pPr>
    <w:rPr>
      <w:sz w:val="28"/>
    </w:rPr>
  </w:style>
  <w:style w:type="paragraph" w:customStyle="1" w:styleId="Sponsor">
    <w:name w:val="Sponsor"/>
    <w:basedOn w:val="OPCParaBase"/>
    <w:rsid w:val="00540B32"/>
    <w:pPr>
      <w:spacing w:line="240" w:lineRule="auto"/>
    </w:pPr>
    <w:rPr>
      <w:i/>
    </w:rPr>
  </w:style>
  <w:style w:type="paragraph" w:customStyle="1" w:styleId="Subitem">
    <w:name w:val="Subitem"/>
    <w:aliases w:val="iss"/>
    <w:basedOn w:val="OPCParaBase"/>
    <w:rsid w:val="00540B32"/>
    <w:pPr>
      <w:spacing w:before="180" w:line="240" w:lineRule="auto"/>
      <w:ind w:left="709" w:hanging="709"/>
    </w:pPr>
  </w:style>
  <w:style w:type="paragraph" w:customStyle="1" w:styleId="SubitemHead">
    <w:name w:val="SubitemHead"/>
    <w:aliases w:val="issh"/>
    <w:basedOn w:val="OPCParaBase"/>
    <w:rsid w:val="00540B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B32"/>
    <w:pPr>
      <w:spacing w:before="40" w:line="240" w:lineRule="auto"/>
      <w:ind w:left="1134"/>
    </w:pPr>
  </w:style>
  <w:style w:type="paragraph" w:customStyle="1" w:styleId="SubsectionHead">
    <w:name w:val="SubsectionHead"/>
    <w:aliases w:val="ssh"/>
    <w:basedOn w:val="OPCParaBase"/>
    <w:next w:val="subsection"/>
    <w:rsid w:val="00540B32"/>
    <w:pPr>
      <w:keepNext/>
      <w:keepLines/>
      <w:spacing w:before="240" w:line="240" w:lineRule="auto"/>
      <w:ind w:left="1134"/>
    </w:pPr>
    <w:rPr>
      <w:i/>
    </w:rPr>
  </w:style>
  <w:style w:type="paragraph" w:customStyle="1" w:styleId="Tablea">
    <w:name w:val="Table(a)"/>
    <w:aliases w:val="ta"/>
    <w:basedOn w:val="OPCParaBase"/>
    <w:rsid w:val="00540B32"/>
    <w:pPr>
      <w:spacing w:before="60" w:line="240" w:lineRule="auto"/>
      <w:ind w:left="284" w:hanging="284"/>
    </w:pPr>
    <w:rPr>
      <w:sz w:val="20"/>
    </w:rPr>
  </w:style>
  <w:style w:type="paragraph" w:customStyle="1" w:styleId="TableAA">
    <w:name w:val="Table(AA)"/>
    <w:aliases w:val="taaa"/>
    <w:basedOn w:val="OPCParaBase"/>
    <w:rsid w:val="00540B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B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B32"/>
    <w:pPr>
      <w:spacing w:before="60" w:line="240" w:lineRule="atLeast"/>
    </w:pPr>
    <w:rPr>
      <w:sz w:val="20"/>
    </w:rPr>
  </w:style>
  <w:style w:type="paragraph" w:customStyle="1" w:styleId="TLPBoxTextnote">
    <w:name w:val="TLPBoxText(note"/>
    <w:aliases w:val="right)"/>
    <w:basedOn w:val="OPCParaBase"/>
    <w:rsid w:val="00540B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B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B32"/>
    <w:pPr>
      <w:spacing w:before="122" w:line="198" w:lineRule="exact"/>
      <w:ind w:left="1985" w:hanging="851"/>
      <w:jc w:val="right"/>
    </w:pPr>
    <w:rPr>
      <w:sz w:val="18"/>
    </w:rPr>
  </w:style>
  <w:style w:type="paragraph" w:customStyle="1" w:styleId="TLPTableBullet">
    <w:name w:val="TLPTableBullet"/>
    <w:aliases w:val="ttb"/>
    <w:basedOn w:val="OPCParaBase"/>
    <w:rsid w:val="00540B32"/>
    <w:pPr>
      <w:spacing w:line="240" w:lineRule="exact"/>
      <w:ind w:left="284" w:hanging="284"/>
    </w:pPr>
    <w:rPr>
      <w:sz w:val="20"/>
    </w:rPr>
  </w:style>
  <w:style w:type="paragraph" w:styleId="TOC1">
    <w:name w:val="toc 1"/>
    <w:basedOn w:val="OPCParaBase"/>
    <w:next w:val="Normal"/>
    <w:uiPriority w:val="39"/>
    <w:semiHidden/>
    <w:unhideWhenUsed/>
    <w:rsid w:val="00540B3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40B3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40B3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40B3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0B3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0B3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40B3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0B3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0B3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0B32"/>
    <w:pPr>
      <w:keepLines/>
      <w:spacing w:before="240" w:after="120" w:line="240" w:lineRule="auto"/>
      <w:ind w:left="794"/>
    </w:pPr>
    <w:rPr>
      <w:b/>
      <w:kern w:val="28"/>
      <w:sz w:val="20"/>
    </w:rPr>
  </w:style>
  <w:style w:type="paragraph" w:customStyle="1" w:styleId="TofSectsHeading">
    <w:name w:val="TofSects(Heading)"/>
    <w:basedOn w:val="OPCParaBase"/>
    <w:rsid w:val="00540B32"/>
    <w:pPr>
      <w:spacing w:before="240" w:after="120" w:line="240" w:lineRule="auto"/>
    </w:pPr>
    <w:rPr>
      <w:b/>
      <w:sz w:val="24"/>
    </w:rPr>
  </w:style>
  <w:style w:type="paragraph" w:customStyle="1" w:styleId="TofSectsSection">
    <w:name w:val="TofSects(Section)"/>
    <w:basedOn w:val="OPCParaBase"/>
    <w:rsid w:val="00540B32"/>
    <w:pPr>
      <w:keepLines/>
      <w:spacing w:before="40" w:line="240" w:lineRule="auto"/>
      <w:ind w:left="1588" w:hanging="794"/>
    </w:pPr>
    <w:rPr>
      <w:kern w:val="28"/>
      <w:sz w:val="18"/>
    </w:rPr>
  </w:style>
  <w:style w:type="paragraph" w:customStyle="1" w:styleId="TofSectsSubdiv">
    <w:name w:val="TofSects(Subdiv)"/>
    <w:basedOn w:val="OPCParaBase"/>
    <w:rsid w:val="00540B32"/>
    <w:pPr>
      <w:keepLines/>
      <w:spacing w:before="80" w:line="240" w:lineRule="auto"/>
      <w:ind w:left="1588" w:hanging="794"/>
    </w:pPr>
    <w:rPr>
      <w:kern w:val="28"/>
    </w:rPr>
  </w:style>
  <w:style w:type="paragraph" w:customStyle="1" w:styleId="WRStyle">
    <w:name w:val="WR Style"/>
    <w:aliases w:val="WR"/>
    <w:basedOn w:val="OPCParaBase"/>
    <w:rsid w:val="00540B32"/>
    <w:pPr>
      <w:spacing w:before="240" w:line="240" w:lineRule="auto"/>
      <w:ind w:left="284" w:hanging="284"/>
    </w:pPr>
    <w:rPr>
      <w:b/>
      <w:i/>
      <w:kern w:val="28"/>
      <w:sz w:val="24"/>
    </w:rPr>
  </w:style>
  <w:style w:type="paragraph" w:customStyle="1" w:styleId="notepara">
    <w:name w:val="note(para)"/>
    <w:aliases w:val="na"/>
    <w:basedOn w:val="OPCParaBase"/>
    <w:rsid w:val="00540B32"/>
    <w:pPr>
      <w:spacing w:before="40" w:line="198" w:lineRule="exact"/>
      <w:ind w:left="2354" w:hanging="369"/>
    </w:pPr>
    <w:rPr>
      <w:sz w:val="18"/>
    </w:rPr>
  </w:style>
  <w:style w:type="paragraph" w:styleId="Footer">
    <w:name w:val="footer"/>
    <w:link w:val="FooterChar"/>
    <w:rsid w:val="00540B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B32"/>
    <w:rPr>
      <w:rFonts w:eastAsia="Times New Roman" w:cs="Times New Roman"/>
      <w:sz w:val="22"/>
      <w:szCs w:val="24"/>
      <w:lang w:eastAsia="en-AU"/>
    </w:rPr>
  </w:style>
  <w:style w:type="character" w:styleId="LineNumber">
    <w:name w:val="line number"/>
    <w:basedOn w:val="OPCCharBase"/>
    <w:uiPriority w:val="99"/>
    <w:semiHidden/>
    <w:unhideWhenUsed/>
    <w:rsid w:val="00540B32"/>
    <w:rPr>
      <w:sz w:val="16"/>
    </w:rPr>
  </w:style>
  <w:style w:type="table" w:customStyle="1" w:styleId="CFlag">
    <w:name w:val="CFlag"/>
    <w:basedOn w:val="TableNormal"/>
    <w:uiPriority w:val="99"/>
    <w:rsid w:val="00540B3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32"/>
    <w:rPr>
      <w:rFonts w:ascii="Tahoma" w:hAnsi="Tahoma" w:cs="Tahoma"/>
      <w:sz w:val="16"/>
      <w:szCs w:val="16"/>
    </w:rPr>
  </w:style>
  <w:style w:type="character" w:styleId="Hyperlink">
    <w:name w:val="Hyperlink"/>
    <w:basedOn w:val="DefaultParagraphFont"/>
    <w:rsid w:val="00540B32"/>
    <w:rPr>
      <w:color w:val="0000FF"/>
      <w:u w:val="single"/>
    </w:rPr>
  </w:style>
  <w:style w:type="table" w:styleId="TableGrid">
    <w:name w:val="Table Grid"/>
    <w:basedOn w:val="TableNormal"/>
    <w:uiPriority w:val="59"/>
    <w:rsid w:val="00540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40B32"/>
    <w:rPr>
      <w:b/>
      <w:sz w:val="28"/>
      <w:szCs w:val="32"/>
    </w:rPr>
  </w:style>
  <w:style w:type="paragraph" w:customStyle="1" w:styleId="TerritoryT">
    <w:name w:val="TerritoryT"/>
    <w:basedOn w:val="OPCParaBase"/>
    <w:next w:val="Normal"/>
    <w:rsid w:val="00540B32"/>
    <w:rPr>
      <w:b/>
      <w:sz w:val="32"/>
    </w:rPr>
  </w:style>
  <w:style w:type="paragraph" w:customStyle="1" w:styleId="LegislationMadeUnder">
    <w:name w:val="LegislationMadeUnder"/>
    <w:basedOn w:val="OPCParaBase"/>
    <w:next w:val="Normal"/>
    <w:rsid w:val="00540B32"/>
    <w:rPr>
      <w:i/>
      <w:sz w:val="32"/>
      <w:szCs w:val="32"/>
    </w:rPr>
  </w:style>
  <w:style w:type="paragraph" w:customStyle="1" w:styleId="SignCoverPageEnd">
    <w:name w:val="SignCoverPageEnd"/>
    <w:basedOn w:val="OPCParaBase"/>
    <w:next w:val="Normal"/>
    <w:rsid w:val="00540B3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40B32"/>
    <w:pPr>
      <w:pBdr>
        <w:top w:val="single" w:sz="4" w:space="1" w:color="auto"/>
      </w:pBdr>
      <w:spacing w:before="360"/>
      <w:ind w:right="397"/>
      <w:jc w:val="both"/>
    </w:pPr>
  </w:style>
  <w:style w:type="paragraph" w:customStyle="1" w:styleId="NotesHeading1">
    <w:name w:val="NotesHeading 1"/>
    <w:basedOn w:val="OPCParaBase"/>
    <w:next w:val="Normal"/>
    <w:rsid w:val="00540B32"/>
    <w:rPr>
      <w:b/>
      <w:sz w:val="28"/>
      <w:szCs w:val="28"/>
    </w:rPr>
  </w:style>
  <w:style w:type="paragraph" w:customStyle="1" w:styleId="NotesHeading2">
    <w:name w:val="NotesHeading 2"/>
    <w:basedOn w:val="OPCParaBase"/>
    <w:next w:val="Normal"/>
    <w:rsid w:val="00540B32"/>
    <w:rPr>
      <w:b/>
      <w:sz w:val="28"/>
      <w:szCs w:val="28"/>
    </w:rPr>
  </w:style>
  <w:style w:type="paragraph" w:customStyle="1" w:styleId="ENotesHeading1">
    <w:name w:val="ENotesHeading 1"/>
    <w:aliases w:val="Enh1"/>
    <w:basedOn w:val="OPCParaBase"/>
    <w:next w:val="Normal"/>
    <w:rsid w:val="00540B32"/>
    <w:pPr>
      <w:spacing w:before="120"/>
      <w:outlineLvl w:val="1"/>
    </w:pPr>
    <w:rPr>
      <w:b/>
      <w:sz w:val="28"/>
      <w:szCs w:val="28"/>
    </w:rPr>
  </w:style>
  <w:style w:type="paragraph" w:customStyle="1" w:styleId="ENotesHeading2">
    <w:name w:val="ENotesHeading 2"/>
    <w:aliases w:val="Enh2"/>
    <w:basedOn w:val="OPCParaBase"/>
    <w:next w:val="Normal"/>
    <w:rsid w:val="00540B32"/>
    <w:pPr>
      <w:spacing w:before="120" w:after="120"/>
      <w:outlineLvl w:val="2"/>
    </w:pPr>
    <w:rPr>
      <w:b/>
      <w:sz w:val="24"/>
      <w:szCs w:val="28"/>
    </w:rPr>
  </w:style>
  <w:style w:type="paragraph" w:customStyle="1" w:styleId="ENotesHeading3">
    <w:name w:val="ENotesHeading 3"/>
    <w:aliases w:val="Enh3"/>
    <w:basedOn w:val="OPCParaBase"/>
    <w:next w:val="Normal"/>
    <w:rsid w:val="00540B32"/>
    <w:pPr>
      <w:keepNext/>
      <w:spacing w:before="120" w:line="240" w:lineRule="auto"/>
      <w:outlineLvl w:val="4"/>
    </w:pPr>
    <w:rPr>
      <w:b/>
      <w:szCs w:val="24"/>
    </w:rPr>
  </w:style>
  <w:style w:type="paragraph" w:customStyle="1" w:styleId="ENotesText">
    <w:name w:val="ENotesText"/>
    <w:basedOn w:val="OPCParaBase"/>
    <w:next w:val="Normal"/>
    <w:rsid w:val="00540B32"/>
  </w:style>
  <w:style w:type="paragraph" w:customStyle="1" w:styleId="CompiledActNo">
    <w:name w:val="CompiledActNo"/>
    <w:basedOn w:val="OPCParaBase"/>
    <w:next w:val="Normal"/>
    <w:rsid w:val="00540B32"/>
    <w:rPr>
      <w:b/>
      <w:sz w:val="24"/>
      <w:szCs w:val="24"/>
    </w:rPr>
  </w:style>
  <w:style w:type="paragraph" w:customStyle="1" w:styleId="CompiledMadeUnder">
    <w:name w:val="CompiledMadeUnder"/>
    <w:basedOn w:val="OPCParaBase"/>
    <w:next w:val="Normal"/>
    <w:rsid w:val="00540B32"/>
    <w:rPr>
      <w:i/>
      <w:sz w:val="24"/>
      <w:szCs w:val="24"/>
    </w:rPr>
  </w:style>
  <w:style w:type="paragraph" w:customStyle="1" w:styleId="Paragraphsub-sub-sub">
    <w:name w:val="Paragraph(sub-sub-sub)"/>
    <w:aliases w:val="aaaa"/>
    <w:basedOn w:val="OPCParaBase"/>
    <w:rsid w:val="00540B32"/>
    <w:pPr>
      <w:tabs>
        <w:tab w:val="right" w:pos="3402"/>
      </w:tabs>
      <w:spacing w:before="40" w:line="240" w:lineRule="auto"/>
      <w:ind w:left="3402" w:hanging="3402"/>
    </w:pPr>
  </w:style>
  <w:style w:type="paragraph" w:customStyle="1" w:styleId="SubPartCASA">
    <w:name w:val="SubPart(CASA)"/>
    <w:aliases w:val="csp"/>
    <w:basedOn w:val="OPCParaBase"/>
    <w:next w:val="ActHead3"/>
    <w:rsid w:val="00540B32"/>
    <w:pPr>
      <w:keepNext/>
      <w:keepLines/>
      <w:spacing w:before="280"/>
      <w:outlineLvl w:val="1"/>
    </w:pPr>
    <w:rPr>
      <w:b/>
      <w:kern w:val="28"/>
      <w:sz w:val="32"/>
    </w:rPr>
  </w:style>
  <w:style w:type="paragraph" w:customStyle="1" w:styleId="TableHeading">
    <w:name w:val="TableHeading"/>
    <w:aliases w:val="th"/>
    <w:basedOn w:val="OPCParaBase"/>
    <w:next w:val="Tabletext"/>
    <w:rsid w:val="00540B32"/>
    <w:pPr>
      <w:keepNext/>
      <w:spacing w:before="60" w:line="240" w:lineRule="atLeast"/>
    </w:pPr>
    <w:rPr>
      <w:b/>
      <w:sz w:val="20"/>
    </w:rPr>
  </w:style>
  <w:style w:type="paragraph" w:customStyle="1" w:styleId="NoteToSubpara">
    <w:name w:val="NoteToSubpara"/>
    <w:aliases w:val="nts"/>
    <w:basedOn w:val="OPCParaBase"/>
    <w:rsid w:val="00540B32"/>
    <w:pPr>
      <w:spacing w:before="40" w:line="198" w:lineRule="exact"/>
      <w:ind w:left="2835" w:hanging="709"/>
    </w:pPr>
    <w:rPr>
      <w:sz w:val="18"/>
    </w:rPr>
  </w:style>
  <w:style w:type="paragraph" w:customStyle="1" w:styleId="EndNotespara">
    <w:name w:val="EndNotes(para)"/>
    <w:aliases w:val="eta"/>
    <w:basedOn w:val="OPCParaBase"/>
    <w:next w:val="Normal"/>
    <w:rsid w:val="00540B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B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40B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B32"/>
    <w:pPr>
      <w:tabs>
        <w:tab w:val="right" w:pos="1412"/>
      </w:tabs>
      <w:spacing w:before="60" w:line="240" w:lineRule="auto"/>
      <w:ind w:left="1525" w:hanging="1525"/>
    </w:pPr>
    <w:rPr>
      <w:sz w:val="20"/>
    </w:rPr>
  </w:style>
  <w:style w:type="character" w:customStyle="1" w:styleId="Heading1Char">
    <w:name w:val="Heading 1 Char"/>
    <w:basedOn w:val="DefaultParagraphFont"/>
    <w:link w:val="Heading1"/>
    <w:uiPriority w:val="9"/>
    <w:rsid w:val="00C742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4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42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42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42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42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42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42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42B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F7335"/>
    <w:rPr>
      <w:rFonts w:eastAsia="Times New Roman" w:cs="Times New Roman"/>
      <w:sz w:val="22"/>
      <w:lang w:eastAsia="en-AU"/>
    </w:rPr>
  </w:style>
  <w:style w:type="character" w:customStyle="1" w:styleId="paragraphChar">
    <w:name w:val="paragraph Char"/>
    <w:aliases w:val="a Char"/>
    <w:basedOn w:val="DefaultParagraphFont"/>
    <w:link w:val="paragraph"/>
    <w:locked/>
    <w:rsid w:val="00546224"/>
    <w:rPr>
      <w:rFonts w:eastAsia="Times New Roman" w:cs="Times New Roman"/>
      <w:sz w:val="22"/>
      <w:lang w:eastAsia="en-AU"/>
    </w:rPr>
  </w:style>
  <w:style w:type="paragraph" w:customStyle="1" w:styleId="ENoteTableHeading">
    <w:name w:val="ENoteTableHeading"/>
    <w:aliases w:val="enth"/>
    <w:basedOn w:val="OPCParaBase"/>
    <w:rsid w:val="00540B32"/>
    <w:pPr>
      <w:keepNext/>
      <w:spacing w:before="60" w:line="240" w:lineRule="atLeast"/>
    </w:pPr>
    <w:rPr>
      <w:rFonts w:ascii="Arial" w:hAnsi="Arial"/>
      <w:b/>
      <w:sz w:val="16"/>
    </w:rPr>
  </w:style>
  <w:style w:type="paragraph" w:customStyle="1" w:styleId="ENoteTTi">
    <w:name w:val="ENoteTTi"/>
    <w:aliases w:val="entti"/>
    <w:basedOn w:val="OPCParaBase"/>
    <w:rsid w:val="00540B32"/>
    <w:pPr>
      <w:keepNext/>
      <w:spacing w:before="60" w:line="240" w:lineRule="atLeast"/>
      <w:ind w:left="170"/>
    </w:pPr>
    <w:rPr>
      <w:sz w:val="16"/>
    </w:rPr>
  </w:style>
  <w:style w:type="paragraph" w:customStyle="1" w:styleId="ENoteTTIndentHeading">
    <w:name w:val="ENoteTTIndentHeading"/>
    <w:aliases w:val="enTTHi"/>
    <w:basedOn w:val="OPCParaBase"/>
    <w:rsid w:val="00540B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B32"/>
    <w:pPr>
      <w:spacing w:before="60" w:line="240" w:lineRule="atLeast"/>
    </w:pPr>
    <w:rPr>
      <w:sz w:val="16"/>
    </w:rPr>
  </w:style>
  <w:style w:type="paragraph" w:customStyle="1" w:styleId="MadeunderText">
    <w:name w:val="MadeunderText"/>
    <w:basedOn w:val="OPCParaBase"/>
    <w:next w:val="CompiledMadeUnder"/>
    <w:rsid w:val="00540B32"/>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43777">
      <w:bodyDiv w:val="1"/>
      <w:marLeft w:val="0"/>
      <w:marRight w:val="0"/>
      <w:marTop w:val="0"/>
      <w:marBottom w:val="0"/>
      <w:divBdr>
        <w:top w:val="none" w:sz="0" w:space="0" w:color="auto"/>
        <w:left w:val="none" w:sz="0" w:space="0" w:color="auto"/>
        <w:bottom w:val="none" w:sz="0" w:space="0" w:color="auto"/>
        <w:right w:val="none" w:sz="0" w:space="0" w:color="auto"/>
      </w:divBdr>
    </w:div>
    <w:div w:id="19874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EDDB-53D7-4147-9787-A04D658E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16</Pages>
  <Words>2946</Words>
  <Characters>16796</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Clean Energy Legislation Amendment (Various Measures) Regulation 2013</vt:lpstr>
    </vt:vector>
  </TitlesOfParts>
  <Manager/>
  <Company/>
  <LinksUpToDate>false</LinksUpToDate>
  <CharactersWithSpaces>19703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2013-05-03T05:25:00Z</cp:lastPrinted>
  <dcterms:created xsi:type="dcterms:W3CDTF">2013-05-13T23:52:00Z</dcterms:created>
  <dcterms:modified xsi:type="dcterms:W3CDTF">2013-05-14T05:38:00Z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Clean Energy Legislation Amendment (Various Measures) Regulation 2013</vt:lpwstr>
  </property>
  <property fmtid="{D5CDD505-2E9C-101B-9397-08002B2CF9AE}" pid="3" name="Class">
    <vt:lpwstr>Unkown</vt:lpwstr>
  </property>
  <property fmtid="{D5CDD505-2E9C-101B-9397-08002B2CF9AE}" pid="4" name="Type">
    <vt:lpwstr>SLI</vt:lpwstr>
  </property>
  <property fmtid="{D5CDD505-2E9C-101B-9397-08002B2CF9AE}" pid="5" name="DocType">
    <vt:lpwstr>AMD</vt:lpwstr>
  </property>
  <property fmtid="{D5CDD505-2E9C-101B-9397-08002B2CF9AE}" pid="6" name="Header">
    <vt:lpwstr>Section</vt:lpwstr>
  </property>
  <property fmtid="{D5CDD505-2E9C-101B-9397-08002B2CF9AE}" pid="7" name="Exco">
    <vt:lpwstr>Yes</vt:lpwstr>
  </property>
  <property fmtid="{D5CDD505-2E9C-101B-9397-08002B2CF9AE}" pid="8" name="Authority">
    <vt:lpwstr/>
  </property>
  <property fmtid="{D5CDD505-2E9C-101B-9397-08002B2CF9AE}" pid="9" name="ID">
    <vt:lpwstr>OPC50420</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CounterSign">
    <vt:lpwstr/>
  </property>
  <property fmtid="{D5CDD505-2E9C-101B-9397-08002B2CF9AE}" pid="14" name="ExcoDate">
    <vt:lpwstr/>
  </property>
  <property fmtid="{D5CDD505-2E9C-101B-9397-08002B2CF9AE}" pid="15" name="DateMade">
    <vt:lpwstr/>
  </property>
  <property fmtid="{D5CDD505-2E9C-101B-9397-08002B2CF9AE}" pid="16" name="ActNo">
    <vt:lpwstr>No. 79, 2013</vt:lpwstr>
  </property>
</Properties>
</file>