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23627A" w14:textId="77777777" w:rsidR="00CA4450" w:rsidRDefault="00CA4450" w:rsidP="00CA4450">
      <w:pPr>
        <w:tabs>
          <w:tab w:val="right" w:pos="9072"/>
        </w:tabs>
        <w:ind w:right="91"/>
        <w:jc w:val="center"/>
        <w:rPr>
          <w:b/>
          <w:u w:val="single"/>
        </w:rPr>
      </w:pPr>
      <w:r>
        <w:rPr>
          <w:b/>
          <w:u w:val="single"/>
        </w:rPr>
        <w:t>EXPLANATORY STATEMENT</w:t>
      </w:r>
    </w:p>
    <w:p w14:paraId="4285968C" w14:textId="77777777" w:rsidR="00CA4450" w:rsidRDefault="00CA4450" w:rsidP="00CA4450">
      <w:pPr>
        <w:tabs>
          <w:tab w:val="right" w:pos="9072"/>
        </w:tabs>
        <w:ind w:right="91"/>
        <w:jc w:val="center"/>
        <w:rPr>
          <w:b/>
          <w:u w:val="single"/>
        </w:rPr>
      </w:pPr>
    </w:p>
    <w:p w14:paraId="19ED437E" w14:textId="1E7B25A6" w:rsidR="00CA4450" w:rsidRPr="009A57D7" w:rsidRDefault="00CA4450" w:rsidP="00CA4450">
      <w:pPr>
        <w:pStyle w:val="Heading6"/>
        <w:tabs>
          <w:tab w:val="right" w:pos="9072"/>
        </w:tabs>
        <w:spacing w:before="0"/>
        <w:jc w:val="center"/>
        <w:rPr>
          <w:b/>
        </w:rPr>
      </w:pPr>
      <w:r w:rsidRPr="009A57D7">
        <w:rPr>
          <w:b/>
        </w:rPr>
        <w:t xml:space="preserve">Select Legislative Instrument 2013 No. </w:t>
      </w:r>
      <w:r w:rsidR="009A57D7">
        <w:rPr>
          <w:b/>
        </w:rPr>
        <w:t>86</w:t>
      </w:r>
    </w:p>
    <w:p w14:paraId="3E42E8F4" w14:textId="77777777" w:rsidR="00CA4450" w:rsidRPr="009A57D7" w:rsidRDefault="00CA4450" w:rsidP="00CA4450">
      <w:pPr>
        <w:rPr>
          <w:b/>
          <w:u w:val="single"/>
        </w:rPr>
      </w:pPr>
    </w:p>
    <w:p w14:paraId="27EFAA9D" w14:textId="77777777" w:rsidR="00CA4450" w:rsidRPr="00EB31B6" w:rsidRDefault="00CA4450" w:rsidP="00CA4450">
      <w:pPr>
        <w:jc w:val="right"/>
        <w:rPr>
          <w:b/>
          <w:u w:val="single"/>
        </w:rPr>
      </w:pPr>
      <w:r w:rsidRPr="00EB31B6">
        <w:rPr>
          <w:b/>
          <w:u w:val="single"/>
        </w:rPr>
        <w:t>Issued by authority of the Minister for Financial Services and Superannuation</w:t>
      </w:r>
    </w:p>
    <w:p w14:paraId="307117F0" w14:textId="77777777" w:rsidR="00CA4450" w:rsidRPr="00370E92" w:rsidRDefault="00CA4450" w:rsidP="00CA4450">
      <w:pPr>
        <w:tabs>
          <w:tab w:val="right" w:pos="9072"/>
        </w:tabs>
        <w:ind w:right="91"/>
        <w:rPr>
          <w:sz w:val="20"/>
        </w:rPr>
      </w:pPr>
    </w:p>
    <w:p w14:paraId="7DB00FED" w14:textId="77777777" w:rsidR="00CA4450" w:rsidRDefault="00CA4450" w:rsidP="00CA4450">
      <w:pPr>
        <w:ind w:left="1440" w:right="91" w:hanging="1440"/>
        <w:jc w:val="center"/>
        <w:rPr>
          <w:i/>
          <w:szCs w:val="22"/>
        </w:rPr>
      </w:pPr>
      <w:r w:rsidRPr="005C2E8D">
        <w:rPr>
          <w:i/>
          <w:szCs w:val="22"/>
        </w:rPr>
        <w:t xml:space="preserve">Superannuation Industry (Supervision) </w:t>
      </w:r>
      <w:r>
        <w:rPr>
          <w:i/>
          <w:szCs w:val="22"/>
        </w:rPr>
        <w:t xml:space="preserve">Act </w:t>
      </w:r>
      <w:r w:rsidRPr="005C2E8D">
        <w:rPr>
          <w:i/>
          <w:szCs w:val="22"/>
        </w:rPr>
        <w:t>199</w:t>
      </w:r>
      <w:r>
        <w:rPr>
          <w:i/>
          <w:szCs w:val="22"/>
        </w:rPr>
        <w:t>3</w:t>
      </w:r>
    </w:p>
    <w:p w14:paraId="665FEAB6" w14:textId="2BBCCD3F" w:rsidR="00CA4450" w:rsidRDefault="00CA4450" w:rsidP="00CA4450">
      <w:pPr>
        <w:ind w:right="91"/>
        <w:jc w:val="center"/>
        <w:rPr>
          <w:i/>
        </w:rPr>
      </w:pPr>
      <w:r w:rsidRPr="005C2E8D">
        <w:rPr>
          <w:i/>
          <w:szCs w:val="22"/>
        </w:rPr>
        <w:t xml:space="preserve">Superannuation Industry (Supervision) </w:t>
      </w:r>
      <w:r>
        <w:rPr>
          <w:i/>
          <w:szCs w:val="22"/>
        </w:rPr>
        <w:t xml:space="preserve">Amendment </w:t>
      </w:r>
      <w:r>
        <w:rPr>
          <w:i/>
        </w:rPr>
        <w:t xml:space="preserve">Regulation </w:t>
      </w:r>
      <w:r w:rsidR="009A57D7">
        <w:rPr>
          <w:i/>
        </w:rPr>
        <w:t>2013 (No. 2</w:t>
      </w:r>
      <w:r w:rsidRPr="00547901">
        <w:rPr>
          <w:i/>
        </w:rPr>
        <w:t>)</w:t>
      </w:r>
    </w:p>
    <w:p w14:paraId="3601F392" w14:textId="77777777" w:rsidR="00362B04" w:rsidRDefault="00362B04">
      <w:pPr>
        <w:ind w:right="91"/>
      </w:pPr>
    </w:p>
    <w:p w14:paraId="03E9FFEF" w14:textId="77777777" w:rsidR="00D71268" w:rsidRDefault="00D71268" w:rsidP="00D71268">
      <w:pPr>
        <w:pStyle w:val="NormalWeb"/>
        <w:rPr>
          <w:sz w:val="24"/>
        </w:rPr>
      </w:pPr>
      <w:bookmarkStart w:id="0" w:name="top"/>
      <w:bookmarkEnd w:id="0"/>
      <w:r w:rsidRPr="005261A3">
        <w:rPr>
          <w:rFonts w:ascii="Times New Roman" w:hAnsi="Times New Roman" w:cs="Times New Roman"/>
          <w:sz w:val="24"/>
        </w:rPr>
        <w:t xml:space="preserve">Subsection 353(1) of the </w:t>
      </w:r>
      <w:r w:rsidRPr="005261A3">
        <w:rPr>
          <w:rFonts w:ascii="Times New Roman" w:hAnsi="Times New Roman" w:cs="Times New Roman"/>
          <w:i/>
          <w:iCs/>
          <w:sz w:val="24"/>
        </w:rPr>
        <w:t>Superannuation Industry (Supervision) Act 1993</w:t>
      </w:r>
      <w:r w:rsidRPr="005261A3">
        <w:rPr>
          <w:rFonts w:ascii="Times New Roman" w:hAnsi="Times New Roman" w:cs="Times New Roman"/>
          <w:sz w:val="24"/>
        </w:rPr>
        <w:t xml:space="preserve"> (SIS Act) provides, in part, that the Governor-General may make regulations prescribing matters required or permitted by the SIS Act to be prescribed, or necessary or convenient to be prescribed, for carrying out or giving effect to the SIS Act.</w:t>
      </w:r>
      <w:r>
        <w:rPr>
          <w:rFonts w:ascii="Times New Roman" w:hAnsi="Times New Roman" w:cs="Times New Roman"/>
          <w:sz w:val="24"/>
        </w:rPr>
        <w:t xml:space="preserve">  </w:t>
      </w:r>
      <w:r w:rsidRPr="005261A3">
        <w:rPr>
          <w:rFonts w:ascii="Times New Roman" w:hAnsi="Times New Roman" w:cs="Times New Roman"/>
          <w:sz w:val="24"/>
        </w:rPr>
        <w:t xml:space="preserve">The </w:t>
      </w:r>
      <w:r w:rsidRPr="005261A3">
        <w:rPr>
          <w:rFonts w:ascii="Times New Roman" w:hAnsi="Times New Roman" w:cs="Times New Roman"/>
          <w:i/>
          <w:sz w:val="24"/>
        </w:rPr>
        <w:t xml:space="preserve">Superannuation Industry (Supervision) Regulations 1994 </w:t>
      </w:r>
      <w:r>
        <w:rPr>
          <w:rFonts w:ascii="Times New Roman" w:hAnsi="Times New Roman" w:cs="Times New Roman"/>
          <w:sz w:val="24"/>
        </w:rPr>
        <w:t xml:space="preserve">(SIS Regulations) </w:t>
      </w:r>
      <w:r w:rsidRPr="005261A3">
        <w:rPr>
          <w:rFonts w:ascii="Times New Roman" w:hAnsi="Times New Roman" w:cs="Times New Roman"/>
          <w:sz w:val="24"/>
        </w:rPr>
        <w:t xml:space="preserve">are made under </w:t>
      </w:r>
      <w:r>
        <w:rPr>
          <w:rFonts w:ascii="Times New Roman" w:hAnsi="Times New Roman" w:cs="Times New Roman"/>
          <w:sz w:val="24"/>
        </w:rPr>
        <w:t xml:space="preserve">section 353 of </w:t>
      </w:r>
      <w:r w:rsidRPr="005261A3">
        <w:rPr>
          <w:rFonts w:ascii="Times New Roman" w:hAnsi="Times New Roman" w:cs="Times New Roman"/>
          <w:sz w:val="24"/>
        </w:rPr>
        <w:t>the SIS Act.</w:t>
      </w:r>
      <w:r w:rsidRPr="005261A3">
        <w:rPr>
          <w:sz w:val="24"/>
        </w:rPr>
        <w:t xml:space="preserve"> </w:t>
      </w:r>
    </w:p>
    <w:p w14:paraId="430C29C6" w14:textId="77777777" w:rsidR="00D71268" w:rsidRDefault="00D71268" w:rsidP="00D71268">
      <w:pPr>
        <w:pStyle w:val="NormalWeb"/>
        <w:rPr>
          <w:rFonts w:ascii="Times New Roman" w:hAnsi="Times New Roman" w:cs="Times New Roman"/>
          <w:sz w:val="24"/>
        </w:rPr>
      </w:pPr>
      <w:r w:rsidRPr="000E0C15">
        <w:rPr>
          <w:rFonts w:ascii="Times New Roman" w:hAnsi="Times New Roman" w:cs="Times New Roman"/>
          <w:sz w:val="24"/>
        </w:rPr>
        <w:t xml:space="preserve">The </w:t>
      </w:r>
      <w:r>
        <w:rPr>
          <w:rFonts w:ascii="Times New Roman" w:hAnsi="Times New Roman" w:cs="Times New Roman"/>
          <w:sz w:val="24"/>
        </w:rPr>
        <w:t xml:space="preserve">Regulation </w:t>
      </w:r>
      <w:r w:rsidRPr="000E0C15">
        <w:rPr>
          <w:rFonts w:ascii="Times New Roman" w:hAnsi="Times New Roman" w:cs="Times New Roman"/>
          <w:sz w:val="24"/>
        </w:rPr>
        <w:t>implement</w:t>
      </w:r>
      <w:r>
        <w:rPr>
          <w:rFonts w:ascii="Times New Roman" w:hAnsi="Times New Roman" w:cs="Times New Roman"/>
          <w:sz w:val="24"/>
        </w:rPr>
        <w:t>s</w:t>
      </w:r>
      <w:r w:rsidRPr="000E0C15">
        <w:rPr>
          <w:rFonts w:ascii="Times New Roman" w:hAnsi="Times New Roman" w:cs="Times New Roman"/>
          <w:sz w:val="24"/>
        </w:rPr>
        <w:t xml:space="preserve"> a recommendation of the Supe</w:t>
      </w:r>
      <w:r>
        <w:rPr>
          <w:rFonts w:ascii="Times New Roman" w:hAnsi="Times New Roman" w:cs="Times New Roman"/>
          <w:sz w:val="24"/>
        </w:rPr>
        <w:t xml:space="preserve">r System Review to </w:t>
      </w:r>
      <w:r w:rsidRPr="000E0C15">
        <w:rPr>
          <w:rFonts w:ascii="Times New Roman" w:hAnsi="Times New Roman" w:cs="Times New Roman"/>
          <w:sz w:val="24"/>
        </w:rPr>
        <w:t>repeal the member protection standards</w:t>
      </w:r>
      <w:r>
        <w:rPr>
          <w:rFonts w:ascii="Times New Roman" w:hAnsi="Times New Roman" w:cs="Times New Roman"/>
          <w:sz w:val="24"/>
        </w:rPr>
        <w:t xml:space="preserve"> in the SIS Regulations</w:t>
      </w:r>
      <w:r w:rsidRPr="000E0C15">
        <w:rPr>
          <w:rFonts w:ascii="Times New Roman" w:hAnsi="Times New Roman" w:cs="Times New Roman"/>
          <w:sz w:val="24"/>
        </w:rPr>
        <w:t xml:space="preserve">. </w:t>
      </w:r>
      <w:r>
        <w:rPr>
          <w:rFonts w:ascii="Times New Roman" w:hAnsi="Times New Roman" w:cs="Times New Roman"/>
          <w:sz w:val="24"/>
        </w:rPr>
        <w:t xml:space="preserve"> </w:t>
      </w:r>
    </w:p>
    <w:p w14:paraId="44AB6260" w14:textId="77777777" w:rsidR="00D71268" w:rsidRPr="000E0C15" w:rsidRDefault="00D71268" w:rsidP="00D71268">
      <w:pPr>
        <w:pStyle w:val="NormalWeb"/>
        <w:rPr>
          <w:rFonts w:ascii="Times New Roman" w:hAnsi="Times New Roman" w:cs="Times New Roman"/>
          <w:sz w:val="24"/>
        </w:rPr>
      </w:pPr>
      <w:r>
        <w:rPr>
          <w:rFonts w:ascii="Times New Roman" w:hAnsi="Times New Roman" w:cs="Times New Roman"/>
          <w:sz w:val="24"/>
        </w:rPr>
        <w:t xml:space="preserve">On 16 December 2010 the Government announced the Stronger Super package of reforms in response to recommendations of the Super System Review.  Following extensive consultation, on 22 October 2012 the Government announced it would repeal </w:t>
      </w:r>
      <w:r w:rsidRPr="0034288A">
        <w:rPr>
          <w:rFonts w:ascii="Times New Roman" w:hAnsi="Times New Roman" w:cs="Times New Roman"/>
          <w:sz w:val="24"/>
        </w:rPr>
        <w:t xml:space="preserve">the member protection </w:t>
      </w:r>
      <w:r>
        <w:rPr>
          <w:rFonts w:ascii="Times New Roman" w:hAnsi="Times New Roman" w:cs="Times New Roman"/>
          <w:sz w:val="24"/>
        </w:rPr>
        <w:t>standards</w:t>
      </w:r>
      <w:r w:rsidRPr="0034288A">
        <w:rPr>
          <w:rFonts w:ascii="Times New Roman" w:hAnsi="Times New Roman" w:cs="Times New Roman"/>
          <w:sz w:val="24"/>
        </w:rPr>
        <w:t xml:space="preserve"> from 1 July 2013</w:t>
      </w:r>
      <w:r>
        <w:rPr>
          <w:rFonts w:ascii="Times New Roman" w:hAnsi="Times New Roman" w:cs="Times New Roman"/>
          <w:sz w:val="24"/>
        </w:rPr>
        <w:t>.</w:t>
      </w:r>
    </w:p>
    <w:p w14:paraId="7DE9E7B8" w14:textId="77777777" w:rsidR="00D71268" w:rsidRPr="00EA6115" w:rsidRDefault="00D71268" w:rsidP="00D71268">
      <w:pPr>
        <w:pStyle w:val="NormalWeb"/>
        <w:rPr>
          <w:rFonts w:ascii="Times New Roman" w:hAnsi="Times New Roman" w:cs="Times New Roman"/>
          <w:sz w:val="24"/>
        </w:rPr>
      </w:pPr>
      <w:r>
        <w:rPr>
          <w:rFonts w:ascii="Times New Roman" w:hAnsi="Times New Roman" w:cs="Times New Roman"/>
          <w:sz w:val="24"/>
        </w:rPr>
        <w:t xml:space="preserve">Under </w:t>
      </w:r>
      <w:r w:rsidRPr="00EA6115">
        <w:rPr>
          <w:rFonts w:ascii="Times New Roman" w:hAnsi="Times New Roman" w:cs="Times New Roman"/>
          <w:sz w:val="24"/>
        </w:rPr>
        <w:t>these standards, a member with an account balance of less than $1,000 cannot have their balance reduced by administrative fees that are greater than the earnings accruing to their account.  However:</w:t>
      </w:r>
    </w:p>
    <w:p w14:paraId="116B7ECC" w14:textId="77777777" w:rsidR="00D71268" w:rsidRPr="00EA6115" w:rsidRDefault="00D71268" w:rsidP="00D71268">
      <w:pPr>
        <w:pStyle w:val="Bullet"/>
        <w:tabs>
          <w:tab w:val="clear" w:pos="567"/>
          <w:tab w:val="num" w:pos="1134"/>
        </w:tabs>
        <w:spacing w:after="240"/>
        <w:ind w:left="1134"/>
      </w:pPr>
      <w:r w:rsidRPr="00EA6115">
        <w:t>trustees can deduct administrative fees in years with a negative investment return</w:t>
      </w:r>
      <w:r>
        <w:t xml:space="preserve"> despite a member’s balance being less than $1,000</w:t>
      </w:r>
      <w:r w:rsidRPr="00EA6115">
        <w:t>;</w:t>
      </w:r>
    </w:p>
    <w:p w14:paraId="63EC22D0" w14:textId="77777777" w:rsidR="00D71268" w:rsidRPr="00EA6115" w:rsidRDefault="00D71268" w:rsidP="00D71268">
      <w:pPr>
        <w:pStyle w:val="Bullet"/>
        <w:tabs>
          <w:tab w:val="clear" w:pos="567"/>
          <w:tab w:val="num" w:pos="1134"/>
        </w:tabs>
        <w:spacing w:after="240"/>
        <w:ind w:left="1134"/>
      </w:pPr>
      <w:r w:rsidRPr="00EA6115">
        <w:t xml:space="preserve">the standards effectively require members with larger balances to subsidise the </w:t>
      </w:r>
      <w:r>
        <w:t xml:space="preserve">reduced </w:t>
      </w:r>
      <w:r w:rsidRPr="00EA6115">
        <w:t>cost</w:t>
      </w:r>
      <w:r>
        <w:t xml:space="preserve"> for</w:t>
      </w:r>
      <w:r w:rsidRPr="00EA6115">
        <w:t xml:space="preserve"> low balance members;</w:t>
      </w:r>
    </w:p>
    <w:p w14:paraId="75006312" w14:textId="77777777" w:rsidR="00D71268" w:rsidRPr="00EA6115" w:rsidRDefault="00D71268" w:rsidP="00D71268">
      <w:pPr>
        <w:pStyle w:val="Bullet"/>
        <w:tabs>
          <w:tab w:val="clear" w:pos="567"/>
          <w:tab w:val="num" w:pos="1134"/>
        </w:tabs>
        <w:spacing w:after="240"/>
        <w:ind w:left="1134"/>
      </w:pPr>
      <w:r w:rsidRPr="00EA6115">
        <w:t>the standards may be a disincentive for members to consolidate small account balances</w:t>
      </w:r>
      <w:r>
        <w:t xml:space="preserve"> where the combined balance would be more than $1,000</w:t>
      </w:r>
      <w:r w:rsidRPr="00EA6115">
        <w:t>;</w:t>
      </w:r>
    </w:p>
    <w:p w14:paraId="2AE59DC1" w14:textId="77777777" w:rsidR="00D71268" w:rsidRPr="00EA6115" w:rsidRDefault="00D71268" w:rsidP="00D71268">
      <w:pPr>
        <w:pStyle w:val="Bullet"/>
        <w:tabs>
          <w:tab w:val="clear" w:pos="567"/>
          <w:tab w:val="num" w:pos="1134"/>
        </w:tabs>
        <w:spacing w:after="240"/>
        <w:ind w:left="1134"/>
      </w:pPr>
      <w:r>
        <w:t xml:space="preserve">trustees must maintain inconvenient, complex and costly </w:t>
      </w:r>
      <w:r w:rsidRPr="00EA6115">
        <w:t>administrative systems and procedures</w:t>
      </w:r>
      <w:r>
        <w:t xml:space="preserve"> to meet the member protection standards</w:t>
      </w:r>
      <w:r w:rsidRPr="00EA6115">
        <w:t>;</w:t>
      </w:r>
    </w:p>
    <w:p w14:paraId="45E1C476" w14:textId="77777777" w:rsidR="00D71268" w:rsidRDefault="00D71268" w:rsidP="00D71268">
      <w:pPr>
        <w:pStyle w:val="Bullet"/>
        <w:tabs>
          <w:tab w:val="clear" w:pos="567"/>
          <w:tab w:val="num" w:pos="1134"/>
        </w:tabs>
        <w:spacing w:after="240"/>
        <w:ind w:left="1134"/>
      </w:pPr>
      <w:r w:rsidRPr="00EA6115">
        <w:t>costs levied before earnings are allocated to members (such as insurance premiums and tax) can erode small balances, despite the standards.</w:t>
      </w:r>
    </w:p>
    <w:p w14:paraId="013ACA6C" w14:textId="77777777" w:rsidR="00D71268" w:rsidRPr="000E0C15" w:rsidRDefault="00D71268" w:rsidP="00D71268">
      <w:pPr>
        <w:pStyle w:val="NormalWeb"/>
        <w:rPr>
          <w:rFonts w:ascii="Times New Roman" w:hAnsi="Times New Roman" w:cs="Times New Roman"/>
          <w:sz w:val="24"/>
        </w:rPr>
      </w:pPr>
      <w:r w:rsidRPr="000E0C15">
        <w:rPr>
          <w:rFonts w:ascii="Times New Roman" w:hAnsi="Times New Roman" w:cs="Times New Roman"/>
          <w:sz w:val="24"/>
        </w:rPr>
        <w:t>MySuper fees rules, which are to commence on 1 July 2013, will require that all MySuper members be charged fees on the same basis</w:t>
      </w:r>
      <w:r>
        <w:rPr>
          <w:rFonts w:ascii="Times New Roman" w:hAnsi="Times New Roman" w:cs="Times New Roman"/>
          <w:sz w:val="24"/>
        </w:rPr>
        <w:t>, a</w:t>
      </w:r>
      <w:r w:rsidRPr="000E0C15">
        <w:rPr>
          <w:rFonts w:ascii="Times New Roman" w:hAnsi="Times New Roman" w:cs="Times New Roman"/>
          <w:sz w:val="24"/>
        </w:rPr>
        <w:t xml:space="preserve"> requirement </w:t>
      </w:r>
      <w:r>
        <w:rPr>
          <w:rFonts w:ascii="Times New Roman" w:hAnsi="Times New Roman" w:cs="Times New Roman"/>
          <w:sz w:val="24"/>
        </w:rPr>
        <w:t xml:space="preserve">that </w:t>
      </w:r>
      <w:r w:rsidRPr="000E0C15">
        <w:rPr>
          <w:rFonts w:ascii="Times New Roman" w:hAnsi="Times New Roman" w:cs="Times New Roman"/>
          <w:sz w:val="24"/>
        </w:rPr>
        <w:t>cannot be met at the same time as the member protection standards, which require fees for small balances to not exceed the investment earnings on the overall account.</w:t>
      </w:r>
    </w:p>
    <w:p w14:paraId="477445C2" w14:textId="77777777" w:rsidR="00D71268" w:rsidRPr="000E0C15" w:rsidRDefault="00AB023A" w:rsidP="00D71268">
      <w:pPr>
        <w:pStyle w:val="NormalWeb"/>
        <w:rPr>
          <w:rFonts w:ascii="Times New Roman" w:hAnsi="Times New Roman" w:cs="Times New Roman"/>
          <w:sz w:val="24"/>
        </w:rPr>
      </w:pPr>
      <w:r>
        <w:rPr>
          <w:rFonts w:ascii="Times New Roman" w:hAnsi="Times New Roman" w:cs="Times New Roman"/>
          <w:sz w:val="24"/>
        </w:rPr>
        <w:t>F</w:t>
      </w:r>
      <w:r w:rsidRPr="000E0C15">
        <w:rPr>
          <w:rFonts w:ascii="Times New Roman" w:hAnsi="Times New Roman" w:cs="Times New Roman"/>
          <w:sz w:val="24"/>
        </w:rPr>
        <w:t>rom 1 July 2013</w:t>
      </w:r>
      <w:r>
        <w:rPr>
          <w:rFonts w:ascii="Times New Roman" w:hAnsi="Times New Roman" w:cs="Times New Roman"/>
          <w:sz w:val="24"/>
        </w:rPr>
        <w:t>, superannuation funds</w:t>
      </w:r>
      <w:r w:rsidRPr="000E0C15">
        <w:rPr>
          <w:rFonts w:ascii="Times New Roman" w:hAnsi="Times New Roman" w:cs="Times New Roman"/>
          <w:sz w:val="24"/>
        </w:rPr>
        <w:t xml:space="preserve"> </w:t>
      </w:r>
      <w:r>
        <w:rPr>
          <w:rFonts w:ascii="Times New Roman" w:hAnsi="Times New Roman" w:cs="Times New Roman"/>
          <w:sz w:val="24"/>
        </w:rPr>
        <w:t>will transfer s</w:t>
      </w:r>
      <w:r w:rsidRPr="000E0C15">
        <w:rPr>
          <w:rFonts w:ascii="Times New Roman" w:hAnsi="Times New Roman" w:cs="Times New Roman"/>
          <w:sz w:val="24"/>
        </w:rPr>
        <w:t xml:space="preserve">mall inactive accounts to the </w:t>
      </w:r>
      <w:r>
        <w:rPr>
          <w:rFonts w:ascii="Times New Roman" w:hAnsi="Times New Roman" w:cs="Times New Roman"/>
          <w:sz w:val="24"/>
        </w:rPr>
        <w:t>Australian Taxation Office, which will protect these accounts</w:t>
      </w:r>
      <w:r w:rsidRPr="000E0C15">
        <w:rPr>
          <w:rFonts w:ascii="Times New Roman" w:hAnsi="Times New Roman" w:cs="Times New Roman"/>
          <w:sz w:val="24"/>
        </w:rPr>
        <w:t xml:space="preserve"> from b</w:t>
      </w:r>
      <w:r>
        <w:rPr>
          <w:rFonts w:ascii="Times New Roman" w:hAnsi="Times New Roman" w:cs="Times New Roman"/>
          <w:sz w:val="24"/>
        </w:rPr>
        <w:t>eing eroded by fees and charges</w:t>
      </w:r>
      <w:r w:rsidRPr="000E0C15">
        <w:rPr>
          <w:rFonts w:ascii="Times New Roman" w:hAnsi="Times New Roman" w:cs="Times New Roman"/>
          <w:sz w:val="24"/>
        </w:rPr>
        <w:t>.</w:t>
      </w:r>
      <w:r>
        <w:rPr>
          <w:rFonts w:ascii="Times New Roman" w:hAnsi="Times New Roman" w:cs="Times New Roman"/>
          <w:sz w:val="24"/>
        </w:rPr>
        <w:t xml:space="preserve"> </w:t>
      </w:r>
      <w:r w:rsidRPr="000E0C15">
        <w:rPr>
          <w:rFonts w:ascii="Times New Roman" w:hAnsi="Times New Roman" w:cs="Times New Roman"/>
          <w:sz w:val="24"/>
        </w:rPr>
        <w:t xml:space="preserve"> </w:t>
      </w:r>
      <w:r w:rsidR="00D71268" w:rsidRPr="000E0C15">
        <w:rPr>
          <w:rFonts w:ascii="Times New Roman" w:hAnsi="Times New Roman" w:cs="Times New Roman"/>
          <w:sz w:val="24"/>
        </w:rPr>
        <w:t>Interest will paid</w:t>
      </w:r>
      <w:r w:rsidR="00D71268">
        <w:rPr>
          <w:rFonts w:ascii="Times New Roman" w:hAnsi="Times New Roman" w:cs="Times New Roman"/>
          <w:sz w:val="24"/>
        </w:rPr>
        <w:t xml:space="preserve"> on these accounts</w:t>
      </w:r>
      <w:r w:rsidR="00D71268" w:rsidRPr="000E0C15">
        <w:rPr>
          <w:rFonts w:ascii="Times New Roman" w:hAnsi="Times New Roman" w:cs="Times New Roman"/>
          <w:sz w:val="24"/>
        </w:rPr>
        <w:t xml:space="preserve"> at a rate equivalent to CPI </w:t>
      </w:r>
      <w:r w:rsidR="00D71268" w:rsidRPr="000E0C15">
        <w:rPr>
          <w:rFonts w:ascii="Times New Roman" w:hAnsi="Times New Roman" w:cs="Times New Roman"/>
          <w:sz w:val="24"/>
        </w:rPr>
        <w:lastRenderedPageBreak/>
        <w:t>inflation.</w:t>
      </w:r>
      <w:r w:rsidR="00D71268">
        <w:rPr>
          <w:rFonts w:ascii="Times New Roman" w:hAnsi="Times New Roman" w:cs="Times New Roman"/>
          <w:sz w:val="24"/>
        </w:rPr>
        <w:t xml:space="preserve"> </w:t>
      </w:r>
      <w:r w:rsidR="00D71268" w:rsidRPr="000E0C15">
        <w:rPr>
          <w:rFonts w:ascii="Times New Roman" w:hAnsi="Times New Roman" w:cs="Times New Roman"/>
          <w:sz w:val="24"/>
        </w:rPr>
        <w:t xml:space="preserve"> </w:t>
      </w:r>
      <w:r w:rsidR="00D71268">
        <w:rPr>
          <w:rFonts w:ascii="Times New Roman" w:hAnsi="Times New Roman" w:cs="Times New Roman"/>
          <w:sz w:val="24"/>
        </w:rPr>
        <w:t>Members will be able to reclaim t</w:t>
      </w:r>
      <w:r w:rsidR="00D71268" w:rsidRPr="000E0C15">
        <w:rPr>
          <w:rFonts w:ascii="Times New Roman" w:hAnsi="Times New Roman" w:cs="Times New Roman"/>
          <w:sz w:val="24"/>
        </w:rPr>
        <w:t xml:space="preserve">hese </w:t>
      </w:r>
      <w:r w:rsidR="00D71268">
        <w:rPr>
          <w:rFonts w:ascii="Times New Roman" w:hAnsi="Times New Roman" w:cs="Times New Roman"/>
          <w:sz w:val="24"/>
        </w:rPr>
        <w:t xml:space="preserve">account </w:t>
      </w:r>
      <w:r w:rsidR="00D71268" w:rsidRPr="000E0C15">
        <w:rPr>
          <w:rFonts w:ascii="Times New Roman" w:hAnsi="Times New Roman" w:cs="Times New Roman"/>
          <w:sz w:val="24"/>
        </w:rPr>
        <w:t xml:space="preserve">balances from the </w:t>
      </w:r>
      <w:r w:rsidR="00D71268">
        <w:rPr>
          <w:rFonts w:ascii="Times New Roman" w:hAnsi="Times New Roman" w:cs="Times New Roman"/>
          <w:sz w:val="24"/>
        </w:rPr>
        <w:t>Australian Taxation Office</w:t>
      </w:r>
      <w:r w:rsidR="00D71268" w:rsidRPr="000E0C15">
        <w:rPr>
          <w:rFonts w:ascii="Times New Roman" w:hAnsi="Times New Roman" w:cs="Times New Roman"/>
          <w:sz w:val="24"/>
        </w:rPr>
        <w:t xml:space="preserve"> at any time.</w:t>
      </w:r>
    </w:p>
    <w:p w14:paraId="52A509FB" w14:textId="77777777" w:rsidR="00D71268" w:rsidRDefault="00D71268" w:rsidP="00D71268">
      <w:pPr>
        <w:pStyle w:val="NormalWeb"/>
        <w:rPr>
          <w:rFonts w:ascii="Times New Roman" w:hAnsi="Times New Roman" w:cs="Times New Roman"/>
          <w:sz w:val="24"/>
        </w:rPr>
      </w:pPr>
      <w:r>
        <w:rPr>
          <w:rFonts w:ascii="Times New Roman" w:hAnsi="Times New Roman" w:cs="Times New Roman"/>
          <w:sz w:val="24"/>
        </w:rPr>
        <w:t xml:space="preserve">The </w:t>
      </w:r>
      <w:r w:rsidR="00070B3C">
        <w:rPr>
          <w:rFonts w:ascii="Times New Roman" w:hAnsi="Times New Roman" w:cs="Times New Roman"/>
          <w:sz w:val="24"/>
        </w:rPr>
        <w:t>regulation will have</w:t>
      </w:r>
      <w:r w:rsidRPr="000E0C15">
        <w:rPr>
          <w:rFonts w:ascii="Times New Roman" w:hAnsi="Times New Roman" w:cs="Times New Roman"/>
          <w:sz w:val="24"/>
        </w:rPr>
        <w:t xml:space="preserve"> effect from 1 July 2013.</w:t>
      </w:r>
      <w:r>
        <w:rPr>
          <w:rFonts w:ascii="Times New Roman" w:hAnsi="Times New Roman" w:cs="Times New Roman"/>
          <w:sz w:val="24"/>
        </w:rPr>
        <w:t xml:space="preserve">  However, t</w:t>
      </w:r>
      <w:r w:rsidRPr="0034288A">
        <w:rPr>
          <w:rFonts w:ascii="Times New Roman" w:hAnsi="Times New Roman" w:cs="Times New Roman"/>
          <w:sz w:val="24"/>
        </w:rPr>
        <w:t xml:space="preserve">he </w:t>
      </w:r>
      <w:r>
        <w:rPr>
          <w:rFonts w:ascii="Times New Roman" w:hAnsi="Times New Roman" w:cs="Times New Roman"/>
          <w:sz w:val="24"/>
        </w:rPr>
        <w:t xml:space="preserve">amended SIS regulations will still allow the </w:t>
      </w:r>
      <w:r w:rsidRPr="0034288A">
        <w:rPr>
          <w:rFonts w:ascii="Times New Roman" w:hAnsi="Times New Roman" w:cs="Times New Roman"/>
          <w:sz w:val="24"/>
        </w:rPr>
        <w:t xml:space="preserve">trustee of a regulated superannuation fund or approved deposit fund to </w:t>
      </w:r>
      <w:r>
        <w:rPr>
          <w:rFonts w:ascii="Times New Roman" w:hAnsi="Times New Roman" w:cs="Times New Roman"/>
          <w:sz w:val="24"/>
        </w:rPr>
        <w:t xml:space="preserve">continue to </w:t>
      </w:r>
      <w:r w:rsidRPr="0034288A">
        <w:rPr>
          <w:rFonts w:ascii="Times New Roman" w:hAnsi="Times New Roman" w:cs="Times New Roman"/>
          <w:sz w:val="24"/>
        </w:rPr>
        <w:t>protect the benefits of members</w:t>
      </w:r>
      <w:r>
        <w:rPr>
          <w:rFonts w:ascii="Times New Roman" w:hAnsi="Times New Roman" w:cs="Times New Roman"/>
          <w:sz w:val="24"/>
        </w:rPr>
        <w:t xml:space="preserve"> to a greater degree than is required by the SIS Regulations, </w:t>
      </w:r>
      <w:r w:rsidRPr="0034288A">
        <w:rPr>
          <w:rFonts w:ascii="Times New Roman" w:hAnsi="Times New Roman" w:cs="Times New Roman"/>
          <w:sz w:val="24"/>
        </w:rPr>
        <w:t xml:space="preserve">despite anything in the governing rules of the fund, subject to </w:t>
      </w:r>
      <w:r>
        <w:rPr>
          <w:rFonts w:ascii="Times New Roman" w:hAnsi="Times New Roman" w:cs="Times New Roman"/>
          <w:sz w:val="24"/>
        </w:rPr>
        <w:t>a</w:t>
      </w:r>
      <w:r w:rsidRPr="0034288A">
        <w:rPr>
          <w:rFonts w:ascii="Times New Roman" w:hAnsi="Times New Roman" w:cs="Times New Roman"/>
          <w:sz w:val="24"/>
        </w:rPr>
        <w:t xml:space="preserve"> requirement to act fairly between classes of members</w:t>
      </w:r>
      <w:r>
        <w:rPr>
          <w:rFonts w:ascii="Times New Roman" w:hAnsi="Times New Roman" w:cs="Times New Roman"/>
          <w:sz w:val="24"/>
        </w:rPr>
        <w:t xml:space="preserve">.  </w:t>
      </w:r>
      <w:r w:rsidRPr="0034288A">
        <w:rPr>
          <w:rFonts w:ascii="Times New Roman" w:hAnsi="Times New Roman" w:cs="Times New Roman"/>
          <w:sz w:val="24"/>
        </w:rPr>
        <w:t>For example, a trustee might choose to continue to protect the bene</w:t>
      </w:r>
      <w:r w:rsidR="00070B3C">
        <w:rPr>
          <w:rFonts w:ascii="Times New Roman" w:hAnsi="Times New Roman" w:cs="Times New Roman"/>
          <w:sz w:val="24"/>
        </w:rPr>
        <w:t>fits of all members from 1 July </w:t>
      </w:r>
      <w:r w:rsidRPr="0034288A">
        <w:rPr>
          <w:rFonts w:ascii="Times New Roman" w:hAnsi="Times New Roman" w:cs="Times New Roman"/>
          <w:sz w:val="24"/>
        </w:rPr>
        <w:t xml:space="preserve">2013 until the date the trustee commences to enrol </w:t>
      </w:r>
      <w:r>
        <w:rPr>
          <w:rFonts w:ascii="Times New Roman" w:hAnsi="Times New Roman" w:cs="Times New Roman"/>
          <w:sz w:val="24"/>
        </w:rPr>
        <w:t>members in a MySuper product.</w:t>
      </w:r>
    </w:p>
    <w:p w14:paraId="207CB3B5" w14:textId="5A9ED301" w:rsidR="00D71268" w:rsidRDefault="00D71268" w:rsidP="00D71268">
      <w:pPr>
        <w:pStyle w:val="NormalWeb"/>
        <w:rPr>
          <w:rFonts w:ascii="Times New Roman" w:hAnsi="Times New Roman" w:cs="Times New Roman"/>
          <w:sz w:val="24"/>
        </w:rPr>
      </w:pPr>
      <w:r>
        <w:rPr>
          <w:rFonts w:ascii="Times New Roman" w:hAnsi="Times New Roman" w:cs="Times New Roman"/>
          <w:sz w:val="24"/>
        </w:rPr>
        <w:t>There are no other conditions which need to be satisfie</w:t>
      </w:r>
      <w:r w:rsidR="009A57D7">
        <w:rPr>
          <w:rFonts w:ascii="Times New Roman" w:hAnsi="Times New Roman" w:cs="Times New Roman"/>
          <w:sz w:val="24"/>
        </w:rPr>
        <w:t>d before the powers to make the</w:t>
      </w:r>
      <w:r>
        <w:rPr>
          <w:rFonts w:ascii="Times New Roman" w:hAnsi="Times New Roman" w:cs="Times New Roman"/>
          <w:sz w:val="24"/>
        </w:rPr>
        <w:t xml:space="preserve"> Regulation may be exercised.</w:t>
      </w:r>
    </w:p>
    <w:p w14:paraId="6B06F234" w14:textId="77777777" w:rsidR="00D71268" w:rsidRPr="000E0C15" w:rsidRDefault="00D71268" w:rsidP="00D71268">
      <w:pPr>
        <w:pStyle w:val="NormalWeb"/>
        <w:rPr>
          <w:rFonts w:ascii="Times New Roman" w:hAnsi="Times New Roman" w:cs="Times New Roman"/>
          <w:sz w:val="24"/>
        </w:rPr>
      </w:pPr>
      <w:r>
        <w:rPr>
          <w:rFonts w:ascii="Times New Roman" w:hAnsi="Times New Roman" w:cs="Times New Roman"/>
          <w:sz w:val="24"/>
        </w:rPr>
        <w:t>The Commonwealth consulted publicly on an exposure draft of the Regulation during January and February 2013.  The purpose of the consultation was to ensure the changes were technically correct and created no unintended or undesirable consequences for the industry or members.</w:t>
      </w:r>
    </w:p>
    <w:p w14:paraId="0486B1BA" w14:textId="77777777" w:rsidR="000E0C15" w:rsidRDefault="000831C3" w:rsidP="005261A3">
      <w:pPr>
        <w:pStyle w:val="NormalWeb"/>
        <w:rPr>
          <w:rFonts w:ascii="Times New Roman" w:hAnsi="Times New Roman" w:cs="Times New Roman"/>
          <w:sz w:val="24"/>
        </w:rPr>
      </w:pPr>
      <w:r>
        <w:rPr>
          <w:rFonts w:ascii="Times New Roman" w:hAnsi="Times New Roman" w:cs="Times New Roman"/>
          <w:sz w:val="24"/>
        </w:rPr>
        <w:t xml:space="preserve">Details of the Regulation are set out in the </w:t>
      </w:r>
      <w:r w:rsidRPr="000831C3">
        <w:rPr>
          <w:rFonts w:ascii="Times New Roman" w:hAnsi="Times New Roman" w:cs="Times New Roman"/>
          <w:sz w:val="24"/>
          <w:u w:val="single"/>
        </w:rPr>
        <w:t>Attachment</w:t>
      </w:r>
      <w:r w:rsidR="00A86973">
        <w:rPr>
          <w:rFonts w:ascii="Times New Roman" w:hAnsi="Times New Roman" w:cs="Times New Roman"/>
          <w:sz w:val="24"/>
          <w:u w:val="single"/>
        </w:rPr>
        <w:t xml:space="preserve"> A</w:t>
      </w:r>
      <w:r>
        <w:rPr>
          <w:rFonts w:ascii="Times New Roman" w:hAnsi="Times New Roman" w:cs="Times New Roman"/>
          <w:sz w:val="24"/>
        </w:rPr>
        <w:t>.</w:t>
      </w:r>
    </w:p>
    <w:p w14:paraId="3E5CD136" w14:textId="77777777" w:rsidR="00A86973" w:rsidRPr="000E0C15" w:rsidRDefault="00A86973" w:rsidP="005261A3">
      <w:pPr>
        <w:pStyle w:val="NormalWeb"/>
        <w:rPr>
          <w:rFonts w:ascii="Times New Roman" w:hAnsi="Times New Roman" w:cs="Times New Roman"/>
          <w:sz w:val="24"/>
        </w:rPr>
      </w:pPr>
      <w:r>
        <w:rPr>
          <w:rFonts w:ascii="Times New Roman" w:hAnsi="Times New Roman" w:cs="Times New Roman"/>
          <w:sz w:val="24"/>
        </w:rPr>
        <w:t xml:space="preserve">A statement of the Regulation’s compatibility with human rights is set out in </w:t>
      </w:r>
      <w:r w:rsidRPr="00A86973">
        <w:rPr>
          <w:rFonts w:ascii="Times New Roman" w:hAnsi="Times New Roman" w:cs="Times New Roman"/>
          <w:sz w:val="24"/>
          <w:u w:val="single"/>
        </w:rPr>
        <w:t>Attachment B</w:t>
      </w:r>
      <w:r>
        <w:rPr>
          <w:rFonts w:ascii="Times New Roman" w:hAnsi="Times New Roman" w:cs="Times New Roman"/>
          <w:sz w:val="24"/>
        </w:rPr>
        <w:t>.</w:t>
      </w:r>
    </w:p>
    <w:p w14:paraId="09D2D7A4" w14:textId="77777777" w:rsidR="000831C3" w:rsidRDefault="000831C3" w:rsidP="009D29EA">
      <w:pPr>
        <w:pStyle w:val="NormalWeb"/>
        <w:rPr>
          <w:rFonts w:ascii="Times New Roman" w:hAnsi="Times New Roman" w:cs="Times New Roman"/>
          <w:sz w:val="24"/>
        </w:rPr>
      </w:pPr>
      <w:r>
        <w:rPr>
          <w:rFonts w:ascii="Times New Roman" w:hAnsi="Times New Roman" w:cs="Times New Roman"/>
          <w:sz w:val="24"/>
        </w:rPr>
        <w:t xml:space="preserve">The Regulation </w:t>
      </w:r>
      <w:r w:rsidR="00A86973">
        <w:rPr>
          <w:rFonts w:ascii="Times New Roman" w:hAnsi="Times New Roman" w:cs="Times New Roman"/>
          <w:sz w:val="24"/>
        </w:rPr>
        <w:t>is</w:t>
      </w:r>
      <w:r>
        <w:rPr>
          <w:rFonts w:ascii="Times New Roman" w:hAnsi="Times New Roman" w:cs="Times New Roman"/>
          <w:sz w:val="24"/>
        </w:rPr>
        <w:t xml:space="preserve"> a legislative instrument for the purposes of the </w:t>
      </w:r>
      <w:r w:rsidRPr="000831C3">
        <w:rPr>
          <w:rFonts w:ascii="Times New Roman" w:hAnsi="Times New Roman" w:cs="Times New Roman"/>
          <w:i/>
          <w:sz w:val="24"/>
        </w:rPr>
        <w:t>Legislative Instruments Act 2003</w:t>
      </w:r>
      <w:r>
        <w:rPr>
          <w:rFonts w:ascii="Times New Roman" w:hAnsi="Times New Roman" w:cs="Times New Roman"/>
          <w:sz w:val="24"/>
        </w:rPr>
        <w:t>.</w:t>
      </w:r>
    </w:p>
    <w:p w14:paraId="78A76BF1" w14:textId="77777777" w:rsidR="000831C3" w:rsidRDefault="000831C3" w:rsidP="009D29EA">
      <w:pPr>
        <w:pStyle w:val="NormalWeb"/>
        <w:rPr>
          <w:rFonts w:ascii="Times New Roman" w:hAnsi="Times New Roman" w:cs="Times New Roman"/>
          <w:sz w:val="24"/>
        </w:rPr>
      </w:pPr>
      <w:r>
        <w:rPr>
          <w:rFonts w:ascii="Times New Roman" w:hAnsi="Times New Roman" w:cs="Times New Roman"/>
          <w:sz w:val="24"/>
        </w:rPr>
        <w:t>The Regulation commence</w:t>
      </w:r>
      <w:r w:rsidR="00A86973">
        <w:rPr>
          <w:rFonts w:ascii="Times New Roman" w:hAnsi="Times New Roman" w:cs="Times New Roman"/>
          <w:sz w:val="24"/>
        </w:rPr>
        <w:t>s</w:t>
      </w:r>
      <w:r>
        <w:rPr>
          <w:rFonts w:ascii="Times New Roman" w:hAnsi="Times New Roman" w:cs="Times New Roman"/>
          <w:sz w:val="24"/>
        </w:rPr>
        <w:t xml:space="preserve"> on 1 July 2013.</w:t>
      </w:r>
    </w:p>
    <w:p w14:paraId="49E4F3B0" w14:textId="77777777" w:rsidR="000831C3" w:rsidRDefault="000831C3" w:rsidP="009D29EA">
      <w:pPr>
        <w:pStyle w:val="NormalWeb"/>
        <w:rPr>
          <w:rFonts w:ascii="Times New Roman" w:hAnsi="Times New Roman" w:cs="Times New Roman"/>
          <w:sz w:val="24"/>
        </w:rPr>
      </w:pPr>
    </w:p>
    <w:p w14:paraId="6F65796E" w14:textId="77777777" w:rsidR="000831C3" w:rsidRDefault="00323C94" w:rsidP="00323C94">
      <w:pPr>
        <w:pStyle w:val="NormalWeb"/>
        <w:tabs>
          <w:tab w:val="left" w:pos="5670"/>
        </w:tabs>
        <w:ind w:left="5670" w:hanging="1134"/>
        <w:rPr>
          <w:rFonts w:ascii="Times New Roman" w:hAnsi="Times New Roman" w:cs="Times New Roman"/>
          <w:sz w:val="24"/>
        </w:rPr>
      </w:pPr>
      <w:r>
        <w:rPr>
          <w:rFonts w:ascii="Times New Roman" w:hAnsi="Times New Roman" w:cs="Times New Roman"/>
          <w:sz w:val="24"/>
        </w:rPr>
        <w:t>Authority:</w:t>
      </w:r>
      <w:r>
        <w:rPr>
          <w:rFonts w:ascii="Times New Roman" w:hAnsi="Times New Roman" w:cs="Times New Roman"/>
          <w:sz w:val="24"/>
        </w:rPr>
        <w:tab/>
      </w:r>
      <w:r w:rsidR="000831C3" w:rsidRPr="000831C3">
        <w:rPr>
          <w:rFonts w:ascii="Times New Roman" w:hAnsi="Times New Roman" w:cs="Times New Roman"/>
          <w:sz w:val="24"/>
        </w:rPr>
        <w:t xml:space="preserve">Subsection 353(1) of the </w:t>
      </w:r>
      <w:r w:rsidR="000831C3" w:rsidRPr="00323C94">
        <w:rPr>
          <w:rFonts w:ascii="Times New Roman" w:hAnsi="Times New Roman" w:cs="Times New Roman"/>
          <w:i/>
          <w:sz w:val="24"/>
        </w:rPr>
        <w:t>Superannuation Industry (Supervision) Act 1993</w:t>
      </w:r>
    </w:p>
    <w:p w14:paraId="22F070A4" w14:textId="77777777" w:rsidR="00200C7E" w:rsidRDefault="00200C7E">
      <w:pPr>
        <w:rPr>
          <w:color w:val="000000"/>
        </w:rPr>
      </w:pPr>
      <w:r>
        <w:br w:type="page"/>
      </w:r>
    </w:p>
    <w:p w14:paraId="7D1E0AD5" w14:textId="203689F3" w:rsidR="000831C3" w:rsidRPr="00200C7E" w:rsidRDefault="00200C7E" w:rsidP="00200C7E">
      <w:pPr>
        <w:pStyle w:val="NormalWeb"/>
        <w:jc w:val="right"/>
        <w:rPr>
          <w:rFonts w:ascii="Times New Roman" w:hAnsi="Times New Roman" w:cs="Times New Roman"/>
          <w:b/>
          <w:sz w:val="24"/>
          <w:u w:val="single"/>
        </w:rPr>
      </w:pPr>
      <w:r w:rsidRPr="00200C7E">
        <w:rPr>
          <w:rFonts w:ascii="Times New Roman" w:hAnsi="Times New Roman" w:cs="Times New Roman"/>
          <w:b/>
          <w:sz w:val="24"/>
          <w:u w:val="single"/>
        </w:rPr>
        <w:lastRenderedPageBreak/>
        <w:t>ATTACHMENT</w:t>
      </w:r>
      <w:r w:rsidR="0033070B">
        <w:rPr>
          <w:rFonts w:ascii="Times New Roman" w:hAnsi="Times New Roman" w:cs="Times New Roman"/>
          <w:b/>
          <w:sz w:val="24"/>
          <w:u w:val="single"/>
        </w:rPr>
        <w:t xml:space="preserve"> A</w:t>
      </w:r>
    </w:p>
    <w:p w14:paraId="0492839F" w14:textId="769D216D" w:rsidR="00200C7E" w:rsidRPr="00200C7E" w:rsidRDefault="00200C7E" w:rsidP="009D29EA">
      <w:pPr>
        <w:pStyle w:val="NormalWeb"/>
        <w:rPr>
          <w:rFonts w:ascii="Times New Roman" w:hAnsi="Times New Roman" w:cs="Times New Roman"/>
          <w:b/>
          <w:sz w:val="24"/>
          <w:u w:val="single"/>
        </w:rPr>
      </w:pPr>
      <w:r w:rsidRPr="00200C7E">
        <w:rPr>
          <w:rFonts w:ascii="Times New Roman" w:hAnsi="Times New Roman" w:cs="Times New Roman"/>
          <w:b/>
          <w:sz w:val="24"/>
          <w:u w:val="single"/>
        </w:rPr>
        <w:t>Details of the</w:t>
      </w:r>
      <w:r w:rsidR="009A57D7">
        <w:rPr>
          <w:rFonts w:ascii="Times New Roman" w:hAnsi="Times New Roman" w:cs="Times New Roman"/>
          <w:b/>
          <w:sz w:val="24"/>
          <w:u w:val="single"/>
        </w:rPr>
        <w:t xml:space="preserve"> </w:t>
      </w:r>
      <w:r w:rsidRPr="00200C7E">
        <w:rPr>
          <w:rFonts w:ascii="Times New Roman" w:hAnsi="Times New Roman" w:cs="Times New Roman"/>
          <w:b/>
          <w:i/>
          <w:sz w:val="24"/>
          <w:u w:val="single"/>
        </w:rPr>
        <w:t>Superannuation Legislation Amendment Regulation 2013</w:t>
      </w:r>
      <w:r w:rsidRPr="00200C7E">
        <w:rPr>
          <w:rFonts w:ascii="Times New Roman" w:hAnsi="Times New Roman" w:cs="Times New Roman"/>
          <w:b/>
          <w:sz w:val="24"/>
          <w:u w:val="single"/>
        </w:rPr>
        <w:t xml:space="preserve"> </w:t>
      </w:r>
      <w:r w:rsidR="009A57D7">
        <w:rPr>
          <w:rFonts w:ascii="Times New Roman" w:hAnsi="Times New Roman" w:cs="Times New Roman"/>
          <w:b/>
          <w:i/>
          <w:sz w:val="24"/>
          <w:u w:val="single"/>
        </w:rPr>
        <w:t>(No. 2</w:t>
      </w:r>
      <w:r w:rsidRPr="00200C7E">
        <w:rPr>
          <w:rFonts w:ascii="Times New Roman" w:hAnsi="Times New Roman" w:cs="Times New Roman"/>
          <w:b/>
          <w:i/>
          <w:sz w:val="24"/>
          <w:u w:val="single"/>
        </w:rPr>
        <w:t>)</w:t>
      </w:r>
    </w:p>
    <w:p w14:paraId="03D01001" w14:textId="77777777" w:rsidR="00200C7E" w:rsidRPr="00200C7E" w:rsidRDefault="00200C7E" w:rsidP="009D29EA">
      <w:pPr>
        <w:pStyle w:val="NormalWeb"/>
        <w:rPr>
          <w:rFonts w:ascii="Times New Roman" w:hAnsi="Times New Roman" w:cs="Times New Roman"/>
          <w:sz w:val="24"/>
          <w:u w:val="single"/>
        </w:rPr>
      </w:pPr>
      <w:r w:rsidRPr="00200C7E">
        <w:rPr>
          <w:rFonts w:ascii="Times New Roman" w:hAnsi="Times New Roman" w:cs="Times New Roman"/>
          <w:sz w:val="24"/>
          <w:u w:val="single"/>
        </w:rPr>
        <w:t>Section 1 – Name of Regulation</w:t>
      </w:r>
    </w:p>
    <w:p w14:paraId="6002B467" w14:textId="1FD1BCA9" w:rsidR="00200C7E" w:rsidRDefault="00200C7E" w:rsidP="009D29EA">
      <w:pPr>
        <w:pStyle w:val="NormalWeb"/>
        <w:rPr>
          <w:rFonts w:ascii="Times New Roman" w:hAnsi="Times New Roman" w:cs="Times New Roman"/>
          <w:sz w:val="24"/>
        </w:rPr>
      </w:pPr>
      <w:r>
        <w:rPr>
          <w:rFonts w:ascii="Times New Roman" w:hAnsi="Times New Roman" w:cs="Times New Roman"/>
          <w:sz w:val="24"/>
        </w:rPr>
        <w:t>This section provide</w:t>
      </w:r>
      <w:r w:rsidR="00F60316">
        <w:rPr>
          <w:rFonts w:ascii="Times New Roman" w:hAnsi="Times New Roman" w:cs="Times New Roman"/>
          <w:sz w:val="24"/>
        </w:rPr>
        <w:t>s</w:t>
      </w:r>
      <w:r>
        <w:rPr>
          <w:rFonts w:ascii="Times New Roman" w:hAnsi="Times New Roman" w:cs="Times New Roman"/>
          <w:sz w:val="24"/>
        </w:rPr>
        <w:t xml:space="preserve"> that the title of the Regulation is the </w:t>
      </w:r>
      <w:r w:rsidRPr="00200C7E">
        <w:rPr>
          <w:rFonts w:ascii="Times New Roman" w:hAnsi="Times New Roman" w:cs="Times New Roman"/>
          <w:i/>
          <w:sz w:val="24"/>
        </w:rPr>
        <w:t>Superannuation Legislation Am</w:t>
      </w:r>
      <w:r w:rsidR="009A57D7">
        <w:rPr>
          <w:rFonts w:ascii="Times New Roman" w:hAnsi="Times New Roman" w:cs="Times New Roman"/>
          <w:i/>
          <w:sz w:val="24"/>
        </w:rPr>
        <w:t>endment Regulation 2013 (No. 2</w:t>
      </w:r>
      <w:r w:rsidRPr="00200C7E">
        <w:rPr>
          <w:rFonts w:ascii="Times New Roman" w:hAnsi="Times New Roman" w:cs="Times New Roman"/>
          <w:i/>
          <w:sz w:val="24"/>
        </w:rPr>
        <w:t>)</w:t>
      </w:r>
      <w:r>
        <w:rPr>
          <w:rFonts w:ascii="Times New Roman" w:hAnsi="Times New Roman" w:cs="Times New Roman"/>
          <w:sz w:val="24"/>
        </w:rPr>
        <w:t>.</w:t>
      </w:r>
    </w:p>
    <w:p w14:paraId="62CFBC8A" w14:textId="77777777" w:rsidR="00200C7E" w:rsidRPr="00200C7E" w:rsidRDefault="00200C7E" w:rsidP="009D29EA">
      <w:pPr>
        <w:pStyle w:val="NormalWeb"/>
        <w:rPr>
          <w:rFonts w:ascii="Times New Roman" w:hAnsi="Times New Roman" w:cs="Times New Roman"/>
          <w:sz w:val="24"/>
          <w:u w:val="single"/>
        </w:rPr>
      </w:pPr>
      <w:r w:rsidRPr="00200C7E">
        <w:rPr>
          <w:rFonts w:ascii="Times New Roman" w:hAnsi="Times New Roman" w:cs="Times New Roman"/>
          <w:sz w:val="24"/>
          <w:u w:val="single"/>
        </w:rPr>
        <w:t>Section 2 – Commencement</w:t>
      </w:r>
    </w:p>
    <w:p w14:paraId="5680F444" w14:textId="6756EAEB" w:rsidR="00200C7E" w:rsidRDefault="00200C7E" w:rsidP="009D29EA">
      <w:pPr>
        <w:pStyle w:val="NormalWeb"/>
        <w:rPr>
          <w:rFonts w:ascii="Times New Roman" w:hAnsi="Times New Roman" w:cs="Times New Roman"/>
          <w:sz w:val="24"/>
        </w:rPr>
      </w:pPr>
      <w:r>
        <w:rPr>
          <w:rFonts w:ascii="Times New Roman" w:hAnsi="Times New Roman" w:cs="Times New Roman"/>
          <w:sz w:val="24"/>
        </w:rPr>
        <w:t>This section provide</w:t>
      </w:r>
      <w:r w:rsidR="00F60316">
        <w:rPr>
          <w:rFonts w:ascii="Times New Roman" w:hAnsi="Times New Roman" w:cs="Times New Roman"/>
          <w:sz w:val="24"/>
        </w:rPr>
        <w:t>s</w:t>
      </w:r>
      <w:r>
        <w:rPr>
          <w:rFonts w:ascii="Times New Roman" w:hAnsi="Times New Roman" w:cs="Times New Roman"/>
          <w:sz w:val="24"/>
        </w:rPr>
        <w:t xml:space="preserve"> for the Regulation to commence on 1 July 2013.</w:t>
      </w:r>
    </w:p>
    <w:p w14:paraId="2C27B164" w14:textId="77777777" w:rsidR="00200C7E" w:rsidRPr="00200C7E" w:rsidRDefault="00200C7E" w:rsidP="009D29EA">
      <w:pPr>
        <w:pStyle w:val="NormalWeb"/>
        <w:rPr>
          <w:rFonts w:ascii="Times New Roman" w:hAnsi="Times New Roman" w:cs="Times New Roman"/>
          <w:sz w:val="24"/>
          <w:u w:val="single"/>
        </w:rPr>
      </w:pPr>
      <w:r w:rsidRPr="00200C7E">
        <w:rPr>
          <w:rFonts w:ascii="Times New Roman" w:hAnsi="Times New Roman" w:cs="Times New Roman"/>
          <w:sz w:val="24"/>
          <w:u w:val="single"/>
        </w:rPr>
        <w:t>Section 3 – Authority</w:t>
      </w:r>
    </w:p>
    <w:p w14:paraId="09CD1742" w14:textId="1A11B332" w:rsidR="00200C7E" w:rsidRDefault="00200C7E" w:rsidP="009D29EA">
      <w:pPr>
        <w:pStyle w:val="NormalWeb"/>
        <w:rPr>
          <w:rFonts w:ascii="Times New Roman" w:hAnsi="Times New Roman" w:cs="Times New Roman"/>
          <w:sz w:val="24"/>
        </w:rPr>
      </w:pPr>
      <w:r>
        <w:rPr>
          <w:rFonts w:ascii="Times New Roman" w:hAnsi="Times New Roman" w:cs="Times New Roman"/>
          <w:sz w:val="24"/>
        </w:rPr>
        <w:t>This section provide</w:t>
      </w:r>
      <w:r w:rsidR="00F60316">
        <w:rPr>
          <w:rFonts w:ascii="Times New Roman" w:hAnsi="Times New Roman" w:cs="Times New Roman"/>
          <w:sz w:val="24"/>
        </w:rPr>
        <w:t>s</w:t>
      </w:r>
      <w:r>
        <w:rPr>
          <w:rFonts w:ascii="Times New Roman" w:hAnsi="Times New Roman" w:cs="Times New Roman"/>
          <w:sz w:val="24"/>
        </w:rPr>
        <w:t xml:space="preserve"> that the Regulation is made under the </w:t>
      </w:r>
      <w:r w:rsidRPr="00200C7E">
        <w:rPr>
          <w:rFonts w:ascii="Times New Roman" w:hAnsi="Times New Roman" w:cs="Times New Roman"/>
          <w:i/>
          <w:sz w:val="24"/>
        </w:rPr>
        <w:t>Superannuation Industry (Supervision) Act 1993</w:t>
      </w:r>
      <w:r>
        <w:rPr>
          <w:rFonts w:ascii="Times New Roman" w:hAnsi="Times New Roman" w:cs="Times New Roman"/>
          <w:sz w:val="24"/>
        </w:rPr>
        <w:t>.</w:t>
      </w:r>
    </w:p>
    <w:p w14:paraId="1C01EEDC" w14:textId="77777777" w:rsidR="00200C7E" w:rsidRDefault="00200C7E" w:rsidP="009D29EA">
      <w:pPr>
        <w:pStyle w:val="NormalWeb"/>
        <w:rPr>
          <w:rFonts w:ascii="Times New Roman" w:hAnsi="Times New Roman" w:cs="Times New Roman"/>
          <w:sz w:val="24"/>
          <w:u w:val="single"/>
        </w:rPr>
      </w:pPr>
      <w:r w:rsidRPr="00200C7E">
        <w:rPr>
          <w:rFonts w:ascii="Times New Roman" w:hAnsi="Times New Roman" w:cs="Times New Roman"/>
          <w:sz w:val="24"/>
          <w:u w:val="single"/>
        </w:rPr>
        <w:t>Section 4 – Schedules</w:t>
      </w:r>
    </w:p>
    <w:p w14:paraId="0C7F29B1" w14:textId="056F297F" w:rsidR="0033070B" w:rsidRPr="0033070B" w:rsidRDefault="0033070B" w:rsidP="009D29EA">
      <w:pPr>
        <w:pStyle w:val="NormalWeb"/>
        <w:rPr>
          <w:rFonts w:ascii="Times New Roman" w:hAnsi="Times New Roman" w:cs="Times New Roman"/>
          <w:b/>
          <w:sz w:val="24"/>
          <w:u w:val="single"/>
        </w:rPr>
      </w:pPr>
      <w:r w:rsidRPr="0033070B">
        <w:rPr>
          <w:rFonts w:ascii="Times New Roman" w:hAnsi="Times New Roman" w:cs="Times New Roman"/>
          <w:b/>
          <w:sz w:val="24"/>
          <w:u w:val="single"/>
        </w:rPr>
        <w:t>Schedule 1</w:t>
      </w:r>
    </w:p>
    <w:p w14:paraId="11352406" w14:textId="77777777" w:rsidR="00EA6115" w:rsidRPr="00EA6115" w:rsidRDefault="00EA6115" w:rsidP="00EA6115">
      <w:pPr>
        <w:pStyle w:val="NormalWeb"/>
        <w:rPr>
          <w:rFonts w:ascii="Times New Roman" w:hAnsi="Times New Roman" w:cs="Times New Roman"/>
          <w:b/>
          <w:sz w:val="24"/>
        </w:rPr>
      </w:pPr>
      <w:r w:rsidRPr="00EA6115">
        <w:rPr>
          <w:rFonts w:ascii="Times New Roman" w:hAnsi="Times New Roman" w:cs="Times New Roman"/>
          <w:b/>
          <w:sz w:val="24"/>
        </w:rPr>
        <w:t>Item [1]</w:t>
      </w:r>
    </w:p>
    <w:p w14:paraId="3EB3B333" w14:textId="77777777" w:rsidR="00EA6115" w:rsidRPr="00EA6115" w:rsidRDefault="00EA6115" w:rsidP="00EA6115">
      <w:pPr>
        <w:pStyle w:val="NormalWeb"/>
        <w:rPr>
          <w:rFonts w:ascii="Times New Roman" w:hAnsi="Times New Roman" w:cs="Times New Roman"/>
          <w:sz w:val="24"/>
        </w:rPr>
      </w:pPr>
      <w:r w:rsidRPr="00EA6115">
        <w:rPr>
          <w:rFonts w:ascii="Times New Roman" w:hAnsi="Times New Roman" w:cs="Times New Roman"/>
          <w:sz w:val="24"/>
        </w:rPr>
        <w:t xml:space="preserve">Item [1] omits the definition of an excluded member from </w:t>
      </w:r>
      <w:proofErr w:type="spellStart"/>
      <w:r w:rsidRPr="00EA6115">
        <w:rPr>
          <w:rFonts w:ascii="Times New Roman" w:hAnsi="Times New Roman" w:cs="Times New Roman"/>
          <w:sz w:val="24"/>
        </w:rPr>
        <w:t>Subregulation</w:t>
      </w:r>
      <w:proofErr w:type="spellEnd"/>
      <w:r w:rsidRPr="00EA6115">
        <w:rPr>
          <w:rFonts w:ascii="Times New Roman" w:hAnsi="Times New Roman" w:cs="Times New Roman"/>
          <w:sz w:val="24"/>
        </w:rPr>
        <w:t xml:space="preserve"> 1.03(1), as it only applies to the member protection standards, which will be removed by later items.</w:t>
      </w:r>
    </w:p>
    <w:p w14:paraId="0EEE8E23" w14:textId="77777777" w:rsidR="00EA6115" w:rsidRPr="00EA6115" w:rsidRDefault="00EA6115" w:rsidP="00EA6115">
      <w:pPr>
        <w:pStyle w:val="NormalWeb"/>
        <w:rPr>
          <w:rFonts w:ascii="Times New Roman" w:hAnsi="Times New Roman" w:cs="Times New Roman"/>
          <w:b/>
          <w:sz w:val="24"/>
        </w:rPr>
      </w:pPr>
      <w:r w:rsidRPr="00EA6115">
        <w:rPr>
          <w:rFonts w:ascii="Times New Roman" w:hAnsi="Times New Roman" w:cs="Times New Roman"/>
          <w:b/>
          <w:sz w:val="24"/>
        </w:rPr>
        <w:t>Item [2]</w:t>
      </w:r>
    </w:p>
    <w:p w14:paraId="70CF89B0" w14:textId="77777777" w:rsidR="00EA6115" w:rsidRPr="00EA6115" w:rsidRDefault="00EA6115" w:rsidP="00EA6115">
      <w:pPr>
        <w:pStyle w:val="NormalWeb"/>
        <w:rPr>
          <w:rFonts w:ascii="Times New Roman" w:hAnsi="Times New Roman" w:cs="Times New Roman"/>
          <w:sz w:val="24"/>
        </w:rPr>
      </w:pPr>
      <w:r w:rsidRPr="00EA6115">
        <w:rPr>
          <w:rFonts w:ascii="Times New Roman" w:hAnsi="Times New Roman" w:cs="Times New Roman"/>
          <w:sz w:val="24"/>
        </w:rPr>
        <w:t xml:space="preserve">Item [2] omits the definition of member-protection standards from </w:t>
      </w:r>
      <w:proofErr w:type="spellStart"/>
      <w:r w:rsidRPr="00EA6115">
        <w:rPr>
          <w:rFonts w:ascii="Times New Roman" w:hAnsi="Times New Roman" w:cs="Times New Roman"/>
          <w:sz w:val="24"/>
        </w:rPr>
        <w:t>Subregulation</w:t>
      </w:r>
      <w:proofErr w:type="spellEnd"/>
      <w:r w:rsidRPr="00EA6115">
        <w:rPr>
          <w:rFonts w:ascii="Times New Roman" w:hAnsi="Times New Roman" w:cs="Times New Roman"/>
          <w:sz w:val="24"/>
        </w:rPr>
        <w:t xml:space="preserve"> 1.03(1), as it only applies to the member protection standards.</w:t>
      </w:r>
    </w:p>
    <w:p w14:paraId="64E20EE2" w14:textId="77777777" w:rsidR="00EA6115" w:rsidRPr="00EA6115" w:rsidRDefault="00EA6115" w:rsidP="00EA6115">
      <w:pPr>
        <w:pStyle w:val="NormalWeb"/>
        <w:rPr>
          <w:rFonts w:ascii="Times New Roman" w:hAnsi="Times New Roman" w:cs="Times New Roman"/>
          <w:b/>
          <w:sz w:val="24"/>
        </w:rPr>
      </w:pPr>
      <w:r w:rsidRPr="00EA6115">
        <w:rPr>
          <w:rFonts w:ascii="Times New Roman" w:hAnsi="Times New Roman" w:cs="Times New Roman"/>
          <w:b/>
          <w:sz w:val="24"/>
        </w:rPr>
        <w:t>Item [3]</w:t>
      </w:r>
    </w:p>
    <w:p w14:paraId="4F61EE29" w14:textId="77777777" w:rsidR="00EA6115" w:rsidRPr="00EA6115" w:rsidRDefault="00EA6115" w:rsidP="00EA6115">
      <w:pPr>
        <w:pStyle w:val="NormalWeb"/>
        <w:rPr>
          <w:rFonts w:ascii="Times New Roman" w:hAnsi="Times New Roman" w:cs="Times New Roman"/>
          <w:sz w:val="24"/>
        </w:rPr>
      </w:pPr>
      <w:r w:rsidRPr="00EA6115">
        <w:rPr>
          <w:rFonts w:ascii="Times New Roman" w:hAnsi="Times New Roman" w:cs="Times New Roman"/>
          <w:sz w:val="24"/>
        </w:rPr>
        <w:t>Item [3] omits Regulation 1.03B which provides the meaning of a protected member.  A protected member is a member of a superannuation fund with a balance of less than $1000.  The definition of a protected member is relevant only in relation to the member protection standards.</w:t>
      </w:r>
    </w:p>
    <w:p w14:paraId="7AFA709C" w14:textId="77777777" w:rsidR="00EA6115" w:rsidRPr="00EA6115" w:rsidRDefault="00EA6115" w:rsidP="00EA6115">
      <w:pPr>
        <w:pStyle w:val="NormalWeb"/>
        <w:rPr>
          <w:rFonts w:ascii="Times New Roman" w:hAnsi="Times New Roman" w:cs="Times New Roman"/>
          <w:b/>
          <w:sz w:val="24"/>
        </w:rPr>
      </w:pPr>
      <w:r w:rsidRPr="00EA6115">
        <w:rPr>
          <w:rFonts w:ascii="Times New Roman" w:hAnsi="Times New Roman" w:cs="Times New Roman"/>
          <w:b/>
          <w:sz w:val="24"/>
        </w:rPr>
        <w:t>Item [4]</w:t>
      </w:r>
    </w:p>
    <w:p w14:paraId="74BF0914" w14:textId="77777777" w:rsidR="00EA6115" w:rsidRPr="00EA6115" w:rsidRDefault="00EA6115" w:rsidP="00EA6115">
      <w:pPr>
        <w:pStyle w:val="NormalWeb"/>
        <w:rPr>
          <w:rFonts w:ascii="Times New Roman" w:hAnsi="Times New Roman" w:cs="Times New Roman"/>
          <w:sz w:val="24"/>
        </w:rPr>
      </w:pPr>
      <w:r w:rsidRPr="00EA6115">
        <w:rPr>
          <w:rFonts w:ascii="Times New Roman" w:hAnsi="Times New Roman" w:cs="Times New Roman"/>
          <w:sz w:val="24"/>
        </w:rPr>
        <w:t xml:space="preserve">Item [4] </w:t>
      </w:r>
      <w:r>
        <w:rPr>
          <w:rFonts w:ascii="Times New Roman" w:hAnsi="Times New Roman" w:cs="Times New Roman"/>
          <w:sz w:val="24"/>
        </w:rPr>
        <w:t>replaces</w:t>
      </w:r>
      <w:r w:rsidRPr="00EA6115">
        <w:rPr>
          <w:rFonts w:ascii="Times New Roman" w:hAnsi="Times New Roman" w:cs="Times New Roman"/>
          <w:sz w:val="24"/>
        </w:rPr>
        <w:t xml:space="preserve"> the note from Regulation 5.01B.  This note provides an example of how </w:t>
      </w:r>
      <w:r w:rsidR="00E84AE4">
        <w:rPr>
          <w:rFonts w:ascii="Times New Roman" w:hAnsi="Times New Roman" w:cs="Times New Roman"/>
          <w:sz w:val="24"/>
        </w:rPr>
        <w:t xml:space="preserve">a </w:t>
      </w:r>
      <w:r w:rsidRPr="00EA6115">
        <w:rPr>
          <w:rFonts w:ascii="Times New Roman" w:hAnsi="Times New Roman" w:cs="Times New Roman"/>
          <w:sz w:val="24"/>
        </w:rPr>
        <w:t>superannuation fund</w:t>
      </w:r>
      <w:r w:rsidR="00E84AE4">
        <w:rPr>
          <w:rFonts w:ascii="Times New Roman" w:hAnsi="Times New Roman" w:cs="Times New Roman"/>
          <w:sz w:val="24"/>
        </w:rPr>
        <w:t xml:space="preserve"> trustee</w:t>
      </w:r>
      <w:r w:rsidRPr="00EA6115">
        <w:rPr>
          <w:rFonts w:ascii="Times New Roman" w:hAnsi="Times New Roman" w:cs="Times New Roman"/>
          <w:sz w:val="24"/>
        </w:rPr>
        <w:t xml:space="preserve"> can provide greater member protection than the regulation requires.</w:t>
      </w:r>
    </w:p>
    <w:p w14:paraId="5FCC4092" w14:textId="77777777" w:rsidR="00EA6115" w:rsidRPr="00EA6115" w:rsidRDefault="00EA6115" w:rsidP="00EA6115">
      <w:pPr>
        <w:pStyle w:val="NormalWeb"/>
        <w:rPr>
          <w:rFonts w:ascii="Times New Roman" w:hAnsi="Times New Roman" w:cs="Times New Roman"/>
          <w:b/>
          <w:sz w:val="24"/>
        </w:rPr>
      </w:pPr>
      <w:r w:rsidRPr="00EA6115">
        <w:rPr>
          <w:rFonts w:ascii="Times New Roman" w:hAnsi="Times New Roman" w:cs="Times New Roman"/>
          <w:b/>
          <w:sz w:val="24"/>
        </w:rPr>
        <w:t>Item [5]</w:t>
      </w:r>
    </w:p>
    <w:p w14:paraId="39D60811" w14:textId="77777777" w:rsidR="00EA6115" w:rsidRPr="00EA6115" w:rsidRDefault="00EA6115" w:rsidP="00EA6115">
      <w:pPr>
        <w:pStyle w:val="NormalWeb"/>
        <w:rPr>
          <w:rFonts w:ascii="Times New Roman" w:hAnsi="Times New Roman" w:cs="Times New Roman"/>
          <w:sz w:val="24"/>
        </w:rPr>
      </w:pPr>
      <w:r w:rsidRPr="00EA6115">
        <w:rPr>
          <w:rFonts w:ascii="Times New Roman" w:hAnsi="Times New Roman" w:cs="Times New Roman"/>
          <w:sz w:val="24"/>
        </w:rPr>
        <w:t xml:space="preserve">Item [5] omits the words ‘the member-protection standards and’ from </w:t>
      </w:r>
      <w:proofErr w:type="spellStart"/>
      <w:r w:rsidRPr="00EA6115">
        <w:rPr>
          <w:rFonts w:ascii="Times New Roman" w:hAnsi="Times New Roman" w:cs="Times New Roman"/>
          <w:sz w:val="24"/>
        </w:rPr>
        <w:t>Subregulation</w:t>
      </w:r>
      <w:proofErr w:type="spellEnd"/>
      <w:r w:rsidRPr="00EA6115">
        <w:rPr>
          <w:rFonts w:ascii="Times New Roman" w:hAnsi="Times New Roman" w:cs="Times New Roman"/>
          <w:sz w:val="24"/>
        </w:rPr>
        <w:t xml:space="preserve"> 5.02(3).</w:t>
      </w:r>
    </w:p>
    <w:p w14:paraId="630044A6" w14:textId="77777777" w:rsidR="00EA6115" w:rsidRPr="00EA6115" w:rsidRDefault="00EA6115" w:rsidP="00EA6115">
      <w:pPr>
        <w:pStyle w:val="NormalWeb"/>
        <w:keepNext/>
        <w:keepLines/>
        <w:rPr>
          <w:rFonts w:ascii="Times New Roman" w:hAnsi="Times New Roman" w:cs="Times New Roman"/>
          <w:b/>
          <w:sz w:val="24"/>
        </w:rPr>
      </w:pPr>
      <w:r w:rsidRPr="00EA6115">
        <w:rPr>
          <w:rFonts w:ascii="Times New Roman" w:hAnsi="Times New Roman" w:cs="Times New Roman"/>
          <w:b/>
          <w:sz w:val="24"/>
        </w:rPr>
        <w:lastRenderedPageBreak/>
        <w:t>Item [6]</w:t>
      </w:r>
    </w:p>
    <w:p w14:paraId="1C56714B" w14:textId="77777777" w:rsidR="00EA6115" w:rsidRPr="00EA6115" w:rsidRDefault="00EA6115" w:rsidP="00EA6115">
      <w:pPr>
        <w:pStyle w:val="NormalWeb"/>
        <w:rPr>
          <w:rFonts w:ascii="Times New Roman" w:hAnsi="Times New Roman" w:cs="Times New Roman"/>
          <w:sz w:val="24"/>
        </w:rPr>
      </w:pPr>
      <w:r w:rsidRPr="00EA6115">
        <w:rPr>
          <w:rFonts w:ascii="Times New Roman" w:hAnsi="Times New Roman" w:cs="Times New Roman"/>
          <w:sz w:val="24"/>
        </w:rPr>
        <w:t>Item [6] omits Regulation 5.02A, which defines what is meant by ‘fair and reasonable’ in the member protection standards.</w:t>
      </w:r>
    </w:p>
    <w:p w14:paraId="3B450DAF" w14:textId="77777777" w:rsidR="00EA6115" w:rsidRPr="00EA6115" w:rsidRDefault="00EA6115" w:rsidP="00EA6115">
      <w:pPr>
        <w:pStyle w:val="NormalWeb"/>
        <w:rPr>
          <w:rFonts w:ascii="Times New Roman" w:hAnsi="Times New Roman" w:cs="Times New Roman"/>
          <w:b/>
          <w:sz w:val="24"/>
        </w:rPr>
      </w:pPr>
      <w:r w:rsidRPr="00EA6115">
        <w:rPr>
          <w:rFonts w:ascii="Times New Roman" w:hAnsi="Times New Roman" w:cs="Times New Roman"/>
          <w:b/>
          <w:sz w:val="24"/>
        </w:rPr>
        <w:t>Item [7]</w:t>
      </w:r>
    </w:p>
    <w:p w14:paraId="632AB855" w14:textId="77777777" w:rsidR="00EA6115" w:rsidRPr="00EA6115" w:rsidRDefault="00EA6115" w:rsidP="00EA6115">
      <w:pPr>
        <w:pStyle w:val="NormalWeb"/>
        <w:rPr>
          <w:rFonts w:ascii="Times New Roman" w:hAnsi="Times New Roman" w:cs="Times New Roman"/>
          <w:sz w:val="24"/>
        </w:rPr>
      </w:pPr>
      <w:r w:rsidRPr="00EA6115">
        <w:rPr>
          <w:rFonts w:ascii="Times New Roman" w:hAnsi="Times New Roman" w:cs="Times New Roman"/>
          <w:sz w:val="24"/>
        </w:rPr>
        <w:t xml:space="preserve">Item [7] omits ‘the member-protection standards,’ from </w:t>
      </w:r>
      <w:proofErr w:type="spellStart"/>
      <w:r w:rsidRPr="00EA6115">
        <w:rPr>
          <w:rFonts w:ascii="Times New Roman" w:hAnsi="Times New Roman" w:cs="Times New Roman"/>
          <w:sz w:val="24"/>
        </w:rPr>
        <w:t>Subregulation</w:t>
      </w:r>
      <w:proofErr w:type="spellEnd"/>
      <w:r w:rsidRPr="00EA6115">
        <w:rPr>
          <w:rFonts w:ascii="Times New Roman" w:hAnsi="Times New Roman" w:cs="Times New Roman"/>
          <w:sz w:val="24"/>
        </w:rPr>
        <w:t xml:space="preserve"> 5.03(2). </w:t>
      </w:r>
    </w:p>
    <w:p w14:paraId="78EE72D6" w14:textId="77777777" w:rsidR="00EA6115" w:rsidRPr="00EA6115" w:rsidRDefault="00EA6115" w:rsidP="00EA6115">
      <w:pPr>
        <w:pStyle w:val="NormalWeb"/>
        <w:rPr>
          <w:rFonts w:ascii="Times New Roman" w:hAnsi="Times New Roman" w:cs="Times New Roman"/>
          <w:b/>
          <w:sz w:val="24"/>
        </w:rPr>
      </w:pPr>
      <w:r w:rsidRPr="00EA6115">
        <w:rPr>
          <w:rFonts w:ascii="Times New Roman" w:hAnsi="Times New Roman" w:cs="Times New Roman"/>
          <w:b/>
          <w:sz w:val="24"/>
        </w:rPr>
        <w:t>Item [8]</w:t>
      </w:r>
    </w:p>
    <w:p w14:paraId="6EB87366" w14:textId="77777777" w:rsidR="00EA6115" w:rsidRPr="00EA6115" w:rsidRDefault="00EA6115" w:rsidP="00EA6115">
      <w:pPr>
        <w:pStyle w:val="NormalWeb"/>
        <w:rPr>
          <w:rFonts w:ascii="Times New Roman" w:hAnsi="Times New Roman" w:cs="Times New Roman"/>
          <w:sz w:val="24"/>
        </w:rPr>
      </w:pPr>
      <w:r w:rsidRPr="00EA6115">
        <w:rPr>
          <w:rFonts w:ascii="Times New Roman" w:hAnsi="Times New Roman" w:cs="Times New Roman"/>
          <w:sz w:val="24"/>
        </w:rPr>
        <w:t>Item [8] omits Division 5.5, which provides the member-protection standards.</w:t>
      </w:r>
    </w:p>
    <w:p w14:paraId="35301368" w14:textId="77777777" w:rsidR="00EA6115" w:rsidRPr="00EA6115" w:rsidRDefault="00EA6115" w:rsidP="00EA6115">
      <w:pPr>
        <w:pStyle w:val="NormalWeb"/>
        <w:rPr>
          <w:rFonts w:ascii="Times New Roman" w:hAnsi="Times New Roman" w:cs="Times New Roman"/>
          <w:b/>
          <w:sz w:val="24"/>
        </w:rPr>
      </w:pPr>
      <w:r w:rsidRPr="00EA6115">
        <w:rPr>
          <w:rFonts w:ascii="Times New Roman" w:hAnsi="Times New Roman" w:cs="Times New Roman"/>
          <w:b/>
          <w:sz w:val="24"/>
        </w:rPr>
        <w:t>Item [9]</w:t>
      </w:r>
    </w:p>
    <w:p w14:paraId="1065404B" w14:textId="77777777" w:rsidR="00EA6115" w:rsidRPr="00EA6115" w:rsidRDefault="00EA6115" w:rsidP="00EA6115">
      <w:pPr>
        <w:pStyle w:val="NormalWeb"/>
        <w:rPr>
          <w:rFonts w:ascii="Times New Roman" w:hAnsi="Times New Roman" w:cs="Times New Roman"/>
          <w:sz w:val="24"/>
        </w:rPr>
      </w:pPr>
      <w:r w:rsidRPr="00EA6115">
        <w:rPr>
          <w:rFonts w:ascii="Times New Roman" w:hAnsi="Times New Roman" w:cs="Times New Roman"/>
          <w:sz w:val="24"/>
        </w:rPr>
        <w:t>Item [9] omits Division 5.6, concerning existing personal superannuation members.  This Division serves no purpose without the member protection standards.</w:t>
      </w:r>
    </w:p>
    <w:p w14:paraId="176049FA" w14:textId="77777777" w:rsidR="00EA6115" w:rsidRPr="00EA6115" w:rsidRDefault="00EA6115" w:rsidP="00EA6115">
      <w:pPr>
        <w:pStyle w:val="NormalWeb"/>
        <w:rPr>
          <w:rFonts w:ascii="Times New Roman" w:hAnsi="Times New Roman" w:cs="Times New Roman"/>
          <w:b/>
          <w:sz w:val="24"/>
        </w:rPr>
      </w:pPr>
      <w:r w:rsidRPr="00EA6115">
        <w:rPr>
          <w:rFonts w:ascii="Times New Roman" w:hAnsi="Times New Roman" w:cs="Times New Roman"/>
          <w:b/>
          <w:sz w:val="24"/>
        </w:rPr>
        <w:t>Item [10]</w:t>
      </w:r>
    </w:p>
    <w:p w14:paraId="6402AF4B" w14:textId="77777777" w:rsidR="00EA6115" w:rsidRPr="00EA6115" w:rsidRDefault="00EA6115" w:rsidP="00EA6115">
      <w:pPr>
        <w:pStyle w:val="NormalWeb"/>
        <w:rPr>
          <w:rFonts w:ascii="Times New Roman" w:hAnsi="Times New Roman" w:cs="Times New Roman"/>
          <w:sz w:val="24"/>
        </w:rPr>
      </w:pPr>
      <w:r w:rsidRPr="00EA6115">
        <w:rPr>
          <w:rFonts w:ascii="Times New Roman" w:hAnsi="Times New Roman" w:cs="Times New Roman"/>
          <w:sz w:val="24"/>
        </w:rPr>
        <w:t xml:space="preserve">Item [10] removes Paragraph 10.06(3)(a), which references protected members, and substitutes Paragraph 10.06(3)(b) as </w:t>
      </w:r>
      <w:proofErr w:type="spellStart"/>
      <w:r w:rsidRPr="00EA6115">
        <w:rPr>
          <w:rFonts w:ascii="Times New Roman" w:hAnsi="Times New Roman" w:cs="Times New Roman"/>
          <w:sz w:val="24"/>
        </w:rPr>
        <w:t>Subregulation</w:t>
      </w:r>
      <w:proofErr w:type="spellEnd"/>
      <w:r w:rsidRPr="00EA6115">
        <w:rPr>
          <w:rFonts w:ascii="Times New Roman" w:hAnsi="Times New Roman" w:cs="Times New Roman"/>
          <w:sz w:val="24"/>
        </w:rPr>
        <w:t xml:space="preserve"> 10.06(3).</w:t>
      </w:r>
    </w:p>
    <w:p w14:paraId="560BC848" w14:textId="77777777" w:rsidR="00200C7E" w:rsidRDefault="00200C7E" w:rsidP="009D29EA">
      <w:pPr>
        <w:pStyle w:val="NormalWeb"/>
        <w:rPr>
          <w:rFonts w:ascii="Times New Roman" w:hAnsi="Times New Roman" w:cs="Times New Roman"/>
          <w:sz w:val="24"/>
        </w:rPr>
      </w:pPr>
    </w:p>
    <w:p w14:paraId="1D0F4B8C" w14:textId="77777777" w:rsidR="002F1B23" w:rsidRDefault="002F1B23">
      <w:pPr>
        <w:rPr>
          <w:color w:val="000000"/>
        </w:rPr>
      </w:pPr>
      <w:r>
        <w:br w:type="page"/>
      </w:r>
    </w:p>
    <w:p w14:paraId="6ED20815" w14:textId="60C76AF2" w:rsidR="002F1B23" w:rsidRPr="00AE3FDF" w:rsidRDefault="00AE3FDF" w:rsidP="00AE3FDF">
      <w:pPr>
        <w:pStyle w:val="NormalWeb"/>
        <w:jc w:val="right"/>
        <w:rPr>
          <w:rFonts w:ascii="Times New Roman" w:hAnsi="Times New Roman" w:cs="Times New Roman"/>
          <w:b/>
          <w:sz w:val="24"/>
          <w:u w:val="single"/>
        </w:rPr>
      </w:pPr>
      <w:r w:rsidRPr="00200C7E">
        <w:rPr>
          <w:rFonts w:ascii="Times New Roman" w:hAnsi="Times New Roman" w:cs="Times New Roman"/>
          <w:b/>
          <w:sz w:val="24"/>
          <w:u w:val="single"/>
        </w:rPr>
        <w:lastRenderedPageBreak/>
        <w:t>ATTACHMENT</w:t>
      </w:r>
      <w:r>
        <w:rPr>
          <w:rFonts w:ascii="Times New Roman" w:hAnsi="Times New Roman" w:cs="Times New Roman"/>
          <w:b/>
          <w:sz w:val="24"/>
          <w:u w:val="single"/>
        </w:rPr>
        <w:t xml:space="preserve"> B</w:t>
      </w:r>
      <w:bookmarkStart w:id="1" w:name="_GoBack"/>
      <w:bookmarkEnd w:id="1"/>
    </w:p>
    <w:p w14:paraId="0A8CFFC0" w14:textId="77777777" w:rsidR="002F1B23" w:rsidRDefault="002F1B23" w:rsidP="002F1B23">
      <w:pPr>
        <w:jc w:val="center"/>
        <w:rPr>
          <w:szCs w:val="24"/>
        </w:rPr>
      </w:pPr>
      <w:r>
        <w:rPr>
          <w:b/>
          <w:bCs/>
          <w:sz w:val="28"/>
          <w:szCs w:val="28"/>
        </w:rPr>
        <w:t>Statement of Compatibility with Human Rights</w:t>
      </w:r>
    </w:p>
    <w:p w14:paraId="5E3C0E70" w14:textId="77777777" w:rsidR="002F1B23" w:rsidRDefault="002F1B23" w:rsidP="002F1B23">
      <w:pPr>
        <w:spacing w:before="120" w:after="120"/>
        <w:jc w:val="center"/>
        <w:rPr>
          <w:szCs w:val="24"/>
        </w:rPr>
      </w:pPr>
      <w:r>
        <w:rPr>
          <w:i/>
          <w:iCs/>
          <w:szCs w:val="24"/>
        </w:rPr>
        <w:t>Prepared in accordance with Part 3 of the Human Rights (Parliamentary Scrutiny) Act 2011</w:t>
      </w:r>
    </w:p>
    <w:p w14:paraId="4102C68A" w14:textId="52976E4E" w:rsidR="002F1B23" w:rsidRDefault="002F1B23" w:rsidP="002F1B23">
      <w:pPr>
        <w:spacing w:before="120" w:after="120"/>
        <w:jc w:val="center"/>
        <w:rPr>
          <w:b/>
          <w:bCs/>
          <w:szCs w:val="24"/>
        </w:rPr>
      </w:pPr>
      <w:r>
        <w:rPr>
          <w:b/>
          <w:bCs/>
          <w:szCs w:val="24"/>
        </w:rPr>
        <w:t>Superannuation Industry (Superv</w:t>
      </w:r>
      <w:r w:rsidR="009A57D7">
        <w:rPr>
          <w:b/>
          <w:bCs/>
          <w:szCs w:val="24"/>
        </w:rPr>
        <w:t>ision) Amendment Regulation 2013</w:t>
      </w:r>
      <w:r>
        <w:rPr>
          <w:b/>
          <w:bCs/>
          <w:szCs w:val="24"/>
        </w:rPr>
        <w:t xml:space="preserve"> (No. </w:t>
      </w:r>
      <w:r w:rsidR="009A57D7">
        <w:rPr>
          <w:b/>
          <w:bCs/>
          <w:szCs w:val="24"/>
        </w:rPr>
        <w:t>2</w:t>
      </w:r>
      <w:r>
        <w:rPr>
          <w:b/>
          <w:bCs/>
          <w:szCs w:val="24"/>
        </w:rPr>
        <w:t>)</w:t>
      </w:r>
    </w:p>
    <w:p w14:paraId="22876C88" w14:textId="77777777" w:rsidR="002F1B23" w:rsidRDefault="002F1B23" w:rsidP="002F1B23">
      <w:pPr>
        <w:spacing w:before="120" w:after="120"/>
        <w:rPr>
          <w:szCs w:val="24"/>
        </w:rPr>
      </w:pPr>
      <w:r>
        <w:rPr>
          <w:szCs w:val="24"/>
        </w:rPr>
        <w:t xml:space="preserve">This Legislative Instrument is compatible with the human rights and freedoms recognised or declared in the international instruments listed in section 3 of the </w:t>
      </w:r>
      <w:r>
        <w:rPr>
          <w:i/>
          <w:iCs/>
          <w:szCs w:val="24"/>
        </w:rPr>
        <w:t>Human Rights (Parliamentary Scrutiny) Act 2011</w:t>
      </w:r>
      <w:r>
        <w:rPr>
          <w:szCs w:val="24"/>
        </w:rPr>
        <w:t>.</w:t>
      </w:r>
    </w:p>
    <w:p w14:paraId="405B736D" w14:textId="77777777" w:rsidR="002F1B23" w:rsidRDefault="002F1B23" w:rsidP="002F1B23">
      <w:pPr>
        <w:spacing w:before="120" w:after="120"/>
        <w:jc w:val="both"/>
        <w:rPr>
          <w:szCs w:val="24"/>
        </w:rPr>
      </w:pPr>
      <w:r>
        <w:rPr>
          <w:b/>
          <w:bCs/>
          <w:szCs w:val="24"/>
        </w:rPr>
        <w:t>Overview of the Legislative Instrument</w:t>
      </w:r>
    </w:p>
    <w:p w14:paraId="0F67E428" w14:textId="77777777" w:rsidR="002F1B23" w:rsidRDefault="002F1B23" w:rsidP="002F1B23">
      <w:pPr>
        <w:spacing w:before="100" w:beforeAutospacing="1" w:after="240"/>
        <w:rPr>
          <w:szCs w:val="24"/>
        </w:rPr>
      </w:pPr>
      <w:r>
        <w:rPr>
          <w:szCs w:val="24"/>
        </w:rPr>
        <w:t xml:space="preserve">The purpose of the Legislative Instrument is to </w:t>
      </w:r>
      <w:r w:rsidRPr="000E0C15">
        <w:t>repeal the member protection standards</w:t>
      </w:r>
      <w:r>
        <w:t xml:space="preserve"> in the </w:t>
      </w:r>
      <w:r w:rsidRPr="005261A3">
        <w:rPr>
          <w:i/>
        </w:rPr>
        <w:t>Superannuation Industry (Supervision) Regulations 1994</w:t>
      </w:r>
      <w:r>
        <w:rPr>
          <w:szCs w:val="24"/>
        </w:rPr>
        <w:t xml:space="preserve">.  </w:t>
      </w:r>
    </w:p>
    <w:p w14:paraId="1FA897EB" w14:textId="77777777" w:rsidR="00BE3790" w:rsidRPr="000E0C15" w:rsidRDefault="00BE3790" w:rsidP="00BE3790">
      <w:pPr>
        <w:pStyle w:val="NormalWeb"/>
        <w:rPr>
          <w:rFonts w:ascii="Times New Roman" w:hAnsi="Times New Roman" w:cs="Times New Roman"/>
          <w:sz w:val="24"/>
        </w:rPr>
      </w:pPr>
      <w:r w:rsidRPr="000E0C15">
        <w:rPr>
          <w:rFonts w:ascii="Times New Roman" w:hAnsi="Times New Roman" w:cs="Times New Roman"/>
          <w:sz w:val="24"/>
        </w:rPr>
        <w:t>MySuper fees rules, which are to commence on 1 July 2013, will require that all MySuper members be charged fees on the same basis</w:t>
      </w:r>
      <w:r>
        <w:rPr>
          <w:rFonts w:ascii="Times New Roman" w:hAnsi="Times New Roman" w:cs="Times New Roman"/>
          <w:sz w:val="24"/>
        </w:rPr>
        <w:t>, a</w:t>
      </w:r>
      <w:r w:rsidRPr="000E0C15">
        <w:rPr>
          <w:rFonts w:ascii="Times New Roman" w:hAnsi="Times New Roman" w:cs="Times New Roman"/>
          <w:sz w:val="24"/>
        </w:rPr>
        <w:t xml:space="preserve"> requirement </w:t>
      </w:r>
      <w:r>
        <w:rPr>
          <w:rFonts w:ascii="Times New Roman" w:hAnsi="Times New Roman" w:cs="Times New Roman"/>
          <w:sz w:val="24"/>
        </w:rPr>
        <w:t xml:space="preserve">that </w:t>
      </w:r>
      <w:r w:rsidRPr="000E0C15">
        <w:rPr>
          <w:rFonts w:ascii="Times New Roman" w:hAnsi="Times New Roman" w:cs="Times New Roman"/>
          <w:sz w:val="24"/>
        </w:rPr>
        <w:t>cannot be met at the same time as the member protection standards, which require fees for small balances to not exceed the investment earnings on the overall account.</w:t>
      </w:r>
    </w:p>
    <w:p w14:paraId="21D8CD7E" w14:textId="77777777" w:rsidR="00BE3790" w:rsidRPr="000E0C15" w:rsidRDefault="00BE3790" w:rsidP="00BE3790">
      <w:pPr>
        <w:pStyle w:val="NormalWeb"/>
        <w:rPr>
          <w:rFonts w:ascii="Times New Roman" w:hAnsi="Times New Roman" w:cs="Times New Roman"/>
          <w:sz w:val="24"/>
        </w:rPr>
      </w:pPr>
      <w:r>
        <w:rPr>
          <w:rFonts w:ascii="Times New Roman" w:hAnsi="Times New Roman" w:cs="Times New Roman"/>
          <w:sz w:val="24"/>
        </w:rPr>
        <w:t>F</w:t>
      </w:r>
      <w:r w:rsidRPr="000E0C15">
        <w:rPr>
          <w:rFonts w:ascii="Times New Roman" w:hAnsi="Times New Roman" w:cs="Times New Roman"/>
          <w:sz w:val="24"/>
        </w:rPr>
        <w:t>rom 1 July 2013</w:t>
      </w:r>
      <w:r>
        <w:rPr>
          <w:rFonts w:ascii="Times New Roman" w:hAnsi="Times New Roman" w:cs="Times New Roman"/>
          <w:sz w:val="24"/>
        </w:rPr>
        <w:t>, superannuation funds</w:t>
      </w:r>
      <w:r w:rsidRPr="000E0C15">
        <w:rPr>
          <w:rFonts w:ascii="Times New Roman" w:hAnsi="Times New Roman" w:cs="Times New Roman"/>
          <w:sz w:val="24"/>
        </w:rPr>
        <w:t xml:space="preserve"> </w:t>
      </w:r>
      <w:r>
        <w:rPr>
          <w:rFonts w:ascii="Times New Roman" w:hAnsi="Times New Roman" w:cs="Times New Roman"/>
          <w:sz w:val="24"/>
        </w:rPr>
        <w:t>will transfer s</w:t>
      </w:r>
      <w:r w:rsidRPr="000E0C15">
        <w:rPr>
          <w:rFonts w:ascii="Times New Roman" w:hAnsi="Times New Roman" w:cs="Times New Roman"/>
          <w:sz w:val="24"/>
        </w:rPr>
        <w:t xml:space="preserve">mall inactive accounts to the </w:t>
      </w:r>
      <w:r>
        <w:rPr>
          <w:rFonts w:ascii="Times New Roman" w:hAnsi="Times New Roman" w:cs="Times New Roman"/>
          <w:sz w:val="24"/>
        </w:rPr>
        <w:t>Australian Taxation Office, which will protect these accounts</w:t>
      </w:r>
      <w:r w:rsidRPr="000E0C15">
        <w:rPr>
          <w:rFonts w:ascii="Times New Roman" w:hAnsi="Times New Roman" w:cs="Times New Roman"/>
          <w:sz w:val="24"/>
        </w:rPr>
        <w:t xml:space="preserve"> from b</w:t>
      </w:r>
      <w:r>
        <w:rPr>
          <w:rFonts w:ascii="Times New Roman" w:hAnsi="Times New Roman" w:cs="Times New Roman"/>
          <w:sz w:val="24"/>
        </w:rPr>
        <w:t>eing eroded by fees and charges</w:t>
      </w:r>
      <w:r w:rsidRPr="000E0C15">
        <w:rPr>
          <w:rFonts w:ascii="Times New Roman" w:hAnsi="Times New Roman" w:cs="Times New Roman"/>
          <w:sz w:val="24"/>
        </w:rPr>
        <w:t>.</w:t>
      </w:r>
      <w:r>
        <w:rPr>
          <w:rFonts w:ascii="Times New Roman" w:hAnsi="Times New Roman" w:cs="Times New Roman"/>
          <w:sz w:val="24"/>
        </w:rPr>
        <w:t xml:space="preserve"> </w:t>
      </w:r>
      <w:r w:rsidRPr="000E0C15">
        <w:rPr>
          <w:rFonts w:ascii="Times New Roman" w:hAnsi="Times New Roman" w:cs="Times New Roman"/>
          <w:sz w:val="24"/>
        </w:rPr>
        <w:t xml:space="preserve"> Interest will paid</w:t>
      </w:r>
      <w:r>
        <w:rPr>
          <w:rFonts w:ascii="Times New Roman" w:hAnsi="Times New Roman" w:cs="Times New Roman"/>
          <w:sz w:val="24"/>
        </w:rPr>
        <w:t xml:space="preserve"> on these accounts</w:t>
      </w:r>
      <w:r w:rsidRPr="000E0C15">
        <w:rPr>
          <w:rFonts w:ascii="Times New Roman" w:hAnsi="Times New Roman" w:cs="Times New Roman"/>
          <w:sz w:val="24"/>
        </w:rPr>
        <w:t xml:space="preserve"> at a rate equivalent to CPI inflation.</w:t>
      </w:r>
      <w:r>
        <w:rPr>
          <w:rFonts w:ascii="Times New Roman" w:hAnsi="Times New Roman" w:cs="Times New Roman"/>
          <w:sz w:val="24"/>
        </w:rPr>
        <w:t xml:space="preserve"> </w:t>
      </w:r>
      <w:r w:rsidRPr="000E0C15">
        <w:rPr>
          <w:rFonts w:ascii="Times New Roman" w:hAnsi="Times New Roman" w:cs="Times New Roman"/>
          <w:sz w:val="24"/>
        </w:rPr>
        <w:t xml:space="preserve"> </w:t>
      </w:r>
      <w:r>
        <w:rPr>
          <w:rFonts w:ascii="Times New Roman" w:hAnsi="Times New Roman" w:cs="Times New Roman"/>
          <w:sz w:val="24"/>
        </w:rPr>
        <w:t>Members will be able to reclaim t</w:t>
      </w:r>
      <w:r w:rsidRPr="000E0C15">
        <w:rPr>
          <w:rFonts w:ascii="Times New Roman" w:hAnsi="Times New Roman" w:cs="Times New Roman"/>
          <w:sz w:val="24"/>
        </w:rPr>
        <w:t xml:space="preserve">hese </w:t>
      </w:r>
      <w:r>
        <w:rPr>
          <w:rFonts w:ascii="Times New Roman" w:hAnsi="Times New Roman" w:cs="Times New Roman"/>
          <w:sz w:val="24"/>
        </w:rPr>
        <w:t xml:space="preserve">account </w:t>
      </w:r>
      <w:r w:rsidRPr="000E0C15">
        <w:rPr>
          <w:rFonts w:ascii="Times New Roman" w:hAnsi="Times New Roman" w:cs="Times New Roman"/>
          <w:sz w:val="24"/>
        </w:rPr>
        <w:t xml:space="preserve">balances from the </w:t>
      </w:r>
      <w:r>
        <w:rPr>
          <w:rFonts w:ascii="Times New Roman" w:hAnsi="Times New Roman" w:cs="Times New Roman"/>
          <w:sz w:val="24"/>
        </w:rPr>
        <w:t>Australian Taxation Office</w:t>
      </w:r>
      <w:r w:rsidRPr="000E0C15">
        <w:rPr>
          <w:rFonts w:ascii="Times New Roman" w:hAnsi="Times New Roman" w:cs="Times New Roman"/>
          <w:sz w:val="24"/>
        </w:rPr>
        <w:t xml:space="preserve"> at any time.</w:t>
      </w:r>
    </w:p>
    <w:p w14:paraId="15501A51" w14:textId="77777777" w:rsidR="002F1B23" w:rsidRDefault="002F1B23" w:rsidP="002F1B23">
      <w:pPr>
        <w:spacing w:before="120" w:after="120"/>
        <w:rPr>
          <w:szCs w:val="24"/>
        </w:rPr>
      </w:pPr>
      <w:r>
        <w:rPr>
          <w:b/>
          <w:bCs/>
          <w:szCs w:val="24"/>
        </w:rPr>
        <w:t>Human rights implications</w:t>
      </w:r>
    </w:p>
    <w:p w14:paraId="3D0E4A1A" w14:textId="77777777" w:rsidR="00E84AE4" w:rsidRPr="00E84AE4" w:rsidRDefault="00E84AE4" w:rsidP="00E84AE4">
      <w:pPr>
        <w:spacing w:before="120" w:after="120"/>
        <w:rPr>
          <w:szCs w:val="24"/>
        </w:rPr>
      </w:pPr>
      <w:r w:rsidRPr="00E84AE4">
        <w:rPr>
          <w:szCs w:val="24"/>
        </w:rPr>
        <w:t>This Legislative Instrument engages and promotes the right to equali</w:t>
      </w:r>
      <w:r>
        <w:rPr>
          <w:szCs w:val="24"/>
        </w:rPr>
        <w:t>ty and non</w:t>
      </w:r>
      <w:r>
        <w:rPr>
          <w:szCs w:val="24"/>
        </w:rPr>
        <w:noBreakHyphen/>
      </w:r>
      <w:r w:rsidRPr="00E84AE4">
        <w:rPr>
          <w:szCs w:val="24"/>
        </w:rPr>
        <w:t>discrimination in Article 2(2) of the International Covenant on Economic, Social and Cultural Rights and Article 26 of the International Covenant on Civil and Political Rights.</w:t>
      </w:r>
      <w:r w:rsidRPr="00E84AE4">
        <w:rPr>
          <w:szCs w:val="24"/>
        </w:rPr>
        <w:cr/>
      </w:r>
    </w:p>
    <w:p w14:paraId="683D9585" w14:textId="77777777" w:rsidR="002F1B23" w:rsidRDefault="00E84AE4" w:rsidP="00E84AE4">
      <w:pPr>
        <w:spacing w:before="120" w:after="120"/>
        <w:rPr>
          <w:szCs w:val="24"/>
        </w:rPr>
      </w:pPr>
      <w:r w:rsidRPr="00E84AE4">
        <w:rPr>
          <w:szCs w:val="24"/>
        </w:rPr>
        <w:t>The member protection standards currently require fees for small balances to not exceed the investment earnings on the overall account.</w:t>
      </w:r>
    </w:p>
    <w:p w14:paraId="1D9DF37F" w14:textId="77777777" w:rsidR="002F1B23" w:rsidRDefault="002F1B23" w:rsidP="002F1B23">
      <w:pPr>
        <w:spacing w:before="120" w:after="120"/>
        <w:rPr>
          <w:szCs w:val="24"/>
        </w:rPr>
      </w:pPr>
      <w:r>
        <w:rPr>
          <w:b/>
          <w:bCs/>
          <w:szCs w:val="24"/>
        </w:rPr>
        <w:t>Conclusion</w:t>
      </w:r>
    </w:p>
    <w:p w14:paraId="4F93235B" w14:textId="77777777" w:rsidR="00E84AE4" w:rsidRDefault="00E84AE4" w:rsidP="00E84AE4">
      <w:pPr>
        <w:spacing w:before="120" w:after="120"/>
        <w:rPr>
          <w:szCs w:val="24"/>
        </w:rPr>
      </w:pPr>
      <w:r>
        <w:rPr>
          <w:szCs w:val="24"/>
        </w:rPr>
        <w:t xml:space="preserve">This Legislative Instrument is compatible with human rights as </w:t>
      </w:r>
      <w:r w:rsidR="00BE3790">
        <w:rPr>
          <w:szCs w:val="24"/>
        </w:rPr>
        <w:t xml:space="preserve">it </w:t>
      </w:r>
      <w:r w:rsidRPr="002F0D2F">
        <w:rPr>
          <w:szCs w:val="24"/>
        </w:rPr>
        <w:t>promotes the right to equality and non-discrimination</w:t>
      </w:r>
      <w:r>
        <w:rPr>
          <w:szCs w:val="24"/>
        </w:rPr>
        <w:t>.</w:t>
      </w:r>
    </w:p>
    <w:p w14:paraId="5AC03A31" w14:textId="77777777" w:rsidR="002F1B23" w:rsidRDefault="002F1B23" w:rsidP="002F1B23">
      <w:pPr>
        <w:spacing w:before="120" w:after="120"/>
        <w:rPr>
          <w:szCs w:val="24"/>
        </w:rPr>
      </w:pPr>
    </w:p>
    <w:p w14:paraId="1B85455E" w14:textId="77777777" w:rsidR="002F1B23" w:rsidRDefault="002F1B23" w:rsidP="002F1B23">
      <w:pPr>
        <w:spacing w:before="120" w:after="120"/>
        <w:rPr>
          <w:szCs w:val="24"/>
        </w:rPr>
      </w:pPr>
    </w:p>
    <w:p w14:paraId="62C2D946" w14:textId="77777777" w:rsidR="002F1B23" w:rsidRDefault="002F1B23" w:rsidP="002F1B23">
      <w:pPr>
        <w:spacing w:before="120" w:after="120"/>
        <w:jc w:val="center"/>
        <w:rPr>
          <w:szCs w:val="24"/>
        </w:rPr>
      </w:pPr>
      <w:r>
        <w:rPr>
          <w:b/>
          <w:bCs/>
          <w:szCs w:val="24"/>
        </w:rPr>
        <w:t xml:space="preserve">William Richard Shorten </w:t>
      </w:r>
    </w:p>
    <w:p w14:paraId="6816401F" w14:textId="77777777" w:rsidR="002F1B23" w:rsidRDefault="002F1B23" w:rsidP="002F1B23">
      <w:pPr>
        <w:spacing w:before="120" w:after="120"/>
        <w:jc w:val="center"/>
        <w:rPr>
          <w:szCs w:val="24"/>
        </w:rPr>
      </w:pPr>
      <w:r>
        <w:rPr>
          <w:b/>
          <w:bCs/>
          <w:szCs w:val="24"/>
        </w:rPr>
        <w:t>Minister for Financial Services and Superannuation</w:t>
      </w:r>
    </w:p>
    <w:p w14:paraId="38A6E278" w14:textId="77777777" w:rsidR="00200C7E" w:rsidRDefault="00200C7E" w:rsidP="009D29EA">
      <w:pPr>
        <w:pStyle w:val="NormalWeb"/>
        <w:rPr>
          <w:rFonts w:ascii="Times New Roman" w:hAnsi="Times New Roman" w:cs="Times New Roman"/>
          <w:sz w:val="24"/>
        </w:rPr>
      </w:pPr>
    </w:p>
    <w:sectPr w:rsidR="00200C7E" w:rsidSect="00DE4E27">
      <w:headerReference w:type="default" r:id="rId11"/>
      <w:pgSz w:w="11906" w:h="16838" w:code="9"/>
      <w:pgMar w:top="1134" w:right="1797" w:bottom="1134" w:left="1797"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8FBDCF" w14:textId="77777777" w:rsidR="00D46421" w:rsidRDefault="00D46421" w:rsidP="004B6595">
      <w:r>
        <w:separator/>
      </w:r>
    </w:p>
  </w:endnote>
  <w:endnote w:type="continuationSeparator" w:id="0">
    <w:p w14:paraId="171E8B9E" w14:textId="77777777" w:rsidR="00D46421" w:rsidRDefault="00D46421" w:rsidP="004B6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4ADD13" w14:textId="77777777" w:rsidR="00D46421" w:rsidRDefault="00D46421" w:rsidP="004B6595">
      <w:r>
        <w:separator/>
      </w:r>
    </w:p>
  </w:footnote>
  <w:footnote w:type="continuationSeparator" w:id="0">
    <w:p w14:paraId="05DD26E4" w14:textId="77777777" w:rsidR="00D46421" w:rsidRDefault="00D46421" w:rsidP="004B65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828792"/>
      <w:docPartObj>
        <w:docPartGallery w:val="Page Numbers (Top of Page)"/>
        <w:docPartUnique/>
      </w:docPartObj>
    </w:sdtPr>
    <w:sdtEndPr/>
    <w:sdtContent>
      <w:p w14:paraId="44F4D4EB" w14:textId="77777777" w:rsidR="00D46421" w:rsidRDefault="00D46421">
        <w:pPr>
          <w:pStyle w:val="Header"/>
          <w:jc w:val="center"/>
        </w:pPr>
        <w:r>
          <w:fldChar w:fldCharType="begin"/>
        </w:r>
        <w:r>
          <w:instrText xml:space="preserve"> PAGE   \* MERGEFORMAT </w:instrText>
        </w:r>
        <w:r>
          <w:fldChar w:fldCharType="separate"/>
        </w:r>
        <w:r w:rsidR="00AE3FDF">
          <w:rPr>
            <w:noProof/>
          </w:rPr>
          <w:t>5</w:t>
        </w:r>
        <w:r>
          <w:rPr>
            <w:noProof/>
          </w:rPr>
          <w:fldChar w:fldCharType="end"/>
        </w:r>
      </w:p>
    </w:sdtContent>
  </w:sdt>
  <w:p w14:paraId="7F992252" w14:textId="77777777" w:rsidR="00D46421" w:rsidRDefault="00D464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90A00"/>
    <w:multiLevelType w:val="multilevel"/>
    <w:tmpl w:val="1C9CFB82"/>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397B5458"/>
    <w:multiLevelType w:val="singleLevel"/>
    <w:tmpl w:val="BE8804F8"/>
    <w:lvl w:ilvl="0">
      <w:start w:val="1"/>
      <w:numFmt w:val="bullet"/>
      <w:pStyle w:val="HB-dotpoint"/>
      <w:lvlText w:val=""/>
      <w:lvlJc w:val="left"/>
      <w:pPr>
        <w:tabs>
          <w:tab w:val="num" w:pos="720"/>
        </w:tabs>
        <w:ind w:left="720" w:hanging="720"/>
      </w:pPr>
      <w:rPr>
        <w:rFonts w:ascii="Symbol" w:hAnsi="Symbol" w:hint="default"/>
        <w:sz w:val="20"/>
      </w:rPr>
    </w:lvl>
  </w:abstractNum>
  <w:abstractNum w:abstractNumId="2">
    <w:nsid w:val="6B8F1125"/>
    <w:multiLevelType w:val="singleLevel"/>
    <w:tmpl w:val="0C090001"/>
    <w:lvl w:ilvl="0">
      <w:start w:val="1"/>
      <w:numFmt w:val="bullet"/>
      <w:lvlText w:val=""/>
      <w:lvlJc w:val="left"/>
      <w:pPr>
        <w:tabs>
          <w:tab w:val="num" w:pos="720"/>
        </w:tabs>
        <w:ind w:left="720" w:hanging="360"/>
      </w:pPr>
      <w:rPr>
        <w:rFonts w:ascii="Symbol" w:hAnsi="Symbol" w:hint="default"/>
      </w:rPr>
    </w:lvl>
  </w:abstractNum>
  <w:num w:numId="1">
    <w:abstractNumId w:val="1"/>
  </w:num>
  <w:num w:numId="2">
    <w:abstractNumId w:val="2"/>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360"/>
    <w:rsid w:val="0001177E"/>
    <w:rsid w:val="000121FF"/>
    <w:rsid w:val="00013763"/>
    <w:rsid w:val="00021403"/>
    <w:rsid w:val="0003086B"/>
    <w:rsid w:val="000414B4"/>
    <w:rsid w:val="000524A2"/>
    <w:rsid w:val="00063607"/>
    <w:rsid w:val="00070B3C"/>
    <w:rsid w:val="00072CC0"/>
    <w:rsid w:val="00075C82"/>
    <w:rsid w:val="000831C3"/>
    <w:rsid w:val="000871D0"/>
    <w:rsid w:val="000A6126"/>
    <w:rsid w:val="000D42B9"/>
    <w:rsid w:val="000E0C15"/>
    <w:rsid w:val="000E74D4"/>
    <w:rsid w:val="00121F9C"/>
    <w:rsid w:val="001277F1"/>
    <w:rsid w:val="00133520"/>
    <w:rsid w:val="00141155"/>
    <w:rsid w:val="00165DBA"/>
    <w:rsid w:val="00176619"/>
    <w:rsid w:val="001874D9"/>
    <w:rsid w:val="00190C11"/>
    <w:rsid w:val="001932AB"/>
    <w:rsid w:val="001D482E"/>
    <w:rsid w:val="001D5C55"/>
    <w:rsid w:val="001D6F84"/>
    <w:rsid w:val="001E5622"/>
    <w:rsid w:val="001E64A7"/>
    <w:rsid w:val="001F4092"/>
    <w:rsid w:val="00200C7E"/>
    <w:rsid w:val="00205CF0"/>
    <w:rsid w:val="00223B93"/>
    <w:rsid w:val="00235CF8"/>
    <w:rsid w:val="002418C6"/>
    <w:rsid w:val="00244FF3"/>
    <w:rsid w:val="00271774"/>
    <w:rsid w:val="002A0324"/>
    <w:rsid w:val="002C0364"/>
    <w:rsid w:val="002D285B"/>
    <w:rsid w:val="002D4847"/>
    <w:rsid w:val="002D4E0F"/>
    <w:rsid w:val="002D6B93"/>
    <w:rsid w:val="002E1B29"/>
    <w:rsid w:val="002F1B23"/>
    <w:rsid w:val="002F5C71"/>
    <w:rsid w:val="002F624F"/>
    <w:rsid w:val="003207A2"/>
    <w:rsid w:val="00323C94"/>
    <w:rsid w:val="0033070B"/>
    <w:rsid w:val="0034288A"/>
    <w:rsid w:val="00344B1B"/>
    <w:rsid w:val="0036241D"/>
    <w:rsid w:val="00362B04"/>
    <w:rsid w:val="00366360"/>
    <w:rsid w:val="0037782A"/>
    <w:rsid w:val="00391687"/>
    <w:rsid w:val="00395C0B"/>
    <w:rsid w:val="003A4AAB"/>
    <w:rsid w:val="003D08C1"/>
    <w:rsid w:val="003D0E0F"/>
    <w:rsid w:val="003E450A"/>
    <w:rsid w:val="00436751"/>
    <w:rsid w:val="00446E81"/>
    <w:rsid w:val="00467E81"/>
    <w:rsid w:val="00471BD3"/>
    <w:rsid w:val="00476551"/>
    <w:rsid w:val="004A6E95"/>
    <w:rsid w:val="004B6595"/>
    <w:rsid w:val="004D581A"/>
    <w:rsid w:val="004E52CB"/>
    <w:rsid w:val="004F356E"/>
    <w:rsid w:val="00501F36"/>
    <w:rsid w:val="00512774"/>
    <w:rsid w:val="00515F5F"/>
    <w:rsid w:val="005261A3"/>
    <w:rsid w:val="00547901"/>
    <w:rsid w:val="00547BEE"/>
    <w:rsid w:val="00577A47"/>
    <w:rsid w:val="00582A1E"/>
    <w:rsid w:val="005833AC"/>
    <w:rsid w:val="00591207"/>
    <w:rsid w:val="00592653"/>
    <w:rsid w:val="005942AF"/>
    <w:rsid w:val="00603570"/>
    <w:rsid w:val="006106D8"/>
    <w:rsid w:val="00625A94"/>
    <w:rsid w:val="00640608"/>
    <w:rsid w:val="006614CE"/>
    <w:rsid w:val="006725C9"/>
    <w:rsid w:val="00687EA9"/>
    <w:rsid w:val="0069733D"/>
    <w:rsid w:val="006A4383"/>
    <w:rsid w:val="006B5983"/>
    <w:rsid w:val="007000B6"/>
    <w:rsid w:val="00752CF4"/>
    <w:rsid w:val="0077397D"/>
    <w:rsid w:val="007B40B2"/>
    <w:rsid w:val="007B6E80"/>
    <w:rsid w:val="007D22BE"/>
    <w:rsid w:val="007D5421"/>
    <w:rsid w:val="007D5E62"/>
    <w:rsid w:val="00815409"/>
    <w:rsid w:val="00824E04"/>
    <w:rsid w:val="00840713"/>
    <w:rsid w:val="00856509"/>
    <w:rsid w:val="00875107"/>
    <w:rsid w:val="00877F94"/>
    <w:rsid w:val="008A3CE4"/>
    <w:rsid w:val="008B6A46"/>
    <w:rsid w:val="008C1ED3"/>
    <w:rsid w:val="008D3236"/>
    <w:rsid w:val="008E3272"/>
    <w:rsid w:val="00900137"/>
    <w:rsid w:val="009048EB"/>
    <w:rsid w:val="00907953"/>
    <w:rsid w:val="00916C2A"/>
    <w:rsid w:val="009172C4"/>
    <w:rsid w:val="00934DAB"/>
    <w:rsid w:val="009617B1"/>
    <w:rsid w:val="009A3BE6"/>
    <w:rsid w:val="009A57D7"/>
    <w:rsid w:val="009A680A"/>
    <w:rsid w:val="009A6EAD"/>
    <w:rsid w:val="009C6F34"/>
    <w:rsid w:val="009C7A63"/>
    <w:rsid w:val="009D29EA"/>
    <w:rsid w:val="009E13E6"/>
    <w:rsid w:val="00A04280"/>
    <w:rsid w:val="00A059BD"/>
    <w:rsid w:val="00A419E8"/>
    <w:rsid w:val="00A53035"/>
    <w:rsid w:val="00A602D7"/>
    <w:rsid w:val="00A86973"/>
    <w:rsid w:val="00AB023A"/>
    <w:rsid w:val="00AC56AA"/>
    <w:rsid w:val="00AE3FDF"/>
    <w:rsid w:val="00B06976"/>
    <w:rsid w:val="00B20074"/>
    <w:rsid w:val="00B343C8"/>
    <w:rsid w:val="00B44481"/>
    <w:rsid w:val="00B82E36"/>
    <w:rsid w:val="00BC0C42"/>
    <w:rsid w:val="00BC1B22"/>
    <w:rsid w:val="00BC3A79"/>
    <w:rsid w:val="00BE13CE"/>
    <w:rsid w:val="00BE3790"/>
    <w:rsid w:val="00BE3CB1"/>
    <w:rsid w:val="00C00E0E"/>
    <w:rsid w:val="00C20667"/>
    <w:rsid w:val="00C36912"/>
    <w:rsid w:val="00C7065B"/>
    <w:rsid w:val="00C85F35"/>
    <w:rsid w:val="00C861E4"/>
    <w:rsid w:val="00C91FA2"/>
    <w:rsid w:val="00CA1474"/>
    <w:rsid w:val="00CA4450"/>
    <w:rsid w:val="00CA670B"/>
    <w:rsid w:val="00D0735B"/>
    <w:rsid w:val="00D24DA9"/>
    <w:rsid w:val="00D259D2"/>
    <w:rsid w:val="00D35001"/>
    <w:rsid w:val="00D40648"/>
    <w:rsid w:val="00D46421"/>
    <w:rsid w:val="00D4708F"/>
    <w:rsid w:val="00D565C4"/>
    <w:rsid w:val="00D629E2"/>
    <w:rsid w:val="00D71268"/>
    <w:rsid w:val="00D87DEA"/>
    <w:rsid w:val="00DA61D1"/>
    <w:rsid w:val="00DD0C36"/>
    <w:rsid w:val="00DE0108"/>
    <w:rsid w:val="00DE252A"/>
    <w:rsid w:val="00DE4E27"/>
    <w:rsid w:val="00E02856"/>
    <w:rsid w:val="00E2418C"/>
    <w:rsid w:val="00E72AB0"/>
    <w:rsid w:val="00E72DE3"/>
    <w:rsid w:val="00E76797"/>
    <w:rsid w:val="00E8414A"/>
    <w:rsid w:val="00E84AE4"/>
    <w:rsid w:val="00E91FB2"/>
    <w:rsid w:val="00EA6115"/>
    <w:rsid w:val="00F464D7"/>
    <w:rsid w:val="00F5104B"/>
    <w:rsid w:val="00F56C4D"/>
    <w:rsid w:val="00F60316"/>
    <w:rsid w:val="00F65276"/>
    <w:rsid w:val="00FC7943"/>
    <w:rsid w:val="00FD264A"/>
    <w:rsid w:val="00FE15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D0F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774"/>
    <w:rPr>
      <w:sz w:val="24"/>
    </w:rPr>
  </w:style>
  <w:style w:type="paragraph" w:styleId="Heading1">
    <w:name w:val="heading 1"/>
    <w:basedOn w:val="Normal"/>
    <w:next w:val="Normal"/>
    <w:link w:val="Heading1Char"/>
    <w:uiPriority w:val="9"/>
    <w:qFormat/>
    <w:rsid w:val="00512774"/>
    <w:pPr>
      <w:keepNext/>
      <w:spacing w:before="240" w:after="360"/>
      <w:outlineLvl w:val="0"/>
    </w:pPr>
    <w:rPr>
      <w:b/>
      <w:caps/>
      <w:sz w:val="28"/>
    </w:rPr>
  </w:style>
  <w:style w:type="paragraph" w:styleId="Heading2">
    <w:name w:val="heading 2"/>
    <w:basedOn w:val="Normal"/>
    <w:next w:val="Normal"/>
    <w:link w:val="Heading2Char"/>
    <w:uiPriority w:val="9"/>
    <w:qFormat/>
    <w:rsid w:val="00512774"/>
    <w:pPr>
      <w:keepNext/>
      <w:spacing w:before="120"/>
      <w:outlineLvl w:val="1"/>
    </w:pPr>
    <w:rPr>
      <w:b/>
      <w:caps/>
    </w:rPr>
  </w:style>
  <w:style w:type="paragraph" w:styleId="Heading3">
    <w:name w:val="heading 3"/>
    <w:basedOn w:val="Normal"/>
    <w:next w:val="Normal"/>
    <w:link w:val="Heading3Char"/>
    <w:uiPriority w:val="9"/>
    <w:qFormat/>
    <w:rsid w:val="00512774"/>
    <w:pPr>
      <w:keepNext/>
      <w:spacing w:before="60"/>
      <w:outlineLvl w:val="2"/>
    </w:pPr>
    <w:rPr>
      <w:b/>
    </w:rPr>
  </w:style>
  <w:style w:type="paragraph" w:styleId="Heading4">
    <w:name w:val="heading 4"/>
    <w:basedOn w:val="Normal"/>
    <w:next w:val="Normal"/>
    <w:link w:val="Heading4Char"/>
    <w:uiPriority w:val="9"/>
    <w:qFormat/>
    <w:rsid w:val="00512774"/>
    <w:pPr>
      <w:keepNext/>
      <w:outlineLvl w:val="3"/>
    </w:pPr>
    <w:rPr>
      <w:i/>
      <w:sz w:val="20"/>
    </w:rPr>
  </w:style>
  <w:style w:type="paragraph" w:styleId="Heading6">
    <w:name w:val="heading 6"/>
    <w:basedOn w:val="Normal"/>
    <w:next w:val="Normal"/>
    <w:link w:val="Heading6Char"/>
    <w:uiPriority w:val="9"/>
    <w:qFormat/>
    <w:rsid w:val="00512774"/>
    <w:pPr>
      <w:keepNext/>
      <w:spacing w:before="240"/>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5276"/>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F65276"/>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F65276"/>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F65276"/>
    <w:rPr>
      <w:rFonts w:asciiTheme="minorHAnsi" w:eastAsiaTheme="minorEastAsia" w:hAnsiTheme="minorHAnsi" w:cstheme="minorBidi"/>
      <w:b/>
      <w:bCs/>
      <w:sz w:val="28"/>
      <w:szCs w:val="28"/>
    </w:rPr>
  </w:style>
  <w:style w:type="character" w:customStyle="1" w:styleId="Heading6Char">
    <w:name w:val="Heading 6 Char"/>
    <w:basedOn w:val="DefaultParagraphFont"/>
    <w:link w:val="Heading6"/>
    <w:uiPriority w:val="9"/>
    <w:semiHidden/>
    <w:rsid w:val="00F65276"/>
    <w:rPr>
      <w:rFonts w:asciiTheme="minorHAnsi" w:eastAsiaTheme="minorEastAsia" w:hAnsiTheme="minorHAnsi" w:cstheme="minorBidi"/>
      <w:b/>
      <w:bCs/>
      <w:sz w:val="22"/>
      <w:szCs w:val="22"/>
    </w:rPr>
  </w:style>
  <w:style w:type="paragraph" w:customStyle="1" w:styleId="SingleParagraph">
    <w:name w:val="Single Paragraph"/>
    <w:basedOn w:val="Normal"/>
    <w:rsid w:val="00512774"/>
  </w:style>
  <w:style w:type="paragraph" w:customStyle="1" w:styleId="ChartMainHeading">
    <w:name w:val="Chart Main Heading"/>
    <w:basedOn w:val="SingleParagraph"/>
    <w:next w:val="Normal"/>
    <w:rsid w:val="00512774"/>
    <w:pPr>
      <w:jc w:val="center"/>
    </w:pPr>
    <w:rPr>
      <w:b/>
      <w:caps/>
    </w:rPr>
  </w:style>
  <w:style w:type="paragraph" w:customStyle="1" w:styleId="ChartSecondHeading">
    <w:name w:val="Chart Second Heading"/>
    <w:basedOn w:val="SingleParagraph"/>
    <w:next w:val="Normal"/>
    <w:rsid w:val="00512774"/>
    <w:pPr>
      <w:jc w:val="center"/>
    </w:pPr>
    <w:rPr>
      <w:b/>
    </w:rPr>
  </w:style>
  <w:style w:type="paragraph" w:customStyle="1" w:styleId="TableMainHeading">
    <w:name w:val="Table Main Heading"/>
    <w:basedOn w:val="Heading2"/>
    <w:next w:val="Normal"/>
    <w:rsid w:val="00512774"/>
    <w:pPr>
      <w:spacing w:before="240"/>
      <w:outlineLvl w:val="9"/>
    </w:pPr>
    <w:rPr>
      <w:rFonts w:ascii="Helvetica" w:hAnsi="Helvetica"/>
      <w:b w:val="0"/>
      <w:caps w:val="0"/>
      <w:spacing w:val="30"/>
      <w:sz w:val="22"/>
    </w:rPr>
  </w:style>
  <w:style w:type="paragraph" w:customStyle="1" w:styleId="Appendix">
    <w:name w:val="Appendix"/>
    <w:basedOn w:val="Normal"/>
    <w:link w:val="AppendixCharChar"/>
    <w:rsid w:val="00512774"/>
    <w:pPr>
      <w:jc w:val="right"/>
    </w:pPr>
    <w:rPr>
      <w:b/>
    </w:rPr>
  </w:style>
  <w:style w:type="character" w:customStyle="1" w:styleId="AppendixCharChar">
    <w:name w:val="Appendix Char Char"/>
    <w:basedOn w:val="DefaultParagraphFont"/>
    <w:link w:val="Appendix"/>
    <w:locked/>
    <w:rsid w:val="00512774"/>
    <w:rPr>
      <w:rFonts w:cs="Times New Roman"/>
      <w:b/>
      <w:sz w:val="24"/>
      <w:lang w:val="en-AU" w:eastAsia="en-AU" w:bidi="ar-SA"/>
    </w:rPr>
  </w:style>
  <w:style w:type="paragraph" w:customStyle="1" w:styleId="HB-dotpoint">
    <w:name w:val="HB - dotpoint"/>
    <w:basedOn w:val="Normal"/>
    <w:rsid w:val="00512774"/>
    <w:pPr>
      <w:numPr>
        <w:numId w:val="1"/>
      </w:numPr>
      <w:spacing w:before="180"/>
    </w:pPr>
  </w:style>
  <w:style w:type="character" w:styleId="CommentReference">
    <w:name w:val="annotation reference"/>
    <w:basedOn w:val="DefaultParagraphFont"/>
    <w:uiPriority w:val="99"/>
    <w:semiHidden/>
    <w:unhideWhenUsed/>
    <w:rsid w:val="00E76797"/>
    <w:rPr>
      <w:rFonts w:cs="Times New Roman"/>
      <w:sz w:val="16"/>
      <w:szCs w:val="16"/>
    </w:rPr>
  </w:style>
  <w:style w:type="paragraph" w:styleId="CommentText">
    <w:name w:val="annotation text"/>
    <w:basedOn w:val="Normal"/>
    <w:link w:val="CommentTextChar"/>
    <w:uiPriority w:val="99"/>
    <w:semiHidden/>
    <w:unhideWhenUsed/>
    <w:rsid w:val="00E76797"/>
    <w:rPr>
      <w:sz w:val="20"/>
    </w:rPr>
  </w:style>
  <w:style w:type="character" w:customStyle="1" w:styleId="CommentTextChar">
    <w:name w:val="Comment Text Char"/>
    <w:basedOn w:val="DefaultParagraphFont"/>
    <w:link w:val="CommentText"/>
    <w:uiPriority w:val="99"/>
    <w:semiHidden/>
    <w:locked/>
    <w:rsid w:val="00E76797"/>
    <w:rPr>
      <w:rFonts w:cs="Times New Roman"/>
    </w:rPr>
  </w:style>
  <w:style w:type="paragraph" w:styleId="CommentSubject">
    <w:name w:val="annotation subject"/>
    <w:basedOn w:val="CommentText"/>
    <w:next w:val="CommentText"/>
    <w:link w:val="CommentSubjectChar"/>
    <w:uiPriority w:val="99"/>
    <w:semiHidden/>
    <w:unhideWhenUsed/>
    <w:rsid w:val="00E76797"/>
    <w:rPr>
      <w:b/>
      <w:bCs/>
    </w:rPr>
  </w:style>
  <w:style w:type="character" w:customStyle="1" w:styleId="CommentSubjectChar">
    <w:name w:val="Comment Subject Char"/>
    <w:basedOn w:val="CommentTextChar"/>
    <w:link w:val="CommentSubject"/>
    <w:uiPriority w:val="99"/>
    <w:semiHidden/>
    <w:locked/>
    <w:rsid w:val="00E76797"/>
    <w:rPr>
      <w:rFonts w:cs="Times New Roman"/>
      <w:b/>
      <w:bCs/>
    </w:rPr>
  </w:style>
  <w:style w:type="paragraph" w:styleId="BalloonText">
    <w:name w:val="Balloon Text"/>
    <w:basedOn w:val="Normal"/>
    <w:link w:val="BalloonTextChar"/>
    <w:uiPriority w:val="99"/>
    <w:semiHidden/>
    <w:unhideWhenUsed/>
    <w:rsid w:val="00E7679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6797"/>
    <w:rPr>
      <w:rFonts w:ascii="Tahoma" w:hAnsi="Tahoma" w:cs="Tahoma"/>
      <w:sz w:val="16"/>
      <w:szCs w:val="16"/>
    </w:rPr>
  </w:style>
  <w:style w:type="paragraph" w:customStyle="1" w:styleId="Bullet">
    <w:name w:val="Bullet"/>
    <w:basedOn w:val="Normal"/>
    <w:link w:val="BulletChar"/>
    <w:rsid w:val="00A53035"/>
    <w:pPr>
      <w:numPr>
        <w:numId w:val="3"/>
      </w:numPr>
      <w:ind w:right="91"/>
    </w:pPr>
  </w:style>
  <w:style w:type="character" w:customStyle="1" w:styleId="BulletChar">
    <w:name w:val="Bullet Char"/>
    <w:basedOn w:val="DefaultParagraphFont"/>
    <w:link w:val="Bullet"/>
    <w:rsid w:val="00A53035"/>
    <w:rPr>
      <w:sz w:val="24"/>
    </w:rPr>
  </w:style>
  <w:style w:type="paragraph" w:customStyle="1" w:styleId="Dash">
    <w:name w:val="Dash"/>
    <w:basedOn w:val="Normal"/>
    <w:link w:val="DashChar"/>
    <w:rsid w:val="00A53035"/>
    <w:pPr>
      <w:numPr>
        <w:ilvl w:val="1"/>
        <w:numId w:val="3"/>
      </w:numPr>
      <w:ind w:right="91"/>
    </w:pPr>
  </w:style>
  <w:style w:type="character" w:customStyle="1" w:styleId="DashChar">
    <w:name w:val="Dash Char"/>
    <w:basedOn w:val="DefaultParagraphFont"/>
    <w:link w:val="Dash"/>
    <w:rsid w:val="00A53035"/>
    <w:rPr>
      <w:sz w:val="24"/>
    </w:rPr>
  </w:style>
  <w:style w:type="paragraph" w:customStyle="1" w:styleId="DoubleDot">
    <w:name w:val="Double Dot"/>
    <w:basedOn w:val="Normal"/>
    <w:link w:val="DoubleDotChar"/>
    <w:rsid w:val="00A53035"/>
    <w:pPr>
      <w:numPr>
        <w:ilvl w:val="2"/>
        <w:numId w:val="3"/>
      </w:numPr>
      <w:ind w:right="91"/>
    </w:pPr>
  </w:style>
  <w:style w:type="character" w:customStyle="1" w:styleId="DoubleDotChar">
    <w:name w:val="Double Dot Char"/>
    <w:basedOn w:val="DefaultParagraphFont"/>
    <w:link w:val="DoubleDot"/>
    <w:rsid w:val="00A53035"/>
    <w:rPr>
      <w:sz w:val="24"/>
    </w:rPr>
  </w:style>
  <w:style w:type="paragraph" w:styleId="Header">
    <w:name w:val="header"/>
    <w:basedOn w:val="Normal"/>
    <w:link w:val="HeaderChar"/>
    <w:uiPriority w:val="99"/>
    <w:unhideWhenUsed/>
    <w:rsid w:val="004B6595"/>
    <w:pPr>
      <w:tabs>
        <w:tab w:val="center" w:pos="4513"/>
        <w:tab w:val="right" w:pos="9026"/>
      </w:tabs>
    </w:pPr>
  </w:style>
  <w:style w:type="character" w:customStyle="1" w:styleId="HeaderChar">
    <w:name w:val="Header Char"/>
    <w:basedOn w:val="DefaultParagraphFont"/>
    <w:link w:val="Header"/>
    <w:uiPriority w:val="99"/>
    <w:rsid w:val="004B6595"/>
    <w:rPr>
      <w:sz w:val="24"/>
    </w:rPr>
  </w:style>
  <w:style w:type="paragraph" w:styleId="Footer">
    <w:name w:val="footer"/>
    <w:basedOn w:val="Normal"/>
    <w:link w:val="FooterChar"/>
    <w:uiPriority w:val="99"/>
    <w:semiHidden/>
    <w:unhideWhenUsed/>
    <w:rsid w:val="004B6595"/>
    <w:pPr>
      <w:tabs>
        <w:tab w:val="center" w:pos="4513"/>
        <w:tab w:val="right" w:pos="9026"/>
      </w:tabs>
    </w:pPr>
  </w:style>
  <w:style w:type="character" w:customStyle="1" w:styleId="FooterChar">
    <w:name w:val="Footer Char"/>
    <w:basedOn w:val="DefaultParagraphFont"/>
    <w:link w:val="Footer"/>
    <w:uiPriority w:val="99"/>
    <w:semiHidden/>
    <w:rsid w:val="004B6595"/>
    <w:rPr>
      <w:sz w:val="24"/>
    </w:rPr>
  </w:style>
  <w:style w:type="paragraph" w:styleId="NormalWeb">
    <w:name w:val="Normal (Web)"/>
    <w:basedOn w:val="Normal"/>
    <w:uiPriority w:val="99"/>
    <w:unhideWhenUsed/>
    <w:rsid w:val="005261A3"/>
    <w:pPr>
      <w:spacing w:before="100" w:beforeAutospacing="1" w:after="100" w:afterAutospacing="1"/>
    </w:pPr>
    <w:rPr>
      <w:rFonts w:ascii="Arial" w:hAnsi="Arial" w:cs="Arial"/>
      <w:color w:val="00000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774"/>
    <w:rPr>
      <w:sz w:val="24"/>
    </w:rPr>
  </w:style>
  <w:style w:type="paragraph" w:styleId="Heading1">
    <w:name w:val="heading 1"/>
    <w:basedOn w:val="Normal"/>
    <w:next w:val="Normal"/>
    <w:link w:val="Heading1Char"/>
    <w:uiPriority w:val="9"/>
    <w:qFormat/>
    <w:rsid w:val="00512774"/>
    <w:pPr>
      <w:keepNext/>
      <w:spacing w:before="240" w:after="360"/>
      <w:outlineLvl w:val="0"/>
    </w:pPr>
    <w:rPr>
      <w:b/>
      <w:caps/>
      <w:sz w:val="28"/>
    </w:rPr>
  </w:style>
  <w:style w:type="paragraph" w:styleId="Heading2">
    <w:name w:val="heading 2"/>
    <w:basedOn w:val="Normal"/>
    <w:next w:val="Normal"/>
    <w:link w:val="Heading2Char"/>
    <w:uiPriority w:val="9"/>
    <w:qFormat/>
    <w:rsid w:val="00512774"/>
    <w:pPr>
      <w:keepNext/>
      <w:spacing w:before="120"/>
      <w:outlineLvl w:val="1"/>
    </w:pPr>
    <w:rPr>
      <w:b/>
      <w:caps/>
    </w:rPr>
  </w:style>
  <w:style w:type="paragraph" w:styleId="Heading3">
    <w:name w:val="heading 3"/>
    <w:basedOn w:val="Normal"/>
    <w:next w:val="Normal"/>
    <w:link w:val="Heading3Char"/>
    <w:uiPriority w:val="9"/>
    <w:qFormat/>
    <w:rsid w:val="00512774"/>
    <w:pPr>
      <w:keepNext/>
      <w:spacing w:before="60"/>
      <w:outlineLvl w:val="2"/>
    </w:pPr>
    <w:rPr>
      <w:b/>
    </w:rPr>
  </w:style>
  <w:style w:type="paragraph" w:styleId="Heading4">
    <w:name w:val="heading 4"/>
    <w:basedOn w:val="Normal"/>
    <w:next w:val="Normal"/>
    <w:link w:val="Heading4Char"/>
    <w:uiPriority w:val="9"/>
    <w:qFormat/>
    <w:rsid w:val="00512774"/>
    <w:pPr>
      <w:keepNext/>
      <w:outlineLvl w:val="3"/>
    </w:pPr>
    <w:rPr>
      <w:i/>
      <w:sz w:val="20"/>
    </w:rPr>
  </w:style>
  <w:style w:type="paragraph" w:styleId="Heading6">
    <w:name w:val="heading 6"/>
    <w:basedOn w:val="Normal"/>
    <w:next w:val="Normal"/>
    <w:link w:val="Heading6Char"/>
    <w:uiPriority w:val="9"/>
    <w:qFormat/>
    <w:rsid w:val="00512774"/>
    <w:pPr>
      <w:keepNext/>
      <w:spacing w:before="240"/>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5276"/>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F65276"/>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F65276"/>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F65276"/>
    <w:rPr>
      <w:rFonts w:asciiTheme="minorHAnsi" w:eastAsiaTheme="minorEastAsia" w:hAnsiTheme="minorHAnsi" w:cstheme="minorBidi"/>
      <w:b/>
      <w:bCs/>
      <w:sz w:val="28"/>
      <w:szCs w:val="28"/>
    </w:rPr>
  </w:style>
  <w:style w:type="character" w:customStyle="1" w:styleId="Heading6Char">
    <w:name w:val="Heading 6 Char"/>
    <w:basedOn w:val="DefaultParagraphFont"/>
    <w:link w:val="Heading6"/>
    <w:uiPriority w:val="9"/>
    <w:semiHidden/>
    <w:rsid w:val="00F65276"/>
    <w:rPr>
      <w:rFonts w:asciiTheme="minorHAnsi" w:eastAsiaTheme="minorEastAsia" w:hAnsiTheme="minorHAnsi" w:cstheme="minorBidi"/>
      <w:b/>
      <w:bCs/>
      <w:sz w:val="22"/>
      <w:szCs w:val="22"/>
    </w:rPr>
  </w:style>
  <w:style w:type="paragraph" w:customStyle="1" w:styleId="SingleParagraph">
    <w:name w:val="Single Paragraph"/>
    <w:basedOn w:val="Normal"/>
    <w:rsid w:val="00512774"/>
  </w:style>
  <w:style w:type="paragraph" w:customStyle="1" w:styleId="ChartMainHeading">
    <w:name w:val="Chart Main Heading"/>
    <w:basedOn w:val="SingleParagraph"/>
    <w:next w:val="Normal"/>
    <w:rsid w:val="00512774"/>
    <w:pPr>
      <w:jc w:val="center"/>
    </w:pPr>
    <w:rPr>
      <w:b/>
      <w:caps/>
    </w:rPr>
  </w:style>
  <w:style w:type="paragraph" w:customStyle="1" w:styleId="ChartSecondHeading">
    <w:name w:val="Chart Second Heading"/>
    <w:basedOn w:val="SingleParagraph"/>
    <w:next w:val="Normal"/>
    <w:rsid w:val="00512774"/>
    <w:pPr>
      <w:jc w:val="center"/>
    </w:pPr>
    <w:rPr>
      <w:b/>
    </w:rPr>
  </w:style>
  <w:style w:type="paragraph" w:customStyle="1" w:styleId="TableMainHeading">
    <w:name w:val="Table Main Heading"/>
    <w:basedOn w:val="Heading2"/>
    <w:next w:val="Normal"/>
    <w:rsid w:val="00512774"/>
    <w:pPr>
      <w:spacing w:before="240"/>
      <w:outlineLvl w:val="9"/>
    </w:pPr>
    <w:rPr>
      <w:rFonts w:ascii="Helvetica" w:hAnsi="Helvetica"/>
      <w:b w:val="0"/>
      <w:caps w:val="0"/>
      <w:spacing w:val="30"/>
      <w:sz w:val="22"/>
    </w:rPr>
  </w:style>
  <w:style w:type="paragraph" w:customStyle="1" w:styleId="Appendix">
    <w:name w:val="Appendix"/>
    <w:basedOn w:val="Normal"/>
    <w:link w:val="AppendixCharChar"/>
    <w:rsid w:val="00512774"/>
    <w:pPr>
      <w:jc w:val="right"/>
    </w:pPr>
    <w:rPr>
      <w:b/>
    </w:rPr>
  </w:style>
  <w:style w:type="character" w:customStyle="1" w:styleId="AppendixCharChar">
    <w:name w:val="Appendix Char Char"/>
    <w:basedOn w:val="DefaultParagraphFont"/>
    <w:link w:val="Appendix"/>
    <w:locked/>
    <w:rsid w:val="00512774"/>
    <w:rPr>
      <w:rFonts w:cs="Times New Roman"/>
      <w:b/>
      <w:sz w:val="24"/>
      <w:lang w:val="en-AU" w:eastAsia="en-AU" w:bidi="ar-SA"/>
    </w:rPr>
  </w:style>
  <w:style w:type="paragraph" w:customStyle="1" w:styleId="HB-dotpoint">
    <w:name w:val="HB - dotpoint"/>
    <w:basedOn w:val="Normal"/>
    <w:rsid w:val="00512774"/>
    <w:pPr>
      <w:numPr>
        <w:numId w:val="1"/>
      </w:numPr>
      <w:spacing w:before="180"/>
    </w:pPr>
  </w:style>
  <w:style w:type="character" w:styleId="CommentReference">
    <w:name w:val="annotation reference"/>
    <w:basedOn w:val="DefaultParagraphFont"/>
    <w:uiPriority w:val="99"/>
    <w:semiHidden/>
    <w:unhideWhenUsed/>
    <w:rsid w:val="00E76797"/>
    <w:rPr>
      <w:rFonts w:cs="Times New Roman"/>
      <w:sz w:val="16"/>
      <w:szCs w:val="16"/>
    </w:rPr>
  </w:style>
  <w:style w:type="paragraph" w:styleId="CommentText">
    <w:name w:val="annotation text"/>
    <w:basedOn w:val="Normal"/>
    <w:link w:val="CommentTextChar"/>
    <w:uiPriority w:val="99"/>
    <w:semiHidden/>
    <w:unhideWhenUsed/>
    <w:rsid w:val="00E76797"/>
    <w:rPr>
      <w:sz w:val="20"/>
    </w:rPr>
  </w:style>
  <w:style w:type="character" w:customStyle="1" w:styleId="CommentTextChar">
    <w:name w:val="Comment Text Char"/>
    <w:basedOn w:val="DefaultParagraphFont"/>
    <w:link w:val="CommentText"/>
    <w:uiPriority w:val="99"/>
    <w:semiHidden/>
    <w:locked/>
    <w:rsid w:val="00E76797"/>
    <w:rPr>
      <w:rFonts w:cs="Times New Roman"/>
    </w:rPr>
  </w:style>
  <w:style w:type="paragraph" w:styleId="CommentSubject">
    <w:name w:val="annotation subject"/>
    <w:basedOn w:val="CommentText"/>
    <w:next w:val="CommentText"/>
    <w:link w:val="CommentSubjectChar"/>
    <w:uiPriority w:val="99"/>
    <w:semiHidden/>
    <w:unhideWhenUsed/>
    <w:rsid w:val="00E76797"/>
    <w:rPr>
      <w:b/>
      <w:bCs/>
    </w:rPr>
  </w:style>
  <w:style w:type="character" w:customStyle="1" w:styleId="CommentSubjectChar">
    <w:name w:val="Comment Subject Char"/>
    <w:basedOn w:val="CommentTextChar"/>
    <w:link w:val="CommentSubject"/>
    <w:uiPriority w:val="99"/>
    <w:semiHidden/>
    <w:locked/>
    <w:rsid w:val="00E76797"/>
    <w:rPr>
      <w:rFonts w:cs="Times New Roman"/>
      <w:b/>
      <w:bCs/>
    </w:rPr>
  </w:style>
  <w:style w:type="paragraph" w:styleId="BalloonText">
    <w:name w:val="Balloon Text"/>
    <w:basedOn w:val="Normal"/>
    <w:link w:val="BalloonTextChar"/>
    <w:uiPriority w:val="99"/>
    <w:semiHidden/>
    <w:unhideWhenUsed/>
    <w:rsid w:val="00E7679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6797"/>
    <w:rPr>
      <w:rFonts w:ascii="Tahoma" w:hAnsi="Tahoma" w:cs="Tahoma"/>
      <w:sz w:val="16"/>
      <w:szCs w:val="16"/>
    </w:rPr>
  </w:style>
  <w:style w:type="paragraph" w:customStyle="1" w:styleId="Bullet">
    <w:name w:val="Bullet"/>
    <w:basedOn w:val="Normal"/>
    <w:link w:val="BulletChar"/>
    <w:rsid w:val="00A53035"/>
    <w:pPr>
      <w:numPr>
        <w:numId w:val="3"/>
      </w:numPr>
      <w:ind w:right="91"/>
    </w:pPr>
  </w:style>
  <w:style w:type="character" w:customStyle="1" w:styleId="BulletChar">
    <w:name w:val="Bullet Char"/>
    <w:basedOn w:val="DefaultParagraphFont"/>
    <w:link w:val="Bullet"/>
    <w:rsid w:val="00A53035"/>
    <w:rPr>
      <w:sz w:val="24"/>
    </w:rPr>
  </w:style>
  <w:style w:type="paragraph" w:customStyle="1" w:styleId="Dash">
    <w:name w:val="Dash"/>
    <w:basedOn w:val="Normal"/>
    <w:link w:val="DashChar"/>
    <w:rsid w:val="00A53035"/>
    <w:pPr>
      <w:numPr>
        <w:ilvl w:val="1"/>
        <w:numId w:val="3"/>
      </w:numPr>
      <w:ind w:right="91"/>
    </w:pPr>
  </w:style>
  <w:style w:type="character" w:customStyle="1" w:styleId="DashChar">
    <w:name w:val="Dash Char"/>
    <w:basedOn w:val="DefaultParagraphFont"/>
    <w:link w:val="Dash"/>
    <w:rsid w:val="00A53035"/>
    <w:rPr>
      <w:sz w:val="24"/>
    </w:rPr>
  </w:style>
  <w:style w:type="paragraph" w:customStyle="1" w:styleId="DoubleDot">
    <w:name w:val="Double Dot"/>
    <w:basedOn w:val="Normal"/>
    <w:link w:val="DoubleDotChar"/>
    <w:rsid w:val="00A53035"/>
    <w:pPr>
      <w:numPr>
        <w:ilvl w:val="2"/>
        <w:numId w:val="3"/>
      </w:numPr>
      <w:ind w:right="91"/>
    </w:pPr>
  </w:style>
  <w:style w:type="character" w:customStyle="1" w:styleId="DoubleDotChar">
    <w:name w:val="Double Dot Char"/>
    <w:basedOn w:val="DefaultParagraphFont"/>
    <w:link w:val="DoubleDot"/>
    <w:rsid w:val="00A53035"/>
    <w:rPr>
      <w:sz w:val="24"/>
    </w:rPr>
  </w:style>
  <w:style w:type="paragraph" w:styleId="Header">
    <w:name w:val="header"/>
    <w:basedOn w:val="Normal"/>
    <w:link w:val="HeaderChar"/>
    <w:uiPriority w:val="99"/>
    <w:unhideWhenUsed/>
    <w:rsid w:val="004B6595"/>
    <w:pPr>
      <w:tabs>
        <w:tab w:val="center" w:pos="4513"/>
        <w:tab w:val="right" w:pos="9026"/>
      </w:tabs>
    </w:pPr>
  </w:style>
  <w:style w:type="character" w:customStyle="1" w:styleId="HeaderChar">
    <w:name w:val="Header Char"/>
    <w:basedOn w:val="DefaultParagraphFont"/>
    <w:link w:val="Header"/>
    <w:uiPriority w:val="99"/>
    <w:rsid w:val="004B6595"/>
    <w:rPr>
      <w:sz w:val="24"/>
    </w:rPr>
  </w:style>
  <w:style w:type="paragraph" w:styleId="Footer">
    <w:name w:val="footer"/>
    <w:basedOn w:val="Normal"/>
    <w:link w:val="FooterChar"/>
    <w:uiPriority w:val="99"/>
    <w:semiHidden/>
    <w:unhideWhenUsed/>
    <w:rsid w:val="004B6595"/>
    <w:pPr>
      <w:tabs>
        <w:tab w:val="center" w:pos="4513"/>
        <w:tab w:val="right" w:pos="9026"/>
      </w:tabs>
    </w:pPr>
  </w:style>
  <w:style w:type="character" w:customStyle="1" w:styleId="FooterChar">
    <w:name w:val="Footer Char"/>
    <w:basedOn w:val="DefaultParagraphFont"/>
    <w:link w:val="Footer"/>
    <w:uiPriority w:val="99"/>
    <w:semiHidden/>
    <w:rsid w:val="004B6595"/>
    <w:rPr>
      <w:sz w:val="24"/>
    </w:rPr>
  </w:style>
  <w:style w:type="paragraph" w:styleId="NormalWeb">
    <w:name w:val="Normal (Web)"/>
    <w:basedOn w:val="Normal"/>
    <w:uiPriority w:val="99"/>
    <w:unhideWhenUsed/>
    <w:rsid w:val="005261A3"/>
    <w:pPr>
      <w:spacing w:before="100" w:beforeAutospacing="1" w:after="100" w:afterAutospacing="1"/>
    </w:pPr>
    <w:rPr>
      <w:rFonts w:ascii="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arliamentary\XCo%20Example%20EM%20-%20Regula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General Content" ma:contentTypeID="0x010100E726210826AA43828690450C811EB923009CA11FFD1E014DF4B1FA162D0F61129800080350834F0B46469CE5D2ECAC346F75" ma:contentTypeVersion="0" ma:contentTypeDescription="If you are creating a Word, PowerPoint or Excel document use the options available in the drop down list; for all other documents leave the content type as General Content." ma:contentTypeScope="" ma:versionID="ff9f6d2aa4bc77db93e65de572d08b4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0A5034-B48F-4920-97BD-31FA016A7378}">
  <ds:schemaRef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www.w3.org/XML/1998/namespace"/>
    <ds:schemaRef ds:uri="http://schemas.microsoft.com/office/2006/metadata/properties"/>
    <ds:schemaRef ds:uri="http://purl.org/dc/dcmitype/"/>
    <ds:schemaRef ds:uri="http://purl.org/dc/elements/1.1/"/>
  </ds:schemaRefs>
</ds:datastoreItem>
</file>

<file path=customXml/itemProps2.xml><?xml version="1.0" encoding="utf-8"?>
<ds:datastoreItem xmlns:ds="http://schemas.openxmlformats.org/officeDocument/2006/customXml" ds:itemID="{2C1DF9F2-0A5C-4768-B071-EE31FA66D6F7}">
  <ds:schemaRefs>
    <ds:schemaRef ds:uri="http://schemas.microsoft.com/sharepoint/v3/contenttype/forms"/>
  </ds:schemaRefs>
</ds:datastoreItem>
</file>

<file path=customXml/itemProps3.xml><?xml version="1.0" encoding="utf-8"?>
<ds:datastoreItem xmlns:ds="http://schemas.openxmlformats.org/officeDocument/2006/customXml" ds:itemID="{5208B8CE-C0CB-4F8C-ACB1-6DE628EA48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XCo Example EM - Regulations.dotx</Template>
  <TotalTime>4</TotalTime>
  <Pages>5</Pages>
  <Words>1207</Words>
  <Characters>6810</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The Treasury</Company>
  <LinksUpToDate>false</LinksUpToDate>
  <CharactersWithSpaces>8001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Rees, Tessa</dc:creator>
  <cp:lastModifiedBy>Hilhorst, Matt</cp:lastModifiedBy>
  <cp:revision>4</cp:revision>
  <cp:lastPrinted>2013-04-16T06:30:00Z</cp:lastPrinted>
  <dcterms:created xsi:type="dcterms:W3CDTF">2013-05-14T22:11:00Z</dcterms:created>
  <dcterms:modified xsi:type="dcterms:W3CDTF">2013-05-16T06:27:00Z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1511797880</vt:i4>
  </property>
  <property fmtid="{D5CDD505-2E9C-101B-9397-08002B2CF9AE}" pid="3" name="_NewReviewCycle">
    <vt:lpwstr/>
  </property>
  <property fmtid="{D5CDD505-2E9C-101B-9397-08002B2CF9AE}" pid="4" name="_EmailSubject">
    <vt:lpwstr>Exco Regs [SEC=UNCLASSIFIED]</vt:lpwstr>
  </property>
  <property fmtid="{D5CDD505-2E9C-101B-9397-08002B2CF9AE}" pid="5" name="_AuthorEmail">
    <vt:lpwstr>Michael.Wellham@TREASURY.GOV.AU</vt:lpwstr>
  </property>
  <property fmtid="{D5CDD505-2E9C-101B-9397-08002B2CF9AE}" pid="6" name="_AuthorEmailDisplayName">
    <vt:lpwstr>Wellham, Michael</vt:lpwstr>
  </property>
  <property fmtid="{D5CDD505-2E9C-101B-9397-08002B2CF9AE}" pid="7" name="_PreviousAdHocReviewCycleID">
    <vt:i4>-1040971745</vt:i4>
  </property>
  <property fmtid="{D5CDD505-2E9C-101B-9397-08002B2CF9AE}" pid="8" name="_ReviewingToolsShownOnce">
    <vt:lpwstr/>
  </property>
  <property fmtid="{D5CDD505-2E9C-101B-9397-08002B2CF9AE}" pid="9" name="ContentTypeId">
    <vt:lpwstr>0x010100E726210826AA43828690450C811EB923009CA11FFD1E014DF4B1FA162D0F61129800080350834F0B46469CE5D2ECAC346F75</vt:lpwstr>
  </property>
</Properties>
</file>