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FF6EAA" w:rsidRDefault="00193461" w:rsidP="0048364F">
      <w:pPr>
        <w:rPr>
          <w:sz w:val="28"/>
        </w:rPr>
      </w:pPr>
      <w:bookmarkStart w:id="0" w:name="OPCCaretCursor"/>
      <w:bookmarkStart w:id="1" w:name="OPCCaretStart"/>
      <w:bookmarkEnd w:id="0"/>
      <w:bookmarkEnd w:id="1"/>
      <w:r w:rsidRPr="00FF6EAA">
        <w:rPr>
          <w:noProof/>
          <w:lang w:eastAsia="en-AU"/>
        </w:rPr>
        <w:drawing>
          <wp:inline distT="0" distB="0" distL="0" distR="0" wp14:anchorId="518B3EA7" wp14:editId="65EF6322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FF6EAA" w:rsidRDefault="0048364F" w:rsidP="0048364F">
      <w:pPr>
        <w:rPr>
          <w:sz w:val="19"/>
        </w:rPr>
      </w:pPr>
    </w:p>
    <w:p w:rsidR="0048364F" w:rsidRPr="00FF6EAA" w:rsidRDefault="00CD0DCD" w:rsidP="0048364F">
      <w:pPr>
        <w:pStyle w:val="ShortT"/>
      </w:pPr>
      <w:bookmarkStart w:id="2" w:name="ConfidenceBlock"/>
      <w:bookmarkEnd w:id="2"/>
      <w:r w:rsidRPr="00FF6EAA">
        <w:t>Carbon Credits (Carbon Farming Initiative) Amendment Regulation</w:t>
      </w:r>
      <w:r w:rsidR="00FF6EAA" w:rsidRPr="00FF6EAA">
        <w:t> </w:t>
      </w:r>
      <w:r w:rsidR="00516BAF" w:rsidRPr="00FF6EAA">
        <w:t>2013 (No.</w:t>
      </w:r>
      <w:r w:rsidR="00FF6EAA" w:rsidRPr="00FF6EAA">
        <w:t> </w:t>
      </w:r>
      <w:r w:rsidR="00516BAF" w:rsidRPr="00FF6EAA">
        <w:t>1</w:t>
      </w:r>
      <w:r w:rsidRPr="00FF6EAA">
        <w:t>)</w:t>
      </w:r>
    </w:p>
    <w:p w:rsidR="0048364F" w:rsidRPr="00FF6EAA" w:rsidRDefault="0048364F" w:rsidP="0048364F"/>
    <w:p w:rsidR="0048364F" w:rsidRPr="00FF6EAA" w:rsidRDefault="00DA701E" w:rsidP="00680F17">
      <w:pPr>
        <w:pStyle w:val="InstNo"/>
      </w:pPr>
      <w:r>
        <w:t>Select Legislative Instrument No. 77,</w:t>
      </w:r>
      <w:r w:rsidR="00FB551E">
        <w:t xml:space="preserve"> </w:t>
      </w:r>
      <w:r>
        <w:t>2013</w:t>
      </w:r>
    </w:p>
    <w:p w:rsidR="00C978AD" w:rsidRPr="00FF6EAA" w:rsidRDefault="00C978AD" w:rsidP="00B74DA1">
      <w:pPr>
        <w:pStyle w:val="SignCoverPageStart"/>
        <w:spacing w:before="240"/>
      </w:pPr>
      <w:r w:rsidRPr="00FF6EAA">
        <w:t>I, Quentin Bryce AC CVO, Governor</w:t>
      </w:r>
      <w:r w:rsidR="00FF6EAA">
        <w:noBreakHyphen/>
      </w:r>
      <w:r w:rsidRPr="00FF6EAA">
        <w:t xml:space="preserve">General of the Commonwealth of Australia, acting with the advice of the Federal Executive Council, make the following regulation under the </w:t>
      </w:r>
      <w:r w:rsidRPr="00FF6EAA">
        <w:rPr>
          <w:i/>
        </w:rPr>
        <w:t>Carbon Credits (Carbon Farming Initiative) Act 2011</w:t>
      </w:r>
      <w:r w:rsidRPr="00FF6EAA">
        <w:t>.</w:t>
      </w:r>
    </w:p>
    <w:p w:rsidR="00C978AD" w:rsidRPr="00FF6EAA" w:rsidRDefault="00FB551E" w:rsidP="000B0F79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Dated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978AD" w:rsidRPr="00FF6EAA">
        <w:rPr>
          <w:sz w:val="24"/>
          <w:szCs w:val="24"/>
        </w:rPr>
        <w:fldChar w:fldCharType="begin"/>
      </w:r>
      <w:r w:rsidR="00C978AD" w:rsidRPr="00FF6EAA">
        <w:rPr>
          <w:sz w:val="24"/>
          <w:szCs w:val="24"/>
        </w:rPr>
        <w:instrText xml:space="preserve"> DOCPROPERTY  DateMade </w:instrText>
      </w:r>
      <w:r w:rsidR="00C978AD" w:rsidRPr="00FF6EAA">
        <w:rPr>
          <w:sz w:val="24"/>
          <w:szCs w:val="24"/>
        </w:rPr>
        <w:fldChar w:fldCharType="separate"/>
      </w:r>
      <w:r w:rsidR="00DA701E">
        <w:rPr>
          <w:sz w:val="24"/>
          <w:szCs w:val="24"/>
        </w:rPr>
        <w:t>16 May 2013</w:t>
      </w:r>
      <w:r w:rsidR="00C978AD" w:rsidRPr="00FF6EAA">
        <w:rPr>
          <w:sz w:val="24"/>
          <w:szCs w:val="24"/>
        </w:rPr>
        <w:fldChar w:fldCharType="end"/>
      </w:r>
    </w:p>
    <w:p w:rsidR="00C978AD" w:rsidRPr="00FF6EAA" w:rsidRDefault="00C978AD" w:rsidP="000B0F79">
      <w:pPr>
        <w:keepNext/>
        <w:tabs>
          <w:tab w:val="left" w:pos="3402"/>
        </w:tabs>
        <w:spacing w:before="960" w:line="300" w:lineRule="atLeast"/>
        <w:ind w:left="397" w:right="397"/>
        <w:jc w:val="right"/>
        <w:rPr>
          <w:sz w:val="24"/>
          <w:szCs w:val="24"/>
        </w:rPr>
      </w:pPr>
      <w:r w:rsidRPr="00FF6EAA">
        <w:t>Quentin Bryce</w:t>
      </w:r>
    </w:p>
    <w:p w:rsidR="00C978AD" w:rsidRPr="00FF6EAA" w:rsidRDefault="00C978AD" w:rsidP="00787B23">
      <w:pPr>
        <w:keepNext/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 w:rsidRPr="00FF6EAA">
        <w:rPr>
          <w:sz w:val="24"/>
          <w:szCs w:val="24"/>
        </w:rPr>
        <w:t>Governor</w:t>
      </w:r>
      <w:r w:rsidR="00FF6EAA">
        <w:rPr>
          <w:sz w:val="24"/>
          <w:szCs w:val="24"/>
        </w:rPr>
        <w:noBreakHyphen/>
      </w:r>
      <w:r w:rsidRPr="00FF6EAA">
        <w:rPr>
          <w:sz w:val="24"/>
          <w:szCs w:val="24"/>
        </w:rPr>
        <w:t>General</w:t>
      </w:r>
    </w:p>
    <w:p w:rsidR="00C978AD" w:rsidRPr="00FF6EAA" w:rsidRDefault="00C978AD" w:rsidP="00B74DA1">
      <w:pPr>
        <w:keepNext/>
        <w:tabs>
          <w:tab w:val="left" w:pos="3402"/>
        </w:tabs>
        <w:spacing w:after="800" w:line="300" w:lineRule="atLeast"/>
        <w:ind w:right="397"/>
        <w:rPr>
          <w:sz w:val="24"/>
          <w:szCs w:val="24"/>
        </w:rPr>
      </w:pPr>
      <w:r w:rsidRPr="00FF6EAA">
        <w:rPr>
          <w:sz w:val="24"/>
          <w:szCs w:val="24"/>
        </w:rPr>
        <w:t>By Her Excellency’s Command</w:t>
      </w:r>
    </w:p>
    <w:p w:rsidR="00C978AD" w:rsidRPr="00FF6EAA" w:rsidRDefault="00C978AD" w:rsidP="00B74DA1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FF6EAA">
        <w:rPr>
          <w:szCs w:val="22"/>
        </w:rPr>
        <w:t xml:space="preserve">Yvette </w:t>
      </w:r>
      <w:proofErr w:type="spellStart"/>
      <w:r w:rsidRPr="00FF6EAA">
        <w:rPr>
          <w:szCs w:val="22"/>
        </w:rPr>
        <w:t>D’Ath</w:t>
      </w:r>
      <w:proofErr w:type="spellEnd"/>
    </w:p>
    <w:p w:rsidR="00C978AD" w:rsidRPr="00FF6EAA" w:rsidRDefault="00C978AD" w:rsidP="00B74DA1">
      <w:pPr>
        <w:pStyle w:val="SignCoverPageEnd"/>
      </w:pPr>
      <w:r w:rsidRPr="00FF6EAA">
        <w:t>Parliamentary Secretary for Climate Change, Industry and Innovation</w:t>
      </w:r>
    </w:p>
    <w:p w:rsidR="00C978AD" w:rsidRPr="00FF6EAA" w:rsidRDefault="00C978AD">
      <w:pPr>
        <w:pStyle w:val="Tabletext"/>
      </w:pPr>
    </w:p>
    <w:p w:rsidR="00C978AD" w:rsidRPr="00FF6EAA" w:rsidRDefault="00C978AD" w:rsidP="00C978AD"/>
    <w:p w:rsidR="0048364F" w:rsidRPr="00FF6EAA" w:rsidRDefault="0048364F" w:rsidP="0048364F">
      <w:pPr>
        <w:pStyle w:val="Header"/>
        <w:tabs>
          <w:tab w:val="clear" w:pos="4150"/>
          <w:tab w:val="clear" w:pos="8307"/>
        </w:tabs>
      </w:pPr>
      <w:r w:rsidRPr="00FF6EAA">
        <w:rPr>
          <w:rStyle w:val="CharAmSchNo"/>
        </w:rPr>
        <w:t xml:space="preserve"> </w:t>
      </w:r>
      <w:r w:rsidRPr="00FF6EAA">
        <w:rPr>
          <w:rStyle w:val="CharAmSchText"/>
        </w:rPr>
        <w:t xml:space="preserve"> </w:t>
      </w:r>
    </w:p>
    <w:p w:rsidR="0048364F" w:rsidRPr="00FF6EAA" w:rsidRDefault="0048364F" w:rsidP="0048364F">
      <w:pPr>
        <w:pStyle w:val="Header"/>
        <w:tabs>
          <w:tab w:val="clear" w:pos="4150"/>
          <w:tab w:val="clear" w:pos="8307"/>
        </w:tabs>
      </w:pPr>
      <w:r w:rsidRPr="00FF6EAA">
        <w:rPr>
          <w:rStyle w:val="CharAmPartNo"/>
        </w:rPr>
        <w:t xml:space="preserve"> </w:t>
      </w:r>
      <w:r w:rsidRPr="00FF6EAA">
        <w:rPr>
          <w:rStyle w:val="CharAmPartText"/>
        </w:rPr>
        <w:t xml:space="preserve"> </w:t>
      </w:r>
    </w:p>
    <w:p w:rsidR="0048364F" w:rsidRPr="00FF6EAA" w:rsidRDefault="0048364F" w:rsidP="0048364F">
      <w:pPr>
        <w:sectPr w:rsidR="0048364F" w:rsidRPr="00FF6EAA" w:rsidSect="00AA05B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FF6EAA" w:rsidRDefault="0048364F" w:rsidP="00692D31">
      <w:pPr>
        <w:rPr>
          <w:sz w:val="36"/>
        </w:rPr>
      </w:pPr>
      <w:r w:rsidRPr="00FF6EAA">
        <w:rPr>
          <w:sz w:val="36"/>
        </w:rPr>
        <w:lastRenderedPageBreak/>
        <w:t>Contents</w:t>
      </w:r>
    </w:p>
    <w:bookmarkStart w:id="3" w:name="BKCheck15B_2"/>
    <w:bookmarkEnd w:id="3"/>
    <w:p w:rsidR="00FB551E" w:rsidRDefault="00FB551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 of regulation</w:t>
      </w:r>
      <w:r w:rsidRPr="00FB551E">
        <w:rPr>
          <w:noProof/>
        </w:rPr>
        <w:tab/>
      </w:r>
      <w:r w:rsidRPr="00FB551E">
        <w:rPr>
          <w:noProof/>
        </w:rPr>
        <w:fldChar w:fldCharType="begin"/>
      </w:r>
      <w:r w:rsidRPr="00FB551E">
        <w:rPr>
          <w:noProof/>
        </w:rPr>
        <w:instrText xml:space="preserve"> PAGEREF _Toc356307763 \h </w:instrText>
      </w:r>
      <w:r w:rsidRPr="00FB551E">
        <w:rPr>
          <w:noProof/>
        </w:rPr>
      </w:r>
      <w:r w:rsidRPr="00FB551E">
        <w:rPr>
          <w:noProof/>
        </w:rPr>
        <w:fldChar w:fldCharType="separate"/>
      </w:r>
      <w:r w:rsidRPr="00FB551E">
        <w:rPr>
          <w:noProof/>
        </w:rPr>
        <w:t>1</w:t>
      </w:r>
      <w:r w:rsidRPr="00FB551E">
        <w:rPr>
          <w:noProof/>
        </w:rPr>
        <w:fldChar w:fldCharType="end"/>
      </w:r>
    </w:p>
    <w:p w:rsidR="00FB551E" w:rsidRDefault="00FB551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FB551E">
        <w:rPr>
          <w:noProof/>
        </w:rPr>
        <w:tab/>
      </w:r>
      <w:r w:rsidRPr="00FB551E">
        <w:rPr>
          <w:noProof/>
        </w:rPr>
        <w:fldChar w:fldCharType="begin"/>
      </w:r>
      <w:r w:rsidRPr="00FB551E">
        <w:rPr>
          <w:noProof/>
        </w:rPr>
        <w:instrText xml:space="preserve"> PAGEREF _Toc356307764 \h </w:instrText>
      </w:r>
      <w:r w:rsidRPr="00FB551E">
        <w:rPr>
          <w:noProof/>
        </w:rPr>
      </w:r>
      <w:r w:rsidRPr="00FB551E">
        <w:rPr>
          <w:noProof/>
        </w:rPr>
        <w:fldChar w:fldCharType="separate"/>
      </w:r>
      <w:r w:rsidRPr="00FB551E">
        <w:rPr>
          <w:noProof/>
        </w:rPr>
        <w:t>1</w:t>
      </w:r>
      <w:r w:rsidRPr="00FB551E">
        <w:rPr>
          <w:noProof/>
        </w:rPr>
        <w:fldChar w:fldCharType="end"/>
      </w:r>
    </w:p>
    <w:p w:rsidR="00FB551E" w:rsidRDefault="00FB551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FB551E">
        <w:rPr>
          <w:noProof/>
        </w:rPr>
        <w:tab/>
      </w:r>
      <w:r w:rsidRPr="00FB551E">
        <w:rPr>
          <w:noProof/>
        </w:rPr>
        <w:fldChar w:fldCharType="begin"/>
      </w:r>
      <w:r w:rsidRPr="00FB551E">
        <w:rPr>
          <w:noProof/>
        </w:rPr>
        <w:instrText xml:space="preserve"> PAGEREF _Toc356307765 \h </w:instrText>
      </w:r>
      <w:r w:rsidRPr="00FB551E">
        <w:rPr>
          <w:noProof/>
        </w:rPr>
      </w:r>
      <w:r w:rsidRPr="00FB551E">
        <w:rPr>
          <w:noProof/>
        </w:rPr>
        <w:fldChar w:fldCharType="separate"/>
      </w:r>
      <w:r w:rsidRPr="00FB551E">
        <w:rPr>
          <w:noProof/>
        </w:rPr>
        <w:t>1</w:t>
      </w:r>
      <w:r w:rsidRPr="00FB551E">
        <w:rPr>
          <w:noProof/>
        </w:rPr>
        <w:fldChar w:fldCharType="end"/>
      </w:r>
    </w:p>
    <w:p w:rsidR="00FB551E" w:rsidRDefault="00FB551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Schedule(s)</w:t>
      </w:r>
      <w:r w:rsidRPr="00FB551E">
        <w:rPr>
          <w:noProof/>
        </w:rPr>
        <w:tab/>
      </w:r>
      <w:r w:rsidRPr="00FB551E">
        <w:rPr>
          <w:noProof/>
        </w:rPr>
        <w:fldChar w:fldCharType="begin"/>
      </w:r>
      <w:r w:rsidRPr="00FB551E">
        <w:rPr>
          <w:noProof/>
        </w:rPr>
        <w:instrText xml:space="preserve"> PAGEREF _Toc356307766 \h </w:instrText>
      </w:r>
      <w:r w:rsidRPr="00FB551E">
        <w:rPr>
          <w:noProof/>
        </w:rPr>
      </w:r>
      <w:r w:rsidRPr="00FB551E">
        <w:rPr>
          <w:noProof/>
        </w:rPr>
        <w:fldChar w:fldCharType="separate"/>
      </w:r>
      <w:r w:rsidRPr="00FB551E">
        <w:rPr>
          <w:noProof/>
        </w:rPr>
        <w:t>1</w:t>
      </w:r>
      <w:r w:rsidRPr="00FB551E">
        <w:rPr>
          <w:noProof/>
        </w:rPr>
        <w:fldChar w:fldCharType="end"/>
      </w:r>
    </w:p>
    <w:p w:rsidR="00FB551E" w:rsidRDefault="00FB551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</w:t>
      </w:r>
      <w:r w:rsidRPr="00107C51">
        <w:rPr>
          <w:rFonts w:cs="Arial"/>
          <w:noProof/>
        </w:rPr>
        <w:t>—</w:t>
      </w:r>
      <w:r>
        <w:rPr>
          <w:noProof/>
        </w:rPr>
        <w:t>Amendments</w:t>
      </w:r>
      <w:r w:rsidRPr="00FB551E">
        <w:rPr>
          <w:b w:val="0"/>
          <w:noProof/>
          <w:sz w:val="18"/>
        </w:rPr>
        <w:tab/>
      </w:r>
      <w:r w:rsidRPr="00FB551E">
        <w:rPr>
          <w:b w:val="0"/>
          <w:noProof/>
          <w:sz w:val="18"/>
        </w:rPr>
        <w:fldChar w:fldCharType="begin"/>
      </w:r>
      <w:r w:rsidRPr="00FB551E">
        <w:rPr>
          <w:b w:val="0"/>
          <w:noProof/>
          <w:sz w:val="18"/>
        </w:rPr>
        <w:instrText xml:space="preserve"> PAGEREF _Toc356307767 \h </w:instrText>
      </w:r>
      <w:r w:rsidRPr="00FB551E">
        <w:rPr>
          <w:b w:val="0"/>
          <w:noProof/>
          <w:sz w:val="18"/>
        </w:rPr>
      </w:r>
      <w:r w:rsidRPr="00FB551E">
        <w:rPr>
          <w:b w:val="0"/>
          <w:noProof/>
          <w:sz w:val="18"/>
        </w:rPr>
        <w:fldChar w:fldCharType="separate"/>
      </w:r>
      <w:r w:rsidRPr="00FB551E">
        <w:rPr>
          <w:b w:val="0"/>
          <w:noProof/>
          <w:sz w:val="18"/>
        </w:rPr>
        <w:t>2</w:t>
      </w:r>
      <w:r w:rsidRPr="00FB551E">
        <w:rPr>
          <w:b w:val="0"/>
          <w:noProof/>
          <w:sz w:val="18"/>
        </w:rPr>
        <w:fldChar w:fldCharType="end"/>
      </w:r>
    </w:p>
    <w:p w:rsidR="00FB551E" w:rsidRDefault="00FB551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Carbon Credits (Carbon Farming Initiative) Regulations 2011</w:t>
      </w:r>
      <w:r w:rsidRPr="00FB551E">
        <w:rPr>
          <w:i w:val="0"/>
          <w:noProof/>
          <w:sz w:val="18"/>
        </w:rPr>
        <w:tab/>
      </w:r>
      <w:r w:rsidRPr="00FB551E">
        <w:rPr>
          <w:i w:val="0"/>
          <w:noProof/>
          <w:sz w:val="18"/>
        </w:rPr>
        <w:fldChar w:fldCharType="begin"/>
      </w:r>
      <w:r w:rsidRPr="00FB551E">
        <w:rPr>
          <w:i w:val="0"/>
          <w:noProof/>
          <w:sz w:val="18"/>
        </w:rPr>
        <w:instrText xml:space="preserve"> PAGEREF _Toc356307768 \h </w:instrText>
      </w:r>
      <w:r w:rsidRPr="00FB551E">
        <w:rPr>
          <w:i w:val="0"/>
          <w:noProof/>
          <w:sz w:val="18"/>
        </w:rPr>
      </w:r>
      <w:r w:rsidRPr="00FB551E">
        <w:rPr>
          <w:i w:val="0"/>
          <w:noProof/>
          <w:sz w:val="18"/>
        </w:rPr>
        <w:fldChar w:fldCharType="separate"/>
      </w:r>
      <w:r w:rsidRPr="00FB551E">
        <w:rPr>
          <w:i w:val="0"/>
          <w:noProof/>
          <w:sz w:val="18"/>
        </w:rPr>
        <w:t>2</w:t>
      </w:r>
      <w:r w:rsidRPr="00FB551E">
        <w:rPr>
          <w:i w:val="0"/>
          <w:noProof/>
          <w:sz w:val="18"/>
        </w:rPr>
        <w:fldChar w:fldCharType="end"/>
      </w:r>
    </w:p>
    <w:p w:rsidR="00A87AB9" w:rsidRPr="00FF6EAA" w:rsidRDefault="00FB551E" w:rsidP="0048364F">
      <w:r>
        <w:fldChar w:fldCharType="end"/>
      </w:r>
    </w:p>
    <w:p w:rsidR="00722023" w:rsidRPr="00FF6EAA" w:rsidRDefault="00722023" w:rsidP="0048364F">
      <w:pPr>
        <w:sectPr w:rsidR="00722023" w:rsidRPr="00FF6EAA" w:rsidSect="00AA05B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  <w:bookmarkStart w:id="4" w:name="_GoBack"/>
      <w:bookmarkEnd w:id="4"/>
    </w:p>
    <w:p w:rsidR="0048364F" w:rsidRPr="00FF6EAA" w:rsidRDefault="0048364F" w:rsidP="0048364F">
      <w:pPr>
        <w:pStyle w:val="ActHead5"/>
      </w:pPr>
      <w:bookmarkStart w:id="5" w:name="_Toc356307763"/>
      <w:r w:rsidRPr="00FF6EAA">
        <w:rPr>
          <w:rStyle w:val="CharSectno"/>
        </w:rPr>
        <w:lastRenderedPageBreak/>
        <w:t>1</w:t>
      </w:r>
      <w:r w:rsidRPr="00FF6EAA">
        <w:t xml:space="preserve">  </w:t>
      </w:r>
      <w:r w:rsidR="004F676E" w:rsidRPr="00FF6EAA">
        <w:t xml:space="preserve">Name of </w:t>
      </w:r>
      <w:r w:rsidR="003D5451" w:rsidRPr="00FF6EAA">
        <w:t>regulation</w:t>
      </w:r>
      <w:bookmarkEnd w:id="5"/>
    </w:p>
    <w:p w:rsidR="0048364F" w:rsidRPr="00FF6EAA" w:rsidRDefault="0048364F" w:rsidP="0048364F">
      <w:pPr>
        <w:pStyle w:val="subsection"/>
      </w:pPr>
      <w:r w:rsidRPr="00FF6EAA">
        <w:tab/>
      </w:r>
      <w:r w:rsidRPr="00FF6EAA">
        <w:tab/>
        <w:t>Th</w:t>
      </w:r>
      <w:r w:rsidR="00F24C35" w:rsidRPr="00FF6EAA">
        <w:t>is</w:t>
      </w:r>
      <w:r w:rsidRPr="00FF6EAA">
        <w:t xml:space="preserve"> </w:t>
      </w:r>
      <w:r w:rsidR="003D5451" w:rsidRPr="00FF6EAA">
        <w:t>regulation</w:t>
      </w:r>
      <w:r w:rsidRPr="00FF6EAA">
        <w:t xml:space="preserve"> </w:t>
      </w:r>
      <w:r w:rsidR="00F24C35" w:rsidRPr="00FF6EAA">
        <w:t>is</w:t>
      </w:r>
      <w:r w:rsidR="003801D0" w:rsidRPr="00FF6EAA">
        <w:t xml:space="preserve"> the</w:t>
      </w:r>
      <w:r w:rsidRPr="00FF6EAA">
        <w:t xml:space="preserve"> </w:t>
      </w:r>
      <w:bookmarkStart w:id="6" w:name="BKCheck15B_3"/>
      <w:bookmarkEnd w:id="6"/>
      <w:r w:rsidR="00CB0180" w:rsidRPr="00FF6EAA">
        <w:rPr>
          <w:i/>
        </w:rPr>
        <w:fldChar w:fldCharType="begin"/>
      </w:r>
      <w:r w:rsidR="00CB0180" w:rsidRPr="00FF6EAA">
        <w:rPr>
          <w:i/>
        </w:rPr>
        <w:instrText xml:space="preserve"> STYLEREF  ShortT </w:instrText>
      </w:r>
      <w:r w:rsidR="00CB0180" w:rsidRPr="00FF6EAA">
        <w:rPr>
          <w:i/>
        </w:rPr>
        <w:fldChar w:fldCharType="separate"/>
      </w:r>
      <w:r w:rsidR="00FB551E">
        <w:rPr>
          <w:i/>
          <w:noProof/>
        </w:rPr>
        <w:t>Carbon Credits (Carbon Farming Initiative) Amendment Regulation 2013 (No. 1)</w:t>
      </w:r>
      <w:r w:rsidR="00CB0180" w:rsidRPr="00FF6EAA">
        <w:rPr>
          <w:i/>
        </w:rPr>
        <w:fldChar w:fldCharType="end"/>
      </w:r>
      <w:r w:rsidRPr="00FF6EAA">
        <w:t>.</w:t>
      </w:r>
    </w:p>
    <w:p w:rsidR="003D5451" w:rsidRPr="00FF6EAA" w:rsidRDefault="00AB302A" w:rsidP="003D5451">
      <w:pPr>
        <w:pStyle w:val="ActHead5"/>
      </w:pPr>
      <w:bookmarkStart w:id="7" w:name="_Toc356307764"/>
      <w:r w:rsidRPr="00FF6EAA">
        <w:rPr>
          <w:rStyle w:val="CharSectno"/>
        </w:rPr>
        <w:t>2</w:t>
      </w:r>
      <w:r w:rsidRPr="00FF6EAA">
        <w:t xml:space="preserve">  </w:t>
      </w:r>
      <w:r w:rsidR="003D5451" w:rsidRPr="00FF6EAA">
        <w:t>Commencement</w:t>
      </w:r>
      <w:bookmarkEnd w:id="7"/>
    </w:p>
    <w:p w:rsidR="003D5451" w:rsidRPr="00FF6EAA" w:rsidRDefault="003D5451" w:rsidP="003D5451">
      <w:pPr>
        <w:pStyle w:val="subsection"/>
      </w:pPr>
      <w:r w:rsidRPr="00FF6EAA">
        <w:tab/>
      </w:r>
      <w:r w:rsidRPr="00FF6EAA">
        <w:tab/>
        <w:t>This regulation commences on the day after it is registered.</w:t>
      </w:r>
    </w:p>
    <w:p w:rsidR="003D5451" w:rsidRPr="00FF6EAA" w:rsidRDefault="001F0A3B" w:rsidP="003D5451">
      <w:pPr>
        <w:pStyle w:val="ActHead5"/>
      </w:pPr>
      <w:bookmarkStart w:id="8" w:name="_Toc356307765"/>
      <w:r w:rsidRPr="00FF6EAA">
        <w:rPr>
          <w:rStyle w:val="CharSectno"/>
        </w:rPr>
        <w:t>3</w:t>
      </w:r>
      <w:r w:rsidR="003D5451" w:rsidRPr="00FF6EAA">
        <w:t xml:space="preserve">  Authority</w:t>
      </w:r>
      <w:bookmarkEnd w:id="8"/>
    </w:p>
    <w:p w:rsidR="003D5451" w:rsidRPr="00FF6EAA" w:rsidRDefault="003D5451" w:rsidP="003D5451">
      <w:pPr>
        <w:pStyle w:val="subsection"/>
      </w:pPr>
      <w:r w:rsidRPr="00FF6EAA">
        <w:tab/>
      </w:r>
      <w:r w:rsidRPr="00FF6EAA">
        <w:tab/>
        <w:t xml:space="preserve">This regulation is made under the </w:t>
      </w:r>
      <w:r w:rsidRPr="00FF6EAA">
        <w:rPr>
          <w:i/>
        </w:rPr>
        <w:t>Carbon Credits (Carbon Farming Initiative) Act 2011.</w:t>
      </w:r>
    </w:p>
    <w:p w:rsidR="003D5451" w:rsidRPr="00FF6EAA" w:rsidRDefault="003D5451" w:rsidP="003D5451">
      <w:pPr>
        <w:pStyle w:val="ActHead5"/>
      </w:pPr>
      <w:bookmarkStart w:id="9" w:name="_Toc356307766"/>
      <w:r w:rsidRPr="00FF6EAA">
        <w:rPr>
          <w:rStyle w:val="CharSectno"/>
        </w:rPr>
        <w:t>4</w:t>
      </w:r>
      <w:r w:rsidRPr="00FF6EAA">
        <w:t xml:space="preserve">  Schedule(s)</w:t>
      </w:r>
      <w:bookmarkEnd w:id="9"/>
    </w:p>
    <w:p w:rsidR="003D5451" w:rsidRPr="00FF6EAA" w:rsidRDefault="003D5451" w:rsidP="003D5451">
      <w:pPr>
        <w:pStyle w:val="subsection"/>
      </w:pPr>
      <w:r w:rsidRPr="00FF6EAA">
        <w:tab/>
      </w:r>
      <w:r w:rsidRPr="00FF6EAA">
        <w:tab/>
        <w:t xml:space="preserve">Each instrument that is specified in a Schedule to this </w:t>
      </w:r>
      <w:r w:rsidR="00BF0698" w:rsidRPr="00FF6EAA">
        <w:t xml:space="preserve">instrument </w:t>
      </w:r>
      <w:r w:rsidRPr="00FF6EAA">
        <w:t>is amended or repealed as set out in the applicable items in the Schedule concerned, and any other item in a Schedule to this instrument has effect according to its terms.</w:t>
      </w:r>
    </w:p>
    <w:p w:rsidR="003D5451" w:rsidRPr="00FF6EAA" w:rsidRDefault="003D5451" w:rsidP="003D5451">
      <w:pPr>
        <w:pStyle w:val="ActHead6"/>
        <w:pageBreakBefore/>
      </w:pPr>
      <w:bookmarkStart w:id="10" w:name="opcAmSched"/>
      <w:bookmarkStart w:id="11" w:name="opcCurrentFind"/>
      <w:bookmarkStart w:id="12" w:name="_Toc356307767"/>
      <w:r w:rsidRPr="00FF6EAA">
        <w:rPr>
          <w:rStyle w:val="CharAmSchNo"/>
        </w:rPr>
        <w:lastRenderedPageBreak/>
        <w:t>Schedule</w:t>
      </w:r>
      <w:r w:rsidR="00FF6EAA" w:rsidRPr="00FF6EAA">
        <w:rPr>
          <w:rStyle w:val="CharAmSchNo"/>
        </w:rPr>
        <w:t> </w:t>
      </w:r>
      <w:r w:rsidRPr="00FF6EAA">
        <w:rPr>
          <w:rStyle w:val="CharAmSchNo"/>
        </w:rPr>
        <w:t>1</w:t>
      </w:r>
      <w:r w:rsidRPr="00FF6EAA">
        <w:rPr>
          <w:rFonts w:cs="Arial"/>
        </w:rPr>
        <w:t>—</w:t>
      </w:r>
      <w:r w:rsidRPr="00FF6EAA">
        <w:rPr>
          <w:rStyle w:val="CharAmSchText"/>
        </w:rPr>
        <w:t>Amendments</w:t>
      </w:r>
      <w:bookmarkEnd w:id="12"/>
    </w:p>
    <w:bookmarkEnd w:id="10"/>
    <w:bookmarkEnd w:id="11"/>
    <w:p w:rsidR="008D5695" w:rsidRPr="00FF6EAA" w:rsidRDefault="008D5695" w:rsidP="008D5695">
      <w:pPr>
        <w:pStyle w:val="Header"/>
      </w:pPr>
      <w:r w:rsidRPr="00FF6EAA">
        <w:rPr>
          <w:rStyle w:val="CharAmPartNo"/>
        </w:rPr>
        <w:t xml:space="preserve"> </w:t>
      </w:r>
      <w:r w:rsidRPr="00FF6EAA">
        <w:rPr>
          <w:rStyle w:val="CharAmPartText"/>
        </w:rPr>
        <w:t xml:space="preserve"> </w:t>
      </w:r>
    </w:p>
    <w:p w:rsidR="003D5451" w:rsidRPr="00FF6EAA" w:rsidRDefault="003D5451" w:rsidP="003D5451">
      <w:pPr>
        <w:pStyle w:val="ActHead9"/>
      </w:pPr>
      <w:bookmarkStart w:id="13" w:name="_Toc356307768"/>
      <w:r w:rsidRPr="00FF6EAA">
        <w:t>Carbon Credits (Carbon Farming Initiative) Regulations</w:t>
      </w:r>
      <w:r w:rsidR="00FF6EAA" w:rsidRPr="00FF6EAA">
        <w:t> </w:t>
      </w:r>
      <w:r w:rsidRPr="00FF6EAA">
        <w:t>2011</w:t>
      </w:r>
      <w:bookmarkEnd w:id="13"/>
    </w:p>
    <w:p w:rsidR="007F2E66" w:rsidRPr="00FF6EAA" w:rsidRDefault="00307670" w:rsidP="007F2E66">
      <w:pPr>
        <w:pStyle w:val="ItemHead"/>
        <w:tabs>
          <w:tab w:val="left" w:pos="6663"/>
        </w:tabs>
      </w:pPr>
      <w:r w:rsidRPr="00FF6EAA">
        <w:rPr>
          <w:rFonts w:cs="Arial"/>
        </w:rPr>
        <w:t>1</w:t>
      </w:r>
      <w:r w:rsidR="003D5451" w:rsidRPr="00FF6EAA">
        <w:rPr>
          <w:rFonts w:cs="Arial"/>
        </w:rPr>
        <w:t xml:space="preserve">  </w:t>
      </w:r>
      <w:proofErr w:type="spellStart"/>
      <w:r w:rsidR="007F2E66" w:rsidRPr="00FF6EAA">
        <w:t>Subregulation</w:t>
      </w:r>
      <w:proofErr w:type="spellEnd"/>
      <w:r w:rsidR="00FF6EAA" w:rsidRPr="00FF6EAA">
        <w:t> </w:t>
      </w:r>
      <w:r w:rsidR="007F2E66" w:rsidRPr="00FF6EAA">
        <w:t>1.3(1)</w:t>
      </w:r>
    </w:p>
    <w:p w:rsidR="007F2E66" w:rsidRPr="00FF6EAA" w:rsidRDefault="007F2E66" w:rsidP="007F2E66">
      <w:pPr>
        <w:pStyle w:val="Item"/>
      </w:pPr>
      <w:r w:rsidRPr="00FF6EAA">
        <w:t>Insert:</w:t>
      </w:r>
    </w:p>
    <w:p w:rsidR="007F2E66" w:rsidRPr="00FF6EAA" w:rsidRDefault="007F2E66" w:rsidP="007F2E66">
      <w:pPr>
        <w:pStyle w:val="Definition"/>
      </w:pPr>
      <w:r w:rsidRPr="00FF6EAA">
        <w:rPr>
          <w:b/>
          <w:i/>
        </w:rPr>
        <w:t xml:space="preserve">2006 </w:t>
      </w:r>
      <w:proofErr w:type="spellStart"/>
      <w:r w:rsidRPr="00FF6EAA">
        <w:rPr>
          <w:b/>
          <w:i/>
        </w:rPr>
        <w:t>IPCC</w:t>
      </w:r>
      <w:proofErr w:type="spellEnd"/>
      <w:r w:rsidRPr="00FF6EAA">
        <w:rPr>
          <w:b/>
          <w:i/>
        </w:rPr>
        <w:t xml:space="preserve"> Guidelines for National Greenhouse Gas Inventories</w:t>
      </w:r>
      <w:r w:rsidRPr="00FF6EAA">
        <w:t xml:space="preserve"> means the report titled </w:t>
      </w:r>
      <w:proofErr w:type="spellStart"/>
      <w:r w:rsidR="00C86F55" w:rsidRPr="00FF6EAA">
        <w:rPr>
          <w:i/>
        </w:rPr>
        <w:t>IPCC</w:t>
      </w:r>
      <w:proofErr w:type="spellEnd"/>
      <w:r w:rsidR="00C86F55" w:rsidRPr="00FF6EAA">
        <w:rPr>
          <w:i/>
        </w:rPr>
        <w:t xml:space="preserve"> 2006, </w:t>
      </w:r>
      <w:r w:rsidRPr="00FF6EAA">
        <w:rPr>
          <w:i/>
        </w:rPr>
        <w:t xml:space="preserve">2006 </w:t>
      </w:r>
      <w:proofErr w:type="spellStart"/>
      <w:r w:rsidRPr="00FF6EAA">
        <w:rPr>
          <w:i/>
        </w:rPr>
        <w:t>IPCC</w:t>
      </w:r>
      <w:proofErr w:type="spellEnd"/>
      <w:r w:rsidRPr="00FF6EAA">
        <w:rPr>
          <w:i/>
        </w:rPr>
        <w:t xml:space="preserve"> Guidelines for National Greenhouse Gas Inventories</w:t>
      </w:r>
      <w:r w:rsidRPr="00FF6EAA">
        <w:t>, prepared by the National Greenhouse Gas Inventories Programme, as in force from time to time.</w:t>
      </w:r>
    </w:p>
    <w:p w:rsidR="007F2E66" w:rsidRPr="00FF6EAA" w:rsidRDefault="007F2E66" w:rsidP="007F2E66">
      <w:pPr>
        <w:pStyle w:val="notetext"/>
      </w:pPr>
      <w:r w:rsidRPr="00FF6EAA">
        <w:t>Note:</w:t>
      </w:r>
      <w:r w:rsidRPr="00FF6EAA">
        <w:tab/>
        <w:t>The report is accessible at www.ipcc.ch/.</w:t>
      </w:r>
    </w:p>
    <w:p w:rsidR="007F2E66" w:rsidRPr="00FF6EAA" w:rsidRDefault="007F2E66" w:rsidP="007F2E66">
      <w:pPr>
        <w:pStyle w:val="Definition"/>
      </w:pPr>
      <w:r w:rsidRPr="00FF6EAA">
        <w:rPr>
          <w:b/>
          <w:i/>
        </w:rPr>
        <w:t xml:space="preserve">CFI rainfall map </w:t>
      </w:r>
      <w:r w:rsidRPr="00FF6EAA">
        <w:t>means the map:</w:t>
      </w:r>
    </w:p>
    <w:p w:rsidR="007F2E66" w:rsidRPr="00FF6EAA" w:rsidRDefault="007F2E66" w:rsidP="007F2E66">
      <w:pPr>
        <w:pStyle w:val="paragraph"/>
      </w:pPr>
      <w:r w:rsidRPr="00FF6EAA">
        <w:tab/>
        <w:t>(a)</w:t>
      </w:r>
      <w:r w:rsidRPr="00FF6EAA">
        <w:tab/>
        <w:t>that shows long</w:t>
      </w:r>
      <w:r w:rsidR="00FF6EAA">
        <w:noBreakHyphen/>
      </w:r>
      <w:r w:rsidRPr="00FF6EAA">
        <w:t>term average annual rainfall; and</w:t>
      </w:r>
    </w:p>
    <w:p w:rsidR="007F2E66" w:rsidRPr="00FF6EAA" w:rsidRDefault="007F2E66" w:rsidP="007F2E66">
      <w:pPr>
        <w:pStyle w:val="paragraph"/>
      </w:pPr>
      <w:r w:rsidRPr="00FF6EAA">
        <w:tab/>
        <w:t>(b)</w:t>
      </w:r>
      <w:r w:rsidRPr="00FF6EAA">
        <w:tab/>
        <w:t>that uses data that is:</w:t>
      </w:r>
    </w:p>
    <w:p w:rsidR="007F2E66" w:rsidRPr="00FF6EAA" w:rsidRDefault="007F2E66" w:rsidP="007F2E66">
      <w:pPr>
        <w:pStyle w:val="paragraphsub"/>
      </w:pPr>
      <w:r w:rsidRPr="00FF6EAA">
        <w:tab/>
        <w:t>(</w:t>
      </w:r>
      <w:proofErr w:type="spellStart"/>
      <w:r w:rsidRPr="00FF6EAA">
        <w:t>i</w:t>
      </w:r>
      <w:proofErr w:type="spellEnd"/>
      <w:r w:rsidRPr="00FF6EAA">
        <w:t>)</w:t>
      </w:r>
      <w:r w:rsidRPr="00FF6EAA">
        <w:tab/>
        <w:t xml:space="preserve">collected by the Bureau of Meteorology for the period from at least 1921 to </w:t>
      </w:r>
      <w:r w:rsidR="00011E5B" w:rsidRPr="00FF6EAA">
        <w:t>2010</w:t>
      </w:r>
      <w:r w:rsidRPr="00FF6EAA">
        <w:t>; and</w:t>
      </w:r>
    </w:p>
    <w:p w:rsidR="007F2E66" w:rsidRPr="00FF6EAA" w:rsidRDefault="007F2E66" w:rsidP="007F2E66">
      <w:pPr>
        <w:pStyle w:val="paragraphsub"/>
      </w:pPr>
      <w:r w:rsidRPr="00FF6EAA">
        <w:tab/>
        <w:t>(ii)</w:t>
      </w:r>
      <w:r w:rsidRPr="00FF6EAA">
        <w:tab/>
        <w:t>processed by the Department; and</w:t>
      </w:r>
    </w:p>
    <w:p w:rsidR="007F2E66" w:rsidRPr="00FF6EAA" w:rsidRDefault="007F2E66" w:rsidP="007F2E66">
      <w:pPr>
        <w:pStyle w:val="paragraph"/>
      </w:pPr>
      <w:r w:rsidRPr="00FF6EAA">
        <w:tab/>
        <w:t>(c)</w:t>
      </w:r>
      <w:r w:rsidRPr="00FF6EAA">
        <w:tab/>
        <w:t>published on the Department’s website; and</w:t>
      </w:r>
    </w:p>
    <w:p w:rsidR="007F2E66" w:rsidRPr="00FF6EAA" w:rsidRDefault="007F2E66" w:rsidP="007F2E66">
      <w:pPr>
        <w:pStyle w:val="paragraph"/>
      </w:pPr>
      <w:r w:rsidRPr="00FF6EAA">
        <w:tab/>
        <w:t>(d)</w:t>
      </w:r>
      <w:r w:rsidRPr="00FF6EAA">
        <w:tab/>
        <w:t>as in force from time to time.</w:t>
      </w:r>
    </w:p>
    <w:p w:rsidR="007F2E66" w:rsidRPr="00FF6EAA" w:rsidRDefault="007F2E66" w:rsidP="007F2E66">
      <w:pPr>
        <w:pStyle w:val="notetext"/>
      </w:pPr>
      <w:r w:rsidRPr="00FF6EAA">
        <w:t>Note:</w:t>
      </w:r>
      <w:r w:rsidRPr="00FF6EAA">
        <w:tab/>
        <w:t>The map is accessible at www.climatechange.gov.au.</w:t>
      </w:r>
    </w:p>
    <w:p w:rsidR="007F2E66" w:rsidRPr="00FF6EAA" w:rsidRDefault="007F2E66" w:rsidP="007F2E66">
      <w:pPr>
        <w:pStyle w:val="Definition"/>
      </w:pPr>
      <w:r w:rsidRPr="00FF6EAA">
        <w:rPr>
          <w:b/>
          <w:i/>
        </w:rPr>
        <w:t>clearing</w:t>
      </w:r>
      <w:r w:rsidRPr="00FF6EAA">
        <w:t xml:space="preserve"> means the conversion, caused by people, of native forest to cropland, grassland or settlements (within the meaning of “cropland”, “grassland” and “settlements” in the </w:t>
      </w:r>
      <w:r w:rsidRPr="00FF6EAA">
        <w:rPr>
          <w:i/>
        </w:rPr>
        <w:t xml:space="preserve">2006 </w:t>
      </w:r>
      <w:proofErr w:type="spellStart"/>
      <w:r w:rsidRPr="00FF6EAA">
        <w:rPr>
          <w:i/>
        </w:rPr>
        <w:t>IPCC</w:t>
      </w:r>
      <w:proofErr w:type="spellEnd"/>
      <w:r w:rsidRPr="00FF6EAA">
        <w:rPr>
          <w:i/>
        </w:rPr>
        <w:t xml:space="preserve"> Guidelines for National Greenhouse Gas Inventories</w:t>
      </w:r>
      <w:r w:rsidRPr="00FF6EAA">
        <w:t>)</w:t>
      </w:r>
      <w:r w:rsidR="007470B1" w:rsidRPr="00FF6EAA">
        <w:t>.</w:t>
      </w:r>
    </w:p>
    <w:p w:rsidR="007F2E66" w:rsidRPr="00FF6EAA" w:rsidRDefault="007F2E66" w:rsidP="007F2E66">
      <w:pPr>
        <w:pStyle w:val="Definition"/>
      </w:pPr>
      <w:r w:rsidRPr="00FF6EAA">
        <w:rPr>
          <w:b/>
          <w:i/>
        </w:rPr>
        <w:t>consent</w:t>
      </w:r>
      <w:r w:rsidRPr="00FF6EAA">
        <w:t>, for Divisions</w:t>
      </w:r>
      <w:r w:rsidR="00FF6EAA" w:rsidRPr="00FF6EAA">
        <w:t> </w:t>
      </w:r>
      <w:r w:rsidRPr="00FF6EAA">
        <w:t>3.6 and 3.12, means approval to commence clearing</w:t>
      </w:r>
      <w:r w:rsidR="00092632" w:rsidRPr="00FF6EAA">
        <w:t xml:space="preserve"> or conversion to a plantation</w:t>
      </w:r>
      <w:r w:rsidRPr="00FF6EAA">
        <w:t>, required by Commonwealth, State or Territory law, issued by the relevant Commonwealth, State, Territory or local regulatory authority responsible for giving the approval.</w:t>
      </w:r>
    </w:p>
    <w:p w:rsidR="007F2E66" w:rsidRPr="00FF6EAA" w:rsidRDefault="007F2E66" w:rsidP="007F2E66">
      <w:pPr>
        <w:pStyle w:val="Definition"/>
      </w:pPr>
      <w:r w:rsidRPr="00FF6EAA">
        <w:rPr>
          <w:b/>
          <w:i/>
        </w:rPr>
        <w:t>harvest plan</w:t>
      </w:r>
      <w:r w:rsidRPr="00FF6EAA">
        <w:t xml:space="preserve"> means a plan prepared in accordance with </w:t>
      </w:r>
      <w:r w:rsidR="00092632" w:rsidRPr="00FF6EAA">
        <w:t xml:space="preserve">Commonwealth, </w:t>
      </w:r>
      <w:r w:rsidRPr="00FF6EAA">
        <w:t xml:space="preserve">State </w:t>
      </w:r>
      <w:r w:rsidR="00092632" w:rsidRPr="00FF6EAA">
        <w:t xml:space="preserve">or </w:t>
      </w:r>
      <w:r w:rsidRPr="00FF6EAA">
        <w:t>Territory law, that identifies:</w:t>
      </w:r>
    </w:p>
    <w:p w:rsidR="007F2E66" w:rsidRPr="00FF6EAA" w:rsidRDefault="007F2E66" w:rsidP="007F2E66">
      <w:pPr>
        <w:pStyle w:val="paragraph"/>
      </w:pPr>
      <w:r w:rsidRPr="00FF6EAA">
        <w:lastRenderedPageBreak/>
        <w:tab/>
        <w:t>(a)</w:t>
      </w:r>
      <w:r w:rsidRPr="00FF6EAA">
        <w:tab/>
        <w:t>geographic areas of native timber forest scheduled for harvesting; and</w:t>
      </w:r>
    </w:p>
    <w:p w:rsidR="007F2E66" w:rsidRPr="00FF6EAA" w:rsidRDefault="007F2E66" w:rsidP="007F2E66">
      <w:pPr>
        <w:pStyle w:val="paragraph"/>
      </w:pPr>
      <w:r w:rsidRPr="00FF6EAA">
        <w:tab/>
        <w:t>(b)</w:t>
      </w:r>
      <w:r w:rsidRPr="00FF6EAA">
        <w:tab/>
        <w:t>when the harvest will occur; and</w:t>
      </w:r>
    </w:p>
    <w:p w:rsidR="007F2E66" w:rsidRPr="00FF6EAA" w:rsidRDefault="007F2E66" w:rsidP="007F2E66">
      <w:pPr>
        <w:pStyle w:val="paragraph"/>
      </w:pPr>
      <w:r w:rsidRPr="00FF6EAA">
        <w:tab/>
        <w:t>(c)</w:t>
      </w:r>
      <w:r w:rsidRPr="00FF6EAA">
        <w:tab/>
        <w:t>the estimated volume of native timber forest to be harvested.</w:t>
      </w:r>
    </w:p>
    <w:p w:rsidR="007F2E66" w:rsidRPr="00FF6EAA" w:rsidRDefault="007F2E66" w:rsidP="007F2E66">
      <w:pPr>
        <w:pStyle w:val="Definition"/>
      </w:pPr>
      <w:r w:rsidRPr="00FF6EAA">
        <w:rPr>
          <w:b/>
          <w:i/>
        </w:rPr>
        <w:t>plantation</w:t>
      </w:r>
      <w:r w:rsidRPr="00FF6EAA">
        <w:t xml:space="preserve"> means a forest established for harvest.</w:t>
      </w:r>
    </w:p>
    <w:p w:rsidR="007F2E66" w:rsidRPr="00FF6EAA" w:rsidRDefault="00307670" w:rsidP="007F2E66">
      <w:pPr>
        <w:pStyle w:val="ItemHead"/>
      </w:pPr>
      <w:r w:rsidRPr="00FF6EAA">
        <w:t>2</w:t>
      </w:r>
      <w:r w:rsidR="007F2E66" w:rsidRPr="00FF6EAA">
        <w:t xml:space="preserve">  Regulation</w:t>
      </w:r>
      <w:r w:rsidR="00FF6EAA" w:rsidRPr="00FF6EAA">
        <w:t> </w:t>
      </w:r>
      <w:r w:rsidR="007F2E66" w:rsidRPr="00FF6EAA">
        <w:t>1.5</w:t>
      </w:r>
    </w:p>
    <w:p w:rsidR="007F2E66" w:rsidRPr="00FF6EAA" w:rsidRDefault="007F2E66" w:rsidP="007F2E66">
      <w:pPr>
        <w:pStyle w:val="Item"/>
      </w:pPr>
      <w:r w:rsidRPr="00FF6EAA">
        <w:t>Repeal the regulation, substitute:</w:t>
      </w:r>
    </w:p>
    <w:p w:rsidR="007F2E66" w:rsidRPr="00FF6EAA" w:rsidRDefault="007F2E66" w:rsidP="007F2E66">
      <w:pPr>
        <w:pStyle w:val="ActHead5"/>
      </w:pPr>
      <w:bookmarkStart w:id="14" w:name="_Toc356307769"/>
      <w:r w:rsidRPr="00FF6EAA">
        <w:rPr>
          <w:rStyle w:val="CharSectno"/>
        </w:rPr>
        <w:t>1.5</w:t>
      </w:r>
      <w:r w:rsidRPr="00FF6EAA">
        <w:t xml:space="preserve">  Kyoto abatement deadline</w:t>
      </w:r>
      <w:bookmarkEnd w:id="14"/>
    </w:p>
    <w:p w:rsidR="007F2E66" w:rsidRPr="00FF6EAA" w:rsidRDefault="007F2E66" w:rsidP="007F2E66">
      <w:pPr>
        <w:pStyle w:val="subsection"/>
      </w:pPr>
      <w:r w:rsidRPr="00FF6EAA">
        <w:tab/>
      </w:r>
      <w:r w:rsidRPr="00FF6EAA">
        <w:tab/>
        <w:t xml:space="preserve">For </w:t>
      </w:r>
      <w:r w:rsidR="00FF6EAA" w:rsidRPr="00FF6EAA">
        <w:t>paragraph (</w:t>
      </w:r>
      <w:r w:rsidRPr="00FF6EAA">
        <w:t xml:space="preserve">b) of the definition of </w:t>
      </w:r>
      <w:r w:rsidRPr="00FF6EAA">
        <w:rPr>
          <w:b/>
          <w:i/>
        </w:rPr>
        <w:t>Kyoto abatement deadline</w:t>
      </w:r>
      <w:r w:rsidRPr="00FF6EAA">
        <w:t xml:space="preserve"> in section</w:t>
      </w:r>
      <w:r w:rsidR="00FF6EAA" w:rsidRPr="00FF6EAA">
        <w:t> </w:t>
      </w:r>
      <w:r w:rsidRPr="00FF6EAA">
        <w:t>5 of the Act:</w:t>
      </w:r>
    </w:p>
    <w:p w:rsidR="007F2E66" w:rsidRPr="00FF6EAA" w:rsidRDefault="007F2E66" w:rsidP="007F2E66">
      <w:pPr>
        <w:pStyle w:val="paragraph"/>
      </w:pPr>
      <w:r w:rsidRPr="00FF6EAA">
        <w:tab/>
        <w:t>(a)</w:t>
      </w:r>
      <w:r w:rsidRPr="00FF6EAA">
        <w:tab/>
        <w:t>31</w:t>
      </w:r>
      <w:r w:rsidR="00FF6EAA" w:rsidRPr="00FF6EAA">
        <w:t> </w:t>
      </w:r>
      <w:r w:rsidRPr="00FF6EAA">
        <w:t>December 2020 is specified in relation to the kinds of project mentioned in regulation</w:t>
      </w:r>
      <w:r w:rsidR="00FF6EAA" w:rsidRPr="00FF6EAA">
        <w:t> </w:t>
      </w:r>
      <w:r w:rsidRPr="00FF6EAA">
        <w:t>3.35; and</w:t>
      </w:r>
    </w:p>
    <w:p w:rsidR="007F2E66" w:rsidRPr="00FF6EAA" w:rsidRDefault="007F2E66" w:rsidP="007F2E66">
      <w:pPr>
        <w:pStyle w:val="paragraph"/>
      </w:pPr>
      <w:r w:rsidRPr="00FF6EAA">
        <w:tab/>
        <w:t>(b)</w:t>
      </w:r>
      <w:r w:rsidRPr="00FF6EAA">
        <w:tab/>
        <w:t>30</w:t>
      </w:r>
      <w:r w:rsidR="00FF6EAA" w:rsidRPr="00FF6EAA">
        <w:t> </w:t>
      </w:r>
      <w:r w:rsidRPr="00FF6EAA">
        <w:t>June 2020 is specified in relation to all other kinds of project.</w:t>
      </w:r>
    </w:p>
    <w:p w:rsidR="007F2E66" w:rsidRPr="00FF6EAA" w:rsidRDefault="00307670" w:rsidP="007F2E66">
      <w:pPr>
        <w:pStyle w:val="ItemHead"/>
        <w:rPr>
          <w:rFonts w:cs="Arial"/>
        </w:rPr>
      </w:pPr>
      <w:r w:rsidRPr="00FF6EAA">
        <w:rPr>
          <w:rFonts w:cs="Arial"/>
        </w:rPr>
        <w:t>3</w:t>
      </w:r>
      <w:r w:rsidR="007F2E66" w:rsidRPr="00FF6EAA">
        <w:rPr>
          <w:rFonts w:cs="Arial"/>
        </w:rPr>
        <w:t xml:space="preserve">  After </w:t>
      </w:r>
      <w:proofErr w:type="spellStart"/>
      <w:r w:rsidR="007F2E66" w:rsidRPr="00FF6EAA">
        <w:rPr>
          <w:rFonts w:cs="Arial"/>
        </w:rPr>
        <w:t>subregulation</w:t>
      </w:r>
      <w:proofErr w:type="spellEnd"/>
      <w:r w:rsidR="00FF6EAA" w:rsidRPr="00FF6EAA">
        <w:rPr>
          <w:rFonts w:cs="Arial"/>
        </w:rPr>
        <w:t> </w:t>
      </w:r>
      <w:r w:rsidR="007F2E66" w:rsidRPr="00FF6EAA">
        <w:rPr>
          <w:rFonts w:cs="Arial"/>
        </w:rPr>
        <w:t>1.13(1)</w:t>
      </w:r>
    </w:p>
    <w:p w:rsidR="007F2E66" w:rsidRPr="00FF6EAA" w:rsidRDefault="007F2E66" w:rsidP="007F2E66">
      <w:pPr>
        <w:pStyle w:val="Item"/>
      </w:pPr>
      <w:r w:rsidRPr="00FF6EAA">
        <w:t>Insert:</w:t>
      </w:r>
    </w:p>
    <w:p w:rsidR="007F2E66" w:rsidRPr="00FF6EAA" w:rsidRDefault="007F2E66" w:rsidP="007F2E66">
      <w:pPr>
        <w:pStyle w:val="subsection"/>
      </w:pPr>
      <w:r w:rsidRPr="00FF6EAA">
        <w:tab/>
        <w:t>(1A)</w:t>
      </w:r>
      <w:bookmarkStart w:id="15" w:name="OLE_LINK39"/>
      <w:bookmarkStart w:id="16" w:name="OLE_LINK38"/>
      <w:r w:rsidRPr="00FF6EAA">
        <w:tab/>
        <w:t>For subsections</w:t>
      </w:r>
      <w:r w:rsidR="00FF6EAA" w:rsidRPr="00FF6EAA">
        <w:t> </w:t>
      </w:r>
      <w:r w:rsidRPr="00FF6EAA">
        <w:t>13(2) and 76(5) of the Act, a project is specified if:</w:t>
      </w:r>
      <w:bookmarkEnd w:id="15"/>
      <w:bookmarkEnd w:id="16"/>
    </w:p>
    <w:p w:rsidR="007F2E66" w:rsidRPr="00FF6EAA" w:rsidRDefault="007F2E66" w:rsidP="007F2E66">
      <w:pPr>
        <w:pStyle w:val="paragraph"/>
      </w:pPr>
      <w:r w:rsidRPr="00FF6EAA">
        <w:tab/>
        <w:t>(a)</w:t>
      </w:r>
      <w:r w:rsidRPr="00FF6EAA">
        <w:tab/>
        <w:t>the project is a specified offsets project mentioned in paragraph</w:t>
      </w:r>
      <w:r w:rsidR="00FF6EAA" w:rsidRPr="00FF6EAA">
        <w:t> </w:t>
      </w:r>
      <w:r w:rsidRPr="00FF6EAA">
        <w:t>3.28(1)(l)</w:t>
      </w:r>
      <w:r w:rsidR="008C17B4" w:rsidRPr="00FF6EAA">
        <w:t xml:space="preserve"> or </w:t>
      </w:r>
      <w:proofErr w:type="spellStart"/>
      <w:r w:rsidR="008C17B4" w:rsidRPr="00FF6EAA">
        <w:t>subregulation</w:t>
      </w:r>
      <w:proofErr w:type="spellEnd"/>
      <w:r w:rsidR="00FF6EAA" w:rsidRPr="00FF6EAA">
        <w:t> </w:t>
      </w:r>
      <w:r w:rsidR="008C17B4" w:rsidRPr="00FF6EAA">
        <w:t>3.28(2)</w:t>
      </w:r>
      <w:r w:rsidRPr="00FF6EAA">
        <w:t>; and</w:t>
      </w:r>
    </w:p>
    <w:p w:rsidR="007F2E66" w:rsidRPr="00FF6EAA" w:rsidRDefault="007F2E66" w:rsidP="007F2E66">
      <w:pPr>
        <w:pStyle w:val="paragraph"/>
      </w:pPr>
      <w:bookmarkStart w:id="17" w:name="OLE_LINK27"/>
      <w:bookmarkStart w:id="18" w:name="OLE_LINK43"/>
      <w:bookmarkStart w:id="19" w:name="OLE_LINK42"/>
      <w:r w:rsidRPr="00FF6EAA">
        <w:tab/>
        <w:t>(</w:t>
      </w:r>
      <w:r w:rsidR="008C17B4" w:rsidRPr="00FF6EAA">
        <w:t>b</w:t>
      </w:r>
      <w:r w:rsidRPr="00FF6EAA">
        <w:t>)</w:t>
      </w:r>
      <w:r w:rsidRPr="00FF6EAA">
        <w:tab/>
        <w:t xml:space="preserve">a prescribed audit report has been provided for </w:t>
      </w:r>
      <w:r w:rsidR="003D4903" w:rsidRPr="00FF6EAA">
        <w:t>a</w:t>
      </w:r>
      <w:r w:rsidRPr="00FF6EAA">
        <w:t xml:space="preserve"> </w:t>
      </w:r>
      <w:r w:rsidR="008C17B4" w:rsidRPr="00FF6EAA">
        <w:t xml:space="preserve">period of 12 months or </w:t>
      </w:r>
      <w:r w:rsidR="000260D7" w:rsidRPr="00FF6EAA">
        <w:t>more</w:t>
      </w:r>
      <w:r w:rsidR="008C17B4" w:rsidRPr="00FF6EAA">
        <w:t xml:space="preserve"> </w:t>
      </w:r>
      <w:r w:rsidRPr="00FF6EAA">
        <w:t>after the diversion of waste.</w:t>
      </w:r>
    </w:p>
    <w:bookmarkEnd w:id="17"/>
    <w:bookmarkEnd w:id="18"/>
    <w:bookmarkEnd w:id="19"/>
    <w:p w:rsidR="007F2E66" w:rsidRPr="00FF6EAA" w:rsidRDefault="00307670" w:rsidP="007F2E66">
      <w:pPr>
        <w:pStyle w:val="ItemHead"/>
        <w:rPr>
          <w:rFonts w:cs="Arial"/>
        </w:rPr>
      </w:pPr>
      <w:r w:rsidRPr="00FF6EAA">
        <w:rPr>
          <w:rFonts w:cs="Arial"/>
        </w:rPr>
        <w:t>4</w:t>
      </w:r>
      <w:r w:rsidR="007F2E66" w:rsidRPr="00FF6EAA">
        <w:rPr>
          <w:rFonts w:cs="Arial"/>
        </w:rPr>
        <w:t xml:space="preserve">  </w:t>
      </w:r>
      <w:proofErr w:type="spellStart"/>
      <w:r w:rsidR="007F2E66" w:rsidRPr="00FF6EAA">
        <w:rPr>
          <w:rFonts w:cs="Arial"/>
        </w:rPr>
        <w:t>Subregulation</w:t>
      </w:r>
      <w:proofErr w:type="spellEnd"/>
      <w:r w:rsidR="00FF6EAA" w:rsidRPr="00FF6EAA">
        <w:rPr>
          <w:rFonts w:cs="Arial"/>
        </w:rPr>
        <w:t> </w:t>
      </w:r>
      <w:r w:rsidR="007F2E66" w:rsidRPr="00FF6EAA">
        <w:rPr>
          <w:rFonts w:cs="Arial"/>
        </w:rPr>
        <w:t>3.1(3)</w:t>
      </w:r>
    </w:p>
    <w:p w:rsidR="007F2E66" w:rsidRPr="00FF6EAA" w:rsidRDefault="007F2E66" w:rsidP="007F2E66">
      <w:pPr>
        <w:pStyle w:val="Item"/>
      </w:pPr>
      <w:r w:rsidRPr="00FF6EAA">
        <w:t>Omit “or a non</w:t>
      </w:r>
      <w:r w:rsidR="00FF6EAA">
        <w:noBreakHyphen/>
      </w:r>
      <w:r w:rsidRPr="00FF6EAA">
        <w:t>CFI offsets scheme,”, substitute “or a non</w:t>
      </w:r>
      <w:r w:rsidR="00FF6EAA">
        <w:noBreakHyphen/>
      </w:r>
      <w:r w:rsidRPr="00FF6EAA">
        <w:t>CFI scheme,”.</w:t>
      </w:r>
    </w:p>
    <w:p w:rsidR="007F2E66" w:rsidRPr="00FF6EAA" w:rsidRDefault="00307670" w:rsidP="007F2E66">
      <w:pPr>
        <w:pStyle w:val="ItemHead"/>
        <w:rPr>
          <w:rFonts w:cs="Arial"/>
        </w:rPr>
      </w:pPr>
      <w:r w:rsidRPr="00FF6EAA">
        <w:rPr>
          <w:rFonts w:cs="Arial"/>
        </w:rPr>
        <w:t>5</w:t>
      </w:r>
      <w:r w:rsidR="007F2E66" w:rsidRPr="00FF6EAA">
        <w:rPr>
          <w:rFonts w:cs="Arial"/>
        </w:rPr>
        <w:t xml:space="preserve">  </w:t>
      </w:r>
      <w:proofErr w:type="spellStart"/>
      <w:r w:rsidR="007F2E66" w:rsidRPr="00FF6EAA">
        <w:rPr>
          <w:rFonts w:cs="Arial"/>
        </w:rPr>
        <w:t>Subregulation</w:t>
      </w:r>
      <w:proofErr w:type="spellEnd"/>
      <w:r w:rsidR="00FF6EAA" w:rsidRPr="00FF6EAA">
        <w:rPr>
          <w:rFonts w:cs="Arial"/>
        </w:rPr>
        <w:t> </w:t>
      </w:r>
      <w:r w:rsidR="007F2E66" w:rsidRPr="00FF6EAA">
        <w:rPr>
          <w:rFonts w:cs="Arial"/>
        </w:rPr>
        <w:t>3.1(4)</w:t>
      </w:r>
    </w:p>
    <w:p w:rsidR="007F2E66" w:rsidRPr="00FF6EAA" w:rsidRDefault="007F2E66" w:rsidP="007F2E66">
      <w:pPr>
        <w:pStyle w:val="Item"/>
      </w:pPr>
      <w:r w:rsidRPr="00FF6EAA">
        <w:t>Omit “or a non</w:t>
      </w:r>
      <w:r w:rsidR="00FF6EAA">
        <w:noBreakHyphen/>
      </w:r>
      <w:r w:rsidRPr="00FF6EAA">
        <w:t>CFI offsets project,”, substitute “or a non</w:t>
      </w:r>
      <w:r w:rsidR="00FF6EAA">
        <w:noBreakHyphen/>
      </w:r>
      <w:r w:rsidRPr="00FF6EAA">
        <w:t>CFI scheme,”.</w:t>
      </w:r>
    </w:p>
    <w:p w:rsidR="007F2E66" w:rsidRPr="00FF6EAA" w:rsidRDefault="00307670" w:rsidP="007F2E66">
      <w:pPr>
        <w:pStyle w:val="ItemHead"/>
        <w:rPr>
          <w:rFonts w:cs="Arial"/>
        </w:rPr>
      </w:pPr>
      <w:r w:rsidRPr="00FF6EAA">
        <w:rPr>
          <w:rFonts w:cs="Arial"/>
        </w:rPr>
        <w:t>6</w:t>
      </w:r>
      <w:r w:rsidR="007F2E66" w:rsidRPr="00FF6EAA">
        <w:rPr>
          <w:rFonts w:cs="Arial"/>
        </w:rPr>
        <w:t xml:space="preserve">  At the end of regulation</w:t>
      </w:r>
      <w:r w:rsidR="00FF6EAA" w:rsidRPr="00FF6EAA">
        <w:rPr>
          <w:rFonts w:cs="Arial"/>
        </w:rPr>
        <w:t> </w:t>
      </w:r>
      <w:r w:rsidR="007F2E66" w:rsidRPr="00FF6EAA">
        <w:rPr>
          <w:rFonts w:cs="Arial"/>
        </w:rPr>
        <w:t>3.16</w:t>
      </w:r>
    </w:p>
    <w:p w:rsidR="007F2E66" w:rsidRPr="00FF6EAA" w:rsidRDefault="007F2E66" w:rsidP="007F2E66">
      <w:pPr>
        <w:pStyle w:val="Item"/>
      </w:pPr>
      <w:r w:rsidRPr="00FF6EAA">
        <w:t>Add:</w:t>
      </w:r>
    </w:p>
    <w:p w:rsidR="007F2E66" w:rsidRPr="00FF6EAA" w:rsidRDefault="007F2E66" w:rsidP="007F2E66">
      <w:pPr>
        <w:pStyle w:val="subsection"/>
      </w:pPr>
      <w:r w:rsidRPr="00FF6EAA">
        <w:lastRenderedPageBreak/>
        <w:tab/>
        <w:t>(4)</w:t>
      </w:r>
      <w:r w:rsidRPr="00FF6EAA">
        <w:tab/>
        <w:t xml:space="preserve">For </w:t>
      </w:r>
      <w:r w:rsidR="00FF6EAA" w:rsidRPr="00FF6EAA">
        <w:t>paragraph (</w:t>
      </w:r>
      <w:r w:rsidRPr="00FF6EAA">
        <w:t>2)(p), the estimate must only be provided for the transferor offsets project.</w:t>
      </w:r>
    </w:p>
    <w:p w:rsidR="0055510F" w:rsidRPr="00FF6EAA" w:rsidRDefault="00307670" w:rsidP="0055510F">
      <w:pPr>
        <w:pStyle w:val="ItemHead"/>
        <w:rPr>
          <w:rFonts w:cs="Arial"/>
        </w:rPr>
      </w:pPr>
      <w:bookmarkStart w:id="20" w:name="OLE_LINK28"/>
      <w:bookmarkStart w:id="21" w:name="OLE_LINK45"/>
      <w:bookmarkStart w:id="22" w:name="OLE_LINK44"/>
      <w:r w:rsidRPr="00FF6EAA">
        <w:rPr>
          <w:rFonts w:cs="Arial"/>
        </w:rPr>
        <w:t>7</w:t>
      </w:r>
      <w:r w:rsidR="0055510F" w:rsidRPr="00FF6EAA">
        <w:rPr>
          <w:rFonts w:cs="Arial"/>
        </w:rPr>
        <w:t xml:space="preserve">  Regulation</w:t>
      </w:r>
      <w:r w:rsidR="00FF6EAA" w:rsidRPr="00FF6EAA">
        <w:rPr>
          <w:rFonts w:cs="Arial"/>
        </w:rPr>
        <w:t> </w:t>
      </w:r>
      <w:r w:rsidR="0055510F" w:rsidRPr="00FF6EAA">
        <w:rPr>
          <w:rFonts w:cs="Arial"/>
        </w:rPr>
        <w:t>3.27</w:t>
      </w:r>
    </w:p>
    <w:p w:rsidR="0055510F" w:rsidRPr="00FF6EAA" w:rsidRDefault="0055510F" w:rsidP="0055510F">
      <w:pPr>
        <w:pStyle w:val="Item"/>
      </w:pPr>
      <w:r w:rsidRPr="00FF6EAA">
        <w:t>Repeal the regulation, substitute:</w:t>
      </w:r>
    </w:p>
    <w:p w:rsidR="0055510F" w:rsidRPr="00FF6EAA" w:rsidRDefault="00307670" w:rsidP="00307670">
      <w:pPr>
        <w:pStyle w:val="ActHead5"/>
      </w:pPr>
      <w:bookmarkStart w:id="23" w:name="_Toc356307770"/>
      <w:r w:rsidRPr="00FF6EAA">
        <w:rPr>
          <w:rStyle w:val="CharSectno"/>
        </w:rPr>
        <w:t>3.27</w:t>
      </w:r>
      <w:r w:rsidR="0055510F" w:rsidRPr="00FF6EAA">
        <w:t xml:space="preserve">  Definitions</w:t>
      </w:r>
      <w:bookmarkEnd w:id="23"/>
    </w:p>
    <w:p w:rsidR="0055510F" w:rsidRPr="00FF6EAA" w:rsidRDefault="00D03611" w:rsidP="0055510F">
      <w:pPr>
        <w:pStyle w:val="subsection"/>
      </w:pPr>
      <w:r w:rsidRPr="00FF6EAA">
        <w:tab/>
      </w:r>
      <w:r w:rsidR="0055510F" w:rsidRPr="00FF6EAA">
        <w:tab/>
        <w:t>In this Division:</w:t>
      </w:r>
    </w:p>
    <w:p w:rsidR="0055510F" w:rsidRPr="00FF6EAA" w:rsidRDefault="0055510F" w:rsidP="0055510F">
      <w:pPr>
        <w:pStyle w:val="Definition"/>
      </w:pPr>
      <w:r w:rsidRPr="00FF6EAA">
        <w:rPr>
          <w:b/>
          <w:i/>
        </w:rPr>
        <w:t>alternative waste treatment plant</w:t>
      </w:r>
      <w:r w:rsidRPr="00FF6EAA">
        <w:t xml:space="preserve"> means an enclosed resource recovery plant that:</w:t>
      </w:r>
    </w:p>
    <w:p w:rsidR="0055510F" w:rsidRPr="00FF6EAA" w:rsidRDefault="0055510F" w:rsidP="0055510F">
      <w:pPr>
        <w:pStyle w:val="paragraph"/>
      </w:pPr>
      <w:r w:rsidRPr="00FF6EAA">
        <w:tab/>
        <w:t>(a)</w:t>
      </w:r>
      <w:r w:rsidRPr="00FF6EAA">
        <w:tab/>
        <w:t xml:space="preserve">accepts and processes mixed </w:t>
      </w:r>
      <w:r w:rsidR="00C07F79" w:rsidRPr="00FF6EAA">
        <w:t xml:space="preserve">solid </w:t>
      </w:r>
      <w:r w:rsidRPr="00FF6EAA">
        <w:t>waste using:</w:t>
      </w:r>
    </w:p>
    <w:p w:rsidR="0055510F" w:rsidRPr="00FF6EAA" w:rsidRDefault="0055510F" w:rsidP="0055510F">
      <w:pPr>
        <w:pStyle w:val="paragraphsub"/>
      </w:pPr>
      <w:r w:rsidRPr="00FF6EAA">
        <w:tab/>
        <w:t>(</w:t>
      </w:r>
      <w:proofErr w:type="spellStart"/>
      <w:r w:rsidRPr="00FF6EAA">
        <w:t>i</w:t>
      </w:r>
      <w:proofErr w:type="spellEnd"/>
      <w:r w:rsidRPr="00FF6EAA">
        <w:t>)</w:t>
      </w:r>
      <w:r w:rsidRPr="00FF6EAA">
        <w:tab/>
        <w:t>mechanical processing; and</w:t>
      </w:r>
    </w:p>
    <w:p w:rsidR="0055510F" w:rsidRPr="00FF6EAA" w:rsidRDefault="0055510F" w:rsidP="0055510F">
      <w:pPr>
        <w:pStyle w:val="paragraphsub"/>
      </w:pPr>
      <w:r w:rsidRPr="00FF6EAA">
        <w:tab/>
        <w:t>(ii)</w:t>
      </w:r>
      <w:r w:rsidRPr="00FF6EAA">
        <w:tab/>
        <w:t>biological or thermal processing; and</w:t>
      </w:r>
    </w:p>
    <w:p w:rsidR="0055510F" w:rsidRPr="00FF6EAA" w:rsidRDefault="0055510F" w:rsidP="0055510F">
      <w:pPr>
        <w:pStyle w:val="paragraph"/>
      </w:pPr>
      <w:r w:rsidRPr="00FF6EAA">
        <w:tab/>
        <w:t>(b)</w:t>
      </w:r>
      <w:r w:rsidRPr="00FF6EAA">
        <w:tab/>
        <w:t xml:space="preserve">extracts recyclable </w:t>
      </w:r>
      <w:r w:rsidR="00F356CE" w:rsidRPr="00FF6EAA">
        <w:t xml:space="preserve">and </w:t>
      </w:r>
      <w:r w:rsidRPr="00FF6EAA">
        <w:t>organic materials.</w:t>
      </w:r>
    </w:p>
    <w:p w:rsidR="0055510F" w:rsidRPr="00FF6EAA" w:rsidRDefault="0055510F" w:rsidP="0055510F">
      <w:pPr>
        <w:pStyle w:val="Definition"/>
      </w:pPr>
      <w:proofErr w:type="spellStart"/>
      <w:r w:rsidRPr="00FF6EAA">
        <w:rPr>
          <w:b/>
          <w:i/>
        </w:rPr>
        <w:t>biocover</w:t>
      </w:r>
      <w:proofErr w:type="spellEnd"/>
      <w:r w:rsidRPr="00FF6EAA">
        <w:t>, for a landfill, means a cover:</w:t>
      </w:r>
    </w:p>
    <w:p w:rsidR="0055510F" w:rsidRPr="00FF6EAA" w:rsidRDefault="0055510F" w:rsidP="0055510F">
      <w:pPr>
        <w:pStyle w:val="paragraph"/>
      </w:pPr>
      <w:r w:rsidRPr="00FF6EAA">
        <w:tab/>
        <w:t>(a)</w:t>
      </w:r>
      <w:r w:rsidRPr="00FF6EAA">
        <w:tab/>
        <w:t>consisting of a gravel layer and an overlying layer of a mixture of:</w:t>
      </w:r>
    </w:p>
    <w:p w:rsidR="0055510F" w:rsidRPr="00FF6EAA" w:rsidRDefault="0055510F" w:rsidP="0055510F">
      <w:pPr>
        <w:pStyle w:val="paragraphsub"/>
      </w:pPr>
      <w:r w:rsidRPr="00FF6EAA">
        <w:tab/>
        <w:t>(</w:t>
      </w:r>
      <w:proofErr w:type="spellStart"/>
      <w:r w:rsidRPr="00FF6EAA">
        <w:t>i</w:t>
      </w:r>
      <w:proofErr w:type="spellEnd"/>
      <w:r w:rsidRPr="00FF6EAA">
        <w:t>)</w:t>
      </w:r>
      <w:r w:rsidRPr="00FF6EAA">
        <w:tab/>
        <w:t>woodchips or shredded wood, or a combination of both; and</w:t>
      </w:r>
    </w:p>
    <w:p w:rsidR="0055510F" w:rsidRPr="00FF6EAA" w:rsidRDefault="0055510F" w:rsidP="0055510F">
      <w:pPr>
        <w:pStyle w:val="paragraphsub"/>
      </w:pPr>
      <w:r w:rsidRPr="00FF6EAA">
        <w:tab/>
        <w:t>(ii)</w:t>
      </w:r>
      <w:r w:rsidRPr="00FF6EAA">
        <w:tab/>
        <w:t>compost; and</w:t>
      </w:r>
    </w:p>
    <w:p w:rsidR="0055510F" w:rsidRPr="00FF6EAA" w:rsidRDefault="0055510F" w:rsidP="0055510F">
      <w:pPr>
        <w:pStyle w:val="paragraph"/>
      </w:pPr>
      <w:r w:rsidRPr="00FF6EAA">
        <w:tab/>
        <w:t>(b)</w:t>
      </w:r>
      <w:r w:rsidRPr="00FF6EAA">
        <w:tab/>
        <w:t>placed over waste in the landfill to optimise environmental conditions for microbial methane consumption.</w:t>
      </w:r>
    </w:p>
    <w:p w:rsidR="0055510F" w:rsidRPr="00FF6EAA" w:rsidRDefault="0055510F" w:rsidP="0055510F">
      <w:pPr>
        <w:pStyle w:val="Definition"/>
      </w:pPr>
      <w:proofErr w:type="spellStart"/>
      <w:r w:rsidRPr="00FF6EAA">
        <w:rPr>
          <w:b/>
          <w:i/>
        </w:rPr>
        <w:t>biofilter</w:t>
      </w:r>
      <w:proofErr w:type="spellEnd"/>
      <w:r w:rsidRPr="00FF6EAA">
        <w:t>, for a landfill, means a filtration system that:</w:t>
      </w:r>
    </w:p>
    <w:p w:rsidR="0055510F" w:rsidRPr="00FF6EAA" w:rsidRDefault="0055510F" w:rsidP="0055510F">
      <w:pPr>
        <w:pStyle w:val="paragraph"/>
      </w:pPr>
      <w:r w:rsidRPr="00FF6EAA">
        <w:tab/>
        <w:t>(a)</w:t>
      </w:r>
      <w:r w:rsidRPr="00FF6EAA">
        <w:tab/>
        <w:t>consists of a flow control system, a gravel layer and an overlying oxidisation layer of a mixture of:</w:t>
      </w:r>
    </w:p>
    <w:p w:rsidR="0055510F" w:rsidRPr="00FF6EAA" w:rsidRDefault="0055510F" w:rsidP="0055510F">
      <w:pPr>
        <w:pStyle w:val="paragraphsub"/>
      </w:pPr>
      <w:r w:rsidRPr="00FF6EAA">
        <w:tab/>
        <w:t>(</w:t>
      </w:r>
      <w:proofErr w:type="spellStart"/>
      <w:r w:rsidRPr="00FF6EAA">
        <w:t>i</w:t>
      </w:r>
      <w:proofErr w:type="spellEnd"/>
      <w:r w:rsidRPr="00FF6EAA">
        <w:t>)</w:t>
      </w:r>
      <w:r w:rsidRPr="00FF6EAA">
        <w:tab/>
        <w:t>woodchips or shredded wood, or a combination of both; and</w:t>
      </w:r>
    </w:p>
    <w:p w:rsidR="0055510F" w:rsidRPr="00FF6EAA" w:rsidRDefault="0055510F" w:rsidP="0055510F">
      <w:pPr>
        <w:pStyle w:val="paragraphsub"/>
      </w:pPr>
      <w:r w:rsidRPr="00FF6EAA">
        <w:tab/>
        <w:t>(ii)</w:t>
      </w:r>
      <w:r w:rsidRPr="00FF6EAA">
        <w:tab/>
        <w:t>compost; and</w:t>
      </w:r>
    </w:p>
    <w:p w:rsidR="0055510F" w:rsidRPr="00FF6EAA" w:rsidRDefault="0055510F" w:rsidP="0055510F">
      <w:pPr>
        <w:pStyle w:val="paragraph"/>
      </w:pPr>
      <w:r w:rsidRPr="00FF6EAA">
        <w:tab/>
        <w:t>(b)</w:t>
      </w:r>
      <w:r w:rsidRPr="00FF6EAA">
        <w:tab/>
        <w:t>receives gas from a landfill through an active gas extraction or passive drainage system; and</w:t>
      </w:r>
    </w:p>
    <w:p w:rsidR="0055510F" w:rsidRPr="00FF6EAA" w:rsidRDefault="0055510F" w:rsidP="0055510F">
      <w:pPr>
        <w:pStyle w:val="paragraph"/>
      </w:pPr>
      <w:r w:rsidRPr="00FF6EAA">
        <w:tab/>
        <w:t>(c)</w:t>
      </w:r>
      <w:r w:rsidRPr="00FF6EAA">
        <w:tab/>
        <w:t xml:space="preserve">is designed to </w:t>
      </w:r>
      <w:proofErr w:type="spellStart"/>
      <w:r w:rsidRPr="00FF6EAA">
        <w:t>microbially</w:t>
      </w:r>
      <w:proofErr w:type="spellEnd"/>
      <w:r w:rsidRPr="00FF6EAA">
        <w:t xml:space="preserve"> oxidise methane in the gas.</w:t>
      </w:r>
    </w:p>
    <w:p w:rsidR="00997650" w:rsidRPr="00FF6EAA" w:rsidRDefault="00F356CE" w:rsidP="00F356CE">
      <w:pPr>
        <w:pStyle w:val="Definition"/>
      </w:pPr>
      <w:proofErr w:type="spellStart"/>
      <w:r w:rsidRPr="00FF6EAA">
        <w:rPr>
          <w:b/>
          <w:i/>
        </w:rPr>
        <w:t>biosolids</w:t>
      </w:r>
      <w:proofErr w:type="spellEnd"/>
      <w:r w:rsidRPr="00FF6EAA">
        <w:t xml:space="preserve"> means a mixture of mainly water and organic materials</w:t>
      </w:r>
      <w:r w:rsidR="00997650" w:rsidRPr="00FF6EAA">
        <w:t xml:space="preserve"> that:</w:t>
      </w:r>
    </w:p>
    <w:p w:rsidR="00997650" w:rsidRPr="00FF6EAA" w:rsidRDefault="00997650" w:rsidP="00997650">
      <w:pPr>
        <w:pStyle w:val="paragraph"/>
      </w:pPr>
      <w:r w:rsidRPr="00FF6EAA">
        <w:lastRenderedPageBreak/>
        <w:tab/>
        <w:t>(a)</w:t>
      </w:r>
      <w:r w:rsidRPr="00FF6EAA">
        <w:tab/>
        <w:t xml:space="preserve">is </w:t>
      </w:r>
      <w:r w:rsidR="00F356CE" w:rsidRPr="00FF6EAA">
        <w:t>entirely produced from the domestic and commercial waste water treatment process</w:t>
      </w:r>
      <w:r w:rsidRPr="00FF6EAA">
        <w:t>;</w:t>
      </w:r>
      <w:r w:rsidR="00F356CE" w:rsidRPr="00FF6EAA">
        <w:t xml:space="preserve"> </w:t>
      </w:r>
      <w:r w:rsidRPr="00FF6EAA">
        <w:t>and</w:t>
      </w:r>
    </w:p>
    <w:p w:rsidR="00997650" w:rsidRPr="00FF6EAA" w:rsidRDefault="00997650" w:rsidP="00997650">
      <w:pPr>
        <w:pStyle w:val="paragraph"/>
      </w:pPr>
      <w:r w:rsidRPr="00FF6EAA">
        <w:tab/>
        <w:t>(b)</w:t>
      </w:r>
      <w:r w:rsidRPr="00FF6EAA">
        <w:tab/>
      </w:r>
      <w:r w:rsidR="00F356CE" w:rsidRPr="00FF6EAA">
        <w:t>has undergone further treatment to significantly reduce disease</w:t>
      </w:r>
      <w:r w:rsidR="00FF6EAA">
        <w:noBreakHyphen/>
      </w:r>
      <w:r w:rsidR="00F356CE" w:rsidRPr="00FF6EAA">
        <w:t>causing pathogens and volatile organic matter</w:t>
      </w:r>
      <w:r w:rsidRPr="00FF6EAA">
        <w:t>;</w:t>
      </w:r>
      <w:r w:rsidR="00F356CE" w:rsidRPr="00FF6EAA">
        <w:t xml:space="preserve"> and</w:t>
      </w:r>
    </w:p>
    <w:p w:rsidR="00F356CE" w:rsidRPr="00FF6EAA" w:rsidRDefault="00997650" w:rsidP="00997650">
      <w:pPr>
        <w:pStyle w:val="paragraph"/>
      </w:pPr>
      <w:r w:rsidRPr="00FF6EAA">
        <w:tab/>
        <w:t>(c)</w:t>
      </w:r>
      <w:r w:rsidRPr="00FF6EAA">
        <w:tab/>
      </w:r>
      <w:r w:rsidR="00F356CE" w:rsidRPr="00FF6EAA">
        <w:t>has been stabilised for beneficial use.</w:t>
      </w:r>
    </w:p>
    <w:p w:rsidR="0055510F" w:rsidRPr="00FF6EAA" w:rsidRDefault="0055510F" w:rsidP="0055510F">
      <w:pPr>
        <w:pStyle w:val="Definition"/>
      </w:pPr>
      <w:r w:rsidRPr="00FF6EAA">
        <w:rPr>
          <w:b/>
          <w:i/>
        </w:rPr>
        <w:t>conservation land</w:t>
      </w:r>
      <w:r w:rsidRPr="00FF6EAA">
        <w:t xml:space="preserve"> means an area that is owned and managed by the Commonwealth, a State or a Territory Government for biodiversity conservation.</w:t>
      </w:r>
    </w:p>
    <w:p w:rsidR="008D1472" w:rsidRPr="00FF6EAA" w:rsidRDefault="0055510F" w:rsidP="0055510F">
      <w:pPr>
        <w:pStyle w:val="Definition"/>
      </w:pPr>
      <w:r w:rsidRPr="00FF6EAA">
        <w:rPr>
          <w:b/>
          <w:i/>
        </w:rPr>
        <w:t>farm</w:t>
      </w:r>
      <w:r w:rsidRPr="00FF6EAA">
        <w:t xml:space="preserve"> means</w:t>
      </w:r>
      <w:r w:rsidR="008D1472" w:rsidRPr="00FF6EAA">
        <w:t>:</w:t>
      </w:r>
    </w:p>
    <w:p w:rsidR="0055510F" w:rsidRPr="00FF6EAA" w:rsidRDefault="008D1472" w:rsidP="008D1472">
      <w:pPr>
        <w:pStyle w:val="paragraph"/>
      </w:pPr>
      <w:r w:rsidRPr="00FF6EAA">
        <w:tab/>
        <w:t>(a)</w:t>
      </w:r>
      <w:r w:rsidRPr="00FF6EAA">
        <w:tab/>
      </w:r>
      <w:r w:rsidR="0055510F" w:rsidRPr="00FF6EAA">
        <w:t>any tract of land:</w:t>
      </w:r>
    </w:p>
    <w:p w:rsidR="0055510F" w:rsidRPr="00FF6EAA" w:rsidRDefault="0055510F" w:rsidP="008D1472">
      <w:pPr>
        <w:pStyle w:val="paragraphsub"/>
      </w:pPr>
      <w:r w:rsidRPr="00FF6EAA">
        <w:tab/>
        <w:t>(</w:t>
      </w:r>
      <w:proofErr w:type="spellStart"/>
      <w:r w:rsidR="008D1472" w:rsidRPr="00FF6EAA">
        <w:t>i</w:t>
      </w:r>
      <w:proofErr w:type="spellEnd"/>
      <w:r w:rsidRPr="00FF6EAA">
        <w:t>)</w:t>
      </w:r>
      <w:r w:rsidRPr="00FF6EAA">
        <w:tab/>
        <w:t>which is used by a person for agriculture; and</w:t>
      </w:r>
    </w:p>
    <w:p w:rsidR="0055510F" w:rsidRPr="00FF6EAA" w:rsidRDefault="0055510F" w:rsidP="008D1472">
      <w:pPr>
        <w:pStyle w:val="paragraphsub"/>
      </w:pPr>
      <w:r w:rsidRPr="00FF6EAA">
        <w:tab/>
        <w:t>(</w:t>
      </w:r>
      <w:r w:rsidR="008D1472" w:rsidRPr="00FF6EAA">
        <w:t>ii</w:t>
      </w:r>
      <w:r w:rsidRPr="00FF6EAA">
        <w:t>)</w:t>
      </w:r>
      <w:r w:rsidRPr="00FF6EAA">
        <w:tab/>
        <w:t xml:space="preserve">for which the person holds an estate in fee </w:t>
      </w:r>
      <w:r w:rsidR="008D1472" w:rsidRPr="00FF6EAA">
        <w:t>simple or a lease over the land; or</w:t>
      </w:r>
    </w:p>
    <w:p w:rsidR="008D1472" w:rsidRPr="00FF6EAA" w:rsidRDefault="008D1472" w:rsidP="00CF5189">
      <w:pPr>
        <w:pStyle w:val="paragraph"/>
      </w:pPr>
      <w:r w:rsidRPr="00FF6EAA">
        <w:tab/>
        <w:t>(b)</w:t>
      </w:r>
      <w:r w:rsidRPr="00FF6EAA">
        <w:tab/>
        <w:t>multiple tracts of land:</w:t>
      </w:r>
    </w:p>
    <w:p w:rsidR="008D1472" w:rsidRPr="00FF6EAA" w:rsidRDefault="008D1472" w:rsidP="008D1472">
      <w:pPr>
        <w:pStyle w:val="paragraphsub"/>
      </w:pPr>
      <w:r w:rsidRPr="00FF6EAA">
        <w:tab/>
        <w:t>(</w:t>
      </w:r>
      <w:proofErr w:type="spellStart"/>
      <w:r w:rsidRPr="00FF6EAA">
        <w:t>i</w:t>
      </w:r>
      <w:proofErr w:type="spellEnd"/>
      <w:r w:rsidRPr="00FF6EAA">
        <w:t>)</w:t>
      </w:r>
      <w:r w:rsidRPr="00FF6EAA">
        <w:tab/>
        <w:t xml:space="preserve">which are used by </w:t>
      </w:r>
      <w:r w:rsidR="00CF5189" w:rsidRPr="00FF6EAA">
        <w:t xml:space="preserve">the same person </w:t>
      </w:r>
      <w:r w:rsidRPr="00FF6EAA">
        <w:t>for agriculture; and</w:t>
      </w:r>
    </w:p>
    <w:p w:rsidR="008D1472" w:rsidRPr="00FF6EAA" w:rsidRDefault="008D1472" w:rsidP="008D1472">
      <w:pPr>
        <w:pStyle w:val="paragraphsub"/>
      </w:pPr>
      <w:r w:rsidRPr="00FF6EAA">
        <w:tab/>
        <w:t>(ii)</w:t>
      </w:r>
      <w:r w:rsidRPr="00FF6EAA">
        <w:tab/>
        <w:t xml:space="preserve">for which the person holds an estate in fee simple or a lease over each tract of land; </w:t>
      </w:r>
      <w:r w:rsidR="00452D4B" w:rsidRPr="00FF6EAA">
        <w:t>and</w:t>
      </w:r>
    </w:p>
    <w:p w:rsidR="00452D4B" w:rsidRPr="00FF6EAA" w:rsidRDefault="00452D4B" w:rsidP="00452D4B">
      <w:pPr>
        <w:pStyle w:val="paragraphsub"/>
      </w:pPr>
      <w:r w:rsidRPr="00FF6EAA">
        <w:tab/>
        <w:t>(iii)</w:t>
      </w:r>
      <w:r w:rsidRPr="00FF6EAA">
        <w:tab/>
      </w:r>
      <w:r w:rsidR="00D03611" w:rsidRPr="00FF6EAA">
        <w:t xml:space="preserve">to </w:t>
      </w:r>
      <w:r w:rsidRPr="00FF6EAA">
        <w:t>which the same methodology determination</w:t>
      </w:r>
      <w:r w:rsidR="00D03611" w:rsidRPr="00FF6EAA">
        <w:t xml:space="preserve"> is applied</w:t>
      </w:r>
      <w:r w:rsidRPr="00FF6EAA">
        <w:t>, regardless of whether those tracts of land are touching.</w:t>
      </w:r>
    </w:p>
    <w:p w:rsidR="0055510F" w:rsidRPr="00FF6EAA" w:rsidRDefault="0055510F" w:rsidP="0055510F">
      <w:pPr>
        <w:pStyle w:val="Definition"/>
      </w:pPr>
      <w:r w:rsidRPr="00FF6EAA">
        <w:rPr>
          <w:b/>
          <w:i/>
        </w:rPr>
        <w:t>mixed solid waste</w:t>
      </w:r>
      <w:r w:rsidRPr="00FF6EAA">
        <w:t xml:space="preserve">—see </w:t>
      </w:r>
      <w:proofErr w:type="spellStart"/>
      <w:r w:rsidRPr="00FF6EAA">
        <w:t>subregulation</w:t>
      </w:r>
      <w:proofErr w:type="spellEnd"/>
      <w:r w:rsidR="00FF6EAA" w:rsidRPr="00FF6EAA">
        <w:t> </w:t>
      </w:r>
      <w:r w:rsidRPr="00FF6EAA">
        <w:t>3.28(4).</w:t>
      </w:r>
    </w:p>
    <w:p w:rsidR="0055510F" w:rsidRPr="00FF6EAA" w:rsidRDefault="0055510F" w:rsidP="0055510F">
      <w:pPr>
        <w:pStyle w:val="Definition"/>
      </w:pPr>
      <w:r w:rsidRPr="00FF6EAA">
        <w:rPr>
          <w:b/>
          <w:i/>
        </w:rPr>
        <w:t>new farm forestry plantation</w:t>
      </w:r>
      <w:r w:rsidRPr="00FF6EAA">
        <w:t xml:space="preserve"> means a plantation:</w:t>
      </w:r>
    </w:p>
    <w:p w:rsidR="0055510F" w:rsidRPr="00FF6EAA" w:rsidRDefault="0055510F" w:rsidP="0055510F">
      <w:pPr>
        <w:pStyle w:val="paragraph"/>
      </w:pPr>
      <w:r w:rsidRPr="00FF6EAA">
        <w:tab/>
        <w:t>(a)</w:t>
      </w:r>
      <w:r w:rsidRPr="00FF6EAA">
        <w:tab/>
        <w:t>established on or after 1</w:t>
      </w:r>
      <w:r w:rsidR="00FF6EAA" w:rsidRPr="00FF6EAA">
        <w:t> </w:t>
      </w:r>
      <w:r w:rsidRPr="00FF6EAA">
        <w:t>July 2010 for the harvest of wood products; and</w:t>
      </w:r>
    </w:p>
    <w:p w:rsidR="0055510F" w:rsidRPr="00FF6EAA" w:rsidRDefault="0055510F" w:rsidP="0055510F">
      <w:pPr>
        <w:pStyle w:val="paragraph"/>
      </w:pPr>
      <w:r w:rsidRPr="00FF6EAA">
        <w:tab/>
        <w:t>(b)</w:t>
      </w:r>
      <w:r w:rsidRPr="00FF6EAA">
        <w:tab/>
        <w:t>occupying land that has been cleared of trees and used for agricultural purposes for at least 5 years prior to the establishment of the plantation; and</w:t>
      </w:r>
    </w:p>
    <w:p w:rsidR="0055510F" w:rsidRPr="00FF6EAA" w:rsidRDefault="0055510F" w:rsidP="0055510F">
      <w:pPr>
        <w:pStyle w:val="paragraph"/>
      </w:pPr>
      <w:r w:rsidRPr="00FF6EAA">
        <w:tab/>
        <w:t>(c)</w:t>
      </w:r>
      <w:r w:rsidRPr="00FF6EAA">
        <w:tab/>
        <w:t>in an area that, according to the CFI rainfall map, receives the amount of long term average annual rainfall mentioned in an item in the following table; and</w:t>
      </w:r>
    </w:p>
    <w:p w:rsidR="0055510F" w:rsidRPr="00FF6EAA" w:rsidRDefault="0055510F" w:rsidP="0055510F">
      <w:pPr>
        <w:pStyle w:val="paragraph"/>
      </w:pPr>
      <w:r w:rsidRPr="00FF6EAA">
        <w:tab/>
        <w:t>(d)</w:t>
      </w:r>
      <w:r w:rsidR="004A5380" w:rsidRPr="00FF6EAA">
        <w:tab/>
        <w:t>occupies the area mentioned in</w:t>
      </w:r>
      <w:r w:rsidRPr="00FF6EAA">
        <w:t xml:space="preserve"> the item.</w:t>
      </w:r>
    </w:p>
    <w:p w:rsidR="0055510F" w:rsidRPr="00FF6EAA" w:rsidRDefault="0055510F" w:rsidP="0055510F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186"/>
        <w:gridCol w:w="3186"/>
      </w:tblGrid>
      <w:tr w:rsidR="0055510F" w:rsidRPr="00FF6EAA" w:rsidTr="007470B1">
        <w:trPr>
          <w:tblHeader/>
        </w:trPr>
        <w:tc>
          <w:tcPr>
            <w:tcW w:w="708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55510F" w:rsidRPr="00FF6EAA" w:rsidRDefault="005C1AAC" w:rsidP="005C1AAC">
            <w:pPr>
              <w:pStyle w:val="TableHeading"/>
            </w:pPr>
            <w:r w:rsidRPr="00FF6EAA">
              <w:t>Farm f</w:t>
            </w:r>
            <w:r w:rsidR="0055510F" w:rsidRPr="00FF6EAA">
              <w:t>orest</w:t>
            </w:r>
            <w:r w:rsidRPr="00FF6EAA">
              <w:t>ry</w:t>
            </w:r>
            <w:r w:rsidR="0055510F" w:rsidRPr="00FF6EAA">
              <w:t xml:space="preserve"> plantations</w:t>
            </w:r>
          </w:p>
        </w:tc>
      </w:tr>
      <w:tr w:rsidR="0055510F" w:rsidRPr="00FF6EAA" w:rsidTr="007470B1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5510F" w:rsidRPr="00FF6EAA" w:rsidRDefault="0055510F" w:rsidP="00CF5189">
            <w:pPr>
              <w:pStyle w:val="TableHeading"/>
            </w:pPr>
            <w:r w:rsidRPr="00FF6EAA">
              <w:t>Item</w:t>
            </w:r>
          </w:p>
        </w:tc>
        <w:tc>
          <w:tcPr>
            <w:tcW w:w="318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5510F" w:rsidRPr="00FF6EAA" w:rsidRDefault="0055510F" w:rsidP="00CF5189">
            <w:pPr>
              <w:pStyle w:val="TableHeading"/>
            </w:pPr>
            <w:r w:rsidRPr="00FF6EAA">
              <w:t>Rainfall</w:t>
            </w:r>
          </w:p>
        </w:tc>
        <w:tc>
          <w:tcPr>
            <w:tcW w:w="318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5510F" w:rsidRPr="00FF6EAA" w:rsidRDefault="0055510F" w:rsidP="00CF5189">
            <w:pPr>
              <w:pStyle w:val="TableHeading"/>
            </w:pPr>
            <w:r w:rsidRPr="00FF6EAA">
              <w:t>Area</w:t>
            </w:r>
          </w:p>
        </w:tc>
      </w:tr>
      <w:tr w:rsidR="0055510F" w:rsidRPr="00FF6EAA" w:rsidTr="007470B1">
        <w:tc>
          <w:tcPr>
            <w:tcW w:w="71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5510F" w:rsidRPr="00FF6EAA" w:rsidRDefault="0055510F" w:rsidP="007470B1">
            <w:pPr>
              <w:pStyle w:val="Tabletext"/>
            </w:pPr>
            <w:r w:rsidRPr="00FF6EAA">
              <w:t>1</w:t>
            </w:r>
          </w:p>
        </w:tc>
        <w:tc>
          <w:tcPr>
            <w:tcW w:w="318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5510F" w:rsidRPr="00FF6EAA" w:rsidRDefault="0055510F" w:rsidP="007470B1">
            <w:pPr>
              <w:pStyle w:val="Tabletext"/>
            </w:pPr>
            <w:r w:rsidRPr="00FF6EAA">
              <w:t xml:space="preserve">400mm or more </w:t>
            </w:r>
          </w:p>
        </w:tc>
        <w:tc>
          <w:tcPr>
            <w:tcW w:w="318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5510F" w:rsidRPr="00FF6EAA" w:rsidRDefault="0055510F" w:rsidP="007470B1">
            <w:pPr>
              <w:pStyle w:val="Tabletext"/>
            </w:pPr>
            <w:r w:rsidRPr="00FF6EAA">
              <w:t xml:space="preserve">No more than the smaller of the </w:t>
            </w:r>
            <w:r w:rsidRPr="00FF6EAA">
              <w:lastRenderedPageBreak/>
              <w:t>following areas:</w:t>
            </w:r>
          </w:p>
          <w:p w:rsidR="0055510F" w:rsidRPr="00FF6EAA" w:rsidRDefault="0055510F" w:rsidP="007470B1">
            <w:pPr>
              <w:pStyle w:val="Tablea"/>
            </w:pPr>
            <w:r w:rsidRPr="00FF6EAA">
              <w:t xml:space="preserve"> (a) no more than 100 ha;</w:t>
            </w:r>
          </w:p>
          <w:p w:rsidR="0055510F" w:rsidRPr="00FF6EAA" w:rsidRDefault="0055510F" w:rsidP="007470B1">
            <w:pPr>
              <w:pStyle w:val="Tablea"/>
            </w:pPr>
            <w:r w:rsidRPr="00FF6EAA">
              <w:t xml:space="preserve"> (b) no more than 30% of a farm.</w:t>
            </w:r>
          </w:p>
        </w:tc>
      </w:tr>
      <w:tr w:rsidR="0055510F" w:rsidRPr="00FF6EAA" w:rsidTr="007470B1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55510F" w:rsidRPr="00FF6EAA" w:rsidRDefault="0055510F" w:rsidP="007470B1">
            <w:pPr>
              <w:pStyle w:val="Tabletext"/>
            </w:pPr>
            <w:r w:rsidRPr="00FF6EAA">
              <w:lastRenderedPageBreak/>
              <w:t>2</w:t>
            </w:r>
          </w:p>
        </w:tc>
        <w:tc>
          <w:tcPr>
            <w:tcW w:w="3186" w:type="dxa"/>
            <w:tcBorders>
              <w:bottom w:val="single" w:sz="12" w:space="0" w:color="auto"/>
            </w:tcBorders>
            <w:shd w:val="clear" w:color="auto" w:fill="auto"/>
          </w:tcPr>
          <w:p w:rsidR="0055510F" w:rsidRPr="00FF6EAA" w:rsidRDefault="0055510F" w:rsidP="007470B1">
            <w:pPr>
              <w:pStyle w:val="Tabletext"/>
            </w:pPr>
            <w:r w:rsidRPr="00FF6EAA">
              <w:t>less than 400mm</w:t>
            </w:r>
          </w:p>
        </w:tc>
        <w:tc>
          <w:tcPr>
            <w:tcW w:w="3186" w:type="dxa"/>
            <w:tcBorders>
              <w:bottom w:val="single" w:sz="12" w:space="0" w:color="auto"/>
            </w:tcBorders>
            <w:shd w:val="clear" w:color="auto" w:fill="auto"/>
          </w:tcPr>
          <w:p w:rsidR="0055510F" w:rsidRPr="00FF6EAA" w:rsidRDefault="0055510F" w:rsidP="007470B1">
            <w:pPr>
              <w:pStyle w:val="Tabletext"/>
            </w:pPr>
            <w:r w:rsidRPr="00FF6EAA">
              <w:t>No more than the smaller of the following areas:</w:t>
            </w:r>
          </w:p>
          <w:p w:rsidR="0055510F" w:rsidRPr="00FF6EAA" w:rsidRDefault="0055510F" w:rsidP="007470B1">
            <w:pPr>
              <w:pStyle w:val="Tablea"/>
            </w:pPr>
            <w:r w:rsidRPr="00FF6EAA">
              <w:t xml:space="preserve"> (a) no more than 300 ha;</w:t>
            </w:r>
          </w:p>
          <w:p w:rsidR="0055510F" w:rsidRPr="00FF6EAA" w:rsidRDefault="0055510F" w:rsidP="007470B1">
            <w:pPr>
              <w:pStyle w:val="Tablea"/>
            </w:pPr>
            <w:r w:rsidRPr="00FF6EAA">
              <w:t xml:space="preserve"> (b) no more than 30% of a farm.</w:t>
            </w:r>
          </w:p>
        </w:tc>
      </w:tr>
    </w:tbl>
    <w:p w:rsidR="0055510F" w:rsidRPr="00FF6EAA" w:rsidRDefault="0055510F" w:rsidP="0055510F">
      <w:pPr>
        <w:pStyle w:val="Tabletext"/>
      </w:pPr>
    </w:p>
    <w:p w:rsidR="00610196" w:rsidRPr="00FF6EAA" w:rsidRDefault="00610196" w:rsidP="0055510F">
      <w:pPr>
        <w:pStyle w:val="Definition"/>
      </w:pPr>
      <w:r w:rsidRPr="00FF6EAA">
        <w:rPr>
          <w:b/>
          <w:i/>
        </w:rPr>
        <w:t>putrescible waste</w:t>
      </w:r>
      <w:r w:rsidRPr="00FF6EAA">
        <w:t xml:space="preserve"> means the organic matter contained within solid waste which is capable of being decomposed by microorganisms.</w:t>
      </w:r>
    </w:p>
    <w:p w:rsidR="0055510F" w:rsidRPr="00FF6EAA" w:rsidRDefault="0055510F" w:rsidP="0055510F">
      <w:pPr>
        <w:pStyle w:val="Definition"/>
      </w:pPr>
      <w:r w:rsidRPr="00FF6EAA">
        <w:rPr>
          <w:b/>
          <w:i/>
        </w:rPr>
        <w:t>rangeland</w:t>
      </w:r>
      <w:r w:rsidRPr="00FF6EAA">
        <w:t xml:space="preserve"> means land:</w:t>
      </w:r>
    </w:p>
    <w:p w:rsidR="0055510F" w:rsidRPr="00FF6EAA" w:rsidRDefault="0055510F" w:rsidP="0055510F">
      <w:pPr>
        <w:pStyle w:val="paragraph"/>
      </w:pPr>
      <w:r w:rsidRPr="00FF6EAA">
        <w:tab/>
        <w:t>(a)</w:t>
      </w:r>
      <w:r w:rsidRPr="00FF6EAA">
        <w:tab/>
        <w:t>that</w:t>
      </w:r>
      <w:r w:rsidR="00300284" w:rsidRPr="00FF6EAA">
        <w:t>,</w:t>
      </w:r>
      <w:r w:rsidRPr="00FF6EAA">
        <w:t xml:space="preserve"> </w:t>
      </w:r>
      <w:r w:rsidR="00300284" w:rsidRPr="00FF6EAA">
        <w:t xml:space="preserve">according to the CFI rainfall map, </w:t>
      </w:r>
      <w:r w:rsidRPr="00FF6EAA">
        <w:t>receives average annual rainfall of less than 450mm; and</w:t>
      </w:r>
    </w:p>
    <w:p w:rsidR="0055510F" w:rsidRPr="00FF6EAA" w:rsidRDefault="0055510F" w:rsidP="0055510F">
      <w:pPr>
        <w:pStyle w:val="paragraph"/>
      </w:pPr>
      <w:r w:rsidRPr="00FF6EAA">
        <w:tab/>
        <w:t>(b)</w:t>
      </w:r>
      <w:r w:rsidRPr="00FF6EAA">
        <w:tab/>
        <w:t>on which the vegetation is mainly native vegetation including grasses, forbs or shrubs; and</w:t>
      </w:r>
    </w:p>
    <w:p w:rsidR="0055510F" w:rsidRPr="00FF6EAA" w:rsidRDefault="0055510F" w:rsidP="0055510F">
      <w:pPr>
        <w:pStyle w:val="paragraph"/>
      </w:pPr>
      <w:r w:rsidRPr="00FF6EAA">
        <w:tab/>
        <w:t>(c)</w:t>
      </w:r>
      <w:r w:rsidRPr="00FF6EAA">
        <w:tab/>
        <w:t>on which agricultural activity, if any, consists of grazing; and</w:t>
      </w:r>
    </w:p>
    <w:p w:rsidR="0055510F" w:rsidRPr="00FF6EAA" w:rsidRDefault="0055510F" w:rsidP="0055510F">
      <w:pPr>
        <w:pStyle w:val="paragraph"/>
      </w:pPr>
      <w:r w:rsidRPr="00FF6EAA">
        <w:tab/>
        <w:t>(d)</w:t>
      </w:r>
      <w:r w:rsidRPr="00FF6EAA">
        <w:tab/>
        <w:t>that is not routinely:</w:t>
      </w:r>
    </w:p>
    <w:p w:rsidR="0055510F" w:rsidRPr="00FF6EAA" w:rsidRDefault="0055510F" w:rsidP="0055510F">
      <w:pPr>
        <w:pStyle w:val="paragraphsub"/>
      </w:pPr>
      <w:r w:rsidRPr="00FF6EAA">
        <w:tab/>
        <w:t>(</w:t>
      </w:r>
      <w:proofErr w:type="spellStart"/>
      <w:r w:rsidRPr="00FF6EAA">
        <w:t>i</w:t>
      </w:r>
      <w:proofErr w:type="spellEnd"/>
      <w:r w:rsidRPr="00FF6EAA">
        <w:t>)</w:t>
      </w:r>
      <w:r w:rsidRPr="00FF6EAA">
        <w:tab/>
        <w:t>fertilised; or</w:t>
      </w:r>
    </w:p>
    <w:p w:rsidR="0055510F" w:rsidRPr="00FF6EAA" w:rsidRDefault="0055510F" w:rsidP="0055510F">
      <w:pPr>
        <w:pStyle w:val="paragraphsub"/>
      </w:pPr>
      <w:r w:rsidRPr="00FF6EAA">
        <w:tab/>
        <w:t>(ii)</w:t>
      </w:r>
      <w:r w:rsidRPr="00FF6EAA">
        <w:tab/>
        <w:t xml:space="preserve">cultivated for </w:t>
      </w:r>
      <w:proofErr w:type="spellStart"/>
      <w:r w:rsidRPr="00FF6EAA">
        <w:t>broadacre</w:t>
      </w:r>
      <w:proofErr w:type="spellEnd"/>
      <w:r w:rsidRPr="00FF6EAA">
        <w:t xml:space="preserve"> cropping.</w:t>
      </w:r>
    </w:p>
    <w:p w:rsidR="0055510F" w:rsidRPr="00FF6EAA" w:rsidRDefault="0055510F" w:rsidP="0055510F">
      <w:pPr>
        <w:pStyle w:val="Definition"/>
      </w:pPr>
      <w:r w:rsidRPr="00FF6EAA">
        <w:rPr>
          <w:b/>
          <w:i/>
        </w:rPr>
        <w:t>scalded soil</w:t>
      </w:r>
      <w:r w:rsidRPr="00FF6EAA">
        <w:t xml:space="preserve"> means topsoil that has been eroded by wind or water in an area that is usually without vegetation.</w:t>
      </w:r>
    </w:p>
    <w:p w:rsidR="0055510F" w:rsidRPr="00FF6EAA" w:rsidRDefault="0055510F" w:rsidP="0055510F">
      <w:pPr>
        <w:pStyle w:val="Definition"/>
      </w:pPr>
      <w:r w:rsidRPr="00FF6EAA">
        <w:rPr>
          <w:b/>
          <w:i/>
        </w:rPr>
        <w:t>tannin</w:t>
      </w:r>
      <w:r w:rsidRPr="00FF6EAA">
        <w:t xml:space="preserve"> means a naturally occurring plant polyphenol that binds and precipitates proteins.</w:t>
      </w:r>
    </w:p>
    <w:p w:rsidR="0055510F" w:rsidRPr="00FF6EAA" w:rsidRDefault="0055510F" w:rsidP="0055510F">
      <w:pPr>
        <w:pStyle w:val="notetext"/>
      </w:pPr>
      <w:r w:rsidRPr="00FF6EAA">
        <w:t>Note:</w:t>
      </w:r>
      <w:r w:rsidRPr="00FF6EAA">
        <w:tab/>
        <w:t xml:space="preserve">Tannins are common in fruits (such as grapes, persimmons and blueberries), tea, legume forages, legume trees (such as Acacia spp. and </w:t>
      </w:r>
      <w:proofErr w:type="spellStart"/>
      <w:r w:rsidRPr="00FF6EAA">
        <w:t>Sesbania</w:t>
      </w:r>
      <w:proofErr w:type="spellEnd"/>
      <w:r w:rsidRPr="00FF6EAA">
        <w:t xml:space="preserve"> spp.) and grasses (such as sorghum and corn).</w:t>
      </w:r>
    </w:p>
    <w:p w:rsidR="007F2E66" w:rsidRPr="00FF6EAA" w:rsidRDefault="00307670" w:rsidP="007F2E66">
      <w:pPr>
        <w:pStyle w:val="ItemHead"/>
        <w:rPr>
          <w:rFonts w:cs="Arial"/>
        </w:rPr>
      </w:pPr>
      <w:r w:rsidRPr="00FF6EAA">
        <w:rPr>
          <w:rFonts w:cs="Arial"/>
        </w:rPr>
        <w:t>8</w:t>
      </w:r>
      <w:r w:rsidR="007F2E66" w:rsidRPr="00FF6EAA">
        <w:rPr>
          <w:rFonts w:cs="Arial"/>
        </w:rPr>
        <w:t xml:space="preserve">  At the end of paragraph</w:t>
      </w:r>
      <w:r w:rsidR="00FF6EAA" w:rsidRPr="00FF6EAA">
        <w:rPr>
          <w:rFonts w:cs="Arial"/>
        </w:rPr>
        <w:t> </w:t>
      </w:r>
      <w:r w:rsidR="007F2E66" w:rsidRPr="00FF6EAA">
        <w:rPr>
          <w:rFonts w:cs="Arial"/>
        </w:rPr>
        <w:t>3.28(1)(c)</w:t>
      </w:r>
    </w:p>
    <w:p w:rsidR="007F2E66" w:rsidRPr="00FF6EAA" w:rsidRDefault="007F2E66" w:rsidP="007F2E66">
      <w:pPr>
        <w:pStyle w:val="Item"/>
      </w:pPr>
      <w:r w:rsidRPr="00FF6EAA">
        <w:t>Add:</w:t>
      </w:r>
    </w:p>
    <w:p w:rsidR="007F2E66" w:rsidRPr="00FF6EAA" w:rsidRDefault="007F2E66" w:rsidP="007F2E66">
      <w:pPr>
        <w:pStyle w:val="paragraphsub"/>
      </w:pPr>
      <w:r w:rsidRPr="00FF6EAA">
        <w:tab/>
        <w:t>; or (vi)</w:t>
      </w:r>
      <w:r w:rsidRPr="00FF6EAA">
        <w:tab/>
        <w:t>the rehabilitation of scalded soils on rangeland, by the creation of shallow earth banks or furrows to trap rainfall or slow water runoff;</w:t>
      </w:r>
    </w:p>
    <w:p w:rsidR="007F2E66" w:rsidRPr="00FF6EAA" w:rsidRDefault="00307670" w:rsidP="007F2E66">
      <w:pPr>
        <w:pStyle w:val="ItemHead"/>
        <w:rPr>
          <w:rFonts w:cs="Arial"/>
        </w:rPr>
      </w:pPr>
      <w:r w:rsidRPr="00FF6EAA">
        <w:rPr>
          <w:rFonts w:cs="Arial"/>
        </w:rPr>
        <w:lastRenderedPageBreak/>
        <w:t>9</w:t>
      </w:r>
      <w:r w:rsidR="007F2E66" w:rsidRPr="00FF6EAA">
        <w:rPr>
          <w:rFonts w:cs="Arial"/>
        </w:rPr>
        <w:t xml:space="preserve">  Paragraph 3.28(1)(</w:t>
      </w:r>
      <w:proofErr w:type="spellStart"/>
      <w:r w:rsidR="007F2E66" w:rsidRPr="00FF6EAA">
        <w:rPr>
          <w:rFonts w:cs="Arial"/>
        </w:rPr>
        <w:t>i</w:t>
      </w:r>
      <w:proofErr w:type="spellEnd"/>
      <w:r w:rsidR="007F2E66" w:rsidRPr="00FF6EAA">
        <w:rPr>
          <w:rFonts w:cs="Arial"/>
        </w:rPr>
        <w:t>)</w:t>
      </w:r>
    </w:p>
    <w:p w:rsidR="007F2E66" w:rsidRPr="00FF6EAA" w:rsidRDefault="007F2E66" w:rsidP="007F2E66">
      <w:pPr>
        <w:pStyle w:val="Item"/>
      </w:pPr>
      <w:r w:rsidRPr="00FF6EAA">
        <w:t>Repeal the paragraph, substitute:</w:t>
      </w:r>
    </w:p>
    <w:p w:rsidR="007F2E66" w:rsidRPr="00FF6EAA" w:rsidRDefault="007F2E66" w:rsidP="007F2E66">
      <w:pPr>
        <w:pStyle w:val="paragraph"/>
      </w:pPr>
      <w:r w:rsidRPr="00FF6EAA">
        <w:tab/>
        <w:t>(</w:t>
      </w:r>
      <w:proofErr w:type="spellStart"/>
      <w:r w:rsidRPr="00FF6EAA">
        <w:t>i</w:t>
      </w:r>
      <w:proofErr w:type="spellEnd"/>
      <w:r w:rsidRPr="00FF6EAA">
        <w:t>)</w:t>
      </w:r>
      <w:r w:rsidRPr="00FF6EAA">
        <w:tab/>
        <w:t>the reduction of emissions from ruminants by one or more of the following:</w:t>
      </w:r>
    </w:p>
    <w:p w:rsidR="007F2E66" w:rsidRPr="00FF6EAA" w:rsidRDefault="007F2E66" w:rsidP="007F2E66">
      <w:pPr>
        <w:pStyle w:val="paragraphsub"/>
      </w:pPr>
      <w:r w:rsidRPr="00FF6EAA">
        <w:tab/>
        <w:t>(</w:t>
      </w:r>
      <w:proofErr w:type="spellStart"/>
      <w:r w:rsidRPr="00FF6EAA">
        <w:t>i</w:t>
      </w:r>
      <w:proofErr w:type="spellEnd"/>
      <w:r w:rsidRPr="00FF6EAA">
        <w:t>)</w:t>
      </w:r>
      <w:r w:rsidRPr="00FF6EAA">
        <w:tab/>
        <w:t>feeding tannins to ruminants;</w:t>
      </w:r>
    </w:p>
    <w:p w:rsidR="007F2E66" w:rsidRPr="00FF6EAA" w:rsidRDefault="007F2E66" w:rsidP="007F2E66">
      <w:pPr>
        <w:pStyle w:val="paragraphsub"/>
      </w:pPr>
      <w:r w:rsidRPr="00FF6EAA">
        <w:tab/>
        <w:t>(ii)</w:t>
      </w:r>
      <w:r w:rsidRPr="00FF6EAA">
        <w:tab/>
        <w:t xml:space="preserve">feeding </w:t>
      </w:r>
      <w:bookmarkStart w:id="24" w:name="OLE_LINK4"/>
      <w:bookmarkStart w:id="25" w:name="OLE_LINK3"/>
      <w:proofErr w:type="spellStart"/>
      <w:r w:rsidRPr="00FF6EAA">
        <w:t>Eremophila</w:t>
      </w:r>
      <w:proofErr w:type="spellEnd"/>
      <w:r w:rsidRPr="00FF6EAA">
        <w:t xml:space="preserve"> spp.</w:t>
      </w:r>
      <w:bookmarkEnd w:id="24"/>
      <w:bookmarkEnd w:id="25"/>
      <w:r w:rsidRPr="00FF6EAA">
        <w:t xml:space="preserve"> to ruminants;</w:t>
      </w:r>
    </w:p>
    <w:p w:rsidR="007F2E66" w:rsidRPr="00FF6EAA" w:rsidRDefault="007F2E66" w:rsidP="007F2E66">
      <w:pPr>
        <w:pStyle w:val="paragraphsub"/>
      </w:pPr>
      <w:r w:rsidRPr="00FF6EAA">
        <w:tab/>
        <w:t>(iii)</w:t>
      </w:r>
      <w:r w:rsidRPr="00FF6EAA">
        <w:tab/>
        <w:t>feeding fats or oils</w:t>
      </w:r>
      <w:r w:rsidR="0049540B" w:rsidRPr="00FF6EAA">
        <w:t>,</w:t>
      </w:r>
      <w:r w:rsidRPr="00FF6EAA">
        <w:t xml:space="preserve"> </w:t>
      </w:r>
      <w:r w:rsidR="0049540B" w:rsidRPr="00FF6EAA">
        <w:t xml:space="preserve">or both, </w:t>
      </w:r>
      <w:r w:rsidRPr="00FF6EAA">
        <w:t>to dairy cattle that are pasture grazed for more than 9 months each year;</w:t>
      </w:r>
    </w:p>
    <w:p w:rsidR="007F2E66" w:rsidRPr="00FF6EAA" w:rsidRDefault="00307670" w:rsidP="007F2E66">
      <w:pPr>
        <w:pStyle w:val="ItemHead"/>
        <w:rPr>
          <w:rFonts w:cs="Arial"/>
        </w:rPr>
      </w:pPr>
      <w:r w:rsidRPr="00FF6EAA">
        <w:rPr>
          <w:rFonts w:cs="Arial"/>
        </w:rPr>
        <w:t>10</w:t>
      </w:r>
      <w:r w:rsidR="007F2E66" w:rsidRPr="00FF6EAA">
        <w:rPr>
          <w:rFonts w:cs="Arial"/>
        </w:rPr>
        <w:t xml:space="preserve">  Paragraph 3.28(1)(l)</w:t>
      </w:r>
    </w:p>
    <w:p w:rsidR="007F2E66" w:rsidRPr="00FF6EAA" w:rsidRDefault="007F2E66" w:rsidP="007F2E66">
      <w:pPr>
        <w:pStyle w:val="Item"/>
      </w:pPr>
      <w:r w:rsidRPr="00FF6EAA">
        <w:t>Repeal the paragraph, substitute:</w:t>
      </w:r>
    </w:p>
    <w:p w:rsidR="007F2E66" w:rsidRPr="00FF6EAA" w:rsidRDefault="007F2E66" w:rsidP="007F2E66">
      <w:pPr>
        <w:pStyle w:val="paragraph"/>
      </w:pPr>
      <w:r w:rsidRPr="00FF6EAA">
        <w:tab/>
        <w:t>(l)</w:t>
      </w:r>
      <w:r w:rsidRPr="00FF6EAA">
        <w:tab/>
        <w:t>the diversion, before 1</w:t>
      </w:r>
      <w:r w:rsidR="00FF6EAA" w:rsidRPr="00FF6EAA">
        <w:t> </w:t>
      </w:r>
      <w:r w:rsidRPr="00FF6EAA">
        <w:t>July 2012, of mixed solid waste, which would otherwise have entered landfill, to an alternative waste treatment plant;</w:t>
      </w:r>
    </w:p>
    <w:p w:rsidR="007F2E66" w:rsidRPr="00FF6EAA" w:rsidRDefault="007F2E66" w:rsidP="007F2E66">
      <w:pPr>
        <w:pStyle w:val="paragraph"/>
      </w:pPr>
      <w:r w:rsidRPr="00FF6EAA">
        <w:tab/>
        <w:t>(m)</w:t>
      </w:r>
      <w:r w:rsidRPr="00FF6EAA">
        <w:tab/>
        <w:t xml:space="preserve">the passive oxidation of emissions </w:t>
      </w:r>
      <w:r w:rsidR="008D7951" w:rsidRPr="00FF6EAA">
        <w:t>from waste, deposited in a landfill before 1</w:t>
      </w:r>
      <w:r w:rsidR="00FF6EAA" w:rsidRPr="00FF6EAA">
        <w:t> </w:t>
      </w:r>
      <w:r w:rsidR="008D7951" w:rsidRPr="00FF6EAA">
        <w:t xml:space="preserve">July 2012, </w:t>
      </w:r>
      <w:r w:rsidRPr="00FF6EAA">
        <w:t xml:space="preserve">using </w:t>
      </w:r>
      <w:proofErr w:type="spellStart"/>
      <w:r w:rsidRPr="00FF6EAA">
        <w:t>biofilters</w:t>
      </w:r>
      <w:proofErr w:type="spellEnd"/>
      <w:r w:rsidRPr="00FF6EAA">
        <w:t xml:space="preserve"> or </w:t>
      </w:r>
      <w:proofErr w:type="spellStart"/>
      <w:r w:rsidRPr="00FF6EAA">
        <w:t>biocovers</w:t>
      </w:r>
      <w:proofErr w:type="spellEnd"/>
      <w:r w:rsidRPr="00FF6EAA">
        <w:t xml:space="preserve"> on landfills;</w:t>
      </w:r>
    </w:p>
    <w:p w:rsidR="007F2E66" w:rsidRPr="00FF6EAA" w:rsidRDefault="007F2E66" w:rsidP="007F2E66">
      <w:pPr>
        <w:pStyle w:val="noteToPara"/>
      </w:pPr>
      <w:r w:rsidRPr="00FF6EAA">
        <w:t>Note:</w:t>
      </w:r>
      <w:r w:rsidRPr="00FF6EAA">
        <w:tab/>
        <w:t xml:space="preserve">This does not include </w:t>
      </w:r>
      <w:r w:rsidR="00DB4ED5" w:rsidRPr="00FF6EAA">
        <w:t xml:space="preserve">projects using material obtained as a result of </w:t>
      </w:r>
      <w:r w:rsidRPr="00FF6EAA">
        <w:t>clearing or harvesting of native forest: see paragraph</w:t>
      </w:r>
      <w:r w:rsidR="00FF6EAA" w:rsidRPr="00FF6EAA">
        <w:t> </w:t>
      </w:r>
      <w:r w:rsidRPr="00FF6EAA">
        <w:t>27(4)(j) of the Act.</w:t>
      </w:r>
    </w:p>
    <w:p w:rsidR="007F2E66" w:rsidRPr="00FF6EAA" w:rsidRDefault="007F2E66" w:rsidP="007F2E66">
      <w:pPr>
        <w:pStyle w:val="paragraph"/>
      </w:pPr>
      <w:r w:rsidRPr="00FF6EAA">
        <w:tab/>
        <w:t>(n)</w:t>
      </w:r>
      <w:r w:rsidRPr="00FF6EAA">
        <w:tab/>
        <w:t>the establishment of a n</w:t>
      </w:r>
      <w:r w:rsidR="008E4814" w:rsidRPr="00FF6EAA">
        <w:t>ew farm forestry plantation;</w:t>
      </w:r>
    </w:p>
    <w:p w:rsidR="007F2E66" w:rsidRPr="00FF6EAA" w:rsidRDefault="00F81114" w:rsidP="007F2E66">
      <w:pPr>
        <w:pStyle w:val="paragraph"/>
      </w:pPr>
      <w:r w:rsidRPr="00FF6EAA">
        <w:tab/>
      </w:r>
      <w:r w:rsidR="007F2E66" w:rsidRPr="00FF6EAA">
        <w:t>(o)</w:t>
      </w:r>
      <w:r w:rsidR="007F2E66" w:rsidRPr="00FF6EAA">
        <w:tab/>
        <w:t>the protection of native forest on freehold or leasehold land, on or after 1</w:t>
      </w:r>
      <w:r w:rsidR="00FF6EAA" w:rsidRPr="00FF6EAA">
        <w:t> </w:t>
      </w:r>
      <w:r w:rsidR="007F2E66" w:rsidRPr="00FF6EAA">
        <w:t>July 2010, in relation to which:</w:t>
      </w:r>
    </w:p>
    <w:p w:rsidR="007F2E66" w:rsidRPr="00FF6EAA" w:rsidRDefault="007F2E66" w:rsidP="007F2E66">
      <w:pPr>
        <w:pStyle w:val="paragraphsub"/>
      </w:pPr>
      <w:r w:rsidRPr="00FF6EAA">
        <w:tab/>
        <w:t>(</w:t>
      </w:r>
      <w:proofErr w:type="spellStart"/>
      <w:r w:rsidRPr="00FF6EAA">
        <w:t>i</w:t>
      </w:r>
      <w:proofErr w:type="spellEnd"/>
      <w:r w:rsidRPr="00FF6EAA">
        <w:t>)</w:t>
      </w:r>
      <w:r w:rsidRPr="00FF6EAA">
        <w:tab/>
      </w:r>
      <w:r w:rsidR="00AF22D3" w:rsidRPr="00FF6EAA">
        <w:t xml:space="preserve">a </w:t>
      </w:r>
      <w:r w:rsidRPr="00FF6EAA">
        <w:t>Commonwealth, State or Territory law prohibits clearing, or conversion to a plantation, without consent; and</w:t>
      </w:r>
    </w:p>
    <w:p w:rsidR="007F2E66" w:rsidRPr="00FF6EAA" w:rsidRDefault="007F2E66" w:rsidP="007F2E66">
      <w:pPr>
        <w:pStyle w:val="paragraphsub"/>
      </w:pPr>
      <w:r w:rsidRPr="00FF6EAA">
        <w:tab/>
        <w:t>(ii)</w:t>
      </w:r>
      <w:r w:rsidRPr="00FF6EAA">
        <w:tab/>
        <w:t>the landholder received consent, before 1</w:t>
      </w:r>
      <w:r w:rsidR="00FF6EAA" w:rsidRPr="00FF6EAA">
        <w:t> </w:t>
      </w:r>
      <w:r w:rsidRPr="00FF6EAA">
        <w:t>July 2010, for the clearing or conversion from the relevant Commonwealth, State, Territory or local regulatory authority responsible for giving the consent; and</w:t>
      </w:r>
    </w:p>
    <w:p w:rsidR="007F2E66" w:rsidRPr="00FF6EAA" w:rsidRDefault="007F2E66" w:rsidP="007F2E66">
      <w:pPr>
        <w:pStyle w:val="paragraphsub"/>
      </w:pPr>
      <w:r w:rsidRPr="00FF6EAA">
        <w:tab/>
        <w:t>(iii)</w:t>
      </w:r>
      <w:r w:rsidRPr="00FF6EAA">
        <w:tab/>
        <w:t xml:space="preserve">the consent mentioned in </w:t>
      </w:r>
      <w:r w:rsidR="00FF6EAA" w:rsidRPr="00FF6EAA">
        <w:t>subparagraph (</w:t>
      </w:r>
      <w:r w:rsidRPr="00FF6EAA">
        <w:t>ii) remains valid</w:t>
      </w:r>
      <w:r w:rsidR="00C60029" w:rsidRPr="00FF6EAA">
        <w:t xml:space="preserve"> at the time of application to the Regulator for the declaration of the offsets project as an eligible offsets project</w:t>
      </w:r>
      <w:r w:rsidRPr="00FF6EAA">
        <w:t>; and</w:t>
      </w:r>
    </w:p>
    <w:p w:rsidR="007F2E66" w:rsidRPr="00FF6EAA" w:rsidRDefault="007F2E66" w:rsidP="007F2E66">
      <w:pPr>
        <w:pStyle w:val="paragraphsub"/>
      </w:pPr>
      <w:r w:rsidRPr="00FF6EAA">
        <w:tab/>
        <w:t>(iv)</w:t>
      </w:r>
      <w:r w:rsidRPr="00FF6EAA">
        <w:tab/>
        <w:t xml:space="preserve">the consent mentioned in </w:t>
      </w:r>
      <w:r w:rsidR="00FF6EAA" w:rsidRPr="00FF6EAA">
        <w:t>subparagraph (</w:t>
      </w:r>
      <w:r w:rsidRPr="00FF6EAA">
        <w:t>ii) does not require an offset to mitigate any effect from the clearing or con</w:t>
      </w:r>
      <w:r w:rsidR="00EF0293" w:rsidRPr="00FF6EAA">
        <w:t>version to which it relates;</w:t>
      </w:r>
    </w:p>
    <w:p w:rsidR="007F2E66" w:rsidRPr="00FF6EAA" w:rsidRDefault="007F2E66" w:rsidP="007F2E66">
      <w:pPr>
        <w:pStyle w:val="paragraph"/>
      </w:pPr>
      <w:r w:rsidRPr="00FF6EAA">
        <w:lastRenderedPageBreak/>
        <w:tab/>
        <w:t>(p)</w:t>
      </w:r>
      <w:r w:rsidRPr="00FF6EAA">
        <w:tab/>
        <w:t>the protection of native forest on freehold or leasehold land, on or after 1</w:t>
      </w:r>
      <w:r w:rsidR="00FF6EAA" w:rsidRPr="00FF6EAA">
        <w:t> </w:t>
      </w:r>
      <w:r w:rsidRPr="00FF6EAA">
        <w:t>July 2010, in relation to which:</w:t>
      </w:r>
    </w:p>
    <w:p w:rsidR="007F2E66" w:rsidRPr="00FF6EAA" w:rsidRDefault="007F2E66" w:rsidP="007F2E66">
      <w:pPr>
        <w:pStyle w:val="paragraphsub"/>
      </w:pPr>
      <w:r w:rsidRPr="00FF6EAA">
        <w:tab/>
        <w:t>(</w:t>
      </w:r>
      <w:proofErr w:type="spellStart"/>
      <w:r w:rsidRPr="00FF6EAA">
        <w:t>i</w:t>
      </w:r>
      <w:proofErr w:type="spellEnd"/>
      <w:r w:rsidRPr="00FF6EAA">
        <w:t>)</w:t>
      </w:r>
      <w:r w:rsidRPr="00FF6EAA">
        <w:tab/>
      </w:r>
      <w:r w:rsidR="00AF22D3" w:rsidRPr="00FF6EAA">
        <w:t xml:space="preserve">a </w:t>
      </w:r>
      <w:r w:rsidRPr="00FF6EAA">
        <w:t>Commonwealth, State or Territory law prohibits harvest without approval of a harvest plan; and</w:t>
      </w:r>
    </w:p>
    <w:p w:rsidR="007F2E66" w:rsidRPr="00FF6EAA" w:rsidRDefault="007F2E66" w:rsidP="007F2E66">
      <w:pPr>
        <w:pStyle w:val="paragraphsub"/>
      </w:pPr>
      <w:r w:rsidRPr="00FF6EAA">
        <w:tab/>
        <w:t>(ii)</w:t>
      </w:r>
      <w:r w:rsidRPr="00FF6EAA">
        <w:tab/>
        <w:t>the landholder received approval of a harvest plan, before 1</w:t>
      </w:r>
      <w:r w:rsidR="00FF6EAA" w:rsidRPr="00FF6EAA">
        <w:t> </w:t>
      </w:r>
      <w:r w:rsidRPr="00FF6EAA">
        <w:t>July 2010, from the relevant Commonwealth, State, Territory or local regulatory authority responsible for giving the approval; and</w:t>
      </w:r>
    </w:p>
    <w:p w:rsidR="007F2E66" w:rsidRPr="00FF6EAA" w:rsidRDefault="007F2E66" w:rsidP="007F2E66">
      <w:pPr>
        <w:pStyle w:val="paragraphsub"/>
      </w:pPr>
      <w:r w:rsidRPr="00FF6EAA">
        <w:tab/>
        <w:t>(iii)</w:t>
      </w:r>
      <w:r w:rsidRPr="00FF6EAA">
        <w:tab/>
        <w:t>the approved harvest plan remains valid</w:t>
      </w:r>
      <w:r w:rsidR="00C60029" w:rsidRPr="00FF6EAA">
        <w:t xml:space="preserve"> at the time of application to the Regulator for the declaration of the offsets project as an eligible offsets project</w:t>
      </w:r>
      <w:r w:rsidRPr="00FF6EAA">
        <w:t>; and</w:t>
      </w:r>
    </w:p>
    <w:p w:rsidR="007F2E66" w:rsidRPr="00FF6EAA" w:rsidRDefault="007F2E66" w:rsidP="007F2E66">
      <w:pPr>
        <w:pStyle w:val="paragraphsub"/>
      </w:pPr>
      <w:r w:rsidRPr="00FF6EAA">
        <w:tab/>
        <w:t>(iv)</w:t>
      </w:r>
      <w:r w:rsidRPr="00FF6EAA">
        <w:tab/>
        <w:t>the approved harvest plan does not require an offset to mitigate any effect from the harvest.</w:t>
      </w:r>
    </w:p>
    <w:bookmarkEnd w:id="20"/>
    <w:bookmarkEnd w:id="21"/>
    <w:bookmarkEnd w:id="22"/>
    <w:p w:rsidR="007F2E66" w:rsidRPr="00FF6EAA" w:rsidRDefault="00307670" w:rsidP="007F2E66">
      <w:pPr>
        <w:pStyle w:val="ItemHead"/>
        <w:rPr>
          <w:rFonts w:cs="Arial"/>
        </w:rPr>
      </w:pPr>
      <w:r w:rsidRPr="00FF6EAA">
        <w:rPr>
          <w:rFonts w:cs="Arial"/>
        </w:rPr>
        <w:t>11</w:t>
      </w:r>
      <w:r w:rsidR="007F2E66" w:rsidRPr="00FF6EAA">
        <w:rPr>
          <w:rFonts w:cs="Arial"/>
        </w:rPr>
        <w:t xml:space="preserve">  </w:t>
      </w:r>
      <w:proofErr w:type="spellStart"/>
      <w:r w:rsidR="007F2E66" w:rsidRPr="00FF6EAA">
        <w:rPr>
          <w:rFonts w:cs="Arial"/>
        </w:rPr>
        <w:t>Subregulations</w:t>
      </w:r>
      <w:bookmarkStart w:id="26" w:name="opcRefBookmark"/>
      <w:proofErr w:type="spellEnd"/>
      <w:r w:rsidR="00FF6EAA" w:rsidRPr="00FF6EAA">
        <w:rPr>
          <w:rFonts w:cs="Arial"/>
        </w:rPr>
        <w:t> </w:t>
      </w:r>
      <w:r w:rsidR="007F2E66" w:rsidRPr="00FF6EAA">
        <w:rPr>
          <w:rFonts w:cs="Arial"/>
        </w:rPr>
        <w:t>3</w:t>
      </w:r>
      <w:bookmarkEnd w:id="26"/>
      <w:r w:rsidR="007F2E66" w:rsidRPr="00FF6EAA">
        <w:rPr>
          <w:rFonts w:cs="Arial"/>
        </w:rPr>
        <w:t>.28(4) and (5)</w:t>
      </w:r>
    </w:p>
    <w:p w:rsidR="007F2E66" w:rsidRPr="00FF6EAA" w:rsidRDefault="007F2E66" w:rsidP="007F2E66">
      <w:pPr>
        <w:pStyle w:val="Item"/>
      </w:pPr>
      <w:r w:rsidRPr="00FF6EAA">
        <w:t xml:space="preserve">Repeal the </w:t>
      </w:r>
      <w:proofErr w:type="spellStart"/>
      <w:r w:rsidRPr="00FF6EAA">
        <w:t>subregulations</w:t>
      </w:r>
      <w:proofErr w:type="spellEnd"/>
      <w:r w:rsidRPr="00FF6EAA">
        <w:t>, substitute:</w:t>
      </w:r>
    </w:p>
    <w:p w:rsidR="007F2E66" w:rsidRPr="00FF6EAA" w:rsidRDefault="007F2E66" w:rsidP="007F2E66">
      <w:pPr>
        <w:pStyle w:val="subsection"/>
      </w:pPr>
      <w:r w:rsidRPr="00FF6EAA">
        <w:tab/>
        <w:t>(4)</w:t>
      </w:r>
      <w:r w:rsidRPr="00FF6EAA">
        <w:tab/>
        <w:t xml:space="preserve">For </w:t>
      </w:r>
      <w:r w:rsidR="00FF6EAA" w:rsidRPr="00FF6EAA">
        <w:t>paragraph (</w:t>
      </w:r>
      <w:r w:rsidRPr="00FF6EAA">
        <w:t xml:space="preserve">1)(l), </w:t>
      </w:r>
      <w:r w:rsidRPr="00FF6EAA">
        <w:rPr>
          <w:b/>
          <w:i/>
        </w:rPr>
        <w:t>mixed solid waste</w:t>
      </w:r>
      <w:r w:rsidRPr="00FF6EAA">
        <w:t xml:space="preserve"> means waste from sources such as offices, community organisations, sporting facilities, households, retail and catering businesses and institutions (including schools, hospitals and prisons), but excludes the following:</w:t>
      </w:r>
    </w:p>
    <w:p w:rsidR="007F2E66" w:rsidRPr="00FF6EAA" w:rsidRDefault="007F2E66" w:rsidP="007F2E66">
      <w:pPr>
        <w:pStyle w:val="paragraph"/>
      </w:pPr>
      <w:r w:rsidRPr="00FF6EAA">
        <w:tab/>
        <w:t>(a)</w:t>
      </w:r>
      <w:r w:rsidRPr="00FF6EAA">
        <w:tab/>
        <w:t>recyclable paper, paperboard, glass, metal or plastic that has been separated at the point of generation;</w:t>
      </w:r>
    </w:p>
    <w:p w:rsidR="007F2E66" w:rsidRPr="00FF6EAA" w:rsidRDefault="007F2E66" w:rsidP="007F2E66">
      <w:pPr>
        <w:pStyle w:val="paragraph"/>
      </w:pPr>
      <w:r w:rsidRPr="00FF6EAA">
        <w:tab/>
        <w:t>(b)</w:t>
      </w:r>
      <w:r w:rsidRPr="00FF6EAA">
        <w:tab/>
        <w:t>green waste or wood waste, including waste from gardens or parks, that has been separated at the point of generation;</w:t>
      </w:r>
    </w:p>
    <w:p w:rsidR="007F2E66" w:rsidRPr="00FF6EAA" w:rsidRDefault="007F2E66" w:rsidP="007F2E66">
      <w:pPr>
        <w:pStyle w:val="paragraph"/>
      </w:pPr>
      <w:r w:rsidRPr="00FF6EAA">
        <w:tab/>
        <w:t>(c)</w:t>
      </w:r>
      <w:r w:rsidRPr="00FF6EAA">
        <w:tab/>
      </w:r>
      <w:proofErr w:type="spellStart"/>
      <w:r w:rsidRPr="00FF6EAA">
        <w:t>biosolids</w:t>
      </w:r>
      <w:proofErr w:type="spellEnd"/>
      <w:r w:rsidRPr="00FF6EAA">
        <w:t>;</w:t>
      </w:r>
    </w:p>
    <w:p w:rsidR="007F2E66" w:rsidRPr="00FF6EAA" w:rsidRDefault="007F2E66" w:rsidP="007F2E66">
      <w:pPr>
        <w:pStyle w:val="paragraph"/>
      </w:pPr>
      <w:r w:rsidRPr="00FF6EAA">
        <w:tab/>
        <w:t>(d)</w:t>
      </w:r>
      <w:r w:rsidRPr="00FF6EAA">
        <w:tab/>
        <w:t>organic waste from the livestock industry, such as straw bedding and manure mixes;</w:t>
      </w:r>
    </w:p>
    <w:p w:rsidR="007F2E66" w:rsidRPr="00FF6EAA" w:rsidRDefault="007F2E66" w:rsidP="007F2E66">
      <w:pPr>
        <w:pStyle w:val="paragraph"/>
      </w:pPr>
      <w:r w:rsidRPr="00FF6EAA">
        <w:tab/>
        <w:t>(e)</w:t>
      </w:r>
      <w:r w:rsidRPr="00FF6EAA">
        <w:tab/>
      </w:r>
      <w:r w:rsidR="00273200" w:rsidRPr="00FF6EAA">
        <w:t>commercial and industrial waste comprising only putrescible waste when it is received by an alternative waste treatment plant</w:t>
      </w:r>
      <w:r w:rsidRPr="00FF6EAA">
        <w:t>;</w:t>
      </w:r>
    </w:p>
    <w:p w:rsidR="007F2E66" w:rsidRPr="00FF6EAA" w:rsidRDefault="007F2E66" w:rsidP="007F2E66">
      <w:pPr>
        <w:pStyle w:val="paragraph"/>
      </w:pPr>
      <w:r w:rsidRPr="00FF6EAA">
        <w:tab/>
        <w:t>(f)</w:t>
      </w:r>
      <w:r w:rsidRPr="00FF6EAA">
        <w:tab/>
        <w:t>construction and demolition waste.</w:t>
      </w:r>
    </w:p>
    <w:p w:rsidR="007F2E66" w:rsidRPr="00FF6EAA" w:rsidRDefault="007F2E66" w:rsidP="007F2E66">
      <w:pPr>
        <w:pStyle w:val="subsection"/>
      </w:pPr>
      <w:r w:rsidRPr="00FF6EAA">
        <w:tab/>
        <w:t>(5)</w:t>
      </w:r>
      <w:r w:rsidRPr="00FF6EAA">
        <w:tab/>
        <w:t xml:space="preserve">For </w:t>
      </w:r>
      <w:proofErr w:type="spellStart"/>
      <w:r w:rsidRPr="00FF6EAA">
        <w:t>subregulation</w:t>
      </w:r>
      <w:proofErr w:type="spellEnd"/>
      <w:r w:rsidRPr="00FF6EAA">
        <w:t xml:space="preserve"> (4), a type of waste is separated at the point of generation even if it is separated into a container that may contain some other types of waste.</w:t>
      </w:r>
    </w:p>
    <w:p w:rsidR="007F2E66" w:rsidRPr="00FF6EAA" w:rsidRDefault="00307670" w:rsidP="007F2E66">
      <w:pPr>
        <w:pStyle w:val="ItemHead"/>
      </w:pPr>
      <w:r w:rsidRPr="00FF6EAA">
        <w:lastRenderedPageBreak/>
        <w:t>12</w:t>
      </w:r>
      <w:r w:rsidR="007F2E66" w:rsidRPr="00FF6EAA">
        <w:t xml:space="preserve">  At the end of </w:t>
      </w:r>
      <w:proofErr w:type="spellStart"/>
      <w:r w:rsidR="007F2E66" w:rsidRPr="00FF6EAA">
        <w:t>subregulation</w:t>
      </w:r>
      <w:proofErr w:type="spellEnd"/>
      <w:r w:rsidR="00FF6EAA" w:rsidRPr="00FF6EAA">
        <w:t> </w:t>
      </w:r>
      <w:r w:rsidR="007F2E66" w:rsidRPr="00FF6EAA">
        <w:t>3.29(1)</w:t>
      </w:r>
    </w:p>
    <w:p w:rsidR="007F2E66" w:rsidRPr="00FF6EAA" w:rsidRDefault="007F2E66" w:rsidP="007F2E66">
      <w:pPr>
        <w:pStyle w:val="Item"/>
      </w:pPr>
      <w:r w:rsidRPr="00FF6EAA">
        <w:t>Add:</w:t>
      </w:r>
    </w:p>
    <w:p w:rsidR="007F2E66" w:rsidRPr="00FF6EAA" w:rsidRDefault="007F2E66" w:rsidP="007F2E66">
      <w:pPr>
        <w:pStyle w:val="paragraph"/>
      </w:pPr>
      <w:r w:rsidRPr="00FF6EAA">
        <w:tab/>
        <w:t>; (c)</w:t>
      </w:r>
      <w:r w:rsidRPr="00FF6EAA">
        <w:tab/>
        <w:t xml:space="preserve">a requirement under State or Territory </w:t>
      </w:r>
      <w:r w:rsidR="00F81114" w:rsidRPr="00FF6EAA">
        <w:t>law that is made after 24</w:t>
      </w:r>
      <w:r w:rsidR="00FF6EAA" w:rsidRPr="00FF6EAA">
        <w:t> </w:t>
      </w:r>
      <w:r w:rsidR="00F81114" w:rsidRPr="00FF6EAA">
        <w:t xml:space="preserve">March 2011 and that </w:t>
      </w:r>
      <w:r w:rsidRPr="00FF6EAA">
        <w:t>implement</w:t>
      </w:r>
      <w:r w:rsidR="00F81114" w:rsidRPr="00FF6EAA">
        <w:t>s</w:t>
      </w:r>
      <w:r w:rsidRPr="00FF6EAA">
        <w:t xml:space="preserve"> a</w:t>
      </w:r>
      <w:r w:rsidR="00F81114" w:rsidRPr="00FF6EAA">
        <w:t>n</w:t>
      </w:r>
      <w:r w:rsidRPr="00FF6EAA">
        <w:t xml:space="preserve"> agreement between the Commonwealth and a State or Territory Government:</w:t>
      </w:r>
    </w:p>
    <w:p w:rsidR="007F2E66" w:rsidRPr="00FF6EAA" w:rsidRDefault="007F2E66" w:rsidP="007F2E66">
      <w:pPr>
        <w:pStyle w:val="paragraphsub"/>
      </w:pPr>
      <w:r w:rsidRPr="00FF6EAA">
        <w:tab/>
        <w:t>(</w:t>
      </w:r>
      <w:proofErr w:type="spellStart"/>
      <w:r w:rsidRPr="00FF6EAA">
        <w:t>i</w:t>
      </w:r>
      <w:proofErr w:type="spellEnd"/>
      <w:r w:rsidRPr="00FF6EAA">
        <w:t>)</w:t>
      </w:r>
      <w:r w:rsidRPr="00FF6EAA">
        <w:tab/>
        <w:t>to establish new reserves or reduce annual native forest harvest; and</w:t>
      </w:r>
    </w:p>
    <w:p w:rsidR="007F2E66" w:rsidRPr="00FF6EAA" w:rsidRDefault="007F2E66" w:rsidP="007F2E66">
      <w:pPr>
        <w:pStyle w:val="paragraphsub"/>
      </w:pPr>
      <w:r w:rsidRPr="00FF6EAA">
        <w:tab/>
        <w:t>(ii)</w:t>
      </w:r>
      <w:r w:rsidRPr="00FF6EAA">
        <w:tab/>
        <w:t xml:space="preserve">that recognises the potential for carbon offset opportunities for </w:t>
      </w:r>
      <w:r w:rsidR="001976E3" w:rsidRPr="00FF6EAA">
        <w:t xml:space="preserve">areas </w:t>
      </w:r>
      <w:r w:rsidRPr="00FF6EAA">
        <w:t xml:space="preserve">protected </w:t>
      </w:r>
      <w:r w:rsidR="001976E3" w:rsidRPr="00FF6EAA">
        <w:t>by the agreement</w:t>
      </w:r>
      <w:r w:rsidRPr="00FF6EAA">
        <w:t>.</w:t>
      </w:r>
    </w:p>
    <w:p w:rsidR="007F2E66" w:rsidRPr="00FF6EAA" w:rsidRDefault="00307670" w:rsidP="007F2E66">
      <w:pPr>
        <w:pStyle w:val="ItemHead"/>
      </w:pPr>
      <w:bookmarkStart w:id="27" w:name="OLE_LINK6"/>
      <w:bookmarkStart w:id="28" w:name="OLE_LINK5"/>
      <w:bookmarkStart w:id="29" w:name="OLE_LINK8"/>
      <w:bookmarkStart w:id="30" w:name="OLE_LINK7"/>
      <w:r w:rsidRPr="00FF6EAA">
        <w:t>13</w:t>
      </w:r>
      <w:r w:rsidR="007F2E66" w:rsidRPr="00FF6EAA">
        <w:t xml:space="preserve">  Regulation</w:t>
      </w:r>
      <w:r w:rsidR="00FF6EAA" w:rsidRPr="00FF6EAA">
        <w:t> </w:t>
      </w:r>
      <w:r w:rsidR="007F2E66" w:rsidRPr="00FF6EAA">
        <w:t xml:space="preserve">3.34 (definitions of </w:t>
      </w:r>
      <w:r w:rsidR="007F2E66" w:rsidRPr="00FF6EAA">
        <w:rPr>
          <w:i/>
        </w:rPr>
        <w:t>CFI rainfall map</w:t>
      </w:r>
      <w:r w:rsidR="007F2E66" w:rsidRPr="00FF6EAA">
        <w:t xml:space="preserve">, including the note, and </w:t>
      </w:r>
      <w:r w:rsidR="007F2E66" w:rsidRPr="00FF6EAA">
        <w:rPr>
          <w:i/>
        </w:rPr>
        <w:t>plantation</w:t>
      </w:r>
      <w:r w:rsidR="007F2E66" w:rsidRPr="00FF6EAA">
        <w:t>)</w:t>
      </w:r>
    </w:p>
    <w:p w:rsidR="007F2E66" w:rsidRPr="00FF6EAA" w:rsidRDefault="007F2E66" w:rsidP="007F2E66">
      <w:pPr>
        <w:pStyle w:val="Item"/>
      </w:pPr>
      <w:r w:rsidRPr="00FF6EAA">
        <w:t>Repeal the definitions.</w:t>
      </w:r>
    </w:p>
    <w:bookmarkEnd w:id="27"/>
    <w:bookmarkEnd w:id="28"/>
    <w:bookmarkEnd w:id="29"/>
    <w:bookmarkEnd w:id="30"/>
    <w:p w:rsidR="007F2E66" w:rsidRPr="00FF6EAA" w:rsidRDefault="00307670" w:rsidP="007F2E66">
      <w:pPr>
        <w:pStyle w:val="ItemHead"/>
        <w:rPr>
          <w:rFonts w:cs="Arial"/>
        </w:rPr>
      </w:pPr>
      <w:r w:rsidRPr="00FF6EAA">
        <w:rPr>
          <w:rFonts w:cs="Arial"/>
        </w:rPr>
        <w:t>14</w:t>
      </w:r>
      <w:r w:rsidR="007F2E66" w:rsidRPr="00FF6EAA">
        <w:rPr>
          <w:rFonts w:cs="Arial"/>
        </w:rPr>
        <w:t xml:space="preserve">  At the end of </w:t>
      </w:r>
      <w:proofErr w:type="spellStart"/>
      <w:r w:rsidR="007F2E66" w:rsidRPr="00FF6EAA">
        <w:rPr>
          <w:rFonts w:cs="Arial"/>
        </w:rPr>
        <w:t>subregulation</w:t>
      </w:r>
      <w:proofErr w:type="spellEnd"/>
      <w:r w:rsidR="00FF6EAA" w:rsidRPr="00FF6EAA">
        <w:rPr>
          <w:rFonts w:cs="Arial"/>
        </w:rPr>
        <w:t> </w:t>
      </w:r>
      <w:r w:rsidR="007F2E66" w:rsidRPr="00FF6EAA">
        <w:rPr>
          <w:rFonts w:cs="Arial"/>
        </w:rPr>
        <w:t>3.35(2)</w:t>
      </w:r>
    </w:p>
    <w:p w:rsidR="007F2E66" w:rsidRPr="00FF6EAA" w:rsidRDefault="007F2E66" w:rsidP="007F2E66">
      <w:pPr>
        <w:pStyle w:val="Item"/>
      </w:pPr>
      <w:r w:rsidRPr="00FF6EAA">
        <w:t>Add:</w:t>
      </w:r>
    </w:p>
    <w:p w:rsidR="007F2E66" w:rsidRPr="00FF6EAA" w:rsidRDefault="007F2E66" w:rsidP="007F2E66">
      <w:pPr>
        <w:pStyle w:val="paragraph"/>
      </w:pPr>
      <w:r w:rsidRPr="00FF6EAA">
        <w:tab/>
        <w:t>; or (f)</w:t>
      </w:r>
      <w:r w:rsidRPr="00FF6EAA">
        <w:tab/>
        <w:t>an activity mentioned in subparagraph</w:t>
      </w:r>
      <w:r w:rsidR="00FF6EAA" w:rsidRPr="00FF6EAA">
        <w:t> </w:t>
      </w:r>
      <w:r w:rsidRPr="00FF6EAA">
        <w:t>3.28(1)(c)(vi).</w:t>
      </w:r>
    </w:p>
    <w:p w:rsidR="007F2E66" w:rsidRPr="00FF6EAA" w:rsidRDefault="00307670" w:rsidP="007F2E66">
      <w:pPr>
        <w:pStyle w:val="ItemHead"/>
        <w:rPr>
          <w:rFonts w:cs="Arial"/>
        </w:rPr>
      </w:pPr>
      <w:r w:rsidRPr="00FF6EAA">
        <w:rPr>
          <w:rFonts w:cs="Arial"/>
        </w:rPr>
        <w:t>15</w:t>
      </w:r>
      <w:r w:rsidR="007F2E66" w:rsidRPr="00FF6EAA">
        <w:rPr>
          <w:rFonts w:cs="Arial"/>
        </w:rPr>
        <w:t xml:space="preserve">  Regulation</w:t>
      </w:r>
      <w:r w:rsidR="00FF6EAA" w:rsidRPr="00FF6EAA">
        <w:rPr>
          <w:rFonts w:cs="Arial"/>
        </w:rPr>
        <w:t> </w:t>
      </w:r>
      <w:r w:rsidR="007F2E66" w:rsidRPr="00FF6EAA">
        <w:rPr>
          <w:rFonts w:cs="Arial"/>
        </w:rPr>
        <w:t>3.36</w:t>
      </w:r>
    </w:p>
    <w:p w:rsidR="007F2E66" w:rsidRPr="00FF6EAA" w:rsidRDefault="007F2E66" w:rsidP="007F2E66">
      <w:pPr>
        <w:pStyle w:val="Item"/>
      </w:pPr>
      <w:r w:rsidRPr="00FF6EAA">
        <w:t>Before “The”, insert “(1)”.</w:t>
      </w:r>
    </w:p>
    <w:p w:rsidR="007F2E66" w:rsidRPr="00FF6EAA" w:rsidRDefault="00307670" w:rsidP="007F2E66">
      <w:pPr>
        <w:pStyle w:val="ItemHead"/>
        <w:rPr>
          <w:rFonts w:cs="Arial"/>
        </w:rPr>
      </w:pPr>
      <w:r w:rsidRPr="00FF6EAA">
        <w:rPr>
          <w:rFonts w:cs="Arial"/>
        </w:rPr>
        <w:t>16</w:t>
      </w:r>
      <w:r w:rsidR="007F2E66" w:rsidRPr="00FF6EAA">
        <w:rPr>
          <w:rFonts w:cs="Arial"/>
        </w:rPr>
        <w:t xml:space="preserve">  Paragraph 3.36(a)</w:t>
      </w:r>
    </w:p>
    <w:p w:rsidR="007F2E66" w:rsidRPr="00FF6EAA" w:rsidRDefault="007F2E66" w:rsidP="007F2E66">
      <w:pPr>
        <w:pStyle w:val="Item"/>
      </w:pPr>
      <w:r w:rsidRPr="00FF6EAA">
        <w:t>Repeal the paragraph, substitute:</w:t>
      </w:r>
    </w:p>
    <w:p w:rsidR="007F2E66" w:rsidRPr="00FF6EAA" w:rsidRDefault="007F2E66" w:rsidP="007F2E66">
      <w:pPr>
        <w:pStyle w:val="paragraph"/>
      </w:pPr>
      <w:r w:rsidRPr="00FF6EAA">
        <w:tab/>
        <w:t>(a)</w:t>
      </w:r>
      <w:r w:rsidRPr="00FF6EAA">
        <w:tab/>
        <w:t>a project that involves an activity that:</w:t>
      </w:r>
    </w:p>
    <w:p w:rsidR="007F2E66" w:rsidRPr="00FF6EAA" w:rsidRDefault="007F2E66" w:rsidP="007F2E66">
      <w:pPr>
        <w:pStyle w:val="paragraphsub"/>
      </w:pPr>
      <w:r w:rsidRPr="00FF6EAA">
        <w:tab/>
        <w:t>(</w:t>
      </w:r>
      <w:proofErr w:type="spellStart"/>
      <w:r w:rsidRPr="00FF6EAA">
        <w:t>i</w:t>
      </w:r>
      <w:proofErr w:type="spellEnd"/>
      <w:r w:rsidRPr="00FF6EAA">
        <w:t>)</w:t>
      </w:r>
      <w:r w:rsidRPr="00FF6EAA">
        <w:tab/>
        <w:t>was mandatory under a Commonwealth, State or Territory law; and</w:t>
      </w:r>
    </w:p>
    <w:p w:rsidR="007F2E66" w:rsidRPr="00FF6EAA" w:rsidRDefault="007F2E66" w:rsidP="007F2E66">
      <w:pPr>
        <w:pStyle w:val="paragraphsub"/>
      </w:pPr>
      <w:r w:rsidRPr="00FF6EAA">
        <w:tab/>
        <w:t>(ii)</w:t>
      </w:r>
      <w:r w:rsidRPr="00FF6EAA">
        <w:tab/>
        <w:t xml:space="preserve">is no longer mandatory </w:t>
      </w:r>
      <w:bookmarkStart w:id="31" w:name="OLE_LINK26"/>
      <w:bookmarkStart w:id="32" w:name="OLE_LINK25"/>
      <w:r w:rsidRPr="00FF6EAA">
        <w:t>because the law was repealed, or amended to be less onerous</w:t>
      </w:r>
      <w:bookmarkEnd w:id="31"/>
      <w:bookmarkEnd w:id="32"/>
      <w:r w:rsidRPr="00FF6EAA">
        <w:t>, after 24</w:t>
      </w:r>
      <w:r w:rsidR="00FF6EAA" w:rsidRPr="00FF6EAA">
        <w:t> </w:t>
      </w:r>
      <w:r w:rsidRPr="00FF6EAA">
        <w:t>March 2011;</w:t>
      </w:r>
    </w:p>
    <w:p w:rsidR="007F2E66" w:rsidRPr="00FF6EAA" w:rsidRDefault="00307670" w:rsidP="007F2E66">
      <w:pPr>
        <w:pStyle w:val="ItemHead"/>
      </w:pPr>
      <w:r w:rsidRPr="00FF6EAA">
        <w:t>17</w:t>
      </w:r>
      <w:r w:rsidR="007F2E66" w:rsidRPr="00FF6EAA">
        <w:t xml:space="preserve">  At the end of regulation</w:t>
      </w:r>
      <w:r w:rsidR="00FF6EAA" w:rsidRPr="00FF6EAA">
        <w:t> </w:t>
      </w:r>
      <w:r w:rsidR="007F2E66" w:rsidRPr="00FF6EAA">
        <w:t>3.36</w:t>
      </w:r>
    </w:p>
    <w:p w:rsidR="007F2E66" w:rsidRPr="00FF6EAA" w:rsidRDefault="007F2E66" w:rsidP="007F2E66">
      <w:pPr>
        <w:pStyle w:val="Item"/>
      </w:pPr>
      <w:r w:rsidRPr="00FF6EAA">
        <w:t>Add:</w:t>
      </w:r>
    </w:p>
    <w:p w:rsidR="007F2E66" w:rsidRPr="00FF6EAA" w:rsidRDefault="007F2E66" w:rsidP="007F2E66">
      <w:pPr>
        <w:pStyle w:val="paragraph"/>
      </w:pPr>
      <w:r w:rsidRPr="00FF6EAA">
        <w:tab/>
        <w:t>; (g)</w:t>
      </w:r>
      <w:r w:rsidRPr="00FF6EAA">
        <w:tab/>
        <w:t>a project that protects native forest on freehold or leasehold land, for which a clearing consent or harvest approval plan was granted on the basis that the clearing or harvesting of the native forest:</w:t>
      </w:r>
    </w:p>
    <w:p w:rsidR="007F2E66" w:rsidRPr="00FF6EAA" w:rsidRDefault="007F2E66" w:rsidP="007F2E66">
      <w:pPr>
        <w:pStyle w:val="paragraphsub"/>
      </w:pPr>
      <w:r w:rsidRPr="00FF6EAA">
        <w:tab/>
        <w:t>(</w:t>
      </w:r>
      <w:proofErr w:type="spellStart"/>
      <w:r w:rsidRPr="00FF6EAA">
        <w:t>i</w:t>
      </w:r>
      <w:proofErr w:type="spellEnd"/>
      <w:r w:rsidRPr="00FF6EAA">
        <w:t>)</w:t>
      </w:r>
      <w:r w:rsidRPr="00FF6EAA">
        <w:tab/>
        <w:t>would lead to an environmental improvement or benefit, or would maintain an environmental outcome; or</w:t>
      </w:r>
    </w:p>
    <w:p w:rsidR="007F2E66" w:rsidRPr="00FF6EAA" w:rsidRDefault="007F2E66" w:rsidP="007F2E66">
      <w:pPr>
        <w:pStyle w:val="paragraphsub"/>
      </w:pPr>
      <w:r w:rsidRPr="00FF6EAA">
        <w:lastRenderedPageBreak/>
        <w:tab/>
        <w:t>(ii)</w:t>
      </w:r>
      <w:r w:rsidRPr="00FF6EAA">
        <w:tab/>
        <w:t>was for fire management purposes.</w:t>
      </w:r>
    </w:p>
    <w:p w:rsidR="007F2E66" w:rsidRPr="00FF6EAA" w:rsidRDefault="007F2E66" w:rsidP="007F2E66">
      <w:pPr>
        <w:pStyle w:val="subsection"/>
      </w:pPr>
      <w:r w:rsidRPr="00FF6EAA">
        <w:tab/>
        <w:t>(2)</w:t>
      </w:r>
      <w:r w:rsidRPr="00FF6EAA">
        <w:tab/>
      </w:r>
      <w:r w:rsidR="00FF6EAA" w:rsidRPr="00FF6EAA">
        <w:t>Subparagraph (</w:t>
      </w:r>
      <w:r w:rsidRPr="00FF6EAA">
        <w:t>1)(a) does not apply to a project to which paragraph</w:t>
      </w:r>
      <w:r w:rsidR="00FF6EAA" w:rsidRPr="00FF6EAA">
        <w:t> </w:t>
      </w:r>
      <w:r w:rsidRPr="00FF6EAA">
        <w:t>3.29(1)(c) also applies.</w:t>
      </w:r>
    </w:p>
    <w:p w:rsidR="007F2E66" w:rsidRPr="00FF6EAA" w:rsidRDefault="007F2E66" w:rsidP="007F2E66">
      <w:pPr>
        <w:pStyle w:val="subsection"/>
      </w:pPr>
      <w:r w:rsidRPr="00FF6EAA">
        <w:tab/>
        <w:t>(3)</w:t>
      </w:r>
      <w:r w:rsidRPr="00FF6EAA">
        <w:tab/>
      </w:r>
      <w:r w:rsidR="00FF6EAA" w:rsidRPr="00FF6EAA">
        <w:t>Subparagraph (</w:t>
      </w:r>
      <w:r w:rsidRPr="00FF6EAA">
        <w:t>1)(g)(</w:t>
      </w:r>
      <w:proofErr w:type="spellStart"/>
      <w:r w:rsidRPr="00FF6EAA">
        <w:t>i</w:t>
      </w:r>
      <w:proofErr w:type="spellEnd"/>
      <w:r w:rsidRPr="00FF6EAA">
        <w:t>) does not apply to a project if:</w:t>
      </w:r>
    </w:p>
    <w:p w:rsidR="007F2E66" w:rsidRPr="00FF6EAA" w:rsidRDefault="007F2E66" w:rsidP="007F2E66">
      <w:pPr>
        <w:pStyle w:val="paragraph"/>
      </w:pPr>
      <w:r w:rsidRPr="00FF6EAA">
        <w:tab/>
        <w:t>(a)</w:t>
      </w:r>
      <w:r w:rsidRPr="00FF6EAA">
        <w:tab/>
        <w:t xml:space="preserve">the clearing consent or harvest approval plan provides options </w:t>
      </w:r>
      <w:r w:rsidR="00E336BD" w:rsidRPr="00FF6EAA">
        <w:t>for vegetation management</w:t>
      </w:r>
      <w:r w:rsidRPr="00FF6EAA">
        <w:t>;</w:t>
      </w:r>
      <w:r w:rsidR="006B3079" w:rsidRPr="00FF6EAA">
        <w:t xml:space="preserve"> and</w:t>
      </w:r>
    </w:p>
    <w:p w:rsidR="007F2E66" w:rsidRPr="00FF6EAA" w:rsidRDefault="007F2E66" w:rsidP="007F2E66">
      <w:pPr>
        <w:pStyle w:val="paragraph"/>
      </w:pPr>
      <w:r w:rsidRPr="00FF6EAA">
        <w:tab/>
        <w:t>(b)</w:t>
      </w:r>
      <w:r w:rsidRPr="00FF6EAA">
        <w:tab/>
        <w:t xml:space="preserve">the project </w:t>
      </w:r>
      <w:r w:rsidR="00E336BD" w:rsidRPr="00FF6EAA">
        <w:t>provides active and on</w:t>
      </w:r>
      <w:r w:rsidR="00FF6EAA">
        <w:noBreakHyphen/>
      </w:r>
      <w:r w:rsidR="00E336BD" w:rsidRPr="00FF6EAA">
        <w:t xml:space="preserve">going management of the project area in accordance with one </w:t>
      </w:r>
      <w:r w:rsidRPr="00FF6EAA">
        <w:t>of th</w:t>
      </w:r>
      <w:r w:rsidR="006B3079" w:rsidRPr="00FF6EAA">
        <w:t>os</w:t>
      </w:r>
      <w:r w:rsidRPr="00FF6EAA">
        <w:t>e options.</w:t>
      </w:r>
    </w:p>
    <w:p w:rsidR="007F2E66" w:rsidRPr="00FF6EAA" w:rsidRDefault="00307670" w:rsidP="007F2E66">
      <w:pPr>
        <w:pStyle w:val="ItemHead"/>
        <w:rPr>
          <w:rFonts w:cs="Arial"/>
        </w:rPr>
      </w:pPr>
      <w:r w:rsidRPr="00FF6EAA">
        <w:rPr>
          <w:rFonts w:cs="Arial"/>
          <w:noProof/>
        </w:rPr>
        <w:t>18</w:t>
      </w:r>
      <w:r w:rsidR="007F2E66" w:rsidRPr="00FF6EAA">
        <w:rPr>
          <w:rFonts w:cs="Arial"/>
        </w:rPr>
        <w:t xml:space="preserve">  </w:t>
      </w:r>
      <w:bookmarkStart w:id="33" w:name="OLE_LINK2"/>
      <w:r w:rsidR="007F2E66" w:rsidRPr="00FF6EAA">
        <w:rPr>
          <w:rFonts w:cs="Arial"/>
        </w:rPr>
        <w:t>Regulation</w:t>
      </w:r>
      <w:r w:rsidR="00FF6EAA" w:rsidRPr="00FF6EAA">
        <w:rPr>
          <w:rFonts w:cs="Arial"/>
        </w:rPr>
        <w:t> </w:t>
      </w:r>
      <w:r w:rsidR="007F2E66" w:rsidRPr="00FF6EAA">
        <w:rPr>
          <w:rFonts w:cs="Arial"/>
        </w:rPr>
        <w:t xml:space="preserve">5.1 (after </w:t>
      </w:r>
      <w:r w:rsidR="003A2A64" w:rsidRPr="00FF6EAA">
        <w:rPr>
          <w:rFonts w:cs="Arial"/>
        </w:rPr>
        <w:t xml:space="preserve">the </w:t>
      </w:r>
      <w:r w:rsidR="007F2E66" w:rsidRPr="00FF6EAA">
        <w:rPr>
          <w:rFonts w:cs="Arial"/>
        </w:rPr>
        <w:t>heading)</w:t>
      </w:r>
    </w:p>
    <w:p w:rsidR="007F2E66" w:rsidRPr="00FF6EAA" w:rsidRDefault="007F2E66" w:rsidP="007F2E66">
      <w:pPr>
        <w:pStyle w:val="Item"/>
      </w:pPr>
      <w:r w:rsidRPr="00FF6EAA">
        <w:t>Insert:</w:t>
      </w:r>
    </w:p>
    <w:p w:rsidR="007F2E66" w:rsidRPr="00FF6EAA" w:rsidRDefault="007F2E66" w:rsidP="007F2E66">
      <w:pPr>
        <w:pStyle w:val="subsection"/>
      </w:pPr>
      <w:r w:rsidRPr="00FF6EAA">
        <w:tab/>
        <w:t>(1)</w:t>
      </w:r>
      <w:r w:rsidRPr="00FF6EAA">
        <w:tab/>
        <w:t>This regulation is made for subparagraph</w:t>
      </w:r>
      <w:r w:rsidR="00FF6EAA" w:rsidRPr="00FF6EAA">
        <w:t> </w:t>
      </w:r>
      <w:r w:rsidRPr="00FF6EAA">
        <w:t>69(1)(b)(ii) of the Act.</w:t>
      </w:r>
    </w:p>
    <w:p w:rsidR="007F2E66" w:rsidRPr="00FF6EAA" w:rsidRDefault="00307670" w:rsidP="007F2E66">
      <w:pPr>
        <w:pStyle w:val="ItemHead"/>
        <w:rPr>
          <w:rFonts w:cs="Arial"/>
        </w:rPr>
      </w:pPr>
      <w:r w:rsidRPr="00FF6EAA">
        <w:rPr>
          <w:rFonts w:cs="Arial"/>
          <w:noProof/>
        </w:rPr>
        <w:t>19</w:t>
      </w:r>
      <w:r w:rsidR="007F2E66" w:rsidRPr="00FF6EAA">
        <w:rPr>
          <w:rFonts w:cs="Arial"/>
        </w:rPr>
        <w:t xml:space="preserve">  Regulation</w:t>
      </w:r>
      <w:r w:rsidR="00FF6EAA" w:rsidRPr="00FF6EAA">
        <w:rPr>
          <w:rFonts w:cs="Arial"/>
        </w:rPr>
        <w:t> </w:t>
      </w:r>
      <w:r w:rsidR="007F2E66" w:rsidRPr="00FF6EAA">
        <w:rPr>
          <w:rFonts w:cs="Arial"/>
        </w:rPr>
        <w:t>5.1</w:t>
      </w:r>
    </w:p>
    <w:p w:rsidR="007F2E66" w:rsidRPr="00FF6EAA" w:rsidRDefault="007F2E66" w:rsidP="007F2E66">
      <w:pPr>
        <w:pStyle w:val="Item"/>
      </w:pPr>
      <w:r w:rsidRPr="00FF6EAA">
        <w:t>Before “For”, insert “(2)”.</w:t>
      </w:r>
    </w:p>
    <w:p w:rsidR="007F2E66" w:rsidRPr="00FF6EAA" w:rsidRDefault="00307670" w:rsidP="007F2E66">
      <w:pPr>
        <w:pStyle w:val="ItemHead"/>
      </w:pPr>
      <w:r w:rsidRPr="00FF6EAA">
        <w:t>20</w:t>
      </w:r>
      <w:r w:rsidR="007F2E66" w:rsidRPr="00FF6EAA">
        <w:t xml:space="preserve">  Regulation</w:t>
      </w:r>
      <w:r w:rsidR="00FF6EAA" w:rsidRPr="00FF6EAA">
        <w:t> </w:t>
      </w:r>
      <w:r w:rsidR="007F2E66" w:rsidRPr="00FF6EAA">
        <w:t>5.1</w:t>
      </w:r>
    </w:p>
    <w:p w:rsidR="007F2E66" w:rsidRPr="00FF6EAA" w:rsidRDefault="007F2E66" w:rsidP="007F2E66">
      <w:pPr>
        <w:pStyle w:val="Item"/>
      </w:pPr>
      <w:r w:rsidRPr="00FF6EAA">
        <w:t>Omit “For subparagraph</w:t>
      </w:r>
      <w:r w:rsidR="00FF6EAA" w:rsidRPr="00FF6EAA">
        <w:t> </w:t>
      </w:r>
      <w:r w:rsidRPr="00FF6EAA">
        <w:t>69(1)(b)(ii) of the Act, the”, substitute “The”.</w:t>
      </w:r>
    </w:p>
    <w:p w:rsidR="007F2E66" w:rsidRPr="00FF6EAA" w:rsidRDefault="00307670" w:rsidP="007F2E66">
      <w:pPr>
        <w:pStyle w:val="ItemHead"/>
        <w:rPr>
          <w:rFonts w:cs="Arial"/>
        </w:rPr>
      </w:pPr>
      <w:r w:rsidRPr="00FF6EAA">
        <w:rPr>
          <w:rFonts w:cs="Arial"/>
          <w:noProof/>
        </w:rPr>
        <w:t>21</w:t>
      </w:r>
      <w:r w:rsidR="007F2E66" w:rsidRPr="00FF6EAA">
        <w:rPr>
          <w:rFonts w:cs="Arial"/>
        </w:rPr>
        <w:t xml:space="preserve">  At the end of regulation</w:t>
      </w:r>
      <w:r w:rsidR="00FF6EAA" w:rsidRPr="00FF6EAA">
        <w:rPr>
          <w:rFonts w:cs="Arial"/>
        </w:rPr>
        <w:t> </w:t>
      </w:r>
      <w:r w:rsidR="007F2E66" w:rsidRPr="00FF6EAA">
        <w:rPr>
          <w:rFonts w:cs="Arial"/>
        </w:rPr>
        <w:t>5.1</w:t>
      </w:r>
    </w:p>
    <w:bookmarkEnd w:id="33"/>
    <w:p w:rsidR="007F2E66" w:rsidRPr="00FF6EAA" w:rsidRDefault="007F2E66" w:rsidP="007F2E66">
      <w:pPr>
        <w:pStyle w:val="Item"/>
      </w:pPr>
      <w:r w:rsidRPr="00FF6EAA">
        <w:t>Add:</w:t>
      </w:r>
    </w:p>
    <w:p w:rsidR="007F2E66" w:rsidRPr="00FF6EAA" w:rsidRDefault="007F2E66" w:rsidP="007F2E66">
      <w:pPr>
        <w:pStyle w:val="subsection"/>
      </w:pPr>
      <w:r w:rsidRPr="00FF6EAA">
        <w:tab/>
        <w:t>(3)</w:t>
      </w:r>
      <w:r w:rsidRPr="00FF6EAA">
        <w:tab/>
        <w:t>The period of 100 years is specified for a project if:</w:t>
      </w:r>
    </w:p>
    <w:p w:rsidR="007F2E66" w:rsidRPr="00FF6EAA" w:rsidRDefault="007F2E66" w:rsidP="007F2E66">
      <w:pPr>
        <w:pStyle w:val="paragraph"/>
      </w:pPr>
      <w:bookmarkStart w:id="34" w:name="OLE_LINK37"/>
      <w:r w:rsidRPr="00FF6EAA">
        <w:tab/>
        <w:t>(a)</w:t>
      </w:r>
      <w:r w:rsidRPr="00FF6EAA">
        <w:tab/>
        <w:t>the project is a specified offsets project mentioned in paragraph</w:t>
      </w:r>
      <w:r w:rsidR="00FF6EAA" w:rsidRPr="00FF6EAA">
        <w:t> </w:t>
      </w:r>
      <w:r w:rsidRPr="00FF6EAA">
        <w:t>3.28(1)(l) or (2)(b); and</w:t>
      </w:r>
    </w:p>
    <w:p w:rsidR="007F2E66" w:rsidRPr="00FF6EAA" w:rsidRDefault="007F2E66" w:rsidP="007F2E66">
      <w:pPr>
        <w:pStyle w:val="paragraph"/>
      </w:pPr>
      <w:r w:rsidRPr="00FF6EAA">
        <w:tab/>
        <w:t>(b)</w:t>
      </w:r>
      <w:r w:rsidRPr="00FF6EAA">
        <w:tab/>
        <w:t xml:space="preserve">the </w:t>
      </w:r>
      <w:r w:rsidRPr="00FF6EAA">
        <w:rPr>
          <w:i/>
        </w:rPr>
        <w:t>Carbon Credits (Carbon Farming Initiative) (Conservative Estimate</w:t>
      </w:r>
      <w:r w:rsidR="003A2A64" w:rsidRPr="00FF6EAA">
        <w:rPr>
          <w:i/>
        </w:rPr>
        <w:t xml:space="preserve">s, Projections or Assumptions: </w:t>
      </w:r>
      <w:r w:rsidRPr="00FF6EAA">
        <w:rPr>
          <w:i/>
        </w:rPr>
        <w:t xml:space="preserve">Greenhouse </w:t>
      </w:r>
      <w:proofErr w:type="spellStart"/>
      <w:r w:rsidRPr="00FF6EAA">
        <w:rPr>
          <w:i/>
        </w:rPr>
        <w:t>Friendly</w:t>
      </w:r>
      <w:r w:rsidRPr="00FF6EAA">
        <w:rPr>
          <w:i/>
          <w:vertAlign w:val="superscript"/>
        </w:rPr>
        <w:t>TM</w:t>
      </w:r>
      <w:proofErr w:type="spellEnd"/>
      <w:r w:rsidRPr="00FF6EAA">
        <w:rPr>
          <w:i/>
        </w:rPr>
        <w:t xml:space="preserve"> Initiative Transitional Crediting Calculation (Alternative Waste Treatment)) Determination</w:t>
      </w:r>
      <w:r w:rsidR="00FF6EAA" w:rsidRPr="00FF6EAA">
        <w:rPr>
          <w:i/>
        </w:rPr>
        <w:t> </w:t>
      </w:r>
      <w:r w:rsidRPr="00FF6EAA">
        <w:rPr>
          <w:i/>
        </w:rPr>
        <w:t>2012</w:t>
      </w:r>
      <w:r w:rsidRPr="00FF6EAA">
        <w:t xml:space="preserve"> does not apply to the applicable methodology determination for the project; and</w:t>
      </w:r>
    </w:p>
    <w:p w:rsidR="007F2E66" w:rsidRPr="00FF6EAA" w:rsidRDefault="007F2E66" w:rsidP="007F2E66">
      <w:pPr>
        <w:pStyle w:val="paragraph"/>
      </w:pPr>
      <w:r w:rsidRPr="00FF6EAA">
        <w:tab/>
        <w:t>(c)</w:t>
      </w:r>
      <w:r w:rsidRPr="00FF6EAA">
        <w:tab/>
        <w:t>no Australian carbon credit units have been issued in relation to the diversion of mixed solid waste that is eligible for crediting under the project.</w:t>
      </w:r>
    </w:p>
    <w:bookmarkEnd w:id="34"/>
    <w:p w:rsidR="007F2E66" w:rsidRPr="00FF6EAA" w:rsidRDefault="00307670" w:rsidP="007F2E66">
      <w:pPr>
        <w:pStyle w:val="ItemHead"/>
        <w:rPr>
          <w:rFonts w:cs="Arial"/>
        </w:rPr>
      </w:pPr>
      <w:r w:rsidRPr="00FF6EAA">
        <w:rPr>
          <w:rFonts w:cs="Arial"/>
          <w:noProof/>
        </w:rPr>
        <w:t>22</w:t>
      </w:r>
      <w:r w:rsidR="007F2E66" w:rsidRPr="00FF6EAA">
        <w:rPr>
          <w:rFonts w:cs="Arial"/>
        </w:rPr>
        <w:t xml:space="preserve">  Regulation</w:t>
      </w:r>
      <w:r w:rsidR="00FF6EAA" w:rsidRPr="00FF6EAA">
        <w:rPr>
          <w:rFonts w:cs="Arial"/>
        </w:rPr>
        <w:t> </w:t>
      </w:r>
      <w:r w:rsidR="007F2E66" w:rsidRPr="00FF6EAA">
        <w:rPr>
          <w:rFonts w:cs="Arial"/>
        </w:rPr>
        <w:t xml:space="preserve">5.2 (after </w:t>
      </w:r>
      <w:r w:rsidR="003A2A64" w:rsidRPr="00FF6EAA">
        <w:rPr>
          <w:rFonts w:cs="Arial"/>
        </w:rPr>
        <w:t xml:space="preserve">the </w:t>
      </w:r>
      <w:r w:rsidR="007F2E66" w:rsidRPr="00FF6EAA">
        <w:rPr>
          <w:rFonts w:cs="Arial"/>
        </w:rPr>
        <w:t>heading)</w:t>
      </w:r>
    </w:p>
    <w:p w:rsidR="007F2E66" w:rsidRPr="00FF6EAA" w:rsidRDefault="007F2E66" w:rsidP="007F2E66">
      <w:pPr>
        <w:pStyle w:val="Item"/>
      </w:pPr>
      <w:r w:rsidRPr="00FF6EAA">
        <w:t>Insert:</w:t>
      </w:r>
    </w:p>
    <w:p w:rsidR="007F2E66" w:rsidRPr="00FF6EAA" w:rsidRDefault="007F2E66" w:rsidP="007F2E66">
      <w:pPr>
        <w:pStyle w:val="subsection"/>
      </w:pPr>
      <w:r w:rsidRPr="00FF6EAA">
        <w:lastRenderedPageBreak/>
        <w:tab/>
        <w:t>(1)</w:t>
      </w:r>
      <w:r w:rsidRPr="00FF6EAA">
        <w:tab/>
        <w:t>This regulation is made for paragraph</w:t>
      </w:r>
      <w:r w:rsidR="00FF6EAA" w:rsidRPr="00FF6EAA">
        <w:t> </w:t>
      </w:r>
      <w:r w:rsidRPr="00FF6EAA">
        <w:t>70(4)(b) of the Act.</w:t>
      </w:r>
    </w:p>
    <w:p w:rsidR="007F2E66" w:rsidRPr="00FF6EAA" w:rsidRDefault="00307670" w:rsidP="007F2E66">
      <w:pPr>
        <w:pStyle w:val="ItemHead"/>
        <w:rPr>
          <w:rFonts w:cs="Arial"/>
        </w:rPr>
      </w:pPr>
      <w:r w:rsidRPr="00FF6EAA">
        <w:rPr>
          <w:rFonts w:cs="Arial"/>
          <w:noProof/>
        </w:rPr>
        <w:t>23</w:t>
      </w:r>
      <w:r w:rsidR="007F2E66" w:rsidRPr="00FF6EAA">
        <w:rPr>
          <w:rFonts w:cs="Arial"/>
        </w:rPr>
        <w:t xml:space="preserve">  Regulation</w:t>
      </w:r>
      <w:r w:rsidR="00FF6EAA" w:rsidRPr="00FF6EAA">
        <w:rPr>
          <w:rFonts w:cs="Arial"/>
        </w:rPr>
        <w:t> </w:t>
      </w:r>
      <w:r w:rsidR="007F2E66" w:rsidRPr="00FF6EAA">
        <w:rPr>
          <w:rFonts w:cs="Arial"/>
        </w:rPr>
        <w:t>5.2</w:t>
      </w:r>
    </w:p>
    <w:p w:rsidR="007F2E66" w:rsidRPr="00FF6EAA" w:rsidRDefault="007F2E66" w:rsidP="007F2E66">
      <w:pPr>
        <w:pStyle w:val="Item"/>
      </w:pPr>
      <w:r w:rsidRPr="00FF6EAA">
        <w:t>Before “</w:t>
      </w:r>
      <w:r w:rsidR="00DE032B" w:rsidRPr="00FF6EAA">
        <w:t>For</w:t>
      </w:r>
      <w:r w:rsidRPr="00FF6EAA">
        <w:t>”, insert “(2)”.</w:t>
      </w:r>
    </w:p>
    <w:p w:rsidR="007F2E66" w:rsidRPr="00FF6EAA" w:rsidRDefault="00307670" w:rsidP="007F2E66">
      <w:pPr>
        <w:pStyle w:val="ItemHead"/>
      </w:pPr>
      <w:r w:rsidRPr="00FF6EAA">
        <w:t>24</w:t>
      </w:r>
      <w:r w:rsidR="007F2E66" w:rsidRPr="00FF6EAA">
        <w:t xml:space="preserve">  Regulation</w:t>
      </w:r>
      <w:r w:rsidR="00FF6EAA" w:rsidRPr="00FF6EAA">
        <w:t> </w:t>
      </w:r>
      <w:r w:rsidR="007F2E66" w:rsidRPr="00FF6EAA">
        <w:t>5.2</w:t>
      </w:r>
    </w:p>
    <w:p w:rsidR="007F2E66" w:rsidRPr="00FF6EAA" w:rsidRDefault="007F2E66" w:rsidP="007F2E66">
      <w:pPr>
        <w:pStyle w:val="Item"/>
      </w:pPr>
      <w:r w:rsidRPr="00FF6EAA">
        <w:t>Omit “For paragraph</w:t>
      </w:r>
      <w:r w:rsidR="00FF6EAA" w:rsidRPr="00FF6EAA">
        <w:t> </w:t>
      </w:r>
      <w:r w:rsidRPr="00FF6EAA">
        <w:t>70(4)(b) of the Act, the”, substitute “The”.</w:t>
      </w:r>
    </w:p>
    <w:p w:rsidR="007F2E66" w:rsidRPr="00FF6EAA" w:rsidRDefault="00307670" w:rsidP="007F2E66">
      <w:pPr>
        <w:pStyle w:val="ItemHead"/>
        <w:rPr>
          <w:rFonts w:cs="Arial"/>
        </w:rPr>
      </w:pPr>
      <w:r w:rsidRPr="00FF6EAA">
        <w:rPr>
          <w:rFonts w:cs="Arial"/>
        </w:rPr>
        <w:t>25</w:t>
      </w:r>
      <w:r w:rsidR="007F2E66" w:rsidRPr="00FF6EAA">
        <w:rPr>
          <w:rFonts w:cs="Arial"/>
        </w:rPr>
        <w:t xml:space="preserve">  At the end of regulation</w:t>
      </w:r>
      <w:r w:rsidR="00FF6EAA" w:rsidRPr="00FF6EAA">
        <w:rPr>
          <w:rFonts w:cs="Arial"/>
        </w:rPr>
        <w:t> </w:t>
      </w:r>
      <w:r w:rsidR="007F2E66" w:rsidRPr="00FF6EAA">
        <w:rPr>
          <w:rFonts w:cs="Arial"/>
        </w:rPr>
        <w:t>5.2</w:t>
      </w:r>
    </w:p>
    <w:p w:rsidR="007F2E66" w:rsidRPr="00FF6EAA" w:rsidRDefault="007F2E66" w:rsidP="007F2E66">
      <w:pPr>
        <w:pStyle w:val="Item"/>
      </w:pPr>
      <w:r w:rsidRPr="00FF6EAA">
        <w:t>Add:</w:t>
      </w:r>
    </w:p>
    <w:p w:rsidR="007F2E66" w:rsidRPr="00FF6EAA" w:rsidRDefault="007F2E66" w:rsidP="007F2E66">
      <w:pPr>
        <w:pStyle w:val="subsection"/>
      </w:pPr>
      <w:r w:rsidRPr="00FF6EAA">
        <w:tab/>
        <w:t>(3)</w:t>
      </w:r>
      <w:r w:rsidRPr="00FF6EAA">
        <w:tab/>
        <w:t>The period of 0 years is specified for a project if:</w:t>
      </w:r>
    </w:p>
    <w:p w:rsidR="007F2E66" w:rsidRPr="00FF6EAA" w:rsidRDefault="007F2E66" w:rsidP="007F2E66">
      <w:pPr>
        <w:pStyle w:val="paragraph"/>
      </w:pPr>
      <w:bookmarkStart w:id="35" w:name="OLE_LINK41"/>
      <w:bookmarkStart w:id="36" w:name="OLE_LINK40"/>
      <w:r w:rsidRPr="00FF6EAA">
        <w:tab/>
        <w:t>(a)</w:t>
      </w:r>
      <w:r w:rsidRPr="00FF6EAA">
        <w:tab/>
        <w:t>the project is a specified offsets project mentioned in paragraph</w:t>
      </w:r>
      <w:r w:rsidR="00FF6EAA" w:rsidRPr="00FF6EAA">
        <w:t> </w:t>
      </w:r>
      <w:r w:rsidRPr="00FF6EAA">
        <w:t>3.28(2)(b); and</w:t>
      </w:r>
    </w:p>
    <w:p w:rsidR="007F2E66" w:rsidRPr="00FF6EAA" w:rsidRDefault="007F2E66" w:rsidP="007F2E66">
      <w:pPr>
        <w:pStyle w:val="paragraph"/>
      </w:pPr>
      <w:r w:rsidRPr="00FF6EAA">
        <w:tab/>
        <w:t>(b)</w:t>
      </w:r>
      <w:r w:rsidRPr="00FF6EAA">
        <w:tab/>
        <w:t xml:space="preserve">the </w:t>
      </w:r>
      <w:r w:rsidRPr="00FF6EAA">
        <w:rPr>
          <w:i/>
        </w:rPr>
        <w:t>Carbon Credits (Carbon Farming Initiative) (Conservative Estimate</w:t>
      </w:r>
      <w:r w:rsidR="00DE032B" w:rsidRPr="00FF6EAA">
        <w:rPr>
          <w:i/>
        </w:rPr>
        <w:t xml:space="preserve">s, Projections or Assumptions: </w:t>
      </w:r>
      <w:r w:rsidRPr="00FF6EAA">
        <w:rPr>
          <w:i/>
        </w:rPr>
        <w:t xml:space="preserve">Greenhouse </w:t>
      </w:r>
      <w:proofErr w:type="spellStart"/>
      <w:r w:rsidRPr="00FF6EAA">
        <w:rPr>
          <w:i/>
        </w:rPr>
        <w:t>Friendly</w:t>
      </w:r>
      <w:r w:rsidRPr="00FF6EAA">
        <w:rPr>
          <w:i/>
          <w:vertAlign w:val="superscript"/>
        </w:rPr>
        <w:t>TM</w:t>
      </w:r>
      <w:proofErr w:type="spellEnd"/>
      <w:r w:rsidRPr="00FF6EAA">
        <w:rPr>
          <w:i/>
        </w:rPr>
        <w:t xml:space="preserve"> Initiative Transitional Crediting Calculation (Alternative Waste Treatment)) Determination</w:t>
      </w:r>
      <w:r w:rsidR="00FF6EAA" w:rsidRPr="00FF6EAA">
        <w:rPr>
          <w:i/>
        </w:rPr>
        <w:t> </w:t>
      </w:r>
      <w:r w:rsidRPr="00FF6EAA">
        <w:rPr>
          <w:i/>
        </w:rPr>
        <w:t>2012</w:t>
      </w:r>
      <w:r w:rsidRPr="00FF6EAA">
        <w:t xml:space="preserve"> applies, or has ever applied, to the methodology determination that is, or has ever been, the applicable methodology determination for the project; and</w:t>
      </w:r>
    </w:p>
    <w:p w:rsidR="007F2E66" w:rsidRPr="00FF6EAA" w:rsidRDefault="007F2E66" w:rsidP="007F2E66">
      <w:pPr>
        <w:pStyle w:val="paragraph"/>
      </w:pPr>
      <w:r w:rsidRPr="00FF6EAA">
        <w:tab/>
        <w:t>(c)</w:t>
      </w:r>
      <w:r w:rsidRPr="00FF6EAA">
        <w:tab/>
        <w:t>Australian carbon credit units have been issued in relation to the diversion of mixed solid waste that is eligible for crediting under the project.</w:t>
      </w:r>
    </w:p>
    <w:p w:rsidR="007F2E66" w:rsidRPr="00FF6EAA" w:rsidRDefault="00307670" w:rsidP="007F2E66">
      <w:pPr>
        <w:pStyle w:val="ItemHead"/>
        <w:rPr>
          <w:rFonts w:cs="Arial"/>
        </w:rPr>
      </w:pPr>
      <w:r w:rsidRPr="00FF6EAA">
        <w:rPr>
          <w:rFonts w:cs="Arial"/>
        </w:rPr>
        <w:t>26</w:t>
      </w:r>
      <w:r w:rsidR="007F2E66" w:rsidRPr="00FF6EAA">
        <w:rPr>
          <w:rFonts w:cs="Arial"/>
        </w:rPr>
        <w:t xml:space="preserve">  At the end of Division</w:t>
      </w:r>
      <w:r w:rsidR="00FF6EAA" w:rsidRPr="00FF6EAA">
        <w:rPr>
          <w:rFonts w:cs="Arial"/>
        </w:rPr>
        <w:t> </w:t>
      </w:r>
      <w:r w:rsidR="007F2E66" w:rsidRPr="00FF6EAA">
        <w:rPr>
          <w:rFonts w:cs="Arial"/>
        </w:rPr>
        <w:t>6.1</w:t>
      </w:r>
    </w:p>
    <w:p w:rsidR="007F2E66" w:rsidRPr="00FF6EAA" w:rsidRDefault="007F2E66" w:rsidP="007F2E66">
      <w:pPr>
        <w:pStyle w:val="Item"/>
      </w:pPr>
      <w:r w:rsidRPr="00FF6EAA">
        <w:t>Add:</w:t>
      </w:r>
    </w:p>
    <w:p w:rsidR="007F2E66" w:rsidRPr="00FF6EAA" w:rsidRDefault="007F2E66" w:rsidP="007F2E66">
      <w:pPr>
        <w:pStyle w:val="ActHead5"/>
      </w:pPr>
      <w:bookmarkStart w:id="37" w:name="_Toc356307771"/>
      <w:r w:rsidRPr="00FF6EAA">
        <w:rPr>
          <w:rStyle w:val="CharSectno"/>
        </w:rPr>
        <w:t>6.5</w:t>
      </w:r>
      <w:r w:rsidRPr="00FF6EAA">
        <w:t xml:space="preserve">  Information and documentation for offsets reports—particular waste diversion projects</w:t>
      </w:r>
      <w:bookmarkEnd w:id="37"/>
    </w:p>
    <w:p w:rsidR="007F2E66" w:rsidRPr="00FF6EAA" w:rsidRDefault="007F2E66" w:rsidP="007F2E66">
      <w:pPr>
        <w:pStyle w:val="subsection"/>
      </w:pPr>
      <w:r w:rsidRPr="00FF6EAA">
        <w:tab/>
        <w:t>(1)</w:t>
      </w:r>
      <w:r w:rsidRPr="00FF6EAA">
        <w:tab/>
        <w:t xml:space="preserve">This regulation applies to a project mentioned in </w:t>
      </w:r>
      <w:proofErr w:type="spellStart"/>
      <w:r w:rsidR="00D342D6" w:rsidRPr="00FF6EAA">
        <w:t>sub</w:t>
      </w:r>
      <w:r w:rsidRPr="00FF6EAA">
        <w:t>regulation</w:t>
      </w:r>
      <w:proofErr w:type="spellEnd"/>
      <w:r w:rsidR="00FF6EAA" w:rsidRPr="00FF6EAA">
        <w:t> </w:t>
      </w:r>
      <w:r w:rsidR="00927DCE" w:rsidRPr="00FF6EAA">
        <w:t>1.13</w:t>
      </w:r>
      <w:r w:rsidRPr="00FF6EAA">
        <w:t>(</w:t>
      </w:r>
      <w:r w:rsidR="00927DCE" w:rsidRPr="00FF6EAA">
        <w:t>1A</w:t>
      </w:r>
      <w:r w:rsidRPr="00FF6EAA">
        <w:t>).</w:t>
      </w:r>
    </w:p>
    <w:p w:rsidR="007F2E66" w:rsidRPr="00FF6EAA" w:rsidRDefault="007F2E66" w:rsidP="007F2E66">
      <w:pPr>
        <w:pStyle w:val="subsection"/>
      </w:pPr>
      <w:r w:rsidRPr="00FF6EAA">
        <w:tab/>
        <w:t>(2)</w:t>
      </w:r>
      <w:r w:rsidRPr="00FF6EAA">
        <w:tab/>
        <w:t xml:space="preserve">After </w:t>
      </w:r>
      <w:r w:rsidR="00DB4ED5" w:rsidRPr="00FF6EAA">
        <w:t xml:space="preserve">an offsets report has been submitted for </w:t>
      </w:r>
      <w:r w:rsidR="003D4903" w:rsidRPr="00FF6EAA">
        <w:t>a</w:t>
      </w:r>
      <w:r w:rsidRPr="00FF6EAA">
        <w:t xml:space="preserve"> period of </w:t>
      </w:r>
      <w:r w:rsidR="00592D9F" w:rsidRPr="00FF6EAA">
        <w:t xml:space="preserve">12 months </w:t>
      </w:r>
      <w:r w:rsidR="00DB4ED5" w:rsidRPr="00FF6EAA">
        <w:t xml:space="preserve">or more </w:t>
      </w:r>
      <w:r w:rsidRPr="00FF6EAA">
        <w:t xml:space="preserve">after the diversion of mixed solid waste, a </w:t>
      </w:r>
      <w:r w:rsidR="000260D7" w:rsidRPr="00FF6EAA">
        <w:t xml:space="preserve">subsequent </w:t>
      </w:r>
      <w:r w:rsidRPr="00FF6EAA">
        <w:t>offsets report for the project does not need to comply with the requirements mentioned in paragraphs 6.2(e), (h), (j) and (k), and regulations</w:t>
      </w:r>
      <w:r w:rsidR="00FF6EAA" w:rsidRPr="00FF6EAA">
        <w:t> </w:t>
      </w:r>
      <w:r w:rsidRPr="00FF6EAA">
        <w:t>6.3 and 6.4.</w:t>
      </w:r>
    </w:p>
    <w:bookmarkEnd w:id="35"/>
    <w:bookmarkEnd w:id="36"/>
    <w:p w:rsidR="007F2E66" w:rsidRPr="00FF6EAA" w:rsidRDefault="00307670" w:rsidP="007F2E66">
      <w:pPr>
        <w:pStyle w:val="ItemHead"/>
        <w:rPr>
          <w:rFonts w:cs="Arial"/>
        </w:rPr>
      </w:pPr>
      <w:r w:rsidRPr="00FF6EAA">
        <w:rPr>
          <w:rFonts w:cs="Arial"/>
        </w:rPr>
        <w:lastRenderedPageBreak/>
        <w:t>27</w:t>
      </w:r>
      <w:r w:rsidR="007F2E66" w:rsidRPr="00FF6EAA">
        <w:rPr>
          <w:rFonts w:cs="Arial"/>
        </w:rPr>
        <w:t xml:space="preserve">  </w:t>
      </w:r>
      <w:proofErr w:type="spellStart"/>
      <w:r w:rsidR="007F2E66" w:rsidRPr="00FF6EAA">
        <w:rPr>
          <w:rFonts w:cs="Arial"/>
        </w:rPr>
        <w:t>Subregulation</w:t>
      </w:r>
      <w:proofErr w:type="spellEnd"/>
      <w:r w:rsidR="00FF6EAA" w:rsidRPr="00FF6EAA">
        <w:rPr>
          <w:rFonts w:cs="Arial"/>
        </w:rPr>
        <w:t> </w:t>
      </w:r>
      <w:r w:rsidR="007F2E66" w:rsidRPr="00FF6EAA">
        <w:rPr>
          <w:rFonts w:cs="Arial"/>
        </w:rPr>
        <w:t>9.1(2) (including the note)</w:t>
      </w:r>
    </w:p>
    <w:p w:rsidR="007F2E66" w:rsidRPr="00FF6EAA" w:rsidRDefault="007F2E66" w:rsidP="007F2E66">
      <w:pPr>
        <w:pStyle w:val="Item"/>
      </w:pPr>
      <w:r w:rsidRPr="00FF6EAA">
        <w:t>Omit “</w:t>
      </w:r>
      <w:r w:rsidRPr="00FF6EAA">
        <w:rPr>
          <w:i/>
        </w:rPr>
        <w:t>Guidelines for Submitting Methodologies</w:t>
      </w:r>
      <w:r w:rsidRPr="00FF6EAA">
        <w:t>”</w:t>
      </w:r>
      <w:r w:rsidR="00DE032B" w:rsidRPr="00FF6EAA">
        <w:t xml:space="preserve"> (wherever occurring)</w:t>
      </w:r>
      <w:r w:rsidRPr="00FF6EAA">
        <w:t>, substitute “</w:t>
      </w:r>
      <w:r w:rsidRPr="00FF6EAA">
        <w:rPr>
          <w:i/>
        </w:rPr>
        <w:t>Guidelines for Submitting a Methodology Proposal</w:t>
      </w:r>
      <w:r w:rsidRPr="00FF6EAA">
        <w:t>”.</w:t>
      </w:r>
    </w:p>
    <w:p w:rsidR="007F2E66" w:rsidRPr="00FF6EAA" w:rsidRDefault="00307670" w:rsidP="007F2E66">
      <w:pPr>
        <w:pStyle w:val="ItemHead"/>
        <w:rPr>
          <w:rFonts w:cs="Arial"/>
        </w:rPr>
      </w:pPr>
      <w:r w:rsidRPr="00FF6EAA">
        <w:rPr>
          <w:rFonts w:cs="Arial"/>
          <w:noProof/>
        </w:rPr>
        <w:t>28</w:t>
      </w:r>
      <w:r w:rsidR="007F2E66" w:rsidRPr="00FF6EAA">
        <w:rPr>
          <w:rFonts w:cs="Arial"/>
        </w:rPr>
        <w:t xml:space="preserve">  Paragraph 9.2(2)(c)</w:t>
      </w:r>
    </w:p>
    <w:p w:rsidR="007F2E66" w:rsidRPr="00FF6EAA" w:rsidRDefault="007F2E66" w:rsidP="007F2E66">
      <w:pPr>
        <w:pStyle w:val="Item"/>
      </w:pPr>
      <w:r w:rsidRPr="00FF6EAA">
        <w:t>Omit “</w:t>
      </w:r>
      <w:r w:rsidRPr="00FF6EAA">
        <w:rPr>
          <w:i/>
        </w:rPr>
        <w:t>Guidelines for Submitting Methodologies</w:t>
      </w:r>
      <w:r w:rsidRPr="00FF6EAA">
        <w:t>”, substitute “</w:t>
      </w:r>
      <w:r w:rsidRPr="00FF6EAA">
        <w:rPr>
          <w:i/>
        </w:rPr>
        <w:t>Guidelines for Submitting a Methodology Proposal</w:t>
      </w:r>
      <w:r w:rsidRPr="00FF6EAA">
        <w:t>”.</w:t>
      </w:r>
    </w:p>
    <w:p w:rsidR="007F2E66" w:rsidRPr="00FF6EAA" w:rsidRDefault="00307670" w:rsidP="007F2E66">
      <w:pPr>
        <w:pStyle w:val="ItemHead"/>
        <w:rPr>
          <w:rFonts w:cs="Arial"/>
        </w:rPr>
      </w:pPr>
      <w:r w:rsidRPr="00FF6EAA">
        <w:rPr>
          <w:rFonts w:cs="Arial"/>
          <w:noProof/>
        </w:rPr>
        <w:t>29</w:t>
      </w:r>
      <w:r w:rsidR="007F2E66" w:rsidRPr="00FF6EAA">
        <w:rPr>
          <w:rFonts w:cs="Arial"/>
        </w:rPr>
        <w:t xml:space="preserve">  </w:t>
      </w:r>
      <w:proofErr w:type="spellStart"/>
      <w:r w:rsidR="007F2E66" w:rsidRPr="00FF6EAA">
        <w:rPr>
          <w:rFonts w:cs="Arial"/>
        </w:rPr>
        <w:t>Subregulation</w:t>
      </w:r>
      <w:proofErr w:type="spellEnd"/>
      <w:r w:rsidR="00FF6EAA" w:rsidRPr="00FF6EAA">
        <w:rPr>
          <w:rFonts w:cs="Arial"/>
        </w:rPr>
        <w:t> </w:t>
      </w:r>
      <w:r w:rsidR="007F2E66" w:rsidRPr="00FF6EAA">
        <w:rPr>
          <w:rFonts w:cs="Arial"/>
        </w:rPr>
        <w:t>9.2(2) (note)</w:t>
      </w:r>
    </w:p>
    <w:p w:rsidR="007F2E66" w:rsidRPr="00FF6EAA" w:rsidRDefault="007F2E66" w:rsidP="007F2E66">
      <w:pPr>
        <w:pStyle w:val="Item"/>
      </w:pPr>
      <w:r w:rsidRPr="00FF6EAA">
        <w:t>Omit “</w:t>
      </w:r>
      <w:r w:rsidRPr="00FF6EAA">
        <w:rPr>
          <w:i/>
        </w:rPr>
        <w:t>Guidelines for Submitting Methodologies</w:t>
      </w:r>
      <w:r w:rsidRPr="00FF6EAA">
        <w:t>”, substitute “</w:t>
      </w:r>
      <w:r w:rsidRPr="00FF6EAA">
        <w:rPr>
          <w:i/>
        </w:rPr>
        <w:t>Guidelines for Submitting a Methodology Proposal</w:t>
      </w:r>
      <w:r w:rsidRPr="00FF6EAA">
        <w:t>”.</w:t>
      </w:r>
    </w:p>
    <w:p w:rsidR="007F2E66" w:rsidRPr="00FF6EAA" w:rsidRDefault="00307670" w:rsidP="007F2E66">
      <w:pPr>
        <w:pStyle w:val="ItemHead"/>
        <w:rPr>
          <w:rFonts w:cs="Arial"/>
        </w:rPr>
      </w:pPr>
      <w:r w:rsidRPr="00FF6EAA">
        <w:rPr>
          <w:rFonts w:cs="Arial"/>
          <w:noProof/>
        </w:rPr>
        <w:t>30</w:t>
      </w:r>
      <w:r w:rsidR="007F2E66" w:rsidRPr="00FF6EAA">
        <w:rPr>
          <w:rFonts w:cs="Arial"/>
        </w:rPr>
        <w:t xml:space="preserve">  </w:t>
      </w:r>
      <w:bookmarkStart w:id="38" w:name="OLE_LINK9"/>
      <w:r w:rsidR="007F2E66" w:rsidRPr="00FF6EAA">
        <w:rPr>
          <w:rFonts w:cs="Arial"/>
        </w:rPr>
        <w:t>Subparagraph 11.5(1)(b)(</w:t>
      </w:r>
      <w:proofErr w:type="spellStart"/>
      <w:r w:rsidR="007F2E66" w:rsidRPr="00FF6EAA">
        <w:rPr>
          <w:rFonts w:cs="Arial"/>
        </w:rPr>
        <w:t>i</w:t>
      </w:r>
      <w:proofErr w:type="spellEnd"/>
      <w:r w:rsidR="007F2E66" w:rsidRPr="00FF6EAA">
        <w:rPr>
          <w:rFonts w:cs="Arial"/>
        </w:rPr>
        <w:t>)</w:t>
      </w:r>
    </w:p>
    <w:p w:rsidR="007F2E66" w:rsidRPr="00FF6EAA" w:rsidRDefault="007F2E66" w:rsidP="007F2E66">
      <w:pPr>
        <w:pStyle w:val="Item"/>
      </w:pPr>
      <w:r w:rsidRPr="00FF6EAA">
        <w:t>Omit</w:t>
      </w:r>
      <w:bookmarkStart w:id="39" w:name="OLE_LINK30"/>
      <w:bookmarkStart w:id="40" w:name="OLE_LINK29"/>
      <w:r w:rsidRPr="00FF6EAA">
        <w:t xml:space="preserve"> “a sequestration offsets </w:t>
      </w:r>
      <w:bookmarkEnd w:id="39"/>
      <w:bookmarkEnd w:id="40"/>
      <w:r w:rsidR="004D7748" w:rsidRPr="00FF6EAA">
        <w:t>project</w:t>
      </w:r>
      <w:r w:rsidRPr="00FF6EAA">
        <w:t>”</w:t>
      </w:r>
      <w:bookmarkStart w:id="41" w:name="OLE_LINK32"/>
      <w:bookmarkStart w:id="42" w:name="OLE_LINK31"/>
      <w:r w:rsidRPr="00FF6EAA">
        <w:t>, substitute “abatement from a sequestration offsets project that would result in the issue of a removal unit to the relevant Commonwealth holding account</w:t>
      </w:r>
      <w:bookmarkEnd w:id="41"/>
      <w:bookmarkEnd w:id="42"/>
      <w:r w:rsidRPr="00FF6EAA">
        <w:t>”.</w:t>
      </w:r>
    </w:p>
    <w:p w:rsidR="007F2E66" w:rsidRPr="00FF6EAA" w:rsidRDefault="00307670" w:rsidP="007F2E66">
      <w:pPr>
        <w:pStyle w:val="ItemHead"/>
        <w:rPr>
          <w:rFonts w:cs="Arial"/>
        </w:rPr>
      </w:pPr>
      <w:r w:rsidRPr="00FF6EAA">
        <w:rPr>
          <w:rFonts w:cs="Arial"/>
          <w:noProof/>
        </w:rPr>
        <w:t>31</w:t>
      </w:r>
      <w:r w:rsidR="007F2E66" w:rsidRPr="00FF6EAA">
        <w:rPr>
          <w:rFonts w:cs="Arial"/>
        </w:rPr>
        <w:t xml:space="preserve">  Subparagraph 11.5(1)(c)(iii)</w:t>
      </w:r>
    </w:p>
    <w:p w:rsidR="007F2E66" w:rsidRPr="00FF6EAA" w:rsidRDefault="007F2E66" w:rsidP="007F2E66">
      <w:pPr>
        <w:pStyle w:val="Item"/>
      </w:pPr>
      <w:r w:rsidRPr="00FF6EAA">
        <w:t>Omit “for an</w:t>
      </w:r>
      <w:r w:rsidR="004D7748" w:rsidRPr="00FF6EAA">
        <w:t xml:space="preserve"> emissions avoidance project</w:t>
      </w:r>
      <w:r w:rsidRPr="00FF6EAA">
        <w:t xml:space="preserve">”, substitute “for an emissions avoidance project, or abatement from a sequestration offsets project that would not result in the issue of a removal unit to the relevant </w:t>
      </w:r>
      <w:r w:rsidR="004D7748" w:rsidRPr="00FF6EAA">
        <w:t>Commonwealth holding account</w:t>
      </w:r>
      <w:r w:rsidRPr="00FF6EAA">
        <w:t>”.</w:t>
      </w:r>
    </w:p>
    <w:bookmarkEnd w:id="38"/>
    <w:p w:rsidR="007F2E66" w:rsidRPr="00FF6EAA" w:rsidRDefault="00307670" w:rsidP="007F2E66">
      <w:pPr>
        <w:pStyle w:val="ItemHead"/>
        <w:rPr>
          <w:rFonts w:cs="Arial"/>
        </w:rPr>
      </w:pPr>
      <w:r w:rsidRPr="00FF6EAA">
        <w:rPr>
          <w:rFonts w:cs="Arial"/>
          <w:noProof/>
        </w:rPr>
        <w:t>32</w:t>
      </w:r>
      <w:r w:rsidR="007F2E66" w:rsidRPr="00FF6EAA">
        <w:rPr>
          <w:rFonts w:cs="Arial"/>
        </w:rPr>
        <w:t xml:space="preserve">  Subparagraph 11.5(1)(c)(iv)</w:t>
      </w:r>
    </w:p>
    <w:p w:rsidR="007F2E66" w:rsidRPr="00FF6EAA" w:rsidRDefault="007F2E66" w:rsidP="007F2E66">
      <w:pPr>
        <w:pStyle w:val="Item"/>
      </w:pPr>
      <w:r w:rsidRPr="00FF6EAA">
        <w:t>Omit “a s</w:t>
      </w:r>
      <w:r w:rsidR="004D7748" w:rsidRPr="00FF6EAA">
        <w:t>equestration offsets project</w:t>
      </w:r>
      <w:r w:rsidRPr="00FF6EAA">
        <w:t xml:space="preserve">”, substitute “abatement from a sequestration offsets project that would result in the issue of a removal unit to the relevant </w:t>
      </w:r>
      <w:r w:rsidR="004D7748" w:rsidRPr="00FF6EAA">
        <w:t>Commonwealth holding account</w:t>
      </w:r>
      <w:r w:rsidRPr="00FF6EAA">
        <w:t>”.</w:t>
      </w:r>
    </w:p>
    <w:p w:rsidR="007F2E66" w:rsidRPr="00FF6EAA" w:rsidRDefault="00307670" w:rsidP="007F2E66">
      <w:pPr>
        <w:pStyle w:val="ItemHead"/>
        <w:rPr>
          <w:rFonts w:cs="Arial"/>
        </w:rPr>
      </w:pPr>
      <w:r w:rsidRPr="00FF6EAA">
        <w:rPr>
          <w:rFonts w:cs="Arial"/>
          <w:noProof/>
        </w:rPr>
        <w:t>33</w:t>
      </w:r>
      <w:r w:rsidR="007F2E66" w:rsidRPr="00FF6EAA">
        <w:rPr>
          <w:rFonts w:cs="Arial"/>
        </w:rPr>
        <w:t xml:space="preserve">  After Part</w:t>
      </w:r>
      <w:r w:rsidR="00FF6EAA" w:rsidRPr="00FF6EAA">
        <w:rPr>
          <w:rFonts w:cs="Arial"/>
        </w:rPr>
        <w:t> </w:t>
      </w:r>
      <w:r w:rsidR="007F2E66" w:rsidRPr="00FF6EAA">
        <w:rPr>
          <w:rFonts w:cs="Arial"/>
        </w:rPr>
        <w:t>11</w:t>
      </w:r>
    </w:p>
    <w:p w:rsidR="007F2E66" w:rsidRPr="00FF6EAA" w:rsidRDefault="007F2E66" w:rsidP="007F2E66">
      <w:pPr>
        <w:pStyle w:val="Item"/>
      </w:pPr>
      <w:r w:rsidRPr="00FF6EAA">
        <w:t>Insert:</w:t>
      </w:r>
    </w:p>
    <w:p w:rsidR="007F2E66" w:rsidRPr="00FF6EAA" w:rsidRDefault="007F2E66" w:rsidP="007F2E66">
      <w:pPr>
        <w:pStyle w:val="ActHead2"/>
      </w:pPr>
      <w:bookmarkStart w:id="43" w:name="f_Check_Lines_above"/>
      <w:bookmarkStart w:id="44" w:name="_Toc356307772"/>
      <w:bookmarkEnd w:id="43"/>
      <w:r w:rsidRPr="00FF6EAA">
        <w:rPr>
          <w:rStyle w:val="CharPartNo"/>
        </w:rPr>
        <w:t>Part</w:t>
      </w:r>
      <w:r w:rsidR="00FF6EAA" w:rsidRPr="00FF6EAA">
        <w:rPr>
          <w:rStyle w:val="CharPartNo"/>
        </w:rPr>
        <w:t> </w:t>
      </w:r>
      <w:r w:rsidRPr="00FF6EAA">
        <w:rPr>
          <w:rStyle w:val="CharPartNo"/>
        </w:rPr>
        <w:t>12</w:t>
      </w:r>
      <w:r w:rsidRPr="00FF6EAA">
        <w:t>—</w:t>
      </w:r>
      <w:r w:rsidRPr="00FF6EAA">
        <w:rPr>
          <w:rStyle w:val="CharPartText"/>
        </w:rPr>
        <w:t>Publication of information</w:t>
      </w:r>
      <w:bookmarkEnd w:id="44"/>
    </w:p>
    <w:p w:rsidR="007F2E66" w:rsidRPr="00FF6EAA" w:rsidRDefault="007F2E66" w:rsidP="007F2E66">
      <w:pPr>
        <w:pStyle w:val="Header"/>
      </w:pPr>
      <w:r w:rsidRPr="00FF6EAA">
        <w:rPr>
          <w:rStyle w:val="CharDivNo"/>
        </w:rPr>
        <w:t xml:space="preserve"> </w:t>
      </w:r>
      <w:r w:rsidRPr="00FF6EAA">
        <w:rPr>
          <w:rStyle w:val="CharDivText"/>
        </w:rPr>
        <w:t xml:space="preserve"> </w:t>
      </w:r>
    </w:p>
    <w:p w:rsidR="007F2E66" w:rsidRPr="00FF6EAA" w:rsidRDefault="007F2E66" w:rsidP="007F2E66">
      <w:pPr>
        <w:pStyle w:val="ActHead5"/>
      </w:pPr>
      <w:bookmarkStart w:id="45" w:name="_Toc356307773"/>
      <w:r w:rsidRPr="00FF6EAA">
        <w:rPr>
          <w:rStyle w:val="CharSectno"/>
        </w:rPr>
        <w:t>12.5</w:t>
      </w:r>
      <w:r w:rsidRPr="00FF6EAA">
        <w:t xml:space="preserve">  Entries in the Register</w:t>
      </w:r>
      <w:bookmarkEnd w:id="45"/>
    </w:p>
    <w:p w:rsidR="007F2E66" w:rsidRPr="00FF6EAA" w:rsidRDefault="007F2E66" w:rsidP="007F2E66">
      <w:pPr>
        <w:pStyle w:val="subsection"/>
      </w:pPr>
      <w:r w:rsidRPr="00FF6EAA">
        <w:tab/>
      </w:r>
      <w:r w:rsidRPr="00FF6EAA">
        <w:tab/>
        <w:t>For subparagraph</w:t>
      </w:r>
      <w:r w:rsidR="00FF6EAA" w:rsidRPr="00FF6EAA">
        <w:t> </w:t>
      </w:r>
      <w:r w:rsidRPr="00FF6EAA">
        <w:t>168(1)(o)(iii) of the Act, the requested information must meet the following requirements:</w:t>
      </w:r>
    </w:p>
    <w:p w:rsidR="007F2E66" w:rsidRPr="00FF6EAA" w:rsidRDefault="007F2E66" w:rsidP="007F2E66">
      <w:pPr>
        <w:pStyle w:val="paragraph"/>
      </w:pPr>
      <w:r w:rsidRPr="00FF6EAA">
        <w:lastRenderedPageBreak/>
        <w:tab/>
        <w:t>(a)</w:t>
      </w:r>
      <w:r w:rsidRPr="00FF6EAA">
        <w:tab/>
        <w:t>the requested information must state whether the project has received funding under the Australian Government’s Biodiversity Fund;</w:t>
      </w:r>
    </w:p>
    <w:p w:rsidR="007F2E66" w:rsidRPr="00FF6EAA" w:rsidRDefault="007F2E66" w:rsidP="007F2E66">
      <w:pPr>
        <w:pStyle w:val="paragraph"/>
      </w:pPr>
      <w:r w:rsidRPr="00FF6EAA">
        <w:tab/>
        <w:t>(b)</w:t>
      </w:r>
      <w:r w:rsidRPr="00FF6EAA">
        <w:tab/>
        <w:t>the requested information must be supported by evidence that demonstrates that the information is accurate, such as a copy of the funding agreement under the Biodiversity Fund.</w:t>
      </w:r>
    </w:p>
    <w:p w:rsidR="007F2E66" w:rsidRPr="00FF6EAA" w:rsidRDefault="00307670" w:rsidP="007F2E66">
      <w:pPr>
        <w:pStyle w:val="ItemHead"/>
        <w:rPr>
          <w:rFonts w:cs="Arial"/>
        </w:rPr>
      </w:pPr>
      <w:r w:rsidRPr="00FF6EAA">
        <w:rPr>
          <w:rFonts w:cs="Arial"/>
        </w:rPr>
        <w:t>34</w:t>
      </w:r>
      <w:r w:rsidR="00F911E1" w:rsidRPr="00FF6EAA">
        <w:rPr>
          <w:rFonts w:cs="Arial"/>
        </w:rPr>
        <w:t xml:space="preserve">  B</w:t>
      </w:r>
      <w:r w:rsidR="007F2E66" w:rsidRPr="00FF6EAA">
        <w:rPr>
          <w:rFonts w:cs="Arial"/>
        </w:rPr>
        <w:t>efore regulation</w:t>
      </w:r>
      <w:r w:rsidR="00FF6EAA" w:rsidRPr="00FF6EAA">
        <w:rPr>
          <w:rFonts w:cs="Arial"/>
        </w:rPr>
        <w:t> </w:t>
      </w:r>
      <w:r w:rsidR="00F911E1" w:rsidRPr="00FF6EAA">
        <w:rPr>
          <w:rFonts w:cs="Arial"/>
        </w:rPr>
        <w:t>15.4 of Part</w:t>
      </w:r>
      <w:r w:rsidR="00FF6EAA" w:rsidRPr="00FF6EAA">
        <w:rPr>
          <w:rFonts w:cs="Arial"/>
        </w:rPr>
        <w:t> </w:t>
      </w:r>
      <w:r w:rsidR="00F911E1" w:rsidRPr="00FF6EAA">
        <w:rPr>
          <w:rFonts w:cs="Arial"/>
        </w:rPr>
        <w:t>15</w:t>
      </w:r>
    </w:p>
    <w:p w:rsidR="007F2E66" w:rsidRPr="00FF6EAA" w:rsidRDefault="007F2E66" w:rsidP="007F2E66">
      <w:pPr>
        <w:pStyle w:val="Item"/>
      </w:pPr>
      <w:r w:rsidRPr="00FF6EAA">
        <w:t>Insert:</w:t>
      </w:r>
    </w:p>
    <w:p w:rsidR="007F2E66" w:rsidRPr="00FF6EAA" w:rsidRDefault="007F2E66" w:rsidP="007F2E66">
      <w:pPr>
        <w:pStyle w:val="ActHead5"/>
      </w:pPr>
      <w:bookmarkStart w:id="46" w:name="OLE_LINK18"/>
      <w:bookmarkStart w:id="47" w:name="OLE_LINK17"/>
      <w:bookmarkStart w:id="48" w:name="_Toc356307774"/>
      <w:r w:rsidRPr="00FF6EAA">
        <w:rPr>
          <w:rStyle w:val="CharSectno"/>
        </w:rPr>
        <w:t>15.2</w:t>
      </w:r>
      <w:r w:rsidRPr="00FF6EAA">
        <w:t xml:space="preserve">  Transfer of certain units instead of relinquishment of Kyoto Australian carbon credit units</w:t>
      </w:r>
      <w:bookmarkEnd w:id="48"/>
    </w:p>
    <w:p w:rsidR="007F2E66" w:rsidRPr="00FF6EAA" w:rsidRDefault="007F2E66" w:rsidP="007F2E66">
      <w:pPr>
        <w:pStyle w:val="subsection"/>
      </w:pPr>
      <w:r w:rsidRPr="00FF6EAA">
        <w:tab/>
        <w:t>(1)</w:t>
      </w:r>
      <w:r w:rsidRPr="00FF6EAA">
        <w:tab/>
      </w:r>
      <w:bookmarkStart w:id="49" w:name="OLE_LINK24"/>
      <w:bookmarkStart w:id="50" w:name="OLE_LINK23"/>
      <w:r w:rsidRPr="00FF6EAA">
        <w:t>For subsection</w:t>
      </w:r>
      <w:r w:rsidR="00FF6EAA" w:rsidRPr="00FF6EAA">
        <w:t> </w:t>
      </w:r>
      <w:r w:rsidRPr="00FF6EAA">
        <w:t>177(4) of the Act, the transfer of a substitute unit (other than a substitute unit mentioned in paragraph</w:t>
      </w:r>
      <w:r w:rsidR="00FF6EAA" w:rsidRPr="00FF6EAA">
        <w:t> </w:t>
      </w:r>
      <w:r w:rsidRPr="00FF6EAA">
        <w:t xml:space="preserve">177(6)(e)) may </w:t>
      </w:r>
      <w:bookmarkEnd w:id="49"/>
      <w:bookmarkEnd w:id="50"/>
      <w:r w:rsidRPr="00FF6EAA">
        <w:t>only occur during a flexible charge year.</w:t>
      </w:r>
    </w:p>
    <w:p w:rsidR="007F2E66" w:rsidRPr="00FF6EAA" w:rsidRDefault="007F2E66" w:rsidP="007F2E66">
      <w:pPr>
        <w:pStyle w:val="subsection"/>
      </w:pPr>
      <w:r w:rsidRPr="00FF6EAA">
        <w:tab/>
        <w:t>(2)</w:t>
      </w:r>
      <w:r w:rsidRPr="00FF6EAA">
        <w:tab/>
        <w:t>For subsection</w:t>
      </w:r>
      <w:r w:rsidR="00FF6EAA" w:rsidRPr="00FF6EAA">
        <w:t> </w:t>
      </w:r>
      <w:r w:rsidRPr="00FF6EAA">
        <w:t xml:space="preserve">177(4) of the Act, the transfer of a substitute unit mentioned in </w:t>
      </w:r>
      <w:proofErr w:type="spellStart"/>
      <w:r w:rsidRPr="00FF6EAA">
        <w:t>subregulation</w:t>
      </w:r>
      <w:proofErr w:type="spellEnd"/>
      <w:r w:rsidRPr="00FF6EAA">
        <w:t xml:space="preserve"> (3) may occur at any time.</w:t>
      </w:r>
    </w:p>
    <w:p w:rsidR="007F2E66" w:rsidRPr="00FF6EAA" w:rsidRDefault="007F2E66" w:rsidP="007F2E66">
      <w:pPr>
        <w:pStyle w:val="subsection"/>
      </w:pPr>
      <w:r w:rsidRPr="00FF6EAA">
        <w:tab/>
        <w:t>(3)</w:t>
      </w:r>
      <w:r w:rsidRPr="00FF6EAA">
        <w:tab/>
        <w:t xml:space="preserve">For the definition of </w:t>
      </w:r>
      <w:r w:rsidRPr="00FF6EAA">
        <w:rPr>
          <w:b/>
          <w:i/>
        </w:rPr>
        <w:t>prescribed eligible carbon unit</w:t>
      </w:r>
      <w:r w:rsidRPr="00FF6EAA">
        <w:t xml:space="preserve"> in section</w:t>
      </w:r>
      <w:r w:rsidR="00FF6EAA" w:rsidRPr="00FF6EAA">
        <w:t> </w:t>
      </w:r>
      <w:r w:rsidRPr="00FF6EAA">
        <w:t xml:space="preserve">5 of the Act, a </w:t>
      </w:r>
      <w:bookmarkStart w:id="51" w:name="OLE_LINK15"/>
      <w:bookmarkStart w:id="52" w:name="OLE_LINK16"/>
      <w:bookmarkStart w:id="53" w:name="OLE_LINK22"/>
      <w:bookmarkStart w:id="54" w:name="OLE_LINK21"/>
      <w:r w:rsidRPr="00FF6EAA">
        <w:t>non</w:t>
      </w:r>
      <w:r w:rsidR="00FF6EAA">
        <w:noBreakHyphen/>
      </w:r>
      <w:r w:rsidRPr="00FF6EAA">
        <w:t>Kyoto Australian carbon credit unit</w:t>
      </w:r>
      <w:bookmarkEnd w:id="51"/>
      <w:bookmarkEnd w:id="52"/>
      <w:r w:rsidRPr="00FF6EAA">
        <w:t xml:space="preserve"> </w:t>
      </w:r>
      <w:bookmarkEnd w:id="53"/>
      <w:bookmarkEnd w:id="54"/>
      <w:r w:rsidRPr="00FF6EAA">
        <w:t>is a prescribed eligible carbon unit for paragraph</w:t>
      </w:r>
      <w:r w:rsidR="00FF6EAA" w:rsidRPr="00FF6EAA">
        <w:t> </w:t>
      </w:r>
      <w:r w:rsidRPr="00FF6EAA">
        <w:t xml:space="preserve">177(6)(e) of the Act, only if the </w:t>
      </w:r>
      <w:bookmarkStart w:id="55" w:name="OLE_LINK36"/>
      <w:bookmarkStart w:id="56" w:name="OLE_LINK35"/>
      <w:r w:rsidRPr="00FF6EAA">
        <w:t>non</w:t>
      </w:r>
      <w:r w:rsidR="00FF6EAA">
        <w:noBreakHyphen/>
      </w:r>
      <w:r w:rsidRPr="00FF6EAA">
        <w:t>Kyoto Australian carbon credit unit</w:t>
      </w:r>
      <w:bookmarkEnd w:id="55"/>
      <w:bookmarkEnd w:id="56"/>
      <w:r w:rsidRPr="00FF6EAA">
        <w:t xml:space="preserve"> meets </w:t>
      </w:r>
      <w:r w:rsidR="00FF6EAA" w:rsidRPr="00FF6EAA">
        <w:t>paragraph (</w:t>
      </w:r>
      <w:r w:rsidRPr="00FF6EAA">
        <w:t xml:space="preserve">b) or (c) of the definition of </w:t>
      </w:r>
      <w:r w:rsidRPr="00FF6EAA">
        <w:rPr>
          <w:b/>
          <w:i/>
        </w:rPr>
        <w:t>eligible Australian carbon credit unit</w:t>
      </w:r>
      <w:r w:rsidRPr="00FF6EAA">
        <w:t xml:space="preserve"> in the </w:t>
      </w:r>
      <w:r w:rsidRPr="00FF6EAA">
        <w:rPr>
          <w:i/>
        </w:rPr>
        <w:t>Clean Energy Act 2011</w:t>
      </w:r>
      <w:r w:rsidRPr="00FF6EAA">
        <w:t>.</w:t>
      </w:r>
    </w:p>
    <w:p w:rsidR="007F2E66" w:rsidRPr="00FF6EAA" w:rsidRDefault="007F2E66" w:rsidP="007F2E66">
      <w:pPr>
        <w:pStyle w:val="subsection"/>
      </w:pPr>
      <w:r w:rsidRPr="00FF6EAA">
        <w:tab/>
        <w:t>(4)</w:t>
      </w:r>
      <w:r w:rsidRPr="00FF6EAA">
        <w:tab/>
        <w:t>For subsection</w:t>
      </w:r>
      <w:r w:rsidR="00FF6EAA" w:rsidRPr="00FF6EAA">
        <w:t> </w:t>
      </w:r>
      <w:r w:rsidRPr="00FF6EAA">
        <w:t>177(8) of the Act, each of the following is not a substitute unit:</w:t>
      </w:r>
    </w:p>
    <w:p w:rsidR="007F2E66" w:rsidRPr="00FF6EAA" w:rsidRDefault="007F2E66" w:rsidP="007F2E66">
      <w:pPr>
        <w:pStyle w:val="paragraph"/>
      </w:pPr>
      <w:r w:rsidRPr="00FF6EAA">
        <w:tab/>
        <w:t>(a)</w:t>
      </w:r>
      <w:r w:rsidRPr="00FF6EAA">
        <w:tab/>
        <w:t xml:space="preserve">a certified emission reduction mentioned in </w:t>
      </w:r>
      <w:proofErr w:type="spellStart"/>
      <w:r w:rsidRPr="00FF6EAA">
        <w:t>subregulation</w:t>
      </w:r>
      <w:proofErr w:type="spellEnd"/>
      <w:r w:rsidR="00FF6EAA" w:rsidRPr="00FF6EAA">
        <w:t> </w:t>
      </w:r>
      <w:r w:rsidRPr="00FF6EAA">
        <w:t xml:space="preserve">6.1(1) of the </w:t>
      </w:r>
      <w:r w:rsidRPr="00FF6EAA">
        <w:rPr>
          <w:i/>
        </w:rPr>
        <w:t>Clean Energy Regulations</w:t>
      </w:r>
      <w:r w:rsidR="00FF6EAA" w:rsidRPr="00FF6EAA">
        <w:rPr>
          <w:i/>
        </w:rPr>
        <w:t> </w:t>
      </w:r>
      <w:r w:rsidRPr="00FF6EAA">
        <w:rPr>
          <w:i/>
        </w:rPr>
        <w:t>2011</w:t>
      </w:r>
      <w:bookmarkStart w:id="57" w:name="OLE_LINK34"/>
      <w:bookmarkStart w:id="58" w:name="OLE_LINK33"/>
      <w:bookmarkStart w:id="59" w:name="OLE_LINK20"/>
      <w:bookmarkStart w:id="60" w:name="OLE_LINK19"/>
      <w:r w:rsidRPr="00FF6EAA">
        <w:rPr>
          <w:i/>
        </w:rPr>
        <w:t>,</w:t>
      </w:r>
      <w:r w:rsidRPr="00FF6EAA">
        <w:t xml:space="preserve"> to which </w:t>
      </w:r>
      <w:proofErr w:type="spellStart"/>
      <w:r w:rsidRPr="00FF6EAA">
        <w:t>subregulation</w:t>
      </w:r>
      <w:proofErr w:type="spellEnd"/>
      <w:r w:rsidR="00FF6EAA" w:rsidRPr="00FF6EAA">
        <w:t> </w:t>
      </w:r>
      <w:r w:rsidRPr="00FF6EAA">
        <w:t>6.1(2) of those regulations applies</w:t>
      </w:r>
      <w:bookmarkEnd w:id="57"/>
      <w:bookmarkEnd w:id="58"/>
      <w:r w:rsidRPr="00FF6EAA">
        <w:t>;</w:t>
      </w:r>
      <w:bookmarkEnd w:id="59"/>
      <w:bookmarkEnd w:id="60"/>
    </w:p>
    <w:p w:rsidR="007F2E66" w:rsidRPr="00FF6EAA" w:rsidRDefault="007F2E66" w:rsidP="007F2E66">
      <w:pPr>
        <w:pStyle w:val="paragraph"/>
      </w:pPr>
      <w:r w:rsidRPr="00FF6EAA">
        <w:tab/>
        <w:t>(b)</w:t>
      </w:r>
      <w:r w:rsidRPr="00FF6EAA">
        <w:tab/>
        <w:t xml:space="preserve">an emission reduction unit mentioned in </w:t>
      </w:r>
      <w:proofErr w:type="spellStart"/>
      <w:r w:rsidRPr="00FF6EAA">
        <w:t>subregulation</w:t>
      </w:r>
      <w:proofErr w:type="spellEnd"/>
      <w:r w:rsidR="00FF6EAA" w:rsidRPr="00FF6EAA">
        <w:t> </w:t>
      </w:r>
      <w:r w:rsidRPr="00FF6EAA">
        <w:t xml:space="preserve">6.1(1) of the </w:t>
      </w:r>
      <w:r w:rsidRPr="00FF6EAA">
        <w:rPr>
          <w:i/>
        </w:rPr>
        <w:t>Clean Energy Regulations</w:t>
      </w:r>
      <w:r w:rsidR="00FF6EAA" w:rsidRPr="00FF6EAA">
        <w:rPr>
          <w:i/>
        </w:rPr>
        <w:t> </w:t>
      </w:r>
      <w:r w:rsidRPr="00FF6EAA">
        <w:rPr>
          <w:i/>
        </w:rPr>
        <w:t>2011,</w:t>
      </w:r>
      <w:r w:rsidRPr="00FF6EAA">
        <w:t xml:space="preserve"> to which </w:t>
      </w:r>
      <w:proofErr w:type="spellStart"/>
      <w:r w:rsidRPr="00FF6EAA">
        <w:t>subregulation</w:t>
      </w:r>
      <w:proofErr w:type="spellEnd"/>
      <w:r w:rsidR="00FF6EAA" w:rsidRPr="00FF6EAA">
        <w:t> </w:t>
      </w:r>
      <w:r w:rsidRPr="00FF6EAA">
        <w:t>6.1(2) of those regulations applies.</w:t>
      </w:r>
    </w:p>
    <w:p w:rsidR="007F2E66" w:rsidRPr="00FF6EAA" w:rsidRDefault="007F2E66" w:rsidP="007F2E66">
      <w:pPr>
        <w:pStyle w:val="subsection"/>
      </w:pPr>
      <w:r w:rsidRPr="00FF6EAA">
        <w:tab/>
        <w:t>(5)</w:t>
      </w:r>
      <w:r w:rsidRPr="00FF6EAA">
        <w:tab/>
        <w:t>In this regulation:</w:t>
      </w:r>
    </w:p>
    <w:p w:rsidR="007F2E66" w:rsidRPr="00FF6EAA" w:rsidRDefault="007F2E66" w:rsidP="007F2E66">
      <w:pPr>
        <w:pStyle w:val="Definition"/>
      </w:pPr>
      <w:r w:rsidRPr="00FF6EAA">
        <w:rPr>
          <w:b/>
          <w:i/>
        </w:rPr>
        <w:t>flexible charge year</w:t>
      </w:r>
      <w:r w:rsidRPr="00FF6EAA">
        <w:t xml:space="preserve"> has the same meaning as in the </w:t>
      </w:r>
      <w:r w:rsidRPr="00FF6EAA">
        <w:rPr>
          <w:i/>
        </w:rPr>
        <w:t>Clean Energy Act 2011</w:t>
      </w:r>
      <w:r w:rsidRPr="00FF6EAA">
        <w:t>.</w:t>
      </w:r>
    </w:p>
    <w:p w:rsidR="007F2E66" w:rsidRPr="00FF6EAA" w:rsidRDefault="007F2E66" w:rsidP="007F2E66">
      <w:pPr>
        <w:pStyle w:val="ActHead5"/>
      </w:pPr>
      <w:bookmarkStart w:id="61" w:name="_Toc356307775"/>
      <w:bookmarkEnd w:id="46"/>
      <w:bookmarkEnd w:id="47"/>
      <w:r w:rsidRPr="00FF6EAA">
        <w:rPr>
          <w:rStyle w:val="CharSectno"/>
        </w:rPr>
        <w:lastRenderedPageBreak/>
        <w:t>15.3</w:t>
      </w:r>
      <w:r w:rsidRPr="00FF6EAA">
        <w:t xml:space="preserve">  Transfer of certain units instead of relinquishment of non</w:t>
      </w:r>
      <w:r w:rsidR="00FF6EAA">
        <w:noBreakHyphen/>
      </w:r>
      <w:r w:rsidRPr="00FF6EAA">
        <w:t>Kyoto Australian carbon credit units</w:t>
      </w:r>
      <w:bookmarkEnd w:id="61"/>
    </w:p>
    <w:p w:rsidR="007F2E66" w:rsidRPr="00FF6EAA" w:rsidRDefault="007F2E66" w:rsidP="007F2E66">
      <w:pPr>
        <w:pStyle w:val="subsection"/>
      </w:pPr>
      <w:r w:rsidRPr="00FF6EAA">
        <w:tab/>
        <w:t>(1)</w:t>
      </w:r>
      <w:r w:rsidRPr="00FF6EAA">
        <w:tab/>
        <w:t>For subsection</w:t>
      </w:r>
      <w:r w:rsidR="00FF6EAA" w:rsidRPr="00FF6EAA">
        <w:t> </w:t>
      </w:r>
      <w:r w:rsidRPr="00FF6EAA">
        <w:t>178(4) of the Act, the transfer of a substitute unit (other than a substitute unit mentioned in paragraph</w:t>
      </w:r>
      <w:r w:rsidR="00FF6EAA" w:rsidRPr="00FF6EAA">
        <w:t> </w:t>
      </w:r>
      <w:r w:rsidRPr="00FF6EAA">
        <w:t>178(6)(a)) may occur only during a flexible charge year.</w:t>
      </w:r>
    </w:p>
    <w:p w:rsidR="007F2E66" w:rsidRPr="00FF6EAA" w:rsidRDefault="007F2E66" w:rsidP="007F2E66">
      <w:pPr>
        <w:pStyle w:val="subsection"/>
      </w:pPr>
      <w:r w:rsidRPr="00FF6EAA">
        <w:tab/>
        <w:t>(2)</w:t>
      </w:r>
      <w:r w:rsidRPr="00FF6EAA">
        <w:tab/>
        <w:t>For subsection</w:t>
      </w:r>
      <w:r w:rsidR="00FF6EAA" w:rsidRPr="00FF6EAA">
        <w:t> </w:t>
      </w:r>
      <w:r w:rsidRPr="00FF6EAA">
        <w:t>178(8) of the Act, each of the following is not a substitute unit:</w:t>
      </w:r>
    </w:p>
    <w:p w:rsidR="007F2E66" w:rsidRPr="00FF6EAA" w:rsidRDefault="007F2E66" w:rsidP="007F2E66">
      <w:pPr>
        <w:pStyle w:val="paragraph"/>
      </w:pPr>
      <w:r w:rsidRPr="00FF6EAA">
        <w:tab/>
        <w:t>(a)</w:t>
      </w:r>
      <w:r w:rsidRPr="00FF6EAA">
        <w:tab/>
        <w:t xml:space="preserve">a certified emission reduction mentioned in </w:t>
      </w:r>
      <w:proofErr w:type="spellStart"/>
      <w:r w:rsidRPr="00FF6EAA">
        <w:t>subregulation</w:t>
      </w:r>
      <w:proofErr w:type="spellEnd"/>
      <w:r w:rsidR="00FF6EAA" w:rsidRPr="00FF6EAA">
        <w:t> </w:t>
      </w:r>
      <w:r w:rsidRPr="00FF6EAA">
        <w:t xml:space="preserve">6.1(1) of the </w:t>
      </w:r>
      <w:r w:rsidRPr="00FF6EAA">
        <w:rPr>
          <w:i/>
        </w:rPr>
        <w:t>Clean Energy Regulations</w:t>
      </w:r>
      <w:r w:rsidR="00FF6EAA" w:rsidRPr="00FF6EAA">
        <w:rPr>
          <w:i/>
        </w:rPr>
        <w:t> </w:t>
      </w:r>
      <w:r w:rsidRPr="00FF6EAA">
        <w:rPr>
          <w:i/>
        </w:rPr>
        <w:t>2011,</w:t>
      </w:r>
      <w:r w:rsidRPr="00FF6EAA">
        <w:t xml:space="preserve"> to which </w:t>
      </w:r>
      <w:proofErr w:type="spellStart"/>
      <w:r w:rsidRPr="00FF6EAA">
        <w:t>subregulation</w:t>
      </w:r>
      <w:proofErr w:type="spellEnd"/>
      <w:r w:rsidR="00FF6EAA" w:rsidRPr="00FF6EAA">
        <w:t> </w:t>
      </w:r>
      <w:r w:rsidRPr="00FF6EAA">
        <w:t>6.1(2) of those regulations applies;</w:t>
      </w:r>
    </w:p>
    <w:p w:rsidR="007F2E66" w:rsidRPr="00FF6EAA" w:rsidRDefault="007F2E66" w:rsidP="007F2E66">
      <w:pPr>
        <w:pStyle w:val="paragraph"/>
      </w:pPr>
      <w:r w:rsidRPr="00FF6EAA">
        <w:tab/>
        <w:t>(b)</w:t>
      </w:r>
      <w:r w:rsidRPr="00FF6EAA">
        <w:tab/>
        <w:t xml:space="preserve">an emission reduction unit mentioned in </w:t>
      </w:r>
      <w:proofErr w:type="spellStart"/>
      <w:r w:rsidRPr="00FF6EAA">
        <w:t>subregulation</w:t>
      </w:r>
      <w:proofErr w:type="spellEnd"/>
      <w:r w:rsidR="00FF6EAA" w:rsidRPr="00FF6EAA">
        <w:t> </w:t>
      </w:r>
      <w:r w:rsidRPr="00FF6EAA">
        <w:t xml:space="preserve">6.1(1) of the </w:t>
      </w:r>
      <w:r w:rsidRPr="00FF6EAA">
        <w:rPr>
          <w:i/>
        </w:rPr>
        <w:t>Clean Energy Regulations</w:t>
      </w:r>
      <w:r w:rsidR="00FF6EAA" w:rsidRPr="00FF6EAA">
        <w:rPr>
          <w:i/>
        </w:rPr>
        <w:t> </w:t>
      </w:r>
      <w:r w:rsidRPr="00FF6EAA">
        <w:rPr>
          <w:i/>
        </w:rPr>
        <w:t>2011,</w:t>
      </w:r>
      <w:r w:rsidRPr="00FF6EAA">
        <w:t xml:space="preserve"> to which </w:t>
      </w:r>
      <w:proofErr w:type="spellStart"/>
      <w:r w:rsidRPr="00FF6EAA">
        <w:t>subregulation</w:t>
      </w:r>
      <w:proofErr w:type="spellEnd"/>
      <w:r w:rsidR="00FF6EAA" w:rsidRPr="00FF6EAA">
        <w:t> </w:t>
      </w:r>
      <w:r w:rsidRPr="00FF6EAA">
        <w:t>6.1(2) of those regulations applies.</w:t>
      </w:r>
    </w:p>
    <w:p w:rsidR="007F2E66" w:rsidRPr="00FF6EAA" w:rsidRDefault="007F2E66" w:rsidP="007F2E66">
      <w:pPr>
        <w:pStyle w:val="subsection"/>
      </w:pPr>
      <w:r w:rsidRPr="00FF6EAA">
        <w:tab/>
        <w:t>(3)</w:t>
      </w:r>
      <w:r w:rsidRPr="00FF6EAA">
        <w:tab/>
        <w:t>In this regulation:</w:t>
      </w:r>
    </w:p>
    <w:p w:rsidR="007F2E66" w:rsidRPr="00FF6EAA" w:rsidRDefault="007F2E66" w:rsidP="00597102">
      <w:pPr>
        <w:pStyle w:val="Definition"/>
        <w:rPr>
          <w:rFonts w:cs="Arial"/>
        </w:rPr>
      </w:pPr>
      <w:r w:rsidRPr="00FF6EAA">
        <w:rPr>
          <w:b/>
          <w:i/>
        </w:rPr>
        <w:t>flexible charge year</w:t>
      </w:r>
      <w:r w:rsidRPr="00FF6EAA">
        <w:t xml:space="preserve"> has the same meaning as in the </w:t>
      </w:r>
      <w:r w:rsidRPr="00FF6EAA">
        <w:rPr>
          <w:i/>
        </w:rPr>
        <w:t>Clean Energy Act 2011</w:t>
      </w:r>
      <w:r w:rsidRPr="00FF6EAA">
        <w:t>.</w:t>
      </w:r>
    </w:p>
    <w:sectPr w:rsidR="007F2E66" w:rsidRPr="00FF6EAA" w:rsidSect="00AA05B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871" w:right="2410" w:bottom="4253" w:left="2410" w:header="720" w:footer="34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153" w:rsidRDefault="00F74153" w:rsidP="0048364F">
      <w:pPr>
        <w:spacing w:line="240" w:lineRule="auto"/>
      </w:pPr>
      <w:r>
        <w:separator/>
      </w:r>
    </w:p>
  </w:endnote>
  <w:endnote w:type="continuationSeparator" w:id="0">
    <w:p w:rsidR="00F74153" w:rsidRDefault="00F7415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5B8" w:rsidRPr="00AA05B8" w:rsidRDefault="00AA05B8" w:rsidP="00AA05B8">
    <w:pPr>
      <w:pStyle w:val="Footer"/>
      <w:rPr>
        <w:sz w:val="18"/>
      </w:rPr>
    </w:pPr>
    <w:r>
      <w:rPr>
        <w:sz w:val="18"/>
      </w:rPr>
      <w:t>OPC50204</w:t>
    </w:r>
    <w:r w:rsidRPr="00AA05B8">
      <w:rPr>
        <w:sz w:val="18"/>
      </w:rPr>
      <w:t xml:space="preserve">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03"/>
    </w:tblGrid>
    <w:tr w:rsidR="00F74153" w:rsidTr="00184A31">
      <w:tc>
        <w:tcPr>
          <w:tcW w:w="7303" w:type="dxa"/>
        </w:tcPr>
        <w:p w:rsidR="00F74153" w:rsidRDefault="00F74153" w:rsidP="00184A31">
          <w:pPr>
            <w:rPr>
              <w:sz w:val="18"/>
            </w:rPr>
          </w:pPr>
        </w:p>
      </w:tc>
    </w:tr>
  </w:tbl>
  <w:p w:rsidR="00F74153" w:rsidRPr="006D3667" w:rsidRDefault="00AA05B8" w:rsidP="00AA05B8">
    <w:pPr>
      <w:pStyle w:val="Footer"/>
    </w:pPr>
    <w:r>
      <w:t>OPC50204</w:t>
    </w:r>
    <w:r w:rsidRPr="00AA05B8">
      <w:rPr>
        <w:sz w:val="18"/>
      </w:rPr>
      <w:t xml:space="preserve">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5B8" w:rsidRPr="00AA05B8" w:rsidRDefault="00AA05B8" w:rsidP="00AA05B8">
    <w:pPr>
      <w:pStyle w:val="Footer"/>
      <w:rPr>
        <w:sz w:val="18"/>
      </w:rPr>
    </w:pPr>
    <w:r>
      <w:rPr>
        <w:sz w:val="18"/>
      </w:rPr>
      <w:t>OPC50204</w:t>
    </w:r>
    <w:r w:rsidRPr="00AA05B8">
      <w:rPr>
        <w:sz w:val="18"/>
      </w:rPr>
      <w:t xml:space="preserve">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153" w:rsidRPr="00AA05B8" w:rsidRDefault="00F74153" w:rsidP="00E33C1C">
    <w:pPr>
      <w:pBdr>
        <w:top w:val="single" w:sz="6" w:space="1" w:color="auto"/>
      </w:pBdr>
      <w:spacing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F74153" w:rsidRPr="00AA05B8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F74153" w:rsidRPr="00AA05B8" w:rsidRDefault="00F74153" w:rsidP="00E33C1C">
          <w:pPr>
            <w:spacing w:line="0" w:lineRule="atLeast"/>
            <w:rPr>
              <w:rFonts w:cs="Times New Roman"/>
              <w:sz w:val="18"/>
            </w:rPr>
          </w:pPr>
          <w:r w:rsidRPr="00AA05B8">
            <w:rPr>
              <w:rFonts w:cs="Times New Roman"/>
              <w:i/>
              <w:sz w:val="18"/>
            </w:rPr>
            <w:fldChar w:fldCharType="begin"/>
          </w:r>
          <w:r w:rsidRPr="00AA05B8">
            <w:rPr>
              <w:rFonts w:cs="Times New Roman"/>
              <w:i/>
              <w:sz w:val="18"/>
            </w:rPr>
            <w:instrText xml:space="preserve"> PAGE </w:instrText>
          </w:r>
          <w:r w:rsidRPr="00AA05B8">
            <w:rPr>
              <w:rFonts w:cs="Times New Roman"/>
              <w:i/>
              <w:sz w:val="18"/>
            </w:rPr>
            <w:fldChar w:fldCharType="separate"/>
          </w:r>
          <w:r w:rsidR="001E3C37">
            <w:rPr>
              <w:rFonts w:cs="Times New Roman"/>
              <w:i/>
              <w:noProof/>
              <w:sz w:val="18"/>
            </w:rPr>
            <w:t>ii</w:t>
          </w:r>
          <w:r w:rsidRPr="00AA05B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F74153" w:rsidRPr="00AA05B8" w:rsidRDefault="00F74153" w:rsidP="00E33C1C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AA05B8">
            <w:rPr>
              <w:rFonts w:cs="Times New Roman"/>
              <w:i/>
              <w:sz w:val="18"/>
            </w:rPr>
            <w:fldChar w:fldCharType="begin"/>
          </w:r>
          <w:r w:rsidRPr="00AA05B8">
            <w:rPr>
              <w:rFonts w:cs="Times New Roman"/>
              <w:i/>
              <w:sz w:val="18"/>
            </w:rPr>
            <w:instrText xml:space="preserve"> DOCPROPERTY ShortT </w:instrText>
          </w:r>
          <w:r w:rsidRPr="00AA05B8">
            <w:rPr>
              <w:rFonts w:cs="Times New Roman"/>
              <w:i/>
              <w:sz w:val="18"/>
            </w:rPr>
            <w:fldChar w:fldCharType="separate"/>
          </w:r>
          <w:r w:rsidR="00FB551E">
            <w:rPr>
              <w:rFonts w:cs="Times New Roman"/>
              <w:i/>
              <w:sz w:val="18"/>
            </w:rPr>
            <w:t>Carbon Credits (Carbon Farming Initiative) Amendment Regulation 2013 (No. 1)</w:t>
          </w:r>
          <w:r w:rsidRPr="00AA05B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F74153" w:rsidRPr="00AA05B8" w:rsidRDefault="00F74153" w:rsidP="00E33C1C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AA05B8">
            <w:rPr>
              <w:rFonts w:cs="Times New Roman"/>
              <w:i/>
              <w:sz w:val="18"/>
            </w:rPr>
            <w:fldChar w:fldCharType="begin"/>
          </w:r>
          <w:r w:rsidRPr="00AA05B8">
            <w:rPr>
              <w:rFonts w:cs="Times New Roman"/>
              <w:i/>
              <w:sz w:val="18"/>
            </w:rPr>
            <w:instrText xml:space="preserve"> DOCPROPERTY ActNo </w:instrText>
          </w:r>
          <w:r w:rsidRPr="00AA05B8">
            <w:rPr>
              <w:rFonts w:cs="Times New Roman"/>
              <w:i/>
              <w:sz w:val="18"/>
            </w:rPr>
            <w:fldChar w:fldCharType="separate"/>
          </w:r>
          <w:r w:rsidR="00FB551E">
            <w:rPr>
              <w:rFonts w:cs="Times New Roman"/>
              <w:i/>
              <w:sz w:val="18"/>
            </w:rPr>
            <w:t>No. 77, 2013</w:t>
          </w:r>
          <w:r w:rsidRPr="00AA05B8">
            <w:rPr>
              <w:rFonts w:cs="Times New Roman"/>
              <w:i/>
              <w:sz w:val="18"/>
            </w:rPr>
            <w:fldChar w:fldCharType="end"/>
          </w:r>
        </w:p>
      </w:tc>
    </w:tr>
    <w:tr w:rsidR="00F74153" w:rsidRPr="00AA05B8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F74153" w:rsidRPr="00AA05B8" w:rsidRDefault="00F74153" w:rsidP="00184A31">
          <w:pPr>
            <w:jc w:val="right"/>
            <w:rPr>
              <w:rFonts w:cs="Times New Roman"/>
              <w:sz w:val="18"/>
            </w:rPr>
          </w:pPr>
        </w:p>
      </w:tc>
    </w:tr>
  </w:tbl>
  <w:p w:rsidR="00F74153" w:rsidRPr="00AA05B8" w:rsidRDefault="00AA05B8" w:rsidP="00AA05B8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OPC50204</w:t>
    </w:r>
    <w:r w:rsidRPr="00AA05B8">
      <w:rPr>
        <w:rFonts w:cs="Times New Roman"/>
        <w:i/>
        <w:sz w:val="18"/>
      </w:rPr>
      <w:t xml:space="preserve">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153" w:rsidRPr="00E33C1C" w:rsidRDefault="00F74153" w:rsidP="00E33C1C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F74153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F74153" w:rsidRDefault="00F74153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FB551E">
            <w:rPr>
              <w:i/>
              <w:sz w:val="18"/>
            </w:rPr>
            <w:t>No. 77,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F74153" w:rsidRDefault="00F74153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B551E">
            <w:rPr>
              <w:i/>
              <w:sz w:val="18"/>
            </w:rPr>
            <w:t>Carbon Credits (Carbon Farming Initiative) Amendment Regulation 2013 (No. 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F74153" w:rsidRDefault="00F74153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B551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74153" w:rsidTr="00184A3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F74153" w:rsidRDefault="00F74153" w:rsidP="00184A31">
          <w:pPr>
            <w:rPr>
              <w:sz w:val="18"/>
            </w:rPr>
          </w:pPr>
        </w:p>
      </w:tc>
    </w:tr>
  </w:tbl>
  <w:p w:rsidR="00F74153" w:rsidRPr="00ED79B6" w:rsidRDefault="00AA05B8" w:rsidP="00AA05B8">
    <w:pPr>
      <w:rPr>
        <w:i/>
        <w:sz w:val="18"/>
      </w:rPr>
    </w:pPr>
    <w:r>
      <w:rPr>
        <w:i/>
        <w:sz w:val="18"/>
      </w:rPr>
      <w:t>OPC50204</w:t>
    </w:r>
    <w:r w:rsidRPr="00AA05B8">
      <w:rPr>
        <w:rFonts w:cs="Times New Roman"/>
        <w:i/>
        <w:sz w:val="18"/>
      </w:rPr>
      <w:t xml:space="preserve">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153" w:rsidRPr="00AA05B8" w:rsidRDefault="00F74153" w:rsidP="00E33C1C">
    <w:pPr>
      <w:pBdr>
        <w:top w:val="single" w:sz="6" w:space="1" w:color="auto"/>
      </w:pBdr>
      <w:spacing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F74153" w:rsidRPr="00AA05B8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F74153" w:rsidRPr="00AA05B8" w:rsidRDefault="00F74153" w:rsidP="00E33C1C">
          <w:pPr>
            <w:spacing w:line="0" w:lineRule="atLeast"/>
            <w:rPr>
              <w:rFonts w:cs="Times New Roman"/>
              <w:sz w:val="18"/>
            </w:rPr>
          </w:pPr>
          <w:r w:rsidRPr="00AA05B8">
            <w:rPr>
              <w:rFonts w:cs="Times New Roman"/>
              <w:i/>
              <w:sz w:val="18"/>
            </w:rPr>
            <w:fldChar w:fldCharType="begin"/>
          </w:r>
          <w:r w:rsidRPr="00AA05B8">
            <w:rPr>
              <w:rFonts w:cs="Times New Roman"/>
              <w:i/>
              <w:sz w:val="18"/>
            </w:rPr>
            <w:instrText xml:space="preserve"> PAGE </w:instrText>
          </w:r>
          <w:r w:rsidRPr="00AA05B8">
            <w:rPr>
              <w:rFonts w:cs="Times New Roman"/>
              <w:i/>
              <w:sz w:val="18"/>
            </w:rPr>
            <w:fldChar w:fldCharType="separate"/>
          </w:r>
          <w:r w:rsidR="00FB551E">
            <w:rPr>
              <w:rFonts w:cs="Times New Roman"/>
              <w:i/>
              <w:noProof/>
              <w:sz w:val="18"/>
            </w:rPr>
            <w:t>2</w:t>
          </w:r>
          <w:r w:rsidRPr="00AA05B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F74153" w:rsidRPr="00AA05B8" w:rsidRDefault="00F74153" w:rsidP="00E33C1C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AA05B8">
            <w:rPr>
              <w:rFonts w:cs="Times New Roman"/>
              <w:i/>
              <w:sz w:val="18"/>
            </w:rPr>
            <w:fldChar w:fldCharType="begin"/>
          </w:r>
          <w:r w:rsidRPr="00AA05B8">
            <w:rPr>
              <w:rFonts w:cs="Times New Roman"/>
              <w:i/>
              <w:sz w:val="18"/>
            </w:rPr>
            <w:instrText xml:space="preserve"> DOCPROPERTY ShortT </w:instrText>
          </w:r>
          <w:r w:rsidRPr="00AA05B8">
            <w:rPr>
              <w:rFonts w:cs="Times New Roman"/>
              <w:i/>
              <w:sz w:val="18"/>
            </w:rPr>
            <w:fldChar w:fldCharType="separate"/>
          </w:r>
          <w:r w:rsidR="00FB551E">
            <w:rPr>
              <w:rFonts w:cs="Times New Roman"/>
              <w:i/>
              <w:sz w:val="18"/>
            </w:rPr>
            <w:t>Carbon Credits (Carbon Farming Initiative) Amendment Regulation 2013 (No. 1)</w:t>
          </w:r>
          <w:r w:rsidRPr="00AA05B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F74153" w:rsidRPr="00AA05B8" w:rsidRDefault="00F74153" w:rsidP="00E33C1C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AA05B8">
            <w:rPr>
              <w:rFonts w:cs="Times New Roman"/>
              <w:i/>
              <w:sz w:val="18"/>
            </w:rPr>
            <w:fldChar w:fldCharType="begin"/>
          </w:r>
          <w:r w:rsidRPr="00AA05B8">
            <w:rPr>
              <w:rFonts w:cs="Times New Roman"/>
              <w:i/>
              <w:sz w:val="18"/>
            </w:rPr>
            <w:instrText xml:space="preserve"> DOCPROPERTY ActNo </w:instrText>
          </w:r>
          <w:r w:rsidRPr="00AA05B8">
            <w:rPr>
              <w:rFonts w:cs="Times New Roman"/>
              <w:i/>
              <w:sz w:val="18"/>
            </w:rPr>
            <w:fldChar w:fldCharType="separate"/>
          </w:r>
          <w:r w:rsidR="00FB551E">
            <w:rPr>
              <w:rFonts w:cs="Times New Roman"/>
              <w:i/>
              <w:sz w:val="18"/>
            </w:rPr>
            <w:t>No. 77, 2013</w:t>
          </w:r>
          <w:r w:rsidRPr="00AA05B8">
            <w:rPr>
              <w:rFonts w:cs="Times New Roman"/>
              <w:i/>
              <w:sz w:val="18"/>
            </w:rPr>
            <w:fldChar w:fldCharType="end"/>
          </w:r>
        </w:p>
      </w:tc>
    </w:tr>
    <w:tr w:rsidR="00F74153" w:rsidRPr="00AA05B8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F74153" w:rsidRPr="00AA05B8" w:rsidRDefault="00F74153" w:rsidP="00184A31">
          <w:pPr>
            <w:jc w:val="right"/>
            <w:rPr>
              <w:rFonts w:cs="Times New Roman"/>
              <w:sz w:val="18"/>
            </w:rPr>
          </w:pPr>
        </w:p>
      </w:tc>
    </w:tr>
  </w:tbl>
  <w:p w:rsidR="00F74153" w:rsidRPr="00AA05B8" w:rsidRDefault="00AA05B8" w:rsidP="00AA05B8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OPC50204</w:t>
    </w:r>
    <w:r w:rsidRPr="00AA05B8">
      <w:rPr>
        <w:rFonts w:cs="Times New Roman"/>
        <w:i/>
        <w:sz w:val="18"/>
      </w:rPr>
      <w:t xml:space="preserve">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153" w:rsidRPr="00E33C1C" w:rsidRDefault="00F74153" w:rsidP="00E33C1C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F74153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F74153" w:rsidRDefault="00F74153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FB551E">
            <w:rPr>
              <w:i/>
              <w:sz w:val="18"/>
            </w:rPr>
            <w:t>No. 77,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F74153" w:rsidRDefault="00F74153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B551E">
            <w:rPr>
              <w:i/>
              <w:sz w:val="18"/>
            </w:rPr>
            <w:t>Carbon Credits (Carbon Farming Initiative) Amendment Regulation 2013 (No. 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F74153" w:rsidRDefault="00F74153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B551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74153" w:rsidTr="00184A3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F74153" w:rsidRDefault="00F74153" w:rsidP="00184A31">
          <w:pPr>
            <w:rPr>
              <w:sz w:val="18"/>
            </w:rPr>
          </w:pPr>
        </w:p>
      </w:tc>
    </w:tr>
  </w:tbl>
  <w:p w:rsidR="00F74153" w:rsidRPr="00ED79B6" w:rsidRDefault="00AA05B8" w:rsidP="00AA05B8">
    <w:pPr>
      <w:rPr>
        <w:i/>
        <w:sz w:val="18"/>
      </w:rPr>
    </w:pPr>
    <w:r>
      <w:rPr>
        <w:i/>
        <w:sz w:val="18"/>
      </w:rPr>
      <w:t>OPC50204</w:t>
    </w:r>
    <w:r w:rsidRPr="00AA05B8">
      <w:rPr>
        <w:rFonts w:cs="Times New Roman"/>
        <w:i/>
        <w:sz w:val="18"/>
      </w:rPr>
      <w:t xml:space="preserve">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153" w:rsidRPr="00E33C1C" w:rsidRDefault="00F74153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F74153" w:rsidTr="00184A31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F74153" w:rsidRDefault="00F74153" w:rsidP="00184A31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FB551E">
            <w:rPr>
              <w:i/>
              <w:sz w:val="18"/>
            </w:rPr>
            <w:t>No. 77,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F74153" w:rsidRDefault="00F74153" w:rsidP="00184A3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B551E">
            <w:rPr>
              <w:i/>
              <w:sz w:val="18"/>
            </w:rPr>
            <w:t>Carbon Credits (Carbon Farming Initiative) Amendment Regulation 2013 (No. 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F74153" w:rsidRDefault="00F74153" w:rsidP="00184A3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E3C3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74153" w:rsidTr="00184A3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F74153" w:rsidRDefault="00F74153" w:rsidP="00184A31">
          <w:pPr>
            <w:rPr>
              <w:sz w:val="18"/>
            </w:rPr>
          </w:pPr>
        </w:p>
      </w:tc>
    </w:tr>
  </w:tbl>
  <w:p w:rsidR="00F74153" w:rsidRPr="00ED79B6" w:rsidRDefault="00F74153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153" w:rsidRDefault="00F74153" w:rsidP="0048364F">
      <w:pPr>
        <w:spacing w:line="240" w:lineRule="auto"/>
      </w:pPr>
      <w:r>
        <w:separator/>
      </w:r>
    </w:p>
  </w:footnote>
  <w:footnote w:type="continuationSeparator" w:id="0">
    <w:p w:rsidR="00F74153" w:rsidRDefault="00F7415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153" w:rsidRPr="005F1388" w:rsidRDefault="00F74153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153" w:rsidRPr="005F1388" w:rsidRDefault="00F74153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153" w:rsidRPr="005F1388" w:rsidRDefault="00F74153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153" w:rsidRPr="00ED79B6" w:rsidRDefault="00F74153" w:rsidP="00722023">
    <w:pPr>
      <w:pBdr>
        <w:bottom w:val="single" w:sz="12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153" w:rsidRPr="00ED79B6" w:rsidRDefault="00F74153" w:rsidP="00AB3315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153" w:rsidRPr="00ED79B6" w:rsidRDefault="00F74153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153" w:rsidRPr="00A961C4" w:rsidRDefault="00F74153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FB551E">
      <w:rPr>
        <w:b/>
        <w:sz w:val="20"/>
      </w:rPr>
      <w:fldChar w:fldCharType="separate"/>
    </w:r>
    <w:r w:rsidR="00FB551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FB551E">
      <w:rPr>
        <w:sz w:val="20"/>
      </w:rPr>
      <w:fldChar w:fldCharType="separate"/>
    </w:r>
    <w:r w:rsidR="00FB551E">
      <w:rPr>
        <w:noProof/>
        <w:sz w:val="20"/>
      </w:rPr>
      <w:t>Amendments</w:t>
    </w:r>
    <w:r>
      <w:rPr>
        <w:sz w:val="20"/>
      </w:rPr>
      <w:fldChar w:fldCharType="end"/>
    </w:r>
  </w:p>
  <w:p w:rsidR="00F74153" w:rsidRPr="00A961C4" w:rsidRDefault="00F74153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F74153" w:rsidRPr="00A961C4" w:rsidRDefault="00F74153" w:rsidP="00B63BDE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153" w:rsidRPr="00A961C4" w:rsidRDefault="00F74153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F74153" w:rsidRPr="00A961C4" w:rsidRDefault="00F74153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F74153" w:rsidRPr="00A961C4" w:rsidRDefault="00F74153" w:rsidP="00E443FC">
    <w:pPr>
      <w:pBdr>
        <w:bottom w:val="single" w:sz="6" w:space="1" w:color="auto"/>
      </w:pBd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153" w:rsidRPr="00A961C4" w:rsidRDefault="00F7415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5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F42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A47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BE8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E420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30D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EC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A49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D2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0E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451"/>
    <w:rsid w:val="000041C6"/>
    <w:rsid w:val="000113BC"/>
    <w:rsid w:val="00011E5B"/>
    <w:rsid w:val="000136AF"/>
    <w:rsid w:val="00020E2D"/>
    <w:rsid w:val="00025060"/>
    <w:rsid w:val="000260D7"/>
    <w:rsid w:val="0004044E"/>
    <w:rsid w:val="000449A8"/>
    <w:rsid w:val="0005502B"/>
    <w:rsid w:val="000575F8"/>
    <w:rsid w:val="00057878"/>
    <w:rsid w:val="00060131"/>
    <w:rsid w:val="000608DB"/>
    <w:rsid w:val="000614BF"/>
    <w:rsid w:val="00076A81"/>
    <w:rsid w:val="000805FE"/>
    <w:rsid w:val="00090906"/>
    <w:rsid w:val="00092632"/>
    <w:rsid w:val="000A7D83"/>
    <w:rsid w:val="000C5DDC"/>
    <w:rsid w:val="000D05EF"/>
    <w:rsid w:val="000F21C1"/>
    <w:rsid w:val="001066DB"/>
    <w:rsid w:val="0010745C"/>
    <w:rsid w:val="001231C5"/>
    <w:rsid w:val="00123E55"/>
    <w:rsid w:val="00125B21"/>
    <w:rsid w:val="00134E69"/>
    <w:rsid w:val="001369C2"/>
    <w:rsid w:val="00154EAC"/>
    <w:rsid w:val="001643C9"/>
    <w:rsid w:val="00164B6C"/>
    <w:rsid w:val="00165568"/>
    <w:rsid w:val="0016606D"/>
    <w:rsid w:val="00166C2F"/>
    <w:rsid w:val="001716C9"/>
    <w:rsid w:val="00171EAE"/>
    <w:rsid w:val="0017258D"/>
    <w:rsid w:val="00180910"/>
    <w:rsid w:val="001821B4"/>
    <w:rsid w:val="00184A31"/>
    <w:rsid w:val="00193461"/>
    <w:rsid w:val="001939E1"/>
    <w:rsid w:val="00195382"/>
    <w:rsid w:val="001976E3"/>
    <w:rsid w:val="001A0D2B"/>
    <w:rsid w:val="001B7A5D"/>
    <w:rsid w:val="001C69C4"/>
    <w:rsid w:val="001D4394"/>
    <w:rsid w:val="001E3590"/>
    <w:rsid w:val="001E3C37"/>
    <w:rsid w:val="001E562E"/>
    <w:rsid w:val="001E7407"/>
    <w:rsid w:val="001F0A3B"/>
    <w:rsid w:val="00201D27"/>
    <w:rsid w:val="00205457"/>
    <w:rsid w:val="002266FD"/>
    <w:rsid w:val="00235E2D"/>
    <w:rsid w:val="00240749"/>
    <w:rsid w:val="00241826"/>
    <w:rsid w:val="002504D3"/>
    <w:rsid w:val="0025574E"/>
    <w:rsid w:val="00262D03"/>
    <w:rsid w:val="00265069"/>
    <w:rsid w:val="00265182"/>
    <w:rsid w:val="00265FBC"/>
    <w:rsid w:val="00266D05"/>
    <w:rsid w:val="0026796D"/>
    <w:rsid w:val="00273200"/>
    <w:rsid w:val="00281C29"/>
    <w:rsid w:val="00287ADB"/>
    <w:rsid w:val="002932B1"/>
    <w:rsid w:val="00297ECB"/>
    <w:rsid w:val="002A3366"/>
    <w:rsid w:val="002B4C7A"/>
    <w:rsid w:val="002B5DE4"/>
    <w:rsid w:val="002B7516"/>
    <w:rsid w:val="002B7D96"/>
    <w:rsid w:val="002D043A"/>
    <w:rsid w:val="002F4AB1"/>
    <w:rsid w:val="002F5881"/>
    <w:rsid w:val="00300284"/>
    <w:rsid w:val="0030175D"/>
    <w:rsid w:val="00303597"/>
    <w:rsid w:val="00304E75"/>
    <w:rsid w:val="003072FA"/>
    <w:rsid w:val="00307670"/>
    <w:rsid w:val="00313E3E"/>
    <w:rsid w:val="00316BC8"/>
    <w:rsid w:val="0031713F"/>
    <w:rsid w:val="003415D3"/>
    <w:rsid w:val="00352B0F"/>
    <w:rsid w:val="003567E4"/>
    <w:rsid w:val="00361BD9"/>
    <w:rsid w:val="0036515D"/>
    <w:rsid w:val="00365C85"/>
    <w:rsid w:val="003801D0"/>
    <w:rsid w:val="0039228E"/>
    <w:rsid w:val="00392DED"/>
    <w:rsid w:val="00392E6F"/>
    <w:rsid w:val="003937FC"/>
    <w:rsid w:val="003A2A64"/>
    <w:rsid w:val="003A3C91"/>
    <w:rsid w:val="003B04EC"/>
    <w:rsid w:val="003B3118"/>
    <w:rsid w:val="003C28BD"/>
    <w:rsid w:val="003C5F2B"/>
    <w:rsid w:val="003D0BFE"/>
    <w:rsid w:val="003D4903"/>
    <w:rsid w:val="003D5451"/>
    <w:rsid w:val="003D5700"/>
    <w:rsid w:val="003D7A9C"/>
    <w:rsid w:val="003F567B"/>
    <w:rsid w:val="004010E7"/>
    <w:rsid w:val="00401403"/>
    <w:rsid w:val="004116CD"/>
    <w:rsid w:val="00412104"/>
    <w:rsid w:val="00412B83"/>
    <w:rsid w:val="00414AC2"/>
    <w:rsid w:val="00424CA9"/>
    <w:rsid w:val="0042501E"/>
    <w:rsid w:val="0044291A"/>
    <w:rsid w:val="00452D4B"/>
    <w:rsid w:val="0045603C"/>
    <w:rsid w:val="00460499"/>
    <w:rsid w:val="00463E41"/>
    <w:rsid w:val="0048364F"/>
    <w:rsid w:val="0049257A"/>
    <w:rsid w:val="0049540B"/>
    <w:rsid w:val="00496F97"/>
    <w:rsid w:val="00497D9B"/>
    <w:rsid w:val="004A2484"/>
    <w:rsid w:val="004A5380"/>
    <w:rsid w:val="004C40FB"/>
    <w:rsid w:val="004D7748"/>
    <w:rsid w:val="004F1FAC"/>
    <w:rsid w:val="004F3A90"/>
    <w:rsid w:val="004F676E"/>
    <w:rsid w:val="00516B8D"/>
    <w:rsid w:val="00516BAF"/>
    <w:rsid w:val="00522E1B"/>
    <w:rsid w:val="005257B6"/>
    <w:rsid w:val="0053470D"/>
    <w:rsid w:val="00537FBC"/>
    <w:rsid w:val="00543469"/>
    <w:rsid w:val="00543E8A"/>
    <w:rsid w:val="00547740"/>
    <w:rsid w:val="0055333B"/>
    <w:rsid w:val="00554AA2"/>
    <w:rsid w:val="0055510F"/>
    <w:rsid w:val="00557C7A"/>
    <w:rsid w:val="0056053F"/>
    <w:rsid w:val="00566FF3"/>
    <w:rsid w:val="0057318D"/>
    <w:rsid w:val="00584811"/>
    <w:rsid w:val="00584975"/>
    <w:rsid w:val="00585EED"/>
    <w:rsid w:val="0058646E"/>
    <w:rsid w:val="00591E07"/>
    <w:rsid w:val="00592D9F"/>
    <w:rsid w:val="00593AA6"/>
    <w:rsid w:val="00594161"/>
    <w:rsid w:val="00594749"/>
    <w:rsid w:val="00597102"/>
    <w:rsid w:val="005B4067"/>
    <w:rsid w:val="005B59E5"/>
    <w:rsid w:val="005C1AAC"/>
    <w:rsid w:val="005C3F41"/>
    <w:rsid w:val="005D5251"/>
    <w:rsid w:val="005D6AC9"/>
    <w:rsid w:val="00600219"/>
    <w:rsid w:val="00610196"/>
    <w:rsid w:val="00611B27"/>
    <w:rsid w:val="00615A09"/>
    <w:rsid w:val="006249E6"/>
    <w:rsid w:val="0062758D"/>
    <w:rsid w:val="00630733"/>
    <w:rsid w:val="0064468A"/>
    <w:rsid w:val="00656DE9"/>
    <w:rsid w:val="00677CC2"/>
    <w:rsid w:val="00680F17"/>
    <w:rsid w:val="00685F42"/>
    <w:rsid w:val="0069207B"/>
    <w:rsid w:val="00692D31"/>
    <w:rsid w:val="006937E2"/>
    <w:rsid w:val="006960D6"/>
    <w:rsid w:val="006A44B4"/>
    <w:rsid w:val="006B3079"/>
    <w:rsid w:val="006C2C12"/>
    <w:rsid w:val="006C7F8C"/>
    <w:rsid w:val="006D3667"/>
    <w:rsid w:val="006E21B9"/>
    <w:rsid w:val="006F497A"/>
    <w:rsid w:val="006F5D64"/>
    <w:rsid w:val="00700B2C"/>
    <w:rsid w:val="00701E6A"/>
    <w:rsid w:val="00712C2F"/>
    <w:rsid w:val="00713084"/>
    <w:rsid w:val="0071370B"/>
    <w:rsid w:val="00714E08"/>
    <w:rsid w:val="00722023"/>
    <w:rsid w:val="00723E7E"/>
    <w:rsid w:val="00731E00"/>
    <w:rsid w:val="007440B7"/>
    <w:rsid w:val="007470B1"/>
    <w:rsid w:val="00760F71"/>
    <w:rsid w:val="007634AD"/>
    <w:rsid w:val="007641E9"/>
    <w:rsid w:val="0076535D"/>
    <w:rsid w:val="007715C9"/>
    <w:rsid w:val="00774EDD"/>
    <w:rsid w:val="007757EC"/>
    <w:rsid w:val="007769D4"/>
    <w:rsid w:val="00785AFA"/>
    <w:rsid w:val="007903AC"/>
    <w:rsid w:val="007A179C"/>
    <w:rsid w:val="007A6FCE"/>
    <w:rsid w:val="007A7AEC"/>
    <w:rsid w:val="007B2D6E"/>
    <w:rsid w:val="007C3D01"/>
    <w:rsid w:val="007C7AA8"/>
    <w:rsid w:val="007C7DDA"/>
    <w:rsid w:val="007D1900"/>
    <w:rsid w:val="007E60AF"/>
    <w:rsid w:val="007E7D4A"/>
    <w:rsid w:val="007F2E66"/>
    <w:rsid w:val="008028DE"/>
    <w:rsid w:val="008076DE"/>
    <w:rsid w:val="00826DA5"/>
    <w:rsid w:val="00830031"/>
    <w:rsid w:val="00844440"/>
    <w:rsid w:val="00856A31"/>
    <w:rsid w:val="00857355"/>
    <w:rsid w:val="00857FFE"/>
    <w:rsid w:val="0086311B"/>
    <w:rsid w:val="00871453"/>
    <w:rsid w:val="00874B69"/>
    <w:rsid w:val="008754D0"/>
    <w:rsid w:val="00876EF3"/>
    <w:rsid w:val="00877D48"/>
    <w:rsid w:val="00886D43"/>
    <w:rsid w:val="0089783B"/>
    <w:rsid w:val="00897D2D"/>
    <w:rsid w:val="008A189E"/>
    <w:rsid w:val="008A392B"/>
    <w:rsid w:val="008B5B49"/>
    <w:rsid w:val="008C17B4"/>
    <w:rsid w:val="008D0EE0"/>
    <w:rsid w:val="008D1472"/>
    <w:rsid w:val="008D271E"/>
    <w:rsid w:val="008D3A73"/>
    <w:rsid w:val="008D5695"/>
    <w:rsid w:val="008D6C2A"/>
    <w:rsid w:val="008D7951"/>
    <w:rsid w:val="008E4814"/>
    <w:rsid w:val="008E6122"/>
    <w:rsid w:val="008F07E3"/>
    <w:rsid w:val="008F4F1C"/>
    <w:rsid w:val="009004A1"/>
    <w:rsid w:val="00903699"/>
    <w:rsid w:val="00907271"/>
    <w:rsid w:val="00927DCE"/>
    <w:rsid w:val="00932377"/>
    <w:rsid w:val="00933BBC"/>
    <w:rsid w:val="0093675B"/>
    <w:rsid w:val="00941AB1"/>
    <w:rsid w:val="009558AB"/>
    <w:rsid w:val="00965BFF"/>
    <w:rsid w:val="00972AFE"/>
    <w:rsid w:val="009772EF"/>
    <w:rsid w:val="00982A99"/>
    <w:rsid w:val="00986539"/>
    <w:rsid w:val="00990AAA"/>
    <w:rsid w:val="00997650"/>
    <w:rsid w:val="009B1254"/>
    <w:rsid w:val="009B3629"/>
    <w:rsid w:val="009C49D8"/>
    <w:rsid w:val="009C79B1"/>
    <w:rsid w:val="009E0375"/>
    <w:rsid w:val="009E3601"/>
    <w:rsid w:val="009E7545"/>
    <w:rsid w:val="009F22C9"/>
    <w:rsid w:val="009F53ED"/>
    <w:rsid w:val="009F727E"/>
    <w:rsid w:val="00A0157A"/>
    <w:rsid w:val="00A148EC"/>
    <w:rsid w:val="00A2057D"/>
    <w:rsid w:val="00A231E2"/>
    <w:rsid w:val="00A2550D"/>
    <w:rsid w:val="00A33BE4"/>
    <w:rsid w:val="00A4169B"/>
    <w:rsid w:val="00A4361F"/>
    <w:rsid w:val="00A47ABD"/>
    <w:rsid w:val="00A64912"/>
    <w:rsid w:val="00A65955"/>
    <w:rsid w:val="00A70A74"/>
    <w:rsid w:val="00A87AB9"/>
    <w:rsid w:val="00AA05B8"/>
    <w:rsid w:val="00AA7999"/>
    <w:rsid w:val="00AB302A"/>
    <w:rsid w:val="00AB3315"/>
    <w:rsid w:val="00AC03E8"/>
    <w:rsid w:val="00AD5641"/>
    <w:rsid w:val="00AE74D4"/>
    <w:rsid w:val="00AE7F00"/>
    <w:rsid w:val="00AF0336"/>
    <w:rsid w:val="00AF22D3"/>
    <w:rsid w:val="00B028A6"/>
    <w:rsid w:val="00B032D8"/>
    <w:rsid w:val="00B04D57"/>
    <w:rsid w:val="00B332B8"/>
    <w:rsid w:val="00B33B3C"/>
    <w:rsid w:val="00B63BDE"/>
    <w:rsid w:val="00B75AD1"/>
    <w:rsid w:val="00B96E4E"/>
    <w:rsid w:val="00B97914"/>
    <w:rsid w:val="00BA5026"/>
    <w:rsid w:val="00BB2288"/>
    <w:rsid w:val="00BB6E79"/>
    <w:rsid w:val="00BC65D1"/>
    <w:rsid w:val="00BD4206"/>
    <w:rsid w:val="00BD60E6"/>
    <w:rsid w:val="00BE253A"/>
    <w:rsid w:val="00BE2656"/>
    <w:rsid w:val="00BE719A"/>
    <w:rsid w:val="00BE720A"/>
    <w:rsid w:val="00BE7EEC"/>
    <w:rsid w:val="00BF0698"/>
    <w:rsid w:val="00BF5E20"/>
    <w:rsid w:val="00C067E5"/>
    <w:rsid w:val="00C07F79"/>
    <w:rsid w:val="00C164CA"/>
    <w:rsid w:val="00C23306"/>
    <w:rsid w:val="00C26604"/>
    <w:rsid w:val="00C42BF8"/>
    <w:rsid w:val="00C443C7"/>
    <w:rsid w:val="00C460AE"/>
    <w:rsid w:val="00C47E48"/>
    <w:rsid w:val="00C50043"/>
    <w:rsid w:val="00C51CBC"/>
    <w:rsid w:val="00C60029"/>
    <w:rsid w:val="00C65E68"/>
    <w:rsid w:val="00C7573B"/>
    <w:rsid w:val="00C76CF3"/>
    <w:rsid w:val="00C81919"/>
    <w:rsid w:val="00C85DDF"/>
    <w:rsid w:val="00C86F55"/>
    <w:rsid w:val="00C978AD"/>
    <w:rsid w:val="00CA10F4"/>
    <w:rsid w:val="00CB0180"/>
    <w:rsid w:val="00CB534A"/>
    <w:rsid w:val="00CD0DCD"/>
    <w:rsid w:val="00CF0BB2"/>
    <w:rsid w:val="00CF5189"/>
    <w:rsid w:val="00CF5D3C"/>
    <w:rsid w:val="00D03369"/>
    <w:rsid w:val="00D03611"/>
    <w:rsid w:val="00D06247"/>
    <w:rsid w:val="00D1064F"/>
    <w:rsid w:val="00D12B14"/>
    <w:rsid w:val="00D13441"/>
    <w:rsid w:val="00D136B1"/>
    <w:rsid w:val="00D17B17"/>
    <w:rsid w:val="00D243A3"/>
    <w:rsid w:val="00D33440"/>
    <w:rsid w:val="00D342D6"/>
    <w:rsid w:val="00D51BEE"/>
    <w:rsid w:val="00D52754"/>
    <w:rsid w:val="00D52EFE"/>
    <w:rsid w:val="00D63EF6"/>
    <w:rsid w:val="00D70DFB"/>
    <w:rsid w:val="00D75FA9"/>
    <w:rsid w:val="00D766DF"/>
    <w:rsid w:val="00D84B58"/>
    <w:rsid w:val="00D911EE"/>
    <w:rsid w:val="00D925D1"/>
    <w:rsid w:val="00DA0DB8"/>
    <w:rsid w:val="00DA701E"/>
    <w:rsid w:val="00DB1977"/>
    <w:rsid w:val="00DB4ED5"/>
    <w:rsid w:val="00DD1E67"/>
    <w:rsid w:val="00DD316A"/>
    <w:rsid w:val="00DD79FC"/>
    <w:rsid w:val="00DE032B"/>
    <w:rsid w:val="00DE6391"/>
    <w:rsid w:val="00DF2247"/>
    <w:rsid w:val="00DF2FFD"/>
    <w:rsid w:val="00E01A7F"/>
    <w:rsid w:val="00E05704"/>
    <w:rsid w:val="00E05C46"/>
    <w:rsid w:val="00E26BFE"/>
    <w:rsid w:val="00E30206"/>
    <w:rsid w:val="00E3274E"/>
    <w:rsid w:val="00E336BD"/>
    <w:rsid w:val="00E33C1C"/>
    <w:rsid w:val="00E356A1"/>
    <w:rsid w:val="00E443FC"/>
    <w:rsid w:val="00E54292"/>
    <w:rsid w:val="00E74DC7"/>
    <w:rsid w:val="00E87699"/>
    <w:rsid w:val="00EB3741"/>
    <w:rsid w:val="00EC5829"/>
    <w:rsid w:val="00ED3A7D"/>
    <w:rsid w:val="00ED54B1"/>
    <w:rsid w:val="00EF0293"/>
    <w:rsid w:val="00EF091D"/>
    <w:rsid w:val="00EF1EB4"/>
    <w:rsid w:val="00EF2E3A"/>
    <w:rsid w:val="00F002E2"/>
    <w:rsid w:val="00F047E2"/>
    <w:rsid w:val="00F078DC"/>
    <w:rsid w:val="00F103B6"/>
    <w:rsid w:val="00F11371"/>
    <w:rsid w:val="00F13E86"/>
    <w:rsid w:val="00F22E21"/>
    <w:rsid w:val="00F24C35"/>
    <w:rsid w:val="00F312F8"/>
    <w:rsid w:val="00F356CE"/>
    <w:rsid w:val="00F677A9"/>
    <w:rsid w:val="00F734CB"/>
    <w:rsid w:val="00F74153"/>
    <w:rsid w:val="00F778CE"/>
    <w:rsid w:val="00F81114"/>
    <w:rsid w:val="00F84CF5"/>
    <w:rsid w:val="00F911E1"/>
    <w:rsid w:val="00FA420B"/>
    <w:rsid w:val="00FB551E"/>
    <w:rsid w:val="00FB7863"/>
    <w:rsid w:val="00FC2515"/>
    <w:rsid w:val="00FC3DF0"/>
    <w:rsid w:val="00FD7CFE"/>
    <w:rsid w:val="00FE0D6D"/>
    <w:rsid w:val="00FE28D9"/>
    <w:rsid w:val="00FF3089"/>
    <w:rsid w:val="00FF3B04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F6EAA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F6EAA"/>
  </w:style>
  <w:style w:type="paragraph" w:customStyle="1" w:styleId="OPCParaBase">
    <w:name w:val="OPCParaBase"/>
    <w:qFormat/>
    <w:rsid w:val="00FF6EA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F6EA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F6EA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F6EA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F6EA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F6EA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F6EA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F6EA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F6EA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F6EA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F6EA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F6EAA"/>
  </w:style>
  <w:style w:type="paragraph" w:customStyle="1" w:styleId="Blocks">
    <w:name w:val="Blocks"/>
    <w:aliases w:val="bb"/>
    <w:basedOn w:val="OPCParaBase"/>
    <w:qFormat/>
    <w:rsid w:val="00FF6EA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F6E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F6EA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F6EAA"/>
    <w:rPr>
      <w:i/>
    </w:rPr>
  </w:style>
  <w:style w:type="paragraph" w:customStyle="1" w:styleId="BoxList">
    <w:name w:val="BoxList"/>
    <w:aliases w:val="bl"/>
    <w:basedOn w:val="BoxText"/>
    <w:qFormat/>
    <w:rsid w:val="00FF6EA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F6EA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F6EA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F6EAA"/>
    <w:pPr>
      <w:ind w:left="1985" w:hanging="851"/>
    </w:pPr>
  </w:style>
  <w:style w:type="character" w:customStyle="1" w:styleId="CharAmPartNo">
    <w:name w:val="CharAmPartNo"/>
    <w:basedOn w:val="OPCCharBase"/>
    <w:qFormat/>
    <w:rsid w:val="00FF6EAA"/>
  </w:style>
  <w:style w:type="character" w:customStyle="1" w:styleId="CharAmPartText">
    <w:name w:val="CharAmPartText"/>
    <w:basedOn w:val="OPCCharBase"/>
    <w:qFormat/>
    <w:rsid w:val="00FF6EAA"/>
  </w:style>
  <w:style w:type="character" w:customStyle="1" w:styleId="CharAmSchNo">
    <w:name w:val="CharAmSchNo"/>
    <w:basedOn w:val="OPCCharBase"/>
    <w:qFormat/>
    <w:rsid w:val="00FF6EAA"/>
  </w:style>
  <w:style w:type="character" w:customStyle="1" w:styleId="CharAmSchText">
    <w:name w:val="CharAmSchText"/>
    <w:basedOn w:val="OPCCharBase"/>
    <w:qFormat/>
    <w:rsid w:val="00FF6EAA"/>
  </w:style>
  <w:style w:type="character" w:customStyle="1" w:styleId="CharBoldItalic">
    <w:name w:val="CharBoldItalic"/>
    <w:basedOn w:val="OPCCharBase"/>
    <w:uiPriority w:val="1"/>
    <w:qFormat/>
    <w:rsid w:val="00FF6EAA"/>
    <w:rPr>
      <w:b/>
      <w:i/>
    </w:rPr>
  </w:style>
  <w:style w:type="character" w:customStyle="1" w:styleId="CharChapNo">
    <w:name w:val="CharChapNo"/>
    <w:basedOn w:val="OPCCharBase"/>
    <w:uiPriority w:val="1"/>
    <w:qFormat/>
    <w:rsid w:val="00FF6EAA"/>
  </w:style>
  <w:style w:type="character" w:customStyle="1" w:styleId="CharChapText">
    <w:name w:val="CharChapText"/>
    <w:basedOn w:val="OPCCharBase"/>
    <w:uiPriority w:val="1"/>
    <w:qFormat/>
    <w:rsid w:val="00FF6EAA"/>
  </w:style>
  <w:style w:type="character" w:customStyle="1" w:styleId="CharDivNo">
    <w:name w:val="CharDivNo"/>
    <w:basedOn w:val="OPCCharBase"/>
    <w:uiPriority w:val="1"/>
    <w:qFormat/>
    <w:rsid w:val="00FF6EAA"/>
  </w:style>
  <w:style w:type="character" w:customStyle="1" w:styleId="CharDivText">
    <w:name w:val="CharDivText"/>
    <w:basedOn w:val="OPCCharBase"/>
    <w:uiPriority w:val="1"/>
    <w:qFormat/>
    <w:rsid w:val="00FF6EAA"/>
  </w:style>
  <w:style w:type="character" w:customStyle="1" w:styleId="CharItalic">
    <w:name w:val="CharItalic"/>
    <w:basedOn w:val="OPCCharBase"/>
    <w:uiPriority w:val="1"/>
    <w:qFormat/>
    <w:rsid w:val="00FF6EAA"/>
    <w:rPr>
      <w:i/>
    </w:rPr>
  </w:style>
  <w:style w:type="character" w:customStyle="1" w:styleId="CharPartNo">
    <w:name w:val="CharPartNo"/>
    <w:basedOn w:val="OPCCharBase"/>
    <w:uiPriority w:val="1"/>
    <w:qFormat/>
    <w:rsid w:val="00FF6EAA"/>
  </w:style>
  <w:style w:type="character" w:customStyle="1" w:styleId="CharPartText">
    <w:name w:val="CharPartText"/>
    <w:basedOn w:val="OPCCharBase"/>
    <w:uiPriority w:val="1"/>
    <w:qFormat/>
    <w:rsid w:val="00FF6EAA"/>
  </w:style>
  <w:style w:type="character" w:customStyle="1" w:styleId="CharSectno">
    <w:name w:val="CharSectno"/>
    <w:basedOn w:val="OPCCharBase"/>
    <w:qFormat/>
    <w:rsid w:val="00FF6EAA"/>
  </w:style>
  <w:style w:type="character" w:customStyle="1" w:styleId="CharSubdNo">
    <w:name w:val="CharSubdNo"/>
    <w:basedOn w:val="OPCCharBase"/>
    <w:uiPriority w:val="1"/>
    <w:qFormat/>
    <w:rsid w:val="00FF6EAA"/>
  </w:style>
  <w:style w:type="character" w:customStyle="1" w:styleId="CharSubdText">
    <w:name w:val="CharSubdText"/>
    <w:basedOn w:val="OPCCharBase"/>
    <w:uiPriority w:val="1"/>
    <w:qFormat/>
    <w:rsid w:val="00FF6EAA"/>
  </w:style>
  <w:style w:type="paragraph" w:customStyle="1" w:styleId="CTA--">
    <w:name w:val="CTA --"/>
    <w:basedOn w:val="OPCParaBase"/>
    <w:next w:val="Normal"/>
    <w:rsid w:val="00FF6EA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F6EA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F6EA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F6EA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F6EA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F6EA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F6EA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F6EA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F6EA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F6EA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F6EA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F6EA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F6EA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F6EA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FF6EA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F6EA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F6EA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F6EA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F6EA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F6EA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F6EA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F6EA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F6EA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F6EA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F6EA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F6EA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F6EA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F6EA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F6EA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F6EA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F6EA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FF6EAA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FF6EA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F6EA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F6EA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F6EA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F6EA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F6EA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F6EA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F6EA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F6EA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F6EA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F6EA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F6EA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F6EA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F6EA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F6EA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F6EA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F6EA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F6EA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F6EA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F6EA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F6E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F6EA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F6EA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F6EA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F6EAA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F6EAA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F6EAA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F6EAA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F6EAA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F6EAA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F6EAA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F6EAA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F6EAA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F6EA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F6EA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F6EA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F6EA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F6EA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F6EA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F6EA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F6EA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F6EAA"/>
    <w:rPr>
      <w:sz w:val="16"/>
    </w:rPr>
  </w:style>
  <w:style w:type="table" w:customStyle="1" w:styleId="CFlag">
    <w:name w:val="CFlag"/>
    <w:basedOn w:val="TableNormal"/>
    <w:uiPriority w:val="99"/>
    <w:rsid w:val="00FF6EAA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6E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E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F6EAA"/>
    <w:rPr>
      <w:color w:val="0000FF"/>
      <w:u w:val="single"/>
    </w:rPr>
  </w:style>
  <w:style w:type="table" w:styleId="TableGrid">
    <w:name w:val="Table Grid"/>
    <w:basedOn w:val="TableNormal"/>
    <w:uiPriority w:val="59"/>
    <w:rsid w:val="00FF6E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FF6EAA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FF6EAA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FF6EA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F6E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FF6EA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F6EA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F6EAA"/>
    <w:rPr>
      <w:b/>
      <w:sz w:val="28"/>
      <w:szCs w:val="28"/>
    </w:rPr>
  </w:style>
  <w:style w:type="paragraph" w:customStyle="1" w:styleId="ENotesHeading1">
    <w:name w:val="ENotesHeading 1"/>
    <w:aliases w:val="Enh1"/>
    <w:basedOn w:val="OPCParaBase"/>
    <w:next w:val="Normal"/>
    <w:rsid w:val="00FF6EA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F6EAA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FF6EAA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basedOn w:val="OPCParaBase"/>
    <w:next w:val="Normal"/>
    <w:rsid w:val="00FF6EAA"/>
  </w:style>
  <w:style w:type="paragraph" w:customStyle="1" w:styleId="CompiledActNo">
    <w:name w:val="CompiledActNo"/>
    <w:basedOn w:val="OPCParaBase"/>
    <w:next w:val="Normal"/>
    <w:rsid w:val="00FF6EA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F6EA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F6EA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SubPartCASA">
    <w:name w:val="SubPart(CASA)"/>
    <w:aliases w:val="csp"/>
    <w:basedOn w:val="OPCParaBase"/>
    <w:next w:val="ActHead3"/>
    <w:rsid w:val="00FF6EAA"/>
    <w:pPr>
      <w:keepNext/>
      <w:keepLines/>
      <w:spacing w:before="280"/>
      <w:outlineLvl w:val="1"/>
    </w:pPr>
    <w:rPr>
      <w:b/>
      <w:kern w:val="28"/>
      <w:sz w:val="32"/>
    </w:rPr>
  </w:style>
  <w:style w:type="paragraph" w:styleId="BlockText">
    <w:name w:val="Block Text"/>
    <w:basedOn w:val="Normal"/>
    <w:rsid w:val="003D5451"/>
    <w:pPr>
      <w:spacing w:after="120"/>
      <w:ind w:left="1440" w:right="1440"/>
    </w:pPr>
  </w:style>
  <w:style w:type="paragraph" w:customStyle="1" w:styleId="TableHeading">
    <w:name w:val="TableHeading"/>
    <w:aliases w:val="th"/>
    <w:basedOn w:val="OPCParaBase"/>
    <w:next w:val="Tabletext"/>
    <w:rsid w:val="00FF6EAA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FF6EAA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FF6EA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F6EA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FF6EA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F6EA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FF6EA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F6EAA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FF6EA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F6EA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F6EAA"/>
    <w:pPr>
      <w:spacing w:before="24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F6EAA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F6EAA"/>
  </w:style>
  <w:style w:type="paragraph" w:customStyle="1" w:styleId="OPCParaBase">
    <w:name w:val="OPCParaBase"/>
    <w:qFormat/>
    <w:rsid w:val="00FF6EA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F6EA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F6EA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F6EA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F6EA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F6EA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F6EA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F6EA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F6EA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F6EA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F6EA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F6EAA"/>
  </w:style>
  <w:style w:type="paragraph" w:customStyle="1" w:styleId="Blocks">
    <w:name w:val="Blocks"/>
    <w:aliases w:val="bb"/>
    <w:basedOn w:val="OPCParaBase"/>
    <w:qFormat/>
    <w:rsid w:val="00FF6EA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F6E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F6EA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F6EAA"/>
    <w:rPr>
      <w:i/>
    </w:rPr>
  </w:style>
  <w:style w:type="paragraph" w:customStyle="1" w:styleId="BoxList">
    <w:name w:val="BoxList"/>
    <w:aliases w:val="bl"/>
    <w:basedOn w:val="BoxText"/>
    <w:qFormat/>
    <w:rsid w:val="00FF6EA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F6EA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F6EA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F6EAA"/>
    <w:pPr>
      <w:ind w:left="1985" w:hanging="851"/>
    </w:pPr>
  </w:style>
  <w:style w:type="character" w:customStyle="1" w:styleId="CharAmPartNo">
    <w:name w:val="CharAmPartNo"/>
    <w:basedOn w:val="OPCCharBase"/>
    <w:qFormat/>
    <w:rsid w:val="00FF6EAA"/>
  </w:style>
  <w:style w:type="character" w:customStyle="1" w:styleId="CharAmPartText">
    <w:name w:val="CharAmPartText"/>
    <w:basedOn w:val="OPCCharBase"/>
    <w:qFormat/>
    <w:rsid w:val="00FF6EAA"/>
  </w:style>
  <w:style w:type="character" w:customStyle="1" w:styleId="CharAmSchNo">
    <w:name w:val="CharAmSchNo"/>
    <w:basedOn w:val="OPCCharBase"/>
    <w:qFormat/>
    <w:rsid w:val="00FF6EAA"/>
  </w:style>
  <w:style w:type="character" w:customStyle="1" w:styleId="CharAmSchText">
    <w:name w:val="CharAmSchText"/>
    <w:basedOn w:val="OPCCharBase"/>
    <w:qFormat/>
    <w:rsid w:val="00FF6EAA"/>
  </w:style>
  <w:style w:type="character" w:customStyle="1" w:styleId="CharBoldItalic">
    <w:name w:val="CharBoldItalic"/>
    <w:basedOn w:val="OPCCharBase"/>
    <w:uiPriority w:val="1"/>
    <w:qFormat/>
    <w:rsid w:val="00FF6EAA"/>
    <w:rPr>
      <w:b/>
      <w:i/>
    </w:rPr>
  </w:style>
  <w:style w:type="character" w:customStyle="1" w:styleId="CharChapNo">
    <w:name w:val="CharChapNo"/>
    <w:basedOn w:val="OPCCharBase"/>
    <w:uiPriority w:val="1"/>
    <w:qFormat/>
    <w:rsid w:val="00FF6EAA"/>
  </w:style>
  <w:style w:type="character" w:customStyle="1" w:styleId="CharChapText">
    <w:name w:val="CharChapText"/>
    <w:basedOn w:val="OPCCharBase"/>
    <w:uiPriority w:val="1"/>
    <w:qFormat/>
    <w:rsid w:val="00FF6EAA"/>
  </w:style>
  <w:style w:type="character" w:customStyle="1" w:styleId="CharDivNo">
    <w:name w:val="CharDivNo"/>
    <w:basedOn w:val="OPCCharBase"/>
    <w:uiPriority w:val="1"/>
    <w:qFormat/>
    <w:rsid w:val="00FF6EAA"/>
  </w:style>
  <w:style w:type="character" w:customStyle="1" w:styleId="CharDivText">
    <w:name w:val="CharDivText"/>
    <w:basedOn w:val="OPCCharBase"/>
    <w:uiPriority w:val="1"/>
    <w:qFormat/>
    <w:rsid w:val="00FF6EAA"/>
  </w:style>
  <w:style w:type="character" w:customStyle="1" w:styleId="CharItalic">
    <w:name w:val="CharItalic"/>
    <w:basedOn w:val="OPCCharBase"/>
    <w:uiPriority w:val="1"/>
    <w:qFormat/>
    <w:rsid w:val="00FF6EAA"/>
    <w:rPr>
      <w:i/>
    </w:rPr>
  </w:style>
  <w:style w:type="character" w:customStyle="1" w:styleId="CharPartNo">
    <w:name w:val="CharPartNo"/>
    <w:basedOn w:val="OPCCharBase"/>
    <w:uiPriority w:val="1"/>
    <w:qFormat/>
    <w:rsid w:val="00FF6EAA"/>
  </w:style>
  <w:style w:type="character" w:customStyle="1" w:styleId="CharPartText">
    <w:name w:val="CharPartText"/>
    <w:basedOn w:val="OPCCharBase"/>
    <w:uiPriority w:val="1"/>
    <w:qFormat/>
    <w:rsid w:val="00FF6EAA"/>
  </w:style>
  <w:style w:type="character" w:customStyle="1" w:styleId="CharSectno">
    <w:name w:val="CharSectno"/>
    <w:basedOn w:val="OPCCharBase"/>
    <w:qFormat/>
    <w:rsid w:val="00FF6EAA"/>
  </w:style>
  <w:style w:type="character" w:customStyle="1" w:styleId="CharSubdNo">
    <w:name w:val="CharSubdNo"/>
    <w:basedOn w:val="OPCCharBase"/>
    <w:uiPriority w:val="1"/>
    <w:qFormat/>
    <w:rsid w:val="00FF6EAA"/>
  </w:style>
  <w:style w:type="character" w:customStyle="1" w:styleId="CharSubdText">
    <w:name w:val="CharSubdText"/>
    <w:basedOn w:val="OPCCharBase"/>
    <w:uiPriority w:val="1"/>
    <w:qFormat/>
    <w:rsid w:val="00FF6EAA"/>
  </w:style>
  <w:style w:type="paragraph" w:customStyle="1" w:styleId="CTA--">
    <w:name w:val="CTA --"/>
    <w:basedOn w:val="OPCParaBase"/>
    <w:next w:val="Normal"/>
    <w:rsid w:val="00FF6EA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F6EA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F6EA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F6EA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F6EA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F6EA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F6EA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F6EA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F6EA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F6EA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F6EA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F6EA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F6EA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F6EA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FF6EA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F6EA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F6EA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F6EA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F6EA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F6EA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F6EA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F6EA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F6EA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F6EA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F6EA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F6EA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F6EA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F6EA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F6EA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F6EA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F6EA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FF6EAA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FF6EA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F6EA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F6EA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F6EA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F6EA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F6EA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F6EA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F6EA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F6EA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F6EA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F6EA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F6EA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F6EA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F6EA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F6EA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F6EA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F6EA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F6EA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F6EA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F6EA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F6E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F6EA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F6EA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F6EA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F6EAA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F6EAA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F6EAA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F6EAA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F6EAA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F6EAA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F6EAA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F6EAA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F6EAA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F6EA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F6EA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F6EA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F6EA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F6EA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F6EA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F6EA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F6EA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F6EAA"/>
    <w:rPr>
      <w:sz w:val="16"/>
    </w:rPr>
  </w:style>
  <w:style w:type="table" w:customStyle="1" w:styleId="CFlag">
    <w:name w:val="CFlag"/>
    <w:basedOn w:val="TableNormal"/>
    <w:uiPriority w:val="99"/>
    <w:rsid w:val="00FF6EAA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6E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E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F6EAA"/>
    <w:rPr>
      <w:color w:val="0000FF"/>
      <w:u w:val="single"/>
    </w:rPr>
  </w:style>
  <w:style w:type="table" w:styleId="TableGrid">
    <w:name w:val="Table Grid"/>
    <w:basedOn w:val="TableNormal"/>
    <w:uiPriority w:val="59"/>
    <w:rsid w:val="00FF6E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FF6EAA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FF6EAA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FF6EA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F6E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FF6EA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F6EA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F6EAA"/>
    <w:rPr>
      <w:b/>
      <w:sz w:val="28"/>
      <w:szCs w:val="28"/>
    </w:rPr>
  </w:style>
  <w:style w:type="paragraph" w:customStyle="1" w:styleId="ENotesHeading1">
    <w:name w:val="ENotesHeading 1"/>
    <w:aliases w:val="Enh1"/>
    <w:basedOn w:val="OPCParaBase"/>
    <w:next w:val="Normal"/>
    <w:rsid w:val="00FF6EA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F6EAA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FF6EAA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basedOn w:val="OPCParaBase"/>
    <w:next w:val="Normal"/>
    <w:rsid w:val="00FF6EAA"/>
  </w:style>
  <w:style w:type="paragraph" w:customStyle="1" w:styleId="CompiledActNo">
    <w:name w:val="CompiledActNo"/>
    <w:basedOn w:val="OPCParaBase"/>
    <w:next w:val="Normal"/>
    <w:rsid w:val="00FF6EA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F6EA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F6EA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SubPartCASA">
    <w:name w:val="SubPart(CASA)"/>
    <w:aliases w:val="csp"/>
    <w:basedOn w:val="OPCParaBase"/>
    <w:next w:val="ActHead3"/>
    <w:rsid w:val="00FF6EAA"/>
    <w:pPr>
      <w:keepNext/>
      <w:keepLines/>
      <w:spacing w:before="280"/>
      <w:outlineLvl w:val="1"/>
    </w:pPr>
    <w:rPr>
      <w:b/>
      <w:kern w:val="28"/>
      <w:sz w:val="32"/>
    </w:rPr>
  </w:style>
  <w:style w:type="paragraph" w:styleId="BlockText">
    <w:name w:val="Block Text"/>
    <w:basedOn w:val="Normal"/>
    <w:rsid w:val="003D5451"/>
    <w:pPr>
      <w:spacing w:after="120"/>
      <w:ind w:left="1440" w:right="1440"/>
    </w:pPr>
  </w:style>
  <w:style w:type="paragraph" w:customStyle="1" w:styleId="TableHeading">
    <w:name w:val="TableHeading"/>
    <w:aliases w:val="th"/>
    <w:basedOn w:val="OPCParaBase"/>
    <w:next w:val="Tabletext"/>
    <w:rsid w:val="00FF6EAA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FF6EAA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FF6EA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F6EA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FF6EA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F6EA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FF6EA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F6EAA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FF6EA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F6EA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F6EAA"/>
    <w:pPr>
      <w:spacing w:before="24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1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A2920-9BA7-416F-AB15-C8847D3AD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18</Pages>
  <Words>2901</Words>
  <Characters>16539</Characters>
  <Application>Microsoft Office Word</Application>
  <DocSecurity>0</DocSecurity>
  <PresentationFormat/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Carbon Credits (Carbon Farming Initiative) Amendment Regulation 2013 (No. 1)</vt:lpstr>
    </vt:vector>
  </TitlesOfParts>
  <Manager/>
  <Company/>
  <LinksUpToDate>false</LinksUpToDate>
  <CharactersWithSpaces>19402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2013-05-13T23:52:00Z</dcterms:created>
  <dcterms:modified xsi:type="dcterms:W3CDTF">2013-05-14T05:14:00Z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Carbon Credits (Carbon Farming Initiative) Amendment Regulation 2013 (No. 1)</vt:lpwstr>
  </property>
  <property fmtid="{D5CDD505-2E9C-101B-9397-08002B2CF9AE}" pid="3" name="Class">
    <vt:lpwstr>Regulation</vt:lpwstr>
  </property>
  <property fmtid="{D5CDD505-2E9C-101B-9397-08002B2CF9AE}" pid="4" name="Type">
    <vt:lpwstr>SLI</vt:lpwstr>
  </property>
  <property fmtid="{D5CDD505-2E9C-101B-9397-08002B2CF9AE}" pid="5" name="DocType">
    <vt:lpwstr>AMD</vt:lpwstr>
  </property>
  <property fmtid="{D5CDD505-2E9C-101B-9397-08002B2CF9AE}" pid="6" name="Header">
    <vt:lpwstr>Section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ID">
    <vt:lpwstr>OPC50204</vt:lpwstr>
  </property>
  <property fmtid="{D5CDD505-2E9C-101B-9397-08002B2CF9AE}" pid="10" name="ActMadeUnder">
    <vt:lpwstr/>
  </property>
  <property fmtid="{D5CDD505-2E9C-101B-9397-08002B2CF9AE}" pid="11" name="NonLegInst">
    <vt:lpwstr>0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CounterSign">
    <vt:lpwstr/>
  </property>
  <property fmtid="{D5CDD505-2E9C-101B-9397-08002B2CF9AE}" pid="16" name="ActNo">
    <vt:lpwstr>No. 77, 2013</vt:lpwstr>
  </property>
  <property fmtid="{D5CDD505-2E9C-101B-9397-08002B2CF9AE}" pid="17" name="ExcoDate">
    <vt:lpwstr>16 May 2013</vt:lpwstr>
  </property>
  <property fmtid="{D5CDD505-2E9C-101B-9397-08002B2CF9AE}" pid="18" name="DateMade">
    <vt:lpwstr>16 May 2013</vt:lpwstr>
  </property>
</Properties>
</file>