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D2D7B" w14:textId="77777777" w:rsidR="00F109D4" w:rsidRPr="00503E44" w:rsidRDefault="00F109D4" w:rsidP="00A12209">
      <w:pPr>
        <w:pStyle w:val="Heading1"/>
      </w:pPr>
      <w:r w:rsidRPr="00503E44">
        <w:t>EXPLANATORY STATEMENT</w:t>
      </w:r>
    </w:p>
    <w:p w14:paraId="6A76716B" w14:textId="77777777" w:rsidR="005833BE" w:rsidRDefault="005833BE" w:rsidP="005833BE">
      <w:pPr>
        <w:pStyle w:val="base-text-paragraph"/>
        <w:tabs>
          <w:tab w:val="clear" w:pos="1987"/>
        </w:tabs>
        <w:ind w:left="0"/>
        <w:rPr>
          <w:b/>
          <w:u w:val="single"/>
        </w:rPr>
      </w:pPr>
    </w:p>
    <w:p w14:paraId="115C543D" w14:textId="2940B9B7" w:rsidR="008F26C2" w:rsidRDefault="008F26C2" w:rsidP="008F26C2">
      <w:pPr>
        <w:pStyle w:val="base-text-paragraph"/>
        <w:tabs>
          <w:tab w:val="clear" w:pos="1987"/>
        </w:tabs>
        <w:ind w:left="0"/>
        <w:jc w:val="center"/>
        <w:rPr>
          <w:b/>
          <w:u w:val="single"/>
        </w:rPr>
      </w:pPr>
      <w:r>
        <w:rPr>
          <w:b/>
          <w:u w:val="single"/>
        </w:rPr>
        <w:t>Select Legislative Instrument 2013 No. 85</w:t>
      </w:r>
    </w:p>
    <w:p w14:paraId="5CEA01E1" w14:textId="77777777" w:rsidR="00F109D4" w:rsidRPr="008F26C2" w:rsidRDefault="00F109D4" w:rsidP="00A12209">
      <w:pPr>
        <w:pStyle w:val="Heading2"/>
        <w:rPr>
          <w:sz w:val="24"/>
          <w:szCs w:val="24"/>
        </w:rPr>
      </w:pPr>
      <w:r w:rsidRPr="008F26C2">
        <w:rPr>
          <w:sz w:val="24"/>
          <w:szCs w:val="24"/>
        </w:rPr>
        <w:t xml:space="preserve">Issued by authority of the </w:t>
      </w:r>
      <w:r w:rsidR="00672B99" w:rsidRPr="008F26C2">
        <w:rPr>
          <w:sz w:val="24"/>
          <w:szCs w:val="24"/>
        </w:rPr>
        <w:t>Minister for Financial Services and Superannuation</w:t>
      </w:r>
    </w:p>
    <w:p w14:paraId="1856FB78" w14:textId="77777777" w:rsidR="00F109D4" w:rsidRPr="00503E44" w:rsidRDefault="00956D27">
      <w:pPr>
        <w:jc w:val="center"/>
        <w:rPr>
          <w:i/>
        </w:rPr>
      </w:pPr>
      <w:r w:rsidRPr="00956D27">
        <w:rPr>
          <w:i/>
        </w:rPr>
        <w:t>National Consumer Credit Protection Act 2009</w:t>
      </w:r>
    </w:p>
    <w:p w14:paraId="5BF9DF31" w14:textId="00445EC9" w:rsidR="00F109D4" w:rsidRPr="00503E44" w:rsidRDefault="00956D27">
      <w:pPr>
        <w:tabs>
          <w:tab w:val="left" w:pos="1418"/>
        </w:tabs>
        <w:spacing w:after="240"/>
        <w:jc w:val="center"/>
        <w:rPr>
          <w:i/>
        </w:rPr>
      </w:pPr>
      <w:r w:rsidRPr="00956D27">
        <w:rPr>
          <w:i/>
        </w:rPr>
        <w:t>National Consumer Credit Protection Amendment Regulation 201</w:t>
      </w:r>
      <w:r w:rsidR="00D50F03">
        <w:rPr>
          <w:i/>
        </w:rPr>
        <w:t>3</w:t>
      </w:r>
      <w:r w:rsidRPr="00956D27">
        <w:rPr>
          <w:i/>
        </w:rPr>
        <w:t xml:space="preserve"> (No. </w:t>
      </w:r>
      <w:r w:rsidR="008F26C2">
        <w:rPr>
          <w:i/>
        </w:rPr>
        <w:t>2</w:t>
      </w:r>
      <w:r w:rsidRPr="00956D27">
        <w:rPr>
          <w:i/>
        </w:rPr>
        <w:t>)</w:t>
      </w:r>
    </w:p>
    <w:p w14:paraId="1BF44846" w14:textId="77777777" w:rsidR="00F109D4" w:rsidRDefault="00956D27">
      <w:r w:rsidRPr="00956D27">
        <w:t xml:space="preserve">Section 329 of the </w:t>
      </w:r>
      <w:r w:rsidRPr="00956D27">
        <w:rPr>
          <w:i/>
        </w:rPr>
        <w:t>National Consumer Credit Protection Act 2009</w:t>
      </w:r>
      <w:r w:rsidRPr="00956D27">
        <w:t xml:space="preserve"> (Credit Act) provides that the Governor-General may make regulations prescribing matters required or permitted by th</w:t>
      </w:r>
      <w:bookmarkStart w:id="0" w:name="_GoBack"/>
      <w:bookmarkEnd w:id="0"/>
      <w:r w:rsidRPr="00956D27">
        <w:t>e Credit Act to be prescribed, or necessary or convenient to be prescribed for carrying out or giving effect to the Credit Act.</w:t>
      </w:r>
    </w:p>
    <w:p w14:paraId="0585675F" w14:textId="77777777" w:rsidR="008607F4" w:rsidRDefault="008607F4" w:rsidP="008607F4">
      <w:pPr>
        <w:tabs>
          <w:tab w:val="left" w:pos="1701"/>
          <w:tab w:val="right" w:pos="9072"/>
        </w:tabs>
        <w:spacing w:line="240" w:lineRule="exact"/>
        <w:ind w:right="91"/>
      </w:pPr>
      <w:r w:rsidRPr="00907E47">
        <w:t xml:space="preserve">The </w:t>
      </w:r>
      <w:r w:rsidRPr="00907E47">
        <w:rPr>
          <w:i/>
        </w:rPr>
        <w:t>Consumer Credit Legislation Amendment (</w:t>
      </w:r>
      <w:r>
        <w:rPr>
          <w:i/>
        </w:rPr>
        <w:t>Enhancements</w:t>
      </w:r>
      <w:r w:rsidRPr="00907E47">
        <w:rPr>
          <w:i/>
        </w:rPr>
        <w:t xml:space="preserve">) </w:t>
      </w:r>
      <w:r>
        <w:rPr>
          <w:i/>
        </w:rPr>
        <w:t>Act</w:t>
      </w:r>
      <w:r w:rsidRPr="00907E47">
        <w:rPr>
          <w:i/>
        </w:rPr>
        <w:t xml:space="preserve"> 201</w:t>
      </w:r>
      <w:r>
        <w:rPr>
          <w:i/>
        </w:rPr>
        <w:t>2</w:t>
      </w:r>
      <w:r>
        <w:t xml:space="preserve"> (Credit Enhancements Act</w:t>
      </w:r>
      <w:r w:rsidRPr="00907E47">
        <w:t xml:space="preserve">) </w:t>
      </w:r>
      <w:r w:rsidR="0061367D">
        <w:t>amended</w:t>
      </w:r>
      <w:r w:rsidRPr="00907E47">
        <w:t xml:space="preserve"> the Credit Act </w:t>
      </w:r>
      <w:r>
        <w:t xml:space="preserve">(including the National Credit Code) </w:t>
      </w:r>
      <w:r w:rsidRPr="00907E47">
        <w:t xml:space="preserve">to introduce a number of reforms to the </w:t>
      </w:r>
      <w:r>
        <w:t>regulation of reverse mortgages</w:t>
      </w:r>
      <w:r w:rsidRPr="00907E47">
        <w:t xml:space="preserve">. </w:t>
      </w:r>
    </w:p>
    <w:p w14:paraId="69DB54FE" w14:textId="77777777" w:rsidR="008607F4" w:rsidRPr="00907E47" w:rsidRDefault="008607F4" w:rsidP="008607F4">
      <w:pPr>
        <w:tabs>
          <w:tab w:val="left" w:pos="1701"/>
          <w:tab w:val="right" w:pos="9072"/>
        </w:tabs>
        <w:spacing w:line="240" w:lineRule="exact"/>
        <w:ind w:right="91"/>
      </w:pPr>
      <w:r w:rsidRPr="00907E47">
        <w:t xml:space="preserve">The </w:t>
      </w:r>
      <w:r>
        <w:t xml:space="preserve">Regulation </w:t>
      </w:r>
      <w:r w:rsidRPr="00907E47">
        <w:t>amend</w:t>
      </w:r>
      <w:r w:rsidR="008463D8">
        <w:t>s</w:t>
      </w:r>
      <w:r w:rsidRPr="00907E47">
        <w:t xml:space="preserve"> the </w:t>
      </w:r>
      <w:r w:rsidRPr="00907E47">
        <w:rPr>
          <w:i/>
        </w:rPr>
        <w:t>National Consumer Credit Protection Regulations 2010</w:t>
      </w:r>
      <w:r w:rsidRPr="00907E47">
        <w:t xml:space="preserve"> (Principal Credit Regulations) to support the reforms introduced by the </w:t>
      </w:r>
      <w:r>
        <w:t>Credit Enhancements Act</w:t>
      </w:r>
      <w:r w:rsidRPr="00907E47">
        <w:t>.</w:t>
      </w:r>
    </w:p>
    <w:p w14:paraId="1E5877EE" w14:textId="41B3669D" w:rsidR="008607F4" w:rsidRDefault="008607F4" w:rsidP="008607F4">
      <w:pPr>
        <w:tabs>
          <w:tab w:val="left" w:pos="1701"/>
          <w:tab w:val="right" w:pos="9072"/>
        </w:tabs>
        <w:spacing w:line="240" w:lineRule="exact"/>
        <w:ind w:right="91"/>
      </w:pPr>
      <w:r>
        <w:t>Specifically, the</w:t>
      </w:r>
      <w:r w:rsidR="00335CB0">
        <w:t xml:space="preserve"> </w:t>
      </w:r>
      <w:r>
        <w:t>Regulation:</w:t>
      </w:r>
    </w:p>
    <w:p w14:paraId="42FDAF44" w14:textId="77777777" w:rsidR="008607F4" w:rsidRDefault="008607F4" w:rsidP="00B314CF">
      <w:pPr>
        <w:pStyle w:val="Bullet"/>
      </w:pPr>
      <w:r>
        <w:t>introduce</w:t>
      </w:r>
      <w:r w:rsidR="00494A49">
        <w:t>s</w:t>
      </w:r>
      <w:r>
        <w:t xml:space="preserve"> additional responsible lending obligations so that </w:t>
      </w:r>
      <w:r w:rsidR="00C80CE6">
        <w:t xml:space="preserve">a </w:t>
      </w:r>
      <w:r>
        <w:t>credit licensee</w:t>
      </w:r>
      <w:r w:rsidR="00C80CE6">
        <w:t>’</w:t>
      </w:r>
      <w:r>
        <w:t>s assessment of whether or not a reverse mortgage is unsuitable must include reasonable inquiries about the borrower</w:t>
      </w:r>
      <w:r w:rsidR="00C80CE6">
        <w:t>’</w:t>
      </w:r>
      <w:r>
        <w:t>s potential future needs;</w:t>
      </w:r>
    </w:p>
    <w:p w14:paraId="19399A53" w14:textId="77777777" w:rsidR="008607F4" w:rsidRDefault="008607F4" w:rsidP="00B314CF">
      <w:pPr>
        <w:pStyle w:val="Bullet"/>
      </w:pPr>
      <w:r>
        <w:t>introduce</w:t>
      </w:r>
      <w:r w:rsidR="00494A49">
        <w:t>s</w:t>
      </w:r>
      <w:r>
        <w:t xml:space="preserve"> a presumption that a reverse mortgage is unsuitable if it involves a loan to value ratio </w:t>
      </w:r>
      <w:r w:rsidR="00825312">
        <w:t xml:space="preserve">(calculated by dividing the amount of credit owed under the credit contract for the reverse mortgage by the value of the reverse mortgaged property x 100) </w:t>
      </w:r>
      <w:r>
        <w:t>above those prescribed (depending upon the borrower’s age);</w:t>
      </w:r>
    </w:p>
    <w:p w14:paraId="51E214BA" w14:textId="77777777" w:rsidR="008607F4" w:rsidRDefault="008607F4" w:rsidP="00B314CF">
      <w:pPr>
        <w:pStyle w:val="Bullet"/>
      </w:pPr>
      <w:r>
        <w:t>prescribe</w:t>
      </w:r>
      <w:r w:rsidR="00494A49">
        <w:t>s</w:t>
      </w:r>
      <w:r>
        <w:t xml:space="preserve"> the methods </w:t>
      </w:r>
      <w:r w:rsidR="004175D8">
        <w:t xml:space="preserve">via </w:t>
      </w:r>
      <w:r>
        <w:t xml:space="preserve">which credit licensees can provide a consumer with the </w:t>
      </w:r>
      <w:r w:rsidR="00FE59ED">
        <w:t>projections of their home equity</w:t>
      </w:r>
      <w:r>
        <w:t>;</w:t>
      </w:r>
    </w:p>
    <w:p w14:paraId="694214B6" w14:textId="77777777" w:rsidR="008607F4" w:rsidRDefault="008607F4" w:rsidP="00B314CF">
      <w:pPr>
        <w:pStyle w:val="Bullet"/>
      </w:pPr>
      <w:r>
        <w:t>prescribe</w:t>
      </w:r>
      <w:r w:rsidR="00494A49">
        <w:t>s</w:t>
      </w:r>
      <w:r>
        <w:t xml:space="preserve"> the reverse mortgage information statement</w:t>
      </w:r>
      <w:r w:rsidR="00AA6793">
        <w:t xml:space="preserve"> (w</w:t>
      </w:r>
      <w:r w:rsidR="00AA6793" w:rsidRPr="00096C4E">
        <w:t>hich must be given to all consumers before the licensee makes a preliminary assessment in connection</w:t>
      </w:r>
      <w:r w:rsidR="00E40CE8">
        <w:t xml:space="preserve"> with</w:t>
      </w:r>
      <w:r w:rsidR="00AA6793" w:rsidRPr="00096C4E">
        <w:t xml:space="preserve"> a reverse mortgage</w:t>
      </w:r>
      <w:r w:rsidR="00AA6793">
        <w:t>)</w:t>
      </w:r>
      <w:r>
        <w:t>;</w:t>
      </w:r>
    </w:p>
    <w:p w14:paraId="27216E99" w14:textId="77777777" w:rsidR="008607F4" w:rsidRDefault="00AF73F2" w:rsidP="00B314CF">
      <w:pPr>
        <w:pStyle w:val="Bullet"/>
      </w:pPr>
      <w:r>
        <w:t>prescribes the form of disclosure that must be given to a borrower if a credit contract for a reverse mortgage does not provide protections for persons who are not borrowers to reside in the mortgaged property</w:t>
      </w:r>
      <w:r w:rsidR="008607F4">
        <w:t>;</w:t>
      </w:r>
      <w:r w:rsidR="004B5049">
        <w:t xml:space="preserve"> and</w:t>
      </w:r>
    </w:p>
    <w:p w14:paraId="489CAD50" w14:textId="77777777" w:rsidR="008607F4" w:rsidRDefault="008607F4" w:rsidP="00B314CF">
      <w:pPr>
        <w:pStyle w:val="Bullet"/>
      </w:pPr>
      <w:r>
        <w:t>prescribe</w:t>
      </w:r>
      <w:r w:rsidR="00494A49">
        <w:t>s</w:t>
      </w:r>
      <w:r>
        <w:t xml:space="preserve"> how credit providers must keep records of nomination and withdraws of a borrower</w:t>
      </w:r>
      <w:r w:rsidR="00C9552D">
        <w:t>’</w:t>
      </w:r>
      <w:r>
        <w:t>s consent for a person to reside in the mortgaged property.</w:t>
      </w:r>
    </w:p>
    <w:p w14:paraId="3DB1A5B6" w14:textId="77777777" w:rsidR="00956D27" w:rsidRDefault="00956D27" w:rsidP="001B6086">
      <w:pPr>
        <w:ind w:left="720" w:hanging="720"/>
      </w:pPr>
      <w:r>
        <w:t xml:space="preserve">Details of the Regulation </w:t>
      </w:r>
      <w:r w:rsidR="0060712C">
        <w:t>are</w:t>
      </w:r>
      <w:r w:rsidR="002451CB">
        <w:t xml:space="preserve"> set out in</w:t>
      </w:r>
      <w:r>
        <w:t xml:space="preserve"> </w:t>
      </w:r>
      <w:r w:rsidRPr="00956D27">
        <w:rPr>
          <w:u w:val="single"/>
        </w:rPr>
        <w:t>Attachment</w:t>
      </w:r>
      <w:r w:rsidR="002451CB">
        <w:rPr>
          <w:u w:val="single"/>
        </w:rPr>
        <w:t xml:space="preserve"> A</w:t>
      </w:r>
      <w:r>
        <w:t>.</w:t>
      </w:r>
    </w:p>
    <w:p w14:paraId="632F142D" w14:textId="77777777" w:rsidR="00956D27" w:rsidRDefault="0060712C" w:rsidP="00956D27">
      <w:r>
        <w:t>The Regulation</w:t>
      </w:r>
      <w:r w:rsidR="00956D27">
        <w:t xml:space="preserve"> </w:t>
      </w:r>
      <w:r>
        <w:t>is</w:t>
      </w:r>
      <w:r w:rsidR="00956D27">
        <w:t xml:space="preserve"> a legislative instrument for the purposes of the </w:t>
      </w:r>
      <w:r w:rsidR="00956D27">
        <w:rPr>
          <w:i/>
        </w:rPr>
        <w:t>Legislative </w:t>
      </w:r>
      <w:r w:rsidR="00956D27" w:rsidRPr="00956D27">
        <w:rPr>
          <w:i/>
        </w:rPr>
        <w:t>Instruments Act 2003</w:t>
      </w:r>
      <w:r w:rsidR="00956D27">
        <w:t>.</w:t>
      </w:r>
    </w:p>
    <w:p w14:paraId="2025F31E" w14:textId="77777777" w:rsidR="0026579A" w:rsidRPr="00EA3932" w:rsidRDefault="00EA3932" w:rsidP="00956D27">
      <w:r w:rsidRPr="00EA3932">
        <w:t xml:space="preserve">The Credit Act does not </w:t>
      </w:r>
      <w:r>
        <w:t>specify any conditions that need to be satisfied before the power to make the Regulation</w:t>
      </w:r>
      <w:r w:rsidR="00090141">
        <w:t xml:space="preserve"> may be ex</w:t>
      </w:r>
      <w:r w:rsidR="00A9021F">
        <w:t>ercised.</w:t>
      </w:r>
    </w:p>
    <w:p w14:paraId="6AEC8789" w14:textId="77777777" w:rsidR="00FF5367" w:rsidRDefault="0060712C" w:rsidP="00FF5367">
      <w:r w:rsidRPr="00D46F02">
        <w:lastRenderedPageBreak/>
        <w:t>The Regulation</w:t>
      </w:r>
      <w:r w:rsidR="004E759D" w:rsidRPr="00D46F02">
        <w:t xml:space="preserve"> </w:t>
      </w:r>
      <w:r w:rsidR="00D46F02">
        <w:t>was subject to target</w:t>
      </w:r>
      <w:r w:rsidR="00B42756">
        <w:t>ed</w:t>
      </w:r>
      <w:r w:rsidR="00D46F02">
        <w:t xml:space="preserve"> industry consultation </w:t>
      </w:r>
      <w:r w:rsidR="00B42756">
        <w:t xml:space="preserve">during December 2012 </w:t>
      </w:r>
      <w:r w:rsidR="00D46F02">
        <w:t>via the Equity Release Consultation Working Group.  This group is convened by the Department of the Treasury, and comprised of representatives from reverse mortgage lenders, legal, seniors and consumer advocate groups and the reverse mortgage industry body SEQUAL.</w:t>
      </w:r>
      <w:r w:rsidR="00FF5367">
        <w:t xml:space="preserve"> C</w:t>
      </w:r>
      <w:r w:rsidR="0041709D">
        <w:t xml:space="preserve">hanges were made to the </w:t>
      </w:r>
      <w:r w:rsidR="00E53DD7">
        <w:t>unsuitability presumption to give greater flexibility to credit providers. Changes were also made</w:t>
      </w:r>
      <w:r w:rsidR="00FF5367">
        <w:t xml:space="preserve"> to the </w:t>
      </w:r>
      <w:r w:rsidR="00E53DD7">
        <w:t>information statement</w:t>
      </w:r>
      <w:r w:rsidR="00BE428C">
        <w:t xml:space="preserve">, simplifying </w:t>
      </w:r>
      <w:r w:rsidR="009C1F9F">
        <w:t xml:space="preserve">its readability while </w:t>
      </w:r>
      <w:r w:rsidR="00BE428C">
        <w:t>ensuring</w:t>
      </w:r>
      <w:r w:rsidR="009C1F9F">
        <w:t xml:space="preserve"> it remains</w:t>
      </w:r>
      <w:r w:rsidR="00FF5367">
        <w:t xml:space="preserve"> technically accurate and effective.</w:t>
      </w:r>
    </w:p>
    <w:p w14:paraId="0F18711C" w14:textId="77777777" w:rsidR="00CD0908" w:rsidRPr="00A72E1C" w:rsidRDefault="00CD0908" w:rsidP="00956D27">
      <w:r w:rsidRPr="00A72E1C">
        <w:t xml:space="preserve">The </w:t>
      </w:r>
      <w:r w:rsidR="00FB5F17" w:rsidRPr="00A72E1C">
        <w:t xml:space="preserve">provision </w:t>
      </w:r>
      <w:r w:rsidR="003A7E88" w:rsidRPr="00A72E1C">
        <w:t>which prescribes the methods via which credit licensees can provide a consumer with projections of home equity</w:t>
      </w:r>
      <w:r w:rsidR="007E6941">
        <w:t xml:space="preserve"> commence</w:t>
      </w:r>
      <w:r w:rsidR="003D2408" w:rsidRPr="00A72E1C">
        <w:t xml:space="preserve"> the</w:t>
      </w:r>
      <w:r w:rsidR="00C2277D" w:rsidRPr="00A72E1C">
        <w:t xml:space="preserve"> day following</w:t>
      </w:r>
      <w:r w:rsidR="003A7E88" w:rsidRPr="00A72E1C">
        <w:t xml:space="preserve"> </w:t>
      </w:r>
      <w:r w:rsidR="00B67C6B" w:rsidRPr="00A72E1C">
        <w:t>r</w:t>
      </w:r>
      <w:r w:rsidR="003A7E88" w:rsidRPr="00A72E1C">
        <w:t>egistration.</w:t>
      </w:r>
    </w:p>
    <w:p w14:paraId="37B7E6A9" w14:textId="77777777" w:rsidR="00956D27" w:rsidRDefault="001929CC" w:rsidP="00657A3A">
      <w:r w:rsidRPr="00A72E1C">
        <w:t>The</w:t>
      </w:r>
      <w:r w:rsidR="00CD0908" w:rsidRPr="00A72E1C">
        <w:t xml:space="preserve"> </w:t>
      </w:r>
      <w:r w:rsidR="003A7E88" w:rsidRPr="00A72E1C">
        <w:t xml:space="preserve">remaining </w:t>
      </w:r>
      <w:r w:rsidR="00FB5F17" w:rsidRPr="00A72E1C">
        <w:t xml:space="preserve">provisions </w:t>
      </w:r>
      <w:r w:rsidR="00E40CE8">
        <w:t>commence</w:t>
      </w:r>
      <w:r w:rsidR="00EA42FA" w:rsidRPr="00A72E1C">
        <w:t xml:space="preserve"> on 1 June</w:t>
      </w:r>
      <w:r w:rsidRPr="00A72E1C">
        <w:t> 2013.</w:t>
      </w:r>
      <w:r w:rsidR="00956D27">
        <w:br w:type="page"/>
      </w:r>
    </w:p>
    <w:p w14:paraId="2518B0AC" w14:textId="77777777" w:rsidR="00956D27" w:rsidRPr="00956D27" w:rsidRDefault="00956D27" w:rsidP="00956D27">
      <w:pPr>
        <w:autoSpaceDE w:val="0"/>
        <w:autoSpaceDN w:val="0"/>
        <w:adjustRightInd w:val="0"/>
        <w:spacing w:before="0" w:after="240"/>
        <w:jc w:val="right"/>
        <w:rPr>
          <w:u w:val="single"/>
        </w:rPr>
      </w:pPr>
      <w:r w:rsidRPr="00956D27">
        <w:rPr>
          <w:b/>
          <w:u w:val="single"/>
        </w:rPr>
        <w:lastRenderedPageBreak/>
        <w:t>ATTACHMENT</w:t>
      </w:r>
    </w:p>
    <w:p w14:paraId="3F3E70B4" w14:textId="24AEE50A" w:rsidR="00956D27" w:rsidRPr="00956D27" w:rsidRDefault="00956D27" w:rsidP="00956D27">
      <w:pPr>
        <w:spacing w:before="0" w:after="240"/>
        <w:ind w:right="91"/>
        <w:rPr>
          <w:b/>
          <w:bCs/>
          <w:i/>
          <w:u w:val="single"/>
        </w:rPr>
      </w:pPr>
      <w:r w:rsidRPr="00956D27">
        <w:rPr>
          <w:b/>
          <w:bCs/>
          <w:u w:val="single"/>
        </w:rPr>
        <w:t xml:space="preserve">Details of the </w:t>
      </w:r>
      <w:r w:rsidRPr="00956D27">
        <w:rPr>
          <w:b/>
          <w:bCs/>
          <w:i/>
          <w:u w:val="single"/>
        </w:rPr>
        <w:t>National Consumer Credit Prot</w:t>
      </w:r>
      <w:r w:rsidR="00F11AFE">
        <w:rPr>
          <w:b/>
          <w:bCs/>
          <w:i/>
          <w:u w:val="single"/>
        </w:rPr>
        <w:t>ection Amendment Regulation 2013</w:t>
      </w:r>
      <w:r w:rsidR="008F26C2">
        <w:rPr>
          <w:b/>
          <w:bCs/>
          <w:i/>
          <w:u w:val="single"/>
        </w:rPr>
        <w:t xml:space="preserve"> (No. 2</w:t>
      </w:r>
      <w:r w:rsidRPr="00956D27">
        <w:rPr>
          <w:b/>
          <w:bCs/>
          <w:i/>
          <w:u w:val="single"/>
        </w:rPr>
        <w:t>)</w:t>
      </w:r>
    </w:p>
    <w:p w14:paraId="59768866" w14:textId="77777777" w:rsidR="00956D27" w:rsidRPr="00956D27" w:rsidRDefault="00956D27" w:rsidP="00956D27">
      <w:pPr>
        <w:autoSpaceDE w:val="0"/>
        <w:autoSpaceDN w:val="0"/>
        <w:adjustRightInd w:val="0"/>
        <w:spacing w:before="0" w:after="240"/>
        <w:rPr>
          <w:u w:val="single"/>
        </w:rPr>
      </w:pPr>
      <w:r w:rsidRPr="00956D27">
        <w:rPr>
          <w:u w:val="single"/>
        </w:rPr>
        <w:t>Section 1 – Name of Regulation</w:t>
      </w:r>
    </w:p>
    <w:p w14:paraId="335B972F" w14:textId="3F021C21" w:rsidR="00956D27" w:rsidRPr="00956D27" w:rsidRDefault="00956D27" w:rsidP="00956D27">
      <w:pPr>
        <w:autoSpaceDE w:val="0"/>
        <w:autoSpaceDN w:val="0"/>
        <w:adjustRightInd w:val="0"/>
        <w:spacing w:before="0" w:after="240"/>
      </w:pPr>
      <w:r w:rsidRPr="00956D27">
        <w:t>This section provide</w:t>
      </w:r>
      <w:r w:rsidR="00A15300">
        <w:t>s</w:t>
      </w:r>
      <w:r w:rsidRPr="00956D27">
        <w:t xml:space="preserve"> that the </w:t>
      </w:r>
      <w:r w:rsidR="00A15300" w:rsidRPr="00956D27">
        <w:t xml:space="preserve">name of the Regulation </w:t>
      </w:r>
      <w:r w:rsidR="00A15300">
        <w:t xml:space="preserve">is </w:t>
      </w:r>
      <w:r w:rsidRPr="00956D27">
        <w:t xml:space="preserve">the </w:t>
      </w:r>
      <w:r w:rsidRPr="00956D27">
        <w:rPr>
          <w:i/>
        </w:rPr>
        <w:t>National Consumer Credit Prot</w:t>
      </w:r>
      <w:r w:rsidR="00B727FD">
        <w:rPr>
          <w:i/>
        </w:rPr>
        <w:t>ection Amendment Regulation 2013</w:t>
      </w:r>
      <w:r w:rsidR="008F26C2">
        <w:rPr>
          <w:i/>
        </w:rPr>
        <w:t xml:space="preserve"> (No. 2</w:t>
      </w:r>
      <w:r w:rsidRPr="00956D27">
        <w:rPr>
          <w:i/>
        </w:rPr>
        <w:t>)</w:t>
      </w:r>
      <w:r w:rsidRPr="00956D27">
        <w:t>.</w:t>
      </w:r>
    </w:p>
    <w:p w14:paraId="5BC3AFA7" w14:textId="77777777" w:rsidR="00956D27" w:rsidRPr="00956D27" w:rsidRDefault="00956D27" w:rsidP="00956D27">
      <w:pPr>
        <w:autoSpaceDE w:val="0"/>
        <w:autoSpaceDN w:val="0"/>
        <w:adjustRightInd w:val="0"/>
        <w:spacing w:before="0" w:after="240"/>
        <w:rPr>
          <w:u w:val="single"/>
        </w:rPr>
      </w:pPr>
      <w:r w:rsidRPr="00956D27">
        <w:rPr>
          <w:u w:val="single"/>
        </w:rPr>
        <w:t>Section 2 – Commencement</w:t>
      </w:r>
    </w:p>
    <w:p w14:paraId="7D3681BD" w14:textId="77777777" w:rsidR="00956D27" w:rsidRDefault="00956D27" w:rsidP="00956D27">
      <w:pPr>
        <w:autoSpaceDE w:val="0"/>
        <w:autoSpaceDN w:val="0"/>
        <w:adjustRightInd w:val="0"/>
        <w:spacing w:before="0" w:after="240"/>
      </w:pPr>
      <w:r w:rsidRPr="00C95396">
        <w:t>This section provide</w:t>
      </w:r>
      <w:r w:rsidR="00A15300" w:rsidRPr="00C95396">
        <w:t>s</w:t>
      </w:r>
      <w:r w:rsidRPr="00C95396">
        <w:t xml:space="preserve"> that the</w:t>
      </w:r>
      <w:r w:rsidR="00B67C6B">
        <w:t xml:space="preserve"> provisions of the</w:t>
      </w:r>
      <w:r w:rsidRPr="00C95396">
        <w:t xml:space="preserve"> Regulation commence</w:t>
      </w:r>
      <w:r w:rsidR="00B67C6B">
        <w:t xml:space="preserve"> as set out in the Table.  The Table provides that:</w:t>
      </w:r>
    </w:p>
    <w:p w14:paraId="2F1C3B54" w14:textId="77777777" w:rsidR="00B67C6B" w:rsidRDefault="00B67C6B" w:rsidP="00A72E1C">
      <w:pPr>
        <w:pStyle w:val="Bullet"/>
      </w:pPr>
      <w:r>
        <w:t>Sections 1 to 4 and the amendments in Schedule 1 commence the day after the Regulation is registered.</w:t>
      </w:r>
    </w:p>
    <w:p w14:paraId="691CCF2B" w14:textId="77777777" w:rsidR="00B67C6B" w:rsidRPr="00956D27" w:rsidRDefault="00B67C6B" w:rsidP="00A72E1C">
      <w:pPr>
        <w:pStyle w:val="Bullet"/>
      </w:pPr>
      <w:r>
        <w:t>The amendments in Schedule 2 commence on 1 June 2013.</w:t>
      </w:r>
    </w:p>
    <w:p w14:paraId="114493AB" w14:textId="77777777" w:rsidR="00956D27" w:rsidRPr="00956D27" w:rsidRDefault="00956D27" w:rsidP="00956D27">
      <w:pPr>
        <w:autoSpaceDE w:val="0"/>
        <w:autoSpaceDN w:val="0"/>
        <w:adjustRightInd w:val="0"/>
        <w:spacing w:before="0" w:after="240"/>
        <w:rPr>
          <w:u w:val="single"/>
        </w:rPr>
      </w:pPr>
      <w:r w:rsidRPr="00956D27">
        <w:rPr>
          <w:u w:val="single"/>
        </w:rPr>
        <w:t>Section 3 – A</w:t>
      </w:r>
      <w:r w:rsidR="00B67C6B">
        <w:rPr>
          <w:u w:val="single"/>
        </w:rPr>
        <w:t xml:space="preserve">uthority </w:t>
      </w:r>
    </w:p>
    <w:p w14:paraId="0EE1C1F1" w14:textId="77777777" w:rsidR="00956D27" w:rsidRDefault="00956D27" w:rsidP="00956D27">
      <w:pPr>
        <w:autoSpaceDE w:val="0"/>
        <w:autoSpaceDN w:val="0"/>
        <w:adjustRightInd w:val="0"/>
        <w:spacing w:before="0" w:after="240"/>
      </w:pPr>
      <w:r w:rsidRPr="00956D27">
        <w:t>This section</w:t>
      </w:r>
      <w:r w:rsidR="00A15300">
        <w:t xml:space="preserve"> </w:t>
      </w:r>
      <w:r w:rsidRPr="00956D27">
        <w:t>provide</w:t>
      </w:r>
      <w:r w:rsidR="00A15300">
        <w:t>s</w:t>
      </w:r>
      <w:r w:rsidRPr="00956D27">
        <w:t xml:space="preserve"> </w:t>
      </w:r>
      <w:r w:rsidR="00FB5F17">
        <w:t xml:space="preserve">that </w:t>
      </w:r>
      <w:r w:rsidRPr="00956D27">
        <w:t>th</w:t>
      </w:r>
      <w:r w:rsidR="00B67C6B">
        <w:t xml:space="preserve">e Regulation is made under </w:t>
      </w:r>
      <w:r w:rsidRPr="00956D27">
        <w:t xml:space="preserve">the </w:t>
      </w:r>
      <w:r w:rsidRPr="00956D27">
        <w:rPr>
          <w:i/>
          <w:iCs/>
        </w:rPr>
        <w:t xml:space="preserve">National Consumer Credit Protection Regulations 2010 </w:t>
      </w:r>
      <w:r w:rsidRPr="00956D27">
        <w:t>(</w:t>
      </w:r>
      <w:r w:rsidRPr="00956D27">
        <w:rPr>
          <w:iCs/>
        </w:rPr>
        <w:t>Principal Credit Regulations)</w:t>
      </w:r>
      <w:r w:rsidR="00657A3A">
        <w:t>.</w:t>
      </w:r>
    </w:p>
    <w:p w14:paraId="05DA0495" w14:textId="77777777" w:rsidR="00B67C6B" w:rsidRPr="00956D27" w:rsidRDefault="00B67C6B" w:rsidP="00B67C6B">
      <w:pPr>
        <w:autoSpaceDE w:val="0"/>
        <w:autoSpaceDN w:val="0"/>
        <w:adjustRightInd w:val="0"/>
        <w:spacing w:before="0" w:after="240"/>
        <w:rPr>
          <w:u w:val="single"/>
        </w:rPr>
      </w:pPr>
      <w:r w:rsidRPr="00956D27">
        <w:rPr>
          <w:u w:val="single"/>
        </w:rPr>
        <w:t xml:space="preserve">Section </w:t>
      </w:r>
      <w:r w:rsidR="00FB5F17">
        <w:rPr>
          <w:u w:val="single"/>
        </w:rPr>
        <w:t>4</w:t>
      </w:r>
      <w:r w:rsidRPr="00956D27">
        <w:rPr>
          <w:u w:val="single"/>
        </w:rPr>
        <w:t xml:space="preserve"> – </w:t>
      </w:r>
      <w:r>
        <w:rPr>
          <w:u w:val="single"/>
        </w:rPr>
        <w:t xml:space="preserve">Schedule </w:t>
      </w:r>
    </w:p>
    <w:p w14:paraId="17EE8D4A" w14:textId="77777777" w:rsidR="00B67C6B" w:rsidRPr="00956D27" w:rsidRDefault="00B67C6B" w:rsidP="00956D27">
      <w:pPr>
        <w:autoSpaceDE w:val="0"/>
        <w:autoSpaceDN w:val="0"/>
        <w:adjustRightInd w:val="0"/>
        <w:spacing w:before="0" w:after="240"/>
      </w:pPr>
      <w:r w:rsidRPr="00956D27">
        <w:t>This section</w:t>
      </w:r>
      <w:r>
        <w:t xml:space="preserve"> </w:t>
      </w:r>
      <w:r w:rsidRPr="00956D27">
        <w:t>provide</w:t>
      </w:r>
      <w:r>
        <w:t>s</w:t>
      </w:r>
      <w:r w:rsidRPr="00956D27">
        <w:t xml:space="preserve"> that </w:t>
      </w:r>
      <w:r>
        <w:t>the instruments referred to</w:t>
      </w:r>
      <w:r w:rsidR="003A6184">
        <w:t xml:space="preserve"> in</w:t>
      </w:r>
      <w:r>
        <w:t xml:space="preserve"> </w:t>
      </w:r>
      <w:r w:rsidRPr="00956D27">
        <w:t>Schedule</w:t>
      </w:r>
      <w:r>
        <w:t>s</w:t>
      </w:r>
      <w:r w:rsidRPr="00956D27">
        <w:t xml:space="preserve"> 1 </w:t>
      </w:r>
      <w:r>
        <w:t xml:space="preserve">and 2 are </w:t>
      </w:r>
      <w:r w:rsidRPr="00956D27">
        <w:t>amend</w:t>
      </w:r>
      <w:r>
        <w:t>ed as specified</w:t>
      </w:r>
      <w:r w:rsidR="003A6184">
        <w:t xml:space="preserve"> by the items in each Schedule.</w:t>
      </w:r>
    </w:p>
    <w:p w14:paraId="35AF1C76" w14:textId="77777777" w:rsidR="002D5E17" w:rsidRPr="00EF6D68" w:rsidRDefault="002D5E17" w:rsidP="002D5E17">
      <w:pPr>
        <w:spacing w:after="240"/>
        <w:rPr>
          <w:b/>
        </w:rPr>
      </w:pPr>
      <w:r w:rsidRPr="00EF6D68">
        <w:rPr>
          <w:b/>
        </w:rPr>
        <w:t>Schedule 1 – Amendment</w:t>
      </w:r>
      <w:r w:rsidR="00B67C6B">
        <w:rPr>
          <w:b/>
        </w:rPr>
        <w:t>s commencing day after registration</w:t>
      </w:r>
    </w:p>
    <w:p w14:paraId="19E3A6C6" w14:textId="77777777" w:rsidR="00B67C6B" w:rsidRDefault="00B67C6B" w:rsidP="00B67C6B">
      <w:r w:rsidRPr="00E01BCA">
        <w:t xml:space="preserve">Item </w:t>
      </w:r>
      <w:r>
        <w:t>[</w:t>
      </w:r>
      <w:r w:rsidRPr="00E01BCA">
        <w:t>1</w:t>
      </w:r>
      <w:r>
        <w:t>] inserts section 28LD into the Principal Credit Regulations</w:t>
      </w:r>
      <w:r w:rsidR="00FB5F17">
        <w:t>.</w:t>
      </w:r>
    </w:p>
    <w:p w14:paraId="4D81AD7B" w14:textId="77777777" w:rsidR="00B67C6B" w:rsidRDefault="00B67C6B" w:rsidP="00B67C6B">
      <w:r>
        <w:t>Section 133DB of the Credit Act requires licensees to provide consumers with projections of the equity in their home under a reverse mortgage using an equity projection calculator from a website approved by the Australian Securities and Investments Commission (ASIC).  Subsection 28LD(1) allows these projections to be given either by:</w:t>
      </w:r>
    </w:p>
    <w:p w14:paraId="02E92054" w14:textId="77777777" w:rsidR="00B67C6B" w:rsidRDefault="00B67C6B" w:rsidP="00B67C6B">
      <w:pPr>
        <w:pStyle w:val="Bullet"/>
      </w:pPr>
      <w:r>
        <w:t>mail</w:t>
      </w:r>
    </w:p>
    <w:p w14:paraId="4489E56C" w14:textId="77777777" w:rsidR="00B67C6B" w:rsidRDefault="00B67C6B" w:rsidP="00B67C6B">
      <w:pPr>
        <w:pStyle w:val="Bullet"/>
      </w:pPr>
      <w:r>
        <w:t>email; or</w:t>
      </w:r>
    </w:p>
    <w:p w14:paraId="79332ED5" w14:textId="77777777" w:rsidR="00B67C6B" w:rsidRDefault="00B67C6B" w:rsidP="00B67C6B">
      <w:pPr>
        <w:pStyle w:val="Bullet"/>
      </w:pPr>
      <w:r>
        <w:t>any other form of written or electronic communication agreed to by the consumer.</w:t>
      </w:r>
    </w:p>
    <w:p w14:paraId="3B98A6FA" w14:textId="77777777" w:rsidR="00B67C6B" w:rsidRDefault="00B67C6B" w:rsidP="00B67C6B">
      <w:pPr>
        <w:spacing w:after="240"/>
      </w:pPr>
      <w:r>
        <w:t>Subsection 28LD(2) requires licensees to generate the equity projections for a consumer in accordance with any instructions for the making of the projections included by ASIC on the relevant website.</w:t>
      </w:r>
    </w:p>
    <w:p w14:paraId="6A4A9990" w14:textId="77777777" w:rsidR="00B67C6B" w:rsidRDefault="00B67C6B" w:rsidP="002D5E17">
      <w:pPr>
        <w:spacing w:after="240"/>
      </w:pPr>
      <w:r w:rsidRPr="00EF6D68">
        <w:rPr>
          <w:b/>
        </w:rPr>
        <w:t xml:space="preserve">Schedule </w:t>
      </w:r>
      <w:r>
        <w:rPr>
          <w:b/>
        </w:rPr>
        <w:t>2</w:t>
      </w:r>
      <w:r w:rsidRPr="00EF6D68">
        <w:rPr>
          <w:b/>
        </w:rPr>
        <w:t xml:space="preserve"> – Amendment</w:t>
      </w:r>
      <w:r>
        <w:rPr>
          <w:b/>
        </w:rPr>
        <w:t>s commencing 1 June 2013</w:t>
      </w:r>
    </w:p>
    <w:p w14:paraId="4AF213DC" w14:textId="77777777" w:rsidR="00B67C6B" w:rsidRDefault="00B67C6B" w:rsidP="00B67C6B">
      <w:pPr>
        <w:spacing w:after="240"/>
      </w:pPr>
      <w:r w:rsidRPr="00E01BCA">
        <w:lastRenderedPageBreak/>
        <w:t xml:space="preserve">Item </w:t>
      </w:r>
      <w:r>
        <w:t>[</w:t>
      </w:r>
      <w:r w:rsidRPr="00E01BCA">
        <w:t>1</w:t>
      </w:r>
      <w:r>
        <w:t>] inserts section 28HA into the Principal Credit Regulations.  In relation to a credit contract for a reverse mortgage, credit assistance providers and credit providers will be required to make reasonable inquiries about a consumer’s requirements and objec</w:t>
      </w:r>
      <w:r w:rsidR="00271A2D">
        <w:t>tives in meeting future needs.</w:t>
      </w:r>
    </w:p>
    <w:p w14:paraId="43F0C400" w14:textId="77777777" w:rsidR="00B67C6B" w:rsidRDefault="00B67C6B" w:rsidP="00B67C6B">
      <w:pPr>
        <w:spacing w:after="240"/>
      </w:pPr>
      <w:r>
        <w:t>If credit is provided in relation to a reverse mortgage, these additional inquiries about the consumer’s requirements and objectives in meeting possible future needs must include, but are not limited to:</w:t>
      </w:r>
    </w:p>
    <w:p w14:paraId="069C0F1E" w14:textId="77777777" w:rsidR="00B67C6B" w:rsidRDefault="00B67C6B" w:rsidP="00A72E1C">
      <w:pPr>
        <w:pStyle w:val="Bullet"/>
      </w:pPr>
      <w:r>
        <w:t xml:space="preserve">possible need for aged care accommodation expenses; and </w:t>
      </w:r>
    </w:p>
    <w:p w14:paraId="2BFCA095" w14:textId="77777777" w:rsidR="00B67C6B" w:rsidRDefault="00B67C6B" w:rsidP="00A72E1C">
      <w:pPr>
        <w:pStyle w:val="Bullet"/>
      </w:pPr>
      <w:r>
        <w:t xml:space="preserve">whether the consumer intends to leave equity in their home to their estate. </w:t>
      </w:r>
    </w:p>
    <w:p w14:paraId="15A92DD4" w14:textId="77777777" w:rsidR="00B67C6B" w:rsidRDefault="00B67C6B" w:rsidP="00B67C6B">
      <w:pPr>
        <w:spacing w:after="240"/>
      </w:pPr>
      <w:r>
        <w:t>These additional inquiries will require credit licensees to discuss with reverse mortgage applicants</w:t>
      </w:r>
      <w:r w:rsidR="00271A2D">
        <w:t>,</w:t>
      </w:r>
      <w:r>
        <w:t xml:space="preserve"> not just the short term effects of the reverse mortgage</w:t>
      </w:r>
      <w:r w:rsidR="00271A2D">
        <w:t>,</w:t>
      </w:r>
      <w:r>
        <w:t xml:space="preserve"> but also how the loan may affect the borrower’s options as they age</w:t>
      </w:r>
      <w:r w:rsidR="00271A2D">
        <w:t>,</w:t>
      </w:r>
      <w:r>
        <w:t xml:space="preserve"> or impact the amount of equity they can leave to their estate.  This will allow reverse mortgage applicants to better balance the short term need to access equity in their home against the long term impacts of reducing their home equity.</w:t>
      </w:r>
    </w:p>
    <w:p w14:paraId="164FCC40" w14:textId="77777777" w:rsidR="00B67C6B" w:rsidRDefault="00B67C6B" w:rsidP="00B67C6B">
      <w:pPr>
        <w:spacing w:after="240"/>
      </w:pPr>
      <w:r>
        <w:t xml:space="preserve">While there will be no certainty about the amount of equity that may exist at any point in the future, the intention of this provision is to require opening a discussion of possible future needs with the consumer, and the outcome of the conversation would reflect this uncertainty. </w:t>
      </w:r>
    </w:p>
    <w:p w14:paraId="0E5B6980" w14:textId="77777777" w:rsidR="002D5E17" w:rsidRDefault="002D5E17" w:rsidP="002D5E17">
      <w:pPr>
        <w:spacing w:after="240"/>
      </w:pPr>
      <w:r w:rsidRPr="00E01BCA">
        <w:t xml:space="preserve">Item </w:t>
      </w:r>
      <w:r w:rsidR="00424116">
        <w:t>[</w:t>
      </w:r>
      <w:r w:rsidR="00B67C6B">
        <w:t>2</w:t>
      </w:r>
      <w:r w:rsidR="00424116">
        <w:t>]</w:t>
      </w:r>
      <w:r>
        <w:t xml:space="preserve"> insert</w:t>
      </w:r>
      <w:r w:rsidR="009A4663">
        <w:t>s</w:t>
      </w:r>
      <w:r>
        <w:t xml:space="preserve"> section 28LC</w:t>
      </w:r>
      <w:r w:rsidR="00B67C6B">
        <w:t xml:space="preserve"> </w:t>
      </w:r>
      <w:r>
        <w:t>into the Principal Credit Regulations.</w:t>
      </w:r>
      <w:r w:rsidR="00FB5F17">
        <w:t xml:space="preserve">  </w:t>
      </w:r>
      <w:r>
        <w:t>Section 28LC prescribe</w:t>
      </w:r>
      <w:r w:rsidR="00BF29A7">
        <w:t>s</w:t>
      </w:r>
      <w:r>
        <w:t xml:space="preserve"> when a credit contract for a reverse mortgage </w:t>
      </w:r>
      <w:r w:rsidR="00A9720D">
        <w:t>is presumed to be</w:t>
      </w:r>
      <w:r>
        <w:t xml:space="preserve"> unsuitable for the purposes of paragraphs 118(2)(c) and 131(2)(c) or is</w:t>
      </w:r>
      <w:r w:rsidR="007D41BE">
        <w:t xml:space="preserve"> presumed to be</w:t>
      </w:r>
      <w:r>
        <w:t xml:space="preserve"> unsuitable for the purposes of  paragraphs 123(2)(c) and 133(2)(c)</w:t>
      </w:r>
      <w:r w:rsidR="00A9720D">
        <w:t xml:space="preserve"> </w:t>
      </w:r>
      <w:r>
        <w:t xml:space="preserve">of the </w:t>
      </w:r>
      <w:r w:rsidRPr="004335A1">
        <w:rPr>
          <w:i/>
        </w:rPr>
        <w:t>National Consumer Credit Protection Act 2009</w:t>
      </w:r>
      <w:r>
        <w:t xml:space="preserve"> (the Credit Act).  A contract is </w:t>
      </w:r>
      <w:r w:rsidR="007D41BE">
        <w:t xml:space="preserve">presumed to be </w:t>
      </w:r>
      <w:r>
        <w:t>unsuitable if the loan to value ratio under the loan wou</w:t>
      </w:r>
      <w:r w:rsidR="007D41BE">
        <w:t xml:space="preserve">ld exceed the prescribed amount when the loan is </w:t>
      </w:r>
      <w:r w:rsidR="00DF2D63">
        <w:t>entered into.</w:t>
      </w:r>
    </w:p>
    <w:p w14:paraId="63EB1A75" w14:textId="77777777" w:rsidR="002D5E17" w:rsidRDefault="002D5E17" w:rsidP="002D5E17">
      <w:pPr>
        <w:spacing w:after="240"/>
      </w:pPr>
      <w:r>
        <w:t>The prescribed amounts are:</w:t>
      </w:r>
    </w:p>
    <w:p w14:paraId="4D62D4DE" w14:textId="77777777" w:rsidR="002D5E17" w:rsidRDefault="002D5E17" w:rsidP="00A72E1C">
      <w:pPr>
        <w:pStyle w:val="Bullet"/>
      </w:pPr>
      <w:r>
        <w:t>if the youngest borr</w:t>
      </w:r>
      <w:r w:rsidR="00163321">
        <w:t>ower is 55 years or younger – 15</w:t>
      </w:r>
      <w:r w:rsidR="00EE6AE6">
        <w:t xml:space="preserve"> per cent</w:t>
      </w:r>
    </w:p>
    <w:p w14:paraId="638D24BC" w14:textId="77777777" w:rsidR="002D5E17" w:rsidRDefault="002D5E17" w:rsidP="00A72E1C">
      <w:pPr>
        <w:pStyle w:val="Bullet"/>
      </w:pPr>
      <w:r>
        <w:t xml:space="preserve">if the youngest borrower is over </w:t>
      </w:r>
      <w:r w:rsidR="00163321">
        <w:t>55 years– 15</w:t>
      </w:r>
      <w:r w:rsidR="00EE6AE6">
        <w:t xml:space="preserve"> per cent plus 1 per cent</w:t>
      </w:r>
      <w:r>
        <w:t xml:space="preserve"> for each year the borrower is over 55</w:t>
      </w:r>
      <w:r w:rsidR="00506780">
        <w:t>.</w:t>
      </w:r>
    </w:p>
    <w:p w14:paraId="38C72334" w14:textId="77777777" w:rsidR="00A0630E" w:rsidRDefault="00A0630E" w:rsidP="002D5E17">
      <w:r>
        <w:t>The use of a presumption</w:t>
      </w:r>
      <w:r w:rsidRPr="00A0630E">
        <w:t xml:space="preserve"> allow</w:t>
      </w:r>
      <w:r>
        <w:t>s</w:t>
      </w:r>
      <w:r w:rsidRPr="00A0630E">
        <w:t xml:space="preserve"> reverse mortgage lenders some </w:t>
      </w:r>
      <w:r>
        <w:t>flexibility to negotiate the loan to value ratio</w:t>
      </w:r>
      <w:r w:rsidRPr="00A0630E">
        <w:t xml:space="preserve"> w</w:t>
      </w:r>
      <w:r>
        <w:t>ith a borrower and provide a loan to value ratio</w:t>
      </w:r>
      <w:r w:rsidRPr="00A0630E">
        <w:t xml:space="preserve"> higher than those prescribed if they have sufficient reason (and evidence) that the high</w:t>
      </w:r>
      <w:r>
        <w:t>er ratio</w:t>
      </w:r>
      <w:r w:rsidRPr="00A0630E">
        <w:t xml:space="preserve"> meets the borrower’s requirements and objectives.</w:t>
      </w:r>
    </w:p>
    <w:p w14:paraId="4A9E52BD" w14:textId="77777777" w:rsidR="00BB642A" w:rsidRDefault="00BB642A" w:rsidP="002D5E17">
      <w:r>
        <w:t xml:space="preserve">For example, </w:t>
      </w:r>
      <w:r w:rsidR="00A046DF">
        <w:t xml:space="preserve">a reverse mortgage is provided to a consumer at age 65 with a loan to value </w:t>
      </w:r>
      <w:r w:rsidR="000F72D5">
        <w:t>ratio of 25</w:t>
      </w:r>
      <w:r w:rsidR="00A046DF">
        <w:t xml:space="preserve"> per cent</w:t>
      </w:r>
      <w:r w:rsidR="000F72D5">
        <w:t xml:space="preserve"> (allowed under the prescribed amounts)</w:t>
      </w:r>
      <w:r w:rsidR="00A046DF">
        <w:t xml:space="preserve">.  </w:t>
      </w:r>
      <w:r w:rsidR="00A353BB">
        <w:t xml:space="preserve">When the </w:t>
      </w:r>
      <w:r w:rsidR="000F72D5">
        <w:t xml:space="preserve">consumer is </w:t>
      </w:r>
      <w:r w:rsidR="006256FC">
        <w:t xml:space="preserve">70, they require </w:t>
      </w:r>
      <w:r w:rsidR="0014749F">
        <w:t xml:space="preserve">an amount to fix their roof.  While the value of their house has risen, so has the </w:t>
      </w:r>
      <w:r w:rsidR="00CA57F3">
        <w:t>amount of their mortgage</w:t>
      </w:r>
      <w:r w:rsidR="00C8522D">
        <w:t xml:space="preserve">, and the amount required to fix the roof would exceed the prescribed </w:t>
      </w:r>
      <w:r w:rsidR="008A14F6">
        <w:t xml:space="preserve">allowed </w:t>
      </w:r>
      <w:r w:rsidR="00C8522D">
        <w:t>loan to value ratio</w:t>
      </w:r>
      <w:r w:rsidR="00CA57F3">
        <w:t xml:space="preserve">.  </w:t>
      </w:r>
      <w:r w:rsidR="00201E66">
        <w:t xml:space="preserve">A further lump sum could be provided to the consumer </w:t>
      </w:r>
      <w:r w:rsidR="00C8522D">
        <w:t xml:space="preserve">to fix the roof if evidence is provided of </w:t>
      </w:r>
      <w:r w:rsidR="00122E51">
        <w:t xml:space="preserve">the need for this amount, and that the consumer is aware of </w:t>
      </w:r>
      <w:r w:rsidR="00082398">
        <w:t>the higher ratio, and in this instance, is not intending to leave a substantial amount of equity to their estate.</w:t>
      </w:r>
    </w:p>
    <w:p w14:paraId="36D8F620" w14:textId="77777777" w:rsidR="002D5E17" w:rsidRDefault="00B67C6B" w:rsidP="002D5E17">
      <w:pPr>
        <w:spacing w:after="240"/>
      </w:pPr>
      <w:r>
        <w:lastRenderedPageBreak/>
        <w:t xml:space="preserve">Item [3] inserts section 28LE into the Principal Credit Regulations.  </w:t>
      </w:r>
      <w:r w:rsidR="002D5E17" w:rsidRPr="00E3520B">
        <w:t xml:space="preserve">Section 133DB </w:t>
      </w:r>
      <w:r w:rsidR="002D5E17">
        <w:t>of the Credit Act requires licensees to give consumers a reverse mortgage information statement.  Section 28LE prescribe</w:t>
      </w:r>
      <w:r w:rsidR="00BF29A7">
        <w:t>s</w:t>
      </w:r>
      <w:r w:rsidR="002D5E17">
        <w:t xml:space="preserve"> Schedule 5A as the information statement.</w:t>
      </w:r>
    </w:p>
    <w:p w14:paraId="3C66FED2" w14:textId="77777777" w:rsidR="003835E2" w:rsidRPr="003835E2" w:rsidRDefault="003835E2" w:rsidP="003835E2">
      <w:pPr>
        <w:spacing w:after="240"/>
      </w:pPr>
      <w:r w:rsidRPr="003835E2">
        <w:t xml:space="preserve">The reverse mortgage information statement </w:t>
      </w:r>
      <w:r>
        <w:t>provides key information to</w:t>
      </w:r>
      <w:r w:rsidRPr="003835E2">
        <w:t xml:space="preserve"> inform consumers about the features of reverse mortgages and the risks commonly associated with them.  </w:t>
      </w:r>
      <w:r w:rsidR="00E11D5D">
        <w:t>C</w:t>
      </w:r>
      <w:r w:rsidRPr="003835E2">
        <w:t xml:space="preserve">redit providers </w:t>
      </w:r>
      <w:r w:rsidR="00E11D5D">
        <w:t xml:space="preserve">and people providing credit assistance </w:t>
      </w:r>
      <w:r w:rsidR="006E516F">
        <w:t>are</w:t>
      </w:r>
      <w:r w:rsidRPr="003835E2">
        <w:t xml:space="preserve"> required to provide consumers with this information statement.</w:t>
      </w:r>
    </w:p>
    <w:p w14:paraId="564A85EB" w14:textId="77777777" w:rsidR="00B67C6B" w:rsidRDefault="008D5742" w:rsidP="002D5E17">
      <w:pPr>
        <w:spacing w:after="240"/>
      </w:pPr>
      <w:r>
        <w:t xml:space="preserve">Item </w:t>
      </w:r>
      <w:r w:rsidR="00424116">
        <w:t>[</w:t>
      </w:r>
      <w:r w:rsidR="00B67C6B">
        <w:t>4</w:t>
      </w:r>
      <w:r w:rsidR="00424116">
        <w:t>]</w:t>
      </w:r>
      <w:r w:rsidR="002D5E17">
        <w:t xml:space="preserve"> insert</w:t>
      </w:r>
      <w:r w:rsidR="0073036A">
        <w:t>s</w:t>
      </w:r>
      <w:r w:rsidR="009B0FF5">
        <w:t xml:space="preserve"> section 74A into the Principal Credit</w:t>
      </w:r>
      <w:r w:rsidR="002D5E17">
        <w:t xml:space="preserve"> Regulations.  If a credit contract for a reverse mortgage does not include a tenancy protection provision section 18B of the National Credit Code requires licensees to inform a debtor the cont</w:t>
      </w:r>
      <w:r w:rsidR="001B4843">
        <w:t>ract does not include such a</w:t>
      </w:r>
      <w:r w:rsidR="002D5E17">
        <w:t xml:space="preserve"> provision, before providing a credit service or entering into the contract.  Section 74A prescribe</w:t>
      </w:r>
      <w:r w:rsidR="0062226E">
        <w:t>s</w:t>
      </w:r>
      <w:r w:rsidR="002D5E17">
        <w:t xml:space="preserve"> Form 7A for the purposes of informing the debtor of this</w:t>
      </w:r>
      <w:r w:rsidR="00B67C6B">
        <w:t>, with the Form i</w:t>
      </w:r>
      <w:r w:rsidR="00A72E1C">
        <w:t xml:space="preserve">ncluded </w:t>
      </w:r>
      <w:r w:rsidR="00B67C6B">
        <w:t>as Form 7A in Schedule 1 of the Principal Credit Regulations</w:t>
      </w:r>
      <w:r w:rsidR="002D5E17">
        <w:t>.</w:t>
      </w:r>
    </w:p>
    <w:p w14:paraId="04007B17" w14:textId="77777777" w:rsidR="006A4D2B" w:rsidRDefault="006A4D2B" w:rsidP="002D5E17">
      <w:pPr>
        <w:spacing w:after="240"/>
      </w:pPr>
      <w:r>
        <w:t>This form provides</w:t>
      </w:r>
      <w:r w:rsidR="00C41D57">
        <w:t xml:space="preserve"> consumers with disclosure information </w:t>
      </w:r>
      <w:r w:rsidR="00102C80">
        <w:t>that the rights of any spouse, partner of other res</w:t>
      </w:r>
      <w:r w:rsidR="00E3367C">
        <w:t>ident in the consumer’s home would</w:t>
      </w:r>
      <w:r w:rsidR="00102C80">
        <w:t xml:space="preserve"> be a</w:t>
      </w:r>
      <w:r w:rsidR="008F3B63">
        <w:t xml:space="preserve">ffected by the reverse mortgage, and provides information of where the consumer </w:t>
      </w:r>
      <w:r w:rsidR="004D24FD">
        <w:t xml:space="preserve">can get further information regarding reverse mortgages. </w:t>
      </w:r>
    </w:p>
    <w:p w14:paraId="217ED85B" w14:textId="77777777" w:rsidR="002D5E17" w:rsidRDefault="00670F35" w:rsidP="002D5E17">
      <w:pPr>
        <w:spacing w:after="240"/>
      </w:pPr>
      <w:r>
        <w:t xml:space="preserve">Item </w:t>
      </w:r>
      <w:r w:rsidR="00424116">
        <w:t>[</w:t>
      </w:r>
      <w:r w:rsidR="00B67C6B">
        <w:t>5</w:t>
      </w:r>
      <w:r w:rsidR="00424116">
        <w:t>]</w:t>
      </w:r>
      <w:r w:rsidR="002D5E17">
        <w:t xml:space="preserve"> insert</w:t>
      </w:r>
      <w:r w:rsidR="00BB7F6B">
        <w:t>s</w:t>
      </w:r>
      <w:r w:rsidR="002D5E17">
        <w:t xml:space="preserve"> section 110A into the Pri</w:t>
      </w:r>
      <w:r w:rsidR="00E3367C">
        <w:t>ncipal</w:t>
      </w:r>
      <w:r w:rsidR="002D5E17">
        <w:t xml:space="preserve"> Credit Regulations.  Subsection 185A(1) of the Code requires licensees to keep records of a debtor’s nomination that a person may reside in the mortgaged property on the same terms as themselves.  Records of revocations of these nominations must also be kept.  </w:t>
      </w:r>
    </w:p>
    <w:p w14:paraId="1A3EDAFA" w14:textId="77777777" w:rsidR="002D5E17" w:rsidRDefault="005C4593" w:rsidP="002D5E17">
      <w:pPr>
        <w:spacing w:after="240"/>
      </w:pPr>
      <w:r>
        <w:t>Section 110A</w:t>
      </w:r>
      <w:r w:rsidR="002D5E17">
        <w:t xml:space="preserve"> require</w:t>
      </w:r>
      <w:r>
        <w:t>s</w:t>
      </w:r>
      <w:r w:rsidR="002D5E17">
        <w:t xml:space="preserve"> credit licensees to keep records:</w:t>
      </w:r>
    </w:p>
    <w:p w14:paraId="786359F8" w14:textId="77777777" w:rsidR="002D5E17" w:rsidRDefault="002D5E17" w:rsidP="00A72E1C">
      <w:pPr>
        <w:pStyle w:val="Bullet"/>
      </w:pPr>
      <w:r>
        <w:t>for current nominations and revocations</w:t>
      </w:r>
      <w:r w:rsidR="00020730">
        <w:t xml:space="preserve"> – </w:t>
      </w:r>
      <w:r>
        <w:t xml:space="preserve">the record must include </w:t>
      </w:r>
      <w:r w:rsidR="00924986">
        <w:t xml:space="preserve">a statement that it is current </w:t>
      </w:r>
      <w:r w:rsidR="002B6A25">
        <w:t>and the date which the nomination or revocation</w:t>
      </w:r>
      <w:r>
        <w:t xml:space="preserve"> was given; and</w:t>
      </w:r>
    </w:p>
    <w:p w14:paraId="167F854B" w14:textId="77777777" w:rsidR="002D5E17" w:rsidRDefault="002D5E17" w:rsidP="00A72E1C">
      <w:pPr>
        <w:pStyle w:val="Bullet"/>
      </w:pPr>
      <w:r>
        <w:t>for nominations or revocation</w:t>
      </w:r>
      <w:r w:rsidR="00BA0078">
        <w:t>s</w:t>
      </w:r>
      <w:r>
        <w:t xml:space="preserve"> which are </w:t>
      </w:r>
      <w:r w:rsidR="00E46C3B">
        <w:t>no longer in effect</w:t>
      </w:r>
      <w:r w:rsidR="00B21424">
        <w:t xml:space="preserve"> –</w:t>
      </w:r>
      <w:r>
        <w:t xml:space="preserve"> the record must include the date </w:t>
      </w:r>
      <w:r w:rsidR="00BA0078">
        <w:t xml:space="preserve">on </w:t>
      </w:r>
      <w:r w:rsidR="00B21424">
        <w:t>which the nomination was revoked or the revocation ceased to have effect because a new nomination was made</w:t>
      </w:r>
      <w:r>
        <w:t xml:space="preserve">. </w:t>
      </w:r>
    </w:p>
    <w:p w14:paraId="35294E03" w14:textId="77777777" w:rsidR="002D5E17" w:rsidRDefault="002D5E17" w:rsidP="002D5E17">
      <w:pPr>
        <w:pStyle w:val="Bullet"/>
        <w:numPr>
          <w:ilvl w:val="0"/>
          <w:numId w:val="0"/>
        </w:numPr>
      </w:pPr>
      <w:r>
        <w:t>All records must be kept for the period in which they are in effect.</w:t>
      </w:r>
    </w:p>
    <w:p w14:paraId="0CA292AC" w14:textId="77777777" w:rsidR="00B67C6B" w:rsidRDefault="00B67C6B" w:rsidP="002D5E17">
      <w:pPr>
        <w:pStyle w:val="Bullet"/>
        <w:numPr>
          <w:ilvl w:val="0"/>
          <w:numId w:val="0"/>
        </w:numPr>
      </w:pPr>
      <w:r>
        <w:t xml:space="preserve">Items [6] and [7] set out Form 7A and the </w:t>
      </w:r>
      <w:r w:rsidRPr="003835E2">
        <w:t>information statement</w:t>
      </w:r>
      <w:r>
        <w:t xml:space="preserve"> as referred to in Items [3] and [4].</w:t>
      </w:r>
    </w:p>
    <w:p w14:paraId="53E19232" w14:textId="77777777" w:rsidR="00A15300" w:rsidRDefault="00A15300">
      <w:pPr>
        <w:spacing w:before="0" w:after="0"/>
      </w:pPr>
      <w:r>
        <w:br w:type="page"/>
      </w:r>
    </w:p>
    <w:p w14:paraId="0FB26D78" w14:textId="77777777" w:rsidR="0060712C" w:rsidRDefault="0060712C" w:rsidP="00E4438C">
      <w:pPr>
        <w:jc w:val="center"/>
        <w:rPr>
          <w:i/>
        </w:rPr>
      </w:pPr>
      <w:r>
        <w:rPr>
          <w:b/>
          <w:bCs/>
          <w:sz w:val="28"/>
          <w:szCs w:val="28"/>
        </w:rPr>
        <w:lastRenderedPageBreak/>
        <w:t>Statement of Compatibility with Human Rights</w:t>
      </w:r>
    </w:p>
    <w:p w14:paraId="4B1E5E3F" w14:textId="77777777" w:rsidR="00E4438C" w:rsidRPr="00E4438C" w:rsidRDefault="00E4438C" w:rsidP="00E4438C">
      <w:pPr>
        <w:jc w:val="center"/>
        <w:rPr>
          <w:i/>
        </w:rPr>
      </w:pPr>
      <w:r w:rsidRPr="00E4438C">
        <w:rPr>
          <w:i/>
        </w:rPr>
        <w:t>Prepared in accordance with Part 3 of the Human Rights (Parliamentary Scrutiny) Act 2011</w:t>
      </w:r>
    </w:p>
    <w:p w14:paraId="671285EE" w14:textId="1D542F9D" w:rsidR="00E4438C" w:rsidRPr="00E4438C" w:rsidRDefault="00A15300" w:rsidP="00E4438C">
      <w:pPr>
        <w:jc w:val="center"/>
        <w:rPr>
          <w:b/>
        </w:rPr>
      </w:pPr>
      <w:r>
        <w:rPr>
          <w:b/>
        </w:rPr>
        <w:t>National Consumer Credit Prot</w:t>
      </w:r>
      <w:r w:rsidR="002B22B4">
        <w:rPr>
          <w:b/>
        </w:rPr>
        <w:t>ection Amendment Regulation 2013</w:t>
      </w:r>
      <w:r w:rsidR="008F26C2">
        <w:rPr>
          <w:b/>
        </w:rPr>
        <w:t xml:space="preserve"> (No. 2</w:t>
      </w:r>
      <w:r>
        <w:rPr>
          <w:b/>
        </w:rPr>
        <w:t>)</w:t>
      </w:r>
    </w:p>
    <w:p w14:paraId="4CA8DCA4"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05256FF9" w14:textId="77777777" w:rsidR="00E4438C" w:rsidRDefault="00E4438C" w:rsidP="00E4438C">
      <w:pPr>
        <w:pStyle w:val="Heading4"/>
      </w:pPr>
      <w:r>
        <w:t xml:space="preserve">Overview of the </w:t>
      </w:r>
      <w:r w:rsidRPr="00E4438C">
        <w:t>Legislative</w:t>
      </w:r>
      <w:r>
        <w:t xml:space="preserve"> Instrument</w:t>
      </w:r>
    </w:p>
    <w:p w14:paraId="0845689F" w14:textId="77777777" w:rsidR="00E4438C" w:rsidRDefault="00A15300" w:rsidP="00E4438C">
      <w:r>
        <w:t>The purpose of t</w:t>
      </w:r>
      <w:r w:rsidR="00135BAB">
        <w:t>he Legislative Instrument is to:</w:t>
      </w:r>
    </w:p>
    <w:p w14:paraId="69CB41F9" w14:textId="77777777" w:rsidR="00135BAB" w:rsidRDefault="00135BAB" w:rsidP="00135BAB">
      <w:pPr>
        <w:pStyle w:val="Bullet"/>
        <w:numPr>
          <w:ilvl w:val="0"/>
          <w:numId w:val="3"/>
        </w:numPr>
        <w:spacing w:before="0" w:after="240"/>
      </w:pPr>
      <w:r>
        <w:t>introduce additional responsible lending obligations so that credit licensees assessment of whether or not a reverse mortgage is unsuitable must include reasonable inquiries about the borrowers potential future needs;</w:t>
      </w:r>
    </w:p>
    <w:p w14:paraId="35AEDFB9" w14:textId="77777777" w:rsidR="00135BAB" w:rsidRDefault="00135BAB" w:rsidP="00135BAB">
      <w:pPr>
        <w:pStyle w:val="Bullet"/>
        <w:numPr>
          <w:ilvl w:val="0"/>
          <w:numId w:val="3"/>
        </w:numPr>
        <w:spacing w:before="0" w:after="240"/>
      </w:pPr>
      <w:r>
        <w:t>introduce a presumption that a reverse mortgage is unsuitable if it involves a loan to value ratio above those prescribed (depending upon the borrower’s age);</w:t>
      </w:r>
    </w:p>
    <w:p w14:paraId="10C99620" w14:textId="77777777" w:rsidR="00135BAB" w:rsidRDefault="00135BAB" w:rsidP="00135BAB">
      <w:pPr>
        <w:pStyle w:val="Bullet"/>
        <w:numPr>
          <w:ilvl w:val="0"/>
          <w:numId w:val="3"/>
        </w:numPr>
        <w:spacing w:before="0" w:after="240"/>
      </w:pPr>
      <w:r>
        <w:t xml:space="preserve">prescribe the methods which credit licensees can provide a consumer with </w:t>
      </w:r>
      <w:r w:rsidR="00FE59ED">
        <w:t>projections of their home equity</w:t>
      </w:r>
      <w:r>
        <w:t>;</w:t>
      </w:r>
    </w:p>
    <w:p w14:paraId="2090FBE7" w14:textId="77777777" w:rsidR="00135BAB" w:rsidRDefault="00135BAB" w:rsidP="00135BAB">
      <w:pPr>
        <w:pStyle w:val="Bullet"/>
        <w:numPr>
          <w:ilvl w:val="0"/>
          <w:numId w:val="3"/>
        </w:numPr>
        <w:spacing w:before="0" w:after="240"/>
      </w:pPr>
      <w:r>
        <w:t>prescribe the reverse mortgage information statement;</w:t>
      </w:r>
    </w:p>
    <w:p w14:paraId="751CA22F" w14:textId="77777777" w:rsidR="00135BAB" w:rsidRDefault="00135BAB" w:rsidP="00135BAB">
      <w:pPr>
        <w:pStyle w:val="Bullet"/>
        <w:numPr>
          <w:ilvl w:val="0"/>
          <w:numId w:val="3"/>
        </w:numPr>
        <w:spacing w:before="0" w:after="240"/>
      </w:pPr>
      <w:r>
        <w:t>prescribe the form of disclosure a credit licensee must use to disclose that a credit contract for a reverse mortgage does not provide protections for persons who are not borrowers to reside in the mortgaged property;</w:t>
      </w:r>
    </w:p>
    <w:p w14:paraId="6686DA09" w14:textId="77777777" w:rsidR="007260D8" w:rsidRDefault="00135BAB" w:rsidP="00E4438C">
      <w:pPr>
        <w:pStyle w:val="Bullet"/>
        <w:numPr>
          <w:ilvl w:val="0"/>
          <w:numId w:val="3"/>
        </w:numPr>
        <w:spacing w:before="0" w:after="240"/>
      </w:pPr>
      <w:r>
        <w:t>prescribe how credit providers must keep records of nomination and withdraws of a borrowers consent for a person to reside in the mortgaged property.</w:t>
      </w:r>
    </w:p>
    <w:p w14:paraId="5E6779F0" w14:textId="77777777" w:rsidR="00E4438C" w:rsidRDefault="00E4438C" w:rsidP="00E4438C">
      <w:pPr>
        <w:pStyle w:val="Heading4"/>
      </w:pPr>
      <w:r>
        <w:t>Human rights implications</w:t>
      </w:r>
    </w:p>
    <w:p w14:paraId="42BDD0E4" w14:textId="77777777" w:rsidR="00E4438C" w:rsidRDefault="00E4438C" w:rsidP="00E4438C">
      <w:r>
        <w:t>This Legislative Instrument does not engage any of the applicable rights or freedoms.</w:t>
      </w:r>
    </w:p>
    <w:p w14:paraId="07039977" w14:textId="77777777" w:rsidR="00E4438C" w:rsidRDefault="00E4438C" w:rsidP="00E4438C">
      <w:pPr>
        <w:pStyle w:val="Heading4"/>
      </w:pPr>
      <w:r>
        <w:t>Conclusion</w:t>
      </w:r>
    </w:p>
    <w:p w14:paraId="30232D84"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86D5" w14:textId="77777777" w:rsidR="00EE5912" w:rsidRDefault="00EE5912" w:rsidP="00EE5912">
      <w:pPr>
        <w:spacing w:before="0" w:after="0"/>
      </w:pPr>
      <w:r>
        <w:separator/>
      </w:r>
    </w:p>
  </w:endnote>
  <w:endnote w:type="continuationSeparator" w:id="0">
    <w:p w14:paraId="5867FF07" w14:textId="77777777" w:rsidR="00EE5912" w:rsidRDefault="00EE5912" w:rsidP="00EE59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5FF23" w14:textId="77777777" w:rsidR="00EE5912" w:rsidRDefault="00EE5912" w:rsidP="00EE5912">
      <w:pPr>
        <w:spacing w:before="0" w:after="0"/>
      </w:pPr>
      <w:r>
        <w:separator/>
      </w:r>
    </w:p>
  </w:footnote>
  <w:footnote w:type="continuationSeparator" w:id="0">
    <w:p w14:paraId="662752EB" w14:textId="77777777" w:rsidR="00EE5912" w:rsidRDefault="00EE5912" w:rsidP="00EE591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5A4D0473"/>
    <w:multiLevelType w:val="multilevel"/>
    <w:tmpl w:val="9412E730"/>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2">
    <w:nsid w:val="67A43C0B"/>
    <w:multiLevelType w:val="multilevel"/>
    <w:tmpl w:val="DED08E5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27"/>
    <w:rsid w:val="00016EA2"/>
    <w:rsid w:val="00020730"/>
    <w:rsid w:val="00037279"/>
    <w:rsid w:val="00055430"/>
    <w:rsid w:val="00082398"/>
    <w:rsid w:val="00090141"/>
    <w:rsid w:val="00095211"/>
    <w:rsid w:val="0009552B"/>
    <w:rsid w:val="000B13E1"/>
    <w:rsid w:val="000C10DF"/>
    <w:rsid w:val="000C1873"/>
    <w:rsid w:val="000C2624"/>
    <w:rsid w:val="000C2FEB"/>
    <w:rsid w:val="000C3848"/>
    <w:rsid w:val="000F72D5"/>
    <w:rsid w:val="00102C80"/>
    <w:rsid w:val="00113B45"/>
    <w:rsid w:val="00122E51"/>
    <w:rsid w:val="00135BAB"/>
    <w:rsid w:val="0014749F"/>
    <w:rsid w:val="00163321"/>
    <w:rsid w:val="00184DF0"/>
    <w:rsid w:val="001929CC"/>
    <w:rsid w:val="001B4843"/>
    <w:rsid w:val="001B6086"/>
    <w:rsid w:val="001E6A74"/>
    <w:rsid w:val="001F41D0"/>
    <w:rsid w:val="00201E66"/>
    <w:rsid w:val="00220F16"/>
    <w:rsid w:val="00230CBE"/>
    <w:rsid w:val="00234731"/>
    <w:rsid w:val="002451CB"/>
    <w:rsid w:val="00254C5B"/>
    <w:rsid w:val="00262804"/>
    <w:rsid w:val="0026579A"/>
    <w:rsid w:val="00271A2D"/>
    <w:rsid w:val="002B22B4"/>
    <w:rsid w:val="002B6A25"/>
    <w:rsid w:val="002D5E17"/>
    <w:rsid w:val="002F3F37"/>
    <w:rsid w:val="002F73C5"/>
    <w:rsid w:val="00317E61"/>
    <w:rsid w:val="003342CD"/>
    <w:rsid w:val="00335042"/>
    <w:rsid w:val="00335CB0"/>
    <w:rsid w:val="003835E2"/>
    <w:rsid w:val="00392BBA"/>
    <w:rsid w:val="003A117E"/>
    <w:rsid w:val="003A6184"/>
    <w:rsid w:val="003A7E88"/>
    <w:rsid w:val="003D2408"/>
    <w:rsid w:val="004003F9"/>
    <w:rsid w:val="0041709D"/>
    <w:rsid w:val="004175D8"/>
    <w:rsid w:val="00424116"/>
    <w:rsid w:val="0043275B"/>
    <w:rsid w:val="00446A5C"/>
    <w:rsid w:val="00494A49"/>
    <w:rsid w:val="004B5049"/>
    <w:rsid w:val="004D24FD"/>
    <w:rsid w:val="004E39E1"/>
    <w:rsid w:val="004E759D"/>
    <w:rsid w:val="00503E44"/>
    <w:rsid w:val="00506780"/>
    <w:rsid w:val="00515283"/>
    <w:rsid w:val="0055506B"/>
    <w:rsid w:val="0055675D"/>
    <w:rsid w:val="005833BE"/>
    <w:rsid w:val="005C4593"/>
    <w:rsid w:val="005D7D5A"/>
    <w:rsid w:val="005F03A8"/>
    <w:rsid w:val="0060130D"/>
    <w:rsid w:val="0060712C"/>
    <w:rsid w:val="0061367D"/>
    <w:rsid w:val="0062226E"/>
    <w:rsid w:val="006256FC"/>
    <w:rsid w:val="0064129F"/>
    <w:rsid w:val="00654CF2"/>
    <w:rsid w:val="00657A3A"/>
    <w:rsid w:val="00670F35"/>
    <w:rsid w:val="00672B99"/>
    <w:rsid w:val="00674108"/>
    <w:rsid w:val="006A4D2B"/>
    <w:rsid w:val="006D21DB"/>
    <w:rsid w:val="006E516F"/>
    <w:rsid w:val="007260D8"/>
    <w:rsid w:val="0073036A"/>
    <w:rsid w:val="0073203E"/>
    <w:rsid w:val="007563C6"/>
    <w:rsid w:val="00773948"/>
    <w:rsid w:val="007905E9"/>
    <w:rsid w:val="007A5714"/>
    <w:rsid w:val="007D41BE"/>
    <w:rsid w:val="007D4A31"/>
    <w:rsid w:val="007E018D"/>
    <w:rsid w:val="007E6941"/>
    <w:rsid w:val="00807E7D"/>
    <w:rsid w:val="008228C9"/>
    <w:rsid w:val="00825312"/>
    <w:rsid w:val="0082749C"/>
    <w:rsid w:val="00830565"/>
    <w:rsid w:val="00831675"/>
    <w:rsid w:val="008463D8"/>
    <w:rsid w:val="008607F4"/>
    <w:rsid w:val="0088467C"/>
    <w:rsid w:val="008A14F6"/>
    <w:rsid w:val="008D16F7"/>
    <w:rsid w:val="008D5742"/>
    <w:rsid w:val="008F26C2"/>
    <w:rsid w:val="008F3B63"/>
    <w:rsid w:val="00902351"/>
    <w:rsid w:val="00920844"/>
    <w:rsid w:val="00920B7A"/>
    <w:rsid w:val="00924986"/>
    <w:rsid w:val="0093572F"/>
    <w:rsid w:val="00956D27"/>
    <w:rsid w:val="00962FBF"/>
    <w:rsid w:val="00977D19"/>
    <w:rsid w:val="009A1BC2"/>
    <w:rsid w:val="009A4663"/>
    <w:rsid w:val="009B0FF5"/>
    <w:rsid w:val="009B22FA"/>
    <w:rsid w:val="009C1F9F"/>
    <w:rsid w:val="009C3F2C"/>
    <w:rsid w:val="009E2F86"/>
    <w:rsid w:val="009F649B"/>
    <w:rsid w:val="00A046DF"/>
    <w:rsid w:val="00A0630E"/>
    <w:rsid w:val="00A12209"/>
    <w:rsid w:val="00A15300"/>
    <w:rsid w:val="00A2672D"/>
    <w:rsid w:val="00A353BB"/>
    <w:rsid w:val="00A36DF3"/>
    <w:rsid w:val="00A532DD"/>
    <w:rsid w:val="00A55E56"/>
    <w:rsid w:val="00A72E1C"/>
    <w:rsid w:val="00A80BCF"/>
    <w:rsid w:val="00A9021F"/>
    <w:rsid w:val="00A9720D"/>
    <w:rsid w:val="00AA6793"/>
    <w:rsid w:val="00AF73F2"/>
    <w:rsid w:val="00B07B0C"/>
    <w:rsid w:val="00B21424"/>
    <w:rsid w:val="00B314CF"/>
    <w:rsid w:val="00B42756"/>
    <w:rsid w:val="00B67C2B"/>
    <w:rsid w:val="00B67C6B"/>
    <w:rsid w:val="00B727FD"/>
    <w:rsid w:val="00BA0078"/>
    <w:rsid w:val="00BB642A"/>
    <w:rsid w:val="00BB7F6B"/>
    <w:rsid w:val="00BD61A2"/>
    <w:rsid w:val="00BE428C"/>
    <w:rsid w:val="00BE484D"/>
    <w:rsid w:val="00BF29A7"/>
    <w:rsid w:val="00C2277D"/>
    <w:rsid w:val="00C37E05"/>
    <w:rsid w:val="00C41D57"/>
    <w:rsid w:val="00C45DC0"/>
    <w:rsid w:val="00C51A86"/>
    <w:rsid w:val="00C55D29"/>
    <w:rsid w:val="00C80CE6"/>
    <w:rsid w:val="00C8522D"/>
    <w:rsid w:val="00C95396"/>
    <w:rsid w:val="00C9552D"/>
    <w:rsid w:val="00CA57F3"/>
    <w:rsid w:val="00CA5BF3"/>
    <w:rsid w:val="00CC4617"/>
    <w:rsid w:val="00CD0908"/>
    <w:rsid w:val="00D34626"/>
    <w:rsid w:val="00D37476"/>
    <w:rsid w:val="00D4257A"/>
    <w:rsid w:val="00D46F02"/>
    <w:rsid w:val="00D50F03"/>
    <w:rsid w:val="00D82A01"/>
    <w:rsid w:val="00DC0CDE"/>
    <w:rsid w:val="00DE5952"/>
    <w:rsid w:val="00DF2D63"/>
    <w:rsid w:val="00E0624D"/>
    <w:rsid w:val="00E11D5D"/>
    <w:rsid w:val="00E3367C"/>
    <w:rsid w:val="00E3457D"/>
    <w:rsid w:val="00E40CE8"/>
    <w:rsid w:val="00E4438C"/>
    <w:rsid w:val="00E46C3B"/>
    <w:rsid w:val="00E53DD7"/>
    <w:rsid w:val="00E66000"/>
    <w:rsid w:val="00EA3932"/>
    <w:rsid w:val="00EA42FA"/>
    <w:rsid w:val="00EB7E71"/>
    <w:rsid w:val="00ED4FFB"/>
    <w:rsid w:val="00EE5251"/>
    <w:rsid w:val="00EE5912"/>
    <w:rsid w:val="00EE6AE6"/>
    <w:rsid w:val="00F009EA"/>
    <w:rsid w:val="00F02001"/>
    <w:rsid w:val="00F109D4"/>
    <w:rsid w:val="00F11AFE"/>
    <w:rsid w:val="00F84C8C"/>
    <w:rsid w:val="00F87406"/>
    <w:rsid w:val="00F91BF8"/>
    <w:rsid w:val="00FA7DAE"/>
    <w:rsid w:val="00FB5F17"/>
    <w:rsid w:val="00FE59ED"/>
    <w:rsid w:val="00FF1057"/>
    <w:rsid w:val="00FF5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styleId="CommentReference">
    <w:name w:val="annotation reference"/>
    <w:basedOn w:val="DefaultParagraphFont"/>
    <w:uiPriority w:val="99"/>
    <w:semiHidden/>
    <w:unhideWhenUsed/>
    <w:rsid w:val="00037279"/>
    <w:rPr>
      <w:sz w:val="16"/>
      <w:szCs w:val="16"/>
    </w:rPr>
  </w:style>
  <w:style w:type="paragraph" w:styleId="CommentText">
    <w:name w:val="annotation text"/>
    <w:basedOn w:val="Normal"/>
    <w:link w:val="CommentTextChar"/>
    <w:uiPriority w:val="99"/>
    <w:semiHidden/>
    <w:unhideWhenUsed/>
    <w:rsid w:val="00037279"/>
    <w:rPr>
      <w:sz w:val="20"/>
    </w:rPr>
  </w:style>
  <w:style w:type="character" w:customStyle="1" w:styleId="CommentTextChar">
    <w:name w:val="Comment Text Char"/>
    <w:basedOn w:val="DefaultParagraphFont"/>
    <w:link w:val="CommentText"/>
    <w:uiPriority w:val="99"/>
    <w:semiHidden/>
    <w:rsid w:val="00037279"/>
  </w:style>
  <w:style w:type="paragraph" w:styleId="CommentSubject">
    <w:name w:val="annotation subject"/>
    <w:basedOn w:val="CommentText"/>
    <w:next w:val="CommentText"/>
    <w:link w:val="CommentSubjectChar"/>
    <w:uiPriority w:val="99"/>
    <w:semiHidden/>
    <w:unhideWhenUsed/>
    <w:rsid w:val="00037279"/>
    <w:rPr>
      <w:b/>
      <w:bCs/>
    </w:rPr>
  </w:style>
  <w:style w:type="character" w:customStyle="1" w:styleId="CommentSubjectChar">
    <w:name w:val="Comment Subject Char"/>
    <w:basedOn w:val="CommentTextChar"/>
    <w:link w:val="CommentSubject"/>
    <w:uiPriority w:val="99"/>
    <w:semiHidden/>
    <w:rsid w:val="00037279"/>
    <w:rPr>
      <w:b/>
      <w:bCs/>
    </w:rPr>
  </w:style>
  <w:style w:type="paragraph" w:styleId="Header">
    <w:name w:val="header"/>
    <w:basedOn w:val="Normal"/>
    <w:link w:val="HeaderChar"/>
    <w:uiPriority w:val="99"/>
    <w:unhideWhenUsed/>
    <w:rsid w:val="00EE5912"/>
    <w:pPr>
      <w:tabs>
        <w:tab w:val="center" w:pos="4513"/>
        <w:tab w:val="right" w:pos="9026"/>
      </w:tabs>
      <w:spacing w:before="0" w:after="0"/>
    </w:pPr>
  </w:style>
  <w:style w:type="character" w:customStyle="1" w:styleId="HeaderChar">
    <w:name w:val="Header Char"/>
    <w:basedOn w:val="DefaultParagraphFont"/>
    <w:link w:val="Header"/>
    <w:uiPriority w:val="99"/>
    <w:rsid w:val="00EE5912"/>
    <w:rPr>
      <w:sz w:val="24"/>
    </w:rPr>
  </w:style>
  <w:style w:type="paragraph" w:styleId="Footer">
    <w:name w:val="footer"/>
    <w:basedOn w:val="Normal"/>
    <w:link w:val="FooterChar"/>
    <w:uiPriority w:val="99"/>
    <w:unhideWhenUsed/>
    <w:rsid w:val="00EE5912"/>
    <w:pPr>
      <w:tabs>
        <w:tab w:val="center" w:pos="4513"/>
        <w:tab w:val="right" w:pos="9026"/>
      </w:tabs>
      <w:spacing w:before="0" w:after="0"/>
    </w:pPr>
  </w:style>
  <w:style w:type="character" w:customStyle="1" w:styleId="FooterChar">
    <w:name w:val="Footer Char"/>
    <w:basedOn w:val="DefaultParagraphFont"/>
    <w:link w:val="Footer"/>
    <w:uiPriority w:val="99"/>
    <w:rsid w:val="00EE591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styleId="CommentReference">
    <w:name w:val="annotation reference"/>
    <w:basedOn w:val="DefaultParagraphFont"/>
    <w:uiPriority w:val="99"/>
    <w:semiHidden/>
    <w:unhideWhenUsed/>
    <w:rsid w:val="00037279"/>
    <w:rPr>
      <w:sz w:val="16"/>
      <w:szCs w:val="16"/>
    </w:rPr>
  </w:style>
  <w:style w:type="paragraph" w:styleId="CommentText">
    <w:name w:val="annotation text"/>
    <w:basedOn w:val="Normal"/>
    <w:link w:val="CommentTextChar"/>
    <w:uiPriority w:val="99"/>
    <w:semiHidden/>
    <w:unhideWhenUsed/>
    <w:rsid w:val="00037279"/>
    <w:rPr>
      <w:sz w:val="20"/>
    </w:rPr>
  </w:style>
  <w:style w:type="character" w:customStyle="1" w:styleId="CommentTextChar">
    <w:name w:val="Comment Text Char"/>
    <w:basedOn w:val="DefaultParagraphFont"/>
    <w:link w:val="CommentText"/>
    <w:uiPriority w:val="99"/>
    <w:semiHidden/>
    <w:rsid w:val="00037279"/>
  </w:style>
  <w:style w:type="paragraph" w:styleId="CommentSubject">
    <w:name w:val="annotation subject"/>
    <w:basedOn w:val="CommentText"/>
    <w:next w:val="CommentText"/>
    <w:link w:val="CommentSubjectChar"/>
    <w:uiPriority w:val="99"/>
    <w:semiHidden/>
    <w:unhideWhenUsed/>
    <w:rsid w:val="00037279"/>
    <w:rPr>
      <w:b/>
      <w:bCs/>
    </w:rPr>
  </w:style>
  <w:style w:type="character" w:customStyle="1" w:styleId="CommentSubjectChar">
    <w:name w:val="Comment Subject Char"/>
    <w:basedOn w:val="CommentTextChar"/>
    <w:link w:val="CommentSubject"/>
    <w:uiPriority w:val="99"/>
    <w:semiHidden/>
    <w:rsid w:val="00037279"/>
    <w:rPr>
      <w:b/>
      <w:bCs/>
    </w:rPr>
  </w:style>
  <w:style w:type="paragraph" w:styleId="Header">
    <w:name w:val="header"/>
    <w:basedOn w:val="Normal"/>
    <w:link w:val="HeaderChar"/>
    <w:uiPriority w:val="99"/>
    <w:unhideWhenUsed/>
    <w:rsid w:val="00EE5912"/>
    <w:pPr>
      <w:tabs>
        <w:tab w:val="center" w:pos="4513"/>
        <w:tab w:val="right" w:pos="9026"/>
      </w:tabs>
      <w:spacing w:before="0" w:after="0"/>
    </w:pPr>
  </w:style>
  <w:style w:type="character" w:customStyle="1" w:styleId="HeaderChar">
    <w:name w:val="Header Char"/>
    <w:basedOn w:val="DefaultParagraphFont"/>
    <w:link w:val="Header"/>
    <w:uiPriority w:val="99"/>
    <w:rsid w:val="00EE5912"/>
    <w:rPr>
      <w:sz w:val="24"/>
    </w:rPr>
  </w:style>
  <w:style w:type="paragraph" w:styleId="Footer">
    <w:name w:val="footer"/>
    <w:basedOn w:val="Normal"/>
    <w:link w:val="FooterChar"/>
    <w:uiPriority w:val="99"/>
    <w:unhideWhenUsed/>
    <w:rsid w:val="00EE5912"/>
    <w:pPr>
      <w:tabs>
        <w:tab w:val="center" w:pos="4513"/>
        <w:tab w:val="right" w:pos="9026"/>
      </w:tabs>
      <w:spacing w:before="0" w:after="0"/>
    </w:pPr>
  </w:style>
  <w:style w:type="character" w:customStyle="1" w:styleId="FooterChar">
    <w:name w:val="Footer Char"/>
    <w:basedOn w:val="DefaultParagraphFont"/>
    <w:link w:val="Footer"/>
    <w:uiPriority w:val="99"/>
    <w:rsid w:val="00EE59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E54F-A561-49E9-B629-9E655167D7FC}">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82A28E6-9273-470C-BDB2-ED96EE66822A}">
  <ds:schemaRefs>
    <ds:schemaRef ds:uri="http://schemas.microsoft.com/sharepoint/v3/contenttype/forms"/>
  </ds:schemaRefs>
</ds:datastoreItem>
</file>

<file path=customXml/itemProps3.xml><?xml version="1.0" encoding="utf-8"?>
<ds:datastoreItem xmlns:ds="http://schemas.openxmlformats.org/officeDocument/2006/customXml" ds:itemID="{07AF2D99-0062-4809-AA0C-511BA0D03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480AC8-7AD6-4834-827A-F5A82493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6</Pages>
  <Words>1859</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Sutcliffe, Ward</dc:creator>
  <cp:lastModifiedBy>Hilhorst, Matt</cp:lastModifiedBy>
  <cp:revision>2</cp:revision>
  <cp:lastPrinted>2013-03-25T00:51:00Z</cp:lastPrinted>
  <dcterms:created xsi:type="dcterms:W3CDTF">2013-05-14T21:54:00Z</dcterms:created>
  <dcterms:modified xsi:type="dcterms:W3CDTF">2013-05-14T21:54:00Z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1879528210</vt:i4>
  </property>
  <property fmtid="{D5CDD505-2E9C-101B-9397-08002B2CF9AE}" pid="3" name="_NewReviewCycle">
    <vt:lpwstr/>
  </property>
  <property fmtid="{D5CDD505-2E9C-101B-9397-08002B2CF9AE}" pid="4" name="_EmailSubject">
    <vt:lpwstr>FRLI Lodgement Form [SEC=UNCLASSIFIED]</vt:lpwstr>
  </property>
  <property fmtid="{D5CDD505-2E9C-101B-9397-08002B2CF9AE}" pid="5" name="_AuthorEmail">
    <vt:lpwstr>Fiona.McLaren@TREASURY.GOV.AU</vt:lpwstr>
  </property>
  <property fmtid="{D5CDD505-2E9C-101B-9397-08002B2CF9AE}" pid="6" name="_AuthorEmailDisplayName">
    <vt:lpwstr>McLaren, Fiona</vt:lpwstr>
  </property>
  <property fmtid="{D5CDD505-2E9C-101B-9397-08002B2CF9AE}" pid="7" name="_PreviousAdHocReviewCycleID">
    <vt:i4>-2119910230</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